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348AF" w14:textId="0B073E5E" w:rsidR="00F50370" w:rsidRPr="00D86BC6" w:rsidRDefault="00F50370" w:rsidP="00F50370">
      <w:pPr>
        <w:spacing w:line="480" w:lineRule="auto"/>
        <w:jc w:val="center"/>
        <w:rPr>
          <w:rFonts w:ascii="Arial" w:hAnsi="Arial" w:cs="Arial"/>
          <w:b/>
          <w:bCs/>
          <w:sz w:val="28"/>
          <w:szCs w:val="28"/>
          <w:rtl/>
        </w:rPr>
      </w:pPr>
      <w:r w:rsidRPr="0094332C">
        <w:rPr>
          <w:rFonts w:ascii="Arial" w:hAnsi="Arial" w:cs="Arial"/>
          <w:b/>
          <w:bCs/>
          <w:sz w:val="28"/>
          <w:szCs w:val="28"/>
        </w:rPr>
        <w:t>Fungal Infections, Immunity and Diagnosis</w:t>
      </w:r>
      <w:r w:rsidR="00EF0CDF">
        <w:rPr>
          <w:rFonts w:ascii="Arial" w:hAnsi="Arial" w:cs="Arial"/>
          <w:b/>
          <w:bCs/>
          <w:sz w:val="28"/>
          <w:szCs w:val="28"/>
        </w:rPr>
        <w:t xml:space="preserve">: A </w:t>
      </w:r>
      <w:r w:rsidR="00EF0CDF" w:rsidRPr="00EF0CDF">
        <w:rPr>
          <w:rFonts w:ascii="Arial" w:hAnsi="Arial" w:cs="Arial"/>
          <w:b/>
          <w:bCs/>
          <w:sz w:val="28"/>
          <w:szCs w:val="28"/>
        </w:rPr>
        <w:t>comprehensive review</w:t>
      </w:r>
    </w:p>
    <w:p w14:paraId="1B358EC2" w14:textId="77777777" w:rsidR="00F50370" w:rsidRPr="00C942AF" w:rsidRDefault="00F50370" w:rsidP="00F87C93">
      <w:pPr>
        <w:spacing w:line="480" w:lineRule="auto"/>
        <w:jc w:val="both"/>
        <w:rPr>
          <w:rFonts w:ascii="Arial" w:hAnsi="Arial" w:cs="Arial"/>
          <w:b/>
          <w:bCs/>
          <w:lang w:val="en-GB"/>
        </w:rPr>
      </w:pPr>
      <w:bookmarkStart w:id="0" w:name="_GoBack"/>
      <w:bookmarkEnd w:id="0"/>
    </w:p>
    <w:p w14:paraId="38758CBF" w14:textId="034C2509" w:rsidR="00CA0438" w:rsidRPr="0094332C" w:rsidRDefault="00CA0438" w:rsidP="00F87C93">
      <w:pPr>
        <w:spacing w:line="480" w:lineRule="auto"/>
        <w:jc w:val="both"/>
        <w:rPr>
          <w:rFonts w:ascii="Arial" w:hAnsi="Arial" w:cs="Arial"/>
          <w:b/>
          <w:bCs/>
        </w:rPr>
      </w:pPr>
      <w:r w:rsidRPr="0094332C">
        <w:rPr>
          <w:rFonts w:ascii="Arial" w:hAnsi="Arial" w:cs="Arial"/>
          <w:b/>
          <w:bCs/>
        </w:rPr>
        <w:t>Abstract</w:t>
      </w:r>
    </w:p>
    <w:p w14:paraId="2E428C18" w14:textId="7B2A7CCB" w:rsidR="00CA0438" w:rsidRPr="0094332C" w:rsidRDefault="00CA0438" w:rsidP="00CE585F">
      <w:pPr>
        <w:pStyle w:val="NormalWeb"/>
        <w:spacing w:before="0" w:beforeAutospacing="0" w:after="0" w:afterAutospacing="0" w:line="480" w:lineRule="auto"/>
        <w:jc w:val="both"/>
        <w:rPr>
          <w:rFonts w:ascii="Arial" w:hAnsi="Arial" w:cs="Arial"/>
        </w:rPr>
      </w:pPr>
      <w:r w:rsidRPr="0094332C">
        <w:rPr>
          <w:rFonts w:ascii="Arial" w:hAnsi="Arial" w:cs="Arial"/>
        </w:rPr>
        <w:t xml:space="preserve">Fungal infections </w:t>
      </w:r>
      <w:r>
        <w:rPr>
          <w:rFonts w:ascii="Arial" w:hAnsi="Arial" w:cs="Arial"/>
        </w:rPr>
        <w:t xml:space="preserve">(mycosis) </w:t>
      </w:r>
      <w:r w:rsidRPr="0094332C">
        <w:rPr>
          <w:rFonts w:ascii="Arial" w:hAnsi="Arial" w:cs="Arial"/>
        </w:rPr>
        <w:t xml:space="preserve">have emerged as significant global health concerns, </w:t>
      </w:r>
      <w:r>
        <w:rPr>
          <w:rFonts w:ascii="Arial" w:hAnsi="Arial" w:cs="Arial"/>
        </w:rPr>
        <w:t>particularly</w:t>
      </w:r>
      <w:r w:rsidRPr="0094332C">
        <w:rPr>
          <w:rFonts w:ascii="Arial" w:hAnsi="Arial" w:cs="Arial"/>
        </w:rPr>
        <w:t xml:space="preserve"> among immunocompromised individuals. This comprehensive review examines the intricate interplay between fungal pathogens and host immunity, </w:t>
      </w:r>
      <w:r>
        <w:rPr>
          <w:rFonts w:ascii="Arial" w:hAnsi="Arial" w:cs="Arial"/>
        </w:rPr>
        <w:t>emphasizing</w:t>
      </w:r>
      <w:r w:rsidRPr="0094332C">
        <w:rPr>
          <w:rFonts w:ascii="Arial" w:hAnsi="Arial" w:cs="Arial"/>
        </w:rPr>
        <w:t xml:space="preserve"> the crucial roles of both innate and adaptive immune responses. The innate immune system serves as the first line of </w:t>
      </w:r>
      <w:r>
        <w:rPr>
          <w:rFonts w:ascii="Arial" w:hAnsi="Arial" w:cs="Arial"/>
        </w:rPr>
        <w:t>defense</w:t>
      </w:r>
      <w:r w:rsidRPr="0094332C">
        <w:rPr>
          <w:rFonts w:ascii="Arial" w:hAnsi="Arial" w:cs="Arial"/>
        </w:rPr>
        <w:t xml:space="preserve">, </w:t>
      </w:r>
      <w:r>
        <w:rPr>
          <w:rFonts w:ascii="Arial" w:hAnsi="Arial" w:cs="Arial"/>
        </w:rPr>
        <w:t>utilizing</w:t>
      </w:r>
      <w:r w:rsidRPr="0094332C">
        <w:rPr>
          <w:rFonts w:ascii="Arial" w:hAnsi="Arial" w:cs="Arial"/>
        </w:rPr>
        <w:t xml:space="preserve"> physical barriers, pattern recognition receptors, phagocytic cells, the complement system, and cytokines to detect and control fungal pathogens. Dendritic cells play a pivotal role in bridging innate and adaptive immunity by presenting fungal antigens to T cells, guiding specific immune responses. </w:t>
      </w:r>
      <w:r>
        <w:rPr>
          <w:rFonts w:ascii="Arial" w:hAnsi="Arial" w:cs="Arial"/>
        </w:rPr>
        <w:t>Through</w:t>
      </w:r>
      <w:r w:rsidRPr="0094332C">
        <w:rPr>
          <w:rFonts w:ascii="Arial" w:hAnsi="Arial" w:cs="Arial"/>
        </w:rPr>
        <w:t xml:space="preserve"> the coordinated actions of T helper cells, cytotoxic </w:t>
      </w:r>
      <w:r w:rsidR="00254F98">
        <w:rPr>
          <w:rFonts w:ascii="Arial" w:hAnsi="Arial" w:cs="Arial"/>
        </w:rPr>
        <w:br/>
      </w:r>
      <w:r w:rsidRPr="0094332C">
        <w:rPr>
          <w:rFonts w:ascii="Arial" w:hAnsi="Arial" w:cs="Arial"/>
        </w:rPr>
        <w:t xml:space="preserve">T cells, B cells, and antibodies, </w:t>
      </w:r>
      <w:r>
        <w:rPr>
          <w:rFonts w:ascii="Arial" w:hAnsi="Arial" w:cs="Arial"/>
        </w:rPr>
        <w:t xml:space="preserve">the adaptive immune system </w:t>
      </w:r>
      <w:r w:rsidRPr="0094332C">
        <w:rPr>
          <w:rFonts w:ascii="Arial" w:hAnsi="Arial" w:cs="Arial"/>
        </w:rPr>
        <w:t xml:space="preserve">offers targeted and long-lasting protection against fungal infections. Despite these robust </w:t>
      </w:r>
      <w:r>
        <w:rPr>
          <w:rFonts w:ascii="Arial" w:hAnsi="Arial" w:cs="Arial"/>
        </w:rPr>
        <w:t>defense</w:t>
      </w:r>
      <w:r w:rsidRPr="0094332C">
        <w:rPr>
          <w:rFonts w:ascii="Arial" w:hAnsi="Arial" w:cs="Arial"/>
        </w:rPr>
        <w:t xml:space="preserve"> mechanisms, many fungi have evolved sophisticated evasion strategies that complicate immune responses and therapeutic interventions. Advances in diagnostic technologies, including PCR, </w:t>
      </w:r>
      <w:r>
        <w:rPr>
          <w:rFonts w:ascii="Arial" w:hAnsi="Arial" w:cs="Arial"/>
        </w:rPr>
        <w:t>immunodiagnostic assays</w:t>
      </w:r>
      <w:r w:rsidRPr="0094332C">
        <w:rPr>
          <w:rFonts w:ascii="Arial" w:hAnsi="Arial" w:cs="Arial"/>
        </w:rPr>
        <w:t xml:space="preserve">, and </w:t>
      </w:r>
      <w:r>
        <w:rPr>
          <w:rFonts w:ascii="Arial" w:hAnsi="Arial" w:cs="Arial"/>
        </w:rPr>
        <w:t xml:space="preserve">AI-algorithm </w:t>
      </w:r>
      <w:r w:rsidRPr="0094332C">
        <w:rPr>
          <w:rFonts w:ascii="Arial" w:hAnsi="Arial" w:cs="Arial"/>
        </w:rPr>
        <w:t xml:space="preserve">have significantly enhanced the early detection and management of fungal infections. Understanding the complex host-fungal interactions and leveraging recent diagnostic innovations are essential for improving outcomes in patients at risk of fungal diseases. This review </w:t>
      </w:r>
      <w:r>
        <w:rPr>
          <w:rFonts w:ascii="Arial" w:hAnsi="Arial" w:cs="Arial"/>
        </w:rPr>
        <w:t>highlights</w:t>
      </w:r>
      <w:r w:rsidRPr="0094332C">
        <w:rPr>
          <w:rFonts w:ascii="Arial" w:hAnsi="Arial" w:cs="Arial"/>
        </w:rPr>
        <w:t xml:space="preserve"> the need for </w:t>
      </w:r>
      <w:r>
        <w:rPr>
          <w:rFonts w:ascii="Arial" w:hAnsi="Arial" w:cs="Arial"/>
        </w:rPr>
        <w:t>ongoing</w:t>
      </w:r>
      <w:r w:rsidRPr="0094332C">
        <w:rPr>
          <w:rFonts w:ascii="Arial" w:hAnsi="Arial" w:cs="Arial"/>
        </w:rPr>
        <w:t xml:space="preserve"> research to develop more effective vaccines, immunotherapies, and diagnostic tools </w:t>
      </w:r>
      <w:r>
        <w:rPr>
          <w:rFonts w:ascii="Arial" w:hAnsi="Arial" w:cs="Arial"/>
        </w:rPr>
        <w:t>in combating</w:t>
      </w:r>
      <w:r w:rsidRPr="0094332C">
        <w:rPr>
          <w:rFonts w:ascii="Arial" w:hAnsi="Arial" w:cs="Arial"/>
        </w:rPr>
        <w:t xml:space="preserve"> the </w:t>
      </w:r>
      <w:r>
        <w:rPr>
          <w:rFonts w:ascii="Arial" w:hAnsi="Arial" w:cs="Arial"/>
        </w:rPr>
        <w:t>increasing</w:t>
      </w:r>
      <w:r w:rsidRPr="0094332C">
        <w:rPr>
          <w:rFonts w:ascii="Arial" w:hAnsi="Arial" w:cs="Arial"/>
        </w:rPr>
        <w:t xml:space="preserve"> burden of fungal infections.</w:t>
      </w:r>
    </w:p>
    <w:p w14:paraId="4A053B87" w14:textId="77777777" w:rsidR="00CA0438" w:rsidRPr="0094332C" w:rsidRDefault="00CA0438" w:rsidP="00F87C93">
      <w:pPr>
        <w:spacing w:line="480" w:lineRule="auto"/>
        <w:jc w:val="both"/>
        <w:rPr>
          <w:rFonts w:ascii="Arial" w:hAnsi="Arial" w:cs="Arial"/>
        </w:rPr>
      </w:pPr>
      <w:r w:rsidRPr="0094332C">
        <w:rPr>
          <w:rFonts w:ascii="Arial" w:hAnsi="Arial" w:cs="Arial"/>
          <w:b/>
          <w:bCs/>
        </w:rPr>
        <w:t>Keywords</w:t>
      </w:r>
      <w:r w:rsidRPr="0094332C">
        <w:rPr>
          <w:rFonts w:ascii="Arial" w:hAnsi="Arial" w:cs="Arial"/>
        </w:rPr>
        <w:t>: Fung</w:t>
      </w:r>
      <w:r>
        <w:rPr>
          <w:rFonts w:ascii="Arial" w:hAnsi="Arial" w:cs="Arial"/>
        </w:rPr>
        <w:t>i</w:t>
      </w:r>
      <w:r w:rsidRPr="0094332C">
        <w:rPr>
          <w:rFonts w:ascii="Arial" w:hAnsi="Arial" w:cs="Arial"/>
        </w:rPr>
        <w:t>, Immun</w:t>
      </w:r>
      <w:r>
        <w:rPr>
          <w:rFonts w:ascii="Arial" w:hAnsi="Arial" w:cs="Arial"/>
        </w:rPr>
        <w:t>ity</w:t>
      </w:r>
      <w:r w:rsidRPr="0094332C">
        <w:rPr>
          <w:rFonts w:ascii="Arial" w:hAnsi="Arial" w:cs="Arial"/>
        </w:rPr>
        <w:t xml:space="preserve">, Innate immunity, Adaptive immunity, </w:t>
      </w:r>
      <w:r>
        <w:rPr>
          <w:rFonts w:ascii="Arial" w:hAnsi="Arial" w:cs="Arial"/>
        </w:rPr>
        <w:t>Immunotherapy</w:t>
      </w:r>
      <w:r w:rsidRPr="0094332C">
        <w:rPr>
          <w:rFonts w:ascii="Arial" w:hAnsi="Arial" w:cs="Arial"/>
        </w:rPr>
        <w:t xml:space="preserve">. </w:t>
      </w:r>
    </w:p>
    <w:p w14:paraId="5CD2BDEC" w14:textId="77777777" w:rsidR="00CA0438" w:rsidRPr="0094332C" w:rsidRDefault="00CA0438" w:rsidP="00F87C93">
      <w:pPr>
        <w:spacing w:line="480" w:lineRule="auto"/>
        <w:jc w:val="both"/>
        <w:rPr>
          <w:rFonts w:ascii="Arial" w:hAnsi="Arial" w:cs="Arial"/>
          <w:b/>
          <w:bCs/>
        </w:rPr>
      </w:pPr>
    </w:p>
    <w:p w14:paraId="1BCCE8E5" w14:textId="77777777" w:rsidR="00CA0438" w:rsidRPr="0094332C" w:rsidRDefault="00CA0438" w:rsidP="00F87C93">
      <w:pPr>
        <w:spacing w:line="480" w:lineRule="auto"/>
        <w:jc w:val="both"/>
        <w:rPr>
          <w:rFonts w:ascii="Arial" w:hAnsi="Arial" w:cs="Arial"/>
        </w:rPr>
      </w:pPr>
      <w:r w:rsidRPr="0094332C">
        <w:rPr>
          <w:rFonts w:ascii="Arial" w:hAnsi="Arial" w:cs="Arial"/>
          <w:b/>
          <w:bCs/>
        </w:rPr>
        <w:t>Introduction</w:t>
      </w:r>
      <w:r w:rsidRPr="0094332C">
        <w:rPr>
          <w:rFonts w:ascii="Arial" w:hAnsi="Arial" w:cs="Arial"/>
        </w:rPr>
        <w:t xml:space="preserve"> </w:t>
      </w:r>
    </w:p>
    <w:p w14:paraId="28B25128" w14:textId="69B6479E" w:rsidR="00CA0438" w:rsidRPr="0094332C" w:rsidRDefault="00CA0438" w:rsidP="00D33968">
      <w:pPr>
        <w:pStyle w:val="NormalWeb"/>
        <w:spacing w:before="0" w:beforeAutospacing="0" w:after="0" w:afterAutospacing="0" w:line="480" w:lineRule="auto"/>
        <w:jc w:val="both"/>
        <w:rPr>
          <w:rFonts w:ascii="Arial" w:hAnsi="Arial" w:cs="Arial"/>
        </w:rPr>
      </w:pPr>
      <w:r w:rsidRPr="00310D37">
        <w:rPr>
          <w:rFonts w:ascii="Arial" w:hAnsi="Arial" w:cs="Arial"/>
        </w:rPr>
        <w:t>Fungal infections are responsible for over 1.7 million deaths per year globally, roughly 200,000 more deaths than the bacterial disease tuberculosis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{"citationID":"XG4KyvKP","properties":{"formattedCitation":"(Kainz et al., 2020)","plainCitation":"(Kainz et al., 2020)","noteIndex":0},"citationItems":[{"id":8607,"uris":["http://zotero.org/users/2543086/items/WCFHU2V7"],"itemData":{"id":8607,"type":"article-journal","abstract":"Fungal infections in humans: the silent crisis – Humankind has been plagued by infectious diseases throughout history, and the ongoing COVID-19 (Coronavirus disease 2019) pandemic is a daunting reminder that this susceptibility persists in our modern society. After all, communicable diseases remain one of the leading causes of death worldwide [1]. Unfortunately, some of these “microbial threats” have been underestimated and neglected by (...)","container-title":"Microbial Cell","DOI":"10.15698/mic2020.06.718","ISSN":"2311-2638","issue":"6","language":"en","license":"Kainz et al. All Rights Reserved.","note":"publisher: Shared Science Publishers","page":"143-145","source":"microbialcell.com","title":"Fungal infections in humans: the silent crisis","title-short":"Fungal infections in humans","volume":"7","author":[{"family":"Kainz","given":"Katharina"},{"family":"Bauer","given":"Maria A."},{"family":"Madeo","given":"Frank"},{"family":"Carmona-Gutierrez","given":"Didac"}],"issued":{"date-parts":[["2020",1,6]]}}}],"schema":"https://github.com/citation-style-language/schema/raw/master/csl-citation.json"} </w:instrText>
      </w:r>
      <w:r>
        <w:rPr>
          <w:rFonts w:ascii="Arial" w:hAnsi="Arial" w:cs="Arial"/>
        </w:rPr>
        <w:fldChar w:fldCharType="separate"/>
      </w:r>
      <w:r>
        <w:rPr>
          <w:rFonts w:ascii="Arial" w:hAnsi="Arial" w:cs="Arial"/>
          <w:noProof/>
        </w:rPr>
        <w:t>(Kainz et al., 2020)</w:t>
      </w:r>
      <w:r>
        <w:rPr>
          <w:rFonts w:ascii="Arial" w:hAnsi="Arial" w:cs="Arial"/>
        </w:rPr>
        <w:fldChar w:fldCharType="end"/>
      </w:r>
      <w:r>
        <w:rPr>
          <w:rFonts w:ascii="Arial" w:hAnsi="Arial" w:cs="Arial"/>
        </w:rPr>
        <w:t xml:space="preserve">. </w:t>
      </w:r>
      <w:r w:rsidRPr="0094332C">
        <w:rPr>
          <w:rFonts w:ascii="Arial" w:hAnsi="Arial" w:cs="Arial"/>
        </w:rPr>
        <w:t>Fungi are ubiquitous organisms in diverse environmental niches</w:t>
      </w:r>
      <w:r>
        <w:rPr>
          <w:rFonts w:ascii="Arial" w:hAnsi="Arial" w:cs="Arial"/>
        </w:rPr>
        <w:t>,</w:t>
      </w:r>
      <w:r w:rsidRPr="0094332C">
        <w:rPr>
          <w:rFonts w:ascii="Arial" w:hAnsi="Arial" w:cs="Arial"/>
        </w:rPr>
        <w:t xml:space="preserve"> including soil, air, plants, and water. Although the vast majority of fungal species are non-pathogenic to humans, a small proportion </w:t>
      </w:r>
      <w:r>
        <w:rPr>
          <w:rFonts w:ascii="Arial" w:hAnsi="Arial" w:cs="Arial"/>
        </w:rPr>
        <w:t>have</w:t>
      </w:r>
      <w:r w:rsidRPr="0094332C">
        <w:rPr>
          <w:rFonts w:ascii="Arial" w:hAnsi="Arial" w:cs="Arial"/>
        </w:rPr>
        <w:t xml:space="preserve"> evolved mechanisms that enable them to invade and cause disease in susceptible hosts. These diseases, collectively known as mycos</w:t>
      </w:r>
      <w:r>
        <w:rPr>
          <w:rFonts w:ascii="Arial" w:hAnsi="Arial" w:cs="Arial"/>
        </w:rPr>
        <w:t>i</w:t>
      </w:r>
      <w:r w:rsidRPr="0094332C">
        <w:rPr>
          <w:rFonts w:ascii="Arial" w:hAnsi="Arial" w:cs="Arial"/>
        </w:rPr>
        <w:t>s, range from mild superficial infections to severe invasive and systemic illnesses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{"citationID":"0FWac1sp","properties":{"formattedCitation":"(Seagle et al., 2021)","plainCitation":"(Seagle et al., 2021)","noteIndex":0},"citationItems":[{"id":8589,"uris":["http://zotero.org/users/2543086/items/CNS3SHDG"],"itemData":{"id":8589,"type":"article-journal","container-title":"Infectious disease clinics of North America","DOI":"10.1016/j.idc.2021.03.001","ISSN":"0891-5520","issue":"2","journalAbbreviation":"Infect Dis Clin North Am","note":"PMID: 34016277\nPMCID: PMC10989278","page":"237-260","source":"PubMed Central","title":"Recent Trends in the Epidemiology of Fungal Infections","volume":"35","author":[{"family":"Seagle","given":"Emma E."},{"family":"Williams","given":"Samantha L."},{"family":"Chiller","given":"Tom M."}],"issued":{"date-parts":[["2021",6]]}}}],"schema":"https://github.com/citation-style-language/schema/raw/master/csl-citation.json"} </w:instrText>
      </w:r>
      <w:r>
        <w:rPr>
          <w:rFonts w:ascii="Arial" w:hAnsi="Arial" w:cs="Arial"/>
        </w:rPr>
        <w:fldChar w:fldCharType="separate"/>
      </w:r>
      <w:r>
        <w:rPr>
          <w:rFonts w:ascii="Arial" w:hAnsi="Arial" w:cs="Arial"/>
          <w:noProof/>
        </w:rPr>
        <w:t>(Seagle et al., 2021)</w:t>
      </w:r>
      <w:r>
        <w:rPr>
          <w:rFonts w:ascii="Arial" w:hAnsi="Arial" w:cs="Arial"/>
        </w:rPr>
        <w:fldChar w:fldCharType="end"/>
      </w:r>
      <w:r w:rsidRPr="0094332C">
        <w:rPr>
          <w:rFonts w:ascii="Arial" w:hAnsi="Arial" w:cs="Arial"/>
        </w:rPr>
        <w:t xml:space="preserve">. Over the past several decades, there has been a </w:t>
      </w:r>
      <w:r>
        <w:rPr>
          <w:rFonts w:ascii="Arial" w:hAnsi="Arial" w:cs="Arial"/>
        </w:rPr>
        <w:t>significant increase</w:t>
      </w:r>
      <w:r w:rsidRPr="0094332C">
        <w:rPr>
          <w:rFonts w:ascii="Arial" w:hAnsi="Arial" w:cs="Arial"/>
        </w:rPr>
        <w:t xml:space="preserve"> in the incidence of fungal infections worldwide, </w:t>
      </w:r>
      <w:r>
        <w:rPr>
          <w:rFonts w:ascii="Arial" w:hAnsi="Arial" w:cs="Arial"/>
        </w:rPr>
        <w:t>primarily driven</w:t>
      </w:r>
      <w:r w:rsidRPr="0094332C">
        <w:rPr>
          <w:rFonts w:ascii="Arial" w:hAnsi="Arial" w:cs="Arial"/>
        </w:rPr>
        <w:t xml:space="preserve"> by the growing population of immunocompromised individuals.</w:t>
      </w:r>
      <w:r>
        <w:rPr>
          <w:rFonts w:ascii="Arial" w:hAnsi="Arial" w:cs="Arial"/>
        </w:rPr>
        <w:t xml:space="preserve"> </w:t>
      </w:r>
      <w:r w:rsidRPr="0094332C">
        <w:rPr>
          <w:rFonts w:ascii="Arial" w:hAnsi="Arial" w:cs="Arial"/>
        </w:rPr>
        <w:t>Patients with compromised immune systems</w:t>
      </w:r>
      <w:r>
        <w:rPr>
          <w:rFonts w:ascii="Arial" w:hAnsi="Arial" w:cs="Arial"/>
        </w:rPr>
        <w:t xml:space="preserve">, </w:t>
      </w:r>
      <w:r w:rsidRPr="0094332C">
        <w:rPr>
          <w:rFonts w:ascii="Arial" w:hAnsi="Arial" w:cs="Arial"/>
        </w:rPr>
        <w:t>whether due to HIV/AIDS, malignancies, organ or hematopoietic stem cell transplantation, immunosuppressive therapies, or autoimmune diseases</w:t>
      </w:r>
      <w:r>
        <w:rPr>
          <w:rFonts w:ascii="Arial" w:hAnsi="Arial" w:cs="Arial"/>
        </w:rPr>
        <w:t xml:space="preserve">, </w:t>
      </w:r>
      <w:r w:rsidRPr="0094332C">
        <w:rPr>
          <w:rFonts w:ascii="Arial" w:hAnsi="Arial" w:cs="Arial"/>
        </w:rPr>
        <w:t>are particularly vulnerable to fungal pathogens</w:t>
      </w:r>
      <w:r>
        <w:rPr>
          <w:rFonts w:ascii="Arial" w:hAnsi="Arial" w:cs="Arial"/>
        </w:rPr>
        <w:t xml:space="preserve"> </w:t>
      </w:r>
      <w:r>
        <w:rPr>
          <w:rFonts w:ascii="Arial" w:hAnsi="Arial" w:cs="Arial"/>
        </w:rPr>
        <w:fldChar w:fldCharType="begin"/>
      </w:r>
      <w:r w:rsidR="00541717">
        <w:rPr>
          <w:rFonts w:ascii="Arial" w:hAnsi="Arial" w:cs="Arial"/>
        </w:rPr>
        <w:instrText xml:space="preserve"> ADDIN ZOTERO_ITEM CSL_CITATION {"citationID":"PrQSQeyA","properties":{"formattedCitation":"(D. Li et al., 2025)","plainCitation":"(D. Li et al., 2025)","noteIndex":0},"citationItems":[{"id":8591,"uris":["http://zotero.org/users/2543086/items/AG53ZE3M"],"itemData":{"id":8591,"type":"article-journal","abstract":"BackgroundFungal skin diseases represent pervasive global health concerns, predominantly arising from dermatophytes, yeasts, and molds.ObjectiveThis study aimed to estimate the disease burden associated with fungal skin diseases in 2021. Additionally, it sought to analyze trends from 1990 to 2021 and forecast future patterns.MethodsThis observational study first utilized data from the Global Burden of Disease (GBD) database covering the years 1990 to 2021. We specifically used data from GBD 2021 to evaluate the global incidence, prevalence, and disability-adjusted life years (DALYs), disaggregated by age, gender, socio-demographic index (SDI), and GBD regions. Linear regression models were then employed to identify temporal trends, estimating the annual percentage change. Cluster analysis examined disparities across 45 GBD regions. To forecast future disease burden, we applied the age-period-cohort model and the autoregressive integrated moving average model.ConclusionIn 2021, there were approximately 1.73 billion global cases of fungal skin diseases. Males had higher age-standardized rates for incidence, prevalence, and DALYs compared to females. Age-specific analyses showed that although younger groups experienced the highest incidence rates, ASRs increased with age, especially among older populations. Regionally, low and middle SDI areas faced the greatest burden, with Asia having the highest incidence and Oceania the lowest. Projections suggest significant increases in incidence, prevalence, and DALYs, notably in middle- and low-income regions. These results highlight meaningful spatiotemporal disparities in fungal skin diseases and emphasize the need for strategic allocation of resources to mitigate these challenges and reduce the growing burden across various global populations.","container-title":"Frontiers in Public Health","DOI":"10.3389/fpubh.2025.1580221","ISSN":"2296-2565","journalAbbreviation":"Front. Public Health","language":"English","note":"publisher: Frontiers","source":"Frontiers","title":"Worldwide trends and future projections of fungal skin disease burden: a comprehensive analysis from the Global Burden of Diseases study 2021","title-short":"Worldwide trends and future projections of fungal skin disease burden","URL":"https://www.frontiersin.org/journals/public-health/articles/10.3389/fpubh.2025.1580221/full","volume":"13","author":[{"family":"Li","given":"Deng"},{"family":"Fan","given":"Siqi"},{"family":"Zhao","given":"Haochen"},{"family":"Song","given":"Jiayi"},{"family":"Guo","given":"Linfen"},{"family":"Li","given":"Wei"},{"family":"Xu","given":"Xuewen"},{"family":"Li","given":"Qingfeng"}],"accessed":{"date-parts":[["2025",10,8]]},"issued":{"date-parts":[["2025",6,4]]}}}],"schema":"https://github.com/citation-style-language/schema/raw/master/csl-citation.json"} </w:instrText>
      </w:r>
      <w:r>
        <w:rPr>
          <w:rFonts w:ascii="Arial" w:hAnsi="Arial" w:cs="Arial"/>
        </w:rPr>
        <w:fldChar w:fldCharType="separate"/>
      </w:r>
      <w:r w:rsidR="00541717">
        <w:rPr>
          <w:rFonts w:ascii="Arial" w:hAnsi="Arial" w:cs="Arial"/>
          <w:noProof/>
        </w:rPr>
        <w:t>(Li et al., 2025)</w:t>
      </w:r>
      <w:r>
        <w:rPr>
          <w:rFonts w:ascii="Arial" w:hAnsi="Arial" w:cs="Arial"/>
        </w:rPr>
        <w:fldChar w:fldCharType="end"/>
      </w:r>
      <w:r w:rsidRPr="0094332C">
        <w:rPr>
          <w:rFonts w:ascii="Arial" w:hAnsi="Arial" w:cs="Arial"/>
        </w:rPr>
        <w:t>. The increased use of broad-spectrum antibiotics, corticosteroids, cytotoxic chemotherapy, and biologic immunomodulators has further exacerbated this susceptibility by disrupting normal microbial flora and impairing host immune responses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{"citationID":"C1fEsaig","properties":{"formattedCitation":"(Airola et al., 2024)","plainCitation":"(Airola et al., 2024)","noteIndex":0},"citationItems":[{"id":8593,"uris":["http://zotero.org/users/2543086/items/TXRK4GG6"],"itemData":{"id":8593,"type":"article-journal","abstract":"Antibiotics, widely used medications that have significantly increased life expectancy, possess a broad range of effects beyond their primary antibacterial activity. While some are recognized as adverse events, others have demonstrated unexpected benefits. These adjunctive effects, which have been defined as “pleiotropic” in the case of other pharmacological classes, include immunomodulatory properties and the modulation of the microbiota. Specifically, macrolides, tetracyclines, and fluoroquinolones have been shown to modulate the immune system in both acute and chronic conditions, including autoimmune disorders (e.g., rheumatoid arthritis, spondyloarthritis) and chronic inflammatory pulmonary diseases (e.g., asthma, chronic obstructive pulmonary disease). Azithromycin, in particular, is recommended for the long-term treatment of chronic inflammatory pulmonary diseases due to its well-established immunomodulatory effects. Furthermore, antibiotics influence the human microbiota. Rifaximin, for example, exerts a eubiotic effect that enhances the balance between the gut microbiota and the host immune cells and epithelial cells. These pleiotropic effects offer new therapeutic opportunities by interacting with human cells, signaling molecules, and bacteria involved in non-infectious diseases like spondyloarthritis and inflammatory bowel diseases. The aim of this review is to explore the pleiotropic potential of antibiotics, from molecular and cellular evidence to their clinical application, in order to optimize their use. Understanding these effects is essential to ensure careful use, particularly in consideration of the threat of antimicrobial resistance.","container-title":"Antibiotics","DOI":"10.3390/antibiotics13121176","ISSN":"2079-6382","issue":"12","language":"en","license":"http://creativecommons.org/licenses/by/3.0/","note":"publisher: Multidisciplinary Digital Publishing Institute","page":"1176","source":"www.mdpi.com","title":"“Pleiotropic” Effects of Antibiotics: New Modulators in Human Diseases","title-short":"“Pleiotropic” Effects of Antibiotics","volume":"13","author":[{"family":"Airola","given":"Carlo"},{"family":"Severino","given":"Andrea"},{"family":"Spinelli","given":"Irene"},{"family":"Gasbarrini","given":"Antonio"},{"family":"Cammarota","given":"Giovanni"},{"family":"Ianiro","given":"Gianluca"},{"family":"Ponziani","given":"Francesca Romana"}],"issued":{"date-parts":[["2024",12]]}}}],"schema":"https://github.com/citation-style-language/schema/raw/master/csl-citation.json"} </w:instrText>
      </w:r>
      <w:r>
        <w:rPr>
          <w:rFonts w:ascii="Arial" w:hAnsi="Arial" w:cs="Arial"/>
        </w:rPr>
        <w:fldChar w:fldCharType="separate"/>
      </w:r>
      <w:r>
        <w:rPr>
          <w:rFonts w:ascii="Arial" w:hAnsi="Arial" w:cs="Arial"/>
          <w:noProof/>
        </w:rPr>
        <w:t>(Airola et al., 2024)</w:t>
      </w:r>
      <w:r>
        <w:rPr>
          <w:rFonts w:ascii="Arial" w:hAnsi="Arial" w:cs="Arial"/>
        </w:rPr>
        <w:fldChar w:fldCharType="end"/>
      </w:r>
      <w:r w:rsidRPr="0094332C">
        <w:rPr>
          <w:rFonts w:ascii="Arial" w:hAnsi="Arial" w:cs="Arial"/>
        </w:rPr>
        <w:t xml:space="preserve">. </w:t>
      </w:r>
      <w:r w:rsidRPr="00096B67">
        <w:rPr>
          <w:rFonts w:ascii="Arial" w:hAnsi="Arial" w:cs="Arial"/>
          <w:spacing w:val="1"/>
        </w:rPr>
        <w:t xml:space="preserve">Despite </w:t>
      </w:r>
      <w:r>
        <w:rPr>
          <w:rFonts w:ascii="Arial" w:hAnsi="Arial" w:cs="Arial"/>
          <w:spacing w:val="1"/>
        </w:rPr>
        <w:t>the progress</w:t>
      </w:r>
      <w:r w:rsidRPr="00096B67">
        <w:rPr>
          <w:rFonts w:ascii="Arial" w:hAnsi="Arial" w:cs="Arial"/>
          <w:spacing w:val="1"/>
        </w:rPr>
        <w:t xml:space="preserve"> in antifungal treatments, </w:t>
      </w:r>
      <w:r>
        <w:rPr>
          <w:rFonts w:ascii="Arial" w:hAnsi="Arial" w:cs="Arial"/>
          <w:spacing w:val="1"/>
        </w:rPr>
        <w:t>invasive fungal infections</w:t>
      </w:r>
      <w:r w:rsidRPr="00096B67">
        <w:rPr>
          <w:rFonts w:ascii="Arial" w:hAnsi="Arial" w:cs="Arial"/>
          <w:spacing w:val="1"/>
        </w:rPr>
        <w:t xml:space="preserve"> </w:t>
      </w:r>
      <w:r>
        <w:rPr>
          <w:rFonts w:ascii="Arial" w:hAnsi="Arial" w:cs="Arial"/>
          <w:spacing w:val="1"/>
        </w:rPr>
        <w:t>remain</w:t>
      </w:r>
      <w:r w:rsidRPr="00096B67">
        <w:rPr>
          <w:rFonts w:ascii="Arial" w:hAnsi="Arial" w:cs="Arial"/>
          <w:spacing w:val="1"/>
        </w:rPr>
        <w:t xml:space="preserve"> </w:t>
      </w:r>
      <w:r>
        <w:rPr>
          <w:rFonts w:ascii="Arial" w:hAnsi="Arial" w:cs="Arial"/>
          <w:spacing w:val="1"/>
        </w:rPr>
        <w:t xml:space="preserve">a cause of </w:t>
      </w:r>
      <w:r w:rsidRPr="00096B67">
        <w:rPr>
          <w:rFonts w:ascii="Arial" w:hAnsi="Arial" w:cs="Arial"/>
          <w:spacing w:val="1"/>
        </w:rPr>
        <w:t xml:space="preserve">high morbidity and mortality due to </w:t>
      </w:r>
      <w:r>
        <w:rPr>
          <w:rFonts w:ascii="Arial" w:hAnsi="Arial" w:cs="Arial"/>
          <w:spacing w:val="1"/>
        </w:rPr>
        <w:t xml:space="preserve">the lack of accurate and rapid </w:t>
      </w:r>
      <w:r w:rsidRPr="00096B67">
        <w:rPr>
          <w:rFonts w:ascii="Arial" w:hAnsi="Arial" w:cs="Arial"/>
          <w:spacing w:val="1"/>
        </w:rPr>
        <w:t xml:space="preserve">diagnosis. The </w:t>
      </w:r>
      <w:r>
        <w:rPr>
          <w:rFonts w:ascii="Arial" w:hAnsi="Arial" w:cs="Arial"/>
          <w:spacing w:val="1"/>
        </w:rPr>
        <w:t>non-specific</w:t>
      </w:r>
      <w:r w:rsidRPr="00096B67">
        <w:rPr>
          <w:rFonts w:ascii="Arial" w:hAnsi="Arial" w:cs="Arial"/>
          <w:spacing w:val="1"/>
        </w:rPr>
        <w:t xml:space="preserve"> symptoms </w:t>
      </w:r>
      <w:r>
        <w:rPr>
          <w:rFonts w:ascii="Arial" w:hAnsi="Arial" w:cs="Arial"/>
          <w:spacing w:val="1"/>
        </w:rPr>
        <w:t>of</w:t>
      </w:r>
      <w:r w:rsidRPr="00096B67">
        <w:rPr>
          <w:rFonts w:ascii="Arial" w:hAnsi="Arial" w:cs="Arial"/>
          <w:spacing w:val="1"/>
        </w:rPr>
        <w:t xml:space="preserve"> fungal </w:t>
      </w:r>
      <w:r>
        <w:rPr>
          <w:rFonts w:ascii="Arial" w:hAnsi="Arial" w:cs="Arial"/>
          <w:spacing w:val="1"/>
        </w:rPr>
        <w:t>infections</w:t>
      </w:r>
      <w:r w:rsidRPr="00096B67">
        <w:rPr>
          <w:rFonts w:ascii="Arial" w:hAnsi="Arial" w:cs="Arial"/>
          <w:spacing w:val="1"/>
        </w:rPr>
        <w:t xml:space="preserve"> </w:t>
      </w:r>
      <w:r>
        <w:rPr>
          <w:rFonts w:ascii="Arial" w:hAnsi="Arial" w:cs="Arial"/>
          <w:spacing w:val="1"/>
        </w:rPr>
        <w:t xml:space="preserve">mimic </w:t>
      </w:r>
      <w:r w:rsidRPr="00096B67">
        <w:rPr>
          <w:rFonts w:ascii="Arial" w:hAnsi="Arial" w:cs="Arial"/>
          <w:spacing w:val="1"/>
        </w:rPr>
        <w:t xml:space="preserve">those of </w:t>
      </w:r>
      <w:r>
        <w:rPr>
          <w:rFonts w:ascii="Arial" w:hAnsi="Arial" w:cs="Arial"/>
          <w:spacing w:val="1"/>
        </w:rPr>
        <w:t xml:space="preserve">other microbial infections, such as </w:t>
      </w:r>
      <w:r w:rsidRPr="00096B67">
        <w:rPr>
          <w:rFonts w:ascii="Arial" w:hAnsi="Arial" w:cs="Arial"/>
          <w:spacing w:val="1"/>
        </w:rPr>
        <w:t>bacterial or viral infections</w:t>
      </w:r>
      <w:r>
        <w:rPr>
          <w:rFonts w:ascii="Arial" w:hAnsi="Arial" w:cs="Arial"/>
          <w:spacing w:val="1"/>
        </w:rPr>
        <w:t xml:space="preserve"> make</w:t>
      </w:r>
      <w:r w:rsidRPr="00096B67">
        <w:rPr>
          <w:rFonts w:ascii="Arial" w:hAnsi="Arial" w:cs="Arial"/>
          <w:spacing w:val="1"/>
        </w:rPr>
        <w:t xml:space="preserve"> </w:t>
      </w:r>
      <w:r>
        <w:rPr>
          <w:rFonts w:ascii="Arial" w:hAnsi="Arial" w:cs="Arial"/>
          <w:spacing w:val="1"/>
        </w:rPr>
        <w:t>this infection seriously challenges</w:t>
      </w:r>
      <w:r w:rsidRPr="00096B67">
        <w:rPr>
          <w:rFonts w:ascii="Arial" w:hAnsi="Arial" w:cs="Arial"/>
          <w:spacing w:val="1"/>
        </w:rPr>
        <w:t xml:space="preserve"> </w:t>
      </w:r>
      <w:r>
        <w:rPr>
          <w:rFonts w:ascii="Arial" w:hAnsi="Arial" w:cs="Arial"/>
        </w:rPr>
        <w:fldChar w:fldCharType="begin"/>
      </w:r>
      <w:r>
        <w:rPr>
          <w:rFonts w:ascii="Arial" w:hAnsi="Arial" w:cs="Arial"/>
        </w:rPr>
        <w:instrText xml:space="preserve"> ADDIN ZOTERO_ITEM CSL_CITATION {"citationID":"IW3oh0Sr","properties":{"formattedCitation":"(M. Y. Al-Maqtoofi &amp; Al-Rifaie, 2019)","plainCitation":"(M. Y. Al-Maqtoofi &amp; Al-Rifaie, 2019)","dontUpdate":true,"noteIndex":0},"citationItems":[{"id":7106,"uris":["http://zotero.org/users/2543086/items/EJWDYRBV"],"itemData":{"id":7106,"type":"article-journal","container-title":"Ecology, Environment and Conservation Paper","issue":"3","page":"1084-1087","title":"An Overview of Fusariosis and Diagnosis Problems","volume":"25","author":[{"family":"Al-Maqtoofi","given":"Marwan Y."},{"family":"Al-Rifaie","given":"Alaa A."}],"issued":{"date-parts":[["2019"]]}}}],"schema":"https://github.com/citation-style-language/schema/raw/master/csl-citation.json"} </w:instrText>
      </w:r>
      <w:r>
        <w:rPr>
          <w:rFonts w:ascii="Arial" w:hAnsi="Arial" w:cs="Arial"/>
        </w:rPr>
        <w:fldChar w:fldCharType="separate"/>
      </w:r>
      <w:r>
        <w:rPr>
          <w:rFonts w:ascii="Arial" w:hAnsi="Arial" w:cs="Arial"/>
          <w:noProof/>
        </w:rPr>
        <w:t>(Al-Maqtoofi &amp; Al-Rifaie, 2019)</w:t>
      </w:r>
      <w:r>
        <w:rPr>
          <w:rFonts w:ascii="Arial" w:hAnsi="Arial" w:cs="Arial"/>
        </w:rPr>
        <w:fldChar w:fldCharType="end"/>
      </w:r>
      <w:r w:rsidRPr="0094332C">
        <w:rPr>
          <w:rFonts w:ascii="Arial" w:hAnsi="Arial" w:cs="Arial"/>
        </w:rPr>
        <w:t xml:space="preserve">. </w:t>
      </w:r>
      <w:r>
        <w:rPr>
          <w:rFonts w:ascii="Arial" w:hAnsi="Arial" w:cs="Arial"/>
        </w:rPr>
        <w:t>In addition to</w:t>
      </w:r>
      <w:r w:rsidRPr="0094332C">
        <w:rPr>
          <w:rFonts w:ascii="Arial" w:hAnsi="Arial" w:cs="Arial"/>
        </w:rPr>
        <w:t xml:space="preserve"> </w:t>
      </w:r>
      <w:r>
        <w:rPr>
          <w:rFonts w:ascii="Arial" w:hAnsi="Arial" w:cs="Arial"/>
        </w:rPr>
        <w:t xml:space="preserve">the </w:t>
      </w:r>
      <w:r w:rsidRPr="0094332C">
        <w:rPr>
          <w:rFonts w:ascii="Arial" w:hAnsi="Arial" w:cs="Arial"/>
        </w:rPr>
        <w:t xml:space="preserve">time-consuming </w:t>
      </w:r>
      <w:r>
        <w:rPr>
          <w:rFonts w:ascii="Arial" w:hAnsi="Arial" w:cs="Arial"/>
        </w:rPr>
        <w:t xml:space="preserve">nature of </w:t>
      </w:r>
      <w:r w:rsidRPr="0094332C">
        <w:rPr>
          <w:rFonts w:ascii="Arial" w:hAnsi="Arial" w:cs="Arial"/>
        </w:rPr>
        <w:t>conventional diagnostic methods</w:t>
      </w:r>
      <w:r>
        <w:rPr>
          <w:rFonts w:ascii="Arial" w:hAnsi="Arial" w:cs="Arial"/>
        </w:rPr>
        <w:t>,</w:t>
      </w:r>
      <w:r w:rsidRPr="0094332C">
        <w:rPr>
          <w:rFonts w:ascii="Arial" w:hAnsi="Arial" w:cs="Arial"/>
        </w:rPr>
        <w:t xml:space="preserve"> such as culture and microscopy</w:t>
      </w:r>
      <w:r>
        <w:rPr>
          <w:rFonts w:ascii="Arial" w:hAnsi="Arial" w:cs="Arial"/>
        </w:rPr>
        <w:t>, which require experience and</w:t>
      </w:r>
      <w:r w:rsidRPr="0094332C">
        <w:rPr>
          <w:rFonts w:ascii="Arial" w:hAnsi="Arial" w:cs="Arial"/>
        </w:rPr>
        <w:t xml:space="preserve"> may lack </w:t>
      </w:r>
      <w:r>
        <w:rPr>
          <w:rFonts w:ascii="Arial" w:hAnsi="Arial" w:cs="Arial"/>
        </w:rPr>
        <w:t>accuracy</w:t>
      </w:r>
      <w:r w:rsidRPr="0094332C">
        <w:rPr>
          <w:rFonts w:ascii="Arial" w:hAnsi="Arial" w:cs="Arial"/>
        </w:rPr>
        <w:t xml:space="preserve">, </w:t>
      </w:r>
      <w:r>
        <w:rPr>
          <w:rFonts w:ascii="Arial" w:hAnsi="Arial" w:cs="Arial"/>
        </w:rPr>
        <w:t>particularly</w:t>
      </w:r>
      <w:r w:rsidRPr="0094332C">
        <w:rPr>
          <w:rFonts w:ascii="Arial" w:hAnsi="Arial" w:cs="Arial"/>
        </w:rPr>
        <w:t xml:space="preserve"> </w:t>
      </w:r>
      <w:r>
        <w:rPr>
          <w:rFonts w:ascii="Arial" w:hAnsi="Arial" w:cs="Arial"/>
        </w:rPr>
        <w:t>during</w:t>
      </w:r>
      <w:r w:rsidRPr="0094332C">
        <w:rPr>
          <w:rFonts w:ascii="Arial" w:hAnsi="Arial" w:cs="Arial"/>
        </w:rPr>
        <w:t xml:space="preserve"> early disease stages</w:t>
      </w:r>
      <w:r>
        <w:rPr>
          <w:rFonts w:ascii="Arial" w:hAnsi="Arial" w:cs="Arial"/>
        </w:rPr>
        <w:t xml:space="preserve"> of infections </w:t>
      </w:r>
      <w:r>
        <w:rPr>
          <w:rFonts w:ascii="Arial" w:hAnsi="Arial" w:cs="Arial"/>
        </w:rPr>
        <w:fldChar w:fldCharType="begin"/>
      </w:r>
      <w:r>
        <w:rPr>
          <w:rFonts w:ascii="Arial" w:hAnsi="Arial" w:cs="Arial"/>
        </w:rPr>
        <w:instrText xml:space="preserve"> ADDIN ZOTERO_ITEM CSL_CITATION {"citationID":"lVFoILkU","properties":{"formattedCitation":"(M. Al-Maqtoofi &amp; Thornton, 2016)","plainCitation":"(M. Al-Maqtoofi &amp; Thornton, 2016)","dontUpdate":true,"noteIndex":0},"citationItems":[{"id":5857,"uris":["http://zotero.org/users/2543086/items/6I3SRFS5"],"itemData":{"id":5857,"type":"article-journal","abstract":"The fungus Fusarium is well known as a plant pathogen, but has recently emerged as an opportunistic pathogen of humans. Habitats providing direct human exposure to infectious propagules are largely unknown, but there is growing evidence that plumbing systems are sources of human pathogenic strains in the Fusarium solani species complex (FSSC) and Fusarium oxysporum species complex (FOSC), the most common groups infecting humans. Here, a newly developed Fusarium-specific monoclonal antibody (mAb ED7) was used to track FSSC and FOSC strains in sink drain biofilms by detecting its target antigen, an extracellular 200 kDa carbohydrate, in saline swabs. The antigen was detectable in 52% of swab samples collected from sinks across a University campus and a tertiary care hospital. The mAb was 100% accurate in detecting FSSC, FOSC, and F. dimerum species complex (FDSC) strains that were present, as mixed fungal communities, in 83% of sink drain biofilms. Specificity of the ELISA was confirmed by sequencing of the internally transcribed spacer 1 (ITS1)-5.8S-ITS2 rRNA-encoding regions of culturable yeasts and molds that were recovered using mycological culture, while translation elongation factor (TEF)-1α analysis of Fusarium isolates included FSSC 1-a, FOSC 33, and FDSC ET-gr, the most common clinical pathotypes in each group.","container-title":"Environmental Microbiology","DOI":"10.1111/1462-2920.13233","ISSN":"1462-2920","issue":"11","language":"en","license":"© 2016 Society for Applied Microbiology and John Wiley &amp; Sons Ltd","note":"_eprint: https://onlinelibrary.wiley.com/doi/pdf/10.1111/1462-2920.13233","page":"3620-3634","source":"Wiley Online Library","title":"Detection of human pathogenic Fusarium species in hospital and communal sink biofilms by using a highly specific monoclonal antibody","volume":"18","author":[{"family":"Al-Maqtoofi","given":"Marwan"},{"family":"Thornton","given":"Christopher R."}],"issued":{"date-parts":[["2016"]]}}}],"schema":"https://github.com/citation-style-language/schema/raw/master/csl-citation.json"} </w:instrText>
      </w:r>
      <w:r>
        <w:rPr>
          <w:rFonts w:ascii="Arial" w:hAnsi="Arial" w:cs="Arial"/>
        </w:rPr>
        <w:fldChar w:fldCharType="separate"/>
      </w:r>
      <w:r>
        <w:rPr>
          <w:rFonts w:ascii="Arial" w:hAnsi="Arial" w:cs="Arial"/>
          <w:noProof/>
        </w:rPr>
        <w:t xml:space="preserve">(Al-Maqtoofi &amp; </w:t>
      </w:r>
      <w:r>
        <w:rPr>
          <w:rFonts w:ascii="Arial" w:hAnsi="Arial" w:cs="Arial"/>
          <w:noProof/>
        </w:rPr>
        <w:lastRenderedPageBreak/>
        <w:t>Thornton, 2016)</w:t>
      </w:r>
      <w:r>
        <w:rPr>
          <w:rFonts w:ascii="Arial" w:hAnsi="Arial" w:cs="Arial"/>
        </w:rPr>
        <w:fldChar w:fldCharType="end"/>
      </w:r>
      <w:r w:rsidRPr="0094332C">
        <w:rPr>
          <w:rFonts w:ascii="Arial" w:hAnsi="Arial" w:cs="Arial"/>
        </w:rPr>
        <w:t>.</w:t>
      </w:r>
      <w:r w:rsidR="00D33968">
        <w:rPr>
          <w:rFonts w:ascii="Arial" w:hAnsi="Arial" w:cs="Arial"/>
        </w:rPr>
        <w:t xml:space="preserve"> </w:t>
      </w:r>
      <w:r w:rsidRPr="0078412D">
        <w:rPr>
          <w:rFonts w:ascii="Arial" w:hAnsi="Arial" w:cs="Arial"/>
        </w:rPr>
        <w:t xml:space="preserve">Diseases such as </w:t>
      </w:r>
      <w:r>
        <w:rPr>
          <w:rFonts w:ascii="Arial" w:hAnsi="Arial" w:cs="Arial"/>
        </w:rPr>
        <w:t>disseminated</w:t>
      </w:r>
      <w:r w:rsidRPr="0078412D">
        <w:rPr>
          <w:rFonts w:ascii="Arial" w:hAnsi="Arial" w:cs="Arial"/>
        </w:rPr>
        <w:t xml:space="preserve"> candidiasis, aspergillosis, cryptococcosis, and mucormycosis require a combination of </w:t>
      </w:r>
      <w:r>
        <w:rPr>
          <w:rFonts w:ascii="Arial" w:hAnsi="Arial" w:cs="Arial"/>
        </w:rPr>
        <w:t xml:space="preserve">accurate and rapid </w:t>
      </w:r>
      <w:r w:rsidRPr="0078412D">
        <w:rPr>
          <w:rFonts w:ascii="Arial" w:hAnsi="Arial" w:cs="Arial"/>
        </w:rPr>
        <w:t xml:space="preserve">laboratory </w:t>
      </w:r>
      <w:r>
        <w:rPr>
          <w:rFonts w:ascii="Arial" w:hAnsi="Arial" w:cs="Arial"/>
        </w:rPr>
        <w:t>diagnostic tests</w:t>
      </w:r>
      <w:r w:rsidRPr="0078412D">
        <w:rPr>
          <w:rFonts w:ascii="Arial" w:hAnsi="Arial" w:cs="Arial"/>
        </w:rPr>
        <w:t xml:space="preserve">. </w:t>
      </w:r>
      <w:r w:rsidR="00A929AA">
        <w:rPr>
          <w:rFonts w:ascii="Arial" w:hAnsi="Arial" w:cs="Arial"/>
        </w:rPr>
        <w:t xml:space="preserve">To control </w:t>
      </w:r>
      <w:r w:rsidR="00013BC8" w:rsidRPr="00F334F1">
        <w:rPr>
          <w:rFonts w:ascii="Arial" w:hAnsi="Arial" w:cs="Arial"/>
        </w:rPr>
        <w:t>invasive fungal infections</w:t>
      </w:r>
      <w:r w:rsidR="009C19F1">
        <w:rPr>
          <w:rFonts w:ascii="Arial" w:hAnsi="Arial" w:cs="Arial"/>
        </w:rPr>
        <w:t>,</w:t>
      </w:r>
      <w:r w:rsidR="00013BC8">
        <w:rPr>
          <w:rFonts w:ascii="Arial" w:hAnsi="Arial" w:cs="Arial"/>
        </w:rPr>
        <w:t xml:space="preserve"> </w:t>
      </w:r>
      <w:r w:rsidR="009C19F1">
        <w:rPr>
          <w:rFonts w:ascii="Arial" w:hAnsi="Arial" w:cs="Arial"/>
        </w:rPr>
        <w:t xml:space="preserve">determine </w:t>
      </w:r>
      <w:r w:rsidR="00013BC8" w:rsidRPr="00F334F1">
        <w:rPr>
          <w:rFonts w:ascii="Arial" w:hAnsi="Arial" w:cs="Arial"/>
        </w:rPr>
        <w:t>prompt treatment</w:t>
      </w:r>
      <w:r w:rsidR="00013BC8">
        <w:rPr>
          <w:rFonts w:ascii="Arial" w:hAnsi="Arial" w:cs="Arial"/>
        </w:rPr>
        <w:t xml:space="preserve">, </w:t>
      </w:r>
      <w:r w:rsidR="00013BC8" w:rsidRPr="00F334F1">
        <w:rPr>
          <w:rFonts w:ascii="Arial" w:hAnsi="Arial" w:cs="Arial"/>
        </w:rPr>
        <w:t>reduc</w:t>
      </w:r>
      <w:r w:rsidR="009C19F1">
        <w:rPr>
          <w:rFonts w:ascii="Arial" w:hAnsi="Arial" w:cs="Arial"/>
        </w:rPr>
        <w:t xml:space="preserve">e the rate of </w:t>
      </w:r>
      <w:r w:rsidR="00013BC8" w:rsidRPr="00F334F1">
        <w:rPr>
          <w:rFonts w:ascii="Arial" w:hAnsi="Arial" w:cs="Arial"/>
        </w:rPr>
        <w:t>morbidity and mortality</w:t>
      </w:r>
      <w:r w:rsidR="009C19F1">
        <w:rPr>
          <w:rFonts w:ascii="Arial" w:hAnsi="Arial" w:cs="Arial"/>
        </w:rPr>
        <w:t xml:space="preserve">, developing </w:t>
      </w:r>
      <w:r>
        <w:rPr>
          <w:rFonts w:ascii="Arial" w:hAnsi="Arial" w:cs="Arial"/>
        </w:rPr>
        <w:t>fast</w:t>
      </w:r>
      <w:r w:rsidR="009C19F1">
        <w:rPr>
          <w:rFonts w:ascii="Arial" w:hAnsi="Arial" w:cs="Arial"/>
        </w:rPr>
        <w:t xml:space="preserve"> and</w:t>
      </w:r>
      <w:r w:rsidRPr="00F334F1">
        <w:rPr>
          <w:rFonts w:ascii="Arial" w:hAnsi="Arial" w:cs="Arial"/>
        </w:rPr>
        <w:t xml:space="preserve"> sensitive diagnostic </w:t>
      </w:r>
      <w:r>
        <w:rPr>
          <w:rFonts w:ascii="Arial" w:hAnsi="Arial" w:cs="Arial"/>
        </w:rPr>
        <w:t>techniques</w:t>
      </w:r>
      <w:r w:rsidRPr="00F334F1">
        <w:rPr>
          <w:rFonts w:ascii="Arial" w:hAnsi="Arial" w:cs="Arial"/>
        </w:rPr>
        <w:t xml:space="preserve"> is </w:t>
      </w:r>
      <w:r w:rsidR="00A93759">
        <w:rPr>
          <w:rFonts w:ascii="Arial" w:hAnsi="Arial" w:cs="Arial"/>
        </w:rPr>
        <w:t>required</w:t>
      </w:r>
      <w:r w:rsidRPr="00F334F1">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{"citationID":"7dMGq8zT","properties":{"formattedCitation":"(Al-Rifaie &amp; Al-Maqtoofi, 2018)","plainCitation":"(Al-Rifaie &amp; Al-Maqtoofi, 2018)","noteIndex":0},"citationItems":[{"id":2523,"uris":["http://zotero.org/users/2543086/items/ACUJ4XAX"],"itemData":{"id":2523,"type":"article-journal","abstract":"Fungal contamination in nuts is unavoidable and is a major challenge to nuts safety, quality and then for human health after consumption particularly immunocompromised individuals. This study aimed to early detection of potential pathogenic Aspergillus in nuts to avoid the harmful effects of allergens and mycotoxins. Three different geographic locations in Basra, Iraq were screened, and a total of 28 fungal isolates were recovered from tested nuts including cashews, almonds, walnuts, pistachio and sunflower seeds. ELISA was used to identify isolated fungi based on antigenic structure via using a highly specific MAb for Aspergillus, JF5. The accuracy of ELISA was validated by ITS-rDNA sequence in comparison with NCBI database. The highest incidence of isolated fungi belongs to main four genera Aspergillus (78.57%), Alternaria (10.71%), Cladosporium (7.14%), followed by Penicillium (3.75%). The most dominant species was A. flavus, a potential aflatoxins producer, (28.57%). Abu was highly contaminated geographic site comparing with Zubayr and Qarmat. These findings raise awareness about contaminated nuts particularly there is no database available and highlighted the accuracy of using specific MAb for fungal identification and diagnosis. The occurrence of well-known toxigenic species such as A. niger, A. flavus and A. terreus suggested the possible risk of mycotoxin contamination of the nuts for human consumption.","container-title":"Biomedical Research","DOI":"10.4066/biomedicalresearch.29-18-1098","ISSN":"ISSN: 0970-938X (Print) | 0976-1683 (Electronic)","issue":"21","language":"en","source":"www.alliedacademies.org","title":"Immunodetection and risk assessment for Aspergillus contamination in nuts using a highly specific monoclonal antibody","URL":"http://www.alliedacademies.org/abstract/immunodetection-and-risk-assessment-for-aspergillus-contamination-in-nuts-using-a-highly-specific-monoclonal-antibody-11033.html","volume":"29","author":[{"family":"Al-Rifaie","given":"Alaa A."},{"family":"Al-Maqtoofi","given":"Marwan Y."}],"accessed":{"date-parts":[["2019",1,10]]},"issued":{"date-parts":[["2018"]]}}}],"schema":"https://github.com/citation-style-language/schema/raw/master/csl-citation.json"} </w:instrText>
      </w:r>
      <w:r>
        <w:rPr>
          <w:rFonts w:ascii="Arial" w:hAnsi="Arial" w:cs="Arial"/>
        </w:rPr>
        <w:fldChar w:fldCharType="separate"/>
      </w:r>
      <w:r>
        <w:rPr>
          <w:rFonts w:ascii="Arial" w:hAnsi="Arial" w:cs="Arial"/>
          <w:noProof/>
        </w:rPr>
        <w:t>(Al-Rifaie &amp; Al-Maqtoofi, 2018)</w:t>
      </w:r>
      <w:r>
        <w:rPr>
          <w:rFonts w:ascii="Arial" w:hAnsi="Arial" w:cs="Arial"/>
        </w:rPr>
        <w:fldChar w:fldCharType="end"/>
      </w:r>
      <w:r w:rsidRPr="0094332C">
        <w:rPr>
          <w:rFonts w:ascii="Arial" w:hAnsi="Arial" w:cs="Arial"/>
        </w:rPr>
        <w:t>.</w:t>
      </w:r>
    </w:p>
    <w:p w14:paraId="5BE03CFA" w14:textId="3763DD6E" w:rsidR="00CA0438" w:rsidRPr="00E87D57" w:rsidRDefault="00CA0438" w:rsidP="00F87C93">
      <w:pPr>
        <w:pStyle w:val="NormalWeb"/>
        <w:spacing w:before="0" w:beforeAutospacing="0" w:after="0" w:afterAutospacing="0" w:line="480" w:lineRule="auto"/>
        <w:jc w:val="both"/>
        <w:rPr>
          <w:rFonts w:ascii="Arial" w:hAnsi="Arial" w:cs="Arial"/>
          <w:i/>
          <w:iCs/>
        </w:rPr>
      </w:pPr>
      <w:r w:rsidRPr="00675310">
        <w:rPr>
          <w:rFonts w:ascii="Arial" w:hAnsi="Arial" w:cs="Arial"/>
        </w:rPr>
        <w:t xml:space="preserve">The immune system </w:t>
      </w:r>
      <w:r>
        <w:rPr>
          <w:rFonts w:ascii="Arial" w:hAnsi="Arial" w:cs="Arial"/>
        </w:rPr>
        <w:t>contains</w:t>
      </w:r>
      <w:r w:rsidRPr="00675310">
        <w:rPr>
          <w:rFonts w:ascii="Arial" w:hAnsi="Arial" w:cs="Arial"/>
        </w:rPr>
        <w:t xml:space="preserve"> a complex network </w:t>
      </w:r>
      <w:r>
        <w:rPr>
          <w:rFonts w:ascii="Arial" w:hAnsi="Arial" w:cs="Arial"/>
        </w:rPr>
        <w:t>of physical, chemical, and</w:t>
      </w:r>
      <w:r w:rsidRPr="00675310">
        <w:rPr>
          <w:rFonts w:ascii="Arial" w:hAnsi="Arial" w:cs="Arial"/>
        </w:rPr>
        <w:t xml:space="preserve"> </w:t>
      </w:r>
      <w:r>
        <w:rPr>
          <w:rFonts w:ascii="Arial" w:hAnsi="Arial" w:cs="Arial"/>
        </w:rPr>
        <w:t xml:space="preserve">cellular barriers that help </w:t>
      </w:r>
      <w:r w:rsidRPr="00675310">
        <w:rPr>
          <w:rFonts w:ascii="Arial" w:hAnsi="Arial" w:cs="Arial"/>
        </w:rPr>
        <w:t>adaptive immun</w:t>
      </w:r>
      <w:r>
        <w:rPr>
          <w:rFonts w:ascii="Arial" w:hAnsi="Arial" w:cs="Arial"/>
        </w:rPr>
        <w:t>ity</w:t>
      </w:r>
      <w:r w:rsidRPr="00675310">
        <w:rPr>
          <w:rFonts w:ascii="Arial" w:hAnsi="Arial" w:cs="Arial"/>
        </w:rPr>
        <w:t xml:space="preserve"> </w:t>
      </w:r>
      <w:r>
        <w:rPr>
          <w:rFonts w:ascii="Arial" w:hAnsi="Arial" w:cs="Arial"/>
        </w:rPr>
        <w:t xml:space="preserve">for effective </w:t>
      </w:r>
      <w:r w:rsidRPr="00675310">
        <w:rPr>
          <w:rFonts w:ascii="Arial" w:hAnsi="Arial" w:cs="Arial"/>
        </w:rPr>
        <w:t xml:space="preserve">fungal pathogens </w:t>
      </w:r>
      <w:r>
        <w:rPr>
          <w:rFonts w:ascii="Arial" w:hAnsi="Arial" w:cs="Arial"/>
        </w:rPr>
        <w:fldChar w:fldCharType="begin"/>
      </w:r>
      <w:r>
        <w:rPr>
          <w:rFonts w:ascii="Arial" w:hAnsi="Arial" w:cs="Arial"/>
        </w:rPr>
        <w:instrText xml:space="preserve"> ADDIN ZOTERO_ITEM CSL_CITATION {"citationID":"D5KWHi6T","properties":{"formattedCitation":"(Wang et al., 2024)","plainCitation":"(Wang et al., 2024)","noteIndex":0},"citationItems":[{"id":8598,"uris":["http://zotero.org/users/2543086/items/AQWWUMTK"],"itemData":{"id":8598,"type":"article-journal","abstract":"The innate immune system serves as the body's first line of defense, utilizing pattern recognition receptors like Toll-like receptors to detect pathogens and initiate rapid response mechanisms. Following this initial response, adaptive immunity provides highly specific and sustained killing of pathogens via B cells, T cells, and antibodies. Traditionally, it has been assumed that innate immunity activates adaptive immunity; however, recent studies have revealed more complex interactions. This review provides a detailed dissection of the composition and function of the innate and adaptive immune systems, emphasizing their synergistic roles in physiological and pathological contexts, providing new insights into the link between these two forms of immunity. Precise regulation of both immune systems at the same time is more beneficial in the fight against immune-related diseases, for example, the cGAS–STING pathway has been found to play an important role in infections and cancers. In addition, this paper summarizes the challenges and future directions in the field of immunity, including the latest single-cell sequencing technologies, CAR-T cell therapy, and immune checkpoint inhibitors. By summarizing these developments, this review aims to enhance our understanding of the complexity interactions between innate and adaptive immunity and provides new perspectives in understanding the immune system.","container-title":"MedComm","DOI":"10.1002/mco2.714","ISSN":"2688-2663","issue":"10","language":"en","license":"© 2024 The Author(s). MedComm published by Sichuan International Medical Exchange &amp; Promotion Association (SCIMEA) and John Wiley &amp; Sons Australia, Ltd.","note":"_eprint: https://onlinelibrary.wiley.com/doi/pdf/10.1002/mco2.714","page":"e714","source":"Wiley Online Library","title":"The interaction of innate immune and adaptive immune system","volume":"5","author":[{"family":"Wang","given":"Ruyuan"},{"family":"Lan","given":"Caini"},{"family":"Benlagha","given":"Kamel"},{"family":"Camara","given":"Niels Olsen Saraiva"},{"family":"Miller","given":"Heather"},{"family":"Kubo","given":"Masato"},{"family":"Heegaard","given":"Steffen"},{"family":"Lee","given":"Pamela"},{"family":"Yang","given":"Lu"},{"family":"Forsman","given":"Huamei"},{"family":"Li","given":"Xingrui"},{"family":"Zhai","given":"Zhimin"},{"family":"Liu","given":"Chaohong"}],"issued":{"date-parts":[["2024"]]}}}],"schema":"https://github.com/citation-style-language/schema/raw/master/csl-citation.json"} </w:instrText>
      </w:r>
      <w:r>
        <w:rPr>
          <w:rFonts w:ascii="Arial" w:hAnsi="Arial" w:cs="Arial"/>
        </w:rPr>
        <w:fldChar w:fldCharType="separate"/>
      </w:r>
      <w:r>
        <w:rPr>
          <w:rFonts w:ascii="Arial" w:hAnsi="Arial" w:cs="Arial"/>
          <w:noProof/>
        </w:rPr>
        <w:t>(Wang et al., 2024)</w:t>
      </w:r>
      <w:r>
        <w:rPr>
          <w:rFonts w:ascii="Arial" w:hAnsi="Arial" w:cs="Arial"/>
        </w:rPr>
        <w:fldChar w:fldCharType="end"/>
      </w:r>
      <w:r w:rsidRPr="0094332C">
        <w:rPr>
          <w:rFonts w:ascii="Arial" w:hAnsi="Arial" w:cs="Arial"/>
        </w:rPr>
        <w:t xml:space="preserve">. </w:t>
      </w:r>
      <w:r>
        <w:rPr>
          <w:rFonts w:ascii="Arial" w:hAnsi="Arial" w:cs="Arial"/>
        </w:rPr>
        <w:t>N</w:t>
      </w:r>
      <w:r w:rsidRPr="0059201E">
        <w:rPr>
          <w:rFonts w:ascii="Arial" w:hAnsi="Arial" w:cs="Arial"/>
        </w:rPr>
        <w:t>eutrophil</w:t>
      </w:r>
      <w:r>
        <w:rPr>
          <w:rFonts w:ascii="Arial" w:hAnsi="Arial" w:cs="Arial"/>
        </w:rPr>
        <w:t xml:space="preserve"> is one of the professional phagocytic cells and is considered the first cell involved in </w:t>
      </w:r>
      <w:r w:rsidR="00142244">
        <w:rPr>
          <w:rFonts w:ascii="Arial" w:hAnsi="Arial" w:cs="Arial"/>
        </w:rPr>
        <w:t xml:space="preserve">antifungal </w:t>
      </w:r>
      <w:r>
        <w:rPr>
          <w:rFonts w:ascii="Arial" w:hAnsi="Arial" w:cs="Arial"/>
        </w:rPr>
        <w:t>immun</w:t>
      </w:r>
      <w:r w:rsidR="00864D97">
        <w:rPr>
          <w:rFonts w:ascii="Arial" w:hAnsi="Arial" w:cs="Arial"/>
        </w:rPr>
        <w:t>e response</w:t>
      </w:r>
      <w:r w:rsidR="000C2A85">
        <w:rPr>
          <w:rFonts w:ascii="Arial" w:hAnsi="Arial" w:cs="Arial"/>
        </w:rPr>
        <w:t xml:space="preserve"> for this reason, deficiency in</w:t>
      </w:r>
      <w:r>
        <w:rPr>
          <w:rFonts w:ascii="Arial" w:hAnsi="Arial" w:cs="Arial"/>
        </w:rPr>
        <w:t xml:space="preserve"> neutrophil</w:t>
      </w:r>
      <w:r w:rsidRPr="0059201E">
        <w:rPr>
          <w:rFonts w:ascii="Arial" w:hAnsi="Arial" w:cs="Arial"/>
        </w:rPr>
        <w:t xml:space="preserve"> function </w:t>
      </w:r>
      <w:r w:rsidR="000C2A85">
        <w:rPr>
          <w:rFonts w:ascii="Arial" w:hAnsi="Arial" w:cs="Arial"/>
        </w:rPr>
        <w:t>increase</w:t>
      </w:r>
      <w:r>
        <w:rPr>
          <w:rFonts w:ascii="Arial" w:hAnsi="Arial" w:cs="Arial"/>
        </w:rPr>
        <w:t xml:space="preserve"> </w:t>
      </w:r>
      <w:r w:rsidRPr="0059201E">
        <w:rPr>
          <w:rFonts w:ascii="Arial" w:hAnsi="Arial" w:cs="Arial"/>
        </w:rPr>
        <w:t xml:space="preserve">fungal </w:t>
      </w:r>
      <w:r>
        <w:rPr>
          <w:rFonts w:ascii="Arial" w:hAnsi="Arial" w:cs="Arial"/>
        </w:rPr>
        <w:t xml:space="preserve">invasion and dissemination </w:t>
      </w:r>
      <w:r>
        <w:rPr>
          <w:rFonts w:ascii="Arial" w:hAnsi="Arial" w:cs="Arial"/>
        </w:rPr>
        <w:fldChar w:fldCharType="begin"/>
      </w:r>
      <w:r>
        <w:rPr>
          <w:rFonts w:ascii="Arial" w:hAnsi="Arial" w:cs="Arial"/>
        </w:rPr>
        <w:instrText xml:space="preserve"> ADDIN ZOTERO_ITEM CSL_CITATION {"citationID":"Q31RntXG","properties":{"formattedCitation":"(Blaize et al., 2024)","plainCitation":"(Blaize et al., 2024)","noteIndex":0},"citationItems":[{"id":8601,"uris":["http://zotero.org/users/2543086/items/V8NLW3WB"],"itemData":{"id":8601,"type":"article-journal","abstract":"Objectives\nIbrutinib, a first-generation covalent Bruton's tyrosine kinase inhibitor (BTKi) was found to be a risk factor for the occurrence of invasive fungal complications. Acalabrutinib is a second-generation covalent BTKi used to treat B-cell malignancies. Healthy donor neutrophils incubated ex vivo with acalabrutinib lose ability to control Aspergillus conidia germination. In patients receiving acalabrutinib, the potential effect on neutrophil antifungal activity is unknown. Furthermore, only two cases of invasive aspergillosis have been reported during treatment with acalabrutinib, outside of a few cases in a clinical trial.\nMethods\nWe describe three new cases of invasive aspergillosis occurring within the first months of acalabrutinib therapy in patients with chronic lymphocytic leukemia. We used videomicroscopy and flow cytometry approaches to investigate the basic functional responses against Aspergillus of neutrophils from acalabrutinib-treated patients.\nResults\nWe showed an alteration in the anti-Aspergillus response after 1 month of acalabrutinb therapy: neutrophils lost their capacities of killing Aspergillus fumigatus germinating conidia and decreased their reactive oxygen species production when stimulated by Aspergillus.\nConclusions\nIt is important to follow-up patients treated with acalabrutinib for the risk of aspergillosis as well as those treated with ibrutinib.","container-title":"International Journal of Infectious Diseases","DOI":"10.1016/j.ijid.2024.107000","ISSN":"1201-9712","journalAbbreviation":"International Journal of Infectious Diseases","page":"107000","source":"ScienceDirect","title":"Invasive Aspergillosis with impaired neutrophil responses against &lt;i&gt;Aspergillus fumigatus&lt;/i&gt; in patients treated with Acalabrutinib—findings from three cases","volume":"142","author":[{"family":"Blaize","given":"Marion"},{"family":"Thizy","given":"Guillaume"},{"family":"Boissonnas","given":"Alexandre"},{"family":"Portalier","given":"Anaïs"},{"family":"Lanternier","given":"Fanny"},{"family":"La Porte des Vaux","given":"Clémentine","non-dropping-particle":"de"},{"family":"Suarez","given":"Felipe"},{"family":"Bougnoux","given":"Marie-Elisabeth"},{"family":"Guitard","given":"Juliette"},{"family":"Jabet","given":"Arnaud"},{"family":"Stocker","given":"Nicolas"},{"family":"Aoudjhane","given":"Abdelmalek"},{"family":"Roos-Weil","given":"Damien"},{"family":"Fekkar","given":"Arnaud"}],"issued":{"date-parts":[["2024",5,1]]}}}],"schema":"https://github.com/citation-style-language/schema/raw/master/csl-citation.json"} </w:instrText>
      </w:r>
      <w:r>
        <w:rPr>
          <w:rFonts w:ascii="Arial" w:hAnsi="Arial" w:cs="Arial"/>
        </w:rPr>
        <w:fldChar w:fldCharType="separate"/>
      </w:r>
      <w:r>
        <w:rPr>
          <w:rFonts w:ascii="Arial" w:hAnsi="Arial" w:cs="Arial"/>
          <w:noProof/>
        </w:rPr>
        <w:t>(Blaize et al., 2024)</w:t>
      </w:r>
      <w:r>
        <w:rPr>
          <w:rFonts w:ascii="Arial" w:hAnsi="Arial" w:cs="Arial"/>
        </w:rPr>
        <w:fldChar w:fldCharType="end"/>
      </w:r>
      <w:r>
        <w:rPr>
          <w:rFonts w:ascii="Arial" w:hAnsi="Arial" w:cs="Arial"/>
        </w:rPr>
        <w:t>.</w:t>
      </w:r>
      <w:r w:rsidRPr="0094332C">
        <w:rPr>
          <w:rFonts w:ascii="Arial" w:hAnsi="Arial" w:cs="Arial"/>
        </w:rPr>
        <w:t xml:space="preserve"> </w:t>
      </w:r>
    </w:p>
    <w:p w14:paraId="44902DAB" w14:textId="77777777" w:rsidR="00CA0438" w:rsidRDefault="00CA0438" w:rsidP="00F87C93">
      <w:pPr>
        <w:pStyle w:val="NormalWeb"/>
        <w:spacing w:before="0" w:beforeAutospacing="0" w:after="0" w:afterAutospacing="0" w:line="480" w:lineRule="auto"/>
        <w:jc w:val="both"/>
        <w:rPr>
          <w:rFonts w:ascii="Arial" w:hAnsi="Arial" w:cs="Arial"/>
        </w:rPr>
      </w:pPr>
      <w:r w:rsidRPr="0071358D">
        <w:rPr>
          <w:rFonts w:ascii="Arial" w:hAnsi="Arial" w:cs="Arial"/>
        </w:rPr>
        <w:t xml:space="preserve">This review </w:t>
      </w:r>
      <w:r>
        <w:rPr>
          <w:rFonts w:ascii="Arial" w:hAnsi="Arial" w:cs="Arial"/>
        </w:rPr>
        <w:t xml:space="preserve">highlights the role of the immune system response to </w:t>
      </w:r>
      <w:r w:rsidRPr="0071358D">
        <w:rPr>
          <w:rFonts w:ascii="Arial" w:hAnsi="Arial" w:cs="Arial"/>
        </w:rPr>
        <w:t xml:space="preserve">fungal infections and </w:t>
      </w:r>
      <w:r>
        <w:rPr>
          <w:rFonts w:ascii="Arial" w:hAnsi="Arial" w:cs="Arial"/>
        </w:rPr>
        <w:t xml:space="preserve">the recent </w:t>
      </w:r>
      <w:r w:rsidRPr="0071358D">
        <w:rPr>
          <w:rFonts w:ascii="Arial" w:hAnsi="Arial" w:cs="Arial"/>
        </w:rPr>
        <w:t>diagnostic techniques</w:t>
      </w:r>
      <w:r>
        <w:rPr>
          <w:rFonts w:ascii="Arial" w:hAnsi="Arial" w:cs="Arial"/>
        </w:rPr>
        <w:t xml:space="preserve"> </w:t>
      </w:r>
      <w:r w:rsidRPr="0071358D">
        <w:rPr>
          <w:rFonts w:ascii="Arial" w:hAnsi="Arial" w:cs="Arial"/>
        </w:rPr>
        <w:t xml:space="preserve">that </w:t>
      </w:r>
      <w:r>
        <w:rPr>
          <w:rFonts w:ascii="Arial" w:hAnsi="Arial" w:cs="Arial"/>
        </w:rPr>
        <w:t>may be involved in</w:t>
      </w:r>
      <w:r w:rsidRPr="0071358D">
        <w:rPr>
          <w:rFonts w:ascii="Arial" w:hAnsi="Arial" w:cs="Arial"/>
        </w:rPr>
        <w:t xml:space="preserve"> enhanc</w:t>
      </w:r>
      <w:r>
        <w:rPr>
          <w:rFonts w:ascii="Arial" w:hAnsi="Arial" w:cs="Arial"/>
        </w:rPr>
        <w:t>ing</w:t>
      </w:r>
      <w:r w:rsidRPr="0071358D">
        <w:rPr>
          <w:rFonts w:ascii="Arial" w:hAnsi="Arial" w:cs="Arial"/>
        </w:rPr>
        <w:t xml:space="preserve"> early detection and management. </w:t>
      </w:r>
    </w:p>
    <w:p w14:paraId="6A34D3B5" w14:textId="77777777" w:rsidR="00CA0438" w:rsidRPr="0094332C" w:rsidRDefault="00CA0438" w:rsidP="00F87C93">
      <w:pPr>
        <w:pStyle w:val="NormalWeb"/>
        <w:spacing w:before="0" w:beforeAutospacing="0" w:after="0" w:afterAutospacing="0" w:line="480" w:lineRule="auto"/>
        <w:jc w:val="both"/>
        <w:rPr>
          <w:rFonts w:ascii="Arial" w:hAnsi="Arial" w:cs="Arial"/>
        </w:rPr>
      </w:pPr>
    </w:p>
    <w:p w14:paraId="07AAB7C0" w14:textId="77777777" w:rsidR="00CA0438" w:rsidRPr="0094332C" w:rsidRDefault="00CA0438" w:rsidP="00F87C93">
      <w:pPr>
        <w:pStyle w:val="NormalWeb"/>
        <w:spacing w:before="0" w:beforeAutospacing="0" w:after="0" w:afterAutospacing="0" w:line="480" w:lineRule="auto"/>
        <w:jc w:val="both"/>
        <w:rPr>
          <w:rFonts w:ascii="Arial" w:hAnsi="Arial" w:cs="Arial"/>
        </w:rPr>
      </w:pPr>
      <w:r w:rsidRPr="0094332C">
        <w:rPr>
          <w:rStyle w:val="Strong"/>
          <w:rFonts w:ascii="Arial" w:eastAsiaTheme="majorEastAsia" w:hAnsi="Arial" w:cs="Arial"/>
        </w:rPr>
        <w:t>Innate Immune Response to Fungal Infections</w:t>
      </w:r>
    </w:p>
    <w:p w14:paraId="2A92B8E6" w14:textId="0F8F2F21" w:rsidR="00D33968" w:rsidRDefault="00CA0438" w:rsidP="00D33968">
      <w:pPr>
        <w:pStyle w:val="NormalWeb"/>
        <w:spacing w:before="0" w:beforeAutospacing="0" w:after="0" w:afterAutospacing="0" w:line="480" w:lineRule="auto"/>
        <w:jc w:val="both"/>
        <w:rPr>
          <w:rFonts w:ascii="Arial" w:hAnsi="Arial" w:cs="Arial"/>
        </w:rPr>
      </w:pPr>
      <w:r w:rsidRPr="00941E23">
        <w:rPr>
          <w:rFonts w:ascii="Arial" w:hAnsi="Arial" w:cs="Arial"/>
        </w:rPr>
        <w:t>The innate immun</w:t>
      </w:r>
      <w:r w:rsidR="0059322D">
        <w:rPr>
          <w:rFonts w:ascii="Arial" w:hAnsi="Arial" w:cs="Arial"/>
        </w:rPr>
        <w:t>ity</w:t>
      </w:r>
      <w:r w:rsidRPr="00941E23">
        <w:rPr>
          <w:rFonts w:ascii="Arial" w:hAnsi="Arial" w:cs="Arial"/>
        </w:rPr>
        <w:t xml:space="preserve"> </w:t>
      </w:r>
      <w:r>
        <w:rPr>
          <w:rFonts w:ascii="Arial" w:hAnsi="Arial" w:cs="Arial"/>
        </w:rPr>
        <w:t xml:space="preserve">is </w:t>
      </w:r>
      <w:r w:rsidR="009F4C81">
        <w:rPr>
          <w:rFonts w:ascii="Arial" w:hAnsi="Arial" w:cs="Arial"/>
        </w:rPr>
        <w:t xml:space="preserve">a </w:t>
      </w:r>
      <w:r w:rsidR="009F4C81" w:rsidRPr="00941E23">
        <w:rPr>
          <w:rFonts w:ascii="Arial" w:hAnsi="Arial" w:cs="Arial"/>
        </w:rPr>
        <w:t>rapid</w:t>
      </w:r>
      <w:r w:rsidR="009F4C81">
        <w:rPr>
          <w:rFonts w:ascii="Arial" w:hAnsi="Arial" w:cs="Arial"/>
        </w:rPr>
        <w:t xml:space="preserve"> and</w:t>
      </w:r>
      <w:r w:rsidR="009F4C81" w:rsidRPr="00941E23">
        <w:rPr>
          <w:rFonts w:ascii="Arial" w:hAnsi="Arial" w:cs="Arial"/>
        </w:rPr>
        <w:t xml:space="preserve"> </w:t>
      </w:r>
      <w:r w:rsidR="009F4C81">
        <w:rPr>
          <w:rFonts w:ascii="Arial" w:hAnsi="Arial" w:cs="Arial"/>
        </w:rPr>
        <w:t>non-specific</w:t>
      </w:r>
      <w:r w:rsidR="009F4C81" w:rsidRPr="00941E23">
        <w:rPr>
          <w:rFonts w:ascii="Arial" w:hAnsi="Arial" w:cs="Arial"/>
        </w:rPr>
        <w:t xml:space="preserve"> </w:t>
      </w:r>
      <w:r w:rsidR="009F4C81">
        <w:rPr>
          <w:rFonts w:ascii="Arial" w:hAnsi="Arial" w:cs="Arial"/>
        </w:rPr>
        <w:t xml:space="preserve">response </w:t>
      </w:r>
      <w:r w:rsidRPr="00941E23">
        <w:rPr>
          <w:rFonts w:ascii="Arial" w:hAnsi="Arial" w:cs="Arial"/>
        </w:rPr>
        <w:t xml:space="preserve">against </w:t>
      </w:r>
      <w:r w:rsidR="002F3FAC">
        <w:rPr>
          <w:rFonts w:ascii="Arial" w:hAnsi="Arial" w:cs="Arial"/>
        </w:rPr>
        <w:t xml:space="preserve">microbial </w:t>
      </w:r>
      <w:r w:rsidRPr="00941E23">
        <w:rPr>
          <w:rFonts w:ascii="Arial" w:hAnsi="Arial" w:cs="Arial"/>
        </w:rPr>
        <w:t>infections</w:t>
      </w:r>
      <w:r>
        <w:rPr>
          <w:rFonts w:ascii="Arial" w:hAnsi="Arial" w:cs="Arial"/>
        </w:rPr>
        <w:t>. The innate immun</w:t>
      </w:r>
      <w:r w:rsidR="00E94ABD">
        <w:rPr>
          <w:rFonts w:ascii="Arial" w:hAnsi="Arial" w:cs="Arial"/>
        </w:rPr>
        <w:t>e system</w:t>
      </w:r>
      <w:r>
        <w:rPr>
          <w:rFonts w:ascii="Arial" w:hAnsi="Arial" w:cs="Arial"/>
        </w:rPr>
        <w:t xml:space="preserve"> </w:t>
      </w:r>
      <w:r w:rsidR="00BB23A1">
        <w:rPr>
          <w:rFonts w:ascii="Arial" w:hAnsi="Arial" w:cs="Arial"/>
        </w:rPr>
        <w:t>ha</w:t>
      </w:r>
      <w:r w:rsidR="00B0395B">
        <w:rPr>
          <w:rFonts w:ascii="Arial" w:hAnsi="Arial" w:cs="Arial"/>
        </w:rPr>
        <w:t>s</w:t>
      </w:r>
      <w:r>
        <w:rPr>
          <w:rFonts w:ascii="Arial" w:hAnsi="Arial" w:cs="Arial"/>
        </w:rPr>
        <w:t xml:space="preserve"> barriers</w:t>
      </w:r>
      <w:r w:rsidR="00500BA7">
        <w:rPr>
          <w:rFonts w:ascii="Arial" w:hAnsi="Arial" w:cs="Arial"/>
        </w:rPr>
        <w:t>, physical, chemical, and cellular barriers,</w:t>
      </w:r>
      <w:r>
        <w:rPr>
          <w:rFonts w:ascii="Arial" w:hAnsi="Arial" w:cs="Arial"/>
        </w:rPr>
        <w:t xml:space="preserve"> that </w:t>
      </w:r>
      <w:r w:rsidR="00120DDD">
        <w:rPr>
          <w:rFonts w:ascii="Arial" w:hAnsi="Arial" w:cs="Arial"/>
        </w:rPr>
        <w:t xml:space="preserve">work </w:t>
      </w:r>
      <w:r>
        <w:rPr>
          <w:rFonts w:ascii="Arial" w:hAnsi="Arial" w:cs="Arial"/>
        </w:rPr>
        <w:t xml:space="preserve">collectively </w:t>
      </w:r>
      <w:r w:rsidR="00F56287">
        <w:rPr>
          <w:rFonts w:ascii="Arial" w:hAnsi="Arial" w:cs="Arial"/>
        </w:rPr>
        <w:t xml:space="preserve">to </w:t>
      </w:r>
      <w:r>
        <w:rPr>
          <w:rFonts w:ascii="Arial" w:hAnsi="Arial" w:cs="Arial"/>
        </w:rPr>
        <w:t>prevent fungal invasion.</w:t>
      </w:r>
      <w:r w:rsidRPr="00FC7984">
        <w:rPr>
          <w:rFonts w:ascii="Arial" w:hAnsi="Arial" w:cs="Arial"/>
        </w:rPr>
        <w:t xml:space="preserve"> </w:t>
      </w:r>
      <w:r w:rsidR="00D44951" w:rsidRPr="00224457">
        <w:rPr>
          <w:rFonts w:asciiTheme="minorBidi" w:hAnsiTheme="minorBidi" w:cstheme="minorBidi"/>
          <w:color w:val="000000"/>
          <w:lang w:val="en-GB"/>
        </w:rPr>
        <w:t xml:space="preserve">The skin </w:t>
      </w:r>
      <w:r w:rsidR="00D44951">
        <w:rPr>
          <w:rFonts w:asciiTheme="minorBidi" w:hAnsiTheme="minorBidi" w:cstheme="minorBidi"/>
          <w:color w:val="000000"/>
          <w:lang w:val="en-GB"/>
        </w:rPr>
        <w:t>contains</w:t>
      </w:r>
      <w:r w:rsidR="00D44951" w:rsidRPr="00224457">
        <w:rPr>
          <w:rFonts w:asciiTheme="minorBidi" w:hAnsiTheme="minorBidi" w:cstheme="minorBidi"/>
          <w:color w:val="000000"/>
          <w:lang w:val="en-GB"/>
        </w:rPr>
        <w:t xml:space="preserve"> </w:t>
      </w:r>
      <w:r w:rsidR="00D44951">
        <w:rPr>
          <w:rFonts w:asciiTheme="minorBidi" w:hAnsiTheme="minorBidi" w:cstheme="minorBidi"/>
          <w:color w:val="000000"/>
          <w:lang w:val="en-GB"/>
        </w:rPr>
        <w:t xml:space="preserve">multilayers of tissues including </w:t>
      </w:r>
      <w:r w:rsidR="00D44951" w:rsidRPr="00224457">
        <w:rPr>
          <w:rFonts w:asciiTheme="minorBidi" w:hAnsiTheme="minorBidi" w:cstheme="minorBidi"/>
          <w:color w:val="000000"/>
          <w:lang w:val="en-GB"/>
        </w:rPr>
        <w:t>the epidermis, dermis, cutaneous appendages and subcutaneous tissue. </w:t>
      </w:r>
      <w:r w:rsidR="00D44951">
        <w:rPr>
          <w:rFonts w:asciiTheme="minorBidi" w:hAnsiTheme="minorBidi" w:cstheme="minorBidi"/>
          <w:color w:val="000000"/>
          <w:lang w:val="en-GB"/>
        </w:rPr>
        <w:t>T</w:t>
      </w:r>
      <w:r w:rsidR="00D44951" w:rsidRPr="00224457">
        <w:rPr>
          <w:rFonts w:asciiTheme="minorBidi" w:hAnsiTheme="minorBidi" w:cstheme="minorBidi"/>
          <w:color w:val="000000"/>
          <w:lang w:val="en-GB"/>
        </w:rPr>
        <w:t xml:space="preserve">he </w:t>
      </w:r>
      <w:r w:rsidR="00D44951">
        <w:rPr>
          <w:rFonts w:asciiTheme="minorBidi" w:hAnsiTheme="minorBidi" w:cstheme="minorBidi"/>
          <w:color w:val="000000"/>
          <w:lang w:val="en-GB"/>
        </w:rPr>
        <w:t xml:space="preserve">skin is a part of </w:t>
      </w:r>
      <w:r w:rsidR="00D44951" w:rsidRPr="00224457">
        <w:rPr>
          <w:rFonts w:asciiTheme="minorBidi" w:hAnsiTheme="minorBidi" w:cstheme="minorBidi"/>
          <w:color w:val="000000"/>
          <w:lang w:val="en-GB"/>
        </w:rPr>
        <w:t>skin-associated lymphoid tissue (SALT), which comprises both skin cells and professional immune cells</w:t>
      </w:r>
      <w:r w:rsidR="00D44951">
        <w:rPr>
          <w:rFonts w:asciiTheme="minorBidi" w:hAnsiTheme="minorBidi" w:cstheme="minorBidi"/>
          <w:color w:val="000000"/>
          <w:lang w:val="en-GB"/>
        </w:rPr>
        <w:t xml:space="preserve"> </w:t>
      </w:r>
      <w:r w:rsidR="00D44951">
        <w:rPr>
          <w:rFonts w:asciiTheme="minorBidi" w:hAnsiTheme="minorBidi" w:cstheme="minorBidi"/>
          <w:color w:val="000000"/>
          <w:lang w:val="en-GB"/>
        </w:rPr>
        <w:fldChar w:fldCharType="begin"/>
      </w:r>
      <w:r w:rsidR="00D44951">
        <w:rPr>
          <w:rFonts w:asciiTheme="minorBidi" w:hAnsiTheme="minorBidi" w:cstheme="minorBidi"/>
          <w:color w:val="000000"/>
          <w:lang w:val="en-GB"/>
        </w:rPr>
        <w:instrText xml:space="preserve"> ADDIN ZOTERO_ITEM CSL_CITATION {"citationID":"2bOAlmt3","properties":{"formattedCitation":"(Quaresma, 2019)","plainCitation":"(Quaresma, 2019)","noteIndex":0},"citationItems":[{"id":8691,"uris":["http://zotero.org/users/2543086/items/RCNT7HVP"],"itemData":{"id":8691,"type":"article-journal","abstract":"The skin is an organ harboring several types of immune cells that participate in innate and adaptive immune responses. The immune system of the skin comprises both skin cells and professional immune cells that together constitute what is designated skin-associated lymphoid tissue (SALT). In this review, I extensively discuss the organization of SALT and the mechanisms involved in its responses to infectious diseases of the skin and mucosa. The nature of these SALT responses, and the cellular mediators involved, often determines the clinical course of such infections. I list and describe the components of innate immunity, such as the roles of the keratinocyte barrier and of inflammatory and natural killer cells. I also examine the mechanisms involved in adaptive immune responses, with emphasis on new cytokine profiles, and the role of cell death phenomena in host-pathogen interactions and control of the immune responses to infectious agents. Finally, I highlight the importance of studying SALT in order to better understand host-pathogen relationships involving the skin and detail future directions in the immunological investigation of this organ, especially in light of recent findings regarding the skin immune system.","container-title":"Clinical Microbiology Reviews","DOI":"10.1128/CMR.00034-18","ISSN":"1098-6618","issue":"4","journalAbbreviation":"Clin Microbiol Rev","language":"eng","note":"PMID: 31366611\nPMCID: PMC6750136","page":"e00034-18","source":"PubMed","title":"Organization of the Skin Immune System and Compartmentalized Immune Responses in Infectious Diseases","volume":"32","author":[{"family":"Quaresma","given":"Juarez Antonio Simões"}],"issued":{"date-parts":[["2019",9,18]]}}}],"schema":"https://github.com/citation-style-language/schema/raw/master/csl-citation.json"} </w:instrText>
      </w:r>
      <w:r w:rsidR="00D44951">
        <w:rPr>
          <w:rFonts w:asciiTheme="minorBidi" w:hAnsiTheme="minorBidi" w:cstheme="minorBidi"/>
          <w:color w:val="000000"/>
          <w:lang w:val="en-GB"/>
        </w:rPr>
        <w:fldChar w:fldCharType="separate"/>
      </w:r>
      <w:r w:rsidR="00D44951">
        <w:rPr>
          <w:rFonts w:asciiTheme="minorBidi" w:hAnsiTheme="minorBidi" w:cstheme="minorBidi"/>
          <w:noProof/>
          <w:color w:val="000000"/>
          <w:lang w:val="en-GB"/>
        </w:rPr>
        <w:t>(Quaresma, 2019)</w:t>
      </w:r>
      <w:r w:rsidR="00D44951">
        <w:rPr>
          <w:rFonts w:asciiTheme="minorBidi" w:hAnsiTheme="minorBidi" w:cstheme="minorBidi"/>
          <w:color w:val="000000"/>
          <w:lang w:val="en-GB"/>
        </w:rPr>
        <w:fldChar w:fldCharType="end"/>
      </w:r>
      <w:r w:rsidR="00D44951">
        <w:rPr>
          <w:rFonts w:asciiTheme="minorBidi" w:hAnsiTheme="minorBidi" w:cstheme="minorBidi"/>
          <w:color w:val="000000"/>
          <w:lang w:val="en-GB"/>
        </w:rPr>
        <w:t>.</w:t>
      </w:r>
      <w:r w:rsidR="007E53B5">
        <w:rPr>
          <w:rFonts w:asciiTheme="minorBidi" w:hAnsiTheme="minorBidi" w:cstheme="minorBidi"/>
          <w:color w:val="000000"/>
          <w:lang w:val="en-GB"/>
        </w:rPr>
        <w:t xml:space="preserve"> Around </w:t>
      </w:r>
      <w:r w:rsidR="007E53B5" w:rsidRPr="00224457">
        <w:rPr>
          <w:rFonts w:asciiTheme="minorBidi" w:hAnsiTheme="minorBidi" w:cstheme="minorBidi"/>
          <w:color w:val="000000"/>
          <w:lang w:val="en-GB"/>
        </w:rPr>
        <w:t>90%</w:t>
      </w:r>
      <w:r w:rsidR="007E53B5">
        <w:rPr>
          <w:rFonts w:asciiTheme="minorBidi" w:hAnsiTheme="minorBidi" w:cstheme="minorBidi"/>
          <w:color w:val="000000"/>
          <w:lang w:val="en-GB"/>
        </w:rPr>
        <w:t xml:space="preserve"> of t</w:t>
      </w:r>
      <w:r w:rsidR="007E53B5" w:rsidRPr="00224457">
        <w:rPr>
          <w:rFonts w:asciiTheme="minorBidi" w:hAnsiTheme="minorBidi" w:cstheme="minorBidi"/>
          <w:color w:val="000000"/>
          <w:lang w:val="en-GB"/>
        </w:rPr>
        <w:t xml:space="preserve">he epidermis </w:t>
      </w:r>
      <w:r w:rsidR="00A43E75">
        <w:rPr>
          <w:rFonts w:asciiTheme="minorBidi" w:hAnsiTheme="minorBidi" w:cstheme="minorBidi"/>
          <w:color w:val="000000"/>
          <w:lang w:val="en-GB"/>
        </w:rPr>
        <w:t>contains</w:t>
      </w:r>
      <w:r w:rsidR="007E53B5" w:rsidRPr="00224457">
        <w:rPr>
          <w:rFonts w:asciiTheme="minorBidi" w:hAnsiTheme="minorBidi" w:cstheme="minorBidi"/>
          <w:color w:val="000000"/>
          <w:lang w:val="en-GB"/>
        </w:rPr>
        <w:t xml:space="preserve"> keratinocytes</w:t>
      </w:r>
      <w:r w:rsidR="007E53B5">
        <w:rPr>
          <w:rFonts w:asciiTheme="minorBidi" w:hAnsiTheme="minorBidi" w:cstheme="minorBidi"/>
          <w:color w:val="000000"/>
          <w:lang w:val="en-GB"/>
        </w:rPr>
        <w:t xml:space="preserve">, </w:t>
      </w:r>
      <w:r w:rsidR="007E53B5" w:rsidRPr="00224457">
        <w:rPr>
          <w:rFonts w:asciiTheme="minorBidi" w:hAnsiTheme="minorBidi" w:cstheme="minorBidi"/>
          <w:color w:val="000000"/>
          <w:lang w:val="en-GB"/>
        </w:rPr>
        <w:t xml:space="preserve">which </w:t>
      </w:r>
      <w:r w:rsidR="007E53B5">
        <w:rPr>
          <w:rFonts w:asciiTheme="minorBidi" w:hAnsiTheme="minorBidi" w:cstheme="minorBidi"/>
          <w:color w:val="000000"/>
          <w:lang w:val="en-GB"/>
        </w:rPr>
        <w:t>are</w:t>
      </w:r>
      <w:r w:rsidR="007E53B5" w:rsidRPr="00224457">
        <w:rPr>
          <w:rFonts w:asciiTheme="minorBidi" w:hAnsiTheme="minorBidi" w:cstheme="minorBidi"/>
          <w:color w:val="000000"/>
          <w:lang w:val="en-GB"/>
        </w:rPr>
        <w:t xml:space="preserve"> able to distinguish between microbiota and </w:t>
      </w:r>
      <w:r w:rsidR="007E53B5">
        <w:rPr>
          <w:rFonts w:asciiTheme="minorBidi" w:hAnsiTheme="minorBidi" w:cstheme="minorBidi"/>
          <w:color w:val="000000"/>
          <w:lang w:val="en-GB"/>
        </w:rPr>
        <w:t xml:space="preserve">microbial </w:t>
      </w:r>
      <w:r w:rsidR="007E53B5" w:rsidRPr="00224457">
        <w:rPr>
          <w:rFonts w:asciiTheme="minorBidi" w:hAnsiTheme="minorBidi" w:cstheme="minorBidi"/>
          <w:color w:val="000000"/>
          <w:lang w:val="en-GB"/>
        </w:rPr>
        <w:t>pathogens</w:t>
      </w:r>
      <w:r w:rsidR="007E53B5">
        <w:rPr>
          <w:rFonts w:asciiTheme="minorBidi" w:hAnsiTheme="minorBidi" w:cstheme="minorBidi"/>
          <w:color w:val="000000"/>
          <w:lang w:val="en-GB"/>
        </w:rPr>
        <w:t xml:space="preserve"> through</w:t>
      </w:r>
      <w:r w:rsidR="007E53B5" w:rsidRPr="00527DF5">
        <w:rPr>
          <w:rFonts w:asciiTheme="minorBidi" w:hAnsiTheme="minorBidi" w:cstheme="minorBidi"/>
          <w:color w:val="000000"/>
          <w:lang w:val="en-GB"/>
        </w:rPr>
        <w:t xml:space="preserve"> </w:t>
      </w:r>
      <w:r w:rsidR="007E53B5" w:rsidRPr="00224457">
        <w:rPr>
          <w:rFonts w:asciiTheme="minorBidi" w:hAnsiTheme="minorBidi" w:cstheme="minorBidi"/>
          <w:color w:val="000000"/>
          <w:lang w:val="en-GB"/>
        </w:rPr>
        <w:t>express</w:t>
      </w:r>
      <w:r w:rsidR="007E53B5">
        <w:rPr>
          <w:rFonts w:asciiTheme="minorBidi" w:hAnsiTheme="minorBidi" w:cstheme="minorBidi"/>
          <w:color w:val="000000"/>
          <w:lang w:val="en-GB"/>
        </w:rPr>
        <w:t>ion</w:t>
      </w:r>
      <w:r w:rsidR="007E53B5" w:rsidRPr="00224457">
        <w:rPr>
          <w:rFonts w:asciiTheme="minorBidi" w:hAnsiTheme="minorBidi" w:cstheme="minorBidi"/>
          <w:color w:val="000000"/>
          <w:lang w:val="en-GB"/>
        </w:rPr>
        <w:t xml:space="preserve"> a class of pattern recognition receptors (PRRs)</w:t>
      </w:r>
      <w:r w:rsidR="007E53B5">
        <w:rPr>
          <w:rFonts w:asciiTheme="minorBidi" w:hAnsiTheme="minorBidi" w:cstheme="minorBidi"/>
          <w:color w:val="000000"/>
          <w:lang w:val="en-GB"/>
        </w:rPr>
        <w:t xml:space="preserve"> which are </w:t>
      </w:r>
      <w:r w:rsidR="007E53B5" w:rsidRPr="00224457">
        <w:rPr>
          <w:rFonts w:asciiTheme="minorBidi" w:hAnsiTheme="minorBidi" w:cstheme="minorBidi"/>
          <w:color w:val="000000"/>
          <w:lang w:val="en-GB"/>
        </w:rPr>
        <w:t>surface toll-like receptors (TLRs)</w:t>
      </w:r>
      <w:r w:rsidR="007E53B5">
        <w:rPr>
          <w:rFonts w:asciiTheme="minorBidi" w:hAnsiTheme="minorBidi" w:cstheme="minorBidi"/>
          <w:color w:val="000000"/>
          <w:lang w:val="en-GB"/>
        </w:rPr>
        <w:t xml:space="preserve">, specially </w:t>
      </w:r>
      <w:r w:rsidR="007E53B5" w:rsidRPr="00224457">
        <w:rPr>
          <w:rFonts w:asciiTheme="minorBidi" w:hAnsiTheme="minorBidi" w:cstheme="minorBidi"/>
          <w:color w:val="000000"/>
          <w:lang w:val="en-GB"/>
        </w:rPr>
        <w:t>TLR2 and TLR4</w:t>
      </w:r>
      <w:r w:rsidR="007E53B5">
        <w:rPr>
          <w:rFonts w:asciiTheme="minorBidi" w:hAnsiTheme="minorBidi" w:cstheme="minorBidi"/>
          <w:color w:val="000000"/>
          <w:lang w:val="en-GB"/>
        </w:rPr>
        <w:t xml:space="preserve">, for detection </w:t>
      </w:r>
      <w:r w:rsidR="007E53B5" w:rsidRPr="00224457">
        <w:rPr>
          <w:rFonts w:asciiTheme="minorBidi" w:hAnsiTheme="minorBidi" w:cstheme="minorBidi"/>
          <w:color w:val="000000"/>
          <w:lang w:val="en-GB"/>
        </w:rPr>
        <w:t>pathogens associated</w:t>
      </w:r>
      <w:r w:rsidR="007E53B5">
        <w:rPr>
          <w:rFonts w:asciiTheme="minorBidi" w:hAnsiTheme="minorBidi" w:cstheme="minorBidi"/>
          <w:color w:val="000000"/>
          <w:lang w:val="en-GB"/>
        </w:rPr>
        <w:t xml:space="preserve"> </w:t>
      </w:r>
      <w:r w:rsidR="007E53B5" w:rsidRPr="00224457">
        <w:rPr>
          <w:rFonts w:asciiTheme="minorBidi" w:hAnsiTheme="minorBidi" w:cstheme="minorBidi"/>
          <w:color w:val="000000"/>
          <w:lang w:val="en-GB"/>
        </w:rPr>
        <w:t>molecular patterns</w:t>
      </w:r>
      <w:r w:rsidR="007E53B5">
        <w:rPr>
          <w:rFonts w:asciiTheme="minorBidi" w:hAnsiTheme="minorBidi" w:cstheme="minorBidi"/>
          <w:color w:val="000000"/>
          <w:lang w:val="en-GB"/>
        </w:rPr>
        <w:t xml:space="preserve"> </w:t>
      </w:r>
      <w:r w:rsidR="007E53B5" w:rsidRPr="00224457">
        <w:rPr>
          <w:rFonts w:asciiTheme="minorBidi" w:hAnsiTheme="minorBidi" w:cstheme="minorBidi"/>
          <w:color w:val="000000"/>
          <w:lang w:val="en-GB"/>
        </w:rPr>
        <w:t>(PAMPs)</w:t>
      </w:r>
      <w:r w:rsidR="008D30D3">
        <w:rPr>
          <w:rFonts w:asciiTheme="minorBidi" w:hAnsiTheme="minorBidi" w:cstheme="minorBidi"/>
          <w:color w:val="000000"/>
          <w:lang w:val="en-GB"/>
        </w:rPr>
        <w:t xml:space="preserve"> </w:t>
      </w:r>
      <w:r w:rsidR="008D30D3">
        <w:rPr>
          <w:rFonts w:ascii="Arial" w:hAnsi="Arial" w:cs="Arial"/>
        </w:rPr>
        <w:fldChar w:fldCharType="begin"/>
      </w:r>
      <w:r w:rsidR="008D30D3">
        <w:rPr>
          <w:rFonts w:ascii="Arial" w:hAnsi="Arial" w:cs="Arial"/>
        </w:rPr>
        <w:instrText xml:space="preserve"> ADDIN ZOTERO_ITEM CSL_CITATION {"citationID":"KphnAmbX","properties":{"formattedCitation":"(Fang et al., 2022)","plainCitation":"(Fang et al., 2022)","noteIndex":0},"citationItems":[{"id":8672,"uris":["http://zotero.org/users/2543086/items/KDT3KSYB"],"itemData":{"id":8672,"type":"article-journal","abstract":"Fungal keratitis is one of the leading causes of blindness worldwide, which has become an increasingly serious threat to public ocular health, but no effective treatment strategies are available now. Pattern recognition receptors (PRRs) of the innate immune system are the first line of host defense against fungal infections. They could recognize pathogen-associated molecular patterns (PAMPs) or damage-associated molecular patterns (DAMPs) and trigger an array of inflammatory responses. Over the last decades, research has resulted in significant progress regarding the roles of PRRs in fungal keratitis. This review will highlight the importance of several pattern recognition receptors (C-type lectin-like receptors, Toll-like receptors, and NOD-like receptors) in regulating the innate immunity under fungal keratitis and describe the crosstalk and collaboration in PRRs contributing to disease pathology. Meanwhile, some potential therapy-based PRRs against corneal fungal infections are discussed.","container-title":"Life Sciences","DOI":"10.1016/j.lfs.2022.120881","ISSN":"0024-3205","journalAbbreviation":"Life Sciences","page":"120881","source":"ScienceDirect","title":"Roles of pattern recognition receptors in response to fungal keratitis","volume":"307","author":[{"family":"Fang","given":"Xiaolong"},{"family":"Lian","given":"Huifang"},{"family":"Bi","given":"Shihao"},{"family":"Liu","given":"Sijin"},{"family":"Yuan","given":"Xiaoyong"},{"family":"Liao","given":"Chunyang"}],"issued":{"date-parts":[["2022",10,15]]}}}],"schema":"https://github.com/citation-style-language/schema/raw/master/csl-citation.json"} </w:instrText>
      </w:r>
      <w:r w:rsidR="008D30D3">
        <w:rPr>
          <w:rFonts w:ascii="Arial" w:hAnsi="Arial" w:cs="Arial"/>
        </w:rPr>
        <w:fldChar w:fldCharType="separate"/>
      </w:r>
      <w:r w:rsidR="008D30D3">
        <w:rPr>
          <w:rFonts w:ascii="Arial" w:hAnsi="Arial" w:cs="Arial"/>
          <w:noProof/>
        </w:rPr>
        <w:t>(Fang et al., 2022)</w:t>
      </w:r>
      <w:r w:rsidR="008D30D3">
        <w:rPr>
          <w:rFonts w:ascii="Arial" w:hAnsi="Arial" w:cs="Arial"/>
        </w:rPr>
        <w:fldChar w:fldCharType="end"/>
      </w:r>
      <w:r w:rsidR="007E53B5">
        <w:rPr>
          <w:rFonts w:asciiTheme="minorBidi" w:hAnsiTheme="minorBidi" w:cstheme="minorBidi"/>
          <w:color w:val="000000"/>
          <w:lang w:val="en-GB"/>
        </w:rPr>
        <w:t xml:space="preserve">. </w:t>
      </w:r>
      <w:r w:rsidR="003D58D9">
        <w:rPr>
          <w:rFonts w:asciiTheme="minorBidi" w:hAnsiTheme="minorBidi" w:cstheme="minorBidi"/>
          <w:color w:val="000000"/>
          <w:lang w:val="en-GB"/>
        </w:rPr>
        <w:t xml:space="preserve">In </w:t>
      </w:r>
      <w:r w:rsidR="003D58D9">
        <w:rPr>
          <w:rFonts w:asciiTheme="minorBidi" w:hAnsiTheme="minorBidi" w:cstheme="minorBidi"/>
          <w:color w:val="000000"/>
          <w:lang w:val="en-GB"/>
        </w:rPr>
        <w:lastRenderedPageBreak/>
        <w:t>addition to</w:t>
      </w:r>
      <w:r w:rsidR="003D58D9" w:rsidRPr="00DD49D9">
        <w:rPr>
          <w:rFonts w:ascii="Arial" w:hAnsi="Arial" w:cs="Arial"/>
        </w:rPr>
        <w:t xml:space="preserve"> </w:t>
      </w:r>
      <w:r w:rsidR="00B9428D">
        <w:rPr>
          <w:rFonts w:ascii="Arial" w:hAnsi="Arial" w:cs="Arial"/>
        </w:rPr>
        <w:t xml:space="preserve">more specific receptors such as </w:t>
      </w:r>
      <w:r w:rsidR="003D58D9" w:rsidRPr="00DD49D9">
        <w:rPr>
          <w:rFonts w:ascii="Arial" w:hAnsi="Arial" w:cs="Arial"/>
        </w:rPr>
        <w:t>NOD-like receptors (NLRs), RIG-I-like receptors (RLRs)</w:t>
      </w:r>
      <w:r w:rsidR="00022F76">
        <w:rPr>
          <w:rFonts w:ascii="Arial" w:hAnsi="Arial" w:cs="Arial"/>
        </w:rPr>
        <w:t xml:space="preserve">, and </w:t>
      </w:r>
      <w:r w:rsidR="00022F76" w:rsidRPr="00DD49D9">
        <w:rPr>
          <w:rFonts w:ascii="Arial" w:hAnsi="Arial" w:cs="Arial"/>
        </w:rPr>
        <w:t>C-type lectin receptors (CLRs)</w:t>
      </w:r>
      <w:r w:rsidR="00022F76">
        <w:rPr>
          <w:rFonts w:ascii="Arial" w:hAnsi="Arial" w:cs="Arial"/>
        </w:rPr>
        <w:t xml:space="preserve"> including </w:t>
      </w:r>
      <w:r w:rsidR="00022F76" w:rsidRPr="006D2540">
        <w:rPr>
          <w:rFonts w:ascii="Arial" w:hAnsi="Arial" w:cs="Arial"/>
        </w:rPr>
        <w:t>Dectin-1</w:t>
      </w:r>
      <w:r w:rsidR="00022F76">
        <w:rPr>
          <w:rFonts w:ascii="Arial" w:hAnsi="Arial" w:cs="Arial"/>
        </w:rPr>
        <w:t xml:space="preserve"> and </w:t>
      </w:r>
      <w:r w:rsidR="00022F76" w:rsidRPr="006D2540">
        <w:rPr>
          <w:rFonts w:ascii="Arial" w:hAnsi="Arial" w:cs="Arial"/>
        </w:rPr>
        <w:t>Dectin-2</w:t>
      </w:r>
      <w:r w:rsidR="003D58D9">
        <w:rPr>
          <w:rFonts w:ascii="Arial" w:hAnsi="Arial" w:cs="Arial"/>
        </w:rPr>
        <w:t xml:space="preserve"> </w:t>
      </w:r>
      <w:r w:rsidR="00B2354C">
        <w:rPr>
          <w:rFonts w:ascii="Arial" w:hAnsi="Arial" w:cs="Arial"/>
        </w:rPr>
        <w:t xml:space="preserve">for detection fungal antigens </w:t>
      </w:r>
      <w:r w:rsidR="00C730ED">
        <w:rPr>
          <w:rFonts w:ascii="Arial" w:hAnsi="Arial" w:cs="Arial"/>
        </w:rPr>
        <w:t xml:space="preserve">like </w:t>
      </w:r>
      <w:r w:rsidR="00B2354C" w:rsidRPr="005173F0">
        <w:rPr>
          <w:rFonts w:ascii="Arial" w:hAnsi="Arial" w:cs="Arial"/>
        </w:rPr>
        <w:t>ß-glucans</w:t>
      </w:r>
      <w:r w:rsidR="00B2354C">
        <w:rPr>
          <w:rFonts w:ascii="Arial" w:hAnsi="Arial" w:cs="Arial"/>
        </w:rPr>
        <w:t xml:space="preserve"> and m</w:t>
      </w:r>
      <w:r w:rsidR="00B2354C" w:rsidRPr="005173F0">
        <w:rPr>
          <w:rFonts w:ascii="Arial" w:hAnsi="Arial" w:cs="Arial"/>
        </w:rPr>
        <w:t>annose</w:t>
      </w:r>
      <w:r w:rsidR="00B2354C">
        <w:rPr>
          <w:rFonts w:ascii="Arial" w:hAnsi="Arial" w:cs="Arial"/>
        </w:rPr>
        <w:t xml:space="preserve"> </w:t>
      </w:r>
      <w:r w:rsidR="003D58D9">
        <w:rPr>
          <w:rFonts w:ascii="Arial" w:hAnsi="Arial" w:cs="Arial"/>
        </w:rPr>
        <w:fldChar w:fldCharType="begin"/>
      </w:r>
      <w:r w:rsidR="003D58D9">
        <w:rPr>
          <w:rFonts w:ascii="Arial" w:hAnsi="Arial" w:cs="Arial"/>
        </w:rPr>
        <w:instrText xml:space="preserve"> ADDIN ZOTERO_ITEM CSL_CITATION {"citationID":"kSBg4WKg","properties":{"formattedCitation":"(Patin et al., 2019)","plainCitation":"(Patin et al., 2019)","noteIndex":0},"citationItems":[{"id":2901,"uris":["http://zotero.org/users/2543086/items/IANLTF4H"],"itemData":{"id":2901,"type":"article-journal","abstract":"Over the last decade, invasive fungal infections have emerged as a growing threat to human health worldwide and novel treatment strategies are urgently needed. In this context, investigations into host-pathogen interactions represent an important and promising field of research. Antigen presenting cells such as macrophages and dendritic cells are strategically located at the frontline of defence against potential invaders. Importantly, these cells express germline encoded pattern recognition receptors (PRRs), which sense conserved entities from pathogens and orchestrate innate immune responses. Herein, we review the latest findings regarding the biology and functions of the different classes of PRRs involved in pathogenic fungal recognition. We also discuss recent literature on PRR collaboration/crosstalk and the mechanisms involved in inhibiting/regulating PRR signalling. Finally, we discuss how the accumulated knowledge on PRR biology, especially Dectin-1, has been used for the design of new immunotherapies against fungal infections.","collection-title":"Mammalian innate immunity to fungal infection","container-title":"Seminars in Cell &amp; Developmental Biology","DOI":"10.1016/j.semcdb.2018.03.003","ISSN":"1084-9521","journalAbbreviation":"Seminars in Cell &amp; Developmental Biology","language":"en","page":"24-33","source":"ScienceDirect","title":"Pattern recognition receptors in fungal immunity","volume":"89","author":[{"family":"Patin","given":"Emmanuel C."},{"family":"Thompson","given":"Aiysha"},{"family":"Orr","given":"Selinda J."}],"issued":{"date-parts":[["2019",5,1]]}}}],"schema":"https://github.com/citation-style-language/schema/raw/master/csl-citation.json"} </w:instrText>
      </w:r>
      <w:r w:rsidR="003D58D9">
        <w:rPr>
          <w:rFonts w:ascii="Arial" w:hAnsi="Arial" w:cs="Arial"/>
        </w:rPr>
        <w:fldChar w:fldCharType="separate"/>
      </w:r>
      <w:r w:rsidR="003D58D9">
        <w:rPr>
          <w:rFonts w:ascii="Arial" w:hAnsi="Arial" w:cs="Arial"/>
          <w:noProof/>
        </w:rPr>
        <w:t>(Patin et al., 2019)</w:t>
      </w:r>
      <w:r w:rsidR="003D58D9">
        <w:rPr>
          <w:rFonts w:ascii="Arial" w:hAnsi="Arial" w:cs="Arial"/>
        </w:rPr>
        <w:fldChar w:fldCharType="end"/>
      </w:r>
      <w:r w:rsidR="00022F76">
        <w:rPr>
          <w:rFonts w:ascii="Arial" w:hAnsi="Arial" w:cs="Arial"/>
        </w:rPr>
        <w:t>.</w:t>
      </w:r>
      <w:r w:rsidR="00557EAD">
        <w:rPr>
          <w:rFonts w:asciiTheme="minorBidi" w:hAnsiTheme="minorBidi" w:cstheme="minorBidi"/>
          <w:color w:val="000000"/>
          <w:lang w:val="en-GB"/>
        </w:rPr>
        <w:t xml:space="preserve"> </w:t>
      </w:r>
      <w:r w:rsidR="007E53B5">
        <w:rPr>
          <w:rFonts w:asciiTheme="minorBidi" w:hAnsiTheme="minorBidi" w:cstheme="minorBidi"/>
          <w:color w:val="000000"/>
          <w:lang w:val="en-GB"/>
        </w:rPr>
        <w:t>Detection fungal antigens by</w:t>
      </w:r>
      <w:r w:rsidR="007E53B5" w:rsidRPr="00224457">
        <w:rPr>
          <w:rFonts w:asciiTheme="minorBidi" w:hAnsiTheme="minorBidi" w:cstheme="minorBidi"/>
          <w:color w:val="000000"/>
          <w:lang w:val="en-GB"/>
        </w:rPr>
        <w:t xml:space="preserve"> these receptors results in the production of proinflammatory cytokines by activating NF-</w:t>
      </w:r>
      <w:proofErr w:type="spellStart"/>
      <w:r w:rsidR="007E53B5" w:rsidRPr="00224457">
        <w:rPr>
          <w:rFonts w:asciiTheme="minorBidi" w:hAnsiTheme="minorBidi" w:cstheme="minorBidi"/>
          <w:color w:val="000000"/>
          <w:lang w:val="en-GB"/>
        </w:rPr>
        <w:t>κB</w:t>
      </w:r>
      <w:proofErr w:type="spellEnd"/>
      <w:r w:rsidR="007E53B5" w:rsidRPr="00224457">
        <w:rPr>
          <w:rFonts w:asciiTheme="minorBidi" w:hAnsiTheme="minorBidi" w:cstheme="minorBidi"/>
          <w:color w:val="000000"/>
          <w:lang w:val="en-GB"/>
        </w:rPr>
        <w:t xml:space="preserve"> signalling pathway to produce IL-6, TNF and IL-8</w:t>
      </w:r>
      <w:r w:rsidR="007E53B5">
        <w:rPr>
          <w:rFonts w:asciiTheme="minorBidi" w:hAnsiTheme="minorBidi" w:cstheme="minorBidi"/>
          <w:color w:val="000000"/>
          <w:lang w:val="en-GB"/>
        </w:rPr>
        <w:t xml:space="preserve"> </w:t>
      </w:r>
      <w:r w:rsidR="007E53B5">
        <w:rPr>
          <w:rFonts w:asciiTheme="minorBidi" w:hAnsiTheme="minorBidi" w:cstheme="minorBidi"/>
          <w:color w:val="000000"/>
          <w:lang w:val="en-GB"/>
        </w:rPr>
        <w:fldChar w:fldCharType="begin"/>
      </w:r>
      <w:r w:rsidR="00B470C2">
        <w:rPr>
          <w:rFonts w:asciiTheme="minorBidi" w:hAnsiTheme="minorBidi" w:cstheme="minorBidi"/>
          <w:color w:val="000000"/>
          <w:lang w:val="en-GB"/>
        </w:rPr>
        <w:instrText xml:space="preserve"> ADDIN ZOTERO_ITEM CSL_CITATION {"citationID":"xNaMiBAb","properties":{"formattedCitation":"(M. Li et al., 2012)","plainCitation":"(M. Li et al., 2012)","dontUpdate":true,"noteIndex":0},"citationItems":[{"id":8694,"uris":["http://zotero.org/users/2543086/items/4ZUEESLE"],"itemData":{"id":8694,"type":"article-journal","container-title":"Journal of Dermatological Science","DOI":"10.1016/j.jdermsci.2012.01.003","ISSN":"1873-569X","issue":"1","journalAbbreviation":"J Dermatol Sci","language":"eng","note":"PMID: 22305616","page":"80-82","source":"PubMed","title":"Inflammatory response of human keratinocytes triggered by Sporothrix schenckii via Toll-like receptor 2 and 4","volume":"66","author":[{"family":"Li","given":"Min"},{"family":"Chen","given":"Qing"},{"family":"Sun","given":"Jun"},{"family":"Shen","given":"Yongnian"},{"family":"Liu","given":"Weida"}],"issued":{"date-parts":[["2012",4]]}}}],"schema":"https://github.com/citation-style-language/schema/raw/master/csl-citation.json"} </w:instrText>
      </w:r>
      <w:r w:rsidR="007E53B5">
        <w:rPr>
          <w:rFonts w:asciiTheme="minorBidi" w:hAnsiTheme="minorBidi" w:cstheme="minorBidi"/>
          <w:color w:val="000000"/>
          <w:lang w:val="en-GB"/>
        </w:rPr>
        <w:fldChar w:fldCharType="separate"/>
      </w:r>
      <w:r w:rsidR="007E53B5">
        <w:rPr>
          <w:rFonts w:asciiTheme="minorBidi" w:hAnsiTheme="minorBidi" w:cstheme="minorBidi"/>
          <w:noProof/>
          <w:color w:val="000000"/>
          <w:lang w:val="en-GB"/>
        </w:rPr>
        <w:t>(Li et al., 2012)</w:t>
      </w:r>
      <w:r w:rsidR="007E53B5">
        <w:rPr>
          <w:rFonts w:asciiTheme="minorBidi" w:hAnsiTheme="minorBidi" w:cstheme="minorBidi"/>
          <w:color w:val="000000"/>
          <w:lang w:val="en-GB"/>
        </w:rPr>
        <w:fldChar w:fldCharType="end"/>
      </w:r>
      <w:r w:rsidR="007E53B5">
        <w:rPr>
          <w:rFonts w:asciiTheme="minorBidi" w:hAnsiTheme="minorBidi" w:cstheme="minorBidi"/>
          <w:color w:val="000000"/>
          <w:lang w:val="en-GB"/>
        </w:rPr>
        <w:t xml:space="preserve">. </w:t>
      </w:r>
      <w:r w:rsidR="00A00405">
        <w:rPr>
          <w:rFonts w:asciiTheme="minorBidi" w:hAnsiTheme="minorBidi" w:cstheme="minorBidi"/>
          <w:color w:val="000000"/>
          <w:lang w:val="en-GB"/>
        </w:rPr>
        <w:t xml:space="preserve">Following the recognition step, </w:t>
      </w:r>
      <w:r w:rsidR="00A00405">
        <w:rPr>
          <w:rFonts w:ascii="Arial" w:hAnsi="Arial" w:cs="Arial"/>
        </w:rPr>
        <w:t xml:space="preserve">cytokines and chemokines released to attract phagocytic cells and process inflammatory response </w:t>
      </w:r>
      <w:r w:rsidR="00A00405">
        <w:rPr>
          <w:rFonts w:ascii="Arial" w:hAnsi="Arial" w:cs="Arial"/>
        </w:rPr>
        <w:fldChar w:fldCharType="begin"/>
      </w:r>
      <w:r w:rsidR="00A00405">
        <w:rPr>
          <w:rFonts w:ascii="Arial" w:hAnsi="Arial" w:cs="Arial"/>
        </w:rPr>
        <w:instrText xml:space="preserve"> ADDIN ZOTERO_ITEM CSL_CITATION {"citationID":"b3kRmn20","properties":{"formattedCitation":"(Hatinguais et al., 2020)","plainCitation":"(Hatinguais et al., 2020)","noteIndex":0},"citationItems":[{"id":8613,"uris":["http://zotero.org/users/2543086/items/9FRNQ5DP"],"itemData":{"id":8613,"type":"article-journal","abstract":"Fungi are opportunistic pathogens that infect immunocompromised patients and are responsible for an estimated 1.5 million deaths every year. The antifungal innate immune response is mediated through the recognition of pathogen-associated molecular patterns (PAMPs) by the host's pattern recognition receptors (PRRs). PRRs are immune receptors that ensure the internalisation and the killing of fungal pathogens. They also mount the inflammatory response, which contributes to initiate and polarise the adaptive response, controlled by lymphocytes. Both the innate and adaptive immune responses are required to control fungal infections. The immune recognition of fungal pathogen primarily occurs at the interface between the membrane of innate immune cells and the fungal cell wall, which contains a number of PAMPs. This chapter will focus on describing the main mammalian PRRs that have been shown to bind to PAMPs from the fungal cell wall of the four main fungal pathogens: Candida albicans, Aspergillus fumigatus, Cryptococcus neoformans and Pneumocystis jirovecii. We will describe these receptors, their functions and ligands to provide the reader with an overview of how the immune system recognises fungal pathogens and responds to them.","container-title":"Current Topics in Microbiology and Immunology","DOI":"10.1007/82_2020_201","ISSN":"0070-217X","journalAbbreviation":"Curr Top Microbiol Immunol","language":"eng","note":"PMID: 32180018","page":"187-223","source":"PubMed","title":"PAMPs of the Fungal Cell Wall and Mammalian PRRs","volume":"425","author":[{"family":"Hatinguais","given":"Remi"},{"family":"Willment","given":"Janet A."},{"family":"Brown","given":"Gordon D."}],"issued":{"date-parts":[["2020"]]}}}],"schema":"https://github.com/citation-style-language/schema/raw/master/csl-citation.json"} </w:instrText>
      </w:r>
      <w:r w:rsidR="00A00405">
        <w:rPr>
          <w:rFonts w:ascii="Arial" w:hAnsi="Arial" w:cs="Arial"/>
        </w:rPr>
        <w:fldChar w:fldCharType="separate"/>
      </w:r>
      <w:r w:rsidR="00A00405">
        <w:rPr>
          <w:rFonts w:ascii="Arial" w:hAnsi="Arial" w:cs="Arial"/>
          <w:noProof/>
        </w:rPr>
        <w:t>(Hatinguais et al., 2020)</w:t>
      </w:r>
      <w:r w:rsidR="00A00405">
        <w:rPr>
          <w:rFonts w:ascii="Arial" w:hAnsi="Arial" w:cs="Arial"/>
        </w:rPr>
        <w:fldChar w:fldCharType="end"/>
      </w:r>
      <w:r w:rsidR="00A00405">
        <w:rPr>
          <w:rFonts w:ascii="Arial" w:hAnsi="Arial" w:cs="Arial"/>
        </w:rPr>
        <w:t xml:space="preserve">. </w:t>
      </w:r>
      <w:r w:rsidR="00330BFD">
        <w:rPr>
          <w:rStyle w:val="Strong"/>
          <w:rFonts w:ascii="Arial" w:eastAsiaTheme="majorEastAsia" w:hAnsi="Arial" w:cs="Arial"/>
          <w:b w:val="0"/>
          <w:bCs w:val="0"/>
        </w:rPr>
        <w:t xml:space="preserve">Tracking </w:t>
      </w:r>
      <w:r w:rsidR="00330BFD" w:rsidRPr="002A3021">
        <w:rPr>
          <w:rStyle w:val="Strong"/>
          <w:rFonts w:ascii="Arial" w:eastAsiaTheme="majorEastAsia" w:hAnsi="Arial" w:cs="Arial"/>
          <w:b w:val="0"/>
          <w:bCs w:val="0"/>
        </w:rPr>
        <w:t xml:space="preserve">neutrophils, macrophages, and dendritic cells </w:t>
      </w:r>
      <w:r w:rsidR="00330BFD">
        <w:rPr>
          <w:rStyle w:val="Strong"/>
          <w:rFonts w:ascii="Arial" w:eastAsiaTheme="majorEastAsia" w:hAnsi="Arial" w:cs="Arial"/>
          <w:b w:val="0"/>
          <w:bCs w:val="0"/>
        </w:rPr>
        <w:t xml:space="preserve">(DCs) </w:t>
      </w:r>
      <w:r w:rsidR="00330BFD" w:rsidRPr="002A3021">
        <w:rPr>
          <w:rStyle w:val="Strong"/>
          <w:rFonts w:ascii="Arial" w:eastAsiaTheme="majorEastAsia" w:hAnsi="Arial" w:cs="Arial"/>
          <w:b w:val="0"/>
          <w:bCs w:val="0"/>
        </w:rPr>
        <w:t xml:space="preserve">directly </w:t>
      </w:r>
      <w:r w:rsidR="00330BFD">
        <w:rPr>
          <w:rStyle w:val="Strong"/>
          <w:rFonts w:ascii="Arial" w:eastAsiaTheme="majorEastAsia" w:hAnsi="Arial" w:cs="Arial"/>
          <w:b w:val="0"/>
          <w:bCs w:val="0"/>
        </w:rPr>
        <w:t xml:space="preserve">to the site of infection enhance </w:t>
      </w:r>
      <w:r w:rsidR="00330BFD" w:rsidRPr="002A3021">
        <w:rPr>
          <w:rStyle w:val="Strong"/>
          <w:rFonts w:ascii="Arial" w:eastAsiaTheme="majorEastAsia" w:hAnsi="Arial" w:cs="Arial"/>
          <w:b w:val="0"/>
          <w:bCs w:val="0"/>
        </w:rPr>
        <w:t xml:space="preserve">fungal </w:t>
      </w:r>
      <w:r w:rsidR="00330BFD">
        <w:rPr>
          <w:rStyle w:val="Strong"/>
          <w:rFonts w:ascii="Arial" w:eastAsiaTheme="majorEastAsia" w:hAnsi="Arial" w:cs="Arial"/>
          <w:b w:val="0"/>
          <w:bCs w:val="0"/>
        </w:rPr>
        <w:t>elements clearance via phagocytosis and</w:t>
      </w:r>
      <w:r w:rsidR="00330BFD" w:rsidRPr="002A3021">
        <w:rPr>
          <w:rStyle w:val="Strong"/>
          <w:rFonts w:ascii="Arial" w:eastAsiaTheme="majorEastAsia" w:hAnsi="Arial" w:cs="Arial"/>
          <w:b w:val="0"/>
          <w:bCs w:val="0"/>
        </w:rPr>
        <w:t xml:space="preserve"> generating reactive oxygen species (ROS)</w:t>
      </w:r>
      <w:r w:rsidR="00330BFD">
        <w:rPr>
          <w:rStyle w:val="Strong"/>
          <w:rFonts w:ascii="Arial" w:eastAsiaTheme="majorEastAsia" w:hAnsi="Arial" w:cs="Arial"/>
          <w:b w:val="0"/>
          <w:bCs w:val="0"/>
        </w:rPr>
        <w:t>.</w:t>
      </w:r>
      <w:r w:rsidR="00330BFD" w:rsidRPr="002A3021">
        <w:rPr>
          <w:rStyle w:val="Strong"/>
          <w:rFonts w:ascii="Arial" w:eastAsiaTheme="majorEastAsia" w:hAnsi="Arial" w:cs="Arial"/>
          <w:b w:val="0"/>
          <w:bCs w:val="0"/>
        </w:rPr>
        <w:t xml:space="preserve"> </w:t>
      </w:r>
      <w:r w:rsidR="00330BFD">
        <w:rPr>
          <w:rStyle w:val="Strong"/>
          <w:rFonts w:ascii="Arial" w:eastAsiaTheme="majorEastAsia" w:hAnsi="Arial" w:cs="Arial"/>
          <w:b w:val="0"/>
          <w:bCs w:val="0"/>
        </w:rPr>
        <w:t>R</w:t>
      </w:r>
      <w:r w:rsidR="00330BFD" w:rsidRPr="002A3021">
        <w:rPr>
          <w:rStyle w:val="Strong"/>
          <w:rFonts w:ascii="Arial" w:eastAsiaTheme="majorEastAsia" w:hAnsi="Arial" w:cs="Arial"/>
          <w:b w:val="0"/>
          <w:bCs w:val="0"/>
        </w:rPr>
        <w:t xml:space="preserve">eleasing neutrophil extracellular traps (NETs), and secreting </w:t>
      </w:r>
      <w:r w:rsidR="00330BFD">
        <w:rPr>
          <w:rStyle w:val="Strong"/>
          <w:rFonts w:ascii="Arial" w:eastAsiaTheme="majorEastAsia" w:hAnsi="Arial" w:cs="Arial"/>
          <w:b w:val="0"/>
          <w:bCs w:val="0"/>
        </w:rPr>
        <w:t>AMPs</w:t>
      </w:r>
      <w:r w:rsidR="00330BFD" w:rsidRPr="002A3021">
        <w:rPr>
          <w:rStyle w:val="Strong"/>
          <w:rFonts w:ascii="Arial" w:eastAsiaTheme="majorEastAsia" w:hAnsi="Arial" w:cs="Arial"/>
          <w:b w:val="0"/>
          <w:bCs w:val="0"/>
        </w:rPr>
        <w:t xml:space="preserve"> </w:t>
      </w:r>
      <w:r w:rsidR="00330BFD">
        <w:rPr>
          <w:rStyle w:val="Strong"/>
          <w:rFonts w:ascii="Arial" w:eastAsiaTheme="majorEastAsia" w:hAnsi="Arial" w:cs="Arial"/>
          <w:b w:val="0"/>
          <w:bCs w:val="0"/>
        </w:rPr>
        <w:t xml:space="preserve">are effectively kill fungal pathogens </w:t>
      </w:r>
      <w:r w:rsidR="00330BFD">
        <w:rPr>
          <w:rFonts w:ascii="Arial" w:hAnsi="Arial" w:cs="Arial"/>
        </w:rPr>
        <w:fldChar w:fldCharType="begin"/>
      </w:r>
      <w:r w:rsidR="00330BFD">
        <w:rPr>
          <w:rFonts w:ascii="Arial" w:hAnsi="Arial" w:cs="Arial"/>
        </w:rPr>
        <w:instrText xml:space="preserve"> ADDIN ZOTERO_ITEM CSL_CITATION {"citationID":"MtsxIEY1","properties":{"formattedCitation":"(Zhong et al., 2022)","plainCitation":"(Zhong et al., 2022)","noteIndex":0},"citationItems":[{"id":8615,"uris":["http://zotero.org/users/2543086/items/STFCFT8A"],"itemData":{"id":8615,"type":"article-journal","abstract":"Fungal infections are a growing health care challenge. Neutrophils play a key role in defense against fungal infections. There are many effective ways for neutrophils to eliminate fungal invaders, such as phagocytosis, oxidative bursts, and the formation of extracellular traps. This process has received considerable attention and has made rapid progress since neutrophil extracellular traps (NETs) formation was described. Here, we describe the formation, induction, and function of NETs, as well as fungal strategies against NETs hunting. We highlight the effects of NETs on common fungal pathogens and how these pathogens survive.","container-title":"Frontiers in Immunology","DOI":"10.3389/fimmu.2022.977493","ISSN":"1664-3224","journalAbbreviation":"Front. Immunol.","language":"English","note":"publisher: Frontiers","source":"Frontiers","title":"Neutrophil extracellular traps in fungal infections: A seesaw battle in hosts","title-short":"Neutrophil extracellular traps in fungal infections","URL":"https://www.frontiersin.org/journals/immunology/articles/10.3389/fimmu.2022.977493/full","volume":"13","author":[{"family":"Zhong","given":"Hua"},{"family":"Lu","given":"Ren-Yi"},{"family":"Wang","given":"Yan"}],"accessed":{"date-parts":[["2025",10,8]]},"issued":{"date-parts":[["2022",9,14]]}}}],"schema":"https://github.com/citation-style-language/schema/raw/master/csl-citation.json"} </w:instrText>
      </w:r>
      <w:r w:rsidR="00330BFD">
        <w:rPr>
          <w:rFonts w:ascii="Arial" w:hAnsi="Arial" w:cs="Arial"/>
        </w:rPr>
        <w:fldChar w:fldCharType="separate"/>
      </w:r>
      <w:r w:rsidR="00330BFD">
        <w:rPr>
          <w:rFonts w:ascii="Arial" w:hAnsi="Arial" w:cs="Arial"/>
          <w:noProof/>
        </w:rPr>
        <w:t>(Zhong et al., 2022)</w:t>
      </w:r>
      <w:r w:rsidR="00330BFD">
        <w:rPr>
          <w:rFonts w:ascii="Arial" w:hAnsi="Arial" w:cs="Arial"/>
        </w:rPr>
        <w:fldChar w:fldCharType="end"/>
      </w:r>
      <w:r w:rsidR="00330BFD" w:rsidRPr="0094332C">
        <w:rPr>
          <w:rFonts w:ascii="Arial" w:hAnsi="Arial" w:cs="Arial"/>
        </w:rPr>
        <w:t>.</w:t>
      </w:r>
      <w:r w:rsidR="00D33968">
        <w:rPr>
          <w:rFonts w:ascii="Arial" w:hAnsi="Arial" w:cs="Arial"/>
        </w:rPr>
        <w:t xml:space="preserve"> </w:t>
      </w:r>
    </w:p>
    <w:p w14:paraId="3B57F0EE" w14:textId="779502A0" w:rsidR="00CA0438" w:rsidRPr="00D33968" w:rsidRDefault="007E53B5" w:rsidP="00D33968">
      <w:pPr>
        <w:pStyle w:val="NormalWeb"/>
        <w:spacing w:before="0" w:beforeAutospacing="0" w:after="0" w:afterAutospacing="0" w:line="480" w:lineRule="auto"/>
        <w:jc w:val="both"/>
        <w:rPr>
          <w:rFonts w:ascii="Arial" w:hAnsi="Arial" w:cs="Arial"/>
        </w:rPr>
      </w:pPr>
      <w:r>
        <w:rPr>
          <w:rFonts w:asciiTheme="minorBidi" w:hAnsiTheme="minorBidi" w:cstheme="minorBidi"/>
          <w:color w:val="000000"/>
          <w:lang w:val="en-GB"/>
        </w:rPr>
        <w:t>L</w:t>
      </w:r>
      <w:r w:rsidRPr="00224457">
        <w:rPr>
          <w:rFonts w:asciiTheme="minorBidi" w:hAnsiTheme="minorBidi" w:cstheme="minorBidi"/>
          <w:color w:val="000000"/>
          <w:lang w:val="en-GB"/>
        </w:rPr>
        <w:t xml:space="preserve">arger population of </w:t>
      </w:r>
      <w:r>
        <w:rPr>
          <w:rFonts w:asciiTheme="minorBidi" w:hAnsiTheme="minorBidi" w:cstheme="minorBidi"/>
          <w:color w:val="000000"/>
          <w:lang w:val="en-GB"/>
        </w:rPr>
        <w:t>innate</w:t>
      </w:r>
      <w:r w:rsidRPr="00224457">
        <w:rPr>
          <w:rFonts w:asciiTheme="minorBidi" w:hAnsiTheme="minorBidi" w:cstheme="minorBidi"/>
          <w:color w:val="000000"/>
          <w:lang w:val="en-GB"/>
        </w:rPr>
        <w:t xml:space="preserve"> immune cells such as macrophages, DCs, NKs, mast cells,</w:t>
      </w:r>
      <w:r>
        <w:rPr>
          <w:rFonts w:asciiTheme="minorBidi" w:hAnsiTheme="minorBidi" w:cstheme="minorBidi"/>
          <w:color w:val="000000"/>
          <w:lang w:val="en-GB"/>
        </w:rPr>
        <w:t xml:space="preserve"> in addition to specialized adaptive immune cells</w:t>
      </w:r>
      <w:r w:rsidRPr="00224457">
        <w:rPr>
          <w:rFonts w:asciiTheme="minorBidi" w:hAnsiTheme="minorBidi" w:cstheme="minorBidi"/>
          <w:color w:val="000000"/>
          <w:lang w:val="en-GB"/>
        </w:rPr>
        <w:t xml:space="preserve"> </w:t>
      </w:r>
      <w:r>
        <w:rPr>
          <w:rFonts w:asciiTheme="minorBidi" w:hAnsiTheme="minorBidi" w:cstheme="minorBidi"/>
          <w:color w:val="000000"/>
          <w:lang w:val="en-GB"/>
        </w:rPr>
        <w:t xml:space="preserve">such as </w:t>
      </w:r>
      <w:r w:rsidRPr="00224457">
        <w:rPr>
          <w:rFonts w:asciiTheme="minorBidi" w:hAnsiTheme="minorBidi" w:cstheme="minorBidi"/>
          <w:color w:val="000000"/>
          <w:lang w:val="en-GB"/>
        </w:rPr>
        <w:t>CD4</w:t>
      </w:r>
      <w:r w:rsidRPr="00224457">
        <w:rPr>
          <w:rFonts w:asciiTheme="minorBidi" w:hAnsiTheme="minorBidi" w:cstheme="minorBidi"/>
          <w:color w:val="000000"/>
          <w:vertAlign w:val="superscript"/>
          <w:lang w:val="en-GB"/>
        </w:rPr>
        <w:t>+</w:t>
      </w:r>
      <w:r w:rsidRPr="00224457">
        <w:rPr>
          <w:rFonts w:asciiTheme="minorBidi" w:hAnsiTheme="minorBidi" w:cstheme="minorBidi"/>
          <w:color w:val="000000"/>
          <w:lang w:val="en-GB"/>
        </w:rPr>
        <w:t> T</w:t>
      </w:r>
      <w:r>
        <w:rPr>
          <w:rFonts w:asciiTheme="minorBidi" w:hAnsiTheme="minorBidi" w:cstheme="minorBidi"/>
          <w:color w:val="000000"/>
          <w:lang w:val="en-GB"/>
        </w:rPr>
        <w:t>-cell</w:t>
      </w:r>
      <w:r w:rsidRPr="00224457">
        <w:rPr>
          <w:rFonts w:asciiTheme="minorBidi" w:hAnsiTheme="minorBidi" w:cstheme="minorBidi"/>
          <w:color w:val="000000"/>
          <w:lang w:val="en-GB"/>
        </w:rPr>
        <w:t xml:space="preserve">, lymphocytes </w:t>
      </w:r>
      <w:proofErr w:type="spellStart"/>
      <w:r w:rsidRPr="00224457">
        <w:rPr>
          <w:rFonts w:asciiTheme="minorBidi" w:hAnsiTheme="minorBidi" w:cstheme="minorBidi"/>
          <w:color w:val="000000"/>
          <w:lang w:val="en-GB"/>
        </w:rPr>
        <w:t>γδ</w:t>
      </w:r>
      <w:proofErr w:type="spellEnd"/>
      <w:r w:rsidRPr="00224457">
        <w:rPr>
          <w:rFonts w:asciiTheme="minorBidi" w:hAnsiTheme="minorBidi" w:cstheme="minorBidi"/>
          <w:color w:val="000000"/>
          <w:lang w:val="en-GB"/>
        </w:rPr>
        <w:t xml:space="preserve"> T</w:t>
      </w:r>
      <w:r>
        <w:rPr>
          <w:rFonts w:asciiTheme="minorBidi" w:hAnsiTheme="minorBidi" w:cstheme="minorBidi"/>
          <w:color w:val="000000"/>
          <w:lang w:val="en-GB"/>
        </w:rPr>
        <w:t xml:space="preserve"> are localized within t</w:t>
      </w:r>
      <w:r w:rsidRPr="00224457">
        <w:rPr>
          <w:rFonts w:asciiTheme="minorBidi" w:hAnsiTheme="minorBidi" w:cstheme="minorBidi"/>
          <w:color w:val="000000"/>
          <w:lang w:val="en-GB"/>
        </w:rPr>
        <w:t xml:space="preserve">he dermis </w:t>
      </w:r>
      <w:r w:rsidRPr="00ED7C8A">
        <w:rPr>
          <w:rFonts w:asciiTheme="minorBidi" w:hAnsiTheme="minorBidi" w:cstheme="minorBidi"/>
          <w:color w:val="000000" w:themeColor="text1"/>
          <w:lang w:val="en-GB"/>
        </w:rPr>
        <w:t>layer</w:t>
      </w:r>
      <w:r w:rsidR="00204190" w:rsidRPr="00ED7C8A">
        <w:rPr>
          <w:rFonts w:asciiTheme="minorBidi" w:hAnsiTheme="minorBidi" w:cstheme="minorBidi"/>
          <w:color w:val="000000" w:themeColor="text1"/>
          <w:lang w:val="en-GB"/>
        </w:rPr>
        <w:t xml:space="preserve"> </w:t>
      </w:r>
      <w:r w:rsidR="00204190" w:rsidRPr="00ED7C8A">
        <w:rPr>
          <w:rFonts w:ascii="Arial" w:hAnsi="Arial" w:cs="Arial"/>
          <w:color w:val="000000" w:themeColor="text1"/>
        </w:rPr>
        <w:fldChar w:fldCharType="begin"/>
      </w:r>
      <w:r w:rsidR="00204190" w:rsidRPr="00ED7C8A">
        <w:rPr>
          <w:rFonts w:ascii="Arial" w:hAnsi="Arial" w:cs="Arial"/>
          <w:color w:val="000000" w:themeColor="text1"/>
        </w:rPr>
        <w:instrText xml:space="preserve"> ADDIN ZOTERO_ITEM CSL_CITATION {"citationID":"paRWGFEj","properties":{"formattedCitation":"(Moyes et al., 2021)","plainCitation":"(Moyes et al., 2021)","noteIndex":0},"citationItems":[{"id":8670,"uris":["http://zotero.org/users/2543086/items/APNKVJUE"],"itemData":{"id":8670,"type":"article-journal","abstract":"Fungal infections represent a major health concern, accounting for nearly 1.6 million deaths annually (Brown et al., 2012). Epidemiological reports have demonstrated a growth in the incidence of invasive mycoses, which are associated with immunossupression, such as diminished levels or activity of CD4 + T cells, as observed during the HIV infections, immunosupressive therapy for solid organ transplantation or autoimmune diseases, neutropenia or deficiencies in the neutrophil effector mechanisms (Suleyman and Alangaden, 2016). Risk factors for invasive mycosis paradoxically represent medical advances, such as the use of intravenous catheters, cancer chemotherapy and immunosupressive therapies which has created a growing population of vulnerable patients. Overall, invasive mycoses are associated with unacceptable high lethality rates, which reflects delayed diagnosis, immunosupression and poor responses to antifungal therapy. In particular, the menace posed by the resistance to standard antifungal therapies creates a worrisome scenario (Fairlamb et al., 2016).Integration of innate immune recognition, leukocyte effector responses and adaptive immunity is critical for the control of invasive mycoses. The relevance of the basic knowledge in the immunopathogenesis of mycoses can be observed by the growth in clinical immunomodulation studies, as a rational for new therapies against invasive mycoses (Williams et al., 2020). Thus, comprehension of the immunity to fungal pathogens offers new possibilities for the treatment of invasive mycoses. This topic discusses aspects of the innate immunity and leukocyte activation to fungal pathogens, the repertoire of B and T cell antigen receptors in experimental models of pneumocystosis, as well as a discussion about the control of the expression of fungal toxins involved in the modulation of host responses.Here, Thompson et al. investigate the role of Dectin-2 and Mincle in recognising different Candida speciesnotably C. albicans, C. parapsilosis, C. tropicalis and C. glabrata. They compare the cell wall composition of the different species, looking at cell wall thickness and phosphomannan content, and discussed that the importance of Mincle and Dectin-2 recognition in systemic murine infection models varies with the Candida species that is infecting, indicating the varied nature of fungal detection in the innate immune response.Neutrophil DNA extracellular traps (NETs) are formed in response to fungal pathogens and show fungicidal/fungistatic activity (Urban and Nett, 2019). Eosinophils ETs (EETs) have been observed in human samples from bronchopulmonary aspergillosis cases and human eosinophils release ETs in response to A. fumigatus conidia (Muniz et al., 2018). In this topic, Silva et al. present a review discussing the mechanisms involved in the release of NETs and EETs, in response to fungal pathogens, as well as the role of ETs in the immunity and pathogenesis of fungal infections. In this issue, Barroso et al. describe the signaling pathways involved in the EET formation in response to A. fumigatus. A. fumigatus-induced EET release requires the activity of Src kinases, class IA phosphatidylinositol 3-kinase δ (PI3KIδ), Akt and p38 kinase. Intracellular calcium mobilization is also required for EET formation in response to A. fumigatus, while PAD4mediated histone citrullination is dispensable. EET release does not require A. fumigatus viability, indicating that recognition of A. fumigatus molecular patterns is able to trigger EETosis, while fungal viability and expression of virulence factors are dispensable for the eosinophil activation culminating in the ET release.Fungal infections are a particular problem in the immunocompromised such as patients with HIV. Indeed, one of the defining features of AIDS is respiratory Pneumocystis infection. Normally, these infections are prevented by robust B and T cell responses (Thomas and Limper, 2007). Although gross examination of the different subsets of T cells during these infections has been identified, it is only recently that the tools have been developed to increase the resolution of the T cell immunophenotypes. In this issue, Yang et al. use a combination single cell TCR-Seq and single cell RNA-Seq to identify the subsets of T cells that respond to Pneumocystis infection. In doing so, they reveal the composition and characteristics of clonally expanding T cells, along with their TCR repertoire.In a similar approach, Sun et. al. integrated single-cell RNA and BCR sequencing of immune cells from mouse lungs, comparing uninfected state to 1-4 weeks postinfection groups to detail the dynamic nature of B cell responses during Pneumocystis infection, with ongoing increased plasma cells elevated ratio of (IgA+ IgG) to (IgD+ IgM) after infection. Despite the clonal expansion post-infection, BCR repertoire diversity decreased, with B cell transcriptional changes including a biased usage of V(D)J genes and higher frequency of somatic hypermutation in comparison to na&amp;#239;ve B cells, offering valuable information and tools for the development of immunotherapeutic targets and diagnostic biomarkers.The modulation of inflammatory responses during fungal infections, particularly in the context of how each IL-1 subfamily (IL-1, IL-18, IL-36) members, despite of their clearly defined roles, could act together in determining the disease outcome is reviewed by Griffiths et. al. The authors address their mechanism of induction, the main cellular types responsible for their expression and processing and the immunological and other functional roles of each subfamily member. The authors tackle deeply how several endemically important fungal pathogens could differentially induce each of these IL-1 subfamily cytokines. Their therapeutic potential is further described as modulation of receptors or proteins regulating the IL-1 subfamily might enhance protective anti-fungal immunity or resolve excessive damaging immune responses.Host and fungus interactions trigger responses in a two-way signaling that will lead to fungal adaptation to the host environment, for example the hyphal growth in Candida species. Notably, these interactions can lead to the secretion of different mycotoxins, including ochratoxin, which can mediate different aspects of the pathology associated with infection. In this issue, Gao et al. review the role of G protein coupled receptors (GCPR) in fungi, and their role in regulating the synthesis of mycotoxins. Accordingly, the authors explore the current limited state of knowledge of fungal GPCR biology and how these circuits regulate fungal behavior and mycotoxin synthesis. In doing so, they discuss the importance of these receptors as potential targets in modulating the synthesis of secondary fungal metabolites and regulating fungal behavior.All authors contributed to manuscript revision and draft, read, and approved the submitted version.","container-title":"Frontiers in Microbiology","DOI":"10.3389/fmicb.2021.714013","ISSN":"1664-302X","journalAbbreviation":"Front. Microbiol.","language":"English","note":"publisher: Frontiers","source":"Frontiers","title":"Editorial: Immunity to Fungal Infections: Insights From the Innate Immune Recognition and Antifungal Effector Mechanisms","title-short":"Editorial","URL":"https://www.frontiersin.org/journals/microbiology/articles/10.3389/fmicb.2021.714013/full","volume":"12","author":[{"family":"Moyes","given":"David L."},{"family":"Guimarães","given":"Allan J."},{"family":"Figueiredo","given":"Rodrigo T."}],"accessed":{"date-parts":[["2025",10,9]]},"issued":{"date-parts":[["2021",7,15]]}}}],"schema":"https://github.com/citation-style-language/schema/raw/master/csl-citation.json"} </w:instrText>
      </w:r>
      <w:r w:rsidR="00204190" w:rsidRPr="00ED7C8A">
        <w:rPr>
          <w:rFonts w:ascii="Arial" w:hAnsi="Arial" w:cs="Arial"/>
          <w:color w:val="000000" w:themeColor="text1"/>
        </w:rPr>
        <w:fldChar w:fldCharType="separate"/>
      </w:r>
      <w:r w:rsidR="00204190" w:rsidRPr="00ED7C8A">
        <w:rPr>
          <w:rFonts w:ascii="Arial" w:hAnsi="Arial" w:cs="Arial"/>
          <w:noProof/>
          <w:color w:val="000000" w:themeColor="text1"/>
        </w:rPr>
        <w:t>(Moyes et al., 2021)</w:t>
      </w:r>
      <w:r w:rsidR="00204190" w:rsidRPr="00ED7C8A">
        <w:rPr>
          <w:rFonts w:ascii="Arial" w:hAnsi="Arial" w:cs="Arial"/>
          <w:color w:val="000000" w:themeColor="text1"/>
        </w:rPr>
        <w:fldChar w:fldCharType="end"/>
      </w:r>
      <w:r w:rsidRPr="00ED7C8A">
        <w:rPr>
          <w:rFonts w:asciiTheme="minorBidi" w:hAnsiTheme="minorBidi" w:cstheme="minorBidi"/>
          <w:color w:val="000000" w:themeColor="text1"/>
          <w:lang w:val="en-GB"/>
        </w:rPr>
        <w:t>. For this reason, t</w:t>
      </w:r>
      <w:r w:rsidRPr="00224457">
        <w:rPr>
          <w:rFonts w:asciiTheme="minorBidi" w:hAnsiTheme="minorBidi" w:cstheme="minorBidi"/>
          <w:color w:val="000000" w:themeColor="text1"/>
          <w:lang w:val="en-GB"/>
        </w:rPr>
        <w:t xml:space="preserve">he skin is the first </w:t>
      </w:r>
      <w:r w:rsidRPr="00ED7C8A">
        <w:rPr>
          <w:rFonts w:asciiTheme="minorBidi" w:hAnsiTheme="minorBidi" w:cstheme="minorBidi"/>
          <w:color w:val="000000" w:themeColor="text1"/>
          <w:lang w:val="en-GB"/>
        </w:rPr>
        <w:t>mechanical</w:t>
      </w:r>
      <w:r w:rsidRPr="00224457">
        <w:rPr>
          <w:rFonts w:asciiTheme="minorBidi" w:hAnsiTheme="minorBidi" w:cstheme="minorBidi"/>
          <w:color w:val="000000" w:themeColor="text1"/>
          <w:lang w:val="en-GB"/>
        </w:rPr>
        <w:t xml:space="preserve"> barrier </w:t>
      </w:r>
      <w:r w:rsidRPr="00ED7C8A">
        <w:rPr>
          <w:rFonts w:asciiTheme="minorBidi" w:hAnsiTheme="minorBidi" w:cstheme="minorBidi"/>
          <w:color w:val="000000" w:themeColor="text1"/>
          <w:lang w:val="en-GB"/>
        </w:rPr>
        <w:t xml:space="preserve">prevent </w:t>
      </w:r>
      <w:r w:rsidRPr="00224457">
        <w:rPr>
          <w:rFonts w:asciiTheme="minorBidi" w:hAnsiTheme="minorBidi" w:cstheme="minorBidi"/>
          <w:color w:val="000000" w:themeColor="text1"/>
          <w:lang w:val="en-GB"/>
        </w:rPr>
        <w:t>fungal infections</w:t>
      </w:r>
      <w:r w:rsidRPr="00ED7C8A">
        <w:rPr>
          <w:rFonts w:asciiTheme="minorBidi" w:hAnsiTheme="minorBidi" w:cstheme="minorBidi"/>
          <w:color w:val="000000" w:themeColor="text1"/>
          <w:lang w:val="en-GB"/>
        </w:rPr>
        <w:t>.</w:t>
      </w:r>
      <w:r w:rsidR="00AC7DF6" w:rsidRPr="00ED7C8A">
        <w:rPr>
          <w:rFonts w:asciiTheme="minorBidi" w:hAnsiTheme="minorBidi" w:cstheme="minorBidi"/>
          <w:color w:val="000000" w:themeColor="text1"/>
          <w:lang w:val="en-GB"/>
        </w:rPr>
        <w:t xml:space="preserve"> </w:t>
      </w:r>
      <w:r w:rsidR="00CA0438" w:rsidRPr="00ED7C8A">
        <w:rPr>
          <w:rFonts w:ascii="Arial" w:hAnsi="Arial" w:cs="Arial"/>
          <w:color w:val="000000" w:themeColor="text1"/>
        </w:rPr>
        <w:t xml:space="preserve">Additionally, antimicrobial peptides (AMPs) exhibit broad-spectrum antimicrobial function that plays an essential role in fungal protection in the human organs, like the skin, respiratory tract, digestive system, and bodily fluids such as mucus, saliva, tears, and breast milk </w:t>
      </w:r>
      <w:r w:rsidR="00CA0438" w:rsidRPr="00ED7C8A">
        <w:rPr>
          <w:rFonts w:ascii="Arial" w:hAnsi="Arial" w:cs="Arial"/>
          <w:color w:val="000000" w:themeColor="text1"/>
        </w:rPr>
        <w:fldChar w:fldCharType="begin"/>
      </w:r>
      <w:r w:rsidR="00CA0438" w:rsidRPr="00ED7C8A">
        <w:rPr>
          <w:rFonts w:ascii="Arial" w:hAnsi="Arial" w:cs="Arial"/>
          <w:color w:val="000000" w:themeColor="text1"/>
        </w:rPr>
        <w:instrText xml:space="preserve"> ADDIN ZOTERO_ITEM CSL_CITATION {"citationID":"CXly4EF2","properties":{"formattedCitation":"(Abdul-Kareem et al., 2023; Burgess et al., 2022)","plainCitation":"(Abdul-Kareem et al., 2023; Burgess et al., 2022)","noteIndex":0},"citationItems":[{"id":5886,"uris":["http://zotero.org/users/2543086/items/YDV38A6A"],"itemData":{"id":5886,"type":"article-journal","abstract":"Understanding the role of salivary constituents, such as lactoferrin, lysozyme, and secretory immunoglobulin A (sIgA), in immune protection and defense mechanisms against microbial invasion and colonization of the airways is important in light of the ongoing severe acute respiratory syndrome coronavirus 2 (SARS-CoV-2) pandemic. The salivary immune barrier in individuals affected by COVID-19 may contribute to disease prognosis. Thus, the aim of the present review is to evaluate the effect of COVID-19 vaccines on the immunological composition of saliva. IgA antibodies generated by vaccination can neutralize the virus at mucosal surfaces, whereas antimicrobial peptides, such as lysozyme and lactoferrin, have broad-spectrum antimicrobial activity. Collectively, these components contribute to the protective immune response of the oral cavity and may help minimize viral transmission as well as the severity of COVID-19. Measuring the levels of these components in the saliva of COVID-19-vaccinated individuals can help in evaluating the vaccine's ability to induce mucosal immunity, and it might also provide insights into whether saliva can be used in diagnostics or surveillance for monitoring immune responses following vaccination. This also has implications for viral transmission.","container-title":"Archives of Virology","DOI":"10.1007/s00705-023-05914-3","ISSN":"1432-8798","issue":"12","journalAbbreviation":"Arch Virol","language":"en","page":"293","source":"Springer Link","title":"Impact of COVID-19 vaccination on saliva immune barriers: IgA, lysozyme, and lactoferrin","title-short":"Impact of COVID-19 vaccination on saliva immune barriers","volume":"168","author":[{"family":"Abdul-Kareem","given":"Hanadi H."},{"family":"Al-Maqtoofi","given":"Marwan Y."},{"family":"Burghal","given":"Ahmed A."}],"issued":{"date-parts":[["2023",11,16]]}}},{"id":8610,"uris":["http://zotero.org/users/2543086/items/QJDJN9GV"],"itemData":{"id":8610,"type":"article-journal","abstract":"Immunocompromised individuals are at high risk of developing severe fungal infections with high mortality rates, while fungal pathogens pose little risk to most healthy people. Poor therapeutic outcomes and growing antifungal resistance pose further challenges for treatments. Identifying specific immunomodulatory mechanisms exploited by fungal pathogens is critical for our understanding of fungal diseases and development of new therapies. A gap currently exists between the large body of literature concerning the innate immune response to fungal infections and the potential manipulation of host immune responses to aid clearance of infection. This review considers the innate immune mechanisms the host deploys to prevent fungal infection and how these mechanisms fail in immunocompromised hosts. Three clinically relevant fungal pathogens (Candida albicans, Cryptococcus spp. and Aspergillus spp.) will be explored. This review will also examine potential mechanisms of targeting the host therapeutically to improve outcomes of fungal infection.","container-title":"Journal of Fungi","DOI":"10.3390/jof8080805","ISSN":"2309-608X","issue":"8","journalAbbreviation":"J Fungi (Basel)","note":"PMID: 36012793\nPMCID: PMC9409918","page":"805","source":"PubMed Central","title":"A Fun-Guide to Innate Immune Responses to Fungal Infections","volume":"8","author":[{"family":"Burgess","given":"Thomas B."},{"family":"Condliffe","given":"Alison M."},{"family":"Elks","given":"Philip M."}],"issued":{"date-parts":[["2022",7,29]]}}}],"schema":"https://github.com/citation-style-language/schema/raw/master/csl-citation.json"} </w:instrText>
      </w:r>
      <w:r w:rsidR="00CA0438" w:rsidRPr="00ED7C8A">
        <w:rPr>
          <w:rFonts w:ascii="Arial" w:hAnsi="Arial" w:cs="Arial"/>
          <w:color w:val="000000" w:themeColor="text1"/>
        </w:rPr>
        <w:fldChar w:fldCharType="separate"/>
      </w:r>
      <w:r w:rsidR="00CA0438" w:rsidRPr="00ED7C8A">
        <w:rPr>
          <w:rFonts w:ascii="Arial" w:hAnsi="Arial" w:cs="Arial"/>
          <w:noProof/>
          <w:color w:val="000000" w:themeColor="text1"/>
        </w:rPr>
        <w:t>(Abdul-Kareem et al., 2023; Burgess et al., 2022)</w:t>
      </w:r>
      <w:r w:rsidR="00CA0438" w:rsidRPr="00ED7C8A">
        <w:rPr>
          <w:rFonts w:ascii="Arial" w:hAnsi="Arial" w:cs="Arial"/>
          <w:color w:val="000000" w:themeColor="text1"/>
        </w:rPr>
        <w:fldChar w:fldCharType="end"/>
      </w:r>
      <w:r w:rsidR="00CA0438" w:rsidRPr="00ED7C8A">
        <w:rPr>
          <w:rFonts w:ascii="Arial" w:hAnsi="Arial" w:cs="Arial"/>
          <w:color w:val="000000" w:themeColor="text1"/>
        </w:rPr>
        <w:t>.</w:t>
      </w:r>
    </w:p>
    <w:p w14:paraId="37C2AC6F" w14:textId="39B263A8" w:rsidR="00CA0438" w:rsidRPr="0094332C" w:rsidRDefault="00CA0438" w:rsidP="00F87C93">
      <w:pPr>
        <w:pStyle w:val="NormalWeb"/>
        <w:spacing w:before="0" w:beforeAutospacing="0" w:after="0" w:afterAutospacing="0" w:line="480" w:lineRule="auto"/>
        <w:jc w:val="both"/>
        <w:rPr>
          <w:rFonts w:ascii="Arial" w:hAnsi="Arial" w:cs="Arial"/>
        </w:rPr>
      </w:pPr>
      <w:r w:rsidRPr="00A17156">
        <w:rPr>
          <w:rFonts w:ascii="Arial" w:hAnsi="Arial" w:cs="Arial"/>
        </w:rPr>
        <w:t>D</w:t>
      </w:r>
      <w:r>
        <w:rPr>
          <w:rFonts w:ascii="Arial" w:hAnsi="Arial" w:cs="Arial"/>
        </w:rPr>
        <w:t>C</w:t>
      </w:r>
      <w:r w:rsidRPr="00A17156">
        <w:rPr>
          <w:rFonts w:ascii="Arial" w:hAnsi="Arial" w:cs="Arial"/>
        </w:rPr>
        <w:t xml:space="preserve">s </w:t>
      </w:r>
      <w:r>
        <w:rPr>
          <w:rFonts w:ascii="Arial" w:hAnsi="Arial" w:cs="Arial"/>
        </w:rPr>
        <w:t>have</w:t>
      </w:r>
      <w:r w:rsidRPr="00A17156">
        <w:rPr>
          <w:rFonts w:ascii="Arial" w:hAnsi="Arial" w:cs="Arial"/>
        </w:rPr>
        <w:t xml:space="preserve"> a </w:t>
      </w:r>
      <w:r>
        <w:rPr>
          <w:rFonts w:ascii="Arial" w:hAnsi="Arial" w:cs="Arial"/>
        </w:rPr>
        <w:t>critical</w:t>
      </w:r>
      <w:r w:rsidRPr="00A17156">
        <w:rPr>
          <w:rFonts w:ascii="Arial" w:hAnsi="Arial" w:cs="Arial"/>
        </w:rPr>
        <w:t xml:space="preserve"> </w:t>
      </w:r>
      <w:r>
        <w:rPr>
          <w:rFonts w:ascii="Arial" w:hAnsi="Arial" w:cs="Arial"/>
        </w:rPr>
        <w:t>role in evoking</w:t>
      </w:r>
      <w:r w:rsidRPr="00A17156">
        <w:rPr>
          <w:rFonts w:ascii="Arial" w:hAnsi="Arial" w:cs="Arial"/>
        </w:rPr>
        <w:t xml:space="preserve"> </w:t>
      </w:r>
      <w:r>
        <w:rPr>
          <w:rFonts w:ascii="Arial" w:hAnsi="Arial" w:cs="Arial"/>
        </w:rPr>
        <w:t xml:space="preserve">the </w:t>
      </w:r>
      <w:r w:rsidRPr="00A17156">
        <w:rPr>
          <w:rFonts w:ascii="Arial" w:hAnsi="Arial" w:cs="Arial"/>
        </w:rPr>
        <w:t xml:space="preserve">adaptive immunity by capturing fungal antigens and presenting them to naïve T cells in </w:t>
      </w:r>
      <w:r>
        <w:rPr>
          <w:rFonts w:ascii="Arial" w:hAnsi="Arial" w:cs="Arial"/>
        </w:rPr>
        <w:t xml:space="preserve">secondary </w:t>
      </w:r>
      <w:r w:rsidRPr="00A17156">
        <w:rPr>
          <w:rFonts w:ascii="Arial" w:hAnsi="Arial" w:cs="Arial"/>
        </w:rPr>
        <w:t xml:space="preserve">lymphoid tissues </w:t>
      </w:r>
      <w:r>
        <w:rPr>
          <w:rFonts w:ascii="Arial" w:hAnsi="Arial" w:cs="Arial"/>
        </w:rPr>
        <w:fldChar w:fldCharType="begin"/>
      </w:r>
      <w:r>
        <w:rPr>
          <w:rFonts w:ascii="Arial" w:hAnsi="Arial" w:cs="Arial"/>
        </w:rPr>
        <w:instrText xml:space="preserve"> ADDIN ZOTERO_ITEM CSL_CITATION {"citationID":"0ylYWwKZ","properties":{"formattedCitation":"(Feldman et al., 2019)","plainCitation":"(Feldman et al., 2019)","noteIndex":0},"citationItems":[{"id":8617,"uris":["http://zotero.org/users/2543086/items/C8RMAU43"],"itemData":{"id":8617,"type":"article-journal","abstract":"Phagocytosis is an essential step in the innate immune response to invasive fungal infections. This process is carried out by a proverbial “village” of professional phagocytic cells, which have evolved efficient machinery to recognize and ingest pathogens, namely macrophages, neutrophils and dendritic cells. These innate immune cells drive early cytokine production, fungicidal activity, antigen presentation and activation of the adaptive immune system. Despite the development of antifungal agents with potent activity, the biological activity of professional phagocytic innate immune cells has proven indispensable in protecting a host from invasive fungal infections. Additionally, an emerging body of evidence suggests non-professional phagocytes, such as airway epithelial cells, carry out phagocytosis and may play a critical role in the elimination of fungal pathogens. Here, we review recent advances of phagocytosis by both professional and non-professional phagocytes in response to fungal pathogens, with a focus on invasive aspergillosis as a model disease.","container-title":"Seminars in cell &amp; developmental biology","DOI":"10.1016/j.semcdb.2018.04.008","ISSN":"1084-9521","journalAbbreviation":"Semin Cell Dev Biol","note":"PMID: 29727727\nPMCID: PMC6235731","page":"16-23","source":"PubMed Central","title":"It takes a village: phagocytes play a central role in fungal immunity","title-short":"It takes a village","volume":"89","author":[{"family":"Feldman","given":"Michael B."},{"family":"Vyas","given":"Jatin M."},{"family":"Mansour","given":"Michael K."}],"issued":{"date-parts":[["2019",5]]}}}],"schema":"https://github.com/citation-style-language/schema/raw/master/csl-citation.json"} </w:instrText>
      </w:r>
      <w:r>
        <w:rPr>
          <w:rFonts w:ascii="Arial" w:hAnsi="Arial" w:cs="Arial"/>
        </w:rPr>
        <w:fldChar w:fldCharType="separate"/>
      </w:r>
      <w:r>
        <w:rPr>
          <w:rFonts w:ascii="Arial" w:hAnsi="Arial" w:cs="Arial"/>
          <w:noProof/>
        </w:rPr>
        <w:t>(Feldman et al., 2019)</w:t>
      </w:r>
      <w:r>
        <w:rPr>
          <w:rFonts w:ascii="Arial" w:hAnsi="Arial" w:cs="Arial"/>
        </w:rPr>
        <w:fldChar w:fldCharType="end"/>
      </w:r>
      <w:r w:rsidRPr="0094332C">
        <w:rPr>
          <w:rFonts w:ascii="Arial" w:hAnsi="Arial" w:cs="Arial"/>
        </w:rPr>
        <w:t>.</w:t>
      </w:r>
      <w:r>
        <w:rPr>
          <w:rFonts w:ascii="Arial" w:hAnsi="Arial" w:cs="Arial"/>
        </w:rPr>
        <w:t xml:space="preserve"> </w:t>
      </w:r>
      <w:r w:rsidRPr="0094332C">
        <w:rPr>
          <w:rFonts w:ascii="Arial" w:hAnsi="Arial" w:cs="Arial"/>
        </w:rPr>
        <w:t xml:space="preserve">Recent </w:t>
      </w:r>
      <w:r>
        <w:rPr>
          <w:rFonts w:ascii="Arial" w:hAnsi="Arial" w:cs="Arial"/>
        </w:rPr>
        <w:t>studies</w:t>
      </w:r>
      <w:r w:rsidRPr="0094332C">
        <w:rPr>
          <w:rFonts w:ascii="Arial" w:hAnsi="Arial" w:cs="Arial"/>
        </w:rPr>
        <w:t xml:space="preserve"> </w:t>
      </w:r>
      <w:r>
        <w:rPr>
          <w:rFonts w:ascii="Arial" w:hAnsi="Arial" w:cs="Arial"/>
        </w:rPr>
        <w:t>showed</w:t>
      </w:r>
      <w:r w:rsidRPr="0094332C">
        <w:rPr>
          <w:rFonts w:ascii="Arial" w:hAnsi="Arial" w:cs="Arial"/>
        </w:rPr>
        <w:t xml:space="preserve"> that monocytes and natural killer (NK) cells can train immunity after exposure to fungal β-glucans </w:t>
      </w:r>
      <w:r>
        <w:rPr>
          <w:rFonts w:ascii="Arial" w:hAnsi="Arial" w:cs="Arial"/>
        </w:rPr>
        <w:fldChar w:fldCharType="begin"/>
      </w:r>
      <w:r>
        <w:rPr>
          <w:rFonts w:ascii="Arial" w:hAnsi="Arial" w:cs="Arial"/>
        </w:rPr>
        <w:instrText xml:space="preserve"> ADDIN ZOTERO_ITEM CSL_CITATION {"citationID":"aOxH6OPs","properties":{"formattedCitation":"(Quintin, 2019)","plainCitation":"(Quintin, 2019)","noteIndex":0},"citationItems":[{"id":8631,"uris":["http://zotero.org/users/2543086/items/37KKE65D"],"itemData":{"id":8631,"type":"article-journal","abstract":"The binary classification of mammalian immune memory is now obsolete. Innate immune cells carry memory characteristics. The overall capacity of innate immune cells to remember and alter their responses is referred as innate immune memory and the induction of a non-specific memory resulting in an enhanced immune status is termed “trained immunity”. Historically, trained immunity was first described as triggered by the human fungal pathogen Candida albicans. Since, numerous studies have accumulated and deciphered the main characteristics of trained immunity mediated by fungi and fungal components. This review aims at presenting the newly described aspect of memory in innate immunity with an emphasis on the historically fungal mediated one, covering the known molecular mechanisms associated with training. In addition, the review uncovers the numerous non-specific effect that β-glucans trigger in the context of infectious diseases and septicaemia, inflammatory diseases and cancer.","collection-title":"Mammalian innate immunity to fungal infection","container-title":"Seminars in Cell &amp; Developmental Biology","DOI":"10.1016/j.semcdb.2018.05.023","ISSN":"1084-9521","journalAbbreviation":"Seminars in Cell &amp; Developmental Biology","page":"71-77","source":"ScienceDirect","title":"Fungal mediated innate immune memory, what have we learned?","volume":"89","author":[{"family":"Quintin","given":"Jessica"}],"issued":{"date-parts":[["2019",5,1]]}}}],"schema":"https://github.com/citation-style-language/schema/raw/master/csl-citation.json"} </w:instrText>
      </w:r>
      <w:r>
        <w:rPr>
          <w:rFonts w:ascii="Arial" w:hAnsi="Arial" w:cs="Arial"/>
        </w:rPr>
        <w:fldChar w:fldCharType="separate"/>
      </w:r>
      <w:r>
        <w:rPr>
          <w:rFonts w:ascii="Arial" w:hAnsi="Arial" w:cs="Arial"/>
          <w:noProof/>
        </w:rPr>
        <w:t>(Quintin, 2019)</w:t>
      </w:r>
      <w:r>
        <w:rPr>
          <w:rFonts w:ascii="Arial" w:hAnsi="Arial" w:cs="Arial"/>
        </w:rPr>
        <w:fldChar w:fldCharType="end"/>
      </w:r>
      <w:r w:rsidRPr="0094332C">
        <w:rPr>
          <w:rFonts w:ascii="Arial" w:hAnsi="Arial" w:cs="Arial"/>
        </w:rPr>
        <w:t xml:space="preserve">. </w:t>
      </w:r>
    </w:p>
    <w:p w14:paraId="425DED39" w14:textId="77777777" w:rsidR="00CA0438" w:rsidRDefault="00CA0438" w:rsidP="00F87C93">
      <w:pPr>
        <w:pStyle w:val="NormalWeb"/>
        <w:spacing w:before="0" w:beforeAutospacing="0" w:after="0" w:afterAutospacing="0" w:line="480" w:lineRule="auto"/>
        <w:jc w:val="both"/>
        <w:rPr>
          <w:rStyle w:val="Strong"/>
          <w:rFonts w:ascii="Arial" w:eastAsiaTheme="majorEastAsia" w:hAnsi="Arial" w:cs="Arial"/>
        </w:rPr>
      </w:pPr>
    </w:p>
    <w:p w14:paraId="286287D0" w14:textId="77777777" w:rsidR="00CA0438" w:rsidRPr="0094332C" w:rsidRDefault="00CA0438" w:rsidP="00F87C93">
      <w:pPr>
        <w:pStyle w:val="NormalWeb"/>
        <w:spacing w:before="0" w:beforeAutospacing="0" w:after="0" w:afterAutospacing="0" w:line="480" w:lineRule="auto"/>
        <w:jc w:val="both"/>
        <w:rPr>
          <w:rFonts w:ascii="Arial" w:hAnsi="Arial" w:cs="Arial"/>
        </w:rPr>
      </w:pPr>
      <w:r w:rsidRPr="0094332C">
        <w:rPr>
          <w:rStyle w:val="Strong"/>
          <w:rFonts w:ascii="Arial" w:eastAsiaTheme="majorEastAsia" w:hAnsi="Arial" w:cs="Arial"/>
        </w:rPr>
        <w:lastRenderedPageBreak/>
        <w:t>Fungal Antigen Presentation</w:t>
      </w:r>
      <w:r>
        <w:rPr>
          <w:rStyle w:val="Strong"/>
          <w:rFonts w:ascii="Arial" w:eastAsiaTheme="majorEastAsia" w:hAnsi="Arial" w:cs="Arial"/>
        </w:rPr>
        <w:t xml:space="preserve"> and Adaptive Immunity</w:t>
      </w:r>
    </w:p>
    <w:p w14:paraId="670103D0" w14:textId="1A21E8B8" w:rsidR="00CA0438" w:rsidRPr="00FD0E59" w:rsidRDefault="00CA0438" w:rsidP="009D7B86">
      <w:pPr>
        <w:pStyle w:val="NormalWeb"/>
        <w:spacing w:before="0" w:beforeAutospacing="0" w:after="0" w:afterAutospacing="0" w:line="480" w:lineRule="auto"/>
        <w:jc w:val="both"/>
        <w:rPr>
          <w:rFonts w:ascii="Arial" w:hAnsi="Arial" w:cs="Arial"/>
          <w:color w:val="1B1B1B"/>
          <w:shd w:val="clear" w:color="auto" w:fill="FFFFFF"/>
        </w:rPr>
      </w:pPr>
      <w:r>
        <w:rPr>
          <w:rFonts w:ascii="Arial" w:hAnsi="Arial" w:cs="Arial"/>
          <w:color w:val="1B1B1B"/>
          <w:shd w:val="clear" w:color="auto" w:fill="FFFFFF"/>
        </w:rPr>
        <w:t>Managing</w:t>
      </w:r>
      <w:r w:rsidRPr="006976D7">
        <w:rPr>
          <w:rFonts w:ascii="Arial" w:hAnsi="Arial" w:cs="Arial"/>
          <w:color w:val="1B1B1B"/>
          <w:shd w:val="clear" w:color="auto" w:fill="FFFFFF"/>
        </w:rPr>
        <w:t xml:space="preserve"> fung</w:t>
      </w:r>
      <w:r>
        <w:rPr>
          <w:rFonts w:ascii="Arial" w:hAnsi="Arial" w:cs="Arial"/>
          <w:color w:val="1B1B1B"/>
          <w:shd w:val="clear" w:color="auto" w:fill="FFFFFF"/>
        </w:rPr>
        <w:t>al antigen detection requires</w:t>
      </w:r>
      <w:r w:rsidRPr="006976D7">
        <w:rPr>
          <w:rFonts w:ascii="Arial" w:hAnsi="Arial" w:cs="Arial"/>
          <w:color w:val="1B1B1B"/>
          <w:shd w:val="clear" w:color="auto" w:fill="FFFFFF"/>
        </w:rPr>
        <w:t xml:space="preserve"> </w:t>
      </w:r>
      <w:r>
        <w:rPr>
          <w:rFonts w:ascii="Arial" w:hAnsi="Arial" w:cs="Arial"/>
          <w:color w:val="1B1B1B"/>
          <w:shd w:val="clear" w:color="auto" w:fill="FFFFFF"/>
        </w:rPr>
        <w:t>coordinating</w:t>
      </w:r>
      <w:r w:rsidRPr="006976D7">
        <w:rPr>
          <w:rFonts w:ascii="Arial" w:hAnsi="Arial" w:cs="Arial"/>
          <w:color w:val="1B1B1B"/>
          <w:shd w:val="clear" w:color="auto" w:fill="FFFFFF"/>
        </w:rPr>
        <w:t xml:space="preserve"> </w:t>
      </w:r>
      <w:r>
        <w:rPr>
          <w:rFonts w:ascii="Arial" w:hAnsi="Arial" w:cs="Arial"/>
          <w:color w:val="1B1B1B"/>
          <w:shd w:val="clear" w:color="auto" w:fill="FFFFFF"/>
        </w:rPr>
        <w:t>the host's</w:t>
      </w:r>
      <w:r w:rsidRPr="006976D7">
        <w:rPr>
          <w:rFonts w:ascii="Arial" w:hAnsi="Arial" w:cs="Arial"/>
          <w:color w:val="1B1B1B"/>
          <w:shd w:val="clear" w:color="auto" w:fill="FFFFFF"/>
        </w:rPr>
        <w:t xml:space="preserve"> innate and adaptive immune response to eradicate the </w:t>
      </w:r>
      <w:r>
        <w:rPr>
          <w:rFonts w:ascii="Arial" w:hAnsi="Arial" w:cs="Arial"/>
          <w:color w:val="1B1B1B"/>
          <w:shd w:val="clear" w:color="auto" w:fill="FFFFFF"/>
        </w:rPr>
        <w:t>pathogen</w:t>
      </w:r>
      <w:r w:rsidRPr="006976D7">
        <w:rPr>
          <w:rFonts w:ascii="Arial" w:hAnsi="Arial" w:cs="Arial"/>
          <w:color w:val="1B1B1B"/>
          <w:shd w:val="clear" w:color="auto" w:fill="FFFFFF"/>
        </w:rPr>
        <w:t xml:space="preserve"> and </w:t>
      </w:r>
      <w:r>
        <w:rPr>
          <w:rFonts w:ascii="Arial" w:hAnsi="Arial" w:cs="Arial"/>
          <w:color w:val="1B1B1B"/>
          <w:shd w:val="clear" w:color="auto" w:fill="FFFFFF"/>
        </w:rPr>
        <w:t>initiate</w:t>
      </w:r>
      <w:r w:rsidRPr="006976D7">
        <w:rPr>
          <w:rFonts w:ascii="Arial" w:hAnsi="Arial" w:cs="Arial"/>
          <w:color w:val="1B1B1B"/>
          <w:shd w:val="clear" w:color="auto" w:fill="FFFFFF"/>
        </w:rPr>
        <w:t xml:space="preserve"> immunological memory. DCs</w:t>
      </w:r>
      <w:r>
        <w:rPr>
          <w:rFonts w:ascii="Arial" w:hAnsi="Arial" w:cs="Arial"/>
          <w:color w:val="1B1B1B"/>
          <w:shd w:val="clear" w:color="auto" w:fill="FFFFFF"/>
        </w:rPr>
        <w:t xml:space="preserve"> through</w:t>
      </w:r>
      <w:r w:rsidRPr="006976D7">
        <w:rPr>
          <w:rFonts w:ascii="Arial" w:hAnsi="Arial" w:cs="Arial"/>
          <w:color w:val="1B1B1B"/>
          <w:shd w:val="clear" w:color="auto" w:fill="FFFFFF"/>
        </w:rPr>
        <w:t xml:space="preserve"> </w:t>
      </w:r>
      <w:r>
        <w:rPr>
          <w:rFonts w:ascii="Arial" w:hAnsi="Arial" w:cs="Arial"/>
          <w:color w:val="1B1B1B"/>
          <w:shd w:val="clear" w:color="auto" w:fill="FFFFFF"/>
        </w:rPr>
        <w:t>their</w:t>
      </w:r>
      <w:r w:rsidRPr="006976D7">
        <w:rPr>
          <w:rFonts w:ascii="Arial" w:hAnsi="Arial" w:cs="Arial"/>
          <w:color w:val="1B1B1B"/>
          <w:shd w:val="clear" w:color="auto" w:fill="FFFFFF"/>
        </w:rPr>
        <w:t xml:space="preserve"> PRR</w:t>
      </w:r>
      <w:r>
        <w:rPr>
          <w:rFonts w:ascii="Arial" w:hAnsi="Arial" w:cs="Arial"/>
          <w:color w:val="1B1B1B"/>
          <w:shd w:val="clear" w:color="auto" w:fill="FFFFFF"/>
        </w:rPr>
        <w:t xml:space="preserve">s and antigen presentation to </w:t>
      </w:r>
      <w:r w:rsidRPr="006976D7">
        <w:rPr>
          <w:rFonts w:ascii="Arial" w:hAnsi="Arial" w:cs="Arial"/>
          <w:color w:val="1B1B1B"/>
          <w:shd w:val="clear" w:color="auto" w:fill="FFFFFF"/>
        </w:rPr>
        <w:t xml:space="preserve">antigen-specific </w:t>
      </w:r>
      <w:r>
        <w:rPr>
          <w:rFonts w:ascii="Arial" w:hAnsi="Arial" w:cs="Arial"/>
          <w:color w:val="1B1B1B"/>
          <w:shd w:val="clear" w:color="auto" w:fill="FFFFFF"/>
        </w:rPr>
        <w:br/>
      </w:r>
      <w:r w:rsidRPr="006976D7">
        <w:rPr>
          <w:rFonts w:ascii="Arial" w:hAnsi="Arial" w:cs="Arial"/>
          <w:color w:val="1B1B1B"/>
          <w:shd w:val="clear" w:color="auto" w:fill="FFFFFF"/>
        </w:rPr>
        <w:t>T and B cells</w:t>
      </w:r>
      <w:r>
        <w:rPr>
          <w:rFonts w:ascii="Arial" w:hAnsi="Arial" w:cs="Arial"/>
          <w:color w:val="1B1B1B"/>
          <w:shd w:val="clear" w:color="auto" w:fill="FFFFFF"/>
        </w:rPr>
        <w:t xml:space="preserve"> link</w:t>
      </w:r>
      <w:r w:rsidRPr="006976D7">
        <w:rPr>
          <w:rFonts w:ascii="Arial" w:hAnsi="Arial" w:cs="Arial"/>
          <w:color w:val="1B1B1B"/>
          <w:shd w:val="clear" w:color="auto" w:fill="FFFFFF"/>
        </w:rPr>
        <w:t xml:space="preserve"> </w:t>
      </w:r>
      <w:r>
        <w:rPr>
          <w:rFonts w:ascii="Arial" w:hAnsi="Arial" w:cs="Arial"/>
          <w:color w:val="1B1B1B"/>
          <w:shd w:val="clear" w:color="auto" w:fill="FFFFFF"/>
        </w:rPr>
        <w:t>both</w:t>
      </w:r>
      <w:r w:rsidRPr="006976D7">
        <w:rPr>
          <w:rFonts w:ascii="Arial" w:hAnsi="Arial" w:cs="Arial"/>
          <w:color w:val="1B1B1B"/>
          <w:shd w:val="clear" w:color="auto" w:fill="FFFFFF"/>
        </w:rPr>
        <w:t xml:space="preserve"> innate and adaptive immun</w:t>
      </w:r>
      <w:r>
        <w:rPr>
          <w:rFonts w:ascii="Arial" w:hAnsi="Arial" w:cs="Arial"/>
          <w:color w:val="1B1B1B"/>
          <w:shd w:val="clear" w:color="auto" w:fill="FFFFFF"/>
        </w:rPr>
        <w:t xml:space="preserve">e response through </w:t>
      </w:r>
      <w:r w:rsidRPr="0094332C">
        <w:rPr>
          <w:rFonts w:ascii="Arial" w:hAnsi="Arial" w:cs="Arial"/>
        </w:rPr>
        <w:t>upregulation of co-stimulatory molecules</w:t>
      </w:r>
      <w:r>
        <w:rPr>
          <w:rFonts w:ascii="Arial" w:hAnsi="Arial" w:cs="Arial"/>
        </w:rPr>
        <w:t xml:space="preserve"> interaction</w:t>
      </w:r>
      <w:r w:rsidRPr="0094332C">
        <w:rPr>
          <w:rFonts w:ascii="Arial" w:hAnsi="Arial" w:cs="Arial"/>
        </w:rPr>
        <w:t xml:space="preserve"> (CD80, CD86</w:t>
      </w:r>
      <w:r>
        <w:rPr>
          <w:rFonts w:ascii="Arial" w:hAnsi="Arial" w:cs="Arial"/>
        </w:rPr>
        <w:t xml:space="preserve"> and</w:t>
      </w:r>
      <w:r w:rsidRPr="0094332C">
        <w:rPr>
          <w:rFonts w:ascii="Arial" w:hAnsi="Arial" w:cs="Arial"/>
        </w:rPr>
        <w:t xml:space="preserve"> CD40) and major histocompatibility complex (MHC) molecules</w:t>
      </w:r>
      <w:r>
        <w:rPr>
          <w:rFonts w:ascii="Arial" w:hAnsi="Arial" w:cs="Arial"/>
        </w:rPr>
        <w:t xml:space="preserve"> class II between DCs and naïve CD4</w:t>
      </w:r>
      <w:r w:rsidRPr="006976D7">
        <w:rPr>
          <w:rFonts w:ascii="Arial" w:hAnsi="Arial" w:cs="Arial"/>
          <w:color w:val="1B1B1B"/>
          <w:shd w:val="clear" w:color="auto" w:fill="FFFFFF"/>
          <w:vertAlign w:val="superscript"/>
        </w:rPr>
        <w:t>+</w:t>
      </w:r>
      <w:r>
        <w:rPr>
          <w:rFonts w:ascii="Arial" w:hAnsi="Arial" w:cs="Arial"/>
        </w:rPr>
        <w:t xml:space="preserve"> T-cells (</w:t>
      </w:r>
      <w:r w:rsidRPr="00DC621B">
        <w:rPr>
          <w:rFonts w:ascii="Arial" w:hAnsi="Arial" w:cs="Arial"/>
          <w:b/>
          <w:bCs/>
        </w:rPr>
        <w:t xml:space="preserve">Figure </w:t>
      </w:r>
      <w:r>
        <w:rPr>
          <w:rFonts w:ascii="Arial" w:hAnsi="Arial" w:cs="Arial"/>
          <w:b/>
          <w:bCs/>
        </w:rPr>
        <w:t>1</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{"citationID":"hpBFh86x","properties":{"formattedCitation":"(Goughenour et al., 2023)","plainCitation":"(Goughenour et al., 2023)","noteIndex":0},"citationItems":[{"id":8634,"uris":["http://zotero.org/users/2543086/items/PJLC9WTI"],"itemData":{"id":8634,"type":"article-journal","abstract":"Fungal infections are an increasingly growing public health concern, and Cryptococcus is one of the most problematic fungal organisms causing substantial mortality and morbidity worldwide. Clinically, this high incidence of cryptococcosis is most commonly seen in immunocompromised patients, especially those who lack an adaptive T cell response, such as HIV/AIDS patients. However, patients with other underlying immunodeficiencies are also at an increased risk for cryptococcosis. The adaptive immune response, in particular the Th1/Th17 T-cell-mediated responses, to pulmonary Cryptococcus infections are required for host protection. Dendritic cells (DCs), encompassing multiple subsets identified to date, are recognized as the major professional antigen-presenting cell (APC) subset essential for the initiation and execution of T-cell immunity. Apart from their prominent role in orchestration of the adaptive arm of the immune defenses, DCs are fully armed cells from the innate immune system capable of the recognition, uptake, and killing of the fungal cells. Thus, DCs serve as a critical point for the endpoint outcomes of either fungal control or unrestrained fungal infection. Multiple studies have shown that DCs are required for anti-cryptococcal defense in the lungs. In addition, the role of DCs in Cryptococcus gattii infections is just starting to be elucidated. C. gattii has recently risen to prominence with multiple outbreaks in the US and Canada, demonstrating increased virulence in non-immunocompromised individuals. C. gattii infection fails to generate an inflammatory immune response or a protective Th1/Th17 T cell response, at least in part, through a lack of proper DC function. Here we summarize the multiple roles of DCs, including subsets of DCs in both mouse and human models, the roles of DCs during cryptococcal infection, and mechanisms by cryptococcal cells to attempt to undermine these host defenses.","container-title":"Journal of Fungi","DOI":"10.3390/jof9111050","ISSN":"2309-608X","issue":"11","journalAbbreviation":"J Fungi (Basel)","note":"PMID: 37998856\nPMCID: PMC10672120","page":"1050","source":"PubMed Central","title":"Dendritic Cells: Multifunctional Roles in Host Defenses to Cryptococcus Infections","title-short":"Dendritic Cells","volume":"9","author":[{"family":"Goughenour","given":"Kristie D."},{"family":"Nair","given":"Ayesha S."},{"family":"Xu","given":"Jintao"},{"family":"Olszewski","given":"Michal A."},{"family":"Wozniak","given":"Karen L."}],"issued":{"date-parts":[["2023",10,26]]}}}],"schema":"https://github.com/citation-style-language/schema/raw/master/csl-citation.json"} </w:instrText>
      </w:r>
      <w:r>
        <w:rPr>
          <w:rFonts w:ascii="Arial" w:hAnsi="Arial" w:cs="Arial"/>
        </w:rPr>
        <w:fldChar w:fldCharType="separate"/>
      </w:r>
      <w:r>
        <w:rPr>
          <w:rFonts w:ascii="Arial" w:hAnsi="Arial" w:cs="Arial"/>
          <w:noProof/>
        </w:rPr>
        <w:t>(Goughenour et al., 2023)</w:t>
      </w:r>
      <w:r>
        <w:rPr>
          <w:rFonts w:ascii="Arial" w:hAnsi="Arial" w:cs="Arial"/>
        </w:rPr>
        <w:fldChar w:fldCharType="end"/>
      </w:r>
      <w:r w:rsidRPr="0094332C">
        <w:rPr>
          <w:rFonts w:ascii="Arial" w:hAnsi="Arial" w:cs="Arial"/>
        </w:rPr>
        <w:t xml:space="preserve">. </w:t>
      </w:r>
      <w:r>
        <w:rPr>
          <w:rFonts w:ascii="Arial" w:hAnsi="Arial" w:cs="Arial"/>
        </w:rPr>
        <w:t>CD4</w:t>
      </w:r>
      <w:r w:rsidRPr="006976D7">
        <w:rPr>
          <w:rFonts w:ascii="Arial" w:hAnsi="Arial" w:cs="Arial"/>
          <w:color w:val="1B1B1B"/>
          <w:shd w:val="clear" w:color="auto" w:fill="FFFFFF"/>
          <w:vertAlign w:val="superscript"/>
        </w:rPr>
        <w:t>+</w:t>
      </w:r>
      <w:r>
        <w:rPr>
          <w:rFonts w:ascii="Arial" w:hAnsi="Arial" w:cs="Arial"/>
        </w:rPr>
        <w:t xml:space="preserve"> T-cells</w:t>
      </w:r>
      <w:r w:rsidRPr="002C53B1">
        <w:rPr>
          <w:rFonts w:ascii="Arial" w:hAnsi="Arial" w:cs="Arial"/>
        </w:rPr>
        <w:t xml:space="preserve"> significantly</w:t>
      </w:r>
      <w:r>
        <w:rPr>
          <w:rFonts w:ascii="Arial" w:hAnsi="Arial" w:cs="Arial"/>
        </w:rPr>
        <w:t xml:space="preserve"> activate </w:t>
      </w:r>
      <w:r w:rsidRPr="002C53B1">
        <w:rPr>
          <w:rFonts w:ascii="Arial" w:hAnsi="Arial" w:cs="Arial"/>
        </w:rPr>
        <w:t xml:space="preserve">host immunity by inducing innate inflammatory </w:t>
      </w:r>
      <w:r>
        <w:rPr>
          <w:rFonts w:ascii="Arial" w:hAnsi="Arial" w:cs="Arial"/>
        </w:rPr>
        <w:t xml:space="preserve">immune </w:t>
      </w:r>
      <w:r w:rsidRPr="002C53B1">
        <w:rPr>
          <w:rFonts w:ascii="Arial" w:hAnsi="Arial" w:cs="Arial"/>
        </w:rPr>
        <w:t xml:space="preserve">responses </w:t>
      </w:r>
      <w:r>
        <w:rPr>
          <w:rFonts w:ascii="Arial" w:hAnsi="Arial" w:cs="Arial"/>
        </w:rPr>
        <w:t xml:space="preserve">and </w:t>
      </w:r>
      <w:r w:rsidRPr="006976D7">
        <w:rPr>
          <w:rFonts w:ascii="Arial" w:hAnsi="Arial" w:cs="Arial"/>
          <w:color w:val="1B1B1B"/>
          <w:shd w:val="clear" w:color="auto" w:fill="FFFFFF"/>
        </w:rPr>
        <w:t xml:space="preserve">mediating fungicidal activity. Surface and intracellular PRRs </w:t>
      </w:r>
      <w:r>
        <w:rPr>
          <w:rFonts w:ascii="Arial" w:hAnsi="Arial" w:cs="Arial"/>
          <w:color w:val="1B1B1B"/>
          <w:shd w:val="clear" w:color="auto" w:fill="FFFFFF"/>
        </w:rPr>
        <w:t>help</w:t>
      </w:r>
      <w:r w:rsidRPr="006976D7">
        <w:rPr>
          <w:rFonts w:ascii="Arial" w:hAnsi="Arial" w:cs="Arial"/>
          <w:color w:val="1B1B1B"/>
          <w:shd w:val="clear" w:color="auto" w:fill="FFFFFF"/>
        </w:rPr>
        <w:t xml:space="preserve"> DCs to </w:t>
      </w:r>
      <w:r>
        <w:rPr>
          <w:rFonts w:ascii="Arial" w:hAnsi="Arial" w:cs="Arial"/>
          <w:color w:val="1B1B1B"/>
          <w:shd w:val="clear" w:color="auto" w:fill="FFFFFF"/>
        </w:rPr>
        <w:t>recognize</w:t>
      </w:r>
      <w:r w:rsidRPr="006976D7">
        <w:rPr>
          <w:rFonts w:ascii="Arial" w:hAnsi="Arial" w:cs="Arial"/>
          <w:color w:val="1B1B1B"/>
          <w:shd w:val="clear" w:color="auto" w:fill="FFFFFF"/>
        </w:rPr>
        <w:t xml:space="preserve"> fung</w:t>
      </w:r>
      <w:r>
        <w:rPr>
          <w:rFonts w:ascii="Arial" w:hAnsi="Arial" w:cs="Arial"/>
          <w:color w:val="1B1B1B"/>
          <w:shd w:val="clear" w:color="auto" w:fill="FFFFFF"/>
        </w:rPr>
        <w:t xml:space="preserve">al antigens such as </w:t>
      </w:r>
      <w:r>
        <w:rPr>
          <w:rFonts w:ascii="Arial" w:hAnsi="Arial" w:cs="Arial"/>
        </w:rPr>
        <w:t>β-glucans and m</w:t>
      </w:r>
      <w:r w:rsidRPr="005173F0">
        <w:rPr>
          <w:rFonts w:ascii="Arial" w:hAnsi="Arial" w:cs="Arial"/>
        </w:rPr>
        <w:t>annose</w:t>
      </w:r>
      <w:r w:rsidRPr="006976D7">
        <w:rPr>
          <w:rFonts w:ascii="Arial" w:hAnsi="Arial" w:cs="Arial"/>
          <w:color w:val="1B1B1B"/>
          <w:shd w:val="clear" w:color="auto" w:fill="FFFFFF"/>
        </w:rPr>
        <w:t xml:space="preserve">. </w:t>
      </w:r>
      <w:r>
        <w:rPr>
          <w:rFonts w:ascii="Arial" w:hAnsi="Arial" w:cs="Arial"/>
          <w:color w:val="1B1B1B"/>
          <w:shd w:val="clear" w:color="auto" w:fill="FFFFFF"/>
        </w:rPr>
        <w:t xml:space="preserve">Activated </w:t>
      </w:r>
      <w:r w:rsidRPr="006976D7">
        <w:rPr>
          <w:rFonts w:ascii="Arial" w:hAnsi="Arial" w:cs="Arial"/>
          <w:color w:val="1B1B1B"/>
          <w:shd w:val="clear" w:color="auto" w:fill="FFFFFF"/>
        </w:rPr>
        <w:t>CD4</w:t>
      </w:r>
      <w:r w:rsidRPr="006976D7">
        <w:rPr>
          <w:rFonts w:ascii="Arial" w:hAnsi="Arial" w:cs="Arial"/>
          <w:color w:val="1B1B1B"/>
          <w:shd w:val="clear" w:color="auto" w:fill="FFFFFF"/>
          <w:vertAlign w:val="superscript"/>
        </w:rPr>
        <w:t>+</w:t>
      </w:r>
      <w:r w:rsidRPr="006976D7">
        <w:rPr>
          <w:rFonts w:ascii="Arial" w:hAnsi="Arial" w:cs="Arial"/>
          <w:color w:val="1B1B1B"/>
          <w:shd w:val="clear" w:color="auto" w:fill="FFFFFF"/>
        </w:rPr>
        <w:t> </w:t>
      </w:r>
      <w:r>
        <w:rPr>
          <w:rFonts w:ascii="Arial" w:hAnsi="Arial" w:cs="Arial"/>
          <w:color w:val="1B1B1B"/>
          <w:shd w:val="clear" w:color="auto" w:fill="FFFFFF"/>
        </w:rPr>
        <w:t>T-cells</w:t>
      </w:r>
      <w:r w:rsidRPr="006976D7">
        <w:rPr>
          <w:rFonts w:ascii="Arial" w:hAnsi="Arial" w:cs="Arial"/>
          <w:color w:val="1B1B1B"/>
          <w:shd w:val="clear" w:color="auto" w:fill="FFFFFF"/>
        </w:rPr>
        <w:t xml:space="preserve"> </w:t>
      </w:r>
      <w:r>
        <w:rPr>
          <w:rFonts w:ascii="Arial" w:hAnsi="Arial" w:cs="Arial"/>
          <w:color w:val="1B1B1B"/>
          <w:shd w:val="clear" w:color="auto" w:fill="FFFFFF"/>
        </w:rPr>
        <w:t>lead to differentiation</w:t>
      </w:r>
      <w:r w:rsidRPr="006976D7">
        <w:rPr>
          <w:rFonts w:ascii="Arial" w:hAnsi="Arial" w:cs="Arial"/>
          <w:color w:val="1B1B1B"/>
          <w:shd w:val="clear" w:color="auto" w:fill="FFFFFF"/>
        </w:rPr>
        <w:t xml:space="preserve"> into a T-helper (Th)</w:t>
      </w:r>
      <w:r>
        <w:rPr>
          <w:rFonts w:ascii="Arial" w:hAnsi="Arial" w:cs="Arial"/>
          <w:color w:val="1B1B1B"/>
          <w:shd w:val="clear" w:color="auto" w:fill="FFFFFF"/>
        </w:rPr>
        <w:t xml:space="preserve"> subset</w:t>
      </w:r>
      <w:r w:rsidRPr="006976D7">
        <w:rPr>
          <w:rFonts w:ascii="Arial" w:hAnsi="Arial" w:cs="Arial"/>
          <w:color w:val="1B1B1B"/>
          <w:shd w:val="clear" w:color="auto" w:fill="FFFFFF"/>
        </w:rPr>
        <w:t xml:space="preserve"> </w:t>
      </w:r>
      <w:r>
        <w:rPr>
          <w:rFonts w:ascii="Arial" w:hAnsi="Arial" w:cs="Arial"/>
          <w:color w:val="1B1B1B"/>
          <w:shd w:val="clear" w:color="auto" w:fill="FFFFFF"/>
        </w:rPr>
        <w:t xml:space="preserve">of </w:t>
      </w:r>
      <w:r w:rsidRPr="006976D7">
        <w:rPr>
          <w:rFonts w:ascii="Arial" w:hAnsi="Arial" w:cs="Arial"/>
          <w:color w:val="1B1B1B"/>
          <w:shd w:val="clear" w:color="auto" w:fill="FFFFFF"/>
        </w:rPr>
        <w:t xml:space="preserve">Th1, </w:t>
      </w:r>
      <w:r>
        <w:rPr>
          <w:rFonts w:ascii="Arial" w:hAnsi="Arial" w:cs="Arial"/>
          <w:color w:val="1B1B1B"/>
          <w:shd w:val="clear" w:color="auto" w:fill="FFFFFF"/>
        </w:rPr>
        <w:t xml:space="preserve">Th2, </w:t>
      </w:r>
      <w:r w:rsidRPr="006976D7">
        <w:rPr>
          <w:rFonts w:ascii="Arial" w:hAnsi="Arial" w:cs="Arial"/>
          <w:color w:val="1B1B1B"/>
          <w:shd w:val="clear" w:color="auto" w:fill="FFFFFF"/>
        </w:rPr>
        <w:t>Th17, and Treg (regulatory T cell)</w:t>
      </w:r>
      <w:r w:rsidRPr="003077E9">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{"citationID":"Qc750D8r","properties":{"formattedCitation":"(Kumaresan et al., 2018)","plainCitation":"(Kumaresan et al., 2018)","noteIndex":0},"citationItems":[{"id":8637,"uris":["http://zotero.org/users/2543086/items/LV72FCJL"],"itemData":{"id":8637,"type":"article-journal","abstract":"Invasive fungal infections cause high rates of morbidity and mortality in immunocompromised patients. Pattern recognition receptors present on the surfaces of innate immune cells recognize fungal pathogens and activate the first line of defense against fungal infection. The second line of defense is the adaptive immune system which involves mainly CD4+ T cells, while CD8+ T cells also play a role. CD8+ T cell based vaccines designed to prevent invasive fungal infections (IFI) are currently being investigated in clinical trials, their use could play an especially important role in AIDS patients. So far, none of the vaccines used to treat IFI have been approved by the FDA. Here, we review current and future antifungal immunotherapy strategies involving CD8+ T cells. We highlight recent advances in the use of T cells engineered using a Sleeping Beauty vector to treat invasive fungal infections. Recent clinical trials using chimeric antigen receptor (CAR) T-cell therapy to treat patients with leukemia have shown very promising results. We hypothesized that CAR T cells could also be used to control IFI. Therefore, we designed a CAR that targets </w:instrText>
      </w:r>
      <w:r>
        <w:rPr>
          <w:rFonts w:ascii="Arial" w:hAnsi="Arial" w:cs="Arial"/>
        </w:rPr>
        <w:instrText xml:space="preserve">-glucan, a sugar molecule found in most of the fungal cell walls, using the extracellular domain of Dectin-1, which binds to </w:instrText>
      </w:r>
      <w:r>
        <w:rPr>
          <w:rFonts w:ascii="Arial" w:hAnsi="Arial" w:cs="Arial"/>
        </w:rPr>
        <w:instrText xml:space="preserve">-glucan. Mice treated with D-CAR+ T cells displayed reductions in hyphal growth of Aspergillus compared to the untreated group. Patients suffering from invasive fungal infections due to primary immunodeficiency, secondary immunodeficiency (e.g., HIV), or hematopoietic transplant patients may benefit from bioengineered CAR T cell therapy.","container-title":"Frontiers in Immunology","DOI":"10.3389/fimmu.2017.01939","ISSN":"1664-3224","journalAbbreviation":"Front. Immunol.","language":"English","note":"publisher: Frontiers","source":"Frontiers","title":"Methods of Controlling Invasive Fungal Infections Using CD8+ T Cells","URL":"https://www.frontiersin.org/journals/immunology/articles/10.3389/fimmu.2017.01939/full","volume":"8","author":[{"family":"Kumaresan","given":"Pappanaicken R."},{"family":"Silva","given":"Thiago Aparecido","non-dropping-particle":"da"},{"family":"Kontoyiannis","given":"Dimitrios P."}],"accessed":{"date-parts":[["2025",10,8]]},"issued":{"date-parts":[["2018",1,8]]}}}],"schema":"https://github.com/citation-style-language/schema/raw/master/csl-citation.json"} </w:instrText>
      </w:r>
      <w:r>
        <w:rPr>
          <w:rFonts w:ascii="Arial" w:hAnsi="Arial" w:cs="Arial"/>
        </w:rPr>
        <w:fldChar w:fldCharType="separate"/>
      </w:r>
      <w:r>
        <w:rPr>
          <w:rFonts w:ascii="Arial" w:hAnsi="Arial" w:cs="Arial"/>
          <w:noProof/>
        </w:rPr>
        <w:t>(Kumaresan et al., 2018)</w:t>
      </w:r>
      <w:r>
        <w:rPr>
          <w:rFonts w:ascii="Arial" w:hAnsi="Arial" w:cs="Arial"/>
        </w:rPr>
        <w:fldChar w:fldCharType="end"/>
      </w:r>
      <w:r>
        <w:rPr>
          <w:rFonts w:ascii="Arial" w:hAnsi="Arial" w:cs="Arial"/>
          <w:color w:val="1B1B1B"/>
          <w:shd w:val="clear" w:color="auto" w:fill="FFFFFF"/>
        </w:rPr>
        <w:t>.</w:t>
      </w:r>
      <w:r w:rsidRPr="006976D7">
        <w:rPr>
          <w:rFonts w:ascii="Arial" w:hAnsi="Arial" w:cs="Arial"/>
          <w:color w:val="1B1B1B"/>
          <w:shd w:val="clear" w:color="auto" w:fill="FFFFFF"/>
        </w:rPr>
        <w:t xml:space="preserve"> </w:t>
      </w:r>
      <w:r>
        <w:rPr>
          <w:rFonts w:ascii="Arial" w:hAnsi="Arial" w:cs="Arial"/>
          <w:color w:val="1B1B1B"/>
          <w:shd w:val="clear" w:color="auto" w:fill="FFFFFF"/>
        </w:rPr>
        <w:t>Each of these cells are characterized by specific cytokines production,</w:t>
      </w:r>
      <w:r w:rsidRPr="00A90AAE">
        <w:rPr>
          <w:rFonts w:ascii="Arial" w:hAnsi="Arial" w:cs="Arial"/>
          <w:color w:val="1B1B1B"/>
          <w:shd w:val="clear" w:color="auto" w:fill="FFFFFF"/>
        </w:rPr>
        <w:t xml:space="preserve"> Th1 cells </w:t>
      </w:r>
      <w:r>
        <w:rPr>
          <w:rFonts w:ascii="Arial" w:hAnsi="Arial" w:cs="Arial"/>
          <w:color w:val="1B1B1B"/>
          <w:shd w:val="clear" w:color="auto" w:fill="FFFFFF"/>
        </w:rPr>
        <w:t>release</w:t>
      </w:r>
      <w:r w:rsidRPr="00A90AAE">
        <w:rPr>
          <w:rFonts w:ascii="Arial" w:hAnsi="Arial" w:cs="Arial"/>
          <w:color w:val="1B1B1B"/>
          <w:shd w:val="clear" w:color="auto" w:fill="FFFFFF"/>
        </w:rPr>
        <w:t xml:space="preserve"> interferon-γ (IFN</w:t>
      </w:r>
      <w:r>
        <w:rPr>
          <w:rFonts w:ascii="Arial" w:hAnsi="Arial" w:cs="Arial"/>
          <w:color w:val="1B1B1B"/>
          <w:shd w:val="clear" w:color="auto" w:fill="FFFFFF"/>
        </w:rPr>
        <w:t>-</w:t>
      </w:r>
      <w:r w:rsidRPr="00A90AAE">
        <w:rPr>
          <w:rFonts w:ascii="Arial" w:hAnsi="Arial" w:cs="Arial"/>
          <w:color w:val="1B1B1B"/>
          <w:shd w:val="clear" w:color="auto" w:fill="FFFFFF"/>
        </w:rPr>
        <w:t xml:space="preserve">γ), </w:t>
      </w:r>
      <w:r>
        <w:rPr>
          <w:rFonts w:ascii="Arial" w:hAnsi="Arial" w:cs="Arial"/>
          <w:color w:val="1B1B1B"/>
          <w:shd w:val="clear" w:color="auto" w:fill="FFFFFF"/>
        </w:rPr>
        <w:t xml:space="preserve">that play a key role in host defense </w:t>
      </w:r>
      <w:r w:rsidRPr="00A90AAE">
        <w:rPr>
          <w:rFonts w:ascii="Arial" w:hAnsi="Arial" w:cs="Arial"/>
          <w:color w:val="1B1B1B"/>
          <w:shd w:val="clear" w:color="auto" w:fill="FFFFFF"/>
        </w:rPr>
        <w:t xml:space="preserve">against intracellular pathogens, Th2 cells are </w:t>
      </w:r>
      <w:r>
        <w:rPr>
          <w:rFonts w:ascii="Arial" w:hAnsi="Arial" w:cs="Arial"/>
          <w:color w:val="1B1B1B"/>
          <w:shd w:val="clear" w:color="auto" w:fill="FFFFFF"/>
        </w:rPr>
        <w:t>characterized</w:t>
      </w:r>
      <w:r w:rsidRPr="00A90AAE">
        <w:rPr>
          <w:rFonts w:ascii="Arial" w:hAnsi="Arial" w:cs="Arial"/>
          <w:color w:val="1B1B1B"/>
          <w:shd w:val="clear" w:color="auto" w:fill="FFFFFF"/>
        </w:rPr>
        <w:t xml:space="preserve"> by the production of IL-4</w:t>
      </w:r>
      <w:r>
        <w:rPr>
          <w:rFonts w:ascii="Arial" w:hAnsi="Arial" w:cs="Arial"/>
          <w:color w:val="1B1B1B"/>
          <w:shd w:val="clear" w:color="auto" w:fill="FFFFFF"/>
        </w:rPr>
        <w:t>, and</w:t>
      </w:r>
      <w:r w:rsidRPr="00A90AAE">
        <w:rPr>
          <w:rFonts w:ascii="Arial" w:hAnsi="Arial" w:cs="Arial"/>
          <w:color w:val="1B1B1B"/>
          <w:shd w:val="clear" w:color="auto" w:fill="FFFFFF"/>
        </w:rPr>
        <w:t xml:space="preserve"> Th17 cells</w:t>
      </w:r>
      <w:r>
        <w:rPr>
          <w:rFonts w:ascii="Arial" w:hAnsi="Arial" w:cs="Arial"/>
          <w:color w:val="1B1B1B"/>
          <w:shd w:val="clear" w:color="auto" w:fill="FFFFFF"/>
        </w:rPr>
        <w:t xml:space="preserve"> release unique series of </w:t>
      </w:r>
      <w:r w:rsidRPr="00A90AAE">
        <w:rPr>
          <w:rFonts w:ascii="Arial" w:hAnsi="Arial" w:cs="Arial"/>
          <w:color w:val="1B1B1B"/>
          <w:shd w:val="clear" w:color="auto" w:fill="FFFFFF"/>
        </w:rPr>
        <w:t>cytokine</w:t>
      </w:r>
      <w:r>
        <w:rPr>
          <w:rFonts w:ascii="Arial" w:hAnsi="Arial" w:cs="Arial"/>
          <w:color w:val="1B1B1B"/>
          <w:shd w:val="clear" w:color="auto" w:fill="FFFFFF"/>
        </w:rPr>
        <w:t xml:space="preserve"> such as</w:t>
      </w:r>
      <w:r w:rsidRPr="00A90AAE">
        <w:rPr>
          <w:rFonts w:ascii="Arial" w:hAnsi="Arial" w:cs="Arial"/>
          <w:color w:val="1B1B1B"/>
          <w:shd w:val="clear" w:color="auto" w:fill="FFFFFF"/>
        </w:rPr>
        <w:t xml:space="preserve"> IL-17</w:t>
      </w:r>
      <w:r>
        <w:rPr>
          <w:rFonts w:ascii="Arial" w:hAnsi="Arial" w:cs="Arial"/>
          <w:color w:val="1B1B1B"/>
          <w:shd w:val="clear" w:color="auto" w:fill="FFFFFF"/>
        </w:rPr>
        <w:t xml:space="preserve"> family,</w:t>
      </w:r>
      <w:r w:rsidRPr="00A90AAE">
        <w:rPr>
          <w:rFonts w:ascii="Arial" w:hAnsi="Arial" w:cs="Arial"/>
          <w:color w:val="1B1B1B"/>
          <w:shd w:val="clear" w:color="auto" w:fill="FFFFFF"/>
        </w:rPr>
        <w:t xml:space="preserve"> IL-21, and IL-22</w:t>
      </w:r>
      <w:r>
        <w:rPr>
          <w:rFonts w:ascii="Arial" w:hAnsi="Arial" w:cs="Arial"/>
          <w:color w:val="1B1B1B"/>
          <w:shd w:val="clear" w:color="auto" w:fill="FFFFFF"/>
        </w:rPr>
        <w:t xml:space="preserve"> that have a crucial task in</w:t>
      </w:r>
      <w:r w:rsidRPr="00A90AAE">
        <w:rPr>
          <w:rFonts w:ascii="Arial" w:hAnsi="Arial" w:cs="Arial"/>
          <w:color w:val="1B1B1B"/>
          <w:shd w:val="clear" w:color="auto" w:fill="FFFFFF"/>
        </w:rPr>
        <w:t xml:space="preserve"> </w:t>
      </w:r>
      <w:r>
        <w:rPr>
          <w:rFonts w:ascii="Arial" w:hAnsi="Arial" w:cs="Arial"/>
          <w:color w:val="1B1B1B"/>
          <w:shd w:val="clear" w:color="auto" w:fill="FFFFFF"/>
        </w:rPr>
        <w:t xml:space="preserve">fungal infections </w:t>
      </w:r>
      <w:r w:rsidR="00EE053C">
        <w:rPr>
          <w:rFonts w:ascii="Arial" w:hAnsi="Arial" w:cs="Arial"/>
          <w:color w:val="1B1B1B"/>
          <w:shd w:val="clear" w:color="auto" w:fill="FFFFFF"/>
        </w:rPr>
        <w:fldChar w:fldCharType="begin"/>
      </w:r>
      <w:r w:rsidR="00EE053C">
        <w:rPr>
          <w:rFonts w:ascii="Arial" w:hAnsi="Arial" w:cs="Arial"/>
          <w:color w:val="1B1B1B"/>
          <w:shd w:val="clear" w:color="auto" w:fill="FFFFFF"/>
        </w:rPr>
        <w:instrText xml:space="preserve"> ADDIN ZOTERO_ITEM CSL_CITATION {"citationID":"BqvVuUoF","properties":{"formattedCitation":"(Aziz et al., 2023; van de Veerdonk &amp; Netea, 2010)","plainCitation":"(Aziz et al., 2023; van de Veerdonk &amp; Netea, 2010)","noteIndex":0},"citationItems":[{"id":8649,"uris":["http://zotero.org/users/2543086/items/ZFUJVB3N"],"itemData":{"id":8649,"type":"article-journal","abstract":"The field of Interleukin-17 (IL-17) biology has received more attention during the last decade for evaluating the role of this cytokine to enhance the host defence against microbial infections. IL-17 is essential in controlling microbial colonization through the expeditious innate immune response to pathogens which involves the recruitment of neutrophils and the induction of antimicrobial peptides. IL-17 is synthesized by cell populations predominantly present within epithelial barriers, including specific subsets of Th17 cells and innate lymphoid cells. In this review, we highlight both bacterial and fungal infections in human eyes and the role of IL-17 in host defence in addition to the benefit of using IL-17 for immunotherapy.","container-title":"Acta Microbiologica Hellenica","DOI":"10.5281/ZENODO.10203266","ISSN":"0438-9573","language":"en","license":"Creative Commons Attribution 4.0 International","note":"publisher: Zenodo","page":"231-239","source":"DOI.org (Datacite)","title":"Interleukin-17 and Immunity of Ocular infections","author":[{"family":"Aziz","given":"I.-A."},{"family":"Al-Maqtoofi","given":"M.Y."},{"family":"Burghal","given":"A.A."}],"issued":{"date-parts":[["2023"]]}}},{"id":8685,"uris":["http://zotero.org/users/2543086/items/NY6794V7"],"itemData":{"id":8685,"type":"article-journal","abstract":"It has been long appreciated that protective immunity against fungal pathogens is dependent on activation of cellular adaptive immune responses represented by T lymphocytes. The T-helper (Th)1/Th2 paradigm has proven to be essential for the understanding of protective adaptive host responses. Studies that have examined the significance of regulatory T cells in fungal infection, and the recent discovery of a new T-helper subset called Th17 have provided crucial information for understanding the complementary roles played by the various T-helper lymphocytes in systemic versus mucosal antifungal host defense. This review provides an overview of the role of the various T-cell subsets during fungal infections and the reciprocal regulation between the T-cell subsets contributing to the tailored host response against fungal pathogens.","container-title":"Current Fungal Infection Reports","DOI":"10.1007/s12281-010-0034-6","ISSN":"1936-3761","issue":"4","journalAbbreviation":"Curr Fungal Infect Rep","note":"PMID: 20976286\nPMCID: PMC2949562","page":"238-243","source":"PubMed Central","title":"T-cell Subsets and Antifungal Host Defenses","volume":"4","author":[{"family":"Veerdonk","given":"Frank L.","non-dropping-particle":"van de"},{"family":"Netea","given":"Mihai G."}],"issued":{"date-parts":[["2010"]]}}}],"schema":"https://github.com/citation-style-language/schema/raw/master/csl-citation.json"} </w:instrText>
      </w:r>
      <w:r w:rsidR="00EE053C">
        <w:rPr>
          <w:rFonts w:ascii="Arial" w:hAnsi="Arial" w:cs="Arial"/>
          <w:color w:val="1B1B1B"/>
          <w:shd w:val="clear" w:color="auto" w:fill="FFFFFF"/>
        </w:rPr>
        <w:fldChar w:fldCharType="separate"/>
      </w:r>
      <w:r w:rsidR="00EE053C">
        <w:rPr>
          <w:rFonts w:ascii="Arial" w:hAnsi="Arial" w:cs="Arial"/>
          <w:noProof/>
          <w:color w:val="1B1B1B"/>
          <w:shd w:val="clear" w:color="auto" w:fill="FFFFFF"/>
        </w:rPr>
        <w:t>(Aziz et al., 2023; van de Veerdonk &amp; Netea, 2010)</w:t>
      </w:r>
      <w:r w:rsidR="00EE053C">
        <w:rPr>
          <w:rFonts w:ascii="Arial" w:hAnsi="Arial" w:cs="Arial"/>
          <w:color w:val="1B1B1B"/>
          <w:shd w:val="clear" w:color="auto" w:fill="FFFFFF"/>
        </w:rPr>
        <w:fldChar w:fldCharType="end"/>
      </w:r>
      <w:r w:rsidRPr="00A90AAE">
        <w:rPr>
          <w:rFonts w:ascii="Arial" w:hAnsi="Arial" w:cs="Arial"/>
          <w:color w:val="1B1B1B"/>
          <w:shd w:val="clear" w:color="auto" w:fill="FFFFFF"/>
        </w:rPr>
        <w:t>.</w:t>
      </w:r>
      <w:r>
        <w:rPr>
          <w:rFonts w:ascii="Arial" w:hAnsi="Arial" w:cs="Arial"/>
          <w:color w:val="1B1B1B"/>
          <w:shd w:val="clear" w:color="auto" w:fill="FFFFFF"/>
        </w:rPr>
        <w:t xml:space="preserve"> </w:t>
      </w:r>
      <w:r w:rsidRPr="006976D7">
        <w:rPr>
          <w:rFonts w:ascii="Arial" w:hAnsi="Arial" w:cs="Arial"/>
          <w:color w:val="1B1B1B"/>
          <w:shd w:val="clear" w:color="auto" w:fill="FFFFFF"/>
        </w:rPr>
        <w:t>CD8</w:t>
      </w:r>
      <w:r w:rsidRPr="006976D7">
        <w:rPr>
          <w:rFonts w:ascii="Arial" w:hAnsi="Arial" w:cs="Arial"/>
          <w:color w:val="1B1B1B"/>
          <w:shd w:val="clear" w:color="auto" w:fill="FFFFFF"/>
          <w:vertAlign w:val="superscript"/>
        </w:rPr>
        <w:t>+</w:t>
      </w:r>
      <w:r w:rsidRPr="006976D7">
        <w:rPr>
          <w:rFonts w:ascii="Arial" w:hAnsi="Arial" w:cs="Arial"/>
          <w:color w:val="1B1B1B"/>
          <w:shd w:val="clear" w:color="auto" w:fill="FFFFFF"/>
        </w:rPr>
        <w:t xml:space="preserve"> T cells may </w:t>
      </w:r>
      <w:r>
        <w:rPr>
          <w:rFonts w:ascii="Arial" w:hAnsi="Arial" w:cs="Arial"/>
          <w:color w:val="1B1B1B"/>
          <w:shd w:val="clear" w:color="auto" w:fill="FFFFFF"/>
        </w:rPr>
        <w:t>participate in fungal clearance through</w:t>
      </w:r>
      <w:r w:rsidRPr="0094332C">
        <w:rPr>
          <w:rFonts w:ascii="Arial" w:hAnsi="Arial" w:cs="Arial"/>
        </w:rPr>
        <w:t xml:space="preserve"> cross-presented via MHC class I molecules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{"citationID":"fqu2jtbf","properties":{"formattedCitation":"(Cruz et al., 2023)","plainCitation":"(Cruz et al., 2023)","noteIndex":0},"citationItems":[{"id":8677,"uris":["http://zotero.org/users/2543086/items/HRAAAAR6"],"itemData":{"id":8677,"type":"article-journal","abstract":"Phagocytes, particularly dendritic cells (DCs), generate peptide-major histocompatibility complex (MHC) I complexes from antigens they have collected from cells in tissues and report this information to CD8 T cells in a process called cross-presentation. This process allows CD8 T cells to detect, respond and eliminate abnormal cells, such as cancers or cells infected with viruses or intracellular microbes. In some settings, cross-presentation can help tolerize CD8 T cells to self-antigens. One of the principal ways that DCs acquire tissue antigens is by ingesting this material through phagocytosis. The resulting phagosomes are key hubs in the cross-presentation (XPT) process and in fact experimentally conferring the ability to phagocytize antigens can be sufficient to allow non-professional antigen presenting cells (APCs) to cross-present. Once in phagosomes, exogenous antigens can be cross-presented (XPTed) through three distinct pathways. There is a vacuolar pathway in which peptides are generated and then bind to MHC I molecules within the confines of the vacuole. Ingested exogenous antigens can also be exported from phagosomes to the cytosol upon vesicular rupture and/or possibly transport. Once in the cytosol, the antigen is degraded by the proteasome and the resulting oligopeptides can be transported to MHC I molecule in the endoplasmic reticulum (ER) (a phagosome-to-cytosol (P2C) pathway) or in phagosomes (a phagosome-to-cytosol-to-phagosome (P2C2P) pathway). Here we review how phagosomes acquire the necessary molecular components that support these three mechanisms and the contribution of these pathways. We describe what is known as well as the gaps in our understanding of these processes.","container-title":"Seminars in Immunology","DOI":"10.1016/j.smim.2023.101729","ISSN":"1044-5323","journalAbbreviation":"Seminars in Immunology","page":"101729","source":"ScienceDirect","title":"Pathways of MHC I cross-presentation of exogenous antigens","volume":"66","author":[{"family":"Cruz","given":"Freidrich M."},{"family":"Chan","given":"Amanda"},{"family":"Rock","given":"Kenneth L."}],"issued":{"date-parts":[["2023",3,1]]}}}],"schema":"https://github.com/citation-style-language/schema/raw/master/csl-citation.json"} </w:instrText>
      </w:r>
      <w:r>
        <w:rPr>
          <w:rFonts w:ascii="Arial" w:hAnsi="Arial" w:cs="Arial"/>
        </w:rPr>
        <w:fldChar w:fldCharType="separate"/>
      </w:r>
      <w:r>
        <w:rPr>
          <w:rFonts w:ascii="Arial" w:hAnsi="Arial" w:cs="Arial"/>
          <w:noProof/>
        </w:rPr>
        <w:t>(Cruz et al., 2023)</w:t>
      </w:r>
      <w:r>
        <w:rPr>
          <w:rFonts w:ascii="Arial" w:hAnsi="Arial" w:cs="Arial"/>
        </w:rPr>
        <w:fldChar w:fldCharType="end"/>
      </w:r>
      <w:r w:rsidRPr="0094332C">
        <w:rPr>
          <w:rFonts w:ascii="Arial" w:hAnsi="Arial" w:cs="Arial"/>
        </w:rPr>
        <w:t xml:space="preserve">. </w:t>
      </w:r>
      <w:r>
        <w:rPr>
          <w:rFonts w:ascii="Arial" w:hAnsi="Arial" w:cs="Arial"/>
          <w:color w:val="1B1B1B"/>
          <w:shd w:val="clear" w:color="auto" w:fill="FFFFFF"/>
        </w:rPr>
        <w:t xml:space="preserve">Recently, </w:t>
      </w:r>
      <w:r w:rsidRPr="00D5150C">
        <w:rPr>
          <w:rFonts w:ascii="Arial" w:hAnsi="Arial" w:cs="Arial"/>
          <w:color w:val="1B1B1B"/>
          <w:shd w:val="clear" w:color="auto" w:fill="FFFFFF"/>
        </w:rPr>
        <w:t>CD8</w:t>
      </w:r>
      <w:r w:rsidRPr="00195433">
        <w:rPr>
          <w:rFonts w:ascii="Arial" w:hAnsi="Arial" w:cs="Arial"/>
          <w:color w:val="1B1B1B"/>
          <w:shd w:val="clear" w:color="auto" w:fill="FFFFFF"/>
          <w:vertAlign w:val="superscript"/>
        </w:rPr>
        <w:t>+</w:t>
      </w:r>
      <w:r w:rsidRPr="00D5150C">
        <w:rPr>
          <w:rFonts w:ascii="Arial" w:hAnsi="Arial" w:cs="Arial"/>
          <w:color w:val="1B1B1B"/>
          <w:shd w:val="clear" w:color="auto" w:fill="FFFFFF"/>
        </w:rPr>
        <w:t xml:space="preserve"> T cells </w:t>
      </w:r>
      <w:r>
        <w:rPr>
          <w:rFonts w:ascii="Arial" w:hAnsi="Arial" w:cs="Arial"/>
          <w:color w:val="1B1B1B"/>
          <w:shd w:val="clear" w:color="auto" w:fill="FFFFFF"/>
        </w:rPr>
        <w:t xml:space="preserve">were reported </w:t>
      </w:r>
      <w:r w:rsidRPr="00D5150C">
        <w:rPr>
          <w:rFonts w:ascii="Arial" w:hAnsi="Arial" w:cs="Arial"/>
          <w:color w:val="1B1B1B"/>
          <w:shd w:val="clear" w:color="auto" w:fill="FFFFFF"/>
        </w:rPr>
        <w:t>to differentiate into Tc1, Tc2 and Tc17 cells upon recognition of fungal peptides presented by antigen-presenting cells</w:t>
      </w:r>
      <w:r>
        <w:rPr>
          <w:rFonts w:ascii="Arial" w:hAnsi="Arial" w:cs="Arial"/>
          <w:color w:val="1B1B1B"/>
          <w:shd w:val="clear" w:color="auto" w:fill="FFFFFF"/>
        </w:rPr>
        <w:t xml:space="preserve"> </w:t>
      </w:r>
      <w:r>
        <w:rPr>
          <w:rFonts w:ascii="Arial" w:hAnsi="Arial" w:cs="Arial"/>
          <w:color w:val="1B1B1B"/>
          <w:shd w:val="clear" w:color="auto" w:fill="FFFFFF"/>
        </w:rPr>
        <w:fldChar w:fldCharType="begin"/>
      </w:r>
      <w:r>
        <w:rPr>
          <w:rFonts w:ascii="Arial" w:hAnsi="Arial" w:cs="Arial"/>
          <w:color w:val="1B1B1B"/>
          <w:shd w:val="clear" w:color="auto" w:fill="FFFFFF"/>
        </w:rPr>
        <w:instrText xml:space="preserve"> ADDIN ZOTERO_ITEM CSL_CITATION {"citationID":"3hHAZGu5","properties":{"formattedCitation":"(Kumaresan et al., 2017)","plainCitation":"(Kumaresan et al., 2017)","noteIndex":0},"citationItems":[{"id":8688,"uris":["http://zotero.org/users/2543086/items/TC52TINY"],"itemData":{"id":8688,"type":"article-journal","abstract":"Invasive fungal infections (IFIs) cause high rates of morbidity and mortality in immunocompromised patients. Pattern-recognition receptors present on the surfaces of innate immune cells recognize fungal pathogens and activate the first line of defense against fungal infection. The second line of defense is the adaptive immune system which involves mainly CD4+ T cells, while CD8+ T cells also play a role. CD8+ T cell-based vaccines designed to prevent IFIs are currently being investigated in clinical trials, their use could play an especially important role in acquired immune deficiency syndrome patients. So far, none of the vaccines used to treat IFI have been approved by the FDA. Here, we review current and future antifungal immunotherapy strategies involving CD8+ T cells. We highlight recent advances in the use of T cells engineered using a Sleeping Beauty vector to treat IFIs. Recent clinical trials using chimeric antigen receptor (CAR) T-cell therapy to treat patients with leukemia have shown very promising results. We hypothesized that CAR T cells could also be used to control IFI. Therefore, we designed a CAR that targets β-glucan, a sugar molecule found in most of the fungal cell walls, using the extracellular domain of Dectin-1, which binds to β-glucan. Mice treated with D-CAR+ T cells displayed reductions in hyphal growth of Aspergillus compared to the untreated group. Patients suffering from IFIs due to primary immunodeficiency, secondary immunodeficiency (e.g., HIV), or hematopoietic transplant patients may benefit from bioengineered CAR T cell therapy.","container-title":"Frontiers in Immunology","DOI":"10.3389/fimmu.2017.01939","ISSN":"1664-3224","journalAbbreviation":"Front Immunol","language":"eng","note":"PMID: 29358941\nPMCID: PMC5766637","page":"1939","source":"PubMed","title":"Methods of Controlling Invasive Fungal Infections Using CD8+ T Cells","volume":"8","author":[{"family":"Kumaresan","given":"Pappanaicken R."},{"family":"Silva","given":"Thiago Aparecido","non-dropping-particle":"da"},{"family":"Kontoyiannis","given":"Dimitrios P."}],"issued":{"date-parts":[["2017"]]}}}],"schema":"https://github.com/citation-style-language/schema/raw/master/csl-citation.json"} </w:instrText>
      </w:r>
      <w:r>
        <w:rPr>
          <w:rFonts w:ascii="Arial" w:hAnsi="Arial" w:cs="Arial"/>
          <w:color w:val="1B1B1B"/>
          <w:shd w:val="clear" w:color="auto" w:fill="FFFFFF"/>
        </w:rPr>
        <w:fldChar w:fldCharType="separate"/>
      </w:r>
      <w:r>
        <w:rPr>
          <w:rFonts w:ascii="Arial" w:hAnsi="Arial" w:cs="Arial"/>
          <w:noProof/>
          <w:color w:val="1B1B1B"/>
          <w:shd w:val="clear" w:color="auto" w:fill="FFFFFF"/>
        </w:rPr>
        <w:t>(Kumaresan et al., 2017)</w:t>
      </w:r>
      <w:r>
        <w:rPr>
          <w:rFonts w:ascii="Arial" w:hAnsi="Arial" w:cs="Arial"/>
          <w:color w:val="1B1B1B"/>
          <w:shd w:val="clear" w:color="auto" w:fill="FFFFFF"/>
        </w:rPr>
        <w:fldChar w:fldCharType="end"/>
      </w:r>
      <w:r w:rsidRPr="00D5150C">
        <w:rPr>
          <w:rFonts w:ascii="Arial" w:hAnsi="Arial" w:cs="Arial"/>
          <w:color w:val="1B1B1B"/>
          <w:shd w:val="clear" w:color="auto" w:fill="FFFFFF"/>
        </w:rPr>
        <w:t xml:space="preserve">. Tc1 cells </w:t>
      </w:r>
      <w:r>
        <w:rPr>
          <w:rFonts w:ascii="Arial" w:hAnsi="Arial" w:cs="Arial"/>
          <w:color w:val="1B1B1B"/>
          <w:shd w:val="clear" w:color="auto" w:fill="FFFFFF"/>
        </w:rPr>
        <w:t>involve</w:t>
      </w:r>
      <w:r w:rsidRPr="00D5150C">
        <w:rPr>
          <w:rFonts w:ascii="Arial" w:hAnsi="Arial" w:cs="Arial"/>
          <w:color w:val="1B1B1B"/>
          <w:shd w:val="clear" w:color="auto" w:fill="FFFFFF"/>
        </w:rPr>
        <w:t xml:space="preserve"> </w:t>
      </w:r>
      <w:r>
        <w:rPr>
          <w:rFonts w:ascii="Arial" w:hAnsi="Arial" w:cs="Arial"/>
          <w:color w:val="1B1B1B"/>
          <w:shd w:val="clear" w:color="auto" w:fill="FFFFFF"/>
        </w:rPr>
        <w:t xml:space="preserve">directly </w:t>
      </w:r>
      <w:r w:rsidRPr="00D5150C">
        <w:rPr>
          <w:rFonts w:ascii="Arial" w:hAnsi="Arial" w:cs="Arial"/>
          <w:color w:val="1B1B1B"/>
          <w:shd w:val="clear" w:color="auto" w:fill="FFFFFF"/>
        </w:rPr>
        <w:t xml:space="preserve">killing </w:t>
      </w:r>
      <w:r>
        <w:rPr>
          <w:rFonts w:ascii="Arial" w:hAnsi="Arial" w:cs="Arial"/>
          <w:color w:val="1B1B1B"/>
          <w:shd w:val="clear" w:color="auto" w:fill="FFFFFF"/>
        </w:rPr>
        <w:t>of</w:t>
      </w:r>
      <w:r w:rsidRPr="00D5150C">
        <w:rPr>
          <w:rFonts w:ascii="Arial" w:hAnsi="Arial" w:cs="Arial"/>
          <w:color w:val="1B1B1B"/>
          <w:shd w:val="clear" w:color="auto" w:fill="FFFFFF"/>
        </w:rPr>
        <w:t xml:space="preserve"> fungal-infected host cells by producing cytotoxic factors such as </w:t>
      </w:r>
      <w:proofErr w:type="spellStart"/>
      <w:r w:rsidRPr="00D5150C">
        <w:rPr>
          <w:rFonts w:ascii="Arial" w:hAnsi="Arial" w:cs="Arial"/>
          <w:color w:val="1B1B1B"/>
          <w:shd w:val="clear" w:color="auto" w:fill="FFFFFF"/>
        </w:rPr>
        <w:t>granulysin</w:t>
      </w:r>
      <w:proofErr w:type="spellEnd"/>
      <w:r w:rsidRPr="00D5150C">
        <w:rPr>
          <w:rFonts w:ascii="Arial" w:hAnsi="Arial" w:cs="Arial"/>
          <w:color w:val="1B1B1B"/>
          <w:shd w:val="clear" w:color="auto" w:fill="FFFFFF"/>
        </w:rPr>
        <w:t>, perforin, and granzyme K</w:t>
      </w:r>
      <w:r>
        <w:rPr>
          <w:rFonts w:ascii="Arial" w:hAnsi="Arial" w:cs="Arial"/>
          <w:color w:val="1B1B1B"/>
          <w:shd w:val="clear" w:color="auto" w:fill="FFFFFF"/>
        </w:rPr>
        <w:t xml:space="preserve">. To activate </w:t>
      </w:r>
      <w:r w:rsidRPr="00D5150C">
        <w:rPr>
          <w:rFonts w:ascii="Arial" w:hAnsi="Arial" w:cs="Arial"/>
          <w:color w:val="1B1B1B"/>
          <w:shd w:val="clear" w:color="auto" w:fill="FFFFFF"/>
        </w:rPr>
        <w:t>antifungal immunity</w:t>
      </w:r>
      <w:r>
        <w:rPr>
          <w:rFonts w:ascii="Arial" w:hAnsi="Arial" w:cs="Arial"/>
          <w:color w:val="1B1B1B"/>
          <w:shd w:val="clear" w:color="auto" w:fill="FFFFFF"/>
        </w:rPr>
        <w:t xml:space="preserve"> via phagocytic cells, Tc1 </w:t>
      </w:r>
      <w:r w:rsidRPr="00D5150C">
        <w:rPr>
          <w:rFonts w:ascii="Arial" w:hAnsi="Arial" w:cs="Arial"/>
          <w:color w:val="1B1B1B"/>
          <w:shd w:val="clear" w:color="auto" w:fill="FFFFFF"/>
        </w:rPr>
        <w:t>produce abundant tumor necrosis factor-α (TNF-α) and interferon-γ (INF-γ)</w:t>
      </w:r>
      <w:r>
        <w:rPr>
          <w:rFonts w:ascii="Arial" w:hAnsi="Arial" w:cs="Arial"/>
          <w:color w:val="1B1B1B"/>
          <w:shd w:val="clear" w:color="auto" w:fill="FFFFFF"/>
        </w:rPr>
        <w:t xml:space="preserve"> </w:t>
      </w:r>
      <w:r>
        <w:rPr>
          <w:rFonts w:ascii="Arial" w:hAnsi="Arial" w:cs="Arial"/>
          <w:color w:val="1B1B1B"/>
          <w:shd w:val="clear" w:color="auto" w:fill="FFFFFF"/>
        </w:rPr>
        <w:fldChar w:fldCharType="begin"/>
      </w:r>
      <w:r>
        <w:rPr>
          <w:rFonts w:ascii="Arial" w:hAnsi="Arial" w:cs="Arial"/>
          <w:color w:val="1B1B1B"/>
          <w:shd w:val="clear" w:color="auto" w:fill="FFFFFF"/>
        </w:rPr>
        <w:instrText xml:space="preserve"> ADDIN ZOTERO_ITEM CSL_CITATION {"citationID":"m5fzpfrb","properties":{"formattedCitation":"(Sharma et al., 2022)","plainCitation":"(Sharma et al., 2022)","noteIndex":0},"citationItems":[{"id":8654,"uris":["http://zotero.org/users/2543086/items/R8XJKPQN"],"itemData":{"id":8654,"type":"article-journal","abstract":"In recent years, fungal vaccine research emanated significant findings in the field of antifungal T-cell immunity. The generation of effector T cells is essential to combat many mucosal and systemic fungal infections. The development of antifungal memory T cells is integral for controlling or preventing fungal infections, and understanding the factors, regulators, and modifiers that dictate the generation of such T cells is necessary. Despite the deficiency in the clear understanding of antifungal memory T-cell longevity and attributes, in this review, we will compile some of the existing literature on antifungal T-cell immunity in the context of memory T-cell development against fungal infections.","container-title":"Frontiers in Immunology","DOI":"10.3389/fimmu.2022.905867","ISSN":"1664-3224","journalAbbreviation":"Front Immunol","note":"PMID: 36177012\nPMCID: PMC9513067","page":"905867","source":"PubMed Central","title":"T cell responses to control fungal infection in an immunological memory lens","volume":"13","author":[{"family":"Sharma","given":"Jaishree"},{"family":"Mudalagiriyappa","given":"Srinivasu"},{"family":"Nanjappa","given":"Som Gowda"}],"issued":{"date-parts":[["2022",9,13]]}}}],"schema":"https://github.com/citation-style-language/schema/raw/master/csl-citation.json"} </w:instrText>
      </w:r>
      <w:r>
        <w:rPr>
          <w:rFonts w:ascii="Arial" w:hAnsi="Arial" w:cs="Arial"/>
          <w:color w:val="1B1B1B"/>
          <w:shd w:val="clear" w:color="auto" w:fill="FFFFFF"/>
        </w:rPr>
        <w:fldChar w:fldCharType="separate"/>
      </w:r>
      <w:r>
        <w:rPr>
          <w:rFonts w:ascii="Arial" w:hAnsi="Arial" w:cs="Arial"/>
          <w:noProof/>
          <w:color w:val="1B1B1B"/>
          <w:shd w:val="clear" w:color="auto" w:fill="FFFFFF"/>
        </w:rPr>
        <w:t>(Sharma et al., 2022)</w:t>
      </w:r>
      <w:r>
        <w:rPr>
          <w:rFonts w:ascii="Arial" w:hAnsi="Arial" w:cs="Arial"/>
          <w:color w:val="1B1B1B"/>
          <w:shd w:val="clear" w:color="auto" w:fill="FFFFFF"/>
        </w:rPr>
        <w:fldChar w:fldCharType="end"/>
      </w:r>
      <w:r>
        <w:rPr>
          <w:rFonts w:ascii="Arial" w:hAnsi="Arial" w:cs="Arial"/>
          <w:color w:val="1B1B1B"/>
          <w:shd w:val="clear" w:color="auto" w:fill="FFFFFF"/>
        </w:rPr>
        <w:t>.</w:t>
      </w:r>
    </w:p>
    <w:p w14:paraId="29194FFE" w14:textId="77777777" w:rsidR="00AF241E" w:rsidRPr="00FD0E59" w:rsidRDefault="00AF241E" w:rsidP="00AF241E">
      <w:pPr>
        <w:pStyle w:val="NormalWeb"/>
        <w:spacing w:before="0" w:beforeAutospacing="0" w:after="0" w:afterAutospacing="0" w:line="480" w:lineRule="auto"/>
        <w:jc w:val="both"/>
        <w:rPr>
          <w:rFonts w:ascii="Arial" w:hAnsi="Arial" w:cs="Arial"/>
          <w:color w:val="1B1B1B"/>
          <w:shd w:val="clear" w:color="auto" w:fill="FFFFFF"/>
        </w:rPr>
      </w:pPr>
    </w:p>
    <w:p w14:paraId="4B1E9000" w14:textId="47AB8A5E" w:rsidR="00AF241E" w:rsidRDefault="001A4390" w:rsidP="00AF241E">
      <w:pPr>
        <w:pStyle w:val="NormalWeb"/>
        <w:spacing w:before="0" w:beforeAutospacing="0" w:after="0" w:afterAutospacing="0" w:line="480" w:lineRule="auto"/>
        <w:jc w:val="both"/>
        <w:rPr>
          <w:rFonts w:ascii="Arial" w:hAnsi="Arial" w:cs="Arial"/>
          <w:color w:val="1B1B1B"/>
          <w:shd w:val="clear" w:color="auto" w:fill="FFFFFF"/>
        </w:rPr>
      </w:pPr>
      <w:r>
        <w:rPr>
          <w:rFonts w:ascii="Arial" w:hAnsi="Arial" w:cs="Arial"/>
          <w:noProof/>
          <w14:ligatures w14:val="standardContextual"/>
        </w:rPr>
        <w:drawing>
          <wp:inline distT="0" distB="0" distL="0" distR="0" wp14:anchorId="1AE80E82" wp14:editId="7EA17AA4">
            <wp:extent cx="5731510" cy="3237865"/>
            <wp:effectExtent l="0" t="0" r="0" b="635"/>
            <wp:docPr id="315567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67252" name="Picture 3155672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37865"/>
                    </a:xfrm>
                    <a:prstGeom prst="rect">
                      <a:avLst/>
                    </a:prstGeom>
                  </pic:spPr>
                </pic:pic>
              </a:graphicData>
            </a:graphic>
          </wp:inline>
        </w:drawing>
      </w:r>
    </w:p>
    <w:p w14:paraId="6E8729D6" w14:textId="77777777" w:rsidR="00AF241E" w:rsidRDefault="00AF241E" w:rsidP="00AF241E">
      <w:pPr>
        <w:pStyle w:val="NormalWeb"/>
        <w:spacing w:before="0" w:beforeAutospacing="0" w:after="0" w:afterAutospacing="0" w:line="480" w:lineRule="auto"/>
        <w:jc w:val="both"/>
        <w:rPr>
          <w:rFonts w:ascii="Arial" w:hAnsi="Arial" w:cs="Arial"/>
        </w:rPr>
      </w:pPr>
      <w:r w:rsidRPr="00527E70">
        <w:rPr>
          <w:rFonts w:ascii="Arial" w:hAnsi="Arial" w:cs="Arial"/>
          <w:b/>
          <w:bCs/>
        </w:rPr>
        <w:t xml:space="preserve">Figure </w:t>
      </w:r>
      <w:r>
        <w:rPr>
          <w:rFonts w:ascii="Arial" w:hAnsi="Arial" w:cs="Arial"/>
          <w:b/>
          <w:bCs/>
        </w:rPr>
        <w:t>1</w:t>
      </w:r>
      <w:r w:rsidRPr="00527E70">
        <w:rPr>
          <w:rFonts w:ascii="Arial" w:hAnsi="Arial" w:cs="Arial"/>
          <w:b/>
          <w:bCs/>
        </w:rPr>
        <w:t>.</w:t>
      </w:r>
      <w:r>
        <w:rPr>
          <w:rFonts w:ascii="Arial" w:hAnsi="Arial" w:cs="Arial"/>
        </w:rPr>
        <w:t xml:space="preserve"> An overview of the host immune response against fungal infection.</w:t>
      </w:r>
    </w:p>
    <w:p w14:paraId="5CD3638C" w14:textId="77777777" w:rsidR="00CA0438" w:rsidRDefault="00CA0438" w:rsidP="00F87C93">
      <w:pPr>
        <w:pStyle w:val="NormalWeb"/>
        <w:spacing w:before="0" w:beforeAutospacing="0" w:after="0" w:afterAutospacing="0" w:line="480" w:lineRule="auto"/>
        <w:jc w:val="both"/>
        <w:rPr>
          <w:rFonts w:ascii="Arial" w:hAnsi="Arial" w:cs="Arial"/>
          <w:b/>
          <w:bCs/>
        </w:rPr>
      </w:pPr>
    </w:p>
    <w:p w14:paraId="349ECDCC" w14:textId="77777777" w:rsidR="00CA0438" w:rsidRPr="00D33968" w:rsidRDefault="00CA0438" w:rsidP="00F87C93">
      <w:pPr>
        <w:pStyle w:val="Heading3"/>
        <w:shd w:val="clear" w:color="auto" w:fill="FFFFFF"/>
        <w:spacing w:before="0" w:line="480" w:lineRule="auto"/>
        <w:jc w:val="both"/>
        <w:rPr>
          <w:rFonts w:ascii="Arial" w:hAnsi="Arial" w:cs="Arial"/>
          <w:b/>
          <w:bCs/>
          <w:color w:val="1B1B1B"/>
          <w:sz w:val="24"/>
          <w:szCs w:val="24"/>
        </w:rPr>
      </w:pPr>
      <w:r w:rsidRPr="00D33968">
        <w:rPr>
          <w:rFonts w:ascii="Arial" w:hAnsi="Arial" w:cs="Arial"/>
          <w:b/>
          <w:bCs/>
          <w:color w:val="1B1B1B"/>
          <w:sz w:val="24"/>
          <w:szCs w:val="24"/>
        </w:rPr>
        <w:t>Fungal Infections between Public Awareness and Education</w:t>
      </w:r>
    </w:p>
    <w:p w14:paraId="4B49E014" w14:textId="4DEA5DBF" w:rsidR="00CA0438" w:rsidRPr="00D33968" w:rsidRDefault="00CA0438" w:rsidP="00F87C93">
      <w:pPr>
        <w:pStyle w:val="Heading3"/>
        <w:shd w:val="clear" w:color="auto" w:fill="FFFFFF"/>
        <w:spacing w:before="0" w:line="480" w:lineRule="auto"/>
        <w:jc w:val="both"/>
        <w:rPr>
          <w:rFonts w:ascii="Arial" w:hAnsi="Arial" w:cs="Arial"/>
          <w:color w:val="1B1B1B"/>
          <w:sz w:val="24"/>
          <w:szCs w:val="24"/>
          <w:lang w:val="en-GB"/>
        </w:rPr>
      </w:pPr>
      <w:r w:rsidRPr="00D33968">
        <w:rPr>
          <w:rFonts w:ascii="Arial" w:hAnsi="Arial" w:cs="Arial"/>
          <w:color w:val="1B1B1B"/>
          <w:sz w:val="24"/>
          <w:szCs w:val="24"/>
        </w:rPr>
        <w:t xml:space="preserve">The awareness about the serious threat from fungal infections to human health </w:t>
      </w:r>
      <w:r w:rsidR="00A769F8">
        <w:rPr>
          <w:rFonts w:ascii="Arial" w:hAnsi="Arial" w:cs="Arial"/>
          <w:color w:val="1B1B1B"/>
          <w:sz w:val="24"/>
          <w:szCs w:val="24"/>
        </w:rPr>
        <w:br/>
      </w:r>
      <w:r w:rsidRPr="00D33968">
        <w:rPr>
          <w:rFonts w:ascii="Arial" w:hAnsi="Arial" w:cs="Arial"/>
          <w:color w:val="1B1B1B"/>
          <w:sz w:val="24"/>
          <w:szCs w:val="24"/>
        </w:rPr>
        <w:t xml:space="preserve">is relatively under level globally may lead to delays or misdiagnosis of cases and inadequate treatment. This case facilitates disease transmission and may result in </w:t>
      </w:r>
      <w:r w:rsidR="00A769F8">
        <w:rPr>
          <w:rFonts w:ascii="Arial" w:hAnsi="Arial" w:cs="Arial"/>
          <w:color w:val="1B1B1B"/>
          <w:sz w:val="24"/>
          <w:szCs w:val="24"/>
        </w:rPr>
        <w:br/>
      </w:r>
      <w:r w:rsidRPr="00D33968">
        <w:rPr>
          <w:rFonts w:ascii="Arial" w:hAnsi="Arial" w:cs="Arial"/>
          <w:color w:val="1B1B1B"/>
          <w:sz w:val="24"/>
          <w:szCs w:val="24"/>
        </w:rPr>
        <w:t xml:space="preserve">a fungal infection outbreak </w:t>
      </w:r>
      <w:r w:rsidRPr="00D33968">
        <w:rPr>
          <w:rFonts w:ascii="Arial" w:hAnsi="Arial" w:cs="Arial"/>
          <w:color w:val="1B1B1B"/>
          <w:sz w:val="24"/>
          <w:szCs w:val="24"/>
        </w:rPr>
        <w:fldChar w:fldCharType="begin"/>
      </w:r>
      <w:r w:rsidRPr="00D33968">
        <w:rPr>
          <w:rFonts w:ascii="Arial" w:hAnsi="Arial" w:cs="Arial"/>
          <w:color w:val="1B1B1B"/>
          <w:sz w:val="24"/>
          <w:szCs w:val="24"/>
        </w:rPr>
        <w:instrText xml:space="preserve"> ADDIN ZOTERO_ITEM CSL_CITATION {"citationID":"qrFdPW9L","properties":{"formattedCitation":"(Benedict et al., 2020)","plainCitation":"(Benedict et al., 2020)","noteIndex":0},"citationItems":[{"id":8679,"uris":["http://zotero.org/users/2543086/items/5CCJARKT"],"itemData":{"id":8679,"type":"article-journal","container-title":"Morbidity and Mortality Weekly Report","DOI":"10.15585/mmwr.mm6938a2","issue":"38","language":"en","note":"PMID: 32970658","page":"1343","source":"pmc.ncbi.nlm.nih.gov","title":"Public Awareness of Invasive Fungal Diseases — United States, 2019","volume":"69","author":[{"family":"Benedict","given":"Kaitlin"},{"family":"Molinari","given":"Noelle Angelique M."},{"family":"Jackson","given":"Brendan R."}],"issued":{"date-parts":[["2020",9,25]]}}}],"schema":"https://github.com/citation-style-language/schema/raw/master/csl-citation.json"} </w:instrText>
      </w:r>
      <w:r w:rsidRPr="00D33968">
        <w:rPr>
          <w:rFonts w:ascii="Arial" w:hAnsi="Arial" w:cs="Arial"/>
          <w:color w:val="1B1B1B"/>
          <w:sz w:val="24"/>
          <w:szCs w:val="24"/>
        </w:rPr>
        <w:fldChar w:fldCharType="separate"/>
      </w:r>
      <w:r w:rsidRPr="00D33968">
        <w:rPr>
          <w:rFonts w:ascii="Arial" w:hAnsi="Arial" w:cs="Arial"/>
          <w:noProof/>
          <w:color w:val="1B1B1B"/>
          <w:sz w:val="24"/>
          <w:szCs w:val="24"/>
        </w:rPr>
        <w:t>(Benedict et al., 2020)</w:t>
      </w:r>
      <w:r w:rsidRPr="00D33968">
        <w:rPr>
          <w:rFonts w:ascii="Arial" w:hAnsi="Arial" w:cs="Arial"/>
          <w:color w:val="1B1B1B"/>
          <w:sz w:val="24"/>
          <w:szCs w:val="24"/>
        </w:rPr>
        <w:fldChar w:fldCharType="end"/>
      </w:r>
      <w:r w:rsidRPr="00D33968">
        <w:rPr>
          <w:rFonts w:ascii="Arial" w:hAnsi="Arial" w:cs="Arial"/>
          <w:color w:val="1B1B1B"/>
          <w:sz w:val="24"/>
          <w:szCs w:val="24"/>
        </w:rPr>
        <w:t xml:space="preserve">. For this reason, raising awareness through promoting education and improving the diagnosis of fungal infections is </w:t>
      </w:r>
      <w:r w:rsidR="00A769F8">
        <w:rPr>
          <w:rFonts w:ascii="Arial" w:hAnsi="Arial" w:cs="Arial"/>
          <w:color w:val="1B1B1B"/>
          <w:sz w:val="24"/>
          <w:szCs w:val="24"/>
        </w:rPr>
        <w:br/>
      </w:r>
      <w:r w:rsidRPr="00D33968">
        <w:rPr>
          <w:rFonts w:ascii="Arial" w:hAnsi="Arial" w:cs="Arial"/>
          <w:color w:val="1B1B1B"/>
          <w:sz w:val="24"/>
          <w:szCs w:val="24"/>
        </w:rPr>
        <w:t>a critical factor for effectively preventing severe disease.</w:t>
      </w:r>
      <w:r w:rsidRPr="00D33968">
        <w:rPr>
          <w:rFonts w:ascii="Arial" w:hAnsi="Arial" w:cs="Arial"/>
          <w:color w:val="1B1B1B"/>
          <w:sz w:val="24"/>
          <w:szCs w:val="24"/>
          <w:lang w:val="en-GB"/>
        </w:rPr>
        <w:t xml:space="preserve"> </w:t>
      </w:r>
    </w:p>
    <w:p w14:paraId="114CD3C7" w14:textId="77777777" w:rsidR="00CA0438" w:rsidRDefault="00CA0438" w:rsidP="00F87C93">
      <w:pPr>
        <w:pStyle w:val="NormalWeb"/>
        <w:tabs>
          <w:tab w:val="left" w:pos="7010"/>
        </w:tabs>
        <w:spacing w:before="0" w:beforeAutospacing="0" w:after="0" w:afterAutospacing="0" w:line="480" w:lineRule="auto"/>
        <w:jc w:val="both"/>
        <w:rPr>
          <w:rStyle w:val="Strong"/>
          <w:rFonts w:ascii="Arial" w:eastAsiaTheme="majorEastAsia" w:hAnsi="Arial" w:cs="Arial"/>
        </w:rPr>
      </w:pPr>
    </w:p>
    <w:p w14:paraId="5A91F1AF" w14:textId="77777777" w:rsidR="00C05ABD" w:rsidRDefault="00C05ABD" w:rsidP="00F87C93">
      <w:pPr>
        <w:pStyle w:val="NormalWeb"/>
        <w:tabs>
          <w:tab w:val="left" w:pos="7010"/>
        </w:tabs>
        <w:spacing w:before="0" w:beforeAutospacing="0" w:after="0" w:afterAutospacing="0" w:line="480" w:lineRule="auto"/>
        <w:jc w:val="both"/>
        <w:rPr>
          <w:rStyle w:val="Strong"/>
          <w:rFonts w:ascii="Arial" w:eastAsiaTheme="majorEastAsia" w:hAnsi="Arial" w:cs="Arial"/>
        </w:rPr>
      </w:pPr>
    </w:p>
    <w:p w14:paraId="453A2F66" w14:textId="77777777" w:rsidR="00C05ABD" w:rsidRDefault="00C05ABD" w:rsidP="00F87C93">
      <w:pPr>
        <w:pStyle w:val="NormalWeb"/>
        <w:tabs>
          <w:tab w:val="left" w:pos="7010"/>
        </w:tabs>
        <w:spacing w:before="0" w:beforeAutospacing="0" w:after="0" w:afterAutospacing="0" w:line="480" w:lineRule="auto"/>
        <w:jc w:val="both"/>
        <w:rPr>
          <w:rStyle w:val="Strong"/>
          <w:rFonts w:ascii="Arial" w:eastAsiaTheme="majorEastAsia" w:hAnsi="Arial" w:cs="Arial"/>
        </w:rPr>
      </w:pPr>
    </w:p>
    <w:p w14:paraId="4B652F2B" w14:textId="77777777" w:rsidR="00CA0438" w:rsidRPr="0094332C" w:rsidRDefault="00CA0438" w:rsidP="00F87C93">
      <w:pPr>
        <w:pStyle w:val="NormalWeb"/>
        <w:tabs>
          <w:tab w:val="left" w:pos="7010"/>
        </w:tabs>
        <w:spacing w:before="0" w:beforeAutospacing="0" w:after="0" w:afterAutospacing="0" w:line="480" w:lineRule="auto"/>
        <w:jc w:val="both"/>
        <w:rPr>
          <w:rFonts w:ascii="Arial" w:hAnsi="Arial" w:cs="Arial"/>
        </w:rPr>
      </w:pPr>
      <w:r w:rsidRPr="0094332C">
        <w:rPr>
          <w:rStyle w:val="Strong"/>
          <w:rFonts w:ascii="Arial" w:eastAsiaTheme="majorEastAsia" w:hAnsi="Arial" w:cs="Arial"/>
        </w:rPr>
        <w:t>Recent Advances in Fungal Diagnos</w:t>
      </w:r>
      <w:r>
        <w:rPr>
          <w:rStyle w:val="Strong"/>
          <w:rFonts w:ascii="Arial" w:eastAsiaTheme="majorEastAsia" w:hAnsi="Arial" w:cs="Arial"/>
        </w:rPr>
        <w:t>is</w:t>
      </w:r>
      <w:r>
        <w:rPr>
          <w:rStyle w:val="Strong"/>
          <w:rFonts w:ascii="Arial" w:eastAsiaTheme="majorEastAsia" w:hAnsi="Arial" w:cs="Arial"/>
        </w:rPr>
        <w:tab/>
      </w:r>
    </w:p>
    <w:p w14:paraId="03CF4F1B" w14:textId="77777777" w:rsidR="00CA0438" w:rsidRDefault="00CA0438" w:rsidP="00F87C93">
      <w:pPr>
        <w:pStyle w:val="NormalWeb"/>
        <w:spacing w:before="0" w:beforeAutospacing="0" w:after="0" w:afterAutospacing="0" w:line="480" w:lineRule="auto"/>
        <w:jc w:val="both"/>
        <w:rPr>
          <w:rFonts w:ascii="Arial" w:hAnsi="Arial" w:cs="Arial"/>
        </w:rPr>
      </w:pPr>
      <w:r>
        <w:rPr>
          <w:rFonts w:ascii="Arial" w:hAnsi="Arial" w:cs="Arial"/>
        </w:rPr>
        <w:lastRenderedPageBreak/>
        <w:t>Maximizing</w:t>
      </w:r>
      <w:r w:rsidRPr="00337ADC">
        <w:rPr>
          <w:rFonts w:ascii="Arial" w:hAnsi="Arial" w:cs="Arial"/>
        </w:rPr>
        <w:t xml:space="preserve"> survival </w:t>
      </w:r>
      <w:r>
        <w:rPr>
          <w:rFonts w:ascii="Arial" w:hAnsi="Arial" w:cs="Arial"/>
        </w:rPr>
        <w:t>against</w:t>
      </w:r>
      <w:r w:rsidRPr="00337ADC">
        <w:rPr>
          <w:rFonts w:ascii="Arial" w:hAnsi="Arial" w:cs="Arial"/>
        </w:rPr>
        <w:t xml:space="preserve"> fungal infections requires rapid </w:t>
      </w:r>
      <w:r>
        <w:rPr>
          <w:rFonts w:ascii="Arial" w:hAnsi="Arial" w:cs="Arial"/>
        </w:rPr>
        <w:t xml:space="preserve">and accurate </w:t>
      </w:r>
      <w:r w:rsidRPr="00337ADC">
        <w:rPr>
          <w:rFonts w:ascii="Arial" w:hAnsi="Arial" w:cs="Arial"/>
        </w:rPr>
        <w:t>diagnosi</w:t>
      </w:r>
      <w:r>
        <w:rPr>
          <w:rFonts w:ascii="Arial" w:hAnsi="Arial" w:cs="Arial"/>
        </w:rPr>
        <w:t>s</w:t>
      </w:r>
      <w:r w:rsidRPr="00337ADC">
        <w:rPr>
          <w:rFonts w:ascii="Arial" w:hAnsi="Arial" w:cs="Arial"/>
        </w:rPr>
        <w:t xml:space="preserve"> and therapeutic </w:t>
      </w:r>
      <w:r>
        <w:rPr>
          <w:rFonts w:ascii="Arial" w:hAnsi="Arial" w:cs="Arial"/>
        </w:rPr>
        <w:t>strategies. The</w:t>
      </w:r>
      <w:r w:rsidRPr="00FB3114">
        <w:rPr>
          <w:rFonts w:ascii="Arial" w:hAnsi="Arial" w:cs="Arial"/>
        </w:rPr>
        <w:t xml:space="preserve"> </w:t>
      </w:r>
      <w:r>
        <w:rPr>
          <w:rFonts w:ascii="Arial" w:hAnsi="Arial" w:cs="Arial"/>
        </w:rPr>
        <w:t>non-specific</w:t>
      </w:r>
      <w:r w:rsidRPr="00FB3114">
        <w:rPr>
          <w:rFonts w:ascii="Arial" w:hAnsi="Arial" w:cs="Arial"/>
        </w:rPr>
        <w:t xml:space="preserve"> clinical </w:t>
      </w:r>
      <w:r>
        <w:rPr>
          <w:rFonts w:ascii="Arial" w:hAnsi="Arial" w:cs="Arial"/>
        </w:rPr>
        <w:t xml:space="preserve">symptoms of </w:t>
      </w:r>
      <w:r w:rsidRPr="00FB3114">
        <w:rPr>
          <w:rFonts w:ascii="Arial" w:hAnsi="Arial" w:cs="Arial"/>
        </w:rPr>
        <w:t xml:space="preserve">invasive fungal </w:t>
      </w:r>
      <w:r>
        <w:rPr>
          <w:rFonts w:ascii="Arial" w:hAnsi="Arial" w:cs="Arial"/>
        </w:rPr>
        <w:t>infections</w:t>
      </w:r>
      <w:r w:rsidRPr="00FB3114">
        <w:rPr>
          <w:rFonts w:ascii="Arial" w:hAnsi="Arial" w:cs="Arial"/>
        </w:rPr>
        <w:t xml:space="preserve"> remain </w:t>
      </w:r>
      <w:r>
        <w:rPr>
          <w:rFonts w:ascii="Arial" w:hAnsi="Arial" w:cs="Arial"/>
        </w:rPr>
        <w:t xml:space="preserve">a serious </w:t>
      </w:r>
      <w:r w:rsidRPr="00FB3114">
        <w:rPr>
          <w:rFonts w:ascii="Arial" w:hAnsi="Arial" w:cs="Arial"/>
        </w:rPr>
        <w:t>challeng</w:t>
      </w:r>
      <w:r>
        <w:rPr>
          <w:rFonts w:ascii="Arial" w:hAnsi="Arial" w:cs="Arial"/>
        </w:rPr>
        <w:t>e regarding clinical diagnosis.</w:t>
      </w:r>
      <w:r w:rsidRPr="00FB3114">
        <w:rPr>
          <w:rFonts w:ascii="Arial" w:hAnsi="Arial" w:cs="Arial"/>
        </w:rPr>
        <w:t xml:space="preserve"> </w:t>
      </w:r>
      <w:r>
        <w:rPr>
          <w:rFonts w:ascii="Arial" w:hAnsi="Arial" w:cs="Arial"/>
        </w:rPr>
        <w:t>For this reason, physicians focus on bacterial or viral infections. The misdiagnosis leads to inaccurate treatment and wasting time and money. Ultimately, the value of human life and health will be at risk of developing disseminated infections. For this reason, there is a need for urgent, accurate, and rapid fungal diagnosis. The molecular techniques</w:t>
      </w:r>
      <w:r w:rsidRPr="001B1F01">
        <w:rPr>
          <w:rFonts w:ascii="Arial" w:hAnsi="Arial" w:cs="Arial"/>
        </w:rPr>
        <w:t xml:space="preserve"> </w:t>
      </w:r>
      <w:r>
        <w:rPr>
          <w:rFonts w:ascii="Arial" w:hAnsi="Arial" w:cs="Arial"/>
        </w:rPr>
        <w:t xml:space="preserve">using polymerase chain reaction (PCR), a </w:t>
      </w:r>
      <w:r w:rsidRPr="001B1F01">
        <w:rPr>
          <w:rFonts w:ascii="Arial" w:hAnsi="Arial" w:cs="Arial"/>
        </w:rPr>
        <w:t xml:space="preserve">highly sensitive and specific </w:t>
      </w:r>
      <w:r>
        <w:rPr>
          <w:rFonts w:ascii="Arial" w:hAnsi="Arial" w:cs="Arial"/>
        </w:rPr>
        <w:t xml:space="preserve">technique </w:t>
      </w:r>
      <w:r w:rsidRPr="001B1F01">
        <w:rPr>
          <w:rFonts w:ascii="Arial" w:hAnsi="Arial" w:cs="Arial"/>
        </w:rPr>
        <w:t>diagnosis of invasive fungal disease</w:t>
      </w:r>
      <w:r>
        <w:rPr>
          <w:rFonts w:ascii="Arial" w:hAnsi="Arial" w:cs="Arial"/>
        </w:rPr>
        <w:t xml:space="preserve"> (</w:t>
      </w:r>
      <w:r w:rsidRPr="00171CCD">
        <w:rPr>
          <w:rFonts w:ascii="Arial" w:hAnsi="Arial" w:cs="Arial"/>
          <w:b/>
          <w:bCs/>
        </w:rPr>
        <w:t xml:space="preserve">Figure </w:t>
      </w:r>
      <w:r>
        <w:rPr>
          <w:rFonts w:ascii="Arial" w:hAnsi="Arial" w:cs="Arial"/>
          <w:b/>
          <w:bCs/>
        </w:rPr>
        <w:t>2</w:t>
      </w:r>
      <w:r>
        <w:rPr>
          <w:rFonts w:ascii="Arial" w:hAnsi="Arial" w:cs="Arial"/>
        </w:rPr>
        <w:t xml:space="preserve">). However, this technique </w:t>
      </w:r>
      <w:r w:rsidRPr="001B1F01">
        <w:rPr>
          <w:rFonts w:ascii="Arial" w:hAnsi="Arial" w:cs="Arial"/>
        </w:rPr>
        <w:t xml:space="preserve">is not yet widely implemented due to concerns regarding limited </w:t>
      </w:r>
      <w:r>
        <w:rPr>
          <w:rFonts w:ascii="Arial" w:hAnsi="Arial" w:cs="Arial"/>
        </w:rPr>
        <w:t>standardization</w:t>
      </w:r>
      <w:r w:rsidRPr="001B1F01">
        <w:rPr>
          <w:rFonts w:ascii="Arial" w:hAnsi="Arial" w:cs="Arial"/>
        </w:rPr>
        <w:t xml:space="preserve"> between assays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{"citationID":"FOWeK2as","properties":{"formattedCitation":"(Brown et al., 2025)","plainCitation":"(Brown et al., 2025)","noteIndex":0},"citationItems":[{"id":8664,"uris":["http://zotero.org/users/2543086/items/MVJYBYA8"],"itemData":{"id":8664,"type":"article-journal","abstract":"Background: Polymerase chain reaction (PCR) is highly sensitive and specific for the rapid diagnosis of invasive fungal disease (IFD) but is not yet widely implemented due to concerns regarding limited standardisation between assays, the lack of commercial options and the absence of clear guidance on interpreting results. Objectives and Methods: This review provides an update on technical and clinical aspects of PCR for the diagnosis of the most pertinent fungal pathogens, including Aspergillus, Candida, Pneumocystis jirovecii, Mucorales spp., and endemic mycoses. Summary: Recent meta-analyses have demonstrated that quantitative PCR (qPCR) offers high sensitivity for diagnosing IFD, surpassing conventional microscopy, culture and most serological tests. The reported specificity of qPCR is likely underestimated due to comparison with imperfect reference standards with variable sensitivity. Although the very low limit of detection of qPCR can generate false positive results due to procedural contamination or patient colonisation (particularly in pulmonary specimens), the rates are comparable to those observed for biomarker testing. When interpreting qPCR results, it is essential to consider the pre-test probability, determined by the patient population, host factors, clinical presentation and risk factors. For patients with low to moderate pre-test probability, the use of sensitive molecular tests, often in conjunction with serological testing or biomarkers, can effectively exclude IFD when all tests return negative results, reducing the need for empirical antifungal therapy. Conversely, for patients with high pre-test probability and clinical features of IFD, qPCR testing on invasive specimens from the site of infection (such as tissue or bronchoalveolar lavage fluid) can confidently rule in the disease. The development of next-generation sequencing methods to detect fungal infection has the potential to enhance the diagnosis of IFD, but standardisation and optimisation are essential, with improved accessibility underpinning clinical utility.","container-title":"Diagnostics","DOI":"10.3390/diagnostics15151909","ISSN":"2075-4418","issue":"15","language":"en","license":"http://creativecommons.org/licenses/by/3.0/","note":"publisher: Multidisciplinary Digital Publishing Institute","page":"1909","source":"www.mdpi.com","title":"The Molecular Diagnosis of Invasive Fungal Diseases with a Focus on PCR","volume":"15","author":[{"family":"Brown","given":"Lottie"},{"family":"Cruciani","given":"Mario"},{"family":"Morton","given":"Charles Oliver"},{"family":"Alanio","given":"Alexandre"},{"family":"Barnes","given":"Rosemary A."},{"family":"Donnelly","given":"J. Peter"},{"family":"Hagen","given":"Ferry"},{"family":"Gorton","given":"Rebecca"},{"family":"Lackner","given":"Michaela"},{"family":"Loeffler","given":"Juergen"},{"family":"Millon","given":"Laurence"},{"family":"Rautemaa-Richardson","given":"Riina"},{"family":"White","given":"P. Lewis"}],"issued":{"date-parts":[["2025",1]]}}}],"schema":"https://github.com/citation-style-language/schema/raw/master/csl-citation.json"} </w:instrText>
      </w:r>
      <w:r>
        <w:rPr>
          <w:rFonts w:ascii="Arial" w:hAnsi="Arial" w:cs="Arial"/>
        </w:rPr>
        <w:fldChar w:fldCharType="separate"/>
      </w:r>
      <w:r>
        <w:rPr>
          <w:rFonts w:ascii="Arial" w:hAnsi="Arial" w:cs="Arial"/>
          <w:noProof/>
        </w:rPr>
        <w:t>(Brown et al., 2025)</w:t>
      </w:r>
      <w:r>
        <w:rPr>
          <w:rFonts w:ascii="Arial" w:hAnsi="Arial" w:cs="Arial"/>
        </w:rPr>
        <w:fldChar w:fldCharType="end"/>
      </w:r>
      <w:r w:rsidRPr="001B1F01">
        <w:rPr>
          <w:rFonts w:ascii="Arial" w:hAnsi="Arial" w:cs="Arial"/>
        </w:rPr>
        <w:t>.</w:t>
      </w:r>
      <w:r>
        <w:rPr>
          <w:rFonts w:ascii="Arial" w:hAnsi="Arial" w:cs="Arial"/>
        </w:rPr>
        <w:t xml:space="preserve"> </w:t>
      </w:r>
    </w:p>
    <w:p w14:paraId="2451170A" w14:textId="01AFECB3" w:rsidR="00CA0438" w:rsidRDefault="00CF4AA5" w:rsidP="002E2F25">
      <w:pPr>
        <w:pStyle w:val="NormalWeb"/>
        <w:spacing w:before="0" w:beforeAutospacing="0" w:after="0" w:afterAutospacing="0" w:line="480" w:lineRule="auto"/>
        <w:jc w:val="both"/>
        <w:rPr>
          <w:rFonts w:ascii="Arial" w:hAnsi="Arial" w:cs="Arial"/>
        </w:rPr>
      </w:pPr>
      <w:r>
        <w:rPr>
          <w:rFonts w:ascii="Arial" w:hAnsi="Arial" w:cs="Arial"/>
          <w:noProof/>
          <w14:ligatures w14:val="standardContextual"/>
        </w:rPr>
        <w:drawing>
          <wp:inline distT="0" distB="0" distL="0" distR="0" wp14:anchorId="55183C82" wp14:editId="68C5C5C2">
            <wp:extent cx="5731510" cy="3192780"/>
            <wp:effectExtent l="0" t="0" r="0" b="0"/>
            <wp:docPr id="239269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69499" name="Picture 2392694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92780"/>
                    </a:xfrm>
                    <a:prstGeom prst="rect">
                      <a:avLst/>
                    </a:prstGeom>
                  </pic:spPr>
                </pic:pic>
              </a:graphicData>
            </a:graphic>
          </wp:inline>
        </w:drawing>
      </w:r>
    </w:p>
    <w:p w14:paraId="2022A2CD" w14:textId="77777777" w:rsidR="002E2F25" w:rsidRDefault="002E2F25" w:rsidP="002E2F25">
      <w:pPr>
        <w:pStyle w:val="NormalWeb"/>
        <w:spacing w:before="0" w:beforeAutospacing="0" w:after="0" w:afterAutospacing="0" w:line="480" w:lineRule="auto"/>
        <w:jc w:val="both"/>
        <w:rPr>
          <w:rFonts w:ascii="Arial" w:hAnsi="Arial" w:cs="Arial"/>
        </w:rPr>
      </w:pPr>
      <w:r w:rsidRPr="00531536">
        <w:rPr>
          <w:rFonts w:ascii="Arial" w:hAnsi="Arial" w:cs="Arial"/>
          <w:b/>
          <w:bCs/>
        </w:rPr>
        <w:t xml:space="preserve">Figure </w:t>
      </w:r>
      <w:r>
        <w:rPr>
          <w:rFonts w:ascii="Arial" w:hAnsi="Arial" w:cs="Arial"/>
          <w:b/>
          <w:bCs/>
        </w:rPr>
        <w:t>2</w:t>
      </w:r>
      <w:r w:rsidRPr="00531536">
        <w:rPr>
          <w:rFonts w:ascii="Arial" w:hAnsi="Arial" w:cs="Arial"/>
          <w:b/>
          <w:bCs/>
        </w:rPr>
        <w:t>.</w:t>
      </w:r>
      <w:r>
        <w:rPr>
          <w:rFonts w:ascii="Arial" w:hAnsi="Arial" w:cs="Arial"/>
        </w:rPr>
        <w:t xml:space="preserve"> Molecular technique for diagnosis fungal pathogens. Image was created by </w:t>
      </w:r>
      <w:proofErr w:type="spellStart"/>
      <w:r>
        <w:rPr>
          <w:rFonts w:ascii="Arial" w:hAnsi="Arial" w:cs="Arial"/>
        </w:rPr>
        <w:t>bioRender</w:t>
      </w:r>
      <w:proofErr w:type="spellEnd"/>
      <w:r>
        <w:rPr>
          <w:rFonts w:ascii="Arial" w:hAnsi="Arial" w:cs="Arial"/>
        </w:rPr>
        <w:t>.</w:t>
      </w:r>
    </w:p>
    <w:p w14:paraId="55ED9C58" w14:textId="77777777" w:rsidR="00CA0438" w:rsidRDefault="00CA0438" w:rsidP="00F87C93">
      <w:pPr>
        <w:pStyle w:val="NormalWeb"/>
        <w:spacing w:before="0" w:beforeAutospacing="0" w:after="0" w:afterAutospacing="0" w:line="480" w:lineRule="auto"/>
        <w:jc w:val="both"/>
        <w:rPr>
          <w:rFonts w:ascii="Arial" w:hAnsi="Arial" w:cs="Arial"/>
        </w:rPr>
      </w:pPr>
    </w:p>
    <w:p w14:paraId="1A6A6416" w14:textId="77777777" w:rsidR="00CA0438" w:rsidRDefault="00CA0438" w:rsidP="00F87C93">
      <w:pPr>
        <w:pStyle w:val="NormalWeb"/>
        <w:spacing w:before="0" w:beforeAutospacing="0" w:after="0" w:afterAutospacing="0" w:line="480" w:lineRule="auto"/>
        <w:jc w:val="both"/>
        <w:rPr>
          <w:rFonts w:ascii="Arial" w:hAnsi="Arial" w:cs="Arial"/>
        </w:rPr>
      </w:pPr>
    </w:p>
    <w:p w14:paraId="7E8E68AB" w14:textId="77777777" w:rsidR="00CA0438" w:rsidRDefault="00CA0438" w:rsidP="00F87C93">
      <w:pPr>
        <w:pStyle w:val="NormalWeb"/>
        <w:spacing w:before="0" w:beforeAutospacing="0" w:after="0" w:afterAutospacing="0" w:line="480" w:lineRule="auto"/>
        <w:jc w:val="both"/>
        <w:rPr>
          <w:rFonts w:ascii="Arial" w:hAnsi="Arial" w:cs="Arial"/>
        </w:rPr>
      </w:pPr>
      <w:r w:rsidRPr="00F1646D">
        <w:rPr>
          <w:rFonts w:ascii="Arial" w:hAnsi="Arial" w:cs="Arial"/>
        </w:rPr>
        <w:lastRenderedPageBreak/>
        <w:t>Immunodiagnostic assays</w:t>
      </w:r>
      <w:r>
        <w:rPr>
          <w:rFonts w:ascii="Arial" w:hAnsi="Arial" w:cs="Arial"/>
        </w:rPr>
        <w:t>,</w:t>
      </w:r>
      <w:r w:rsidRPr="00F1646D">
        <w:rPr>
          <w:rFonts w:ascii="Arial" w:hAnsi="Arial" w:cs="Arial"/>
        </w:rPr>
        <w:t xml:space="preserve"> </w:t>
      </w:r>
      <w:r>
        <w:rPr>
          <w:rFonts w:ascii="Arial" w:hAnsi="Arial" w:cs="Arial"/>
        </w:rPr>
        <w:t xml:space="preserve">such as </w:t>
      </w:r>
      <w:r w:rsidRPr="00F1646D">
        <w:rPr>
          <w:rFonts w:ascii="Arial" w:hAnsi="Arial" w:cs="Arial"/>
        </w:rPr>
        <w:t>complement fixation and immunodiffusion</w:t>
      </w:r>
      <w:r>
        <w:rPr>
          <w:rFonts w:ascii="Arial" w:hAnsi="Arial" w:cs="Arial"/>
        </w:rPr>
        <w:t>,</w:t>
      </w:r>
      <w:r w:rsidRPr="00F1646D">
        <w:rPr>
          <w:rFonts w:ascii="Arial" w:hAnsi="Arial" w:cs="Arial"/>
        </w:rPr>
        <w:t xml:space="preserve"> to enzyme immunoassays are </w:t>
      </w:r>
      <w:r>
        <w:rPr>
          <w:rFonts w:ascii="Arial" w:hAnsi="Arial" w:cs="Arial"/>
        </w:rPr>
        <w:t>vital</w:t>
      </w:r>
      <w:r w:rsidRPr="00F1646D">
        <w:rPr>
          <w:rFonts w:ascii="Arial" w:hAnsi="Arial" w:cs="Arial"/>
        </w:rPr>
        <w:t xml:space="preserve"> </w:t>
      </w:r>
      <w:r>
        <w:rPr>
          <w:rFonts w:ascii="Arial" w:hAnsi="Arial" w:cs="Arial"/>
        </w:rPr>
        <w:t>due to their high specificity in diagnosing fungal antigens. Using hybridoma technology and genetic engineering for developing a specific monoclonal antibody is an essential step for a specific immunodiagnostic test that can rely</w:t>
      </w:r>
      <w:r w:rsidRPr="00F1646D">
        <w:rPr>
          <w:rFonts w:ascii="Arial" w:hAnsi="Arial" w:cs="Arial"/>
        </w:rPr>
        <w:t xml:space="preserve"> upon for the diagnosis of fungal infections</w:t>
      </w:r>
      <w:r>
        <w:rPr>
          <w:rFonts w:ascii="Arial" w:hAnsi="Arial" w:cs="Arial"/>
        </w:rPr>
        <w:t xml:space="preserve">, rather than </w:t>
      </w:r>
      <w:r w:rsidRPr="00F1646D">
        <w:rPr>
          <w:rFonts w:ascii="Arial" w:hAnsi="Arial" w:cs="Arial"/>
        </w:rPr>
        <w:t>time-consuming</w:t>
      </w:r>
      <w:r>
        <w:rPr>
          <w:rFonts w:ascii="Arial" w:hAnsi="Arial" w:cs="Arial"/>
        </w:rPr>
        <w:t xml:space="preserve"> conventional techniques such as</w:t>
      </w:r>
      <w:r w:rsidRPr="00F1646D">
        <w:rPr>
          <w:rFonts w:ascii="Arial" w:hAnsi="Arial" w:cs="Arial"/>
        </w:rPr>
        <w:t xml:space="preserve"> culture and histopathology</w:t>
      </w:r>
      <w:r>
        <w:rPr>
          <w:rFonts w:ascii="Arial" w:hAnsi="Arial" w:cs="Arial"/>
        </w:rPr>
        <w:t xml:space="preserve"> (</w:t>
      </w:r>
      <w:r w:rsidRPr="00576E33">
        <w:rPr>
          <w:rFonts w:ascii="Arial" w:hAnsi="Arial" w:cs="Arial"/>
          <w:b/>
          <w:bCs/>
        </w:rPr>
        <w:t xml:space="preserve">Figure </w:t>
      </w:r>
      <w:r>
        <w:rPr>
          <w:rFonts w:ascii="Arial" w:hAnsi="Arial" w:cs="Arial"/>
          <w:b/>
          <w:bCs/>
        </w:rPr>
        <w:t>3</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{"citationID":"GdCUb5GU","properties":{"formattedCitation":"(M. Al-Maqtoofi &amp; Thornton, 2016)","plainCitation":"(M. Al-Maqtoofi &amp; Thornton, 2016)","dontUpdate":true,"noteIndex":0},"citationItems":[{"id":5857,"uris":["http://zotero.org/users/2543086/items/6I3SRFS5"],"itemData":{"id":5857,"type":"article-journal","abstract":"The fungus Fusarium is well known as a plant pathogen, but has recently emerged as an opportunistic pathogen of humans. Habitats providing direct human exposure to infectious propagules are largely unknown, but there is growing evidence that plumbing systems are sources of human pathogenic strains in the Fusarium solani species complex (FSSC) and Fusarium oxysporum species complex (FOSC), the most common groups infecting humans. Here, a newly developed Fusarium-specific monoclonal antibody (mAb ED7) was used to track FSSC and FOSC strains in sink drain biofilms by detecting its target antigen, an extracellular 200 kDa carbohydrate, in saline swabs. The antigen was detectable in 52% of swab samples collected from sinks across a University campus and a tertiary care hospital. The mAb was 100% accurate in detecting FSSC, FOSC, and F. dimerum species complex (FDSC) strains that were present, as mixed fungal communities, in 83% of sink drain biofilms. Specificity of the ELISA was confirmed by sequencing of the internally transcribed spacer 1 (ITS1)-5.8S-ITS2 rRNA-encoding regions of culturable yeasts and molds that were recovered using mycological culture, while translation elongation factor (TEF)-1α analysis of Fusarium isolates included FSSC 1-a, FOSC 33, and FDSC ET-gr, the most common clinical pathotypes in each group.","container-title":"Environmental Microbiology","DOI":"10.1111/1462-2920.13233","ISSN":"1462-2920","issue":"11","language":"en","license":"© 2016 Society for Applied Microbiology and John Wiley &amp; Sons Ltd","note":"_eprint: https://onlinelibrary.wiley.com/doi/pdf/10.1111/1462-2920.13233","page":"3620-3634","source":"Wiley Online Library","title":"Detection of human pathogenic Fusarium species in hospital and communal sink biofilms by using a highly specific monoclonal antibody","volume":"18","author":[{"family":"Al-Maqtoofi","given":"Marwan"},{"family":"Thornton","given":"Christopher R."}],"issued":{"date-parts":[["2016"]]}}}],"schema":"https://github.com/citation-style-language/schema/raw/master/csl-citation.json"} </w:instrText>
      </w:r>
      <w:r>
        <w:rPr>
          <w:rFonts w:ascii="Arial" w:hAnsi="Arial" w:cs="Arial"/>
        </w:rPr>
        <w:fldChar w:fldCharType="separate"/>
      </w:r>
      <w:r>
        <w:rPr>
          <w:rFonts w:ascii="Arial" w:hAnsi="Arial" w:cs="Arial"/>
          <w:noProof/>
        </w:rPr>
        <w:t>(Al-Maqtoofi &amp; Thornton, 2016)</w:t>
      </w:r>
      <w:r>
        <w:rPr>
          <w:rFonts w:ascii="Arial" w:hAnsi="Arial" w:cs="Arial"/>
        </w:rPr>
        <w:fldChar w:fldCharType="end"/>
      </w:r>
      <w:r w:rsidRPr="00F1646D">
        <w:rPr>
          <w:rFonts w:ascii="Arial" w:hAnsi="Arial" w:cs="Arial"/>
        </w:rPr>
        <w:t xml:space="preserve">. </w:t>
      </w:r>
    </w:p>
    <w:p w14:paraId="191A9418" w14:textId="77777777" w:rsidR="009E412A" w:rsidRDefault="009E412A" w:rsidP="00F87C93">
      <w:pPr>
        <w:pStyle w:val="NormalWeb"/>
        <w:spacing w:before="0" w:beforeAutospacing="0" w:after="0" w:afterAutospacing="0" w:line="480" w:lineRule="auto"/>
        <w:jc w:val="both"/>
        <w:rPr>
          <w:rFonts w:ascii="Arial" w:hAnsi="Arial" w:cs="Arial"/>
        </w:rPr>
      </w:pPr>
    </w:p>
    <w:p w14:paraId="025A040F" w14:textId="0AFC3947" w:rsidR="00067BF3" w:rsidRDefault="009E412A" w:rsidP="00F87C93">
      <w:pPr>
        <w:pStyle w:val="NormalWeb"/>
        <w:spacing w:before="0" w:beforeAutospacing="0" w:after="0" w:afterAutospacing="0" w:line="480" w:lineRule="auto"/>
        <w:jc w:val="both"/>
        <w:rPr>
          <w:rFonts w:ascii="Arial" w:hAnsi="Arial" w:cs="Arial"/>
        </w:rPr>
      </w:pPr>
      <w:r>
        <w:rPr>
          <w:rFonts w:ascii="Arial" w:hAnsi="Arial" w:cs="Arial"/>
          <w:noProof/>
          <w14:ligatures w14:val="standardContextual"/>
        </w:rPr>
        <w:drawing>
          <wp:inline distT="0" distB="0" distL="0" distR="0" wp14:anchorId="092E15B7" wp14:editId="3601F9AC">
            <wp:extent cx="5731510" cy="3239770"/>
            <wp:effectExtent l="0" t="0" r="0" b="0"/>
            <wp:docPr id="889082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82630" name="Picture 8890826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39770"/>
                    </a:xfrm>
                    <a:prstGeom prst="rect">
                      <a:avLst/>
                    </a:prstGeom>
                  </pic:spPr>
                </pic:pic>
              </a:graphicData>
            </a:graphic>
          </wp:inline>
        </w:drawing>
      </w:r>
    </w:p>
    <w:p w14:paraId="72669B80" w14:textId="6136F618" w:rsidR="00067BF3" w:rsidRDefault="00067BF3" w:rsidP="00F87C93">
      <w:pPr>
        <w:pStyle w:val="NormalWeb"/>
        <w:spacing w:before="0" w:beforeAutospacing="0" w:after="0" w:afterAutospacing="0" w:line="480" w:lineRule="auto"/>
        <w:jc w:val="both"/>
        <w:rPr>
          <w:rFonts w:ascii="Arial" w:hAnsi="Arial" w:cs="Arial"/>
        </w:rPr>
      </w:pPr>
    </w:p>
    <w:p w14:paraId="4D92BD3A" w14:textId="023FFCFB" w:rsidR="00CA0438" w:rsidRDefault="00CA0438" w:rsidP="00F87C93">
      <w:pPr>
        <w:pStyle w:val="NormalWeb"/>
        <w:spacing w:before="0" w:beforeAutospacing="0" w:after="0" w:afterAutospacing="0" w:line="480" w:lineRule="auto"/>
        <w:jc w:val="both"/>
        <w:rPr>
          <w:rFonts w:ascii="Arial" w:hAnsi="Arial" w:cs="Arial"/>
        </w:rPr>
      </w:pPr>
      <w:r w:rsidRPr="00531536">
        <w:rPr>
          <w:rFonts w:ascii="Arial" w:hAnsi="Arial" w:cs="Arial"/>
          <w:b/>
          <w:bCs/>
        </w:rPr>
        <w:t xml:space="preserve">Figure </w:t>
      </w:r>
      <w:r>
        <w:rPr>
          <w:rFonts w:ascii="Arial" w:hAnsi="Arial" w:cs="Arial"/>
          <w:b/>
          <w:bCs/>
        </w:rPr>
        <w:t>3</w:t>
      </w:r>
      <w:r w:rsidRPr="00531536">
        <w:rPr>
          <w:rFonts w:ascii="Arial" w:hAnsi="Arial" w:cs="Arial"/>
          <w:b/>
          <w:bCs/>
        </w:rPr>
        <w:t>.</w:t>
      </w:r>
      <w:r>
        <w:rPr>
          <w:rFonts w:ascii="Arial" w:hAnsi="Arial" w:cs="Arial"/>
        </w:rPr>
        <w:t xml:space="preserve"> Developing monoclonal antibody specific for fungal antigen using hybridoma technology. Image </w:t>
      </w:r>
      <w:r w:rsidR="007508B5">
        <w:rPr>
          <w:rFonts w:ascii="Arial" w:hAnsi="Arial" w:cs="Arial"/>
        </w:rPr>
        <w:t xml:space="preserve">was </w:t>
      </w:r>
      <w:r>
        <w:rPr>
          <w:rFonts w:ascii="Arial" w:hAnsi="Arial" w:cs="Arial"/>
        </w:rPr>
        <w:t xml:space="preserve">created by </w:t>
      </w:r>
      <w:proofErr w:type="spellStart"/>
      <w:r>
        <w:rPr>
          <w:rFonts w:ascii="Arial" w:hAnsi="Arial" w:cs="Arial"/>
        </w:rPr>
        <w:t>bioRender</w:t>
      </w:r>
      <w:proofErr w:type="spellEnd"/>
      <w:r>
        <w:rPr>
          <w:rFonts w:ascii="Arial" w:hAnsi="Arial" w:cs="Arial"/>
        </w:rPr>
        <w:t>.</w:t>
      </w:r>
    </w:p>
    <w:p w14:paraId="11722633" w14:textId="77777777" w:rsidR="00CA0438" w:rsidRDefault="00CA0438" w:rsidP="00F87C93">
      <w:pPr>
        <w:pStyle w:val="NormalWeb"/>
        <w:spacing w:before="0" w:beforeAutospacing="0" w:after="0" w:afterAutospacing="0" w:line="480" w:lineRule="auto"/>
        <w:jc w:val="both"/>
        <w:rPr>
          <w:rFonts w:ascii="Arial" w:hAnsi="Arial" w:cs="Arial"/>
        </w:rPr>
      </w:pPr>
    </w:p>
    <w:p w14:paraId="63303AFB" w14:textId="77777777" w:rsidR="00CA0438" w:rsidRDefault="00CA0438" w:rsidP="00F87C93">
      <w:pPr>
        <w:pStyle w:val="NormalWeb"/>
        <w:spacing w:before="0" w:beforeAutospacing="0" w:after="0" w:afterAutospacing="0" w:line="480" w:lineRule="auto"/>
        <w:jc w:val="both"/>
        <w:rPr>
          <w:rFonts w:ascii="Arial" w:hAnsi="Arial" w:cs="Arial"/>
        </w:rPr>
      </w:pPr>
      <w:r w:rsidRPr="007934ED">
        <w:rPr>
          <w:rFonts w:ascii="Arial" w:hAnsi="Arial" w:cs="Arial"/>
        </w:rPr>
        <w:t xml:space="preserve">The application of artificial intelligence (AI) in the </w:t>
      </w:r>
      <w:r>
        <w:rPr>
          <w:rFonts w:ascii="Arial" w:hAnsi="Arial" w:cs="Arial"/>
        </w:rPr>
        <w:t>field of fungal diagnosis has emerged recently.</w:t>
      </w:r>
      <w:r w:rsidRPr="007934ED">
        <w:rPr>
          <w:rFonts w:ascii="Arial" w:hAnsi="Arial" w:cs="Arial"/>
        </w:rPr>
        <w:t xml:space="preserve"> AI technologies, particularly machine learning (ML) and deep learning (DL) methods, </w:t>
      </w:r>
      <w:r>
        <w:rPr>
          <w:rFonts w:ascii="Arial" w:hAnsi="Arial" w:cs="Arial"/>
        </w:rPr>
        <w:t xml:space="preserve">have </w:t>
      </w:r>
      <w:r w:rsidRPr="007934ED">
        <w:rPr>
          <w:rFonts w:ascii="Arial" w:hAnsi="Arial" w:cs="Arial"/>
        </w:rPr>
        <w:t>significantly enhance</w:t>
      </w:r>
      <w:r>
        <w:rPr>
          <w:rFonts w:ascii="Arial" w:hAnsi="Arial" w:cs="Arial"/>
        </w:rPr>
        <w:t>d</w:t>
      </w:r>
      <w:r w:rsidRPr="007934ED">
        <w:rPr>
          <w:rFonts w:ascii="Arial" w:hAnsi="Arial" w:cs="Arial"/>
        </w:rPr>
        <w:t xml:space="preserve"> diagnostic accuracy</w:t>
      </w:r>
      <w:r>
        <w:rPr>
          <w:rFonts w:ascii="Arial" w:hAnsi="Arial" w:cs="Arial"/>
        </w:rPr>
        <w:t>,</w:t>
      </w:r>
      <w:r w:rsidRPr="007934ED">
        <w:rPr>
          <w:rFonts w:ascii="Arial" w:hAnsi="Arial" w:cs="Arial"/>
        </w:rPr>
        <w:t xml:space="preserve"> particularly for less experienced clinicians</w:t>
      </w:r>
      <w:r>
        <w:rPr>
          <w:rFonts w:ascii="Arial" w:hAnsi="Arial" w:cs="Arial"/>
        </w:rPr>
        <w:t>, by</w:t>
      </w:r>
      <w:r w:rsidRPr="007934ED">
        <w:rPr>
          <w:rFonts w:ascii="Arial" w:hAnsi="Arial" w:cs="Arial"/>
        </w:rPr>
        <w:t xml:space="preserve"> </w:t>
      </w:r>
      <w:r>
        <w:rPr>
          <w:rFonts w:ascii="Arial" w:hAnsi="Arial" w:cs="Arial"/>
        </w:rPr>
        <w:t>analyzing</w:t>
      </w:r>
      <w:r w:rsidRPr="007934ED">
        <w:rPr>
          <w:rFonts w:ascii="Arial" w:hAnsi="Arial" w:cs="Arial"/>
        </w:rPr>
        <w:t xml:space="preserve"> microscopic images from potassium hydroxide </w:t>
      </w:r>
      <w:r w:rsidRPr="007934ED">
        <w:rPr>
          <w:rFonts w:ascii="Arial" w:hAnsi="Arial" w:cs="Arial"/>
        </w:rPr>
        <w:lastRenderedPageBreak/>
        <w:t>(KOH) examinations, fungal culture tests, and histopathologic slides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{"citationID":"rfhKf0ra","properties":{"formattedCitation":"(Hasan Pour, 2025)","plainCitation":"(Hasan Pour, 2025)","noteIndex":0},"citationItems":[{"id":8682,"uris":["http://zotero.org/users/2543086/items/U4F4RWNE"],"itemData":{"id":8682,"type":"article-journal","abstract":"Background Superficial fungal infections are among the most common infections in world, they mainly affect skin, nails and scalp without further invasion. Superficial fungal diseases are conventionally diagnosed with direct microscopy, fungal culture or histopathology, treated with topical or systemic antifungal agents and prevented in immunocompetent patients by improving personal hygiene. However, conventional diagnostic tests can be time-consuming, also treatment can be insufficient or ineffective and prevention can prove to be demanding. Artificial Intelligence (AI) refers to a digital system having an intelligence akin to a human being. The concept of AI has existed since 1956, but hasn't been practicalised until recently. AI has revolutionised medical research in the recent years, promising to influence almost all specialties of medicine. Objective An increasing number of articles have been published about the usage of AI in cutaneous mycoses. Methods In this review, the key findings of articles about utilisation of AI in diagnosis, treatment and prevention of superficial fungal infections are summarised. Moreover, the need for more research and development is highlighted. Results Fifty-four studies were reviewed. Onychomycosis was the most researched superficial fungal infection. AI can be used diagnosing fungi in macroscopic and microscopic images and classify them to some extent. AI can be a tool and be used as a part of something bigger to diagnose superficial mycoses. Conclusion AI can be used in all three steps of diagnosing, treating and preventing. AI can be a tool complementary to the clinician's skills and laboratory results.","container-title":"Mycoses","DOI":"10.1111/myc.70007","ISSN":"1439-0507","issue":"1","language":"en","license":"© 2025 Wiley-VCH GmbH. Published by John Wiley &amp; Sons Ltd","note":"_eprint: https://onlinelibrary.wiley.com/doi/pdf/10.1111/myc.70007","page":"e70007","source":"Wiley Online Library","title":"Superficial Fungal Infections and Artificial Intelligence: A Review on Current Advances and Opportunities: REVISION","title-short":"Superficial Fungal Infections and Artificial Intelligence","volume":"68","author":[{"family":"Hasan Pour","given":"Bahareh"}],"issued":{"date-parts":[["2025"]]}}}],"schema":"https://github.com/citation-style-language/schema/raw/master/csl-citation.json"} </w:instrText>
      </w:r>
      <w:r>
        <w:rPr>
          <w:rFonts w:ascii="Arial" w:hAnsi="Arial" w:cs="Arial"/>
        </w:rPr>
        <w:fldChar w:fldCharType="separate"/>
      </w:r>
      <w:r>
        <w:rPr>
          <w:rFonts w:ascii="Arial" w:hAnsi="Arial" w:cs="Arial"/>
          <w:noProof/>
        </w:rPr>
        <w:t>(Hasan Pour, 2025)</w:t>
      </w:r>
      <w:r>
        <w:rPr>
          <w:rFonts w:ascii="Arial" w:hAnsi="Arial" w:cs="Arial"/>
        </w:rPr>
        <w:fldChar w:fldCharType="end"/>
      </w:r>
      <w:r w:rsidRPr="007934ED">
        <w:rPr>
          <w:rFonts w:ascii="Arial" w:hAnsi="Arial" w:cs="Arial"/>
        </w:rPr>
        <w:t>.</w:t>
      </w:r>
    </w:p>
    <w:p w14:paraId="4C53A1D3" w14:textId="77777777" w:rsidR="00CA0438" w:rsidRDefault="00CA0438" w:rsidP="00F87C93">
      <w:pPr>
        <w:pStyle w:val="NormalWeb"/>
        <w:spacing w:before="0" w:beforeAutospacing="0" w:after="0" w:afterAutospacing="0" w:line="480" w:lineRule="auto"/>
        <w:jc w:val="both"/>
        <w:rPr>
          <w:rFonts w:ascii="Arial" w:hAnsi="Arial" w:cs="Arial"/>
        </w:rPr>
      </w:pPr>
    </w:p>
    <w:p w14:paraId="0FFF19A7" w14:textId="77777777" w:rsidR="005163AA" w:rsidRDefault="005163AA" w:rsidP="00F87C93">
      <w:pPr>
        <w:pStyle w:val="NormalWeb"/>
        <w:spacing w:before="0" w:beforeAutospacing="0" w:after="0" w:afterAutospacing="0" w:line="480" w:lineRule="auto"/>
        <w:jc w:val="both"/>
        <w:rPr>
          <w:rFonts w:ascii="Arial" w:hAnsi="Arial" w:cs="Arial"/>
        </w:rPr>
      </w:pPr>
    </w:p>
    <w:p w14:paraId="3F73F20C" w14:textId="77777777" w:rsidR="00CA0438" w:rsidRPr="007F178F" w:rsidRDefault="00CA0438" w:rsidP="00F87C93">
      <w:pPr>
        <w:pStyle w:val="NormalWeb"/>
        <w:spacing w:before="0" w:beforeAutospacing="0" w:after="0" w:afterAutospacing="0" w:line="480" w:lineRule="auto"/>
        <w:jc w:val="both"/>
        <w:rPr>
          <w:rFonts w:ascii="Arial" w:hAnsi="Arial" w:cs="Arial"/>
        </w:rPr>
      </w:pPr>
      <w:r w:rsidRPr="007F178F">
        <w:rPr>
          <w:rStyle w:val="Strong"/>
          <w:rFonts w:ascii="Arial" w:eastAsiaTheme="majorEastAsia" w:hAnsi="Arial" w:cs="Arial"/>
        </w:rPr>
        <w:t>Conclusion</w:t>
      </w:r>
    </w:p>
    <w:p w14:paraId="5E197A65" w14:textId="768DC979" w:rsidR="00CA0438" w:rsidRDefault="00CA0438" w:rsidP="00F87C93">
      <w:pPr>
        <w:pStyle w:val="NormalWeb"/>
        <w:spacing w:before="0" w:beforeAutospacing="0" w:after="0" w:afterAutospacing="0" w:line="480" w:lineRule="auto"/>
        <w:jc w:val="both"/>
        <w:rPr>
          <w:rFonts w:ascii="Arial" w:hAnsi="Arial" w:cs="Arial"/>
        </w:rPr>
      </w:pPr>
      <w:r w:rsidRPr="007F178F">
        <w:rPr>
          <w:rFonts w:ascii="Arial" w:hAnsi="Arial" w:cs="Arial"/>
        </w:rPr>
        <w:t xml:space="preserve">Fungal </w:t>
      </w:r>
      <w:r>
        <w:rPr>
          <w:rFonts w:ascii="Arial" w:hAnsi="Arial" w:cs="Arial"/>
        </w:rPr>
        <w:t>pathogens</w:t>
      </w:r>
      <w:r w:rsidRPr="007F178F">
        <w:rPr>
          <w:rFonts w:ascii="Arial" w:hAnsi="Arial" w:cs="Arial"/>
        </w:rPr>
        <w:t xml:space="preserve"> </w:t>
      </w:r>
      <w:r w:rsidRPr="00C67B77">
        <w:rPr>
          <w:rFonts w:ascii="Arial" w:hAnsi="Arial" w:cs="Arial"/>
        </w:rPr>
        <w:t xml:space="preserve">cause </w:t>
      </w:r>
      <w:r>
        <w:rPr>
          <w:rFonts w:ascii="Arial" w:hAnsi="Arial" w:cs="Arial"/>
        </w:rPr>
        <w:t>many</w:t>
      </w:r>
      <w:r w:rsidRPr="00C67B77">
        <w:rPr>
          <w:rFonts w:ascii="Arial" w:hAnsi="Arial" w:cs="Arial"/>
        </w:rPr>
        <w:t xml:space="preserve"> </w:t>
      </w:r>
      <w:r>
        <w:rPr>
          <w:rFonts w:ascii="Arial" w:hAnsi="Arial" w:cs="Arial"/>
        </w:rPr>
        <w:t>infections, with life-threatening disease,</w:t>
      </w:r>
      <w:r w:rsidRPr="00C67B77">
        <w:rPr>
          <w:rFonts w:ascii="Arial" w:hAnsi="Arial" w:cs="Arial"/>
        </w:rPr>
        <w:t xml:space="preserve"> in immun</w:t>
      </w:r>
      <w:r>
        <w:rPr>
          <w:rFonts w:ascii="Arial" w:hAnsi="Arial" w:cs="Arial"/>
        </w:rPr>
        <w:t>o</w:t>
      </w:r>
      <w:r w:rsidRPr="00C67B77">
        <w:rPr>
          <w:rFonts w:ascii="Arial" w:hAnsi="Arial" w:cs="Arial"/>
        </w:rPr>
        <w:t>competent and immun</w:t>
      </w:r>
      <w:r>
        <w:rPr>
          <w:rFonts w:ascii="Arial" w:hAnsi="Arial" w:cs="Arial"/>
        </w:rPr>
        <w:t>o</w:t>
      </w:r>
      <w:r w:rsidRPr="00C67B77">
        <w:rPr>
          <w:rFonts w:ascii="Arial" w:hAnsi="Arial" w:cs="Arial"/>
        </w:rPr>
        <w:t>compromised individuals</w:t>
      </w:r>
      <w:r>
        <w:rPr>
          <w:rFonts w:ascii="Arial" w:hAnsi="Arial" w:cs="Arial"/>
        </w:rPr>
        <w:t xml:space="preserve">. Early recognition of fungal antigens by </w:t>
      </w:r>
      <w:r w:rsidRPr="007F178F">
        <w:rPr>
          <w:rFonts w:ascii="Arial" w:hAnsi="Arial" w:cs="Arial"/>
        </w:rPr>
        <w:t xml:space="preserve">the host immune system </w:t>
      </w:r>
      <w:r>
        <w:rPr>
          <w:rFonts w:ascii="Arial" w:hAnsi="Arial" w:cs="Arial"/>
        </w:rPr>
        <w:t xml:space="preserve">is a pivotal step to trigger a complex network </w:t>
      </w:r>
      <w:r w:rsidRPr="007F178F">
        <w:rPr>
          <w:rFonts w:ascii="Arial" w:hAnsi="Arial" w:cs="Arial"/>
        </w:rPr>
        <w:t xml:space="preserve">of innate and adaptive responses that </w:t>
      </w:r>
      <w:r>
        <w:rPr>
          <w:rFonts w:ascii="Arial" w:hAnsi="Arial" w:cs="Arial"/>
        </w:rPr>
        <w:t>synergistically</w:t>
      </w:r>
      <w:r w:rsidRPr="007F178F">
        <w:rPr>
          <w:rFonts w:ascii="Arial" w:hAnsi="Arial" w:cs="Arial"/>
        </w:rPr>
        <w:t xml:space="preserve"> prevent and control infection. </w:t>
      </w:r>
      <w:r>
        <w:rPr>
          <w:rFonts w:ascii="Arial" w:hAnsi="Arial" w:cs="Arial"/>
        </w:rPr>
        <w:t xml:space="preserve">Early, rapid, and specific </w:t>
      </w:r>
      <w:r w:rsidRPr="007F178F">
        <w:rPr>
          <w:rFonts w:ascii="Arial" w:hAnsi="Arial" w:cs="Arial"/>
        </w:rPr>
        <w:t>diagnosi</w:t>
      </w:r>
      <w:r>
        <w:rPr>
          <w:rFonts w:ascii="Arial" w:hAnsi="Arial" w:cs="Arial"/>
        </w:rPr>
        <w:t>s</w:t>
      </w:r>
      <w:r w:rsidRPr="007F178F">
        <w:rPr>
          <w:rFonts w:ascii="Arial" w:hAnsi="Arial" w:cs="Arial"/>
        </w:rPr>
        <w:t xml:space="preserve"> </w:t>
      </w:r>
      <w:r>
        <w:rPr>
          <w:rFonts w:ascii="Arial" w:hAnsi="Arial" w:cs="Arial"/>
        </w:rPr>
        <w:t xml:space="preserve">for fungal infections, particularly </w:t>
      </w:r>
      <w:r w:rsidR="00044A16">
        <w:rPr>
          <w:rFonts w:ascii="Arial" w:hAnsi="Arial" w:cs="Arial"/>
        </w:rPr>
        <w:t>invasive</w:t>
      </w:r>
      <w:r>
        <w:rPr>
          <w:rFonts w:ascii="Arial" w:hAnsi="Arial" w:cs="Arial"/>
        </w:rPr>
        <w:t xml:space="preserve"> infections, can</w:t>
      </w:r>
      <w:r w:rsidRPr="007F178F">
        <w:rPr>
          <w:rFonts w:ascii="Arial" w:hAnsi="Arial" w:cs="Arial"/>
        </w:rPr>
        <w:t xml:space="preserve"> improve patient outcomes. Future </w:t>
      </w:r>
      <w:r>
        <w:rPr>
          <w:rFonts w:ascii="Arial" w:hAnsi="Arial" w:cs="Arial"/>
        </w:rPr>
        <w:t>studies</w:t>
      </w:r>
      <w:r w:rsidRPr="007F178F">
        <w:rPr>
          <w:rFonts w:ascii="Arial" w:hAnsi="Arial" w:cs="Arial"/>
        </w:rPr>
        <w:t xml:space="preserve"> should focus on developing novel immunotherapies,</w:t>
      </w:r>
      <w:r>
        <w:rPr>
          <w:rFonts w:ascii="Arial" w:hAnsi="Arial" w:cs="Arial"/>
        </w:rPr>
        <w:t xml:space="preserve"> </w:t>
      </w:r>
      <w:r w:rsidRPr="007F178F">
        <w:rPr>
          <w:rFonts w:ascii="Arial" w:hAnsi="Arial" w:cs="Arial"/>
        </w:rPr>
        <w:t>antifungal agents, and effective vaccines</w:t>
      </w:r>
      <w:r>
        <w:rPr>
          <w:rFonts w:ascii="Arial" w:hAnsi="Arial" w:cs="Arial"/>
        </w:rPr>
        <w:t xml:space="preserve"> and</w:t>
      </w:r>
      <w:r w:rsidRPr="007F178F">
        <w:rPr>
          <w:rFonts w:ascii="Arial" w:hAnsi="Arial" w:cs="Arial"/>
        </w:rPr>
        <w:t xml:space="preserve"> refining diagnostic methods to ensure early and precise identification of fungal pathogens. </w:t>
      </w:r>
    </w:p>
    <w:p w14:paraId="12794BD6" w14:textId="77777777" w:rsidR="00CA0438" w:rsidRDefault="00CA0438" w:rsidP="00F87C93">
      <w:pPr>
        <w:pStyle w:val="NormalWeb"/>
        <w:spacing w:before="0" w:beforeAutospacing="0" w:after="0" w:afterAutospacing="0" w:line="480" w:lineRule="auto"/>
        <w:jc w:val="both"/>
        <w:rPr>
          <w:rFonts w:ascii="Arial" w:hAnsi="Arial" w:cs="Arial"/>
        </w:rPr>
      </w:pPr>
    </w:p>
    <w:p w14:paraId="525F0DBC" w14:textId="77777777" w:rsidR="00CA0438" w:rsidRPr="00334681" w:rsidRDefault="00CA0438" w:rsidP="00F87C93">
      <w:pPr>
        <w:pStyle w:val="NormalWeb"/>
        <w:spacing w:before="0" w:beforeAutospacing="0" w:after="0" w:afterAutospacing="0" w:line="480" w:lineRule="auto"/>
        <w:jc w:val="both"/>
        <w:rPr>
          <w:rFonts w:ascii="Arial" w:hAnsi="Arial" w:cs="Arial"/>
          <w:b/>
          <w:bCs/>
        </w:rPr>
      </w:pPr>
      <w:r w:rsidRPr="00334681">
        <w:rPr>
          <w:rFonts w:ascii="Arial" w:hAnsi="Arial" w:cs="Arial"/>
          <w:b/>
          <w:bCs/>
        </w:rPr>
        <w:t>References</w:t>
      </w:r>
    </w:p>
    <w:p w14:paraId="45771BC8" w14:textId="77777777" w:rsidR="00B470C2" w:rsidRPr="00B470C2" w:rsidRDefault="00FE01E4" w:rsidP="0048415F">
      <w:pPr>
        <w:pStyle w:val="Bibliography"/>
        <w:jc w:val="both"/>
        <w:rPr>
          <w:rFonts w:ascii="Arial" w:eastAsiaTheme="minorHAnsi" w:hAnsi="Arial" w:cs="Arial"/>
          <w:lang w:val="en-GB" w:eastAsia="en-US"/>
        </w:rPr>
      </w:pPr>
      <w:r>
        <w:rPr>
          <w:rFonts w:ascii="Arial" w:hAnsi="Arial" w:cs="Arial"/>
        </w:rPr>
        <w:fldChar w:fldCharType="begin"/>
      </w:r>
      <w:r w:rsidR="00B470C2">
        <w:rPr>
          <w:rFonts w:ascii="Arial" w:hAnsi="Arial" w:cs="Arial"/>
        </w:rPr>
        <w:instrText xml:space="preserve"> ADDIN ZOTERO_BIBL {"uncited":[],"omitted":[],"custom":[]} CSL_BIBLIOGRAPHY </w:instrText>
      </w:r>
      <w:r>
        <w:rPr>
          <w:rFonts w:ascii="Arial" w:hAnsi="Arial" w:cs="Arial"/>
        </w:rPr>
        <w:fldChar w:fldCharType="separate"/>
      </w:r>
      <w:r w:rsidR="00B470C2" w:rsidRPr="00B470C2">
        <w:rPr>
          <w:rFonts w:ascii="Arial" w:eastAsiaTheme="minorHAnsi" w:hAnsi="Arial" w:cs="Arial"/>
          <w:lang w:val="en-GB" w:eastAsia="en-US"/>
        </w:rPr>
        <w:t xml:space="preserve">Abdul-Kareem, H. H., Al-Maqtoofi, M. Y., &amp; Burghal, A. A. (2023). Impact of COVID-19 vaccination on saliva immune barriers: IgA, lysozyme, and lactoferrin. </w:t>
      </w:r>
      <w:r w:rsidR="00B470C2" w:rsidRPr="00B470C2">
        <w:rPr>
          <w:rFonts w:ascii="Arial" w:eastAsiaTheme="minorHAnsi" w:hAnsi="Arial" w:cs="Arial"/>
          <w:i/>
          <w:iCs/>
          <w:lang w:val="en-GB" w:eastAsia="en-US"/>
        </w:rPr>
        <w:t>Archives of Virology</w:t>
      </w:r>
      <w:r w:rsidR="00B470C2" w:rsidRPr="00B470C2">
        <w:rPr>
          <w:rFonts w:ascii="Arial" w:eastAsiaTheme="minorHAnsi" w:hAnsi="Arial" w:cs="Arial"/>
          <w:lang w:val="en-GB" w:eastAsia="en-US"/>
        </w:rPr>
        <w:t xml:space="preserve">, </w:t>
      </w:r>
      <w:r w:rsidR="00B470C2" w:rsidRPr="00B470C2">
        <w:rPr>
          <w:rFonts w:ascii="Arial" w:eastAsiaTheme="minorHAnsi" w:hAnsi="Arial" w:cs="Arial"/>
          <w:i/>
          <w:iCs/>
          <w:lang w:val="en-GB" w:eastAsia="en-US"/>
        </w:rPr>
        <w:t>168</w:t>
      </w:r>
      <w:r w:rsidR="00B470C2" w:rsidRPr="00B470C2">
        <w:rPr>
          <w:rFonts w:ascii="Arial" w:eastAsiaTheme="minorHAnsi" w:hAnsi="Arial" w:cs="Arial"/>
          <w:lang w:val="en-GB" w:eastAsia="en-US"/>
        </w:rPr>
        <w:t>(12), 293. https://doi.org/10.1007/s00705-023-05914-3</w:t>
      </w:r>
    </w:p>
    <w:p w14:paraId="05718E9E"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Airola, C., Severino, A., Spinelli, I., Gasbarrini, A., Cammarota, G., Ianiro, G., &amp; Ponziani, F. R. (2024). “Pleiotropic” Effects of Antibiotics: New Modulators in Human Diseases. </w:t>
      </w:r>
      <w:r w:rsidRPr="00B470C2">
        <w:rPr>
          <w:rFonts w:ascii="Arial" w:eastAsiaTheme="minorHAnsi" w:hAnsi="Arial" w:cs="Arial"/>
          <w:i/>
          <w:iCs/>
          <w:lang w:val="en-GB" w:eastAsia="en-US"/>
        </w:rPr>
        <w:t>Antibiotics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13</w:t>
      </w:r>
      <w:r w:rsidRPr="00B470C2">
        <w:rPr>
          <w:rFonts w:ascii="Arial" w:eastAsiaTheme="minorHAnsi" w:hAnsi="Arial" w:cs="Arial"/>
          <w:lang w:val="en-GB" w:eastAsia="en-US"/>
        </w:rPr>
        <w:t>(12), 1176. https://doi.org/10.3390/antibiotics13121176</w:t>
      </w:r>
    </w:p>
    <w:p w14:paraId="7078F765"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Al-Maqtoofi, M., &amp; Thornton, C. R. (2016). Detection of human pathogenic </w:t>
      </w:r>
      <w:r w:rsidRPr="000E4F49">
        <w:rPr>
          <w:rFonts w:ascii="Arial" w:eastAsiaTheme="minorHAnsi" w:hAnsi="Arial" w:cs="Arial"/>
          <w:i/>
          <w:iCs/>
          <w:lang w:val="en-GB" w:eastAsia="en-US"/>
        </w:rPr>
        <w:t>Fusarium</w:t>
      </w:r>
      <w:r w:rsidRPr="00B470C2">
        <w:rPr>
          <w:rFonts w:ascii="Arial" w:eastAsiaTheme="minorHAnsi" w:hAnsi="Arial" w:cs="Arial"/>
          <w:lang w:val="en-GB" w:eastAsia="en-US"/>
        </w:rPr>
        <w:t xml:space="preserve"> species in hospital and communal sink biofilms by using a highly specific </w:t>
      </w:r>
      <w:r w:rsidRPr="00B470C2">
        <w:rPr>
          <w:rFonts w:ascii="Arial" w:eastAsiaTheme="minorHAnsi" w:hAnsi="Arial" w:cs="Arial"/>
          <w:lang w:val="en-GB" w:eastAsia="en-US"/>
        </w:rPr>
        <w:lastRenderedPageBreak/>
        <w:t xml:space="preserve">monoclonal antibody. </w:t>
      </w:r>
      <w:r w:rsidRPr="00B470C2">
        <w:rPr>
          <w:rFonts w:ascii="Arial" w:eastAsiaTheme="minorHAnsi" w:hAnsi="Arial" w:cs="Arial"/>
          <w:i/>
          <w:iCs/>
          <w:lang w:val="en-GB" w:eastAsia="en-US"/>
        </w:rPr>
        <w:t>Environmental Microbiology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18</w:t>
      </w:r>
      <w:r w:rsidRPr="00B470C2">
        <w:rPr>
          <w:rFonts w:ascii="Arial" w:eastAsiaTheme="minorHAnsi" w:hAnsi="Arial" w:cs="Arial"/>
          <w:lang w:val="en-GB" w:eastAsia="en-US"/>
        </w:rPr>
        <w:t>(11), 3620–3634. https://doi.org/10.1111/1462-2920.13233</w:t>
      </w:r>
    </w:p>
    <w:p w14:paraId="6BB7E024"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Al-Maqtoofi, M. Y., &amp; Al-Rifaie, A. A. (2019). An Overview of Fusariosis and Diagnosis Problems. </w:t>
      </w:r>
      <w:r w:rsidRPr="00B470C2">
        <w:rPr>
          <w:rFonts w:ascii="Arial" w:eastAsiaTheme="minorHAnsi" w:hAnsi="Arial" w:cs="Arial"/>
          <w:i/>
          <w:iCs/>
          <w:lang w:val="en-GB" w:eastAsia="en-US"/>
        </w:rPr>
        <w:t>Ecology, Environment and Conservation Paper</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25</w:t>
      </w:r>
      <w:r w:rsidRPr="00B470C2">
        <w:rPr>
          <w:rFonts w:ascii="Arial" w:eastAsiaTheme="minorHAnsi" w:hAnsi="Arial" w:cs="Arial"/>
          <w:lang w:val="en-GB" w:eastAsia="en-US"/>
        </w:rPr>
        <w:t>(3), 1084–1087.</w:t>
      </w:r>
    </w:p>
    <w:p w14:paraId="081EA810"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Al-Rifaie, A. A., &amp; Al-Maqtoofi, M. Y. (2018). Immunodetection and risk assessment for </w:t>
      </w:r>
      <w:r w:rsidRPr="009755E8">
        <w:rPr>
          <w:rFonts w:ascii="Arial" w:eastAsiaTheme="minorHAnsi" w:hAnsi="Arial" w:cs="Arial"/>
          <w:i/>
          <w:iCs/>
          <w:lang w:val="en-GB" w:eastAsia="en-US"/>
        </w:rPr>
        <w:t>Aspergillus</w:t>
      </w:r>
      <w:r w:rsidRPr="00B470C2">
        <w:rPr>
          <w:rFonts w:ascii="Arial" w:eastAsiaTheme="minorHAnsi" w:hAnsi="Arial" w:cs="Arial"/>
          <w:lang w:val="en-GB" w:eastAsia="en-US"/>
        </w:rPr>
        <w:t xml:space="preserve"> contamination in nuts using a highly specific monoclonal antibody. </w:t>
      </w:r>
      <w:r w:rsidRPr="00B470C2">
        <w:rPr>
          <w:rFonts w:ascii="Arial" w:eastAsiaTheme="minorHAnsi" w:hAnsi="Arial" w:cs="Arial"/>
          <w:i/>
          <w:iCs/>
          <w:lang w:val="en-GB" w:eastAsia="en-US"/>
        </w:rPr>
        <w:t>Biomedical Research</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29</w:t>
      </w:r>
      <w:r w:rsidRPr="00B470C2">
        <w:rPr>
          <w:rFonts w:ascii="Arial" w:eastAsiaTheme="minorHAnsi" w:hAnsi="Arial" w:cs="Arial"/>
          <w:lang w:val="en-GB" w:eastAsia="en-US"/>
        </w:rPr>
        <w:t>(21). https://doi.org/10.4066/biomedicalresearch.29-18-1098</w:t>
      </w:r>
    </w:p>
    <w:p w14:paraId="1B221F58" w14:textId="77A195C1"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Aziz, I.</w:t>
      </w:r>
      <w:r>
        <w:rPr>
          <w:rFonts w:ascii="Arial" w:eastAsiaTheme="minorHAnsi" w:hAnsi="Arial" w:cs="Arial"/>
          <w:lang w:val="en-GB" w:eastAsia="en-US"/>
        </w:rPr>
        <w:t xml:space="preserve"> </w:t>
      </w:r>
      <w:r w:rsidRPr="00B470C2">
        <w:rPr>
          <w:rFonts w:ascii="Arial" w:eastAsiaTheme="minorHAnsi" w:hAnsi="Arial" w:cs="Arial"/>
          <w:lang w:val="en-GB" w:eastAsia="en-US"/>
        </w:rPr>
        <w:t xml:space="preserve">A., Al-Maqtoofi, M. Y., &amp; Burghal, A. A. (2023). Interleukin-17 and Immunity of Ocular infections. </w:t>
      </w:r>
      <w:r w:rsidRPr="00B470C2">
        <w:rPr>
          <w:rFonts w:ascii="Arial" w:eastAsiaTheme="minorHAnsi" w:hAnsi="Arial" w:cs="Arial"/>
          <w:i/>
          <w:iCs/>
          <w:lang w:val="en-GB" w:eastAsia="en-US"/>
        </w:rPr>
        <w:t>Acta Microbiologica Hellenica</w:t>
      </w:r>
      <w:r w:rsidRPr="00B470C2">
        <w:rPr>
          <w:rFonts w:ascii="Arial" w:eastAsiaTheme="minorHAnsi" w:hAnsi="Arial" w:cs="Arial"/>
          <w:lang w:val="en-GB" w:eastAsia="en-US"/>
        </w:rPr>
        <w:t>, 231–239. https://doi.org/10.5281/ZENODO.10203266</w:t>
      </w:r>
    </w:p>
    <w:p w14:paraId="071928EC" w14:textId="607DF0EE"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Benedict, K., Molinari, N. M., &amp; Jackson, B. R. (2020). Public Awareness of Invasive Fungal Diseases—United States, 2019. </w:t>
      </w:r>
      <w:r w:rsidRPr="00B470C2">
        <w:rPr>
          <w:rFonts w:ascii="Arial" w:eastAsiaTheme="minorHAnsi" w:hAnsi="Arial" w:cs="Arial"/>
          <w:i/>
          <w:iCs/>
          <w:lang w:val="en-GB" w:eastAsia="en-US"/>
        </w:rPr>
        <w:t>Morbidity and Mortality Weekly Report</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69</w:t>
      </w:r>
      <w:r w:rsidRPr="00B470C2">
        <w:rPr>
          <w:rFonts w:ascii="Arial" w:eastAsiaTheme="minorHAnsi" w:hAnsi="Arial" w:cs="Arial"/>
          <w:lang w:val="en-GB" w:eastAsia="en-US"/>
        </w:rPr>
        <w:t>(38), 1343. https://doi.org/10.15585/mmwr.mm6938a2</w:t>
      </w:r>
    </w:p>
    <w:p w14:paraId="6B4390D1"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Blaize, M., Thizy, G., Boissonnas, A., Portalier, A., Lanternier, F., de La Porte des Vaux, C., Suarez, F., Bougnoux, M.-E., Guitard, J., Jabet, A., Stocker, N., Aoudjhane, A., Roos-Weil, D., &amp; Fekkar, A. (2024). Invasive Aspergillosis with impaired neutrophil responses against </w:t>
      </w:r>
      <w:r w:rsidRPr="00B470C2">
        <w:rPr>
          <w:rFonts w:ascii="Arial" w:eastAsiaTheme="minorHAnsi" w:hAnsi="Arial" w:cs="Arial"/>
          <w:i/>
          <w:iCs/>
          <w:lang w:val="en-GB" w:eastAsia="en-US"/>
        </w:rPr>
        <w:t>Aspergillus fumigatus</w:t>
      </w:r>
      <w:r w:rsidRPr="00B470C2">
        <w:rPr>
          <w:rFonts w:ascii="Arial" w:eastAsiaTheme="minorHAnsi" w:hAnsi="Arial" w:cs="Arial"/>
          <w:lang w:val="en-GB" w:eastAsia="en-US"/>
        </w:rPr>
        <w:t xml:space="preserve"> in patients treated with Acalabrutinib—Findings from three cases. </w:t>
      </w:r>
      <w:r w:rsidRPr="00B470C2">
        <w:rPr>
          <w:rFonts w:ascii="Arial" w:eastAsiaTheme="minorHAnsi" w:hAnsi="Arial" w:cs="Arial"/>
          <w:i/>
          <w:iCs/>
          <w:lang w:val="en-GB" w:eastAsia="en-US"/>
        </w:rPr>
        <w:t>International Journal of Infectious Diseases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142</w:t>
      </w:r>
      <w:r w:rsidRPr="00B470C2">
        <w:rPr>
          <w:rFonts w:ascii="Arial" w:eastAsiaTheme="minorHAnsi" w:hAnsi="Arial" w:cs="Arial"/>
          <w:lang w:val="en-GB" w:eastAsia="en-US"/>
        </w:rPr>
        <w:t>, 107000. https://doi.org/10.1016/j.ijid.2024.107000</w:t>
      </w:r>
    </w:p>
    <w:p w14:paraId="1A178CC7"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Brown, L., Cruciani, M., Morton, C. O., Alanio, A., Barnes, R. A., Donnelly, J. P., Hagen, F., Gorton, R., Lackner, M., Loeffler, J., Millon, L., Rautemaa-Richardson, R., &amp; White, P. L. (2025). The Molecular Diagnosis of Invasive Fungal Diseases with a Focus on PCR. </w:t>
      </w:r>
      <w:r w:rsidRPr="00B470C2">
        <w:rPr>
          <w:rFonts w:ascii="Arial" w:eastAsiaTheme="minorHAnsi" w:hAnsi="Arial" w:cs="Arial"/>
          <w:i/>
          <w:iCs/>
          <w:lang w:val="en-GB" w:eastAsia="en-US"/>
        </w:rPr>
        <w:t>Diagnostics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15</w:t>
      </w:r>
      <w:r w:rsidRPr="00B470C2">
        <w:rPr>
          <w:rFonts w:ascii="Arial" w:eastAsiaTheme="minorHAnsi" w:hAnsi="Arial" w:cs="Arial"/>
          <w:lang w:val="en-GB" w:eastAsia="en-US"/>
        </w:rPr>
        <w:t>(15), 1909. https://doi.org/10.3390/diagnostics15151909</w:t>
      </w:r>
    </w:p>
    <w:p w14:paraId="14806285"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lastRenderedPageBreak/>
        <w:t xml:space="preserve">Burgess, T. B., Condliffe, A. M., &amp; Elks, P. M. (2022). A Fun-Guide to Innate Immune Responses to Fungal Infections. </w:t>
      </w:r>
      <w:r w:rsidRPr="00B470C2">
        <w:rPr>
          <w:rFonts w:ascii="Arial" w:eastAsiaTheme="minorHAnsi" w:hAnsi="Arial" w:cs="Arial"/>
          <w:i/>
          <w:iCs/>
          <w:lang w:val="en-GB" w:eastAsia="en-US"/>
        </w:rPr>
        <w:t>Journal of Fungi</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w:t>
      </w:r>
      <w:r w:rsidRPr="00B470C2">
        <w:rPr>
          <w:rFonts w:ascii="Arial" w:eastAsiaTheme="minorHAnsi" w:hAnsi="Arial" w:cs="Arial"/>
          <w:lang w:val="en-GB" w:eastAsia="en-US"/>
        </w:rPr>
        <w:t>(8), 805. https://doi.org/10.3390/jof8080805</w:t>
      </w:r>
    </w:p>
    <w:p w14:paraId="1C5052F3"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Cruz, F. M., Chan, A., &amp; Rock, K. L. (2023). Pathways of MHC I cross-presentation of exogenous antigens. </w:t>
      </w:r>
      <w:r w:rsidRPr="00B470C2">
        <w:rPr>
          <w:rFonts w:ascii="Arial" w:eastAsiaTheme="minorHAnsi" w:hAnsi="Arial" w:cs="Arial"/>
          <w:i/>
          <w:iCs/>
          <w:lang w:val="en-GB" w:eastAsia="en-US"/>
        </w:rPr>
        <w:t>Seminars in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66</w:t>
      </w:r>
      <w:r w:rsidRPr="00B470C2">
        <w:rPr>
          <w:rFonts w:ascii="Arial" w:eastAsiaTheme="minorHAnsi" w:hAnsi="Arial" w:cs="Arial"/>
          <w:lang w:val="en-GB" w:eastAsia="en-US"/>
        </w:rPr>
        <w:t>, 101729. https://doi.org/10.1016/j.smim.2023.101729</w:t>
      </w:r>
    </w:p>
    <w:p w14:paraId="508AE475"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Fang, X., Lian, H., Bi, S., Liu, S., Yuan, X., &amp; Liao, C. (2022). Roles of pattern recognition receptors in response to fungal keratitis. </w:t>
      </w:r>
      <w:r w:rsidRPr="00B470C2">
        <w:rPr>
          <w:rFonts w:ascii="Arial" w:eastAsiaTheme="minorHAnsi" w:hAnsi="Arial" w:cs="Arial"/>
          <w:i/>
          <w:iCs/>
          <w:lang w:val="en-GB" w:eastAsia="en-US"/>
        </w:rPr>
        <w:t>Life Sciences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307</w:t>
      </w:r>
      <w:r w:rsidRPr="00B470C2">
        <w:rPr>
          <w:rFonts w:ascii="Arial" w:eastAsiaTheme="minorHAnsi" w:hAnsi="Arial" w:cs="Arial"/>
          <w:lang w:val="en-GB" w:eastAsia="en-US"/>
        </w:rPr>
        <w:t>, 120881. https://doi.org/10.1016/j.lfs.2022.120881</w:t>
      </w:r>
    </w:p>
    <w:p w14:paraId="7B6B2E79"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Feldman, M. B., Vyas, J. M., &amp; Mansour, M. K. (2019). It takes a village: Phagocytes play a central role in fungal immunity. </w:t>
      </w:r>
      <w:r w:rsidRPr="00B470C2">
        <w:rPr>
          <w:rFonts w:ascii="Arial" w:eastAsiaTheme="minorHAnsi" w:hAnsi="Arial" w:cs="Arial"/>
          <w:i/>
          <w:iCs/>
          <w:lang w:val="en-GB" w:eastAsia="en-US"/>
        </w:rPr>
        <w:t>Seminars in Cell &amp; Developmental Biology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89</w:t>
      </w:r>
      <w:r w:rsidRPr="00B470C2">
        <w:rPr>
          <w:rFonts w:ascii="Arial" w:eastAsiaTheme="minorHAnsi" w:hAnsi="Arial" w:cs="Arial"/>
          <w:lang w:val="en-GB" w:eastAsia="en-US"/>
        </w:rPr>
        <w:t>, 16–23. https://doi.org/10.1016/j.semcdb.2018.04.008</w:t>
      </w:r>
    </w:p>
    <w:p w14:paraId="59E2CD38"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Goughenour, K. D., Nair, A. S., Xu, J., Olszewski, M. A., &amp; Wozniak, K. L. (2023). Dendritic Cells: Multifunctional Roles in Host Defenses to </w:t>
      </w:r>
      <w:r w:rsidRPr="00274DFA">
        <w:rPr>
          <w:rFonts w:ascii="Arial" w:eastAsiaTheme="minorHAnsi" w:hAnsi="Arial" w:cs="Arial"/>
          <w:i/>
          <w:iCs/>
          <w:lang w:val="en-GB" w:eastAsia="en-US"/>
        </w:rPr>
        <w:t>Cryptococcus</w:t>
      </w:r>
      <w:r w:rsidRPr="00B470C2">
        <w:rPr>
          <w:rFonts w:ascii="Arial" w:eastAsiaTheme="minorHAnsi" w:hAnsi="Arial" w:cs="Arial"/>
          <w:lang w:val="en-GB" w:eastAsia="en-US"/>
        </w:rPr>
        <w:t xml:space="preserve"> Infections. </w:t>
      </w:r>
      <w:r w:rsidRPr="00B470C2">
        <w:rPr>
          <w:rFonts w:ascii="Arial" w:eastAsiaTheme="minorHAnsi" w:hAnsi="Arial" w:cs="Arial"/>
          <w:i/>
          <w:iCs/>
          <w:lang w:val="en-GB" w:eastAsia="en-US"/>
        </w:rPr>
        <w:t>Journal of Fungi</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9</w:t>
      </w:r>
      <w:r w:rsidRPr="00B470C2">
        <w:rPr>
          <w:rFonts w:ascii="Arial" w:eastAsiaTheme="minorHAnsi" w:hAnsi="Arial" w:cs="Arial"/>
          <w:lang w:val="en-GB" w:eastAsia="en-US"/>
        </w:rPr>
        <w:t>(11), 1050. https://doi.org/10.3390/jof9111050</w:t>
      </w:r>
    </w:p>
    <w:p w14:paraId="6CE7C185"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Hasan Pour, B. (2025). Superficial Fungal Infections and Artificial Intelligence: A Review on Current Advances and Opportunities: REVISION. </w:t>
      </w:r>
      <w:r w:rsidRPr="00B470C2">
        <w:rPr>
          <w:rFonts w:ascii="Arial" w:eastAsiaTheme="minorHAnsi" w:hAnsi="Arial" w:cs="Arial"/>
          <w:i/>
          <w:iCs/>
          <w:lang w:val="en-GB" w:eastAsia="en-US"/>
        </w:rPr>
        <w:t>Mycoses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68</w:t>
      </w:r>
      <w:r w:rsidRPr="00B470C2">
        <w:rPr>
          <w:rFonts w:ascii="Arial" w:eastAsiaTheme="minorHAnsi" w:hAnsi="Arial" w:cs="Arial"/>
          <w:lang w:val="en-GB" w:eastAsia="en-US"/>
        </w:rPr>
        <w:t>(1), e70007. https://doi.org/10.1111/myc.70007</w:t>
      </w:r>
    </w:p>
    <w:p w14:paraId="11F805E7"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Hatinguais, R., Willment, J. A., &amp; Brown, G. D. (2020). PAMPs of the Fungal Cell Wall and Mammalian PRRs. </w:t>
      </w:r>
      <w:r w:rsidRPr="00B470C2">
        <w:rPr>
          <w:rFonts w:ascii="Arial" w:eastAsiaTheme="minorHAnsi" w:hAnsi="Arial" w:cs="Arial"/>
          <w:i/>
          <w:iCs/>
          <w:lang w:val="en-GB" w:eastAsia="en-US"/>
        </w:rPr>
        <w:t>Current Topics in Microbiology and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425</w:t>
      </w:r>
      <w:r w:rsidRPr="00B470C2">
        <w:rPr>
          <w:rFonts w:ascii="Arial" w:eastAsiaTheme="minorHAnsi" w:hAnsi="Arial" w:cs="Arial"/>
          <w:lang w:val="en-GB" w:eastAsia="en-US"/>
        </w:rPr>
        <w:t>, 187–223. https://doi.org/10.1007/82_2020_201</w:t>
      </w:r>
    </w:p>
    <w:p w14:paraId="730728AF"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Kainz, K., Bauer, M. A., Madeo, F., &amp; Carmona-Gutierrez, D. (2020). Fungal infections in humans: The silent crisis. </w:t>
      </w:r>
      <w:r w:rsidRPr="00B470C2">
        <w:rPr>
          <w:rFonts w:ascii="Arial" w:eastAsiaTheme="minorHAnsi" w:hAnsi="Arial" w:cs="Arial"/>
          <w:i/>
          <w:iCs/>
          <w:lang w:val="en-GB" w:eastAsia="en-US"/>
        </w:rPr>
        <w:t>Microbial Cell</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7</w:t>
      </w:r>
      <w:r w:rsidRPr="00B470C2">
        <w:rPr>
          <w:rFonts w:ascii="Arial" w:eastAsiaTheme="minorHAnsi" w:hAnsi="Arial" w:cs="Arial"/>
          <w:lang w:val="en-GB" w:eastAsia="en-US"/>
        </w:rPr>
        <w:t>(6), 143–145. https://doi.org/10.15698/mic2020.06.718</w:t>
      </w:r>
    </w:p>
    <w:p w14:paraId="74B0C37F"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lastRenderedPageBreak/>
        <w:t xml:space="preserve">Kumaresan, P. R., da Silva, T. A., &amp; Kontoyiannis, D. P. (2017). Methods of Controlling Invasive Fungal Infections Using CD8+ T Cells. </w:t>
      </w:r>
      <w:r w:rsidRPr="00B470C2">
        <w:rPr>
          <w:rFonts w:ascii="Arial" w:eastAsiaTheme="minorHAnsi" w:hAnsi="Arial" w:cs="Arial"/>
          <w:i/>
          <w:iCs/>
          <w:lang w:val="en-GB" w:eastAsia="en-US"/>
        </w:rPr>
        <w:t>Frontiers in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w:t>
      </w:r>
      <w:r w:rsidRPr="00B470C2">
        <w:rPr>
          <w:rFonts w:ascii="Arial" w:eastAsiaTheme="minorHAnsi" w:hAnsi="Arial" w:cs="Arial"/>
          <w:lang w:val="en-GB" w:eastAsia="en-US"/>
        </w:rPr>
        <w:t>, 1939. https://doi.org/10.3389/fimmu.2017.01939</w:t>
      </w:r>
    </w:p>
    <w:p w14:paraId="3C48DDFE"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Kumaresan, P. R., da Silva, T. A., &amp; Kontoyiannis, D. P. (2018). Methods of Controlling Invasive Fungal Infections Using CD8+ T Cells. </w:t>
      </w:r>
      <w:r w:rsidRPr="00B470C2">
        <w:rPr>
          <w:rFonts w:ascii="Arial" w:eastAsiaTheme="minorHAnsi" w:hAnsi="Arial" w:cs="Arial"/>
          <w:i/>
          <w:iCs/>
          <w:lang w:val="en-GB" w:eastAsia="en-US"/>
        </w:rPr>
        <w:t>Frontiers in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w:t>
      </w:r>
      <w:r w:rsidRPr="00B470C2">
        <w:rPr>
          <w:rFonts w:ascii="Arial" w:eastAsiaTheme="minorHAnsi" w:hAnsi="Arial" w:cs="Arial"/>
          <w:lang w:val="en-GB" w:eastAsia="en-US"/>
        </w:rPr>
        <w:t>. https://doi.org/10.3389/fimmu.2017.01939</w:t>
      </w:r>
    </w:p>
    <w:p w14:paraId="527920AE"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Li, D., Fan, S., Zhao, H., Song, J., Guo, L., Li, W., Xu, X., &amp; Li, Q. (2025). Worldwide trends and future projections of fungal skin disease burden: A comprehensive analysis from the Global Burden of Diseases study 2021. </w:t>
      </w:r>
      <w:r w:rsidRPr="00B470C2">
        <w:rPr>
          <w:rFonts w:ascii="Arial" w:eastAsiaTheme="minorHAnsi" w:hAnsi="Arial" w:cs="Arial"/>
          <w:i/>
          <w:iCs/>
          <w:lang w:val="en-GB" w:eastAsia="en-US"/>
        </w:rPr>
        <w:t>Frontiers in Public Health</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13</w:t>
      </w:r>
      <w:r w:rsidRPr="00B470C2">
        <w:rPr>
          <w:rFonts w:ascii="Arial" w:eastAsiaTheme="minorHAnsi" w:hAnsi="Arial" w:cs="Arial"/>
          <w:lang w:val="en-GB" w:eastAsia="en-US"/>
        </w:rPr>
        <w:t>. https://doi.org/10.3389/fpubh.2025.1580221</w:t>
      </w:r>
    </w:p>
    <w:p w14:paraId="0BE79106"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Li, M., Chen, Q., Sun, J., Shen, Y., &amp; Liu, W. (2012). Inflammatory response of human keratinocytes triggered by Sporothrix schenckii via Toll-like receptor 2 and 4. </w:t>
      </w:r>
      <w:r w:rsidRPr="00B470C2">
        <w:rPr>
          <w:rFonts w:ascii="Arial" w:eastAsiaTheme="minorHAnsi" w:hAnsi="Arial" w:cs="Arial"/>
          <w:i/>
          <w:iCs/>
          <w:lang w:val="en-GB" w:eastAsia="en-US"/>
        </w:rPr>
        <w:t>Journal of Dermatological Science</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66</w:t>
      </w:r>
      <w:r w:rsidRPr="00B470C2">
        <w:rPr>
          <w:rFonts w:ascii="Arial" w:eastAsiaTheme="minorHAnsi" w:hAnsi="Arial" w:cs="Arial"/>
          <w:lang w:val="en-GB" w:eastAsia="en-US"/>
        </w:rPr>
        <w:t>(1), 80–82. https://doi.org/10.1016/j.jdermsci.2012.01.003</w:t>
      </w:r>
    </w:p>
    <w:p w14:paraId="4DB3568A"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Moyes, D. L., Guimarães, A. J., &amp; Figueiredo, R. T. (2021). Editorial: Immunity to Fungal Infections: Insights From the Innate Immune Recognition and Antifungal Effector Mechanisms. </w:t>
      </w:r>
      <w:r w:rsidRPr="00B470C2">
        <w:rPr>
          <w:rFonts w:ascii="Arial" w:eastAsiaTheme="minorHAnsi" w:hAnsi="Arial" w:cs="Arial"/>
          <w:i/>
          <w:iCs/>
          <w:lang w:val="en-GB" w:eastAsia="en-US"/>
        </w:rPr>
        <w:t>Frontiers in Microbiology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12</w:t>
      </w:r>
      <w:r w:rsidRPr="00B470C2">
        <w:rPr>
          <w:rFonts w:ascii="Arial" w:eastAsiaTheme="minorHAnsi" w:hAnsi="Arial" w:cs="Arial"/>
          <w:lang w:val="en-GB" w:eastAsia="en-US"/>
        </w:rPr>
        <w:t>. https://doi.org/10.3389/fmicb.2021.714013</w:t>
      </w:r>
    </w:p>
    <w:p w14:paraId="740BD148"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Patin, E. C., Thompson, A., &amp; Orr, S. J. (2019). Pattern recognition receptors in fungal immunity. </w:t>
      </w:r>
      <w:r w:rsidRPr="00B470C2">
        <w:rPr>
          <w:rFonts w:ascii="Arial" w:eastAsiaTheme="minorHAnsi" w:hAnsi="Arial" w:cs="Arial"/>
          <w:i/>
          <w:iCs/>
          <w:lang w:val="en-GB" w:eastAsia="en-US"/>
        </w:rPr>
        <w:t>Seminars in Cell &amp; Developmental Biology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89</w:t>
      </w:r>
      <w:r w:rsidRPr="00B470C2">
        <w:rPr>
          <w:rFonts w:ascii="Arial" w:eastAsiaTheme="minorHAnsi" w:hAnsi="Arial" w:cs="Arial"/>
          <w:lang w:val="en-GB" w:eastAsia="en-US"/>
        </w:rPr>
        <w:t>, 24–33. https://doi.org/10.1016/j.semcdb.2018.03.003</w:t>
      </w:r>
    </w:p>
    <w:p w14:paraId="0468BF9B"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Quaresma, J. A. S. (2019). Organization of the Skin Immune System and Compartmentalized Immune Responses in Infectious Diseases. </w:t>
      </w:r>
      <w:r w:rsidRPr="00B470C2">
        <w:rPr>
          <w:rFonts w:ascii="Arial" w:eastAsiaTheme="minorHAnsi" w:hAnsi="Arial" w:cs="Arial"/>
          <w:i/>
          <w:iCs/>
          <w:lang w:val="en-GB" w:eastAsia="en-US"/>
        </w:rPr>
        <w:t>Clinical Microbiology Reviews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32</w:t>
      </w:r>
      <w:r w:rsidRPr="00B470C2">
        <w:rPr>
          <w:rFonts w:ascii="Arial" w:eastAsiaTheme="minorHAnsi" w:hAnsi="Arial" w:cs="Arial"/>
          <w:lang w:val="en-GB" w:eastAsia="en-US"/>
        </w:rPr>
        <w:t>(4), e00034-18. https://doi.org/10.1128/CMR.00034-18</w:t>
      </w:r>
    </w:p>
    <w:p w14:paraId="418B47F1"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lastRenderedPageBreak/>
        <w:t xml:space="preserve">Quintin, J. (2019). Fungal mediated innate immune memory, what have we learned? </w:t>
      </w:r>
      <w:r w:rsidRPr="00B470C2">
        <w:rPr>
          <w:rFonts w:ascii="Arial" w:eastAsiaTheme="minorHAnsi" w:hAnsi="Arial" w:cs="Arial"/>
          <w:i/>
          <w:iCs/>
          <w:lang w:val="en-GB" w:eastAsia="en-US"/>
        </w:rPr>
        <w:t>Seminars in Cell &amp; Developmental Biology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89</w:t>
      </w:r>
      <w:r w:rsidRPr="00B470C2">
        <w:rPr>
          <w:rFonts w:ascii="Arial" w:eastAsiaTheme="minorHAnsi" w:hAnsi="Arial" w:cs="Arial"/>
          <w:lang w:val="en-GB" w:eastAsia="en-US"/>
        </w:rPr>
        <w:t>, 71–77. https://doi.org/10.1016/j.semcdb.2018.05.023</w:t>
      </w:r>
    </w:p>
    <w:p w14:paraId="1753CFF4"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Seagle, E. E., Williams, S. L., &amp; Chiller, T. M. (2021). Recent Trends in the Epidemiology of Fungal Infections. </w:t>
      </w:r>
      <w:r w:rsidRPr="00B470C2">
        <w:rPr>
          <w:rFonts w:ascii="Arial" w:eastAsiaTheme="minorHAnsi" w:hAnsi="Arial" w:cs="Arial"/>
          <w:i/>
          <w:iCs/>
          <w:lang w:val="en-GB" w:eastAsia="en-US"/>
        </w:rPr>
        <w:t>Infectious Disease Clinics of North America</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35</w:t>
      </w:r>
      <w:r w:rsidRPr="00B470C2">
        <w:rPr>
          <w:rFonts w:ascii="Arial" w:eastAsiaTheme="minorHAnsi" w:hAnsi="Arial" w:cs="Arial"/>
          <w:lang w:val="en-GB" w:eastAsia="en-US"/>
        </w:rPr>
        <w:t>(2), 237–260. https://doi.org/10.1016/j.idc.2021.03.001</w:t>
      </w:r>
    </w:p>
    <w:p w14:paraId="055D9099"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Sharma, J., Mudalagiriyappa, S., &amp; Nanjappa, S. G. (2022). T cell responses to control fungal infection in an immunological memory lens. </w:t>
      </w:r>
      <w:r w:rsidRPr="00B470C2">
        <w:rPr>
          <w:rFonts w:ascii="Arial" w:eastAsiaTheme="minorHAnsi" w:hAnsi="Arial" w:cs="Arial"/>
          <w:i/>
          <w:iCs/>
          <w:lang w:val="en-GB" w:eastAsia="en-US"/>
        </w:rPr>
        <w:t>Frontiers in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13</w:t>
      </w:r>
      <w:r w:rsidRPr="00B470C2">
        <w:rPr>
          <w:rFonts w:ascii="Arial" w:eastAsiaTheme="minorHAnsi" w:hAnsi="Arial" w:cs="Arial"/>
          <w:lang w:val="en-GB" w:eastAsia="en-US"/>
        </w:rPr>
        <w:t>, 905867. https://doi.org/10.3389/fimmu.2022.905867</w:t>
      </w:r>
    </w:p>
    <w:p w14:paraId="7180DF99"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van de Veerdonk, F. L., &amp; Netea, M. G. (2010). T-cell Subsets and Antifungal Host Defenses. </w:t>
      </w:r>
      <w:r w:rsidRPr="00B470C2">
        <w:rPr>
          <w:rFonts w:ascii="Arial" w:eastAsiaTheme="minorHAnsi" w:hAnsi="Arial" w:cs="Arial"/>
          <w:i/>
          <w:iCs/>
          <w:lang w:val="en-GB" w:eastAsia="en-US"/>
        </w:rPr>
        <w:t>Current Fungal Infection Reports</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4</w:t>
      </w:r>
      <w:r w:rsidRPr="00B470C2">
        <w:rPr>
          <w:rFonts w:ascii="Arial" w:eastAsiaTheme="minorHAnsi" w:hAnsi="Arial" w:cs="Arial"/>
          <w:lang w:val="en-GB" w:eastAsia="en-US"/>
        </w:rPr>
        <w:t>(4), 238–243. https://doi.org/10.1007/s12281-010-0034-6</w:t>
      </w:r>
    </w:p>
    <w:p w14:paraId="780EDC40" w14:textId="4849545C"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Wang, R., Lan, C., Benlagha, K., Camara, N. S., Miller, H., Kubo, M., Heegaard, S., Lee, P., Yang, L., Forsman, H., Li, X., Zhai, Z., &amp; Liu, C. (2024). The interaction of innate immune and adaptive immune system. </w:t>
      </w:r>
      <w:r w:rsidRPr="00B470C2">
        <w:rPr>
          <w:rFonts w:ascii="Arial" w:eastAsiaTheme="minorHAnsi" w:hAnsi="Arial" w:cs="Arial"/>
          <w:i/>
          <w:iCs/>
          <w:lang w:val="en-GB" w:eastAsia="en-US"/>
        </w:rPr>
        <w:t>MedComm</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5</w:t>
      </w:r>
      <w:r w:rsidRPr="00B470C2">
        <w:rPr>
          <w:rFonts w:ascii="Arial" w:eastAsiaTheme="minorHAnsi" w:hAnsi="Arial" w:cs="Arial"/>
          <w:lang w:val="en-GB" w:eastAsia="en-US"/>
        </w:rPr>
        <w:t>(10), e714. https://doi.org/10.1002/mco2.714</w:t>
      </w:r>
    </w:p>
    <w:p w14:paraId="6D248433" w14:textId="77777777" w:rsidR="00B470C2" w:rsidRPr="00B470C2" w:rsidRDefault="00B470C2" w:rsidP="0048415F">
      <w:pPr>
        <w:pStyle w:val="Bibliography"/>
        <w:jc w:val="both"/>
        <w:rPr>
          <w:rFonts w:ascii="Arial" w:eastAsiaTheme="minorHAnsi" w:hAnsi="Arial" w:cs="Arial"/>
          <w:lang w:val="en-GB" w:eastAsia="en-US"/>
        </w:rPr>
      </w:pPr>
      <w:r w:rsidRPr="00B470C2">
        <w:rPr>
          <w:rFonts w:ascii="Arial" w:eastAsiaTheme="minorHAnsi" w:hAnsi="Arial" w:cs="Arial"/>
          <w:lang w:val="en-GB" w:eastAsia="en-US"/>
        </w:rPr>
        <w:t xml:space="preserve">Zhong, H., Lu, R.-Y., &amp; Wang, Y. (2022). Neutrophil extracellular traps in fungal infections: A seesaw battle in hosts. </w:t>
      </w:r>
      <w:r w:rsidRPr="00B470C2">
        <w:rPr>
          <w:rFonts w:ascii="Arial" w:eastAsiaTheme="minorHAnsi" w:hAnsi="Arial" w:cs="Arial"/>
          <w:i/>
          <w:iCs/>
          <w:lang w:val="en-GB" w:eastAsia="en-US"/>
        </w:rPr>
        <w:t>Frontiers in Immunology</w:t>
      </w:r>
      <w:r w:rsidRPr="00B470C2">
        <w:rPr>
          <w:rFonts w:ascii="Arial" w:eastAsiaTheme="minorHAnsi" w:hAnsi="Arial" w:cs="Arial"/>
          <w:lang w:val="en-GB" w:eastAsia="en-US"/>
        </w:rPr>
        <w:t xml:space="preserve">, </w:t>
      </w:r>
      <w:r w:rsidRPr="00B470C2">
        <w:rPr>
          <w:rFonts w:ascii="Arial" w:eastAsiaTheme="minorHAnsi" w:hAnsi="Arial" w:cs="Arial"/>
          <w:i/>
          <w:iCs/>
          <w:lang w:val="en-GB" w:eastAsia="en-US"/>
        </w:rPr>
        <w:t>13</w:t>
      </w:r>
      <w:r w:rsidRPr="00B470C2">
        <w:rPr>
          <w:rFonts w:ascii="Arial" w:eastAsiaTheme="minorHAnsi" w:hAnsi="Arial" w:cs="Arial"/>
          <w:lang w:val="en-GB" w:eastAsia="en-US"/>
        </w:rPr>
        <w:t>. https://doi.org/10.3389/fimmu.2022.977493</w:t>
      </w:r>
    </w:p>
    <w:p w14:paraId="239EB998" w14:textId="2CF08998" w:rsidR="00CA0438" w:rsidRPr="0094332C" w:rsidRDefault="00FE01E4" w:rsidP="0048415F">
      <w:pPr>
        <w:pStyle w:val="Bibliography"/>
        <w:jc w:val="both"/>
        <w:rPr>
          <w:rFonts w:ascii="Arial" w:hAnsi="Arial" w:cs="Arial"/>
        </w:rPr>
      </w:pPr>
      <w:r>
        <w:rPr>
          <w:rFonts w:ascii="Arial" w:hAnsi="Arial" w:cs="Arial"/>
        </w:rPr>
        <w:fldChar w:fldCharType="end"/>
      </w:r>
    </w:p>
    <w:p w14:paraId="54E0A83E" w14:textId="77777777" w:rsidR="004C5AF5" w:rsidRDefault="004C5AF5" w:rsidP="00F87C93">
      <w:pPr>
        <w:spacing w:line="480" w:lineRule="auto"/>
      </w:pPr>
    </w:p>
    <w:sectPr w:rsidR="004C5AF5" w:rsidSect="0044172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C27EF" w14:textId="77777777" w:rsidR="007F7B89" w:rsidRDefault="007F7B89">
      <w:r>
        <w:separator/>
      </w:r>
    </w:p>
  </w:endnote>
  <w:endnote w:type="continuationSeparator" w:id="0">
    <w:p w14:paraId="5F7E0BBA" w14:textId="77777777" w:rsidR="007F7B89" w:rsidRDefault="007F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Theme="majorEastAsia"/>
      </w:rPr>
      <w:id w:val="-520393498"/>
      <w:docPartObj>
        <w:docPartGallery w:val="Page Numbers (Bottom of Page)"/>
        <w:docPartUnique/>
      </w:docPartObj>
    </w:sdtPr>
    <w:sdtEndPr>
      <w:rPr>
        <w:rStyle w:val="PageNumber"/>
      </w:rPr>
    </w:sdtEndPr>
    <w:sdtContent>
      <w:p w14:paraId="3CE9ABF8" w14:textId="77777777" w:rsidR="00CA0438" w:rsidRDefault="00CA0438" w:rsidP="005F5A29">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end"/>
        </w:r>
      </w:p>
    </w:sdtContent>
  </w:sdt>
  <w:p w14:paraId="6B771465" w14:textId="77777777" w:rsidR="00CA0438" w:rsidRDefault="00CA0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Theme="majorEastAsia"/>
      </w:rPr>
      <w:id w:val="-77521590"/>
      <w:docPartObj>
        <w:docPartGallery w:val="Page Numbers (Bottom of Page)"/>
        <w:docPartUnique/>
      </w:docPartObj>
    </w:sdtPr>
    <w:sdtEndPr>
      <w:rPr>
        <w:rStyle w:val="PageNumber"/>
      </w:rPr>
    </w:sdtEndPr>
    <w:sdtContent>
      <w:p w14:paraId="551E2EBD" w14:textId="77777777" w:rsidR="00CA0438" w:rsidRDefault="00CA0438" w:rsidP="005F5A29">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sdtContent>
  </w:sdt>
  <w:p w14:paraId="01F3DAEF" w14:textId="77777777" w:rsidR="00CA0438" w:rsidRDefault="00CA04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3D498" w14:textId="77777777" w:rsidR="00441722" w:rsidRDefault="00441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6338C" w14:textId="77777777" w:rsidR="007F7B89" w:rsidRDefault="007F7B89">
      <w:r>
        <w:separator/>
      </w:r>
    </w:p>
  </w:footnote>
  <w:footnote w:type="continuationSeparator" w:id="0">
    <w:p w14:paraId="0EBB0AE9" w14:textId="77777777" w:rsidR="007F7B89" w:rsidRDefault="007F7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6296F" w14:textId="0FB150DD" w:rsidR="00441722" w:rsidRDefault="00441722">
    <w:pPr>
      <w:pStyle w:val="Header"/>
    </w:pPr>
    <w:r>
      <w:rPr>
        <w:noProof/>
      </w:rPr>
      <w:pict w14:anchorId="08CBD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6292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19BA" w14:textId="1488ED91" w:rsidR="00441722" w:rsidRDefault="00441722">
    <w:pPr>
      <w:pStyle w:val="Header"/>
    </w:pPr>
    <w:r>
      <w:rPr>
        <w:noProof/>
      </w:rPr>
      <w:pict w14:anchorId="383CE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6292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FF3E9" w14:textId="2065B58D" w:rsidR="00441722" w:rsidRDefault="00441722">
    <w:pPr>
      <w:pStyle w:val="Header"/>
    </w:pPr>
    <w:r>
      <w:rPr>
        <w:noProof/>
      </w:rPr>
      <w:pict w14:anchorId="47D06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6292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50A98"/>
    <w:multiLevelType w:val="multilevel"/>
    <w:tmpl w:val="1CB4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C106D"/>
    <w:multiLevelType w:val="multilevel"/>
    <w:tmpl w:val="CE20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5F2037"/>
    <w:multiLevelType w:val="multilevel"/>
    <w:tmpl w:val="32DE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F67AE4"/>
    <w:multiLevelType w:val="hybridMultilevel"/>
    <w:tmpl w:val="C1709606"/>
    <w:lvl w:ilvl="0" w:tplc="A39AECB0">
      <w:start w:val="2"/>
      <w:numFmt w:val="bullet"/>
      <w:lvlText w:val="-"/>
      <w:lvlJc w:val="left"/>
      <w:pPr>
        <w:ind w:left="440" w:hanging="360"/>
      </w:pPr>
      <w:rPr>
        <w:rFonts w:ascii="Arial" w:eastAsia="Times New Roman" w:hAnsi="Arial" w:cs="Aria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4" w15:restartNumberingAfterBreak="0">
    <w:nsid w:val="2BA52739"/>
    <w:multiLevelType w:val="multilevel"/>
    <w:tmpl w:val="EAF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8428BE"/>
    <w:multiLevelType w:val="multilevel"/>
    <w:tmpl w:val="9C3A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7D06E1"/>
    <w:multiLevelType w:val="multilevel"/>
    <w:tmpl w:val="3DD4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FB1D55"/>
    <w:multiLevelType w:val="multilevel"/>
    <w:tmpl w:val="EB6AD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526D58"/>
    <w:multiLevelType w:val="multilevel"/>
    <w:tmpl w:val="1234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AA304B"/>
    <w:multiLevelType w:val="multilevel"/>
    <w:tmpl w:val="DAAE05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8826B3"/>
    <w:multiLevelType w:val="multilevel"/>
    <w:tmpl w:val="B376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987075"/>
    <w:multiLevelType w:val="multilevel"/>
    <w:tmpl w:val="EDDC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9D1DA6"/>
    <w:multiLevelType w:val="multilevel"/>
    <w:tmpl w:val="484E36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816790"/>
    <w:multiLevelType w:val="multilevel"/>
    <w:tmpl w:val="A314D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E70F25"/>
    <w:multiLevelType w:val="multilevel"/>
    <w:tmpl w:val="5B4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536EFC"/>
    <w:multiLevelType w:val="multilevel"/>
    <w:tmpl w:val="250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BC2F34"/>
    <w:multiLevelType w:val="multilevel"/>
    <w:tmpl w:val="92264EF6"/>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upperRoman"/>
      <w:lvlText w:val="%4."/>
      <w:lvlJc w:val="left"/>
      <w:pPr>
        <w:ind w:left="3240" w:hanging="720"/>
      </w:pPr>
      <w:rPr>
        <w:rFonts w:hint="default"/>
        <w:b/>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88409A"/>
    <w:multiLevelType w:val="multilevel"/>
    <w:tmpl w:val="4256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0441A2"/>
    <w:multiLevelType w:val="multilevel"/>
    <w:tmpl w:val="7102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02670E"/>
    <w:multiLevelType w:val="multilevel"/>
    <w:tmpl w:val="A80E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774821"/>
    <w:multiLevelType w:val="multilevel"/>
    <w:tmpl w:val="AA8EB1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014766"/>
    <w:multiLevelType w:val="multilevel"/>
    <w:tmpl w:val="D3CC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E244E3"/>
    <w:multiLevelType w:val="multilevel"/>
    <w:tmpl w:val="14A6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5E7356"/>
    <w:multiLevelType w:val="multilevel"/>
    <w:tmpl w:val="D0EA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5A7659"/>
    <w:multiLevelType w:val="multilevel"/>
    <w:tmpl w:val="0A16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9"/>
  </w:num>
  <w:num w:numId="3">
    <w:abstractNumId w:val="16"/>
  </w:num>
  <w:num w:numId="4">
    <w:abstractNumId w:val="7"/>
  </w:num>
  <w:num w:numId="5">
    <w:abstractNumId w:val="21"/>
  </w:num>
  <w:num w:numId="6">
    <w:abstractNumId w:val="15"/>
  </w:num>
  <w:num w:numId="7">
    <w:abstractNumId w:val="14"/>
  </w:num>
  <w:num w:numId="8">
    <w:abstractNumId w:val="12"/>
  </w:num>
  <w:num w:numId="9">
    <w:abstractNumId w:val="5"/>
  </w:num>
  <w:num w:numId="10">
    <w:abstractNumId w:val="18"/>
  </w:num>
  <w:num w:numId="11">
    <w:abstractNumId w:val="24"/>
  </w:num>
  <w:num w:numId="12">
    <w:abstractNumId w:val="1"/>
  </w:num>
  <w:num w:numId="13">
    <w:abstractNumId w:val="8"/>
  </w:num>
  <w:num w:numId="14">
    <w:abstractNumId w:val="6"/>
  </w:num>
  <w:num w:numId="15">
    <w:abstractNumId w:val="17"/>
  </w:num>
  <w:num w:numId="16">
    <w:abstractNumId w:val="2"/>
  </w:num>
  <w:num w:numId="17">
    <w:abstractNumId w:val="22"/>
  </w:num>
  <w:num w:numId="18">
    <w:abstractNumId w:val="4"/>
  </w:num>
  <w:num w:numId="19">
    <w:abstractNumId w:val="10"/>
  </w:num>
  <w:num w:numId="20">
    <w:abstractNumId w:val="11"/>
  </w:num>
  <w:num w:numId="21">
    <w:abstractNumId w:val="23"/>
  </w:num>
  <w:num w:numId="22">
    <w:abstractNumId w:val="19"/>
  </w:num>
  <w:num w:numId="23">
    <w:abstractNumId w:val="13"/>
  </w:num>
  <w:num w:numId="24">
    <w:abstractNumId w:val="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EwNjA2tTQ3N7awMDVS0lEKTi0uzszPAykwrAUAahAG7CwAAAA="/>
  </w:docVars>
  <w:rsids>
    <w:rsidRoot w:val="00CA0438"/>
    <w:rsid w:val="000002E3"/>
    <w:rsid w:val="00007012"/>
    <w:rsid w:val="00011D84"/>
    <w:rsid w:val="00013BC8"/>
    <w:rsid w:val="00022F76"/>
    <w:rsid w:val="00044A16"/>
    <w:rsid w:val="00061B5B"/>
    <w:rsid w:val="00067BF3"/>
    <w:rsid w:val="00075848"/>
    <w:rsid w:val="00075FD5"/>
    <w:rsid w:val="000A0480"/>
    <w:rsid w:val="000A0E35"/>
    <w:rsid w:val="000A3EED"/>
    <w:rsid w:val="000C1ADF"/>
    <w:rsid w:val="000C2A85"/>
    <w:rsid w:val="000D1D63"/>
    <w:rsid w:val="000D23D8"/>
    <w:rsid w:val="000D5229"/>
    <w:rsid w:val="000E4D77"/>
    <w:rsid w:val="000E4F49"/>
    <w:rsid w:val="000E4FA5"/>
    <w:rsid w:val="00110670"/>
    <w:rsid w:val="001119E0"/>
    <w:rsid w:val="00112673"/>
    <w:rsid w:val="0012073F"/>
    <w:rsid w:val="00120DDD"/>
    <w:rsid w:val="001261E0"/>
    <w:rsid w:val="001335F9"/>
    <w:rsid w:val="0013527D"/>
    <w:rsid w:val="00136D33"/>
    <w:rsid w:val="00142244"/>
    <w:rsid w:val="001457F4"/>
    <w:rsid w:val="00160029"/>
    <w:rsid w:val="0016550E"/>
    <w:rsid w:val="00166536"/>
    <w:rsid w:val="0016695A"/>
    <w:rsid w:val="00187103"/>
    <w:rsid w:val="00192FC8"/>
    <w:rsid w:val="001A4335"/>
    <w:rsid w:val="001A4390"/>
    <w:rsid w:val="001A5163"/>
    <w:rsid w:val="001A7B37"/>
    <w:rsid w:val="001B7354"/>
    <w:rsid w:val="001C1F1F"/>
    <w:rsid w:val="001D67D4"/>
    <w:rsid w:val="001E666A"/>
    <w:rsid w:val="00200648"/>
    <w:rsid w:val="00204190"/>
    <w:rsid w:val="00205E79"/>
    <w:rsid w:val="00213AB4"/>
    <w:rsid w:val="00223C22"/>
    <w:rsid w:val="002275B6"/>
    <w:rsid w:val="002310EC"/>
    <w:rsid w:val="0024375B"/>
    <w:rsid w:val="00245C3C"/>
    <w:rsid w:val="0025429C"/>
    <w:rsid w:val="00254F98"/>
    <w:rsid w:val="00261A48"/>
    <w:rsid w:val="00273C4F"/>
    <w:rsid w:val="00274DFA"/>
    <w:rsid w:val="00284C41"/>
    <w:rsid w:val="00290C1B"/>
    <w:rsid w:val="00291337"/>
    <w:rsid w:val="00294FF9"/>
    <w:rsid w:val="002B1378"/>
    <w:rsid w:val="002C5FBC"/>
    <w:rsid w:val="002C61D2"/>
    <w:rsid w:val="002E2F25"/>
    <w:rsid w:val="002F1A7C"/>
    <w:rsid w:val="002F3FAC"/>
    <w:rsid w:val="002F6AC6"/>
    <w:rsid w:val="00307F8A"/>
    <w:rsid w:val="0031611F"/>
    <w:rsid w:val="00323982"/>
    <w:rsid w:val="00330BFD"/>
    <w:rsid w:val="003324D5"/>
    <w:rsid w:val="00346EEB"/>
    <w:rsid w:val="00347D5A"/>
    <w:rsid w:val="00354633"/>
    <w:rsid w:val="00371DD1"/>
    <w:rsid w:val="00380933"/>
    <w:rsid w:val="00385152"/>
    <w:rsid w:val="003861C4"/>
    <w:rsid w:val="003907F9"/>
    <w:rsid w:val="003B1236"/>
    <w:rsid w:val="003D2BF6"/>
    <w:rsid w:val="003D58D9"/>
    <w:rsid w:val="003F20C6"/>
    <w:rsid w:val="00411742"/>
    <w:rsid w:val="004178B5"/>
    <w:rsid w:val="004218D6"/>
    <w:rsid w:val="00427624"/>
    <w:rsid w:val="00431A88"/>
    <w:rsid w:val="00432697"/>
    <w:rsid w:val="00435DEE"/>
    <w:rsid w:val="00436506"/>
    <w:rsid w:val="00441722"/>
    <w:rsid w:val="004477BC"/>
    <w:rsid w:val="00453793"/>
    <w:rsid w:val="00464DF1"/>
    <w:rsid w:val="004707BA"/>
    <w:rsid w:val="0048051F"/>
    <w:rsid w:val="00481F75"/>
    <w:rsid w:val="0048415F"/>
    <w:rsid w:val="00493CC1"/>
    <w:rsid w:val="00494D85"/>
    <w:rsid w:val="00497E8A"/>
    <w:rsid w:val="004C4EFF"/>
    <w:rsid w:val="004C5AF5"/>
    <w:rsid w:val="004D054D"/>
    <w:rsid w:val="004E3623"/>
    <w:rsid w:val="00500BA7"/>
    <w:rsid w:val="005163AA"/>
    <w:rsid w:val="0051648B"/>
    <w:rsid w:val="00527DF5"/>
    <w:rsid w:val="00541717"/>
    <w:rsid w:val="005439D9"/>
    <w:rsid w:val="0054722B"/>
    <w:rsid w:val="00547FE9"/>
    <w:rsid w:val="00550A2A"/>
    <w:rsid w:val="00555BC4"/>
    <w:rsid w:val="00557EAD"/>
    <w:rsid w:val="00560104"/>
    <w:rsid w:val="005713E4"/>
    <w:rsid w:val="00585F1E"/>
    <w:rsid w:val="00592FE0"/>
    <w:rsid w:val="0059322D"/>
    <w:rsid w:val="005D566C"/>
    <w:rsid w:val="005E15EE"/>
    <w:rsid w:val="00604693"/>
    <w:rsid w:val="00615613"/>
    <w:rsid w:val="00622618"/>
    <w:rsid w:val="00625263"/>
    <w:rsid w:val="00627401"/>
    <w:rsid w:val="00655084"/>
    <w:rsid w:val="00671B6B"/>
    <w:rsid w:val="00680166"/>
    <w:rsid w:val="00692D6E"/>
    <w:rsid w:val="006B27A5"/>
    <w:rsid w:val="006D4586"/>
    <w:rsid w:val="006D7A9B"/>
    <w:rsid w:val="006E58CE"/>
    <w:rsid w:val="006E7FF8"/>
    <w:rsid w:val="007317D9"/>
    <w:rsid w:val="00736B0E"/>
    <w:rsid w:val="00742E95"/>
    <w:rsid w:val="007508B5"/>
    <w:rsid w:val="007552D8"/>
    <w:rsid w:val="00774A35"/>
    <w:rsid w:val="00793E40"/>
    <w:rsid w:val="007C1941"/>
    <w:rsid w:val="007D5F9E"/>
    <w:rsid w:val="007E0CEA"/>
    <w:rsid w:val="007E53B5"/>
    <w:rsid w:val="007E6A86"/>
    <w:rsid w:val="007F09AE"/>
    <w:rsid w:val="007F7B89"/>
    <w:rsid w:val="008218D8"/>
    <w:rsid w:val="00825969"/>
    <w:rsid w:val="00841678"/>
    <w:rsid w:val="008438E4"/>
    <w:rsid w:val="008445F0"/>
    <w:rsid w:val="0084656E"/>
    <w:rsid w:val="00852BA6"/>
    <w:rsid w:val="00864D97"/>
    <w:rsid w:val="008805ED"/>
    <w:rsid w:val="00885C0C"/>
    <w:rsid w:val="008A3BDB"/>
    <w:rsid w:val="008A6E90"/>
    <w:rsid w:val="008B6466"/>
    <w:rsid w:val="008D30D3"/>
    <w:rsid w:val="008F36A5"/>
    <w:rsid w:val="009176A8"/>
    <w:rsid w:val="00940A59"/>
    <w:rsid w:val="009537CB"/>
    <w:rsid w:val="009723E5"/>
    <w:rsid w:val="009755E8"/>
    <w:rsid w:val="00977A53"/>
    <w:rsid w:val="009922D0"/>
    <w:rsid w:val="0099625B"/>
    <w:rsid w:val="009A67C7"/>
    <w:rsid w:val="009B633D"/>
    <w:rsid w:val="009C19F1"/>
    <w:rsid w:val="009C3279"/>
    <w:rsid w:val="009C4079"/>
    <w:rsid w:val="009C4FFA"/>
    <w:rsid w:val="009D7B86"/>
    <w:rsid w:val="009E226C"/>
    <w:rsid w:val="009E37A3"/>
    <w:rsid w:val="009E412A"/>
    <w:rsid w:val="009E5147"/>
    <w:rsid w:val="009F4C81"/>
    <w:rsid w:val="009F61BC"/>
    <w:rsid w:val="00A00405"/>
    <w:rsid w:val="00A01855"/>
    <w:rsid w:val="00A03572"/>
    <w:rsid w:val="00A1580A"/>
    <w:rsid w:val="00A15EF6"/>
    <w:rsid w:val="00A203D0"/>
    <w:rsid w:val="00A36399"/>
    <w:rsid w:val="00A43E75"/>
    <w:rsid w:val="00A46E03"/>
    <w:rsid w:val="00A511C5"/>
    <w:rsid w:val="00A73070"/>
    <w:rsid w:val="00A769F8"/>
    <w:rsid w:val="00A81F1F"/>
    <w:rsid w:val="00A83AED"/>
    <w:rsid w:val="00A929AA"/>
    <w:rsid w:val="00A93759"/>
    <w:rsid w:val="00AA42B4"/>
    <w:rsid w:val="00AB7F36"/>
    <w:rsid w:val="00AC050E"/>
    <w:rsid w:val="00AC1B76"/>
    <w:rsid w:val="00AC7DF6"/>
    <w:rsid w:val="00AE4380"/>
    <w:rsid w:val="00AE6F4A"/>
    <w:rsid w:val="00AF241E"/>
    <w:rsid w:val="00B0395B"/>
    <w:rsid w:val="00B067B2"/>
    <w:rsid w:val="00B13504"/>
    <w:rsid w:val="00B2354C"/>
    <w:rsid w:val="00B235B1"/>
    <w:rsid w:val="00B24CAB"/>
    <w:rsid w:val="00B338B6"/>
    <w:rsid w:val="00B34212"/>
    <w:rsid w:val="00B44C3C"/>
    <w:rsid w:val="00B470C2"/>
    <w:rsid w:val="00B8387E"/>
    <w:rsid w:val="00B9428D"/>
    <w:rsid w:val="00B9633D"/>
    <w:rsid w:val="00BA690C"/>
    <w:rsid w:val="00BB0A5D"/>
    <w:rsid w:val="00BB23A1"/>
    <w:rsid w:val="00BB757C"/>
    <w:rsid w:val="00BC5A7E"/>
    <w:rsid w:val="00BD1E26"/>
    <w:rsid w:val="00BE7819"/>
    <w:rsid w:val="00C05ABD"/>
    <w:rsid w:val="00C129EC"/>
    <w:rsid w:val="00C13987"/>
    <w:rsid w:val="00C344B3"/>
    <w:rsid w:val="00C36167"/>
    <w:rsid w:val="00C730ED"/>
    <w:rsid w:val="00C73DF1"/>
    <w:rsid w:val="00C779C0"/>
    <w:rsid w:val="00C942AF"/>
    <w:rsid w:val="00C94639"/>
    <w:rsid w:val="00CA0438"/>
    <w:rsid w:val="00CB7E88"/>
    <w:rsid w:val="00CC71F9"/>
    <w:rsid w:val="00CE13B0"/>
    <w:rsid w:val="00CE384B"/>
    <w:rsid w:val="00CE585F"/>
    <w:rsid w:val="00CE5893"/>
    <w:rsid w:val="00CF3BEC"/>
    <w:rsid w:val="00CF4AA5"/>
    <w:rsid w:val="00D07DE4"/>
    <w:rsid w:val="00D142C6"/>
    <w:rsid w:val="00D144F2"/>
    <w:rsid w:val="00D17A68"/>
    <w:rsid w:val="00D2641A"/>
    <w:rsid w:val="00D33968"/>
    <w:rsid w:val="00D365F1"/>
    <w:rsid w:val="00D42A36"/>
    <w:rsid w:val="00D44951"/>
    <w:rsid w:val="00D46D09"/>
    <w:rsid w:val="00D74F4D"/>
    <w:rsid w:val="00D83B45"/>
    <w:rsid w:val="00D919E9"/>
    <w:rsid w:val="00DB3DC0"/>
    <w:rsid w:val="00DD3816"/>
    <w:rsid w:val="00DD5F57"/>
    <w:rsid w:val="00DE0E69"/>
    <w:rsid w:val="00DF6627"/>
    <w:rsid w:val="00E14499"/>
    <w:rsid w:val="00E22E11"/>
    <w:rsid w:val="00E27C2A"/>
    <w:rsid w:val="00E414CF"/>
    <w:rsid w:val="00E42CE4"/>
    <w:rsid w:val="00E43D33"/>
    <w:rsid w:val="00E72044"/>
    <w:rsid w:val="00E94ABD"/>
    <w:rsid w:val="00EA6B55"/>
    <w:rsid w:val="00EB3471"/>
    <w:rsid w:val="00EB754B"/>
    <w:rsid w:val="00EC2C09"/>
    <w:rsid w:val="00ED6013"/>
    <w:rsid w:val="00ED7C8A"/>
    <w:rsid w:val="00EE053C"/>
    <w:rsid w:val="00EE1337"/>
    <w:rsid w:val="00EE14BE"/>
    <w:rsid w:val="00EF0CDF"/>
    <w:rsid w:val="00EF7CF1"/>
    <w:rsid w:val="00F03BB0"/>
    <w:rsid w:val="00F10278"/>
    <w:rsid w:val="00F16B06"/>
    <w:rsid w:val="00F35A9B"/>
    <w:rsid w:val="00F37AC9"/>
    <w:rsid w:val="00F50370"/>
    <w:rsid w:val="00F56287"/>
    <w:rsid w:val="00F5710A"/>
    <w:rsid w:val="00F81B97"/>
    <w:rsid w:val="00F87C93"/>
    <w:rsid w:val="00F96928"/>
    <w:rsid w:val="00FA4F7C"/>
    <w:rsid w:val="00FB1357"/>
    <w:rsid w:val="00FB282D"/>
    <w:rsid w:val="00FB3972"/>
    <w:rsid w:val="00FB4E80"/>
    <w:rsid w:val="00FC5944"/>
    <w:rsid w:val="00FC7AB4"/>
    <w:rsid w:val="00FD0101"/>
    <w:rsid w:val="00FD1C60"/>
    <w:rsid w:val="00FD536F"/>
    <w:rsid w:val="00FD6F54"/>
    <w:rsid w:val="00FE01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3AAB9C"/>
  <w15:chartTrackingRefBased/>
  <w15:docId w15:val="{8FB92234-9F12-2F4F-AC74-A58C7A7A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0438"/>
    <w:rPr>
      <w:rFonts w:ascii="Times New Roman" w:eastAsia="Times New Roman" w:hAnsi="Times New Roman" w:cs="Times New Roman"/>
      <w:kern w:val="0"/>
      <w:lang w:val="en-US" w:eastAsia="en-GB"/>
      <w14:ligatures w14:val="none"/>
    </w:rPr>
  </w:style>
  <w:style w:type="paragraph" w:styleId="Heading1">
    <w:name w:val="heading 1"/>
    <w:basedOn w:val="Normal"/>
    <w:next w:val="Normal"/>
    <w:link w:val="Heading1Char"/>
    <w:uiPriority w:val="9"/>
    <w:qFormat/>
    <w:rsid w:val="00CA04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A04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A04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A04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A04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A043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043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043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043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438"/>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CA0438"/>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CA0438"/>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CA0438"/>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CA0438"/>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CA0438"/>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CA0438"/>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CA0438"/>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CA0438"/>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CA043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0438"/>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CA043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0438"/>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CA043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A0438"/>
    <w:rPr>
      <w:i/>
      <w:iCs/>
      <w:color w:val="404040" w:themeColor="text1" w:themeTint="BF"/>
      <w:lang w:val="en-US"/>
    </w:rPr>
  </w:style>
  <w:style w:type="paragraph" w:styleId="ListParagraph">
    <w:name w:val="List Paragraph"/>
    <w:basedOn w:val="Normal"/>
    <w:uiPriority w:val="34"/>
    <w:qFormat/>
    <w:rsid w:val="00CA0438"/>
    <w:pPr>
      <w:ind w:left="720"/>
      <w:contextualSpacing/>
    </w:pPr>
  </w:style>
  <w:style w:type="character" w:styleId="IntenseEmphasis">
    <w:name w:val="Intense Emphasis"/>
    <w:basedOn w:val="DefaultParagraphFont"/>
    <w:uiPriority w:val="21"/>
    <w:qFormat/>
    <w:rsid w:val="00CA0438"/>
    <w:rPr>
      <w:i/>
      <w:iCs/>
      <w:color w:val="2F5496" w:themeColor="accent1" w:themeShade="BF"/>
    </w:rPr>
  </w:style>
  <w:style w:type="paragraph" w:styleId="IntenseQuote">
    <w:name w:val="Intense Quote"/>
    <w:basedOn w:val="Normal"/>
    <w:next w:val="Normal"/>
    <w:link w:val="IntenseQuoteChar"/>
    <w:uiPriority w:val="30"/>
    <w:qFormat/>
    <w:rsid w:val="00CA04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A0438"/>
    <w:rPr>
      <w:i/>
      <w:iCs/>
      <w:color w:val="2F5496" w:themeColor="accent1" w:themeShade="BF"/>
      <w:lang w:val="en-US"/>
    </w:rPr>
  </w:style>
  <w:style w:type="character" w:styleId="IntenseReference">
    <w:name w:val="Intense Reference"/>
    <w:basedOn w:val="DefaultParagraphFont"/>
    <w:uiPriority w:val="32"/>
    <w:qFormat/>
    <w:rsid w:val="00CA0438"/>
    <w:rPr>
      <w:b/>
      <w:bCs/>
      <w:smallCaps/>
      <w:color w:val="2F5496" w:themeColor="accent1" w:themeShade="BF"/>
      <w:spacing w:val="5"/>
    </w:rPr>
  </w:style>
  <w:style w:type="paragraph" w:styleId="Footer">
    <w:name w:val="footer"/>
    <w:basedOn w:val="Normal"/>
    <w:link w:val="FooterChar"/>
    <w:uiPriority w:val="99"/>
    <w:unhideWhenUsed/>
    <w:rsid w:val="00CA0438"/>
    <w:pPr>
      <w:tabs>
        <w:tab w:val="center" w:pos="4513"/>
        <w:tab w:val="right" w:pos="9026"/>
      </w:tabs>
    </w:pPr>
  </w:style>
  <w:style w:type="character" w:customStyle="1" w:styleId="FooterChar">
    <w:name w:val="Footer Char"/>
    <w:basedOn w:val="DefaultParagraphFont"/>
    <w:link w:val="Footer"/>
    <w:uiPriority w:val="99"/>
    <w:rsid w:val="00CA0438"/>
    <w:rPr>
      <w:rFonts w:ascii="Times New Roman" w:eastAsia="Times New Roman" w:hAnsi="Times New Roman" w:cs="Times New Roman"/>
      <w:kern w:val="0"/>
      <w:lang w:val="en-US" w:eastAsia="en-GB"/>
      <w14:ligatures w14:val="none"/>
    </w:rPr>
  </w:style>
  <w:style w:type="character" w:styleId="PageNumber">
    <w:name w:val="page number"/>
    <w:basedOn w:val="DefaultParagraphFont"/>
    <w:uiPriority w:val="99"/>
    <w:semiHidden/>
    <w:unhideWhenUsed/>
    <w:rsid w:val="00CA0438"/>
  </w:style>
  <w:style w:type="paragraph" w:styleId="NormalWeb">
    <w:name w:val="Normal (Web)"/>
    <w:basedOn w:val="Normal"/>
    <w:uiPriority w:val="99"/>
    <w:unhideWhenUsed/>
    <w:rsid w:val="00CA0438"/>
    <w:pPr>
      <w:spacing w:before="100" w:beforeAutospacing="1" w:after="100" w:afterAutospacing="1"/>
    </w:pPr>
  </w:style>
  <w:style w:type="character" w:styleId="Strong">
    <w:name w:val="Strong"/>
    <w:basedOn w:val="DefaultParagraphFont"/>
    <w:uiPriority w:val="22"/>
    <w:qFormat/>
    <w:rsid w:val="00CA0438"/>
    <w:rPr>
      <w:b/>
      <w:bCs/>
    </w:rPr>
  </w:style>
  <w:style w:type="paragraph" w:styleId="z-TopofForm">
    <w:name w:val="HTML Top of Form"/>
    <w:basedOn w:val="Normal"/>
    <w:next w:val="Normal"/>
    <w:link w:val="z-TopofFormChar"/>
    <w:hidden/>
    <w:uiPriority w:val="99"/>
    <w:semiHidden/>
    <w:unhideWhenUsed/>
    <w:rsid w:val="00CA043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0438"/>
    <w:rPr>
      <w:rFonts w:ascii="Arial" w:eastAsia="Times New Roman" w:hAnsi="Arial" w:cs="Arial"/>
      <w:vanish/>
      <w:kern w:val="0"/>
      <w:sz w:val="16"/>
      <w:szCs w:val="16"/>
      <w:lang w:val="en-US" w:eastAsia="en-GB"/>
      <w14:ligatures w14:val="none"/>
    </w:rPr>
  </w:style>
  <w:style w:type="paragraph" w:styleId="z-BottomofForm">
    <w:name w:val="HTML Bottom of Form"/>
    <w:basedOn w:val="Normal"/>
    <w:next w:val="Normal"/>
    <w:link w:val="z-BottomofFormChar"/>
    <w:hidden/>
    <w:uiPriority w:val="99"/>
    <w:semiHidden/>
    <w:unhideWhenUsed/>
    <w:rsid w:val="00CA043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0438"/>
    <w:rPr>
      <w:rFonts w:ascii="Arial" w:eastAsia="Times New Roman" w:hAnsi="Arial" w:cs="Arial"/>
      <w:vanish/>
      <w:kern w:val="0"/>
      <w:sz w:val="16"/>
      <w:szCs w:val="16"/>
      <w:lang w:val="en-US" w:eastAsia="en-GB"/>
      <w14:ligatures w14:val="none"/>
    </w:rPr>
  </w:style>
  <w:style w:type="character" w:styleId="Hyperlink">
    <w:name w:val="Hyperlink"/>
    <w:uiPriority w:val="99"/>
    <w:unhideWhenUsed/>
    <w:rsid w:val="00CA0438"/>
    <w:rPr>
      <w:color w:val="0000FF"/>
      <w:u w:val="single"/>
    </w:rPr>
  </w:style>
  <w:style w:type="character" w:styleId="UnresolvedMention">
    <w:name w:val="Unresolved Mention"/>
    <w:basedOn w:val="DefaultParagraphFont"/>
    <w:uiPriority w:val="99"/>
    <w:semiHidden/>
    <w:unhideWhenUsed/>
    <w:rsid w:val="00CA0438"/>
    <w:rPr>
      <w:color w:val="605E5C"/>
      <w:shd w:val="clear" w:color="auto" w:fill="E1DFDD"/>
    </w:rPr>
  </w:style>
  <w:style w:type="character" w:styleId="LineNumber">
    <w:name w:val="line number"/>
    <w:basedOn w:val="DefaultParagraphFont"/>
    <w:uiPriority w:val="99"/>
    <w:semiHidden/>
    <w:unhideWhenUsed/>
    <w:rsid w:val="00CA0438"/>
  </w:style>
  <w:style w:type="paragraph" w:customStyle="1" w:styleId="my-0">
    <w:name w:val="my-0"/>
    <w:basedOn w:val="Normal"/>
    <w:rsid w:val="00CA0438"/>
    <w:pPr>
      <w:spacing w:before="100" w:beforeAutospacing="1" w:after="100" w:afterAutospacing="1"/>
    </w:pPr>
  </w:style>
  <w:style w:type="character" w:customStyle="1" w:styleId="hoverbg-super">
    <w:name w:val="hover:bg-super"/>
    <w:basedOn w:val="DefaultParagraphFont"/>
    <w:rsid w:val="00CA0438"/>
  </w:style>
  <w:style w:type="character" w:customStyle="1" w:styleId="whitespace-nowrap">
    <w:name w:val="whitespace-nowrap"/>
    <w:basedOn w:val="DefaultParagraphFont"/>
    <w:rsid w:val="00CA0438"/>
  </w:style>
  <w:style w:type="character" w:styleId="Emphasis">
    <w:name w:val="Emphasis"/>
    <w:basedOn w:val="DefaultParagraphFont"/>
    <w:uiPriority w:val="20"/>
    <w:qFormat/>
    <w:rsid w:val="00CA0438"/>
    <w:rPr>
      <w:i/>
      <w:iCs/>
    </w:rPr>
  </w:style>
  <w:style w:type="table" w:styleId="TableGrid">
    <w:name w:val="Table Grid"/>
    <w:basedOn w:val="TableNormal"/>
    <w:uiPriority w:val="39"/>
    <w:rsid w:val="00CA0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A0438"/>
    <w:pPr>
      <w:spacing w:line="480" w:lineRule="auto"/>
      <w:ind w:left="720" w:hanging="720"/>
    </w:pPr>
  </w:style>
  <w:style w:type="paragraph" w:customStyle="1" w:styleId="jbd-alamat">
    <w:name w:val="jbd-alamat"/>
    <w:basedOn w:val="Normal"/>
    <w:qFormat/>
    <w:rsid w:val="005713E4"/>
    <w:pPr>
      <w:pBdr>
        <w:top w:val="nil"/>
        <w:left w:val="nil"/>
        <w:bottom w:val="nil"/>
        <w:right w:val="nil"/>
        <w:between w:val="nil"/>
        <w:bar w:val="nil"/>
      </w:pBdr>
      <w:spacing w:line="480" w:lineRule="auto"/>
      <w:jc w:val="both"/>
    </w:pPr>
    <w:rPr>
      <w:rFonts w:ascii="Arial" w:eastAsia="Arial Unicode MS" w:hAnsi="Arial" w:cs="Arial"/>
      <w:bdr w:val="nil"/>
      <w:lang w:eastAsia="en-US"/>
    </w:rPr>
  </w:style>
  <w:style w:type="paragraph" w:styleId="Header">
    <w:name w:val="header"/>
    <w:basedOn w:val="Normal"/>
    <w:link w:val="HeaderChar"/>
    <w:uiPriority w:val="99"/>
    <w:unhideWhenUsed/>
    <w:rsid w:val="00441722"/>
    <w:pPr>
      <w:tabs>
        <w:tab w:val="center" w:pos="4680"/>
        <w:tab w:val="right" w:pos="9360"/>
      </w:tabs>
    </w:pPr>
  </w:style>
  <w:style w:type="character" w:customStyle="1" w:styleId="HeaderChar">
    <w:name w:val="Header Char"/>
    <w:basedOn w:val="DefaultParagraphFont"/>
    <w:link w:val="Header"/>
    <w:uiPriority w:val="99"/>
    <w:rsid w:val="00441722"/>
    <w:rPr>
      <w:rFonts w:ascii="Times New Roman" w:eastAsia="Times New Roman" w:hAnsi="Times New Roman" w:cs="Times New Roman"/>
      <w:kern w:val="0"/>
      <w:lang w:val="en-US"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13625</Words>
  <Characters>77667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Marwan Al-Maqtoofi</dc:creator>
  <cp:keywords/>
  <dc:description/>
  <cp:lastModifiedBy>SDI 1084</cp:lastModifiedBy>
  <cp:revision>6</cp:revision>
  <dcterms:created xsi:type="dcterms:W3CDTF">2025-10-11T16:28:00Z</dcterms:created>
  <dcterms:modified xsi:type="dcterms:W3CDTF">2025-10-13T12:52:00Z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id="VZ5DC2mq"/&gt;&lt;style id="http://www.zotero.org/styles/apa" locale="en-GB" hasBibliography="1" bibliographyStyleHasBeenSet="1"/&gt;&lt;prefs&gt;&lt;pref name="fieldType" value="Field"/&gt;&lt;/prefs&gt;&lt;/data&gt;</vt:lpwstr>
  </property>
</Properties>
</file>