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4AFE07" w14:textId="77777777" w:rsidR="008B1939" w:rsidRDefault="008B1939" w:rsidP="00441B6F">
      <w:pPr>
        <w:pStyle w:val="Author"/>
        <w:spacing w:line="240" w:lineRule="auto"/>
        <w:rPr>
          <w:rFonts w:ascii="Arial" w:hAnsi="Arial" w:cs="Arial"/>
          <w:bCs/>
          <w:iCs/>
          <w:kern w:val="28"/>
          <w:sz w:val="36"/>
        </w:rPr>
      </w:pPr>
      <w:bookmarkStart w:id="0" w:name="_Hlk207702268"/>
      <w:r w:rsidRPr="008B1939">
        <w:rPr>
          <w:rFonts w:ascii="Arial" w:hAnsi="Arial" w:cs="Arial"/>
          <w:bCs/>
          <w:iCs/>
          <w:kern w:val="28"/>
          <w:sz w:val="36"/>
        </w:rPr>
        <w:t>Original Research Article</w:t>
      </w:r>
    </w:p>
    <w:p w14:paraId="21DA1E14" w14:textId="77777777" w:rsidR="008B1939" w:rsidRDefault="008B1939" w:rsidP="00441B6F">
      <w:pPr>
        <w:pStyle w:val="Author"/>
        <w:spacing w:line="240" w:lineRule="auto"/>
        <w:rPr>
          <w:rFonts w:ascii="Arial" w:hAnsi="Arial" w:cs="Arial"/>
          <w:bCs/>
          <w:iCs/>
          <w:kern w:val="28"/>
          <w:sz w:val="36"/>
        </w:rPr>
      </w:pPr>
    </w:p>
    <w:p w14:paraId="39CD6CF6" w14:textId="7FBD7262" w:rsidR="00163BC4" w:rsidRPr="00163BC4" w:rsidRDefault="00A42BE1" w:rsidP="00441B6F">
      <w:pPr>
        <w:pStyle w:val="Author"/>
        <w:spacing w:line="240" w:lineRule="auto"/>
        <w:rPr>
          <w:rFonts w:ascii="Arial" w:hAnsi="Arial" w:cs="Arial"/>
          <w:bCs/>
          <w:iCs/>
          <w:kern w:val="28"/>
          <w:sz w:val="36"/>
        </w:rPr>
      </w:pPr>
      <w:r w:rsidRPr="00A42BE1">
        <w:rPr>
          <w:rFonts w:ascii="Arial" w:hAnsi="Arial" w:cs="Arial"/>
          <w:bCs/>
          <w:iCs/>
          <w:kern w:val="28"/>
          <w:sz w:val="36"/>
        </w:rPr>
        <w:t>Real-World Evaluation of Histidine-Rich Protein 2-Based RDTs Compared to Microscopy in Routine Use within Port Harcourt Metropolis, Nigeria</w:t>
      </w:r>
      <w:r w:rsidR="00231920">
        <w:rPr>
          <w:rFonts w:ascii="Arial" w:hAnsi="Arial" w:cs="Arial"/>
          <w:bCs/>
          <w:iCs/>
          <w:kern w:val="28"/>
          <w:sz w:val="36"/>
        </w:rPr>
        <w:t xml:space="preserve"> </w:t>
      </w:r>
    </w:p>
    <w:bookmarkEnd w:id="0"/>
    <w:p w14:paraId="18D9F6A8" w14:textId="77777777" w:rsidR="00A258C3" w:rsidRPr="00790ADA" w:rsidRDefault="00A258C3" w:rsidP="00441B6F">
      <w:pPr>
        <w:pStyle w:val="Author"/>
        <w:spacing w:line="240" w:lineRule="auto"/>
        <w:jc w:val="both"/>
        <w:rPr>
          <w:rFonts w:ascii="Arial" w:hAnsi="Arial" w:cs="Arial"/>
          <w:sz w:val="36"/>
        </w:rPr>
      </w:pPr>
    </w:p>
    <w:p w14:paraId="40D06596" w14:textId="77777777" w:rsidR="002C57D2" w:rsidRPr="00FB3A86" w:rsidRDefault="002C57D2" w:rsidP="00441B6F">
      <w:pPr>
        <w:pStyle w:val="Affiliation"/>
        <w:spacing w:after="0" w:line="240" w:lineRule="auto"/>
        <w:jc w:val="both"/>
        <w:rPr>
          <w:rFonts w:ascii="Arial" w:hAnsi="Arial" w:cs="Arial"/>
        </w:rPr>
      </w:pPr>
    </w:p>
    <w:p w14:paraId="15D5FE5E" w14:textId="77777777" w:rsidR="00B01FCD" w:rsidRPr="00FB3A86" w:rsidRDefault="00BD73C9" w:rsidP="00441B6F">
      <w:pPr>
        <w:pStyle w:val="Copyright"/>
        <w:spacing w:after="0" w:line="240" w:lineRule="auto"/>
        <w:jc w:val="both"/>
        <w:rPr>
          <w:rFonts w:ascii="Arial" w:hAnsi="Arial" w:cs="Arial"/>
        </w:rPr>
        <w:sectPr w:rsidR="00B01FCD" w:rsidRPr="00FB3A86" w:rsidSect="00C96D0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6A276D9C">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4D8C0B94" w14:textId="521F9B85"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0A505C9"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034B4FC9" w14:textId="77777777" w:rsidTr="001E44FE">
        <w:tc>
          <w:tcPr>
            <w:tcW w:w="9576" w:type="dxa"/>
            <w:shd w:val="clear" w:color="auto" w:fill="F2F2F2"/>
          </w:tcPr>
          <w:p w14:paraId="4F9D621F" w14:textId="77777777" w:rsidR="00A42BE1" w:rsidRPr="00C170BC" w:rsidRDefault="00A42BE1" w:rsidP="00A42BE1">
            <w:pPr>
              <w:spacing w:before="100" w:beforeAutospacing="1" w:after="100" w:afterAutospacing="1"/>
              <w:jc w:val="both"/>
              <w:rPr>
                <w:rFonts w:ascii="Arial" w:hAnsi="Arial" w:cs="Arial"/>
              </w:rPr>
            </w:pPr>
            <w:r w:rsidRPr="008635D0">
              <w:rPr>
                <w:rFonts w:ascii="Arial" w:hAnsi="Arial" w:cs="Arial"/>
                <w:b/>
                <w:bCs/>
              </w:rPr>
              <w:t>Background:</w:t>
            </w:r>
            <w:r>
              <w:rPr>
                <w:rFonts w:ascii="Arial" w:hAnsi="Arial" w:cs="Arial"/>
              </w:rPr>
              <w:t xml:space="preserve"> </w:t>
            </w:r>
            <w:r w:rsidRPr="00C170BC">
              <w:rPr>
                <w:rFonts w:ascii="Arial" w:hAnsi="Arial" w:cs="Arial"/>
              </w:rPr>
              <w:t xml:space="preserve">Accurate and timely diagnosis of malaria is essential for effective case management, particularly in endemic regions such as Nigeria. Rapid Diagnostic Tests (RDTs) based on the detection of </w:t>
            </w:r>
            <w:r w:rsidRPr="00C170BC">
              <w:rPr>
                <w:rFonts w:ascii="Arial" w:hAnsi="Arial" w:cs="Arial"/>
                <w:i/>
                <w:iCs/>
              </w:rPr>
              <w:t>Plasmodium falciparum</w:t>
            </w:r>
            <w:r w:rsidRPr="00C170BC">
              <w:rPr>
                <w:rFonts w:ascii="Arial" w:hAnsi="Arial" w:cs="Arial"/>
              </w:rPr>
              <w:t xml:space="preserve"> Histidine-Rich Protein 2 (HRP2) are widely used in health facilities due to their simplicity and speed. However, variability in their diagnostic performance, especially in field conditions, necessitates local validation. This study evaluated and compared the diagnostic accuracy of two HRP2-based RDTs commonly used in healthcare settings in Port Harcourt, Rivers State, Nigeria.</w:t>
            </w:r>
          </w:p>
          <w:p w14:paraId="63CA2683" w14:textId="14BE0663" w:rsidR="00A42BE1" w:rsidRPr="00C170BC" w:rsidRDefault="00A42BE1" w:rsidP="00A42BE1">
            <w:pPr>
              <w:spacing w:before="100" w:beforeAutospacing="1" w:after="100" w:afterAutospacing="1"/>
              <w:jc w:val="both"/>
              <w:rPr>
                <w:rFonts w:ascii="Arial" w:hAnsi="Arial" w:cs="Arial"/>
              </w:rPr>
            </w:pPr>
            <w:r w:rsidRPr="008635D0">
              <w:rPr>
                <w:rFonts w:ascii="Arial" w:hAnsi="Arial" w:cs="Arial"/>
                <w:b/>
                <w:bCs/>
              </w:rPr>
              <w:t>Methods:</w:t>
            </w:r>
            <w:r>
              <w:rPr>
                <w:rFonts w:ascii="Arial" w:hAnsi="Arial" w:cs="Arial"/>
              </w:rPr>
              <w:t xml:space="preserve"> </w:t>
            </w:r>
            <w:r w:rsidRPr="00C170BC">
              <w:rPr>
                <w:rFonts w:ascii="Arial" w:hAnsi="Arial" w:cs="Arial"/>
              </w:rPr>
              <w:t xml:space="preserve">A cross-sectional study was conducted from February 2024 to March 2025, in seven (7) randomly selected health facilities in Port </w:t>
            </w:r>
            <w:proofErr w:type="spellStart"/>
            <w:r w:rsidRPr="00C170BC">
              <w:rPr>
                <w:rFonts w:ascii="Arial" w:hAnsi="Arial" w:cs="Arial"/>
              </w:rPr>
              <w:t>Harcour</w:t>
            </w:r>
            <w:proofErr w:type="spellEnd"/>
            <w:r w:rsidRPr="00C170BC">
              <w:rPr>
                <w:rFonts w:ascii="Arial" w:hAnsi="Arial" w:cs="Arial"/>
              </w:rPr>
              <w:t>. Febrile patients aged ≥ 12 months presenting with symptoms suggestive of malaria were enrolled. Blood samples were tested using two HRP2-based RDTs. Thick/thin blood films were prepared for expert microscopy, which served as the reference standard. Diagnostic performance metrics-sensitivity, specificity, positive predictive value (PPV), and negative predictive value (NPV)-were calculated with 95% confidence intervals.</w:t>
            </w:r>
          </w:p>
          <w:p w14:paraId="5D3454F7" w14:textId="77777777" w:rsidR="00A42BE1" w:rsidRPr="00C170BC" w:rsidRDefault="00A42BE1" w:rsidP="00A42BE1">
            <w:pPr>
              <w:spacing w:before="100" w:beforeAutospacing="1" w:after="100" w:afterAutospacing="1"/>
              <w:jc w:val="both"/>
              <w:rPr>
                <w:rFonts w:ascii="Arial" w:hAnsi="Arial" w:cs="Arial"/>
              </w:rPr>
            </w:pPr>
            <w:r w:rsidRPr="008635D0">
              <w:rPr>
                <w:rFonts w:ascii="Arial" w:hAnsi="Arial" w:cs="Arial"/>
                <w:b/>
                <w:bCs/>
              </w:rPr>
              <w:t>Results</w:t>
            </w:r>
            <w:r w:rsidRPr="00C170BC">
              <w:rPr>
                <w:rFonts w:ascii="Arial" w:hAnsi="Arial" w:cs="Arial"/>
                <w:bCs/>
              </w:rPr>
              <w:t>:</w:t>
            </w:r>
            <w:r>
              <w:rPr>
                <w:rFonts w:ascii="Arial" w:hAnsi="Arial" w:cs="Arial"/>
              </w:rPr>
              <w:t xml:space="preserve"> </w:t>
            </w:r>
            <w:r w:rsidRPr="00C170BC">
              <w:rPr>
                <w:rFonts w:ascii="Arial" w:hAnsi="Arial" w:cs="Arial"/>
              </w:rPr>
              <w:t xml:space="preserve">A total of 829 participants were enrolled, with a malaria prevalence of 33.3% (276/829) by microscopy and 30.2% (250/829) by RDTs. </w:t>
            </w:r>
            <w:r w:rsidRPr="00C170BC">
              <w:rPr>
                <w:rFonts w:ascii="Arial" w:hAnsi="Arial" w:cs="Arial"/>
                <w:i/>
              </w:rPr>
              <w:t>Plasmodium falciparum</w:t>
            </w:r>
            <w:r w:rsidRPr="00C170BC">
              <w:rPr>
                <w:rFonts w:ascii="Arial" w:hAnsi="Arial" w:cs="Arial"/>
              </w:rPr>
              <w:t xml:space="preserve"> infection was highest among participants aged 11-20 years (47.3%) compared to other age groups (χ²=20.68, df=6, </w:t>
            </w:r>
            <w:r w:rsidRPr="00C170BC">
              <w:rPr>
                <w:rFonts w:ascii="Arial" w:hAnsi="Arial" w:cs="Arial"/>
                <w:i/>
              </w:rPr>
              <w:t>P</w:t>
            </w:r>
            <w:r>
              <w:rPr>
                <w:rFonts w:ascii="Arial" w:hAnsi="Arial" w:cs="Arial"/>
              </w:rPr>
              <w:t>=.002</w:t>
            </w:r>
            <w:r w:rsidRPr="00C170BC">
              <w:rPr>
                <w:rFonts w:ascii="Arial" w:hAnsi="Arial" w:cs="Arial"/>
              </w:rPr>
              <w:t xml:space="preserve">) while infection was slightly higher among females (33.3%) compared to males (χ²=2.74, df=1, </w:t>
            </w:r>
            <w:r w:rsidRPr="00C170BC">
              <w:rPr>
                <w:rFonts w:ascii="Arial" w:hAnsi="Arial" w:cs="Arial"/>
                <w:i/>
              </w:rPr>
              <w:t>P</w:t>
            </w:r>
            <w:r w:rsidRPr="00C170BC">
              <w:rPr>
                <w:rFonts w:ascii="Arial" w:hAnsi="Arial" w:cs="Arial"/>
              </w:rPr>
              <w:t xml:space="preserve">=.098). Both RDTs demonstrated a sensitivity of 91%, specificity of 100%, PPV of 100%, and NPV of 96%. Cohen’s kappa indicated excellent agreement between both RDTs and microscopy (κ = 0.93). </w:t>
            </w:r>
          </w:p>
          <w:p w14:paraId="72F7FBB8" w14:textId="77777777" w:rsidR="00505F06" w:rsidRDefault="00A42BE1" w:rsidP="00A42BE1">
            <w:pPr>
              <w:spacing w:before="100" w:beforeAutospacing="1" w:after="100" w:afterAutospacing="1"/>
              <w:jc w:val="both"/>
              <w:rPr>
                <w:rFonts w:ascii="Arial" w:hAnsi="Arial" w:cs="Arial"/>
              </w:rPr>
            </w:pPr>
            <w:r w:rsidRPr="008635D0">
              <w:rPr>
                <w:rFonts w:ascii="Arial" w:hAnsi="Arial" w:cs="Arial"/>
                <w:b/>
                <w:bCs/>
              </w:rPr>
              <w:t>Conclusion</w:t>
            </w:r>
            <w:r w:rsidRPr="00C170BC">
              <w:rPr>
                <w:rFonts w:ascii="Arial" w:hAnsi="Arial" w:cs="Arial"/>
                <w:bCs/>
              </w:rPr>
              <w:t>:</w:t>
            </w:r>
            <w:r>
              <w:rPr>
                <w:rFonts w:ascii="Arial" w:hAnsi="Arial" w:cs="Arial"/>
              </w:rPr>
              <w:t xml:space="preserve"> </w:t>
            </w:r>
            <w:r w:rsidRPr="00C170BC">
              <w:rPr>
                <w:rFonts w:ascii="Arial" w:hAnsi="Arial" w:cs="Arial"/>
              </w:rPr>
              <w:t>Both HRP2-based RDTs demonstrated acceptable diagnostic performance and can support routine malaria diagnosis in Port Harcourt health facilities. These findings underscore the importance of local performance evaluations of RDTs to guide procurement and clinical use. Further research is recommended to assess the impact of HRP2 gene deletions on RDT accuracy.</w:t>
            </w:r>
          </w:p>
          <w:p w14:paraId="1D3C5120" w14:textId="77777777" w:rsidR="008B1939" w:rsidRPr="008B1939" w:rsidRDefault="008B1939" w:rsidP="008B1939">
            <w:pPr>
              <w:rPr>
                <w:rFonts w:ascii="Arial" w:hAnsi="Arial" w:cs="Arial"/>
              </w:rPr>
            </w:pPr>
          </w:p>
          <w:p w14:paraId="768DBAAC" w14:textId="77777777" w:rsidR="008B1939" w:rsidRPr="008B1939" w:rsidRDefault="008B1939" w:rsidP="008B1939">
            <w:pPr>
              <w:rPr>
                <w:rFonts w:ascii="Arial" w:hAnsi="Arial" w:cs="Arial"/>
              </w:rPr>
            </w:pPr>
          </w:p>
          <w:p w14:paraId="356B5E95" w14:textId="77777777" w:rsidR="008B1939" w:rsidRPr="008B1939" w:rsidRDefault="008B1939" w:rsidP="008B1939">
            <w:pPr>
              <w:rPr>
                <w:rFonts w:ascii="Arial" w:hAnsi="Arial" w:cs="Arial"/>
              </w:rPr>
            </w:pPr>
          </w:p>
          <w:p w14:paraId="4B9737FA" w14:textId="64D17603" w:rsidR="008B1939" w:rsidRPr="008B1939" w:rsidRDefault="008B1939" w:rsidP="008B1939">
            <w:pPr>
              <w:rPr>
                <w:rFonts w:ascii="Arial" w:hAnsi="Arial" w:cs="Arial"/>
              </w:rPr>
            </w:pPr>
          </w:p>
        </w:tc>
      </w:tr>
    </w:tbl>
    <w:p w14:paraId="7B407CF3" w14:textId="77777777" w:rsidR="00636EB2" w:rsidRDefault="00636EB2" w:rsidP="00441B6F">
      <w:pPr>
        <w:pStyle w:val="Body"/>
        <w:spacing w:after="0"/>
        <w:rPr>
          <w:rFonts w:ascii="Arial" w:hAnsi="Arial" w:cs="Arial"/>
          <w:i/>
        </w:rPr>
      </w:pPr>
    </w:p>
    <w:p w14:paraId="7DFFEC95" w14:textId="6D50F052" w:rsidR="00B52896" w:rsidRPr="006B77D1" w:rsidRDefault="00A24E7E" w:rsidP="00441B6F">
      <w:pPr>
        <w:pStyle w:val="Body"/>
        <w:spacing w:after="0"/>
        <w:rPr>
          <w:rFonts w:ascii="Arial" w:hAnsi="Arial" w:cs="Arial"/>
          <w:i/>
        </w:rPr>
      </w:pPr>
      <w:r>
        <w:rPr>
          <w:rFonts w:ascii="Arial" w:hAnsi="Arial" w:cs="Arial"/>
          <w:i/>
        </w:rPr>
        <w:lastRenderedPageBreak/>
        <w:t xml:space="preserve">Keywords: </w:t>
      </w:r>
      <w:r w:rsidR="00A42BE1" w:rsidRPr="008635D0">
        <w:rPr>
          <w:rFonts w:ascii="Arial" w:hAnsi="Arial" w:cs="Arial"/>
          <w:i/>
        </w:rPr>
        <w:t>Malaria, Rapid Diagnostic Test, HRP2, Diagnostic Accuracy, Sensitivity, Port Harcourt, Nigeria, Microscopy</w:t>
      </w:r>
    </w:p>
    <w:p w14:paraId="5E241DE4" w14:textId="77777777" w:rsidR="0024282C" w:rsidRDefault="0024282C" w:rsidP="00441B6F">
      <w:pPr>
        <w:pStyle w:val="Body"/>
        <w:spacing w:after="0"/>
        <w:rPr>
          <w:rFonts w:ascii="Arial" w:hAnsi="Arial" w:cs="Arial"/>
          <w:i/>
          <w:sz w:val="18"/>
        </w:rPr>
      </w:pPr>
    </w:p>
    <w:p w14:paraId="2A9BA725" w14:textId="77777777" w:rsidR="00505F06" w:rsidRPr="00A24E7E" w:rsidRDefault="00505F06" w:rsidP="00441B6F">
      <w:pPr>
        <w:pStyle w:val="Body"/>
        <w:spacing w:after="0"/>
        <w:rPr>
          <w:rFonts w:ascii="Arial" w:hAnsi="Arial" w:cs="Arial"/>
          <w:i/>
        </w:rPr>
      </w:pPr>
    </w:p>
    <w:p w14:paraId="3067FED3" w14:textId="32A61EFF" w:rsidR="007F7B32" w:rsidRDefault="00902823" w:rsidP="000C54E2">
      <w:pPr>
        <w:pStyle w:val="AbstHead"/>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A1792CF" w14:textId="77777777" w:rsidR="00A42BE1" w:rsidRPr="00C170BC" w:rsidRDefault="00A42BE1" w:rsidP="000C54E2">
      <w:pPr>
        <w:spacing w:after="240"/>
        <w:jc w:val="both"/>
        <w:rPr>
          <w:rFonts w:ascii="Arial" w:hAnsi="Arial" w:cs="Arial"/>
        </w:rPr>
      </w:pPr>
      <w:r w:rsidRPr="00C170BC">
        <w:rPr>
          <w:rFonts w:ascii="Arial" w:hAnsi="Arial" w:cs="Arial"/>
        </w:rPr>
        <w:t>Malaria remains a major global public health challenge, with sub-Saharan Africa bearing the highest burden of morbidity and mortality. Nigeria contributes disproportionately to this burden, accounting for a significant share of global malaria cases and deaths (</w:t>
      </w:r>
      <w:proofErr w:type="spellStart"/>
      <w:r w:rsidRPr="00C170BC">
        <w:rPr>
          <w:rFonts w:ascii="Arial" w:hAnsi="Arial" w:cs="Arial"/>
        </w:rPr>
        <w:t>Wokem</w:t>
      </w:r>
      <w:proofErr w:type="spellEnd"/>
      <w:r w:rsidRPr="00C170BC">
        <w:rPr>
          <w:rFonts w:ascii="Arial" w:hAnsi="Arial" w:cs="Arial"/>
        </w:rPr>
        <w:t xml:space="preserve"> et al., 2021; </w:t>
      </w:r>
      <w:proofErr w:type="spellStart"/>
      <w:r w:rsidRPr="00C170BC">
        <w:rPr>
          <w:rFonts w:ascii="Arial" w:hAnsi="Arial" w:cs="Arial"/>
        </w:rPr>
        <w:t>Dimkpa</w:t>
      </w:r>
      <w:proofErr w:type="spellEnd"/>
      <w:r w:rsidRPr="00C170BC">
        <w:rPr>
          <w:rFonts w:ascii="Arial" w:hAnsi="Arial" w:cs="Arial"/>
        </w:rPr>
        <w:t xml:space="preserve"> et al., 2023; World Health Organization [WHO], 2024; 2025). Early and accurate diagnosis is central to malaria control and case management, as it guides appropriate treatment, reduces the risk of complications, and limits the emergence of antimalarial drug resistance (WHO, 2024).</w:t>
      </w:r>
      <w:r>
        <w:rPr>
          <w:rFonts w:ascii="Arial" w:hAnsi="Arial" w:cs="Arial"/>
        </w:rPr>
        <w:t xml:space="preserve"> </w:t>
      </w:r>
      <w:r w:rsidRPr="00C170BC">
        <w:rPr>
          <w:rFonts w:ascii="Arial" w:hAnsi="Arial" w:cs="Arial"/>
        </w:rPr>
        <w:t xml:space="preserve">Microscopy has long been regarded as the </w:t>
      </w:r>
      <w:r w:rsidRPr="00C170BC">
        <w:rPr>
          <w:rStyle w:val="Strong"/>
          <w:rFonts w:ascii="Arial" w:hAnsi="Arial" w:cs="Arial"/>
        </w:rPr>
        <w:t>gold standard</w:t>
      </w:r>
      <w:r w:rsidRPr="00C170BC">
        <w:rPr>
          <w:rFonts w:ascii="Arial" w:hAnsi="Arial" w:cs="Arial"/>
        </w:rPr>
        <w:t xml:space="preserve"> for malaria diagnosis, offering both species identification and parasite quantification (Feleke et al., 2021; WHO, 2024; Okereke et al., 2025). However, its routine use is constrained in many low-resource settings due to inadequate laboratory infrastructure, shortage of skilled personnel, and delays in processing (Yadav et al., 2024). Consequently, </w:t>
      </w:r>
      <w:r w:rsidRPr="00C170BC">
        <w:rPr>
          <w:rStyle w:val="Strong"/>
          <w:rFonts w:ascii="Arial" w:hAnsi="Arial" w:cs="Arial"/>
        </w:rPr>
        <w:t>Rapid Diagnostic Tests (RDTs)</w:t>
      </w:r>
      <w:r w:rsidRPr="00C170BC">
        <w:rPr>
          <w:rFonts w:ascii="Arial" w:hAnsi="Arial" w:cs="Arial"/>
        </w:rPr>
        <w:t xml:space="preserve"> have emerged as the most widely used alternative, especially in Africa, where they accounted for approximately 75% of malaria diagnostic testing in public facilities in 2017 (WHO, 2024). RDTs are particularly valued for their ease of use, rapid turnaround time, minimal equipment requirements, and utility in peripheral health facilities with limited diagnostic capacity (</w:t>
      </w:r>
      <w:proofErr w:type="spellStart"/>
      <w:r w:rsidRPr="00C170BC">
        <w:rPr>
          <w:rFonts w:ascii="Arial" w:hAnsi="Arial" w:cs="Arial"/>
        </w:rPr>
        <w:t>Ajakaye</w:t>
      </w:r>
      <w:proofErr w:type="spellEnd"/>
      <w:r w:rsidRPr="00C170BC">
        <w:rPr>
          <w:rFonts w:ascii="Arial" w:hAnsi="Arial" w:cs="Arial"/>
        </w:rPr>
        <w:t xml:space="preserve">, 2024). </w:t>
      </w:r>
    </w:p>
    <w:p w14:paraId="5567F22E" w14:textId="4484BECC" w:rsidR="00A42BE1" w:rsidRPr="00C170BC" w:rsidRDefault="00A42BE1" w:rsidP="000C54E2">
      <w:pPr>
        <w:spacing w:after="240"/>
        <w:jc w:val="both"/>
        <w:rPr>
          <w:rFonts w:ascii="Arial" w:hAnsi="Arial" w:cs="Arial"/>
        </w:rPr>
      </w:pPr>
      <w:r w:rsidRPr="00C170BC">
        <w:rPr>
          <w:rFonts w:ascii="Arial" w:hAnsi="Arial" w:cs="Arial"/>
        </w:rPr>
        <w:t xml:space="preserve">Among RDTs, those targeting </w:t>
      </w:r>
      <w:r w:rsidRPr="00C170BC">
        <w:rPr>
          <w:rStyle w:val="Strong"/>
          <w:rFonts w:ascii="Arial" w:hAnsi="Arial" w:cs="Arial"/>
        </w:rPr>
        <w:t>histidine-rich protein 2 (HRP2)</w:t>
      </w:r>
      <w:r w:rsidRPr="00C170BC">
        <w:rPr>
          <w:rFonts w:ascii="Arial" w:hAnsi="Arial" w:cs="Arial"/>
        </w:rPr>
        <w:t xml:space="preserve"> of </w:t>
      </w:r>
      <w:r w:rsidRPr="00C170BC">
        <w:rPr>
          <w:rStyle w:val="Emphasis"/>
          <w:rFonts w:ascii="Arial" w:hAnsi="Arial" w:cs="Arial"/>
        </w:rPr>
        <w:t>Plasmodium falciparum</w:t>
      </w:r>
      <w:r w:rsidRPr="00C170BC">
        <w:rPr>
          <w:rFonts w:ascii="Arial" w:hAnsi="Arial" w:cs="Arial"/>
        </w:rPr>
        <w:t xml:space="preserve"> are the most commonly used in endemic regions, given that </w:t>
      </w:r>
      <w:r w:rsidRPr="00C170BC">
        <w:rPr>
          <w:rStyle w:val="Emphasis"/>
          <w:rFonts w:ascii="Arial" w:hAnsi="Arial" w:cs="Arial"/>
        </w:rPr>
        <w:t>P. falciparum</w:t>
      </w:r>
      <w:r w:rsidRPr="00C170BC">
        <w:rPr>
          <w:rFonts w:ascii="Arial" w:hAnsi="Arial" w:cs="Arial"/>
        </w:rPr>
        <w:t xml:space="preserve"> is the predominant malaria species in sub-Saharan Africa (WHO, 2024; 2025). Despite their operational advantages, HRP2-based RDTs have limitations in diagnostic accuracy. False-negative results may arise from multiple factors, including low parasite densities, operator error, suboptimal storage conditions, and importantly-</w:t>
      </w:r>
      <w:r w:rsidRPr="00C170BC">
        <w:rPr>
          <w:rStyle w:val="Emphasis"/>
          <w:rFonts w:ascii="Arial" w:hAnsi="Arial" w:cs="Arial"/>
        </w:rPr>
        <w:t>pfhrp2/3</w:t>
      </w:r>
      <w:r w:rsidRPr="00C170BC">
        <w:rPr>
          <w:rFonts w:ascii="Arial" w:hAnsi="Arial" w:cs="Arial"/>
        </w:rPr>
        <w:t xml:space="preserve"> gene deletions in circulating parasite strains (WHO, 2024). Such diagnostic failures carry critical public health implications, including misdiagnosis, inappropriate treatment, treatment failure, and the risk of drug resistance development (Okereke et al., 2025).</w:t>
      </w:r>
    </w:p>
    <w:p w14:paraId="0FC2A688" w14:textId="77777777" w:rsidR="00A42BE1" w:rsidRPr="00C170BC" w:rsidRDefault="00A42BE1" w:rsidP="000C54E2">
      <w:pPr>
        <w:pStyle w:val="NormalWeb"/>
        <w:spacing w:after="240" w:afterAutospacing="0"/>
        <w:jc w:val="both"/>
        <w:rPr>
          <w:rFonts w:ascii="Arial" w:hAnsi="Arial" w:cs="Arial"/>
          <w:sz w:val="20"/>
          <w:szCs w:val="20"/>
        </w:rPr>
      </w:pPr>
      <w:r w:rsidRPr="00C170BC">
        <w:rPr>
          <w:rFonts w:ascii="Arial" w:hAnsi="Arial" w:cs="Arial"/>
          <w:sz w:val="20"/>
          <w:szCs w:val="20"/>
        </w:rPr>
        <w:t xml:space="preserve">Additionally, overreliance on </w:t>
      </w:r>
      <w:r w:rsidRPr="00C170BC">
        <w:rPr>
          <w:rStyle w:val="Strong"/>
          <w:rFonts w:ascii="Arial" w:hAnsi="Arial" w:cs="Arial"/>
          <w:sz w:val="20"/>
          <w:szCs w:val="20"/>
        </w:rPr>
        <w:t>clinical diagnosis</w:t>
      </w:r>
      <w:r w:rsidRPr="00C170BC">
        <w:rPr>
          <w:rFonts w:ascii="Arial" w:hAnsi="Arial" w:cs="Arial"/>
          <w:sz w:val="20"/>
          <w:szCs w:val="20"/>
        </w:rPr>
        <w:t xml:space="preserve"> without laboratory confirmation further complicates malaria management in Nigeria. Although clinical diagnosis is inexpensive and widely practiced, it is prone to errors because other febrile illnesses present with similar symptoms to malaria (</w:t>
      </w:r>
      <w:proofErr w:type="spellStart"/>
      <w:r w:rsidRPr="00C170BC">
        <w:rPr>
          <w:rFonts w:ascii="Arial" w:hAnsi="Arial" w:cs="Arial"/>
          <w:sz w:val="20"/>
          <w:szCs w:val="20"/>
        </w:rPr>
        <w:t>Wogu</w:t>
      </w:r>
      <w:proofErr w:type="spellEnd"/>
      <w:r w:rsidRPr="00C170BC">
        <w:rPr>
          <w:rFonts w:ascii="Arial" w:hAnsi="Arial" w:cs="Arial"/>
          <w:sz w:val="20"/>
          <w:szCs w:val="20"/>
        </w:rPr>
        <w:t xml:space="preserve"> &amp; Nduka, 2018). Clinical diagnosis has demonstrated poor sensitivity (approximately 47.2%), making it unreliable as a standalone approach (WHO, 2024; 2025). Previous studies have attributed misdiagnosis not only to insufficient diagnostic tools but also to limited training of healthcare providers, inadequate clinical supervision, and systemic healthcare constraints (</w:t>
      </w:r>
      <w:proofErr w:type="spellStart"/>
      <w:r w:rsidRPr="00C170BC">
        <w:rPr>
          <w:rFonts w:ascii="Arial" w:hAnsi="Arial" w:cs="Arial"/>
          <w:sz w:val="20"/>
          <w:szCs w:val="20"/>
        </w:rPr>
        <w:t>Ajakaye</w:t>
      </w:r>
      <w:proofErr w:type="spellEnd"/>
      <w:r w:rsidRPr="00C170BC">
        <w:rPr>
          <w:rFonts w:ascii="Arial" w:hAnsi="Arial" w:cs="Arial"/>
          <w:sz w:val="20"/>
          <w:szCs w:val="20"/>
        </w:rPr>
        <w:t xml:space="preserve">, 2024). </w:t>
      </w:r>
    </w:p>
    <w:p w14:paraId="397B5E63" w14:textId="77777777" w:rsidR="00A42BE1" w:rsidRPr="00C170BC" w:rsidRDefault="00A42BE1" w:rsidP="000C54E2">
      <w:pPr>
        <w:pStyle w:val="NormalWeb"/>
        <w:spacing w:after="240" w:afterAutospacing="0"/>
        <w:jc w:val="both"/>
        <w:rPr>
          <w:rFonts w:ascii="Arial" w:hAnsi="Arial" w:cs="Arial"/>
          <w:sz w:val="20"/>
          <w:szCs w:val="20"/>
        </w:rPr>
      </w:pPr>
      <w:r w:rsidRPr="00C170BC">
        <w:rPr>
          <w:rFonts w:ascii="Arial" w:hAnsi="Arial" w:cs="Arial"/>
          <w:sz w:val="20"/>
          <w:szCs w:val="20"/>
        </w:rPr>
        <w:t xml:space="preserve">Despite its limitations, RDT remains the </w:t>
      </w:r>
      <w:r w:rsidRPr="00C170BC">
        <w:rPr>
          <w:rStyle w:val="Strong"/>
          <w:rFonts w:ascii="Arial" w:hAnsi="Arial" w:cs="Arial"/>
          <w:sz w:val="20"/>
          <w:szCs w:val="20"/>
        </w:rPr>
        <w:t>primary diagnostic method</w:t>
      </w:r>
      <w:r w:rsidRPr="00C170BC">
        <w:rPr>
          <w:rFonts w:ascii="Arial" w:hAnsi="Arial" w:cs="Arial"/>
          <w:sz w:val="20"/>
          <w:szCs w:val="20"/>
        </w:rPr>
        <w:t xml:space="preserve"> in most malaria-endemic African countries due to its accessibility and practicality. Recent comparative studies suggest that RDTs may achieve higher sensitivity than routine microscopy when molecular techniques such as quantitative polymerase chain reaction (qPCR) are used as the reference standard, although both methods exhibit comparable specificity (Feleke et al., 2021; </w:t>
      </w:r>
      <w:proofErr w:type="spellStart"/>
      <w:r w:rsidRPr="00C170BC">
        <w:rPr>
          <w:rFonts w:ascii="Arial" w:hAnsi="Arial" w:cs="Arial"/>
          <w:sz w:val="20"/>
          <w:szCs w:val="20"/>
        </w:rPr>
        <w:t>Obaniyi</w:t>
      </w:r>
      <w:proofErr w:type="spellEnd"/>
      <w:r w:rsidRPr="00C170BC">
        <w:rPr>
          <w:rFonts w:ascii="Arial" w:hAnsi="Arial" w:cs="Arial"/>
          <w:sz w:val="20"/>
          <w:szCs w:val="20"/>
        </w:rPr>
        <w:t xml:space="preserve"> et al., 2025). Nevertheless, the performance of RDTs is context-dependent and varies across settings (</w:t>
      </w:r>
      <w:proofErr w:type="spellStart"/>
      <w:r w:rsidRPr="00C170BC">
        <w:rPr>
          <w:rFonts w:ascii="Arial" w:hAnsi="Arial" w:cs="Arial"/>
          <w:sz w:val="20"/>
          <w:szCs w:val="20"/>
        </w:rPr>
        <w:t>Ajakaye</w:t>
      </w:r>
      <w:proofErr w:type="spellEnd"/>
      <w:r w:rsidRPr="00C170BC">
        <w:rPr>
          <w:rFonts w:ascii="Arial" w:hAnsi="Arial" w:cs="Arial"/>
          <w:sz w:val="20"/>
          <w:szCs w:val="20"/>
        </w:rPr>
        <w:t xml:space="preserve">, 2024; </w:t>
      </w:r>
      <w:proofErr w:type="spellStart"/>
      <w:r w:rsidRPr="00C170BC">
        <w:rPr>
          <w:rFonts w:ascii="Arial" w:hAnsi="Arial" w:cs="Arial"/>
          <w:sz w:val="20"/>
          <w:szCs w:val="20"/>
        </w:rPr>
        <w:t>Obaniyi</w:t>
      </w:r>
      <w:proofErr w:type="spellEnd"/>
      <w:r w:rsidRPr="00C170BC">
        <w:rPr>
          <w:rFonts w:ascii="Arial" w:hAnsi="Arial" w:cs="Arial"/>
          <w:sz w:val="20"/>
          <w:szCs w:val="20"/>
        </w:rPr>
        <w:t xml:space="preserve"> et al., 2025), underscoring the importance of </w:t>
      </w:r>
      <w:r w:rsidRPr="00C170BC">
        <w:rPr>
          <w:rStyle w:val="Strong"/>
          <w:rFonts w:ascii="Arial" w:hAnsi="Arial" w:cs="Arial"/>
          <w:sz w:val="20"/>
          <w:szCs w:val="20"/>
        </w:rPr>
        <w:t>local evaluation studies</w:t>
      </w:r>
      <w:r w:rsidRPr="00C170BC">
        <w:rPr>
          <w:rFonts w:ascii="Arial" w:hAnsi="Arial" w:cs="Arial"/>
          <w:sz w:val="20"/>
          <w:szCs w:val="20"/>
        </w:rPr>
        <w:t xml:space="preserve"> to validate their reliability and guide diagnostic policies. An earlier study in Edo State, southern Nigeria reported overall prevalence rates of malaria parasites, 55.2% and 99.2%, by RDT and microscopy, respectively, while RDT sensitivity and specificity compared to light microscopy was 69.08% and 66.67% </w:t>
      </w:r>
      <w:r w:rsidRPr="00C170BC">
        <w:rPr>
          <w:rFonts w:ascii="Arial" w:hAnsi="Arial" w:cs="Arial"/>
          <w:sz w:val="20"/>
          <w:szCs w:val="20"/>
        </w:rPr>
        <w:lastRenderedPageBreak/>
        <w:t>respectively (</w:t>
      </w:r>
      <w:proofErr w:type="spellStart"/>
      <w:r w:rsidRPr="00C170BC">
        <w:rPr>
          <w:rFonts w:ascii="Arial" w:hAnsi="Arial" w:cs="Arial"/>
          <w:sz w:val="20"/>
          <w:szCs w:val="20"/>
        </w:rPr>
        <w:t>Ajakaye</w:t>
      </w:r>
      <w:proofErr w:type="spellEnd"/>
      <w:r w:rsidRPr="00C170BC">
        <w:rPr>
          <w:rFonts w:ascii="Arial" w:hAnsi="Arial" w:cs="Arial"/>
          <w:sz w:val="20"/>
          <w:szCs w:val="20"/>
        </w:rPr>
        <w:t xml:space="preserve"> &amp; </w:t>
      </w:r>
      <w:proofErr w:type="spellStart"/>
      <w:r w:rsidRPr="00C170BC">
        <w:rPr>
          <w:rFonts w:ascii="Arial" w:hAnsi="Arial" w:cs="Arial"/>
          <w:sz w:val="20"/>
          <w:szCs w:val="20"/>
        </w:rPr>
        <w:t>Ibukunoluwa</w:t>
      </w:r>
      <w:proofErr w:type="spellEnd"/>
      <w:r w:rsidRPr="00C170BC">
        <w:rPr>
          <w:rFonts w:ascii="Arial" w:hAnsi="Arial" w:cs="Arial"/>
          <w:sz w:val="20"/>
          <w:szCs w:val="20"/>
        </w:rPr>
        <w:t>, 2020). In a similar study conducted in Rivers State, RDTs had sensitivity, specificity, and diagnostic accuracy of 73.7%, 97.3%, and 88.3%, respectively when compared to microscopy (</w:t>
      </w:r>
      <w:proofErr w:type="spellStart"/>
      <w:r w:rsidRPr="00C170BC">
        <w:rPr>
          <w:rFonts w:ascii="Arial" w:hAnsi="Arial" w:cs="Arial"/>
          <w:sz w:val="20"/>
          <w:szCs w:val="20"/>
        </w:rPr>
        <w:t>Wogu</w:t>
      </w:r>
      <w:proofErr w:type="spellEnd"/>
      <w:r w:rsidRPr="00C170BC">
        <w:rPr>
          <w:rFonts w:ascii="Arial" w:hAnsi="Arial" w:cs="Arial"/>
          <w:sz w:val="20"/>
          <w:szCs w:val="20"/>
        </w:rPr>
        <w:t xml:space="preserve"> &amp; Nduka, 2018). </w:t>
      </w:r>
    </w:p>
    <w:p w14:paraId="4CE0D188" w14:textId="77777777" w:rsidR="00A42BE1" w:rsidRPr="00C170BC" w:rsidRDefault="00A42BE1" w:rsidP="000C54E2">
      <w:pPr>
        <w:pStyle w:val="NormalWeb"/>
        <w:spacing w:after="240" w:afterAutospacing="0"/>
        <w:jc w:val="both"/>
        <w:rPr>
          <w:rFonts w:ascii="Arial" w:hAnsi="Arial" w:cs="Arial"/>
          <w:sz w:val="20"/>
          <w:szCs w:val="20"/>
        </w:rPr>
      </w:pPr>
      <w:r w:rsidRPr="00C170BC">
        <w:rPr>
          <w:rFonts w:ascii="Arial" w:hAnsi="Arial" w:cs="Arial"/>
          <w:sz w:val="20"/>
          <w:szCs w:val="20"/>
        </w:rPr>
        <w:t>Aga</w:t>
      </w:r>
      <w:r>
        <w:rPr>
          <w:rFonts w:ascii="Arial" w:hAnsi="Arial" w:cs="Arial"/>
          <w:sz w:val="20"/>
          <w:szCs w:val="20"/>
        </w:rPr>
        <w:t xml:space="preserve">inst this backdrop, this study evaluated </w:t>
      </w:r>
      <w:r w:rsidRPr="00C170BC">
        <w:rPr>
          <w:rFonts w:ascii="Arial" w:hAnsi="Arial" w:cs="Arial"/>
          <w:sz w:val="20"/>
          <w:szCs w:val="20"/>
        </w:rPr>
        <w:t>and compare</w:t>
      </w:r>
      <w:r>
        <w:rPr>
          <w:rFonts w:ascii="Arial" w:hAnsi="Arial" w:cs="Arial"/>
          <w:sz w:val="20"/>
          <w:szCs w:val="20"/>
        </w:rPr>
        <w:t>d</w:t>
      </w:r>
      <w:r w:rsidRPr="00C170BC">
        <w:rPr>
          <w:rFonts w:ascii="Arial" w:hAnsi="Arial" w:cs="Arial"/>
          <w:sz w:val="20"/>
          <w:szCs w:val="20"/>
        </w:rPr>
        <w:t xml:space="preserve"> the diagnostic performance of two widely used HRP2-based RDTs in health facilities within the Port Harcourt metropolis of Nigeria, using microscopy as the reference standar</w:t>
      </w:r>
      <w:r>
        <w:rPr>
          <w:rFonts w:ascii="Arial" w:hAnsi="Arial" w:cs="Arial"/>
          <w:sz w:val="20"/>
          <w:szCs w:val="20"/>
        </w:rPr>
        <w:t xml:space="preserve">d. Specifically, the study </w:t>
      </w:r>
      <w:r w:rsidRPr="00C170BC">
        <w:rPr>
          <w:rFonts w:ascii="Arial" w:hAnsi="Arial" w:cs="Arial"/>
          <w:sz w:val="20"/>
          <w:szCs w:val="20"/>
        </w:rPr>
        <w:t>assess</w:t>
      </w:r>
      <w:r>
        <w:rPr>
          <w:rFonts w:ascii="Arial" w:hAnsi="Arial" w:cs="Arial"/>
          <w:sz w:val="20"/>
          <w:szCs w:val="20"/>
        </w:rPr>
        <w:t>ed</w:t>
      </w:r>
      <w:r w:rsidRPr="00C170BC">
        <w:rPr>
          <w:rFonts w:ascii="Arial" w:hAnsi="Arial" w:cs="Arial"/>
          <w:sz w:val="20"/>
          <w:szCs w:val="20"/>
        </w:rPr>
        <w:t xml:space="preserve"> the sensitivity, specificity, positive predictive value (PPV), and negative predictive value (NPV) of the RDTs in real-world conditions. Such evidence is essential to inform malaria diagnostic practices in Nigeria, ensuring that accurate, timely, and cost-effective tools are deployed for effective case management and control.</w:t>
      </w:r>
    </w:p>
    <w:p w14:paraId="0D850277" w14:textId="77777777" w:rsidR="00790ADA" w:rsidRPr="00FB3A86" w:rsidRDefault="00790ADA" w:rsidP="00441B6F">
      <w:pPr>
        <w:pStyle w:val="Body"/>
        <w:spacing w:after="0"/>
        <w:rPr>
          <w:rFonts w:ascii="Arial" w:hAnsi="Arial" w:cs="Arial"/>
        </w:rPr>
      </w:pPr>
    </w:p>
    <w:p w14:paraId="42BC3B4A" w14:textId="0958DB88" w:rsidR="007F7B32" w:rsidRDefault="00902823" w:rsidP="00441B6F">
      <w:pPr>
        <w:pStyle w:val="AbstHead"/>
        <w:spacing w:after="0"/>
        <w:jc w:val="both"/>
        <w:rPr>
          <w:rFonts w:ascii="Arial" w:hAnsi="Arial" w:cs="Arial"/>
        </w:rPr>
      </w:pPr>
      <w:r>
        <w:rPr>
          <w:rFonts w:ascii="Arial" w:hAnsi="Arial" w:cs="Arial"/>
        </w:rPr>
        <w:t>2. method</w:t>
      </w:r>
      <w:r w:rsidR="00000F8F">
        <w:rPr>
          <w:rFonts w:ascii="Arial" w:hAnsi="Arial" w:cs="Arial"/>
        </w:rPr>
        <w:t>s</w:t>
      </w:r>
    </w:p>
    <w:p w14:paraId="4A3B583B" w14:textId="77777777" w:rsidR="00790ADA" w:rsidRPr="00FB3A86" w:rsidRDefault="00790ADA" w:rsidP="00441B6F">
      <w:pPr>
        <w:pStyle w:val="AbstHead"/>
        <w:spacing w:after="0"/>
        <w:jc w:val="both"/>
        <w:rPr>
          <w:rFonts w:ascii="Arial" w:hAnsi="Arial" w:cs="Arial"/>
        </w:rPr>
      </w:pPr>
    </w:p>
    <w:p w14:paraId="48A02DFE" w14:textId="3E253164" w:rsidR="00AA74E0" w:rsidRDefault="00AA74E0" w:rsidP="00441B6F">
      <w:pPr>
        <w:pStyle w:val="Body"/>
        <w:spacing w:after="0"/>
        <w:rPr>
          <w:rFonts w:ascii="Arial" w:hAnsi="Arial" w:cs="Arial"/>
        </w:rPr>
      </w:pPr>
      <w:r w:rsidRPr="00C30A0F">
        <w:rPr>
          <w:rFonts w:ascii="Arial" w:hAnsi="Arial" w:cs="Arial"/>
          <w:b/>
          <w:caps/>
          <w:sz w:val="22"/>
        </w:rPr>
        <w:t xml:space="preserve">2.1 </w:t>
      </w:r>
      <w:r w:rsidR="00A42BE1">
        <w:rPr>
          <w:rFonts w:ascii="Arial" w:hAnsi="Arial" w:cs="Arial"/>
          <w:b/>
          <w:sz w:val="22"/>
        </w:rPr>
        <w:t>Study Design and Setting</w:t>
      </w:r>
      <w:r w:rsidRPr="00FB3A86">
        <w:rPr>
          <w:rFonts w:ascii="Arial" w:hAnsi="Arial" w:cs="Arial"/>
        </w:rPr>
        <w:t xml:space="preserve">  </w:t>
      </w:r>
    </w:p>
    <w:p w14:paraId="556B6DEF" w14:textId="77777777" w:rsidR="005D3AA0" w:rsidRDefault="005D3AA0" w:rsidP="00441B6F">
      <w:pPr>
        <w:pStyle w:val="Body"/>
        <w:spacing w:after="0"/>
        <w:rPr>
          <w:rFonts w:ascii="Arial" w:hAnsi="Arial" w:cs="Arial"/>
        </w:rPr>
      </w:pPr>
    </w:p>
    <w:p w14:paraId="77DE8241" w14:textId="77777777" w:rsidR="00A42BE1" w:rsidRDefault="00A42BE1" w:rsidP="00441B6F">
      <w:pPr>
        <w:pStyle w:val="Body"/>
        <w:spacing w:after="0"/>
        <w:rPr>
          <w:rFonts w:ascii="Arial" w:hAnsi="Arial" w:cs="Arial"/>
        </w:rPr>
      </w:pPr>
      <w:r w:rsidRPr="00A42BE1">
        <w:rPr>
          <w:rFonts w:ascii="Arial" w:hAnsi="Arial" w:cs="Arial"/>
        </w:rPr>
        <w:t xml:space="preserve">A cross-sectional diagnostic evaluation study was conducted between February 2024 to March 2025, across seven randomly selected public health care facilities in Port Harcourt Metropolis, Rivers State, Nigeria. The health facilities included Model Health Centre (MPHC) </w:t>
      </w:r>
      <w:proofErr w:type="spellStart"/>
      <w:r w:rsidRPr="00A42BE1">
        <w:rPr>
          <w:rFonts w:ascii="Arial" w:hAnsi="Arial" w:cs="Arial"/>
        </w:rPr>
        <w:t>Rumueme</w:t>
      </w:r>
      <w:proofErr w:type="spellEnd"/>
      <w:r w:rsidRPr="00A42BE1">
        <w:rPr>
          <w:rFonts w:ascii="Arial" w:hAnsi="Arial" w:cs="Arial"/>
        </w:rPr>
        <w:t xml:space="preserve">, MPHC </w:t>
      </w:r>
      <w:proofErr w:type="spellStart"/>
      <w:r w:rsidRPr="00A42BE1">
        <w:rPr>
          <w:rFonts w:ascii="Arial" w:hAnsi="Arial" w:cs="Arial"/>
        </w:rPr>
        <w:t>Rumuigbo</w:t>
      </w:r>
      <w:proofErr w:type="spellEnd"/>
      <w:r w:rsidRPr="00A42BE1">
        <w:rPr>
          <w:rFonts w:ascii="Arial" w:hAnsi="Arial" w:cs="Arial"/>
        </w:rPr>
        <w:t xml:space="preserve">, MPHC </w:t>
      </w:r>
      <w:proofErr w:type="spellStart"/>
      <w:r w:rsidRPr="00A42BE1">
        <w:rPr>
          <w:rFonts w:ascii="Arial" w:hAnsi="Arial" w:cs="Arial"/>
        </w:rPr>
        <w:t>Ozuoba</w:t>
      </w:r>
      <w:proofErr w:type="spellEnd"/>
      <w:r w:rsidRPr="00A42BE1">
        <w:rPr>
          <w:rFonts w:ascii="Arial" w:hAnsi="Arial" w:cs="Arial"/>
        </w:rPr>
        <w:t xml:space="preserve">, MPHC </w:t>
      </w:r>
      <w:proofErr w:type="spellStart"/>
      <w:r w:rsidRPr="00A42BE1">
        <w:rPr>
          <w:rFonts w:ascii="Arial" w:hAnsi="Arial" w:cs="Arial"/>
        </w:rPr>
        <w:t>Rumuodomaya</w:t>
      </w:r>
      <w:proofErr w:type="spellEnd"/>
      <w:r w:rsidRPr="00A42BE1">
        <w:rPr>
          <w:rFonts w:ascii="Arial" w:hAnsi="Arial" w:cs="Arial"/>
        </w:rPr>
        <w:t xml:space="preserve">, MPHC </w:t>
      </w:r>
      <w:proofErr w:type="spellStart"/>
      <w:r w:rsidRPr="00A42BE1">
        <w:rPr>
          <w:rFonts w:ascii="Arial" w:hAnsi="Arial" w:cs="Arial"/>
        </w:rPr>
        <w:t>Mgbundukwu</w:t>
      </w:r>
      <w:proofErr w:type="spellEnd"/>
      <w:r w:rsidRPr="00A42BE1">
        <w:rPr>
          <w:rFonts w:ascii="Arial" w:hAnsi="Arial" w:cs="Arial"/>
        </w:rPr>
        <w:t xml:space="preserve">, MPHC Churchill, and Professor Kelsey Harrison Hospital in Port Harcourt. Port Harcourt is the capital of Rivers State, a major urban </w:t>
      </w:r>
      <w:proofErr w:type="spellStart"/>
      <w:r w:rsidRPr="00A42BE1">
        <w:rPr>
          <w:rFonts w:ascii="Arial" w:hAnsi="Arial" w:cs="Arial"/>
        </w:rPr>
        <w:t>centre</w:t>
      </w:r>
      <w:proofErr w:type="spellEnd"/>
      <w:r w:rsidRPr="00A42BE1">
        <w:rPr>
          <w:rFonts w:ascii="Arial" w:hAnsi="Arial" w:cs="Arial"/>
        </w:rPr>
        <w:t xml:space="preserve"> and industrial hub. Port Harcourt metropolis has a dense population with settlements often situated along rivers and creeks. The indigenous ethnic groups include mainly the </w:t>
      </w:r>
      <w:proofErr w:type="spellStart"/>
      <w:r w:rsidRPr="00A42BE1">
        <w:rPr>
          <w:rFonts w:ascii="Arial" w:hAnsi="Arial" w:cs="Arial"/>
        </w:rPr>
        <w:t>Ikwerre</w:t>
      </w:r>
      <w:proofErr w:type="spellEnd"/>
      <w:r w:rsidRPr="00A42BE1">
        <w:rPr>
          <w:rFonts w:ascii="Arial" w:hAnsi="Arial" w:cs="Arial"/>
        </w:rPr>
        <w:t xml:space="preserve">, Ogoni, </w:t>
      </w:r>
      <w:proofErr w:type="spellStart"/>
      <w:r w:rsidRPr="00A42BE1">
        <w:rPr>
          <w:rFonts w:ascii="Arial" w:hAnsi="Arial" w:cs="Arial"/>
        </w:rPr>
        <w:t>Kalabari</w:t>
      </w:r>
      <w:proofErr w:type="spellEnd"/>
      <w:r w:rsidRPr="00A42BE1">
        <w:rPr>
          <w:rFonts w:ascii="Arial" w:hAnsi="Arial" w:cs="Arial"/>
        </w:rPr>
        <w:t xml:space="preserve">, </w:t>
      </w:r>
      <w:proofErr w:type="spellStart"/>
      <w:r w:rsidRPr="00A42BE1">
        <w:rPr>
          <w:rFonts w:ascii="Arial" w:hAnsi="Arial" w:cs="Arial"/>
        </w:rPr>
        <w:t>Okrika</w:t>
      </w:r>
      <w:proofErr w:type="spellEnd"/>
      <w:r w:rsidRPr="00A42BE1">
        <w:rPr>
          <w:rFonts w:ascii="Arial" w:hAnsi="Arial" w:cs="Arial"/>
        </w:rPr>
        <w:t xml:space="preserve">, </w:t>
      </w:r>
      <w:proofErr w:type="spellStart"/>
      <w:r w:rsidRPr="00A42BE1">
        <w:rPr>
          <w:rFonts w:ascii="Arial" w:hAnsi="Arial" w:cs="Arial"/>
        </w:rPr>
        <w:t>Ibani</w:t>
      </w:r>
      <w:proofErr w:type="spellEnd"/>
      <w:r w:rsidRPr="00A42BE1">
        <w:rPr>
          <w:rFonts w:ascii="Arial" w:hAnsi="Arial" w:cs="Arial"/>
        </w:rPr>
        <w:t xml:space="preserve">, </w:t>
      </w:r>
      <w:proofErr w:type="spellStart"/>
      <w:r w:rsidRPr="00A42BE1">
        <w:rPr>
          <w:rFonts w:ascii="Arial" w:hAnsi="Arial" w:cs="Arial"/>
        </w:rPr>
        <w:t>Andoni</w:t>
      </w:r>
      <w:proofErr w:type="spellEnd"/>
      <w:r w:rsidRPr="00A42BE1">
        <w:rPr>
          <w:rFonts w:ascii="Arial" w:hAnsi="Arial" w:cs="Arial"/>
        </w:rPr>
        <w:t xml:space="preserve">, </w:t>
      </w:r>
      <w:proofErr w:type="spellStart"/>
      <w:r w:rsidRPr="00A42BE1">
        <w:rPr>
          <w:rFonts w:ascii="Arial" w:hAnsi="Arial" w:cs="Arial"/>
        </w:rPr>
        <w:t>Etche</w:t>
      </w:r>
      <w:proofErr w:type="spellEnd"/>
      <w:r w:rsidRPr="00A42BE1">
        <w:rPr>
          <w:rFonts w:ascii="Arial" w:hAnsi="Arial" w:cs="Arial"/>
        </w:rPr>
        <w:t>, and Opobo people.  Anopheles gambiae is the predominant malaria vector in Port Harcourt (</w:t>
      </w:r>
      <w:proofErr w:type="spellStart"/>
      <w:r w:rsidRPr="00A42BE1">
        <w:rPr>
          <w:rFonts w:ascii="Arial" w:hAnsi="Arial" w:cs="Arial"/>
        </w:rPr>
        <w:t>Wokem</w:t>
      </w:r>
      <w:proofErr w:type="spellEnd"/>
      <w:r w:rsidRPr="00A42BE1">
        <w:rPr>
          <w:rFonts w:ascii="Arial" w:hAnsi="Arial" w:cs="Arial"/>
        </w:rPr>
        <w:t xml:space="preserve"> et al., 2018).</w:t>
      </w:r>
    </w:p>
    <w:p w14:paraId="3611ED0A" w14:textId="77777777" w:rsidR="0067499E" w:rsidRDefault="0067499E" w:rsidP="00441B6F">
      <w:pPr>
        <w:pStyle w:val="Body"/>
        <w:spacing w:after="0"/>
        <w:rPr>
          <w:rFonts w:ascii="Arial" w:hAnsi="Arial" w:cs="Arial"/>
        </w:rPr>
      </w:pPr>
    </w:p>
    <w:p w14:paraId="7BC3789D" w14:textId="35EA9CC9" w:rsidR="00BD5F5A" w:rsidRDefault="00BD5F5A" w:rsidP="00BD5F5A">
      <w:pPr>
        <w:pStyle w:val="Body"/>
        <w:spacing w:after="0"/>
        <w:rPr>
          <w:rFonts w:ascii="Arial" w:hAnsi="Arial" w:cs="Arial"/>
        </w:rPr>
      </w:pPr>
      <w:r w:rsidRPr="00C30A0F">
        <w:rPr>
          <w:rFonts w:ascii="Arial" w:hAnsi="Arial" w:cs="Arial"/>
          <w:b/>
          <w:caps/>
          <w:sz w:val="22"/>
        </w:rPr>
        <w:t>2.</w:t>
      </w:r>
      <w:r>
        <w:rPr>
          <w:rFonts w:ascii="Arial" w:hAnsi="Arial" w:cs="Arial"/>
          <w:b/>
          <w:caps/>
          <w:sz w:val="22"/>
        </w:rPr>
        <w:t>2</w:t>
      </w:r>
      <w:r w:rsidRPr="00C30A0F">
        <w:rPr>
          <w:rFonts w:ascii="Arial" w:hAnsi="Arial" w:cs="Arial"/>
          <w:b/>
          <w:caps/>
          <w:sz w:val="22"/>
        </w:rPr>
        <w:t xml:space="preserve"> </w:t>
      </w:r>
      <w:r>
        <w:rPr>
          <w:rFonts w:ascii="Arial" w:hAnsi="Arial" w:cs="Arial"/>
          <w:b/>
          <w:sz w:val="22"/>
        </w:rPr>
        <w:t xml:space="preserve">Study </w:t>
      </w:r>
      <w:r w:rsidR="00A42BE1">
        <w:rPr>
          <w:rFonts w:ascii="Arial" w:hAnsi="Arial" w:cs="Arial"/>
          <w:b/>
          <w:sz w:val="22"/>
        </w:rPr>
        <w:t>Population</w:t>
      </w:r>
      <w:r w:rsidRPr="00FB3A86">
        <w:rPr>
          <w:rFonts w:ascii="Arial" w:hAnsi="Arial" w:cs="Arial"/>
        </w:rPr>
        <w:t xml:space="preserve"> </w:t>
      </w:r>
    </w:p>
    <w:p w14:paraId="14F70A09" w14:textId="77777777" w:rsidR="00BD5F5A" w:rsidRDefault="00BD5F5A" w:rsidP="00BD5F5A">
      <w:pPr>
        <w:pStyle w:val="Body"/>
        <w:spacing w:after="0"/>
        <w:rPr>
          <w:rFonts w:ascii="Arial" w:hAnsi="Arial" w:cs="Arial"/>
        </w:rPr>
      </w:pPr>
    </w:p>
    <w:p w14:paraId="3E0B830A" w14:textId="77777777" w:rsidR="00A42BE1" w:rsidRDefault="00A42BE1" w:rsidP="00441B6F">
      <w:pPr>
        <w:pStyle w:val="Body"/>
        <w:spacing w:after="0"/>
        <w:rPr>
          <w:rFonts w:ascii="Arial" w:hAnsi="Arial" w:cs="Arial"/>
        </w:rPr>
      </w:pPr>
      <w:r w:rsidRPr="00A42BE1">
        <w:rPr>
          <w:rFonts w:ascii="Arial" w:hAnsi="Arial" w:cs="Arial"/>
        </w:rPr>
        <w:t xml:space="preserve">The study enrolled febrile participants (axillary temperature ≥ 37.5°C or history of fever within the past 48 hours), aged ≥12 months, presenting to outpatient departments of participating health facilities. The study primarily focused on high-risk groups for malaria, children and pregnant women, who are mostly disproportionately affected by malaria-related complications. </w:t>
      </w:r>
    </w:p>
    <w:p w14:paraId="0A5670E0" w14:textId="77777777" w:rsidR="00A42BE1" w:rsidRDefault="00A42BE1" w:rsidP="00441B6F">
      <w:pPr>
        <w:pStyle w:val="Body"/>
        <w:spacing w:after="0"/>
        <w:rPr>
          <w:rFonts w:ascii="Arial" w:hAnsi="Arial" w:cs="Arial"/>
        </w:rPr>
      </w:pPr>
    </w:p>
    <w:p w14:paraId="1F511F6E" w14:textId="77777777" w:rsidR="00032E23" w:rsidRDefault="00032E23" w:rsidP="00441B6F">
      <w:pPr>
        <w:pStyle w:val="Body"/>
        <w:spacing w:after="0"/>
        <w:rPr>
          <w:rFonts w:ascii="Arial" w:hAnsi="Arial" w:cs="Arial"/>
        </w:rPr>
      </w:pPr>
    </w:p>
    <w:p w14:paraId="050FBC3D" w14:textId="25B521B3" w:rsidR="00032E23" w:rsidRDefault="00032E23" w:rsidP="00032E23">
      <w:pPr>
        <w:pStyle w:val="Body"/>
        <w:spacing w:after="0"/>
        <w:rPr>
          <w:rFonts w:ascii="Arial" w:hAnsi="Arial" w:cs="Arial"/>
        </w:rPr>
      </w:pPr>
      <w:r w:rsidRPr="00C30A0F">
        <w:rPr>
          <w:rFonts w:ascii="Arial" w:hAnsi="Arial" w:cs="Arial"/>
          <w:b/>
          <w:caps/>
          <w:sz w:val="22"/>
        </w:rPr>
        <w:t>2.</w:t>
      </w:r>
      <w:r w:rsidR="00FD08EB">
        <w:rPr>
          <w:rFonts w:ascii="Arial" w:hAnsi="Arial" w:cs="Arial"/>
          <w:b/>
          <w:caps/>
          <w:sz w:val="22"/>
        </w:rPr>
        <w:t>3</w:t>
      </w:r>
      <w:r w:rsidRPr="00C30A0F">
        <w:rPr>
          <w:rFonts w:ascii="Arial" w:hAnsi="Arial" w:cs="Arial"/>
          <w:b/>
          <w:caps/>
          <w:sz w:val="22"/>
        </w:rPr>
        <w:t xml:space="preserve"> </w:t>
      </w:r>
      <w:r>
        <w:rPr>
          <w:rFonts w:ascii="Arial" w:hAnsi="Arial" w:cs="Arial"/>
          <w:b/>
          <w:sz w:val="22"/>
        </w:rPr>
        <w:t xml:space="preserve">Sample </w:t>
      </w:r>
      <w:r w:rsidR="00A42BE1">
        <w:rPr>
          <w:rFonts w:ascii="Arial" w:hAnsi="Arial" w:cs="Arial"/>
          <w:b/>
          <w:sz w:val="22"/>
        </w:rPr>
        <w:t>Size Determination</w:t>
      </w:r>
      <w:r w:rsidRPr="00FB3A86">
        <w:rPr>
          <w:rFonts w:ascii="Arial" w:hAnsi="Arial" w:cs="Arial"/>
        </w:rPr>
        <w:t xml:space="preserve"> </w:t>
      </w:r>
    </w:p>
    <w:p w14:paraId="3808F5D7" w14:textId="393C1700" w:rsidR="00A42BE1" w:rsidRPr="00C170BC" w:rsidRDefault="00A42BE1" w:rsidP="000A3DBD">
      <w:pPr>
        <w:pStyle w:val="NormalWeb"/>
        <w:jc w:val="both"/>
        <w:rPr>
          <w:rFonts w:ascii="Arial" w:hAnsi="Arial" w:cs="Arial"/>
          <w:sz w:val="20"/>
          <w:szCs w:val="20"/>
        </w:rPr>
      </w:pPr>
      <w:r w:rsidRPr="00C170BC">
        <w:rPr>
          <w:rFonts w:ascii="Arial" w:hAnsi="Arial" w:cs="Arial"/>
          <w:sz w:val="20"/>
          <w:szCs w:val="20"/>
        </w:rPr>
        <w:t xml:space="preserve">The sample size was determined using the formula by Naing </w:t>
      </w:r>
      <w:r w:rsidRPr="00C170BC">
        <w:rPr>
          <w:rFonts w:ascii="Arial" w:hAnsi="Arial" w:cs="Arial"/>
          <w:i/>
          <w:iCs/>
          <w:sz w:val="20"/>
          <w:szCs w:val="20"/>
        </w:rPr>
        <w:t>et al</w:t>
      </w:r>
      <w:r w:rsidRPr="00C170BC">
        <w:rPr>
          <w:rFonts w:ascii="Arial" w:hAnsi="Arial" w:cs="Arial"/>
          <w:sz w:val="20"/>
          <w:szCs w:val="20"/>
        </w:rPr>
        <w:t>. (2006).  N = Z</w:t>
      </w:r>
      <w:r w:rsidRPr="00C170BC">
        <w:rPr>
          <w:rFonts w:ascii="Arial" w:hAnsi="Arial" w:cs="Arial"/>
          <w:sz w:val="20"/>
          <w:szCs w:val="20"/>
          <w:vertAlign w:val="superscript"/>
        </w:rPr>
        <w:t>2</w:t>
      </w:r>
      <w:r w:rsidRPr="00C170BC">
        <w:rPr>
          <w:rFonts w:ascii="Arial" w:hAnsi="Arial" w:cs="Arial"/>
          <w:sz w:val="20"/>
          <w:szCs w:val="20"/>
        </w:rPr>
        <w:t xml:space="preserve"> x P (1-P)/e</w:t>
      </w:r>
      <w:r w:rsidRPr="00C170BC">
        <w:rPr>
          <w:rFonts w:ascii="Arial" w:hAnsi="Arial" w:cs="Arial"/>
          <w:sz w:val="20"/>
          <w:szCs w:val="20"/>
          <w:vertAlign w:val="superscript"/>
        </w:rPr>
        <w:t>2</w:t>
      </w:r>
      <w:r w:rsidRPr="00C170BC">
        <w:rPr>
          <w:rFonts w:ascii="Arial" w:hAnsi="Arial" w:cs="Arial"/>
          <w:sz w:val="20"/>
          <w:szCs w:val="20"/>
        </w:rPr>
        <w:t xml:space="preserve">, </w:t>
      </w:r>
      <w:r w:rsidR="000A3DBD" w:rsidRPr="00C170BC">
        <w:rPr>
          <w:rFonts w:ascii="Arial" w:hAnsi="Arial" w:cs="Arial"/>
          <w:sz w:val="20"/>
          <w:szCs w:val="20"/>
        </w:rPr>
        <w:t>Where</w:t>
      </w:r>
      <w:r w:rsidRPr="00C170BC">
        <w:rPr>
          <w:rFonts w:ascii="Arial" w:hAnsi="Arial" w:cs="Arial"/>
          <w:sz w:val="20"/>
          <w:szCs w:val="20"/>
        </w:rPr>
        <w:t xml:space="preserve"> N= Sample size, P =27%: Prevalence malaria parasite infection in Rivers State by microscopy (</w:t>
      </w:r>
      <w:proofErr w:type="spellStart"/>
      <w:r w:rsidRPr="00C170BC">
        <w:rPr>
          <w:rFonts w:ascii="Arial" w:hAnsi="Arial" w:cs="Arial"/>
          <w:sz w:val="20"/>
          <w:szCs w:val="20"/>
        </w:rPr>
        <w:t>Wokem</w:t>
      </w:r>
      <w:proofErr w:type="spellEnd"/>
      <w:r w:rsidRPr="00C170BC">
        <w:rPr>
          <w:rFonts w:ascii="Arial" w:hAnsi="Arial" w:cs="Arial"/>
          <w:sz w:val="20"/>
          <w:szCs w:val="20"/>
        </w:rPr>
        <w:t xml:space="preserve"> et al., 2020).  Z=Statistic (z): 1.96 at 95% confidence level, e= 5%: Margin of error desired, N= (1.96)</w:t>
      </w:r>
      <w:r w:rsidRPr="00C170BC">
        <w:rPr>
          <w:rFonts w:ascii="Arial" w:hAnsi="Arial" w:cs="Arial"/>
          <w:sz w:val="20"/>
          <w:szCs w:val="20"/>
          <w:vertAlign w:val="superscript"/>
        </w:rPr>
        <w:t>2</w:t>
      </w:r>
      <w:r w:rsidRPr="00C170BC">
        <w:rPr>
          <w:rFonts w:ascii="Arial" w:hAnsi="Arial" w:cs="Arial"/>
          <w:sz w:val="20"/>
          <w:szCs w:val="20"/>
        </w:rPr>
        <w:t xml:space="preserve"> (0.27) (1-0.27)/0.05</w:t>
      </w:r>
      <w:r w:rsidRPr="00C170BC">
        <w:rPr>
          <w:rFonts w:ascii="Arial" w:hAnsi="Arial" w:cs="Arial"/>
          <w:sz w:val="20"/>
          <w:szCs w:val="20"/>
          <w:vertAlign w:val="superscript"/>
        </w:rPr>
        <w:t>2</w:t>
      </w:r>
      <w:r w:rsidRPr="00C170BC">
        <w:rPr>
          <w:rFonts w:ascii="Arial" w:hAnsi="Arial" w:cs="Arial"/>
          <w:sz w:val="20"/>
          <w:szCs w:val="20"/>
          <w:vertAlign w:val="subscript"/>
        </w:rPr>
        <w:t>,</w:t>
      </w:r>
      <w:r w:rsidRPr="00C170BC">
        <w:rPr>
          <w:rFonts w:ascii="Arial" w:hAnsi="Arial" w:cs="Arial"/>
          <w:sz w:val="20"/>
          <w:szCs w:val="20"/>
        </w:rPr>
        <w:t xml:space="preserve"> N=302.87 (</w:t>
      </w:r>
      <w:r w:rsidR="000A3DBD" w:rsidRPr="00C170BC">
        <w:rPr>
          <w:rFonts w:ascii="Arial" w:hAnsi="Arial" w:cs="Arial"/>
          <w:sz w:val="20"/>
          <w:szCs w:val="20"/>
        </w:rPr>
        <w:t>Minimum sample</w:t>
      </w:r>
      <w:r w:rsidRPr="00C170BC">
        <w:rPr>
          <w:rFonts w:ascii="Arial" w:hAnsi="Arial" w:cs="Arial"/>
          <w:sz w:val="20"/>
          <w:szCs w:val="20"/>
        </w:rPr>
        <w:t xml:space="preserve"> usable). The study recruited 829 eligible participants.</w:t>
      </w:r>
    </w:p>
    <w:p w14:paraId="6B32460D" w14:textId="77777777" w:rsidR="00A42BE1" w:rsidRPr="000A3DBD" w:rsidRDefault="00A42BE1" w:rsidP="000A3DBD">
      <w:pPr>
        <w:pStyle w:val="Heading4"/>
        <w:jc w:val="both"/>
        <w:rPr>
          <w:rFonts w:ascii="Arial" w:hAnsi="Arial" w:cs="Arial"/>
          <w:color w:val="auto"/>
        </w:rPr>
      </w:pPr>
      <w:r w:rsidRPr="000A3DBD">
        <w:rPr>
          <w:rFonts w:ascii="Arial" w:hAnsi="Arial" w:cs="Arial"/>
          <w:b/>
          <w:bCs/>
          <w:i w:val="0"/>
          <w:color w:val="auto"/>
        </w:rPr>
        <w:t>2.4</w:t>
      </w:r>
      <w:r w:rsidRPr="000A3DBD">
        <w:rPr>
          <w:rFonts w:ascii="Arial" w:hAnsi="Arial" w:cs="Arial"/>
          <w:b/>
          <w:bCs/>
          <w:color w:val="auto"/>
        </w:rPr>
        <w:t>.</w:t>
      </w:r>
      <w:r w:rsidRPr="000A3DBD">
        <w:rPr>
          <w:rFonts w:ascii="Arial" w:hAnsi="Arial" w:cs="Arial"/>
          <w:color w:val="auto"/>
        </w:rPr>
        <w:t xml:space="preserve"> </w:t>
      </w:r>
      <w:r w:rsidRPr="000A3DBD">
        <w:rPr>
          <w:rStyle w:val="Strong"/>
          <w:rFonts w:ascii="Arial" w:hAnsi="Arial" w:cs="Arial"/>
          <w:i w:val="0"/>
          <w:color w:val="auto"/>
        </w:rPr>
        <w:t>Inclusion and Exclusion Criteria</w:t>
      </w:r>
    </w:p>
    <w:p w14:paraId="02B663B4" w14:textId="77777777" w:rsidR="00A42BE1" w:rsidRPr="00E62E63" w:rsidRDefault="00A42BE1" w:rsidP="000A3DBD">
      <w:pPr>
        <w:pStyle w:val="NormalWeb"/>
        <w:jc w:val="both"/>
        <w:rPr>
          <w:rStyle w:val="Strong"/>
          <w:rFonts w:ascii="Arial" w:hAnsi="Arial" w:cs="Arial"/>
          <w:sz w:val="20"/>
          <w:szCs w:val="20"/>
        </w:rPr>
      </w:pPr>
      <w:r w:rsidRPr="00E62E63">
        <w:rPr>
          <w:rStyle w:val="Strong"/>
          <w:rFonts w:ascii="Arial" w:hAnsi="Arial" w:cs="Arial"/>
          <w:sz w:val="20"/>
          <w:szCs w:val="20"/>
        </w:rPr>
        <w:t xml:space="preserve">2.4.1 </w:t>
      </w:r>
      <w:r w:rsidRPr="00E62E63">
        <w:rPr>
          <w:rStyle w:val="Strong"/>
          <w:rFonts w:ascii="Arial" w:hAnsi="Arial" w:cs="Arial"/>
          <w:sz w:val="20"/>
          <w:szCs w:val="20"/>
          <w:u w:val="single"/>
        </w:rPr>
        <w:t>Inclusion</w:t>
      </w:r>
    </w:p>
    <w:p w14:paraId="2A1B9C86" w14:textId="5685FBC0" w:rsidR="00A42BE1" w:rsidRPr="00C170BC" w:rsidRDefault="00A42BE1" w:rsidP="000A3DBD">
      <w:pPr>
        <w:pStyle w:val="NormalWeb"/>
        <w:jc w:val="both"/>
        <w:rPr>
          <w:rFonts w:ascii="Arial" w:hAnsi="Arial" w:cs="Arial"/>
          <w:sz w:val="20"/>
          <w:szCs w:val="20"/>
        </w:rPr>
      </w:pPr>
      <w:r w:rsidRPr="00C170BC">
        <w:rPr>
          <w:rFonts w:ascii="Arial" w:hAnsi="Arial" w:cs="Arial"/>
          <w:sz w:val="20"/>
          <w:szCs w:val="20"/>
        </w:rPr>
        <w:t xml:space="preserve">Febrile participants aged ≥12 </w:t>
      </w:r>
      <w:r w:rsidR="000A3DBD" w:rsidRPr="00C170BC">
        <w:rPr>
          <w:rFonts w:ascii="Arial" w:hAnsi="Arial" w:cs="Arial"/>
          <w:sz w:val="20"/>
          <w:szCs w:val="20"/>
        </w:rPr>
        <w:t>months,</w:t>
      </w:r>
      <w:r w:rsidRPr="00C170BC">
        <w:rPr>
          <w:rFonts w:ascii="Arial" w:hAnsi="Arial" w:cs="Arial"/>
          <w:sz w:val="20"/>
          <w:szCs w:val="20"/>
        </w:rPr>
        <w:t xml:space="preserve"> who gave informed consent (and assent where applicable). Participants who were clinically stable and apparently healthy at the time of </w:t>
      </w:r>
      <w:r w:rsidRPr="00C170BC">
        <w:rPr>
          <w:rFonts w:ascii="Arial" w:hAnsi="Arial" w:cs="Arial"/>
          <w:sz w:val="20"/>
          <w:szCs w:val="20"/>
        </w:rPr>
        <w:lastRenderedPageBreak/>
        <w:t>recruitment, aside from febrile condition. Participants must be residents of Port Harcourt metropolis.</w:t>
      </w:r>
    </w:p>
    <w:p w14:paraId="00509A00" w14:textId="77777777" w:rsidR="00A42BE1" w:rsidRPr="00E62E63" w:rsidRDefault="00A42BE1" w:rsidP="000A3DBD">
      <w:pPr>
        <w:pStyle w:val="NormalWeb"/>
        <w:jc w:val="both"/>
        <w:rPr>
          <w:rStyle w:val="Strong"/>
          <w:rFonts w:ascii="Arial" w:hAnsi="Arial" w:cs="Arial"/>
          <w:sz w:val="20"/>
          <w:szCs w:val="20"/>
        </w:rPr>
      </w:pPr>
      <w:r w:rsidRPr="00E62E63">
        <w:rPr>
          <w:rStyle w:val="Strong"/>
          <w:rFonts w:ascii="Arial" w:hAnsi="Arial" w:cs="Arial"/>
          <w:sz w:val="20"/>
          <w:szCs w:val="20"/>
        </w:rPr>
        <w:t xml:space="preserve">2.4.2 </w:t>
      </w:r>
      <w:r w:rsidRPr="00E62E63">
        <w:rPr>
          <w:rStyle w:val="Strong"/>
          <w:rFonts w:ascii="Arial" w:hAnsi="Arial" w:cs="Arial"/>
          <w:sz w:val="20"/>
          <w:szCs w:val="20"/>
          <w:u w:val="single"/>
        </w:rPr>
        <w:t>Exclusion</w:t>
      </w:r>
    </w:p>
    <w:p w14:paraId="2F30A9E6" w14:textId="77777777" w:rsidR="00A42BE1" w:rsidRPr="00C170BC" w:rsidRDefault="00A42BE1" w:rsidP="000A3DBD">
      <w:pPr>
        <w:pStyle w:val="NormalWeb"/>
        <w:jc w:val="both"/>
        <w:rPr>
          <w:rFonts w:ascii="Arial" w:hAnsi="Arial" w:cs="Arial"/>
          <w:sz w:val="20"/>
          <w:szCs w:val="20"/>
        </w:rPr>
      </w:pPr>
      <w:r w:rsidRPr="00C170BC">
        <w:rPr>
          <w:rFonts w:ascii="Arial" w:hAnsi="Arial" w:cs="Arial"/>
          <w:sz w:val="20"/>
          <w:szCs w:val="20"/>
        </w:rPr>
        <w:t xml:space="preserve">Severely ill study participants requiring immediate referral; those who had taken antimalarial drugs in the previous two weeks were excluded. Also, those who had confirmed non-malarial cause of fever, or mixed </w:t>
      </w:r>
      <w:r w:rsidRPr="00C170BC">
        <w:rPr>
          <w:rFonts w:ascii="Arial" w:hAnsi="Arial" w:cs="Arial"/>
          <w:i/>
          <w:sz w:val="20"/>
          <w:szCs w:val="20"/>
        </w:rPr>
        <w:t>Plasmodium</w:t>
      </w:r>
      <w:r w:rsidRPr="00C170BC">
        <w:rPr>
          <w:rFonts w:ascii="Arial" w:hAnsi="Arial" w:cs="Arial"/>
          <w:sz w:val="20"/>
          <w:szCs w:val="20"/>
        </w:rPr>
        <w:t xml:space="preserve"> species infection. Those who declined to provide informed consent or withdrew consent at any stage of the study were also excluded.</w:t>
      </w:r>
    </w:p>
    <w:p w14:paraId="78F2A35C" w14:textId="77777777" w:rsidR="00A42BE1" w:rsidRPr="000A3DBD" w:rsidRDefault="00A42BE1" w:rsidP="000A3DBD">
      <w:pPr>
        <w:pStyle w:val="Heading4"/>
        <w:jc w:val="both"/>
        <w:rPr>
          <w:rFonts w:ascii="Arial" w:hAnsi="Arial" w:cs="Arial"/>
          <w:i w:val="0"/>
          <w:color w:val="auto"/>
        </w:rPr>
      </w:pPr>
      <w:r w:rsidRPr="000A3DBD">
        <w:rPr>
          <w:rFonts w:ascii="Arial" w:hAnsi="Arial" w:cs="Arial"/>
          <w:b/>
          <w:bCs/>
          <w:i w:val="0"/>
          <w:color w:val="auto"/>
        </w:rPr>
        <w:t>2.5.</w:t>
      </w:r>
      <w:r w:rsidRPr="000A3DBD">
        <w:rPr>
          <w:rFonts w:ascii="Arial" w:hAnsi="Arial" w:cs="Arial"/>
          <w:i w:val="0"/>
          <w:color w:val="auto"/>
        </w:rPr>
        <w:t xml:space="preserve"> </w:t>
      </w:r>
      <w:r w:rsidRPr="000A3DBD">
        <w:rPr>
          <w:rFonts w:ascii="Arial" w:hAnsi="Arial" w:cs="Arial"/>
          <w:b/>
          <w:bCs/>
          <w:i w:val="0"/>
          <w:color w:val="auto"/>
        </w:rPr>
        <w:t>Blood</w:t>
      </w:r>
      <w:r w:rsidRPr="000A3DBD">
        <w:rPr>
          <w:rFonts w:ascii="Arial" w:hAnsi="Arial" w:cs="Arial"/>
          <w:i w:val="0"/>
          <w:color w:val="auto"/>
        </w:rPr>
        <w:t xml:space="preserve"> </w:t>
      </w:r>
      <w:r w:rsidRPr="000A3DBD">
        <w:rPr>
          <w:rStyle w:val="Strong"/>
          <w:rFonts w:ascii="Arial" w:hAnsi="Arial" w:cs="Arial"/>
          <w:i w:val="0"/>
          <w:color w:val="auto"/>
        </w:rPr>
        <w:t>Sample Collection and Testing</w:t>
      </w:r>
    </w:p>
    <w:p w14:paraId="0F72019A" w14:textId="46A9850D" w:rsidR="00A42BE1" w:rsidRPr="00C170BC" w:rsidRDefault="00A42BE1" w:rsidP="000A3DBD">
      <w:pPr>
        <w:pStyle w:val="NormalWeb"/>
        <w:jc w:val="both"/>
        <w:rPr>
          <w:rFonts w:ascii="Arial" w:hAnsi="Arial" w:cs="Arial"/>
          <w:sz w:val="20"/>
          <w:szCs w:val="20"/>
        </w:rPr>
      </w:pPr>
      <w:r w:rsidRPr="00C170BC">
        <w:rPr>
          <w:rFonts w:ascii="Arial" w:hAnsi="Arial" w:cs="Arial"/>
          <w:sz w:val="20"/>
          <w:szCs w:val="20"/>
        </w:rPr>
        <w:t>Venous blood samples were collected from each participant following the protocol described by Lewis et al. (2010).  Each participant was simultaneously tested using both RDT 1 and RDT 2, following manufacturers’ instructions.</w:t>
      </w:r>
      <w:r>
        <w:rPr>
          <w:rFonts w:ascii="Arial" w:hAnsi="Arial" w:cs="Arial"/>
          <w:sz w:val="20"/>
          <w:szCs w:val="20"/>
        </w:rPr>
        <w:t xml:space="preserve"> </w:t>
      </w:r>
      <w:r w:rsidRPr="00C170BC">
        <w:rPr>
          <w:rFonts w:ascii="Arial" w:hAnsi="Arial" w:cs="Arial"/>
          <w:sz w:val="20"/>
          <w:szCs w:val="20"/>
        </w:rPr>
        <w:t>Thick and thin blood films were prepared as described by Cheesbrough (2006). The blood film slides were stained using 3% Giemsa solution as described by World Health Organization (2010</w:t>
      </w:r>
      <w:r w:rsidR="000A3DBD" w:rsidRPr="00C170BC">
        <w:rPr>
          <w:rFonts w:ascii="Arial" w:hAnsi="Arial" w:cs="Arial"/>
          <w:sz w:val="20"/>
          <w:szCs w:val="20"/>
        </w:rPr>
        <w:t>) and</w:t>
      </w:r>
      <w:r w:rsidRPr="00C170BC">
        <w:rPr>
          <w:rFonts w:ascii="Arial" w:hAnsi="Arial" w:cs="Arial"/>
          <w:sz w:val="20"/>
          <w:szCs w:val="20"/>
        </w:rPr>
        <w:t xml:space="preserve"> examined under light microscopy by two independent expert microscopists blinded to RDT results. Discrepant results were resolved by a third reviewer.</w:t>
      </w:r>
    </w:p>
    <w:p w14:paraId="23B42A1E" w14:textId="77777777" w:rsidR="00A42BE1" w:rsidRPr="000A3DBD" w:rsidRDefault="00A42BE1" w:rsidP="000A3DBD">
      <w:pPr>
        <w:pStyle w:val="Heading4"/>
        <w:spacing w:after="240"/>
        <w:jc w:val="both"/>
        <w:rPr>
          <w:rFonts w:ascii="Arial" w:hAnsi="Arial" w:cs="Arial"/>
          <w:b/>
          <w:bCs/>
          <w:i w:val="0"/>
          <w:color w:val="auto"/>
        </w:rPr>
      </w:pPr>
      <w:r w:rsidRPr="000A3DBD">
        <w:rPr>
          <w:rFonts w:ascii="Arial" w:hAnsi="Arial" w:cs="Arial"/>
          <w:b/>
          <w:bCs/>
          <w:i w:val="0"/>
          <w:color w:val="auto"/>
        </w:rPr>
        <w:t xml:space="preserve">2.6. HRP-Based </w:t>
      </w:r>
      <w:r w:rsidRPr="000A3DBD">
        <w:rPr>
          <w:rStyle w:val="Strong"/>
          <w:rFonts w:ascii="Arial" w:hAnsi="Arial" w:cs="Arial"/>
          <w:i w:val="0"/>
          <w:color w:val="auto"/>
        </w:rPr>
        <w:t>RDT Kits Evaluated</w:t>
      </w:r>
    </w:p>
    <w:p w14:paraId="51C08B14" w14:textId="77777777" w:rsidR="00A42BE1" w:rsidRPr="00C170BC" w:rsidRDefault="00A42BE1" w:rsidP="000A3DBD">
      <w:pPr>
        <w:spacing w:after="240"/>
        <w:jc w:val="both"/>
        <w:rPr>
          <w:rFonts w:ascii="Arial" w:hAnsi="Arial" w:cs="Arial"/>
          <w:color w:val="000000" w:themeColor="text1"/>
        </w:rPr>
      </w:pPr>
      <w:r w:rsidRPr="00C170BC">
        <w:rPr>
          <w:rFonts w:ascii="Arial" w:hAnsi="Arial" w:cs="Arial"/>
        </w:rPr>
        <w:t xml:space="preserve">Two commercially available HRP2-based RDT kits were selected based on their widespread availability in public health facilities: RDT 1; brand name-First Response Malaria Antigen </w:t>
      </w:r>
      <w:r w:rsidRPr="00C170BC">
        <w:rPr>
          <w:rFonts w:ascii="Arial" w:hAnsi="Arial" w:cs="Arial"/>
          <w:i/>
        </w:rPr>
        <w:t>P. falciparum</w:t>
      </w:r>
      <w:r w:rsidRPr="00C170BC">
        <w:rPr>
          <w:rFonts w:ascii="Arial" w:hAnsi="Arial" w:cs="Arial"/>
        </w:rPr>
        <w:t xml:space="preserve"> (HRP 2) Card Test (Premier Medical Corporation Private Limited, Gujarat, India; REF. P113FRC25). RDT 2: brand name-</w:t>
      </w:r>
      <w:proofErr w:type="spellStart"/>
      <w:r w:rsidRPr="00C170BC">
        <w:rPr>
          <w:rFonts w:ascii="Arial" w:hAnsi="Arial" w:cs="Arial"/>
        </w:rPr>
        <w:t>Standard</w:t>
      </w:r>
      <w:r w:rsidRPr="00C170BC">
        <w:rPr>
          <w:rFonts w:ascii="Arial" w:hAnsi="Arial" w:cs="Arial"/>
          <w:vertAlign w:val="superscript"/>
        </w:rPr>
        <w:t>TM</w:t>
      </w:r>
      <w:proofErr w:type="spellEnd"/>
      <w:r w:rsidRPr="00C170BC">
        <w:rPr>
          <w:rFonts w:ascii="Arial" w:hAnsi="Arial" w:cs="Arial"/>
          <w:vertAlign w:val="superscript"/>
        </w:rPr>
        <w:t xml:space="preserve"> </w:t>
      </w:r>
      <w:r w:rsidRPr="00C170BC">
        <w:rPr>
          <w:rFonts w:ascii="Arial" w:hAnsi="Arial" w:cs="Arial"/>
        </w:rPr>
        <w:t xml:space="preserve">Q Malaria </w:t>
      </w:r>
      <w:proofErr w:type="spellStart"/>
      <w:r w:rsidRPr="00C170BC">
        <w:rPr>
          <w:rFonts w:ascii="Arial" w:hAnsi="Arial" w:cs="Arial"/>
        </w:rPr>
        <w:t>P.f</w:t>
      </w:r>
      <w:proofErr w:type="spellEnd"/>
      <w:r w:rsidRPr="00C170BC">
        <w:rPr>
          <w:rFonts w:ascii="Arial" w:hAnsi="Arial" w:cs="Arial"/>
        </w:rPr>
        <w:t xml:space="preserve"> Ag Test (SD Biosensor, Inc, Republic of Korea; Cat. No.:09MAL109) were used to detect malaria parasites (</w:t>
      </w:r>
      <w:r w:rsidRPr="00C170BC">
        <w:rPr>
          <w:rFonts w:ascii="Arial" w:hAnsi="Arial" w:cs="Arial"/>
          <w:i/>
        </w:rPr>
        <w:t>P. falciparum</w:t>
      </w:r>
      <w:r w:rsidRPr="00C170BC">
        <w:rPr>
          <w:rFonts w:ascii="Arial" w:hAnsi="Arial" w:cs="Arial"/>
        </w:rPr>
        <w:t xml:space="preserve">), according to the manufacturer's instructions. The First Response Malaria Antigen </w:t>
      </w:r>
      <w:r w:rsidRPr="00C170BC">
        <w:rPr>
          <w:rFonts w:ascii="Arial" w:hAnsi="Arial" w:cs="Arial"/>
          <w:i/>
        </w:rPr>
        <w:t>P. falciparum</w:t>
      </w:r>
      <w:r w:rsidRPr="00C170BC">
        <w:rPr>
          <w:rFonts w:ascii="Arial" w:hAnsi="Arial" w:cs="Arial"/>
        </w:rPr>
        <w:t xml:space="preserve"> (HRP2) Card Test is based on principle of immunochromatography in which nitrocellulose membrane is pre-coated with one monoclonal antibody (test line </w:t>
      </w:r>
      <w:proofErr w:type="spellStart"/>
      <w:r w:rsidRPr="00C170BC">
        <w:rPr>
          <w:rFonts w:ascii="Arial" w:hAnsi="Arial" w:cs="Arial"/>
        </w:rPr>
        <w:t>P.f</w:t>
      </w:r>
      <w:proofErr w:type="spellEnd"/>
      <w:r w:rsidRPr="00C170BC">
        <w:rPr>
          <w:rFonts w:ascii="Arial" w:hAnsi="Arial" w:cs="Arial"/>
        </w:rPr>
        <w:t xml:space="preserve">) specific to histidine rich protein 2 (HRP2) of the </w:t>
      </w:r>
      <w:r w:rsidRPr="00C170BC">
        <w:rPr>
          <w:rFonts w:ascii="Arial" w:hAnsi="Arial" w:cs="Arial"/>
          <w:i/>
        </w:rPr>
        <w:t>P. falciparum</w:t>
      </w:r>
      <w:r w:rsidRPr="00C170BC">
        <w:rPr>
          <w:rFonts w:ascii="Arial" w:hAnsi="Arial" w:cs="Arial"/>
        </w:rPr>
        <w:t xml:space="preserve">. When the test sample along with buffer flows through the nitrocellulose membrane, second monoclonal antibodies specific for HRP2 antigen conjugated with colloidal gold, binds to HRP2 antigens released from the lysed blood sample. This antigen-conjugated antibody complex moves through the nitrocellulose membrane and binds to the immobilized HRP2 specific monoclonal antibody at the test line, which leads to the formation of </w:t>
      </w:r>
      <w:proofErr w:type="spellStart"/>
      <w:r w:rsidRPr="00C170BC">
        <w:rPr>
          <w:rFonts w:ascii="Arial" w:hAnsi="Arial" w:cs="Arial"/>
        </w:rPr>
        <w:t>colour</w:t>
      </w:r>
      <w:proofErr w:type="spellEnd"/>
      <w:r w:rsidRPr="00C170BC">
        <w:rPr>
          <w:rFonts w:ascii="Arial" w:hAnsi="Arial" w:cs="Arial"/>
        </w:rPr>
        <w:t xml:space="preserve"> band indicating reactive results. The control band will appear irrespective of reactive or non </w:t>
      </w:r>
      <w:proofErr w:type="spellStart"/>
      <w:r w:rsidRPr="00C170BC">
        <w:rPr>
          <w:rFonts w:ascii="Arial" w:hAnsi="Arial" w:cs="Arial"/>
        </w:rPr>
        <w:t>reactivesample</w:t>
      </w:r>
      <w:proofErr w:type="spellEnd"/>
      <w:r w:rsidRPr="00C170BC">
        <w:rPr>
          <w:rFonts w:ascii="Arial" w:hAnsi="Arial" w:cs="Arial"/>
        </w:rPr>
        <w:t>. According to the manufacturer, the test (RDT1) had a sensitivity of 100% (95% CI: 97.89-100%) and specificity of 100% (95% CI: 99.50-100%).</w:t>
      </w:r>
    </w:p>
    <w:p w14:paraId="62A4515C" w14:textId="2AF717B0" w:rsidR="00A42BE1" w:rsidRPr="00C170BC" w:rsidRDefault="00A42BE1" w:rsidP="000A3DBD">
      <w:pPr>
        <w:spacing w:after="240"/>
        <w:jc w:val="both"/>
        <w:rPr>
          <w:rFonts w:ascii="Arial" w:hAnsi="Arial" w:cs="Arial"/>
        </w:rPr>
      </w:pPr>
      <w:r w:rsidRPr="00C170BC">
        <w:rPr>
          <w:rFonts w:ascii="Arial" w:hAnsi="Arial" w:cs="Arial"/>
        </w:rPr>
        <w:t xml:space="preserve">The </w:t>
      </w:r>
      <w:proofErr w:type="spellStart"/>
      <w:r w:rsidRPr="00C170BC">
        <w:rPr>
          <w:rFonts w:ascii="Arial" w:hAnsi="Arial" w:cs="Arial"/>
        </w:rPr>
        <w:t>Standard</w:t>
      </w:r>
      <w:r w:rsidRPr="00C170BC">
        <w:rPr>
          <w:rFonts w:ascii="Arial" w:hAnsi="Arial" w:cs="Arial"/>
          <w:vertAlign w:val="superscript"/>
        </w:rPr>
        <w:t>TM</w:t>
      </w:r>
      <w:proofErr w:type="spellEnd"/>
      <w:r w:rsidRPr="00C170BC">
        <w:rPr>
          <w:rFonts w:ascii="Arial" w:hAnsi="Arial" w:cs="Arial"/>
        </w:rPr>
        <w:t xml:space="preserve"> Q Malaria </w:t>
      </w:r>
      <w:proofErr w:type="spellStart"/>
      <w:r w:rsidRPr="00C170BC">
        <w:rPr>
          <w:rFonts w:ascii="Arial" w:hAnsi="Arial" w:cs="Arial"/>
        </w:rPr>
        <w:t>P.f</w:t>
      </w:r>
      <w:proofErr w:type="spellEnd"/>
      <w:r w:rsidRPr="00C170BC">
        <w:rPr>
          <w:rFonts w:ascii="Arial" w:hAnsi="Arial" w:cs="Arial"/>
        </w:rPr>
        <w:t xml:space="preserve"> Ag test is a rapid and </w:t>
      </w:r>
      <w:r w:rsidR="000A3DBD" w:rsidRPr="00C170BC">
        <w:rPr>
          <w:rFonts w:ascii="Arial" w:hAnsi="Arial" w:cs="Arial"/>
        </w:rPr>
        <w:t>membrane-based</w:t>
      </w:r>
      <w:r w:rsidRPr="00C170BC">
        <w:rPr>
          <w:rFonts w:ascii="Arial" w:hAnsi="Arial" w:cs="Arial"/>
        </w:rPr>
        <w:t xml:space="preserve"> immunochromatography for the qualitative detection of </w:t>
      </w:r>
      <w:r w:rsidRPr="00C170BC">
        <w:rPr>
          <w:rFonts w:ascii="Arial" w:hAnsi="Arial" w:cs="Arial"/>
          <w:i/>
        </w:rPr>
        <w:t xml:space="preserve">P. falciparum </w:t>
      </w:r>
      <w:r w:rsidRPr="00C170BC">
        <w:rPr>
          <w:rFonts w:ascii="Arial" w:hAnsi="Arial" w:cs="Arial"/>
        </w:rPr>
        <w:t xml:space="preserve">specific histidine rich protein 2 (HRP 2) in human capillary and venous whole blood specimens of patients suspected of having malaria. Standard Q Malaria </w:t>
      </w:r>
      <w:proofErr w:type="spellStart"/>
      <w:proofErr w:type="gramStart"/>
      <w:r w:rsidRPr="00C170BC">
        <w:rPr>
          <w:rFonts w:ascii="Arial" w:hAnsi="Arial" w:cs="Arial"/>
        </w:rPr>
        <w:t>P.f</w:t>
      </w:r>
      <w:proofErr w:type="spellEnd"/>
      <w:proofErr w:type="gramEnd"/>
      <w:r w:rsidRPr="00C170BC">
        <w:rPr>
          <w:rFonts w:ascii="Arial" w:hAnsi="Arial" w:cs="Arial"/>
        </w:rPr>
        <w:t xml:space="preserve"> Ag test contains two pre-coated lines, “</w:t>
      </w:r>
      <w:proofErr w:type="spellStart"/>
      <w:r w:rsidRPr="00C170BC">
        <w:rPr>
          <w:rFonts w:ascii="Arial" w:hAnsi="Arial" w:cs="Arial"/>
        </w:rPr>
        <w:t>P.f</w:t>
      </w:r>
      <w:proofErr w:type="spellEnd"/>
      <w:r w:rsidRPr="00C170BC">
        <w:rPr>
          <w:rFonts w:ascii="Arial" w:hAnsi="Arial" w:cs="Arial"/>
        </w:rPr>
        <w:t>” (</w:t>
      </w:r>
      <w:proofErr w:type="spellStart"/>
      <w:r w:rsidRPr="00C170BC">
        <w:rPr>
          <w:rFonts w:ascii="Arial" w:hAnsi="Arial" w:cs="Arial"/>
          <w:i/>
        </w:rPr>
        <w:t>P.falciparum</w:t>
      </w:r>
      <w:proofErr w:type="spellEnd"/>
      <w:r w:rsidRPr="00C170BC">
        <w:rPr>
          <w:rFonts w:ascii="Arial" w:hAnsi="Arial" w:cs="Arial"/>
        </w:rPr>
        <w:t>) as test line and “C” as control on the surface of the nitrocellulose membrane. Both test line and control line in the result window of the test device are not visible before applying any specimens. Monoclonal anti-</w:t>
      </w:r>
      <w:r w:rsidRPr="00C170BC">
        <w:rPr>
          <w:rFonts w:ascii="Arial" w:hAnsi="Arial" w:cs="Arial"/>
          <w:i/>
        </w:rPr>
        <w:t>P. falciparum</w:t>
      </w:r>
      <w:r w:rsidRPr="00C170BC">
        <w:rPr>
          <w:rFonts w:ascii="Arial" w:hAnsi="Arial" w:cs="Arial"/>
        </w:rPr>
        <w:t xml:space="preserve"> HRP2 is coated on the test line region and monoclonal anti-chicken </w:t>
      </w:r>
      <w:proofErr w:type="spellStart"/>
      <w:r w:rsidRPr="00C170BC">
        <w:rPr>
          <w:rFonts w:ascii="Arial" w:hAnsi="Arial" w:cs="Arial"/>
        </w:rPr>
        <w:t>IgY</w:t>
      </w:r>
      <w:proofErr w:type="spellEnd"/>
      <w:r w:rsidRPr="00C170BC">
        <w:rPr>
          <w:rFonts w:ascii="Arial" w:hAnsi="Arial" w:cs="Arial"/>
        </w:rPr>
        <w:t xml:space="preserve"> is coated on the control line region. During the test, the </w:t>
      </w:r>
      <w:r w:rsidRPr="00C170BC">
        <w:rPr>
          <w:rFonts w:ascii="Arial" w:hAnsi="Arial" w:cs="Arial"/>
          <w:i/>
        </w:rPr>
        <w:t>P. falciparum</w:t>
      </w:r>
      <w:r w:rsidRPr="00C170BC">
        <w:rPr>
          <w:rFonts w:ascii="Arial" w:hAnsi="Arial" w:cs="Arial"/>
        </w:rPr>
        <w:t xml:space="preserve"> specific HRP2 in the specimen reacts to the gold-conjugated monoclonal anti-Malaria HRP2 and binds to it. Any </w:t>
      </w:r>
      <w:r w:rsidRPr="00C170BC">
        <w:rPr>
          <w:rFonts w:ascii="Arial" w:hAnsi="Arial" w:cs="Arial"/>
          <w:i/>
        </w:rPr>
        <w:t>P. falciparum</w:t>
      </w:r>
      <w:r w:rsidRPr="00C170BC">
        <w:rPr>
          <w:rFonts w:ascii="Arial" w:hAnsi="Arial" w:cs="Arial"/>
        </w:rPr>
        <w:t xml:space="preserve"> specific HRP2 antigen-antibody gold particle complex also migrates with the buffer and is immobilized by monoclonal anti-</w:t>
      </w:r>
      <w:proofErr w:type="spellStart"/>
      <w:proofErr w:type="gramStart"/>
      <w:r w:rsidRPr="00C170BC">
        <w:rPr>
          <w:rFonts w:ascii="Arial" w:hAnsi="Arial" w:cs="Arial"/>
          <w:i/>
        </w:rPr>
        <w:t>P.falciparum</w:t>
      </w:r>
      <w:proofErr w:type="spellEnd"/>
      <w:proofErr w:type="gramEnd"/>
      <w:r w:rsidRPr="00C170BC">
        <w:rPr>
          <w:rFonts w:ascii="Arial" w:hAnsi="Arial" w:cs="Arial"/>
          <w:i/>
        </w:rPr>
        <w:t xml:space="preserve"> </w:t>
      </w:r>
      <w:r w:rsidRPr="00C170BC">
        <w:rPr>
          <w:rFonts w:ascii="Arial" w:hAnsi="Arial" w:cs="Arial"/>
        </w:rPr>
        <w:t xml:space="preserve">HRP2 at the test line to form a violet test </w:t>
      </w:r>
      <w:proofErr w:type="spellStart"/>
      <w:r w:rsidRPr="00C170BC">
        <w:rPr>
          <w:rFonts w:ascii="Arial" w:hAnsi="Arial" w:cs="Arial"/>
        </w:rPr>
        <w:t>coloured</w:t>
      </w:r>
      <w:proofErr w:type="spellEnd"/>
      <w:r w:rsidRPr="00C170BC">
        <w:rPr>
          <w:rFonts w:ascii="Arial" w:hAnsi="Arial" w:cs="Arial"/>
        </w:rPr>
        <w:t xml:space="preserve"> band which </w:t>
      </w:r>
      <w:r w:rsidRPr="00C170BC">
        <w:rPr>
          <w:rFonts w:ascii="Arial" w:hAnsi="Arial" w:cs="Arial"/>
        </w:rPr>
        <w:lastRenderedPageBreak/>
        <w:t xml:space="preserve">confirms a positive result. Absence of this </w:t>
      </w:r>
      <w:r w:rsidR="000A3DBD" w:rsidRPr="00C170BC">
        <w:rPr>
          <w:rFonts w:ascii="Arial" w:hAnsi="Arial" w:cs="Arial"/>
        </w:rPr>
        <w:t>violet-</w:t>
      </w:r>
      <w:proofErr w:type="spellStart"/>
      <w:r w:rsidR="000A3DBD" w:rsidRPr="00C170BC">
        <w:rPr>
          <w:rFonts w:ascii="Arial" w:hAnsi="Arial" w:cs="Arial"/>
        </w:rPr>
        <w:t>coloured</w:t>
      </w:r>
      <w:proofErr w:type="spellEnd"/>
      <w:r w:rsidRPr="00C170BC">
        <w:rPr>
          <w:rFonts w:ascii="Arial" w:hAnsi="Arial" w:cs="Arial"/>
        </w:rPr>
        <w:t xml:space="preserve"> band indicates a negative result. The test had a sensitivity of 99.59% (95% CI: 98.53-99.95%) and specificity of 100% (95% CI: 99.67-100%) according to the manufacturer.</w:t>
      </w:r>
    </w:p>
    <w:p w14:paraId="54D2211E" w14:textId="77777777" w:rsidR="00A42BE1" w:rsidRPr="008F5803" w:rsidRDefault="00A42BE1" w:rsidP="000A3DBD">
      <w:pPr>
        <w:spacing w:after="240"/>
        <w:jc w:val="both"/>
        <w:rPr>
          <w:rFonts w:ascii="Arial" w:hAnsi="Arial" w:cs="Arial"/>
          <w:b/>
        </w:rPr>
      </w:pPr>
      <w:r w:rsidRPr="008F5803">
        <w:rPr>
          <w:rFonts w:ascii="Arial" w:hAnsi="Arial" w:cs="Arial"/>
          <w:b/>
        </w:rPr>
        <w:t>2.6.1 Performance of HRP2-Based RDT Kits</w:t>
      </w:r>
    </w:p>
    <w:p w14:paraId="1C4D6EEA" w14:textId="5BF4C3A9" w:rsidR="00A42BE1" w:rsidRPr="00C170BC" w:rsidRDefault="00A42BE1" w:rsidP="000A3DBD">
      <w:pPr>
        <w:spacing w:after="240"/>
        <w:jc w:val="both"/>
        <w:rPr>
          <w:rFonts w:ascii="Arial" w:hAnsi="Arial" w:cs="Arial"/>
        </w:rPr>
      </w:pPr>
      <w:r w:rsidRPr="00C170BC">
        <w:rPr>
          <w:rFonts w:ascii="Arial" w:hAnsi="Arial" w:cs="Arial"/>
        </w:rPr>
        <w:t xml:space="preserve">To comprehensively assess the diagnostic performance of histidine-rich protein 2 (HRP2)-based rapid diagnostic tests (RDT1 and RDT2 kits) in comparison with light microscopy, the reference standard, a performance matrix was established. This matrix included key diagnostic indicators: sensitivity, specificity, positive predictive value (PPV), and negative predictive value (NPV). These parameters provide a quantitative evaluation of the RDTs’ ability to correctly identify </w:t>
      </w:r>
      <w:r w:rsidRPr="00C170BC">
        <w:rPr>
          <w:rStyle w:val="Emphasis"/>
          <w:rFonts w:ascii="Arial" w:eastAsiaTheme="majorEastAsia" w:hAnsi="Arial" w:cs="Arial"/>
        </w:rPr>
        <w:t>P. falciparum</w:t>
      </w:r>
      <w:r w:rsidRPr="00C170BC">
        <w:rPr>
          <w:rFonts w:ascii="Arial" w:hAnsi="Arial" w:cs="Arial"/>
        </w:rPr>
        <w:t xml:space="preserve"> infections in clinical blood samples. For each sample, the result from the HRP2-based RDT was recorded as either positive or negative for </w:t>
      </w:r>
      <w:r w:rsidRPr="00C170BC">
        <w:rPr>
          <w:rStyle w:val="Emphasis"/>
          <w:rFonts w:ascii="Arial" w:eastAsiaTheme="majorEastAsia" w:hAnsi="Arial" w:cs="Arial"/>
        </w:rPr>
        <w:t>P. falciparum</w:t>
      </w:r>
      <w:r w:rsidRPr="00C170BC">
        <w:rPr>
          <w:rFonts w:ascii="Arial" w:hAnsi="Arial" w:cs="Arial"/>
        </w:rPr>
        <w:t xml:space="preserve"> infection. These results were then compared against microscopy findings, also categorized as either positive or negative. The data were tabulated into a 2x2 contingency </w:t>
      </w:r>
      <w:r w:rsidR="000A3DBD" w:rsidRPr="00C170BC">
        <w:rPr>
          <w:rFonts w:ascii="Arial" w:hAnsi="Arial" w:cs="Arial"/>
        </w:rPr>
        <w:t>matrix,</w:t>
      </w:r>
      <w:r w:rsidRPr="00C170BC">
        <w:rPr>
          <w:rFonts w:ascii="Arial" w:hAnsi="Arial" w:cs="Arial"/>
        </w:rPr>
        <w:t xml:space="preserve"> and the following diagnostic indices were calculated: </w:t>
      </w:r>
      <w:r w:rsidRPr="00C170BC">
        <w:rPr>
          <w:rStyle w:val="mord"/>
          <w:rFonts w:ascii="Arial" w:hAnsi="Arial" w:cs="Arial"/>
        </w:rPr>
        <w:t xml:space="preserve">Sensitivity (True Positive Rate) = (TP)/(TP+FN) x100, which is the </w:t>
      </w:r>
      <w:r w:rsidRPr="00C170BC">
        <w:rPr>
          <w:rFonts w:ascii="Arial" w:hAnsi="Arial" w:cs="Arial"/>
        </w:rPr>
        <w:t xml:space="preserve">proportion of actual positives correctly identified by the RDT. Specificity (True Negative Rate) = (TN)/(TN+FP) x100, which is the proportion of actual negatives correctly identified by the RDT. Positive predictive value (PPV) = (TP)/(TP+FP) x100, which is the probability that subjects with a positive RDT result truly have the infection. Negative predictive value (NPV) = (TN)/(TN+FN) x 100, which is the probability that subjects with a negative RDT result truly do not have the infection. Where, </w:t>
      </w:r>
      <w:r w:rsidRPr="00C170BC">
        <w:rPr>
          <w:rFonts w:ascii="Arial" w:hAnsi="Arial" w:cs="Arial"/>
          <w:bCs/>
        </w:rPr>
        <w:t>TP (True Positives)</w:t>
      </w:r>
      <w:r w:rsidRPr="00C170BC">
        <w:rPr>
          <w:rFonts w:ascii="Arial" w:hAnsi="Arial" w:cs="Arial"/>
        </w:rPr>
        <w:t xml:space="preserve"> is the number of samples correctly identified as positive by both RDT and microscopy. </w:t>
      </w:r>
      <w:r w:rsidRPr="00C170BC">
        <w:rPr>
          <w:rFonts w:ascii="Arial" w:hAnsi="Arial" w:cs="Arial"/>
          <w:bCs/>
        </w:rPr>
        <w:t>FP (False Positives)</w:t>
      </w:r>
      <w:r w:rsidRPr="00C170BC">
        <w:rPr>
          <w:rFonts w:ascii="Arial" w:hAnsi="Arial" w:cs="Arial"/>
        </w:rPr>
        <w:t xml:space="preserve"> is the number of samples positive by RDT but negative by microscopy. </w:t>
      </w:r>
      <w:r w:rsidRPr="00C170BC">
        <w:rPr>
          <w:rFonts w:ascii="Arial" w:hAnsi="Arial" w:cs="Arial"/>
          <w:bCs/>
        </w:rPr>
        <w:t>FN (False Negatives)</w:t>
      </w:r>
      <w:r w:rsidRPr="00C170BC">
        <w:rPr>
          <w:rFonts w:ascii="Arial" w:hAnsi="Arial" w:cs="Arial"/>
        </w:rPr>
        <w:t xml:space="preserve"> is the number of samples negative by RDT but positive by microscopy and </w:t>
      </w:r>
      <w:r w:rsidRPr="00C170BC">
        <w:rPr>
          <w:rFonts w:ascii="Arial" w:hAnsi="Arial" w:cs="Arial"/>
          <w:bCs/>
        </w:rPr>
        <w:t>TN (True Negatives)</w:t>
      </w:r>
      <w:r w:rsidRPr="00C170BC">
        <w:rPr>
          <w:rFonts w:ascii="Arial" w:hAnsi="Arial" w:cs="Arial"/>
        </w:rPr>
        <w:t xml:space="preserve"> is the number of samples correctly identified as negative by both methods.</w:t>
      </w:r>
    </w:p>
    <w:p w14:paraId="61A4D9E0" w14:textId="7F097DEA" w:rsidR="00A42BE1" w:rsidRPr="000A3DBD" w:rsidRDefault="00A42BE1" w:rsidP="000A3DBD">
      <w:pPr>
        <w:pStyle w:val="Heading4"/>
        <w:jc w:val="both"/>
        <w:rPr>
          <w:rFonts w:ascii="Arial" w:hAnsi="Arial" w:cs="Arial"/>
          <w:i w:val="0"/>
          <w:color w:val="auto"/>
        </w:rPr>
      </w:pPr>
      <w:r w:rsidRPr="000A3DBD">
        <w:rPr>
          <w:rFonts w:ascii="Arial" w:hAnsi="Arial" w:cs="Arial"/>
          <w:b/>
          <w:bCs/>
          <w:i w:val="0"/>
          <w:color w:val="auto"/>
        </w:rPr>
        <w:t>2.</w:t>
      </w:r>
      <w:r w:rsidR="005B478C">
        <w:rPr>
          <w:rFonts w:ascii="Arial" w:hAnsi="Arial" w:cs="Arial"/>
          <w:b/>
          <w:bCs/>
          <w:i w:val="0"/>
          <w:color w:val="auto"/>
        </w:rPr>
        <w:t>7</w:t>
      </w:r>
      <w:r w:rsidRPr="000A3DBD">
        <w:rPr>
          <w:rFonts w:ascii="Arial" w:hAnsi="Arial" w:cs="Arial"/>
          <w:b/>
          <w:bCs/>
          <w:i w:val="0"/>
          <w:color w:val="auto"/>
        </w:rPr>
        <w:t>.</w:t>
      </w:r>
      <w:r w:rsidRPr="000A3DBD">
        <w:rPr>
          <w:rFonts w:ascii="Arial" w:hAnsi="Arial" w:cs="Arial"/>
          <w:i w:val="0"/>
          <w:color w:val="auto"/>
        </w:rPr>
        <w:t xml:space="preserve"> </w:t>
      </w:r>
      <w:r w:rsidRPr="000A3DBD">
        <w:rPr>
          <w:rStyle w:val="Strong"/>
          <w:rFonts w:ascii="Arial" w:hAnsi="Arial" w:cs="Arial"/>
          <w:i w:val="0"/>
          <w:color w:val="auto"/>
        </w:rPr>
        <w:t>Data Analysis</w:t>
      </w:r>
    </w:p>
    <w:p w14:paraId="0C476289" w14:textId="0B19897A" w:rsidR="00A42BE1" w:rsidRPr="00C170BC" w:rsidRDefault="00A42BE1" w:rsidP="000A3DBD">
      <w:pPr>
        <w:pStyle w:val="NormalWeb"/>
        <w:jc w:val="both"/>
        <w:rPr>
          <w:rFonts w:ascii="Arial" w:hAnsi="Arial" w:cs="Arial"/>
          <w:sz w:val="20"/>
          <w:szCs w:val="20"/>
        </w:rPr>
      </w:pPr>
      <w:r w:rsidRPr="00C170BC">
        <w:rPr>
          <w:rFonts w:ascii="Arial" w:hAnsi="Arial" w:cs="Arial"/>
          <w:sz w:val="20"/>
          <w:szCs w:val="20"/>
        </w:rPr>
        <w:t xml:space="preserve">Data generated were entered into Microsoft excel and analyzed using </w:t>
      </w:r>
      <w:r w:rsidRPr="000A3DBD">
        <w:rPr>
          <w:rStyle w:val="Strong"/>
          <w:rFonts w:ascii="Arial" w:hAnsi="Arial" w:cs="Arial"/>
          <w:b w:val="0"/>
          <w:bCs w:val="0"/>
          <w:sz w:val="20"/>
          <w:szCs w:val="20"/>
        </w:rPr>
        <w:t>GraphPad prism software version 8.02 (San Diego, CA)</w:t>
      </w:r>
      <w:r w:rsidRPr="000A3DBD">
        <w:rPr>
          <w:rFonts w:ascii="Arial" w:hAnsi="Arial" w:cs="Arial"/>
          <w:b/>
          <w:bCs/>
          <w:sz w:val="20"/>
          <w:szCs w:val="20"/>
        </w:rPr>
        <w:t>.</w:t>
      </w:r>
      <w:r w:rsidRPr="00C170BC">
        <w:rPr>
          <w:rFonts w:ascii="Arial" w:hAnsi="Arial" w:cs="Arial"/>
          <w:sz w:val="20"/>
          <w:szCs w:val="20"/>
        </w:rPr>
        <w:t xml:space="preserve"> Descriptive statistics </w:t>
      </w:r>
      <w:r w:rsidR="000A3DBD" w:rsidRPr="00C170BC">
        <w:rPr>
          <w:rFonts w:ascii="Arial" w:hAnsi="Arial" w:cs="Arial"/>
          <w:sz w:val="20"/>
          <w:szCs w:val="20"/>
        </w:rPr>
        <w:t>were</w:t>
      </w:r>
      <w:r w:rsidRPr="00C170BC">
        <w:rPr>
          <w:rFonts w:ascii="Arial" w:hAnsi="Arial" w:cs="Arial"/>
          <w:sz w:val="20"/>
          <w:szCs w:val="20"/>
        </w:rPr>
        <w:t xml:space="preserve"> used to summarize demographic data. Pearson Chi-squared of independence was used to test associations between </w:t>
      </w:r>
      <w:r w:rsidRPr="00C170BC">
        <w:rPr>
          <w:rFonts w:ascii="Arial" w:hAnsi="Arial" w:cs="Arial"/>
          <w:i/>
          <w:sz w:val="20"/>
          <w:szCs w:val="20"/>
        </w:rPr>
        <w:t>P. falciparum</w:t>
      </w:r>
      <w:r w:rsidRPr="00C170BC">
        <w:rPr>
          <w:rFonts w:ascii="Arial" w:hAnsi="Arial" w:cs="Arial"/>
          <w:sz w:val="20"/>
          <w:szCs w:val="20"/>
        </w:rPr>
        <w:t xml:space="preserve"> infection prevalence and variables (age and sex).</w:t>
      </w:r>
      <w:r w:rsidR="000A3DBD">
        <w:rPr>
          <w:rFonts w:ascii="Arial" w:hAnsi="Arial" w:cs="Arial"/>
          <w:sz w:val="20"/>
          <w:szCs w:val="20"/>
        </w:rPr>
        <w:t xml:space="preserve"> </w:t>
      </w:r>
      <w:r w:rsidRPr="00C170BC">
        <w:rPr>
          <w:rFonts w:ascii="Arial" w:hAnsi="Arial" w:cs="Arial"/>
          <w:sz w:val="20"/>
          <w:szCs w:val="20"/>
        </w:rPr>
        <w:t>Diagnostic accuracy metrics (sensitivity, specificity, PPV, NPV) were calculated with 95% confidence intervals using microscopy as the reference standard. Cohen’s kappa (κ) was used to evaluate inter-rater agreement between RDT and microscopy.</w:t>
      </w:r>
      <w:r w:rsidRPr="00C170BC">
        <w:rPr>
          <w:rFonts w:ascii="Arial" w:hAnsi="Arial" w:cs="Arial"/>
          <w:i/>
          <w:sz w:val="20"/>
          <w:szCs w:val="20"/>
        </w:rPr>
        <w:t xml:space="preserve"> </w:t>
      </w:r>
      <w:r w:rsidRPr="00C170BC">
        <w:rPr>
          <w:rFonts w:ascii="Arial" w:hAnsi="Arial" w:cs="Arial"/>
          <w:sz w:val="20"/>
          <w:szCs w:val="20"/>
        </w:rPr>
        <w:t xml:space="preserve">Data </w:t>
      </w:r>
      <w:r w:rsidR="000A3DBD" w:rsidRPr="00C170BC">
        <w:rPr>
          <w:rFonts w:ascii="Arial" w:hAnsi="Arial" w:cs="Arial"/>
          <w:sz w:val="20"/>
          <w:szCs w:val="20"/>
        </w:rPr>
        <w:t>was</w:t>
      </w:r>
      <w:r w:rsidRPr="00C170BC">
        <w:rPr>
          <w:rFonts w:ascii="Arial" w:hAnsi="Arial" w:cs="Arial"/>
          <w:sz w:val="20"/>
          <w:szCs w:val="20"/>
        </w:rPr>
        <w:t xml:space="preserve"> double-checked to detect errors. </w:t>
      </w:r>
      <w:r w:rsidRPr="00C170BC">
        <w:rPr>
          <w:rFonts w:ascii="Arial" w:hAnsi="Arial" w:cs="Arial"/>
          <w:i/>
          <w:sz w:val="20"/>
          <w:szCs w:val="20"/>
        </w:rPr>
        <w:t>P</w:t>
      </w:r>
      <w:r w:rsidRPr="00C170BC">
        <w:rPr>
          <w:rFonts w:ascii="Arial" w:hAnsi="Arial" w:cs="Arial"/>
          <w:sz w:val="20"/>
          <w:szCs w:val="20"/>
        </w:rPr>
        <w:t xml:space="preserve"> value of less than .05 at 95% confidence interval was the threshold for statistical significance</w:t>
      </w:r>
      <w:r w:rsidR="000C54E2">
        <w:rPr>
          <w:rFonts w:ascii="Arial" w:hAnsi="Arial" w:cs="Arial"/>
          <w:sz w:val="20"/>
          <w:szCs w:val="20"/>
        </w:rPr>
        <w:t>.</w:t>
      </w:r>
    </w:p>
    <w:p w14:paraId="0B86B8FA" w14:textId="77777777" w:rsidR="00790ADA" w:rsidRPr="00FB3A86" w:rsidRDefault="00790ADA" w:rsidP="00441B6F">
      <w:pPr>
        <w:pStyle w:val="Body"/>
        <w:spacing w:after="0"/>
        <w:rPr>
          <w:rFonts w:ascii="Arial" w:hAnsi="Arial" w:cs="Arial"/>
        </w:rPr>
      </w:pPr>
    </w:p>
    <w:p w14:paraId="4A73169A" w14:textId="755938CA"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w:t>
      </w:r>
    </w:p>
    <w:p w14:paraId="3C36EC3C" w14:textId="77777777" w:rsidR="00790ADA" w:rsidRPr="00FB3A86" w:rsidRDefault="00790ADA" w:rsidP="00441B6F">
      <w:pPr>
        <w:pStyle w:val="Head1"/>
        <w:spacing w:after="0"/>
        <w:jc w:val="both"/>
        <w:rPr>
          <w:rFonts w:ascii="Arial" w:hAnsi="Arial" w:cs="Arial"/>
        </w:rPr>
      </w:pPr>
    </w:p>
    <w:p w14:paraId="7EBA04E0" w14:textId="15031E28" w:rsidR="00E602F1" w:rsidRDefault="00D847E8" w:rsidP="00E602F1">
      <w:pPr>
        <w:pStyle w:val="Body"/>
        <w:spacing w:after="0"/>
        <w:rPr>
          <w:rFonts w:ascii="Arial" w:hAnsi="Arial" w:cs="Arial"/>
          <w:b/>
          <w:sz w:val="22"/>
        </w:rPr>
      </w:pPr>
      <w:r>
        <w:rPr>
          <w:rFonts w:ascii="Arial" w:hAnsi="Arial" w:cs="Arial"/>
          <w:b/>
          <w:caps/>
          <w:sz w:val="22"/>
        </w:rPr>
        <w:t>3.1</w:t>
      </w:r>
      <w:r w:rsidR="00E602F1" w:rsidRPr="00E602F1">
        <w:rPr>
          <w:rFonts w:ascii="Arial" w:hAnsi="Arial" w:cs="Arial"/>
          <w:b/>
          <w:caps/>
          <w:sz w:val="22"/>
          <w:szCs w:val="22"/>
        </w:rPr>
        <w:t xml:space="preserve"> </w:t>
      </w:r>
      <w:r w:rsidR="000A3DBD" w:rsidRPr="000A3DBD">
        <w:rPr>
          <w:rFonts w:ascii="Arial" w:hAnsi="Arial" w:cs="Arial"/>
          <w:b/>
          <w:sz w:val="22"/>
          <w:szCs w:val="22"/>
        </w:rPr>
        <w:t>Sociodemographic and clinical characteristics of the study participants</w:t>
      </w:r>
      <w:r w:rsidR="00E602F1">
        <w:rPr>
          <w:rFonts w:ascii="Arial" w:hAnsi="Arial" w:cs="Arial"/>
        </w:rPr>
        <w:t xml:space="preserve"> </w:t>
      </w:r>
    </w:p>
    <w:p w14:paraId="75C31511" w14:textId="3598D61E" w:rsidR="000A3DBD" w:rsidRPr="000A3DBD" w:rsidRDefault="000A3DBD" w:rsidP="000A3DBD">
      <w:pPr>
        <w:pStyle w:val="NormalWeb"/>
        <w:jc w:val="both"/>
        <w:rPr>
          <w:rFonts w:ascii="Arial" w:hAnsi="Arial" w:cs="Arial"/>
          <w:sz w:val="20"/>
          <w:szCs w:val="20"/>
        </w:rPr>
      </w:pPr>
      <w:r w:rsidRPr="000A3DBD">
        <w:rPr>
          <w:rFonts w:ascii="Arial" w:hAnsi="Arial" w:cs="Arial"/>
          <w:sz w:val="20"/>
          <w:szCs w:val="20"/>
        </w:rPr>
        <w:t xml:space="preserve">A total of </w:t>
      </w:r>
      <w:r w:rsidRPr="000A3DBD">
        <w:rPr>
          <w:rStyle w:val="Strong"/>
          <w:rFonts w:ascii="Arial" w:hAnsi="Arial" w:cs="Arial"/>
          <w:b w:val="0"/>
          <w:bCs w:val="0"/>
          <w:sz w:val="20"/>
          <w:szCs w:val="20"/>
        </w:rPr>
        <w:t>829 febrile subjects</w:t>
      </w:r>
      <w:r w:rsidRPr="000A3DBD">
        <w:rPr>
          <w:rFonts w:ascii="Arial" w:hAnsi="Arial" w:cs="Arial"/>
          <w:sz w:val="20"/>
          <w:szCs w:val="20"/>
        </w:rPr>
        <w:t xml:space="preserve"> were recruited for the study. The mean age of participants was </w:t>
      </w:r>
      <w:r w:rsidRPr="000A3DBD">
        <w:rPr>
          <w:rStyle w:val="Strong"/>
          <w:rFonts w:ascii="Arial" w:hAnsi="Arial" w:cs="Arial"/>
          <w:b w:val="0"/>
          <w:bCs w:val="0"/>
          <w:sz w:val="20"/>
          <w:szCs w:val="20"/>
        </w:rPr>
        <w:t>27.38 ± 18.81 years</w:t>
      </w:r>
      <w:r w:rsidRPr="000A3DBD">
        <w:rPr>
          <w:rFonts w:ascii="Arial" w:hAnsi="Arial" w:cs="Arial"/>
          <w:sz w:val="20"/>
          <w:szCs w:val="20"/>
        </w:rPr>
        <w:t xml:space="preserve"> (range: 1-&gt;60 years). The age distribution showed that the majority of participants were within the </w:t>
      </w:r>
      <w:r w:rsidRPr="000A3DBD">
        <w:rPr>
          <w:rStyle w:val="Strong"/>
          <w:rFonts w:ascii="Arial" w:hAnsi="Arial" w:cs="Arial"/>
          <w:b w:val="0"/>
          <w:bCs w:val="0"/>
          <w:sz w:val="20"/>
          <w:szCs w:val="20"/>
        </w:rPr>
        <w:t>31-40-year group (19.5%)</w:t>
      </w:r>
      <w:r w:rsidRPr="000A3DBD">
        <w:rPr>
          <w:rFonts w:ascii="Arial" w:hAnsi="Arial" w:cs="Arial"/>
          <w:b/>
          <w:bCs/>
          <w:sz w:val="20"/>
          <w:szCs w:val="20"/>
        </w:rPr>
        <w:t>,</w:t>
      </w:r>
      <w:r w:rsidRPr="000A3DBD">
        <w:rPr>
          <w:rFonts w:ascii="Arial" w:hAnsi="Arial" w:cs="Arial"/>
          <w:sz w:val="20"/>
          <w:szCs w:val="20"/>
        </w:rPr>
        <w:t xml:space="preserve"> followed by </w:t>
      </w:r>
      <w:r w:rsidRPr="000A3DBD">
        <w:rPr>
          <w:rStyle w:val="Strong"/>
          <w:rFonts w:ascii="Arial" w:hAnsi="Arial" w:cs="Arial"/>
          <w:b w:val="0"/>
          <w:bCs w:val="0"/>
          <w:sz w:val="20"/>
          <w:szCs w:val="20"/>
        </w:rPr>
        <w:t>21-30 years (18.5%)</w:t>
      </w:r>
      <w:r w:rsidRPr="000A3DBD">
        <w:rPr>
          <w:rFonts w:ascii="Arial" w:hAnsi="Arial" w:cs="Arial"/>
          <w:sz w:val="20"/>
          <w:szCs w:val="20"/>
        </w:rPr>
        <w:t xml:space="preserve"> and </w:t>
      </w:r>
      <w:r w:rsidRPr="000A3DBD">
        <w:rPr>
          <w:rStyle w:val="Strong"/>
          <w:rFonts w:ascii="Arial" w:hAnsi="Arial" w:cs="Arial"/>
          <w:b w:val="0"/>
          <w:bCs w:val="0"/>
          <w:sz w:val="20"/>
          <w:szCs w:val="20"/>
        </w:rPr>
        <w:t>1-10 years (26.5%)</w:t>
      </w:r>
      <w:r w:rsidRPr="000A3DBD">
        <w:rPr>
          <w:rFonts w:ascii="Arial" w:hAnsi="Arial" w:cs="Arial"/>
          <w:b/>
          <w:bCs/>
          <w:sz w:val="20"/>
          <w:szCs w:val="20"/>
        </w:rPr>
        <w:t>.</w:t>
      </w:r>
      <w:r w:rsidRPr="000A3DBD">
        <w:rPr>
          <w:rFonts w:ascii="Arial" w:hAnsi="Arial" w:cs="Arial"/>
          <w:sz w:val="20"/>
          <w:szCs w:val="20"/>
        </w:rPr>
        <w:t xml:space="preserve"> The least represented age category was individuals </w:t>
      </w:r>
      <w:r w:rsidRPr="000A3DBD">
        <w:rPr>
          <w:rStyle w:val="Strong"/>
          <w:rFonts w:ascii="Arial" w:hAnsi="Arial" w:cs="Arial"/>
          <w:b w:val="0"/>
          <w:bCs w:val="0"/>
          <w:sz w:val="20"/>
          <w:szCs w:val="20"/>
        </w:rPr>
        <w:t>above 60 years (5.8%)</w:t>
      </w:r>
      <w:r w:rsidRPr="000A3DBD">
        <w:rPr>
          <w:rFonts w:ascii="Arial" w:hAnsi="Arial" w:cs="Arial"/>
          <w:b/>
          <w:bCs/>
          <w:sz w:val="20"/>
          <w:szCs w:val="20"/>
        </w:rPr>
        <w:t>.</w:t>
      </w:r>
      <w:r>
        <w:rPr>
          <w:rFonts w:ascii="Arial" w:hAnsi="Arial" w:cs="Arial"/>
          <w:b/>
          <w:bCs/>
          <w:sz w:val="20"/>
          <w:szCs w:val="20"/>
        </w:rPr>
        <w:t xml:space="preserve"> </w:t>
      </w:r>
      <w:r w:rsidRPr="000A3DBD">
        <w:rPr>
          <w:rFonts w:ascii="Arial" w:hAnsi="Arial" w:cs="Arial"/>
          <w:sz w:val="20"/>
          <w:szCs w:val="20"/>
        </w:rPr>
        <w:t xml:space="preserve">The mean axillary temperature of participants at presentation was </w:t>
      </w:r>
      <w:r w:rsidRPr="000A3DBD">
        <w:rPr>
          <w:rStyle w:val="Strong"/>
          <w:rFonts w:ascii="Arial" w:hAnsi="Arial" w:cs="Arial"/>
          <w:b w:val="0"/>
          <w:bCs w:val="0"/>
          <w:sz w:val="20"/>
          <w:szCs w:val="20"/>
        </w:rPr>
        <w:t>37.93 ± 0.37°C</w:t>
      </w:r>
      <w:r w:rsidRPr="000A3DBD">
        <w:rPr>
          <w:rFonts w:ascii="Arial" w:hAnsi="Arial" w:cs="Arial"/>
          <w:sz w:val="20"/>
          <w:szCs w:val="20"/>
        </w:rPr>
        <w:t xml:space="preserve">, consistent with febrile status. Regarding sex distribution, there were more </w:t>
      </w:r>
      <w:r w:rsidRPr="000A3DBD">
        <w:rPr>
          <w:rStyle w:val="Strong"/>
          <w:rFonts w:ascii="Arial" w:hAnsi="Arial" w:cs="Arial"/>
          <w:b w:val="0"/>
          <w:bCs w:val="0"/>
          <w:sz w:val="20"/>
          <w:szCs w:val="20"/>
        </w:rPr>
        <w:t>females (59.8%)</w:t>
      </w:r>
      <w:r w:rsidRPr="000A3DBD">
        <w:rPr>
          <w:rFonts w:ascii="Arial" w:hAnsi="Arial" w:cs="Arial"/>
          <w:sz w:val="20"/>
          <w:szCs w:val="20"/>
        </w:rPr>
        <w:t xml:space="preserve"> compared to males (40.2%), giving a female-to-male ratio of approximately </w:t>
      </w:r>
      <w:r w:rsidRPr="000A3DBD">
        <w:rPr>
          <w:rStyle w:val="Strong"/>
          <w:rFonts w:ascii="Arial" w:hAnsi="Arial" w:cs="Arial"/>
          <w:b w:val="0"/>
          <w:bCs w:val="0"/>
          <w:sz w:val="20"/>
          <w:szCs w:val="20"/>
        </w:rPr>
        <w:t>1.5:1</w:t>
      </w:r>
      <w:r w:rsidRPr="000A3DBD">
        <w:rPr>
          <w:rFonts w:ascii="Arial" w:hAnsi="Arial" w:cs="Arial"/>
          <w:b/>
          <w:bCs/>
          <w:sz w:val="20"/>
          <w:szCs w:val="20"/>
        </w:rPr>
        <w:t>.</w:t>
      </w:r>
    </w:p>
    <w:p w14:paraId="0BF2F986" w14:textId="77777777" w:rsidR="000C54E2" w:rsidRDefault="000C54E2" w:rsidP="000A3DBD">
      <w:pPr>
        <w:spacing w:line="360" w:lineRule="auto"/>
        <w:jc w:val="both"/>
        <w:rPr>
          <w:rFonts w:ascii="Arial" w:hAnsi="Arial" w:cs="Arial"/>
          <w:bCs/>
        </w:rPr>
      </w:pPr>
    </w:p>
    <w:p w14:paraId="4029704E" w14:textId="77777777" w:rsidR="000C54E2" w:rsidRDefault="000C54E2" w:rsidP="000A3DBD">
      <w:pPr>
        <w:spacing w:line="360" w:lineRule="auto"/>
        <w:jc w:val="both"/>
        <w:rPr>
          <w:rFonts w:ascii="Arial" w:hAnsi="Arial" w:cs="Arial"/>
          <w:bCs/>
        </w:rPr>
      </w:pPr>
    </w:p>
    <w:p w14:paraId="353519E1" w14:textId="77777777" w:rsidR="000C54E2" w:rsidRDefault="000C54E2" w:rsidP="000A3DBD">
      <w:pPr>
        <w:spacing w:line="360" w:lineRule="auto"/>
        <w:jc w:val="both"/>
        <w:rPr>
          <w:rFonts w:ascii="Arial" w:hAnsi="Arial" w:cs="Arial"/>
          <w:bCs/>
        </w:rPr>
      </w:pPr>
    </w:p>
    <w:p w14:paraId="1FC973DB" w14:textId="77777777" w:rsidR="000C54E2" w:rsidRDefault="000C54E2" w:rsidP="000A3DBD">
      <w:pPr>
        <w:spacing w:line="360" w:lineRule="auto"/>
        <w:jc w:val="both"/>
        <w:rPr>
          <w:rFonts w:ascii="Arial" w:hAnsi="Arial" w:cs="Arial"/>
          <w:bCs/>
        </w:rPr>
      </w:pPr>
    </w:p>
    <w:p w14:paraId="110ABC46" w14:textId="2E3E643D" w:rsidR="000A3DBD" w:rsidRPr="000A3DBD" w:rsidRDefault="000A3DBD" w:rsidP="000A3DBD">
      <w:pPr>
        <w:spacing w:line="360" w:lineRule="auto"/>
        <w:jc w:val="both"/>
        <w:rPr>
          <w:rFonts w:ascii="Arial" w:hAnsi="Arial" w:cs="Arial"/>
          <w:bCs/>
        </w:rPr>
      </w:pPr>
      <w:r w:rsidRPr="000A3DBD">
        <w:rPr>
          <w:rFonts w:ascii="Arial" w:hAnsi="Arial" w:cs="Arial"/>
          <w:bCs/>
        </w:rPr>
        <w:t>Table 1. Sociodemographic variables of febrile subjects recruited for the study</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2744"/>
        <w:gridCol w:w="2850"/>
      </w:tblGrid>
      <w:tr w:rsidR="000A3DBD" w:rsidRPr="000A3DBD" w14:paraId="1FF2E836" w14:textId="77777777" w:rsidTr="00207B81">
        <w:tc>
          <w:tcPr>
            <w:tcW w:w="3192" w:type="dxa"/>
            <w:tcBorders>
              <w:top w:val="single" w:sz="4" w:space="0" w:color="auto"/>
              <w:bottom w:val="single" w:sz="4" w:space="0" w:color="auto"/>
            </w:tcBorders>
          </w:tcPr>
          <w:p w14:paraId="63E5757C" w14:textId="77777777" w:rsidR="000A3DBD" w:rsidRPr="000A3DBD" w:rsidRDefault="000A3DBD" w:rsidP="000A3DBD">
            <w:pPr>
              <w:jc w:val="both"/>
              <w:rPr>
                <w:rFonts w:ascii="Arial" w:hAnsi="Arial" w:cs="Arial"/>
                <w:bCs/>
                <w:sz w:val="20"/>
                <w:szCs w:val="20"/>
              </w:rPr>
            </w:pPr>
            <w:r w:rsidRPr="000A3DBD">
              <w:rPr>
                <w:rFonts w:ascii="Arial" w:hAnsi="Arial" w:cs="Arial"/>
                <w:bCs/>
                <w:sz w:val="20"/>
                <w:szCs w:val="20"/>
              </w:rPr>
              <w:t>Variable</w:t>
            </w:r>
          </w:p>
        </w:tc>
        <w:tc>
          <w:tcPr>
            <w:tcW w:w="3192" w:type="dxa"/>
            <w:tcBorders>
              <w:top w:val="single" w:sz="4" w:space="0" w:color="auto"/>
              <w:bottom w:val="single" w:sz="4" w:space="0" w:color="auto"/>
            </w:tcBorders>
          </w:tcPr>
          <w:p w14:paraId="74D90EC1" w14:textId="77777777" w:rsidR="000A3DBD" w:rsidRPr="000A3DBD" w:rsidRDefault="000A3DBD" w:rsidP="000A3DBD">
            <w:pPr>
              <w:jc w:val="both"/>
              <w:rPr>
                <w:rFonts w:ascii="Arial" w:hAnsi="Arial" w:cs="Arial"/>
                <w:bCs/>
                <w:sz w:val="20"/>
                <w:szCs w:val="20"/>
              </w:rPr>
            </w:pPr>
            <w:r w:rsidRPr="000A3DBD">
              <w:rPr>
                <w:rFonts w:ascii="Arial" w:hAnsi="Arial" w:cs="Arial"/>
                <w:bCs/>
                <w:sz w:val="20"/>
                <w:szCs w:val="20"/>
              </w:rPr>
              <w:t>Number (N)</w:t>
            </w:r>
          </w:p>
        </w:tc>
        <w:tc>
          <w:tcPr>
            <w:tcW w:w="3192" w:type="dxa"/>
            <w:tcBorders>
              <w:top w:val="single" w:sz="4" w:space="0" w:color="auto"/>
              <w:bottom w:val="single" w:sz="4" w:space="0" w:color="auto"/>
            </w:tcBorders>
          </w:tcPr>
          <w:p w14:paraId="4617F3DB" w14:textId="77777777" w:rsidR="000A3DBD" w:rsidRPr="000A3DBD" w:rsidRDefault="000A3DBD" w:rsidP="000A3DBD">
            <w:pPr>
              <w:jc w:val="both"/>
              <w:rPr>
                <w:rFonts w:ascii="Arial" w:hAnsi="Arial" w:cs="Arial"/>
                <w:bCs/>
                <w:sz w:val="20"/>
                <w:szCs w:val="20"/>
              </w:rPr>
            </w:pPr>
            <w:r w:rsidRPr="000A3DBD">
              <w:rPr>
                <w:rFonts w:ascii="Arial" w:hAnsi="Arial" w:cs="Arial"/>
                <w:bCs/>
                <w:sz w:val="20"/>
                <w:szCs w:val="20"/>
              </w:rPr>
              <w:t>Frequency (%)</w:t>
            </w:r>
          </w:p>
        </w:tc>
      </w:tr>
      <w:tr w:rsidR="000A3DBD" w:rsidRPr="000A3DBD" w14:paraId="7F80D3C9" w14:textId="77777777" w:rsidTr="00207B81">
        <w:tc>
          <w:tcPr>
            <w:tcW w:w="3192" w:type="dxa"/>
            <w:tcBorders>
              <w:top w:val="single" w:sz="4" w:space="0" w:color="auto"/>
              <w:bottom w:val="nil"/>
            </w:tcBorders>
          </w:tcPr>
          <w:p w14:paraId="44C31651" w14:textId="77777777" w:rsidR="000A3DBD" w:rsidRPr="000A3DBD" w:rsidRDefault="000A3DBD" w:rsidP="000A3DBD">
            <w:pPr>
              <w:jc w:val="both"/>
              <w:rPr>
                <w:rFonts w:ascii="Arial" w:hAnsi="Arial" w:cs="Arial"/>
                <w:bCs/>
                <w:sz w:val="20"/>
                <w:szCs w:val="20"/>
              </w:rPr>
            </w:pPr>
            <w:r w:rsidRPr="000A3DBD">
              <w:rPr>
                <w:rFonts w:ascii="Arial" w:hAnsi="Arial" w:cs="Arial"/>
                <w:bCs/>
                <w:sz w:val="20"/>
                <w:szCs w:val="20"/>
              </w:rPr>
              <w:t>Age Group (Years)</w:t>
            </w:r>
          </w:p>
        </w:tc>
        <w:tc>
          <w:tcPr>
            <w:tcW w:w="3192" w:type="dxa"/>
            <w:tcBorders>
              <w:top w:val="single" w:sz="4" w:space="0" w:color="auto"/>
              <w:bottom w:val="nil"/>
            </w:tcBorders>
          </w:tcPr>
          <w:p w14:paraId="0B3BEBD5" w14:textId="77777777" w:rsidR="000A3DBD" w:rsidRPr="000A3DBD" w:rsidRDefault="000A3DBD" w:rsidP="000A3DBD">
            <w:pPr>
              <w:jc w:val="both"/>
              <w:rPr>
                <w:rFonts w:ascii="Arial" w:hAnsi="Arial" w:cs="Arial"/>
                <w:bCs/>
                <w:sz w:val="20"/>
                <w:szCs w:val="20"/>
              </w:rPr>
            </w:pPr>
          </w:p>
        </w:tc>
        <w:tc>
          <w:tcPr>
            <w:tcW w:w="3192" w:type="dxa"/>
            <w:tcBorders>
              <w:top w:val="single" w:sz="4" w:space="0" w:color="auto"/>
              <w:bottom w:val="nil"/>
            </w:tcBorders>
          </w:tcPr>
          <w:p w14:paraId="14D30C05" w14:textId="77777777" w:rsidR="000A3DBD" w:rsidRPr="000A3DBD" w:rsidRDefault="000A3DBD" w:rsidP="000A3DBD">
            <w:pPr>
              <w:jc w:val="both"/>
              <w:rPr>
                <w:rFonts w:ascii="Arial" w:hAnsi="Arial" w:cs="Arial"/>
                <w:bCs/>
                <w:sz w:val="20"/>
                <w:szCs w:val="20"/>
              </w:rPr>
            </w:pPr>
          </w:p>
        </w:tc>
      </w:tr>
      <w:tr w:rsidR="000A3DBD" w:rsidRPr="000A3DBD" w14:paraId="0D0405DA" w14:textId="77777777" w:rsidTr="00207B81">
        <w:tc>
          <w:tcPr>
            <w:tcW w:w="3192" w:type="dxa"/>
            <w:tcBorders>
              <w:top w:val="nil"/>
              <w:bottom w:val="nil"/>
            </w:tcBorders>
          </w:tcPr>
          <w:p w14:paraId="0C49BA29" w14:textId="77777777" w:rsidR="000A3DBD" w:rsidRPr="000A3DBD" w:rsidRDefault="000A3DBD" w:rsidP="000A3DBD">
            <w:pPr>
              <w:jc w:val="both"/>
              <w:rPr>
                <w:rFonts w:ascii="Arial" w:hAnsi="Arial" w:cs="Arial"/>
                <w:bCs/>
                <w:sz w:val="20"/>
                <w:szCs w:val="20"/>
              </w:rPr>
            </w:pPr>
            <w:r w:rsidRPr="000A3DBD">
              <w:rPr>
                <w:rFonts w:ascii="Arial" w:hAnsi="Arial" w:cs="Arial"/>
                <w:bCs/>
                <w:sz w:val="20"/>
                <w:szCs w:val="20"/>
              </w:rPr>
              <w:t>1-10</w:t>
            </w:r>
          </w:p>
        </w:tc>
        <w:tc>
          <w:tcPr>
            <w:tcW w:w="3192" w:type="dxa"/>
            <w:tcBorders>
              <w:top w:val="nil"/>
              <w:bottom w:val="nil"/>
            </w:tcBorders>
          </w:tcPr>
          <w:p w14:paraId="03777F5B" w14:textId="77777777" w:rsidR="000A3DBD" w:rsidRPr="000A3DBD" w:rsidRDefault="000A3DBD" w:rsidP="000A3DBD">
            <w:pPr>
              <w:jc w:val="both"/>
              <w:rPr>
                <w:rFonts w:ascii="Arial" w:hAnsi="Arial" w:cs="Arial"/>
                <w:bCs/>
                <w:sz w:val="20"/>
                <w:szCs w:val="20"/>
              </w:rPr>
            </w:pPr>
            <w:r w:rsidRPr="000A3DBD">
              <w:rPr>
                <w:rFonts w:ascii="Arial" w:hAnsi="Arial" w:cs="Arial"/>
                <w:bCs/>
                <w:sz w:val="20"/>
                <w:szCs w:val="20"/>
              </w:rPr>
              <w:t>220</w:t>
            </w:r>
          </w:p>
        </w:tc>
        <w:tc>
          <w:tcPr>
            <w:tcW w:w="3192" w:type="dxa"/>
            <w:tcBorders>
              <w:top w:val="nil"/>
              <w:bottom w:val="nil"/>
            </w:tcBorders>
          </w:tcPr>
          <w:p w14:paraId="1A5D6BFA" w14:textId="77777777" w:rsidR="000A3DBD" w:rsidRPr="000A3DBD" w:rsidRDefault="000A3DBD" w:rsidP="000A3DBD">
            <w:pPr>
              <w:jc w:val="both"/>
              <w:rPr>
                <w:rFonts w:ascii="Arial" w:hAnsi="Arial" w:cs="Arial"/>
                <w:bCs/>
                <w:sz w:val="20"/>
                <w:szCs w:val="20"/>
              </w:rPr>
            </w:pPr>
            <w:r w:rsidRPr="000A3DBD">
              <w:rPr>
                <w:rFonts w:ascii="Arial" w:hAnsi="Arial" w:cs="Arial"/>
                <w:bCs/>
                <w:sz w:val="20"/>
                <w:szCs w:val="20"/>
              </w:rPr>
              <w:t>26.5</w:t>
            </w:r>
          </w:p>
        </w:tc>
      </w:tr>
      <w:tr w:rsidR="000A3DBD" w:rsidRPr="000A3DBD" w14:paraId="1EF9A6A5" w14:textId="77777777" w:rsidTr="00207B81">
        <w:tc>
          <w:tcPr>
            <w:tcW w:w="3192" w:type="dxa"/>
            <w:tcBorders>
              <w:top w:val="nil"/>
              <w:bottom w:val="nil"/>
            </w:tcBorders>
          </w:tcPr>
          <w:p w14:paraId="6E61403A" w14:textId="77777777" w:rsidR="000A3DBD" w:rsidRPr="000A3DBD" w:rsidRDefault="000A3DBD" w:rsidP="000A3DBD">
            <w:pPr>
              <w:jc w:val="both"/>
              <w:rPr>
                <w:rFonts w:ascii="Arial" w:hAnsi="Arial" w:cs="Arial"/>
                <w:bCs/>
                <w:sz w:val="20"/>
                <w:szCs w:val="20"/>
              </w:rPr>
            </w:pPr>
            <w:r w:rsidRPr="000A3DBD">
              <w:rPr>
                <w:rFonts w:ascii="Arial" w:hAnsi="Arial" w:cs="Arial"/>
                <w:bCs/>
                <w:sz w:val="20"/>
                <w:szCs w:val="20"/>
              </w:rPr>
              <w:t>11-20</w:t>
            </w:r>
          </w:p>
        </w:tc>
        <w:tc>
          <w:tcPr>
            <w:tcW w:w="3192" w:type="dxa"/>
            <w:tcBorders>
              <w:top w:val="nil"/>
              <w:bottom w:val="nil"/>
            </w:tcBorders>
          </w:tcPr>
          <w:p w14:paraId="23E9EE94" w14:textId="77777777" w:rsidR="000A3DBD" w:rsidRPr="000A3DBD" w:rsidRDefault="000A3DBD" w:rsidP="000A3DBD">
            <w:pPr>
              <w:jc w:val="both"/>
              <w:rPr>
                <w:rFonts w:ascii="Arial" w:hAnsi="Arial" w:cs="Arial"/>
                <w:bCs/>
                <w:sz w:val="20"/>
                <w:szCs w:val="20"/>
              </w:rPr>
            </w:pPr>
            <w:r w:rsidRPr="000A3DBD">
              <w:rPr>
                <w:rFonts w:ascii="Arial" w:hAnsi="Arial" w:cs="Arial"/>
                <w:bCs/>
                <w:sz w:val="20"/>
                <w:szCs w:val="20"/>
              </w:rPr>
              <w:t>93</w:t>
            </w:r>
          </w:p>
        </w:tc>
        <w:tc>
          <w:tcPr>
            <w:tcW w:w="3192" w:type="dxa"/>
            <w:tcBorders>
              <w:top w:val="nil"/>
              <w:bottom w:val="nil"/>
            </w:tcBorders>
          </w:tcPr>
          <w:p w14:paraId="607260D5" w14:textId="77777777" w:rsidR="000A3DBD" w:rsidRPr="000A3DBD" w:rsidRDefault="000A3DBD" w:rsidP="000A3DBD">
            <w:pPr>
              <w:jc w:val="both"/>
              <w:rPr>
                <w:rFonts w:ascii="Arial" w:hAnsi="Arial" w:cs="Arial"/>
                <w:bCs/>
                <w:sz w:val="20"/>
                <w:szCs w:val="20"/>
              </w:rPr>
            </w:pPr>
            <w:r w:rsidRPr="000A3DBD">
              <w:rPr>
                <w:rFonts w:ascii="Arial" w:hAnsi="Arial" w:cs="Arial"/>
                <w:bCs/>
                <w:sz w:val="20"/>
                <w:szCs w:val="20"/>
              </w:rPr>
              <w:t>11.2</w:t>
            </w:r>
          </w:p>
        </w:tc>
      </w:tr>
      <w:tr w:rsidR="000A3DBD" w:rsidRPr="000A3DBD" w14:paraId="5C8DB56E" w14:textId="77777777" w:rsidTr="00207B81">
        <w:tc>
          <w:tcPr>
            <w:tcW w:w="3192" w:type="dxa"/>
            <w:tcBorders>
              <w:top w:val="nil"/>
              <w:bottom w:val="nil"/>
            </w:tcBorders>
          </w:tcPr>
          <w:p w14:paraId="6A7AC48E" w14:textId="77777777" w:rsidR="000A3DBD" w:rsidRPr="000A3DBD" w:rsidRDefault="000A3DBD" w:rsidP="000A3DBD">
            <w:pPr>
              <w:jc w:val="both"/>
              <w:rPr>
                <w:rFonts w:ascii="Arial" w:hAnsi="Arial" w:cs="Arial"/>
                <w:bCs/>
                <w:sz w:val="20"/>
                <w:szCs w:val="20"/>
              </w:rPr>
            </w:pPr>
            <w:r w:rsidRPr="000A3DBD">
              <w:rPr>
                <w:rFonts w:ascii="Arial" w:hAnsi="Arial" w:cs="Arial"/>
                <w:bCs/>
                <w:sz w:val="20"/>
                <w:szCs w:val="20"/>
              </w:rPr>
              <w:t>21-30</w:t>
            </w:r>
          </w:p>
        </w:tc>
        <w:tc>
          <w:tcPr>
            <w:tcW w:w="3192" w:type="dxa"/>
            <w:tcBorders>
              <w:top w:val="nil"/>
              <w:bottom w:val="nil"/>
            </w:tcBorders>
          </w:tcPr>
          <w:p w14:paraId="02D379C5" w14:textId="77777777" w:rsidR="000A3DBD" w:rsidRPr="000A3DBD" w:rsidRDefault="000A3DBD" w:rsidP="000A3DBD">
            <w:pPr>
              <w:jc w:val="both"/>
              <w:rPr>
                <w:rFonts w:ascii="Arial" w:hAnsi="Arial" w:cs="Arial"/>
                <w:bCs/>
                <w:sz w:val="20"/>
                <w:szCs w:val="20"/>
              </w:rPr>
            </w:pPr>
            <w:r w:rsidRPr="000A3DBD">
              <w:rPr>
                <w:rFonts w:ascii="Arial" w:hAnsi="Arial" w:cs="Arial"/>
                <w:bCs/>
                <w:sz w:val="20"/>
                <w:szCs w:val="20"/>
              </w:rPr>
              <w:t>153</w:t>
            </w:r>
          </w:p>
        </w:tc>
        <w:tc>
          <w:tcPr>
            <w:tcW w:w="3192" w:type="dxa"/>
            <w:tcBorders>
              <w:top w:val="nil"/>
              <w:bottom w:val="nil"/>
            </w:tcBorders>
          </w:tcPr>
          <w:p w14:paraId="05F3298D" w14:textId="77777777" w:rsidR="000A3DBD" w:rsidRPr="000A3DBD" w:rsidRDefault="000A3DBD" w:rsidP="000A3DBD">
            <w:pPr>
              <w:jc w:val="both"/>
              <w:rPr>
                <w:rFonts w:ascii="Arial" w:hAnsi="Arial" w:cs="Arial"/>
                <w:bCs/>
                <w:sz w:val="20"/>
                <w:szCs w:val="20"/>
              </w:rPr>
            </w:pPr>
            <w:r w:rsidRPr="000A3DBD">
              <w:rPr>
                <w:rFonts w:ascii="Arial" w:hAnsi="Arial" w:cs="Arial"/>
                <w:bCs/>
                <w:sz w:val="20"/>
                <w:szCs w:val="20"/>
              </w:rPr>
              <w:t>18.5</w:t>
            </w:r>
          </w:p>
        </w:tc>
      </w:tr>
      <w:tr w:rsidR="000A3DBD" w:rsidRPr="000A3DBD" w14:paraId="0E903752" w14:textId="77777777" w:rsidTr="00207B81">
        <w:tc>
          <w:tcPr>
            <w:tcW w:w="3192" w:type="dxa"/>
            <w:tcBorders>
              <w:top w:val="nil"/>
              <w:bottom w:val="nil"/>
            </w:tcBorders>
          </w:tcPr>
          <w:p w14:paraId="43761811" w14:textId="77777777" w:rsidR="000A3DBD" w:rsidRPr="000A3DBD" w:rsidRDefault="000A3DBD" w:rsidP="000A3DBD">
            <w:pPr>
              <w:jc w:val="both"/>
              <w:rPr>
                <w:rFonts w:ascii="Arial" w:hAnsi="Arial" w:cs="Arial"/>
                <w:bCs/>
                <w:sz w:val="20"/>
                <w:szCs w:val="20"/>
              </w:rPr>
            </w:pPr>
            <w:r w:rsidRPr="000A3DBD">
              <w:rPr>
                <w:rFonts w:ascii="Arial" w:hAnsi="Arial" w:cs="Arial"/>
                <w:bCs/>
                <w:sz w:val="20"/>
                <w:szCs w:val="20"/>
              </w:rPr>
              <w:t>31-40</w:t>
            </w:r>
          </w:p>
        </w:tc>
        <w:tc>
          <w:tcPr>
            <w:tcW w:w="3192" w:type="dxa"/>
            <w:tcBorders>
              <w:top w:val="nil"/>
              <w:bottom w:val="nil"/>
            </w:tcBorders>
          </w:tcPr>
          <w:p w14:paraId="248609F0" w14:textId="77777777" w:rsidR="000A3DBD" w:rsidRPr="000A3DBD" w:rsidRDefault="000A3DBD" w:rsidP="000A3DBD">
            <w:pPr>
              <w:jc w:val="both"/>
              <w:rPr>
                <w:rFonts w:ascii="Arial" w:hAnsi="Arial" w:cs="Arial"/>
                <w:bCs/>
                <w:sz w:val="20"/>
                <w:szCs w:val="20"/>
              </w:rPr>
            </w:pPr>
            <w:r w:rsidRPr="000A3DBD">
              <w:rPr>
                <w:rFonts w:ascii="Arial" w:hAnsi="Arial" w:cs="Arial"/>
                <w:bCs/>
                <w:sz w:val="20"/>
                <w:szCs w:val="20"/>
              </w:rPr>
              <w:t>162</w:t>
            </w:r>
          </w:p>
        </w:tc>
        <w:tc>
          <w:tcPr>
            <w:tcW w:w="3192" w:type="dxa"/>
            <w:tcBorders>
              <w:top w:val="nil"/>
              <w:bottom w:val="nil"/>
            </w:tcBorders>
          </w:tcPr>
          <w:p w14:paraId="4537F3C9" w14:textId="77777777" w:rsidR="000A3DBD" w:rsidRPr="000A3DBD" w:rsidRDefault="000A3DBD" w:rsidP="000A3DBD">
            <w:pPr>
              <w:jc w:val="both"/>
              <w:rPr>
                <w:rFonts w:ascii="Arial" w:hAnsi="Arial" w:cs="Arial"/>
                <w:bCs/>
                <w:sz w:val="20"/>
                <w:szCs w:val="20"/>
              </w:rPr>
            </w:pPr>
            <w:r w:rsidRPr="000A3DBD">
              <w:rPr>
                <w:rFonts w:ascii="Arial" w:hAnsi="Arial" w:cs="Arial"/>
                <w:bCs/>
                <w:sz w:val="20"/>
                <w:szCs w:val="20"/>
              </w:rPr>
              <w:t>19.5</w:t>
            </w:r>
          </w:p>
        </w:tc>
      </w:tr>
      <w:tr w:rsidR="000A3DBD" w:rsidRPr="000A3DBD" w14:paraId="23AA0D3E" w14:textId="77777777" w:rsidTr="00207B81">
        <w:tc>
          <w:tcPr>
            <w:tcW w:w="3192" w:type="dxa"/>
            <w:tcBorders>
              <w:top w:val="nil"/>
              <w:bottom w:val="nil"/>
            </w:tcBorders>
          </w:tcPr>
          <w:p w14:paraId="4DA6FB56" w14:textId="77777777" w:rsidR="000A3DBD" w:rsidRPr="000A3DBD" w:rsidRDefault="000A3DBD" w:rsidP="000A3DBD">
            <w:pPr>
              <w:jc w:val="both"/>
              <w:rPr>
                <w:rFonts w:ascii="Arial" w:hAnsi="Arial" w:cs="Arial"/>
                <w:bCs/>
                <w:sz w:val="20"/>
                <w:szCs w:val="20"/>
              </w:rPr>
            </w:pPr>
            <w:r w:rsidRPr="000A3DBD">
              <w:rPr>
                <w:rFonts w:ascii="Arial" w:hAnsi="Arial" w:cs="Arial"/>
                <w:bCs/>
                <w:sz w:val="20"/>
                <w:szCs w:val="20"/>
              </w:rPr>
              <w:t>41-50</w:t>
            </w:r>
          </w:p>
        </w:tc>
        <w:tc>
          <w:tcPr>
            <w:tcW w:w="3192" w:type="dxa"/>
            <w:tcBorders>
              <w:top w:val="nil"/>
              <w:bottom w:val="nil"/>
            </w:tcBorders>
          </w:tcPr>
          <w:p w14:paraId="1A04F513" w14:textId="77777777" w:rsidR="000A3DBD" w:rsidRPr="000A3DBD" w:rsidRDefault="000A3DBD" w:rsidP="000A3DBD">
            <w:pPr>
              <w:jc w:val="both"/>
              <w:rPr>
                <w:rFonts w:ascii="Arial" w:hAnsi="Arial" w:cs="Arial"/>
                <w:bCs/>
                <w:sz w:val="20"/>
                <w:szCs w:val="20"/>
              </w:rPr>
            </w:pPr>
            <w:r w:rsidRPr="000A3DBD">
              <w:rPr>
                <w:rFonts w:ascii="Arial" w:hAnsi="Arial" w:cs="Arial"/>
                <w:bCs/>
                <w:sz w:val="20"/>
                <w:szCs w:val="20"/>
              </w:rPr>
              <w:t>88</w:t>
            </w:r>
          </w:p>
        </w:tc>
        <w:tc>
          <w:tcPr>
            <w:tcW w:w="3192" w:type="dxa"/>
            <w:tcBorders>
              <w:top w:val="nil"/>
              <w:bottom w:val="nil"/>
            </w:tcBorders>
          </w:tcPr>
          <w:p w14:paraId="4B3AA3C8" w14:textId="77777777" w:rsidR="000A3DBD" w:rsidRPr="000A3DBD" w:rsidRDefault="000A3DBD" w:rsidP="000A3DBD">
            <w:pPr>
              <w:jc w:val="both"/>
              <w:rPr>
                <w:rFonts w:ascii="Arial" w:hAnsi="Arial" w:cs="Arial"/>
                <w:bCs/>
                <w:sz w:val="20"/>
                <w:szCs w:val="20"/>
              </w:rPr>
            </w:pPr>
            <w:r w:rsidRPr="000A3DBD">
              <w:rPr>
                <w:rFonts w:ascii="Arial" w:hAnsi="Arial" w:cs="Arial"/>
                <w:bCs/>
                <w:sz w:val="20"/>
                <w:szCs w:val="20"/>
              </w:rPr>
              <w:t>10.6</w:t>
            </w:r>
          </w:p>
        </w:tc>
      </w:tr>
      <w:tr w:rsidR="000A3DBD" w:rsidRPr="000A3DBD" w14:paraId="4AC238FB" w14:textId="77777777" w:rsidTr="00207B81">
        <w:tc>
          <w:tcPr>
            <w:tcW w:w="3192" w:type="dxa"/>
            <w:tcBorders>
              <w:top w:val="nil"/>
              <w:bottom w:val="nil"/>
            </w:tcBorders>
          </w:tcPr>
          <w:p w14:paraId="4DCAD857" w14:textId="77777777" w:rsidR="000A3DBD" w:rsidRPr="000A3DBD" w:rsidRDefault="000A3DBD" w:rsidP="000A3DBD">
            <w:pPr>
              <w:jc w:val="both"/>
              <w:rPr>
                <w:rFonts w:ascii="Arial" w:hAnsi="Arial" w:cs="Arial"/>
                <w:bCs/>
                <w:sz w:val="20"/>
                <w:szCs w:val="20"/>
              </w:rPr>
            </w:pPr>
            <w:r w:rsidRPr="000A3DBD">
              <w:rPr>
                <w:rFonts w:ascii="Arial" w:hAnsi="Arial" w:cs="Arial"/>
                <w:bCs/>
                <w:sz w:val="20"/>
                <w:szCs w:val="20"/>
              </w:rPr>
              <w:t>51-60</w:t>
            </w:r>
          </w:p>
        </w:tc>
        <w:tc>
          <w:tcPr>
            <w:tcW w:w="3192" w:type="dxa"/>
            <w:tcBorders>
              <w:top w:val="nil"/>
              <w:bottom w:val="nil"/>
            </w:tcBorders>
          </w:tcPr>
          <w:p w14:paraId="79DA731E" w14:textId="77777777" w:rsidR="000A3DBD" w:rsidRPr="000A3DBD" w:rsidRDefault="000A3DBD" w:rsidP="000A3DBD">
            <w:pPr>
              <w:jc w:val="both"/>
              <w:rPr>
                <w:rFonts w:ascii="Arial" w:hAnsi="Arial" w:cs="Arial"/>
                <w:bCs/>
                <w:sz w:val="20"/>
                <w:szCs w:val="20"/>
              </w:rPr>
            </w:pPr>
            <w:r w:rsidRPr="000A3DBD">
              <w:rPr>
                <w:rFonts w:ascii="Arial" w:hAnsi="Arial" w:cs="Arial"/>
                <w:bCs/>
                <w:sz w:val="20"/>
                <w:szCs w:val="20"/>
              </w:rPr>
              <w:t>65</w:t>
            </w:r>
          </w:p>
        </w:tc>
        <w:tc>
          <w:tcPr>
            <w:tcW w:w="3192" w:type="dxa"/>
            <w:tcBorders>
              <w:top w:val="nil"/>
              <w:bottom w:val="nil"/>
            </w:tcBorders>
          </w:tcPr>
          <w:p w14:paraId="4C7F4D38" w14:textId="77777777" w:rsidR="000A3DBD" w:rsidRPr="000A3DBD" w:rsidRDefault="000A3DBD" w:rsidP="000A3DBD">
            <w:pPr>
              <w:jc w:val="both"/>
              <w:rPr>
                <w:rFonts w:ascii="Arial" w:hAnsi="Arial" w:cs="Arial"/>
                <w:bCs/>
                <w:sz w:val="20"/>
                <w:szCs w:val="20"/>
              </w:rPr>
            </w:pPr>
            <w:r w:rsidRPr="000A3DBD">
              <w:rPr>
                <w:rFonts w:ascii="Arial" w:hAnsi="Arial" w:cs="Arial"/>
                <w:bCs/>
                <w:sz w:val="20"/>
                <w:szCs w:val="20"/>
              </w:rPr>
              <w:t>7.8</w:t>
            </w:r>
          </w:p>
        </w:tc>
      </w:tr>
      <w:tr w:rsidR="000A3DBD" w:rsidRPr="000A3DBD" w14:paraId="518B75ED" w14:textId="77777777" w:rsidTr="00207B81">
        <w:tc>
          <w:tcPr>
            <w:tcW w:w="3192" w:type="dxa"/>
            <w:tcBorders>
              <w:top w:val="nil"/>
              <w:bottom w:val="nil"/>
            </w:tcBorders>
          </w:tcPr>
          <w:p w14:paraId="1810D4A5" w14:textId="77777777" w:rsidR="000A3DBD" w:rsidRPr="000A3DBD" w:rsidRDefault="000A3DBD" w:rsidP="000A3DBD">
            <w:pPr>
              <w:jc w:val="both"/>
              <w:rPr>
                <w:rFonts w:ascii="Arial" w:hAnsi="Arial" w:cs="Arial"/>
                <w:bCs/>
                <w:sz w:val="20"/>
                <w:szCs w:val="20"/>
              </w:rPr>
            </w:pPr>
            <w:r w:rsidRPr="000A3DBD">
              <w:rPr>
                <w:rFonts w:ascii="Arial" w:hAnsi="Arial" w:cs="Arial"/>
                <w:bCs/>
                <w:sz w:val="20"/>
                <w:szCs w:val="20"/>
              </w:rPr>
              <w:t>&gt; 60</w:t>
            </w:r>
          </w:p>
        </w:tc>
        <w:tc>
          <w:tcPr>
            <w:tcW w:w="3192" w:type="dxa"/>
            <w:tcBorders>
              <w:top w:val="nil"/>
              <w:bottom w:val="nil"/>
            </w:tcBorders>
          </w:tcPr>
          <w:p w14:paraId="58BA8127" w14:textId="77777777" w:rsidR="000A3DBD" w:rsidRPr="000A3DBD" w:rsidRDefault="000A3DBD" w:rsidP="000A3DBD">
            <w:pPr>
              <w:jc w:val="both"/>
              <w:rPr>
                <w:rFonts w:ascii="Arial" w:hAnsi="Arial" w:cs="Arial"/>
                <w:bCs/>
                <w:sz w:val="20"/>
                <w:szCs w:val="20"/>
              </w:rPr>
            </w:pPr>
            <w:r w:rsidRPr="000A3DBD">
              <w:rPr>
                <w:rFonts w:ascii="Arial" w:hAnsi="Arial" w:cs="Arial"/>
                <w:bCs/>
                <w:sz w:val="20"/>
                <w:szCs w:val="20"/>
              </w:rPr>
              <w:t>48</w:t>
            </w:r>
          </w:p>
        </w:tc>
        <w:tc>
          <w:tcPr>
            <w:tcW w:w="3192" w:type="dxa"/>
            <w:tcBorders>
              <w:top w:val="nil"/>
              <w:bottom w:val="nil"/>
            </w:tcBorders>
          </w:tcPr>
          <w:p w14:paraId="05F98C63" w14:textId="77777777" w:rsidR="000A3DBD" w:rsidRPr="000A3DBD" w:rsidRDefault="000A3DBD" w:rsidP="000A3DBD">
            <w:pPr>
              <w:jc w:val="both"/>
              <w:rPr>
                <w:rFonts w:ascii="Arial" w:hAnsi="Arial" w:cs="Arial"/>
                <w:bCs/>
                <w:sz w:val="20"/>
                <w:szCs w:val="20"/>
              </w:rPr>
            </w:pPr>
            <w:r w:rsidRPr="000A3DBD">
              <w:rPr>
                <w:rFonts w:ascii="Arial" w:hAnsi="Arial" w:cs="Arial"/>
                <w:bCs/>
                <w:sz w:val="20"/>
                <w:szCs w:val="20"/>
              </w:rPr>
              <w:t>5.8</w:t>
            </w:r>
          </w:p>
        </w:tc>
      </w:tr>
      <w:tr w:rsidR="000A3DBD" w:rsidRPr="000A3DBD" w14:paraId="79CE8C13" w14:textId="77777777" w:rsidTr="00207B81">
        <w:tc>
          <w:tcPr>
            <w:tcW w:w="3192" w:type="dxa"/>
            <w:tcBorders>
              <w:top w:val="nil"/>
              <w:bottom w:val="nil"/>
            </w:tcBorders>
          </w:tcPr>
          <w:p w14:paraId="6E37D545" w14:textId="77777777" w:rsidR="000A3DBD" w:rsidRPr="000A3DBD" w:rsidRDefault="000A3DBD" w:rsidP="000A3DBD">
            <w:pPr>
              <w:jc w:val="both"/>
              <w:rPr>
                <w:rFonts w:ascii="Arial" w:hAnsi="Arial" w:cs="Arial"/>
                <w:bCs/>
                <w:sz w:val="20"/>
                <w:szCs w:val="20"/>
              </w:rPr>
            </w:pPr>
            <w:proofErr w:type="spellStart"/>
            <w:r w:rsidRPr="000A3DBD">
              <w:rPr>
                <w:rFonts w:ascii="Arial" w:hAnsi="Arial" w:cs="Arial"/>
                <w:bCs/>
                <w:sz w:val="20"/>
                <w:szCs w:val="20"/>
              </w:rPr>
              <w:t>Mean±SD</w:t>
            </w:r>
            <w:proofErr w:type="spellEnd"/>
            <w:r w:rsidRPr="000A3DBD">
              <w:rPr>
                <w:rFonts w:ascii="Arial" w:hAnsi="Arial" w:cs="Arial"/>
                <w:bCs/>
                <w:sz w:val="20"/>
                <w:szCs w:val="20"/>
              </w:rPr>
              <w:t xml:space="preserve"> (years)</w:t>
            </w:r>
          </w:p>
        </w:tc>
        <w:tc>
          <w:tcPr>
            <w:tcW w:w="3192" w:type="dxa"/>
            <w:tcBorders>
              <w:top w:val="nil"/>
              <w:bottom w:val="nil"/>
            </w:tcBorders>
          </w:tcPr>
          <w:p w14:paraId="6EFD9F8A" w14:textId="77777777" w:rsidR="000A3DBD" w:rsidRPr="000A3DBD" w:rsidRDefault="000A3DBD" w:rsidP="000A3DBD">
            <w:pPr>
              <w:jc w:val="both"/>
              <w:rPr>
                <w:rFonts w:ascii="Arial" w:hAnsi="Arial" w:cs="Arial"/>
                <w:bCs/>
                <w:sz w:val="20"/>
                <w:szCs w:val="20"/>
              </w:rPr>
            </w:pPr>
            <w:r w:rsidRPr="000A3DBD">
              <w:rPr>
                <w:rFonts w:ascii="Arial" w:hAnsi="Arial" w:cs="Arial"/>
                <w:bCs/>
                <w:sz w:val="20"/>
                <w:szCs w:val="20"/>
              </w:rPr>
              <w:t>829</w:t>
            </w:r>
          </w:p>
        </w:tc>
        <w:tc>
          <w:tcPr>
            <w:tcW w:w="3192" w:type="dxa"/>
            <w:tcBorders>
              <w:top w:val="nil"/>
              <w:bottom w:val="nil"/>
            </w:tcBorders>
          </w:tcPr>
          <w:p w14:paraId="12DE6B7E" w14:textId="77777777" w:rsidR="000A3DBD" w:rsidRPr="000A3DBD" w:rsidRDefault="000A3DBD" w:rsidP="000A3DBD">
            <w:pPr>
              <w:jc w:val="both"/>
              <w:rPr>
                <w:rFonts w:ascii="Arial" w:hAnsi="Arial" w:cs="Arial"/>
                <w:bCs/>
                <w:sz w:val="20"/>
                <w:szCs w:val="20"/>
              </w:rPr>
            </w:pPr>
            <w:r w:rsidRPr="000A3DBD">
              <w:rPr>
                <w:rFonts w:ascii="Arial" w:hAnsi="Arial" w:cs="Arial"/>
                <w:bCs/>
                <w:sz w:val="20"/>
                <w:szCs w:val="20"/>
              </w:rPr>
              <w:t>100 (27.38±18.81)</w:t>
            </w:r>
          </w:p>
        </w:tc>
      </w:tr>
      <w:tr w:rsidR="000A3DBD" w:rsidRPr="000A3DBD" w14:paraId="06727E4B" w14:textId="77777777" w:rsidTr="00207B81">
        <w:tc>
          <w:tcPr>
            <w:tcW w:w="3192" w:type="dxa"/>
            <w:tcBorders>
              <w:top w:val="nil"/>
              <w:bottom w:val="nil"/>
            </w:tcBorders>
          </w:tcPr>
          <w:p w14:paraId="03E0A3CD" w14:textId="77777777" w:rsidR="000A3DBD" w:rsidRPr="000A3DBD" w:rsidRDefault="000A3DBD" w:rsidP="000A3DBD">
            <w:pPr>
              <w:jc w:val="both"/>
              <w:rPr>
                <w:rFonts w:ascii="Arial" w:hAnsi="Arial" w:cs="Arial"/>
                <w:bCs/>
                <w:sz w:val="20"/>
                <w:szCs w:val="20"/>
              </w:rPr>
            </w:pPr>
            <w:r w:rsidRPr="000A3DBD">
              <w:rPr>
                <w:rFonts w:ascii="Arial" w:hAnsi="Arial" w:cs="Arial"/>
                <w:bCs/>
                <w:sz w:val="20"/>
                <w:szCs w:val="20"/>
              </w:rPr>
              <w:t>Mean Temperature</w:t>
            </w:r>
          </w:p>
        </w:tc>
        <w:tc>
          <w:tcPr>
            <w:tcW w:w="3192" w:type="dxa"/>
            <w:tcBorders>
              <w:top w:val="nil"/>
              <w:bottom w:val="nil"/>
            </w:tcBorders>
          </w:tcPr>
          <w:p w14:paraId="5BF89C5A" w14:textId="77777777" w:rsidR="000A3DBD" w:rsidRPr="000A3DBD" w:rsidRDefault="000A3DBD" w:rsidP="000A3DBD">
            <w:pPr>
              <w:jc w:val="both"/>
              <w:rPr>
                <w:rFonts w:ascii="Arial" w:hAnsi="Arial" w:cs="Arial"/>
                <w:bCs/>
                <w:sz w:val="20"/>
                <w:szCs w:val="20"/>
              </w:rPr>
            </w:pPr>
            <w:r w:rsidRPr="000A3DBD">
              <w:rPr>
                <w:rFonts w:ascii="Arial" w:hAnsi="Arial" w:cs="Arial"/>
                <w:bCs/>
                <w:sz w:val="20"/>
                <w:szCs w:val="20"/>
              </w:rPr>
              <w:t>829</w:t>
            </w:r>
          </w:p>
        </w:tc>
        <w:tc>
          <w:tcPr>
            <w:tcW w:w="3192" w:type="dxa"/>
            <w:tcBorders>
              <w:top w:val="nil"/>
              <w:bottom w:val="nil"/>
            </w:tcBorders>
          </w:tcPr>
          <w:p w14:paraId="6B932154" w14:textId="77777777" w:rsidR="000A3DBD" w:rsidRPr="000A3DBD" w:rsidRDefault="000A3DBD" w:rsidP="000A3DBD">
            <w:pPr>
              <w:jc w:val="both"/>
              <w:rPr>
                <w:rFonts w:ascii="Arial" w:hAnsi="Arial" w:cs="Arial"/>
                <w:bCs/>
                <w:sz w:val="20"/>
                <w:szCs w:val="20"/>
              </w:rPr>
            </w:pPr>
            <w:r w:rsidRPr="000A3DBD">
              <w:rPr>
                <w:rFonts w:ascii="Arial" w:hAnsi="Arial" w:cs="Arial"/>
                <w:bCs/>
                <w:sz w:val="20"/>
                <w:szCs w:val="20"/>
              </w:rPr>
              <w:t>100 (37.93±0.37)</w:t>
            </w:r>
          </w:p>
        </w:tc>
      </w:tr>
      <w:tr w:rsidR="000A3DBD" w:rsidRPr="000A3DBD" w14:paraId="2BE9A497" w14:textId="77777777" w:rsidTr="00207B81">
        <w:tc>
          <w:tcPr>
            <w:tcW w:w="3192" w:type="dxa"/>
            <w:tcBorders>
              <w:top w:val="nil"/>
              <w:bottom w:val="nil"/>
            </w:tcBorders>
          </w:tcPr>
          <w:p w14:paraId="7163B093" w14:textId="77777777" w:rsidR="000A3DBD" w:rsidRPr="000A3DBD" w:rsidRDefault="000A3DBD" w:rsidP="000A3DBD">
            <w:pPr>
              <w:jc w:val="both"/>
              <w:rPr>
                <w:rFonts w:ascii="Arial" w:hAnsi="Arial" w:cs="Arial"/>
                <w:bCs/>
                <w:sz w:val="20"/>
                <w:szCs w:val="20"/>
              </w:rPr>
            </w:pPr>
            <w:r w:rsidRPr="000A3DBD">
              <w:rPr>
                <w:rFonts w:ascii="Arial" w:hAnsi="Arial" w:cs="Arial"/>
                <w:bCs/>
                <w:sz w:val="20"/>
                <w:szCs w:val="20"/>
              </w:rPr>
              <w:t>Sex</w:t>
            </w:r>
          </w:p>
        </w:tc>
        <w:tc>
          <w:tcPr>
            <w:tcW w:w="3192" w:type="dxa"/>
            <w:tcBorders>
              <w:top w:val="nil"/>
              <w:bottom w:val="nil"/>
            </w:tcBorders>
          </w:tcPr>
          <w:p w14:paraId="1879F37D" w14:textId="77777777" w:rsidR="000A3DBD" w:rsidRPr="000A3DBD" w:rsidRDefault="000A3DBD" w:rsidP="000A3DBD">
            <w:pPr>
              <w:jc w:val="both"/>
              <w:rPr>
                <w:rFonts w:ascii="Arial" w:hAnsi="Arial" w:cs="Arial"/>
                <w:bCs/>
                <w:sz w:val="20"/>
                <w:szCs w:val="20"/>
              </w:rPr>
            </w:pPr>
          </w:p>
        </w:tc>
        <w:tc>
          <w:tcPr>
            <w:tcW w:w="3192" w:type="dxa"/>
            <w:tcBorders>
              <w:top w:val="nil"/>
              <w:bottom w:val="nil"/>
            </w:tcBorders>
          </w:tcPr>
          <w:p w14:paraId="197EAE19" w14:textId="77777777" w:rsidR="000A3DBD" w:rsidRPr="000A3DBD" w:rsidRDefault="000A3DBD" w:rsidP="000A3DBD">
            <w:pPr>
              <w:jc w:val="both"/>
              <w:rPr>
                <w:rFonts w:ascii="Arial" w:hAnsi="Arial" w:cs="Arial"/>
                <w:bCs/>
                <w:sz w:val="20"/>
                <w:szCs w:val="20"/>
              </w:rPr>
            </w:pPr>
          </w:p>
        </w:tc>
      </w:tr>
      <w:tr w:rsidR="000A3DBD" w:rsidRPr="000A3DBD" w14:paraId="5EFBDDE3" w14:textId="77777777" w:rsidTr="00207B81">
        <w:tc>
          <w:tcPr>
            <w:tcW w:w="3192" w:type="dxa"/>
            <w:tcBorders>
              <w:top w:val="nil"/>
              <w:bottom w:val="nil"/>
            </w:tcBorders>
          </w:tcPr>
          <w:p w14:paraId="3D5BEE7A" w14:textId="77777777" w:rsidR="000A3DBD" w:rsidRPr="000A3DBD" w:rsidRDefault="000A3DBD" w:rsidP="000A3DBD">
            <w:pPr>
              <w:jc w:val="both"/>
              <w:rPr>
                <w:rFonts w:ascii="Arial" w:hAnsi="Arial" w:cs="Arial"/>
                <w:bCs/>
                <w:sz w:val="20"/>
                <w:szCs w:val="20"/>
              </w:rPr>
            </w:pPr>
            <w:r w:rsidRPr="000A3DBD">
              <w:rPr>
                <w:rFonts w:ascii="Arial" w:hAnsi="Arial" w:cs="Arial"/>
                <w:bCs/>
                <w:sz w:val="20"/>
                <w:szCs w:val="20"/>
              </w:rPr>
              <w:t>Female</w:t>
            </w:r>
          </w:p>
        </w:tc>
        <w:tc>
          <w:tcPr>
            <w:tcW w:w="3192" w:type="dxa"/>
            <w:tcBorders>
              <w:top w:val="nil"/>
              <w:bottom w:val="nil"/>
            </w:tcBorders>
          </w:tcPr>
          <w:p w14:paraId="0AD88BF3" w14:textId="77777777" w:rsidR="000A3DBD" w:rsidRPr="000A3DBD" w:rsidRDefault="000A3DBD" w:rsidP="000A3DBD">
            <w:pPr>
              <w:jc w:val="both"/>
              <w:rPr>
                <w:rFonts w:ascii="Arial" w:hAnsi="Arial" w:cs="Arial"/>
                <w:bCs/>
                <w:sz w:val="20"/>
                <w:szCs w:val="20"/>
              </w:rPr>
            </w:pPr>
            <w:r w:rsidRPr="000A3DBD">
              <w:rPr>
                <w:rFonts w:ascii="Arial" w:hAnsi="Arial" w:cs="Arial"/>
                <w:bCs/>
                <w:sz w:val="20"/>
                <w:szCs w:val="20"/>
              </w:rPr>
              <w:t>496</w:t>
            </w:r>
          </w:p>
        </w:tc>
        <w:tc>
          <w:tcPr>
            <w:tcW w:w="3192" w:type="dxa"/>
            <w:tcBorders>
              <w:top w:val="nil"/>
              <w:bottom w:val="nil"/>
            </w:tcBorders>
          </w:tcPr>
          <w:p w14:paraId="307DA3A6" w14:textId="77777777" w:rsidR="000A3DBD" w:rsidRPr="000A3DBD" w:rsidRDefault="000A3DBD" w:rsidP="000A3DBD">
            <w:pPr>
              <w:jc w:val="both"/>
              <w:rPr>
                <w:rFonts w:ascii="Arial" w:hAnsi="Arial" w:cs="Arial"/>
                <w:bCs/>
                <w:sz w:val="20"/>
                <w:szCs w:val="20"/>
              </w:rPr>
            </w:pPr>
            <w:r w:rsidRPr="000A3DBD">
              <w:rPr>
                <w:rFonts w:ascii="Arial" w:hAnsi="Arial" w:cs="Arial"/>
                <w:bCs/>
                <w:sz w:val="20"/>
                <w:szCs w:val="20"/>
              </w:rPr>
              <w:t>59.8</w:t>
            </w:r>
          </w:p>
        </w:tc>
      </w:tr>
      <w:tr w:rsidR="000A3DBD" w:rsidRPr="000A3DBD" w14:paraId="11B1DB13" w14:textId="77777777" w:rsidTr="00207B81">
        <w:tc>
          <w:tcPr>
            <w:tcW w:w="3192" w:type="dxa"/>
            <w:tcBorders>
              <w:top w:val="nil"/>
              <w:bottom w:val="single" w:sz="4" w:space="0" w:color="auto"/>
            </w:tcBorders>
          </w:tcPr>
          <w:p w14:paraId="7F7C2B59" w14:textId="77777777" w:rsidR="000A3DBD" w:rsidRPr="000A3DBD" w:rsidRDefault="000A3DBD" w:rsidP="000A3DBD">
            <w:pPr>
              <w:jc w:val="both"/>
              <w:rPr>
                <w:rFonts w:ascii="Arial" w:hAnsi="Arial" w:cs="Arial"/>
                <w:bCs/>
                <w:sz w:val="20"/>
                <w:szCs w:val="20"/>
              </w:rPr>
            </w:pPr>
            <w:r w:rsidRPr="000A3DBD">
              <w:rPr>
                <w:rFonts w:ascii="Arial" w:hAnsi="Arial" w:cs="Arial"/>
                <w:bCs/>
                <w:sz w:val="20"/>
                <w:szCs w:val="20"/>
              </w:rPr>
              <w:t>Male</w:t>
            </w:r>
          </w:p>
        </w:tc>
        <w:tc>
          <w:tcPr>
            <w:tcW w:w="3192" w:type="dxa"/>
            <w:tcBorders>
              <w:top w:val="nil"/>
              <w:bottom w:val="single" w:sz="4" w:space="0" w:color="auto"/>
            </w:tcBorders>
          </w:tcPr>
          <w:p w14:paraId="5997E606" w14:textId="77777777" w:rsidR="000A3DBD" w:rsidRPr="000A3DBD" w:rsidRDefault="000A3DBD" w:rsidP="000A3DBD">
            <w:pPr>
              <w:jc w:val="both"/>
              <w:rPr>
                <w:rFonts w:ascii="Arial" w:hAnsi="Arial" w:cs="Arial"/>
                <w:bCs/>
                <w:sz w:val="20"/>
                <w:szCs w:val="20"/>
              </w:rPr>
            </w:pPr>
            <w:r w:rsidRPr="000A3DBD">
              <w:rPr>
                <w:rFonts w:ascii="Arial" w:hAnsi="Arial" w:cs="Arial"/>
                <w:bCs/>
                <w:sz w:val="20"/>
                <w:szCs w:val="20"/>
              </w:rPr>
              <w:t>333</w:t>
            </w:r>
          </w:p>
        </w:tc>
        <w:tc>
          <w:tcPr>
            <w:tcW w:w="3192" w:type="dxa"/>
            <w:tcBorders>
              <w:top w:val="nil"/>
              <w:bottom w:val="single" w:sz="4" w:space="0" w:color="auto"/>
            </w:tcBorders>
          </w:tcPr>
          <w:p w14:paraId="33605537" w14:textId="77777777" w:rsidR="000A3DBD" w:rsidRPr="000A3DBD" w:rsidRDefault="000A3DBD" w:rsidP="000A3DBD">
            <w:pPr>
              <w:jc w:val="both"/>
              <w:rPr>
                <w:rFonts w:ascii="Arial" w:hAnsi="Arial" w:cs="Arial"/>
                <w:bCs/>
                <w:sz w:val="20"/>
                <w:szCs w:val="20"/>
              </w:rPr>
            </w:pPr>
            <w:r w:rsidRPr="000A3DBD">
              <w:rPr>
                <w:rFonts w:ascii="Arial" w:hAnsi="Arial" w:cs="Arial"/>
                <w:bCs/>
                <w:sz w:val="20"/>
                <w:szCs w:val="20"/>
              </w:rPr>
              <w:t>40.2</w:t>
            </w:r>
          </w:p>
        </w:tc>
      </w:tr>
    </w:tbl>
    <w:p w14:paraId="6F2E354D" w14:textId="77777777" w:rsidR="000A3DBD" w:rsidRPr="00C170BC" w:rsidRDefault="000A3DBD" w:rsidP="000A3DBD">
      <w:pPr>
        <w:spacing w:line="360" w:lineRule="auto"/>
        <w:jc w:val="both"/>
        <w:rPr>
          <w:rFonts w:ascii="Arial" w:hAnsi="Arial" w:cs="Arial"/>
        </w:rPr>
      </w:pPr>
    </w:p>
    <w:p w14:paraId="5B708B8A" w14:textId="77777777" w:rsidR="00B82206" w:rsidRDefault="00B82206" w:rsidP="00441B6F">
      <w:pPr>
        <w:pStyle w:val="Body"/>
        <w:spacing w:after="0"/>
        <w:rPr>
          <w:rFonts w:ascii="Arial" w:hAnsi="Arial" w:cs="Arial"/>
        </w:rPr>
      </w:pPr>
    </w:p>
    <w:p w14:paraId="096CAC17" w14:textId="1BAAB7A7" w:rsidR="00D847E8" w:rsidRPr="00D847E8" w:rsidRDefault="00D847E8" w:rsidP="00441B6F">
      <w:pPr>
        <w:pStyle w:val="Body"/>
        <w:spacing w:after="0"/>
        <w:rPr>
          <w:rFonts w:ascii="Arial" w:hAnsi="Arial" w:cs="Arial"/>
          <w:b/>
          <w:sz w:val="22"/>
          <w:szCs w:val="22"/>
        </w:rPr>
      </w:pPr>
      <w:r w:rsidRPr="00D847E8">
        <w:rPr>
          <w:rFonts w:ascii="Arial" w:hAnsi="Arial" w:cs="Arial"/>
          <w:b/>
          <w:caps/>
          <w:sz w:val="22"/>
          <w:szCs w:val="22"/>
        </w:rPr>
        <w:t xml:space="preserve">3.2 </w:t>
      </w:r>
      <w:r w:rsidR="000A3DBD" w:rsidRPr="000A3DBD">
        <w:rPr>
          <w:rFonts w:ascii="Arial" w:hAnsi="Arial" w:cs="Arial"/>
          <w:b/>
          <w:sz w:val="22"/>
          <w:szCs w:val="22"/>
        </w:rPr>
        <w:t>Overview of diagnostic methods and results</w:t>
      </w:r>
    </w:p>
    <w:p w14:paraId="4A583EA0" w14:textId="77777777" w:rsidR="00D847E8" w:rsidRDefault="00D847E8" w:rsidP="00E602F1">
      <w:pPr>
        <w:pStyle w:val="Body"/>
        <w:spacing w:after="0"/>
        <w:jc w:val="center"/>
        <w:rPr>
          <w:rFonts w:ascii="Arial" w:hAnsi="Arial" w:cs="Arial"/>
        </w:rPr>
      </w:pPr>
    </w:p>
    <w:p w14:paraId="54248375" w14:textId="126773BC" w:rsidR="000A3DBD" w:rsidRPr="000A3DBD" w:rsidRDefault="000A3DBD" w:rsidP="000A3DBD">
      <w:pPr>
        <w:pStyle w:val="Body"/>
        <w:rPr>
          <w:rFonts w:ascii="Arial" w:hAnsi="Arial" w:cs="Arial"/>
        </w:rPr>
      </w:pPr>
      <w:r w:rsidRPr="000A3DBD">
        <w:rPr>
          <w:rFonts w:ascii="Arial" w:hAnsi="Arial" w:cs="Arial"/>
        </w:rPr>
        <w:t xml:space="preserve">Table 2 shows diagnostic methods used to detect </w:t>
      </w:r>
      <w:r w:rsidRPr="000A3DBD">
        <w:rPr>
          <w:rFonts w:ascii="Arial" w:hAnsi="Arial" w:cs="Arial"/>
          <w:i/>
        </w:rPr>
        <w:t xml:space="preserve">P. falciparum </w:t>
      </w:r>
      <w:r w:rsidRPr="000A3DBD">
        <w:rPr>
          <w:rFonts w:ascii="Arial" w:hAnsi="Arial" w:cs="Arial"/>
        </w:rPr>
        <w:t>infection among study participants; rapid diagnostic tests (RDT 1 and RDT 2), and microscopy. Each method was used to examine 829 samples. For RDT 1 and RDT 2, both tests yielded 250 positive cases (30.2%) and 579 negative cases (69.8%), showing identical results. Microscopy identified 276 positive cases (33.3%) and 553 negative cases (66.7%). The overall prevalence of both RDT1 and RDT2 false negative was (3.1%; 26/829), while RDT false negative rate among microscopy was (9.4%; 26/276).</w:t>
      </w:r>
    </w:p>
    <w:p w14:paraId="1156ADF4" w14:textId="77777777" w:rsidR="000A3DBD" w:rsidRPr="000A3DBD" w:rsidRDefault="000A3DBD" w:rsidP="000A3DBD">
      <w:pPr>
        <w:jc w:val="both"/>
        <w:rPr>
          <w:rFonts w:ascii="Arial" w:hAnsi="Arial" w:cs="Arial"/>
          <w:bCs/>
          <w:lang w:val="en-GB"/>
        </w:rPr>
      </w:pPr>
      <w:r w:rsidRPr="000A3DBD">
        <w:rPr>
          <w:rFonts w:ascii="Arial" w:hAnsi="Arial" w:cs="Arial"/>
          <w:bCs/>
          <w:lang w:val="en-GB"/>
        </w:rPr>
        <w:t xml:space="preserve">Table 2. Overview of Diagnostic Results for </w:t>
      </w:r>
      <w:r w:rsidRPr="000A3DBD">
        <w:rPr>
          <w:rFonts w:ascii="Arial" w:hAnsi="Arial" w:cs="Arial"/>
          <w:bCs/>
          <w:i/>
          <w:lang w:val="en-GB"/>
        </w:rPr>
        <w:t xml:space="preserve">Plasmodium falciparum </w:t>
      </w:r>
      <w:r w:rsidRPr="000A3DBD">
        <w:rPr>
          <w:rFonts w:ascii="Arial" w:hAnsi="Arial" w:cs="Arial"/>
          <w:bCs/>
          <w:lang w:val="en-GB"/>
        </w:rPr>
        <w:t>Infection</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142"/>
        <w:gridCol w:w="2115"/>
        <w:gridCol w:w="2074"/>
        <w:gridCol w:w="2093"/>
      </w:tblGrid>
      <w:tr w:rsidR="000A3DBD" w:rsidRPr="000A3DBD" w14:paraId="3C0A930D" w14:textId="77777777" w:rsidTr="00C92ADC">
        <w:tc>
          <w:tcPr>
            <w:tcW w:w="2142" w:type="dxa"/>
            <w:tcBorders>
              <w:top w:val="single" w:sz="4" w:space="0" w:color="auto"/>
              <w:bottom w:val="single" w:sz="4" w:space="0" w:color="auto"/>
            </w:tcBorders>
          </w:tcPr>
          <w:p w14:paraId="455C2E5A" w14:textId="77777777" w:rsidR="000A3DBD" w:rsidRPr="000A3DBD" w:rsidRDefault="000A3DBD" w:rsidP="000A3DBD">
            <w:pPr>
              <w:jc w:val="both"/>
              <w:rPr>
                <w:rFonts w:ascii="Arial" w:hAnsi="Arial" w:cs="Arial"/>
                <w:bCs/>
                <w:sz w:val="20"/>
                <w:szCs w:val="20"/>
                <w:lang w:val="en-GB"/>
              </w:rPr>
            </w:pPr>
            <w:r w:rsidRPr="000A3DBD">
              <w:rPr>
                <w:rFonts w:ascii="Arial" w:hAnsi="Arial" w:cs="Arial"/>
                <w:bCs/>
                <w:sz w:val="20"/>
                <w:szCs w:val="20"/>
                <w:lang w:val="en-GB"/>
              </w:rPr>
              <w:t>Test</w:t>
            </w:r>
          </w:p>
        </w:tc>
        <w:tc>
          <w:tcPr>
            <w:tcW w:w="2115" w:type="dxa"/>
            <w:tcBorders>
              <w:top w:val="single" w:sz="4" w:space="0" w:color="auto"/>
              <w:bottom w:val="single" w:sz="4" w:space="0" w:color="auto"/>
            </w:tcBorders>
          </w:tcPr>
          <w:p w14:paraId="7C6B12D3" w14:textId="77777777" w:rsidR="000A3DBD" w:rsidRPr="000A3DBD" w:rsidRDefault="000A3DBD" w:rsidP="000A3DBD">
            <w:pPr>
              <w:jc w:val="both"/>
              <w:rPr>
                <w:rFonts w:ascii="Arial" w:hAnsi="Arial" w:cs="Arial"/>
                <w:bCs/>
                <w:sz w:val="20"/>
                <w:szCs w:val="20"/>
                <w:lang w:val="en-GB"/>
              </w:rPr>
            </w:pPr>
            <w:r w:rsidRPr="000A3DBD">
              <w:rPr>
                <w:rFonts w:ascii="Arial" w:hAnsi="Arial" w:cs="Arial"/>
                <w:bCs/>
                <w:sz w:val="20"/>
                <w:szCs w:val="20"/>
                <w:lang w:val="en-GB"/>
              </w:rPr>
              <w:t xml:space="preserve">No. Examined        </w:t>
            </w:r>
          </w:p>
        </w:tc>
        <w:tc>
          <w:tcPr>
            <w:tcW w:w="2074" w:type="dxa"/>
            <w:tcBorders>
              <w:top w:val="single" w:sz="4" w:space="0" w:color="auto"/>
              <w:bottom w:val="single" w:sz="4" w:space="0" w:color="auto"/>
            </w:tcBorders>
          </w:tcPr>
          <w:p w14:paraId="32BE2A94" w14:textId="77777777" w:rsidR="000A3DBD" w:rsidRPr="000A3DBD" w:rsidRDefault="000A3DBD" w:rsidP="000A3DBD">
            <w:pPr>
              <w:jc w:val="both"/>
              <w:rPr>
                <w:rFonts w:ascii="Arial" w:hAnsi="Arial" w:cs="Arial"/>
                <w:bCs/>
                <w:sz w:val="20"/>
                <w:szCs w:val="20"/>
                <w:lang w:val="en-GB"/>
              </w:rPr>
            </w:pPr>
            <w:r w:rsidRPr="000A3DBD">
              <w:rPr>
                <w:rFonts w:ascii="Arial" w:hAnsi="Arial" w:cs="Arial"/>
                <w:bCs/>
                <w:sz w:val="20"/>
                <w:szCs w:val="20"/>
                <w:lang w:val="en-GB"/>
              </w:rPr>
              <w:t>Positive (</w:t>
            </w:r>
            <w:proofErr w:type="gramStart"/>
            <w:r w:rsidRPr="000A3DBD">
              <w:rPr>
                <w:rFonts w:ascii="Arial" w:hAnsi="Arial" w:cs="Arial"/>
                <w:bCs/>
                <w:sz w:val="20"/>
                <w:szCs w:val="20"/>
                <w:lang w:val="en-GB"/>
              </w:rPr>
              <w:t xml:space="preserve">%)   </w:t>
            </w:r>
            <w:proofErr w:type="gramEnd"/>
            <w:r w:rsidRPr="000A3DBD">
              <w:rPr>
                <w:rFonts w:ascii="Arial" w:hAnsi="Arial" w:cs="Arial"/>
                <w:bCs/>
                <w:sz w:val="20"/>
                <w:szCs w:val="20"/>
                <w:lang w:val="en-GB"/>
              </w:rPr>
              <w:t xml:space="preserve">      </w:t>
            </w:r>
          </w:p>
        </w:tc>
        <w:tc>
          <w:tcPr>
            <w:tcW w:w="2093" w:type="dxa"/>
            <w:tcBorders>
              <w:top w:val="single" w:sz="4" w:space="0" w:color="auto"/>
              <w:bottom w:val="single" w:sz="4" w:space="0" w:color="auto"/>
            </w:tcBorders>
          </w:tcPr>
          <w:p w14:paraId="44744868" w14:textId="77777777" w:rsidR="000A3DBD" w:rsidRPr="000A3DBD" w:rsidRDefault="000A3DBD" w:rsidP="000A3DBD">
            <w:pPr>
              <w:jc w:val="both"/>
              <w:rPr>
                <w:rFonts w:ascii="Arial" w:hAnsi="Arial" w:cs="Arial"/>
                <w:bCs/>
                <w:sz w:val="20"/>
                <w:szCs w:val="20"/>
                <w:lang w:val="en-GB"/>
              </w:rPr>
            </w:pPr>
            <w:r w:rsidRPr="000A3DBD">
              <w:rPr>
                <w:rFonts w:ascii="Arial" w:hAnsi="Arial" w:cs="Arial"/>
                <w:bCs/>
                <w:sz w:val="20"/>
                <w:szCs w:val="20"/>
                <w:lang w:val="en-GB"/>
              </w:rPr>
              <w:t>Negative (</w:t>
            </w:r>
            <w:proofErr w:type="gramStart"/>
            <w:r w:rsidRPr="000A3DBD">
              <w:rPr>
                <w:rFonts w:ascii="Arial" w:hAnsi="Arial" w:cs="Arial"/>
                <w:bCs/>
                <w:sz w:val="20"/>
                <w:szCs w:val="20"/>
                <w:lang w:val="en-GB"/>
              </w:rPr>
              <w:t xml:space="preserve">%)   </w:t>
            </w:r>
            <w:proofErr w:type="gramEnd"/>
            <w:r w:rsidRPr="000A3DBD">
              <w:rPr>
                <w:rFonts w:ascii="Arial" w:hAnsi="Arial" w:cs="Arial"/>
                <w:bCs/>
                <w:sz w:val="20"/>
                <w:szCs w:val="20"/>
                <w:lang w:val="en-GB"/>
              </w:rPr>
              <w:t xml:space="preserve">       </w:t>
            </w:r>
          </w:p>
        </w:tc>
      </w:tr>
      <w:tr w:rsidR="000A3DBD" w:rsidRPr="000A3DBD" w14:paraId="7A808FDB" w14:textId="77777777" w:rsidTr="00C92ADC">
        <w:tc>
          <w:tcPr>
            <w:tcW w:w="2142" w:type="dxa"/>
          </w:tcPr>
          <w:p w14:paraId="49BBFD2B" w14:textId="77777777" w:rsidR="000A3DBD" w:rsidRPr="000A3DBD" w:rsidRDefault="000A3DBD" w:rsidP="000A3DBD">
            <w:pPr>
              <w:jc w:val="both"/>
              <w:rPr>
                <w:rFonts w:ascii="Arial" w:hAnsi="Arial" w:cs="Arial"/>
                <w:bCs/>
                <w:sz w:val="20"/>
                <w:szCs w:val="20"/>
                <w:lang w:val="en-GB"/>
              </w:rPr>
            </w:pPr>
            <w:r w:rsidRPr="000A3DBD">
              <w:rPr>
                <w:rFonts w:ascii="Arial" w:hAnsi="Arial" w:cs="Arial"/>
                <w:bCs/>
                <w:sz w:val="20"/>
                <w:szCs w:val="20"/>
                <w:lang w:val="en-GB"/>
              </w:rPr>
              <w:t>RDT1</w:t>
            </w:r>
          </w:p>
        </w:tc>
        <w:tc>
          <w:tcPr>
            <w:tcW w:w="2115" w:type="dxa"/>
          </w:tcPr>
          <w:p w14:paraId="4BEC2DCB" w14:textId="77777777" w:rsidR="000A3DBD" w:rsidRPr="000A3DBD" w:rsidRDefault="000A3DBD" w:rsidP="000A3DBD">
            <w:pPr>
              <w:jc w:val="both"/>
              <w:rPr>
                <w:rFonts w:ascii="Arial" w:hAnsi="Arial" w:cs="Arial"/>
                <w:bCs/>
                <w:sz w:val="20"/>
                <w:szCs w:val="20"/>
                <w:lang w:val="en-GB"/>
              </w:rPr>
            </w:pPr>
            <w:r w:rsidRPr="000A3DBD">
              <w:rPr>
                <w:rFonts w:ascii="Arial" w:hAnsi="Arial" w:cs="Arial"/>
                <w:bCs/>
                <w:sz w:val="20"/>
                <w:szCs w:val="20"/>
                <w:lang w:val="en-GB"/>
              </w:rPr>
              <w:t>829</w:t>
            </w:r>
          </w:p>
        </w:tc>
        <w:tc>
          <w:tcPr>
            <w:tcW w:w="2074" w:type="dxa"/>
          </w:tcPr>
          <w:p w14:paraId="3EA5900D" w14:textId="77777777" w:rsidR="000A3DBD" w:rsidRPr="000A3DBD" w:rsidRDefault="000A3DBD" w:rsidP="000A3DBD">
            <w:pPr>
              <w:jc w:val="both"/>
              <w:rPr>
                <w:rFonts w:ascii="Arial" w:hAnsi="Arial" w:cs="Arial"/>
                <w:bCs/>
                <w:sz w:val="20"/>
                <w:szCs w:val="20"/>
                <w:lang w:val="en-GB"/>
              </w:rPr>
            </w:pPr>
            <w:r w:rsidRPr="000A3DBD">
              <w:rPr>
                <w:rFonts w:ascii="Arial" w:hAnsi="Arial" w:cs="Arial"/>
                <w:bCs/>
                <w:sz w:val="20"/>
                <w:szCs w:val="20"/>
                <w:lang w:val="en-GB"/>
              </w:rPr>
              <w:t>250 (30.2)</w:t>
            </w:r>
          </w:p>
        </w:tc>
        <w:tc>
          <w:tcPr>
            <w:tcW w:w="2093" w:type="dxa"/>
          </w:tcPr>
          <w:p w14:paraId="70940B40" w14:textId="77777777" w:rsidR="000A3DBD" w:rsidRPr="000A3DBD" w:rsidRDefault="000A3DBD" w:rsidP="000A3DBD">
            <w:pPr>
              <w:jc w:val="both"/>
              <w:rPr>
                <w:rFonts w:ascii="Arial" w:hAnsi="Arial" w:cs="Arial"/>
                <w:bCs/>
                <w:sz w:val="20"/>
                <w:szCs w:val="20"/>
                <w:lang w:val="en-GB"/>
              </w:rPr>
            </w:pPr>
            <w:r w:rsidRPr="000A3DBD">
              <w:rPr>
                <w:rFonts w:ascii="Arial" w:hAnsi="Arial" w:cs="Arial"/>
                <w:bCs/>
                <w:sz w:val="20"/>
                <w:szCs w:val="20"/>
                <w:lang w:val="en-GB"/>
              </w:rPr>
              <w:t>579 (69.8)</w:t>
            </w:r>
          </w:p>
        </w:tc>
      </w:tr>
      <w:tr w:rsidR="000A3DBD" w:rsidRPr="000A3DBD" w14:paraId="12829647" w14:textId="77777777" w:rsidTr="00C92ADC">
        <w:tc>
          <w:tcPr>
            <w:tcW w:w="2142" w:type="dxa"/>
          </w:tcPr>
          <w:p w14:paraId="311BBD45" w14:textId="77777777" w:rsidR="000A3DBD" w:rsidRPr="000A3DBD" w:rsidRDefault="000A3DBD" w:rsidP="000A3DBD">
            <w:pPr>
              <w:jc w:val="both"/>
              <w:rPr>
                <w:rFonts w:ascii="Arial" w:hAnsi="Arial" w:cs="Arial"/>
                <w:bCs/>
                <w:sz w:val="20"/>
                <w:szCs w:val="20"/>
                <w:lang w:val="en-GB"/>
              </w:rPr>
            </w:pPr>
            <w:r w:rsidRPr="000A3DBD">
              <w:rPr>
                <w:rFonts w:ascii="Arial" w:hAnsi="Arial" w:cs="Arial"/>
                <w:bCs/>
                <w:sz w:val="20"/>
                <w:szCs w:val="20"/>
                <w:lang w:val="en-GB"/>
              </w:rPr>
              <w:t>RDT2</w:t>
            </w:r>
          </w:p>
        </w:tc>
        <w:tc>
          <w:tcPr>
            <w:tcW w:w="2115" w:type="dxa"/>
          </w:tcPr>
          <w:p w14:paraId="1038CB86" w14:textId="77777777" w:rsidR="000A3DBD" w:rsidRPr="000A3DBD" w:rsidRDefault="000A3DBD" w:rsidP="000A3DBD">
            <w:pPr>
              <w:jc w:val="both"/>
              <w:rPr>
                <w:rFonts w:ascii="Arial" w:hAnsi="Arial" w:cs="Arial"/>
                <w:bCs/>
                <w:sz w:val="20"/>
                <w:szCs w:val="20"/>
                <w:lang w:val="en-GB"/>
              </w:rPr>
            </w:pPr>
            <w:r w:rsidRPr="000A3DBD">
              <w:rPr>
                <w:rFonts w:ascii="Arial" w:hAnsi="Arial" w:cs="Arial"/>
                <w:bCs/>
                <w:sz w:val="20"/>
                <w:szCs w:val="20"/>
                <w:lang w:val="en-GB"/>
              </w:rPr>
              <w:t>829</w:t>
            </w:r>
          </w:p>
        </w:tc>
        <w:tc>
          <w:tcPr>
            <w:tcW w:w="2074" w:type="dxa"/>
          </w:tcPr>
          <w:p w14:paraId="6DE483C8" w14:textId="77777777" w:rsidR="000A3DBD" w:rsidRPr="000A3DBD" w:rsidRDefault="000A3DBD" w:rsidP="000A3DBD">
            <w:pPr>
              <w:jc w:val="both"/>
              <w:rPr>
                <w:rFonts w:ascii="Arial" w:hAnsi="Arial" w:cs="Arial"/>
                <w:bCs/>
                <w:sz w:val="20"/>
                <w:szCs w:val="20"/>
                <w:lang w:val="en-GB"/>
              </w:rPr>
            </w:pPr>
            <w:r w:rsidRPr="000A3DBD">
              <w:rPr>
                <w:rFonts w:ascii="Arial" w:hAnsi="Arial" w:cs="Arial"/>
                <w:bCs/>
                <w:sz w:val="20"/>
                <w:szCs w:val="20"/>
                <w:lang w:val="en-GB"/>
              </w:rPr>
              <w:t>250 (30.2)</w:t>
            </w:r>
          </w:p>
        </w:tc>
        <w:tc>
          <w:tcPr>
            <w:tcW w:w="2093" w:type="dxa"/>
          </w:tcPr>
          <w:p w14:paraId="72A08105" w14:textId="77777777" w:rsidR="000A3DBD" w:rsidRPr="000A3DBD" w:rsidRDefault="000A3DBD" w:rsidP="000A3DBD">
            <w:pPr>
              <w:jc w:val="both"/>
              <w:rPr>
                <w:rFonts w:ascii="Arial" w:hAnsi="Arial" w:cs="Arial"/>
                <w:bCs/>
                <w:sz w:val="20"/>
                <w:szCs w:val="20"/>
                <w:lang w:val="en-GB"/>
              </w:rPr>
            </w:pPr>
            <w:r w:rsidRPr="000A3DBD">
              <w:rPr>
                <w:rFonts w:ascii="Arial" w:hAnsi="Arial" w:cs="Arial"/>
                <w:bCs/>
                <w:sz w:val="20"/>
                <w:szCs w:val="20"/>
                <w:lang w:val="en-GB"/>
              </w:rPr>
              <w:t>579 (69.8)</w:t>
            </w:r>
          </w:p>
        </w:tc>
      </w:tr>
      <w:tr w:rsidR="000A3DBD" w:rsidRPr="000A3DBD" w14:paraId="7CAA506B" w14:textId="77777777" w:rsidTr="00C92ADC">
        <w:tc>
          <w:tcPr>
            <w:tcW w:w="2142" w:type="dxa"/>
            <w:tcBorders>
              <w:bottom w:val="single" w:sz="4" w:space="0" w:color="auto"/>
            </w:tcBorders>
          </w:tcPr>
          <w:p w14:paraId="36CBE634" w14:textId="77777777" w:rsidR="000A3DBD" w:rsidRPr="000A3DBD" w:rsidRDefault="000A3DBD" w:rsidP="000A3DBD">
            <w:pPr>
              <w:jc w:val="both"/>
              <w:rPr>
                <w:rFonts w:ascii="Arial" w:hAnsi="Arial" w:cs="Arial"/>
                <w:bCs/>
                <w:sz w:val="20"/>
                <w:szCs w:val="20"/>
                <w:lang w:val="en-GB"/>
              </w:rPr>
            </w:pPr>
            <w:r w:rsidRPr="000A3DBD">
              <w:rPr>
                <w:rFonts w:ascii="Arial" w:hAnsi="Arial" w:cs="Arial"/>
                <w:bCs/>
                <w:sz w:val="20"/>
                <w:szCs w:val="20"/>
                <w:lang w:val="en-GB"/>
              </w:rPr>
              <w:t xml:space="preserve">Microscopy </w:t>
            </w:r>
          </w:p>
        </w:tc>
        <w:tc>
          <w:tcPr>
            <w:tcW w:w="2115" w:type="dxa"/>
            <w:tcBorders>
              <w:bottom w:val="single" w:sz="4" w:space="0" w:color="auto"/>
            </w:tcBorders>
          </w:tcPr>
          <w:p w14:paraId="474B2C83" w14:textId="77777777" w:rsidR="000A3DBD" w:rsidRPr="000A3DBD" w:rsidRDefault="000A3DBD" w:rsidP="000A3DBD">
            <w:pPr>
              <w:jc w:val="both"/>
              <w:rPr>
                <w:rFonts w:ascii="Arial" w:hAnsi="Arial" w:cs="Arial"/>
                <w:bCs/>
                <w:sz w:val="20"/>
                <w:szCs w:val="20"/>
                <w:lang w:val="en-GB"/>
              </w:rPr>
            </w:pPr>
            <w:r w:rsidRPr="000A3DBD">
              <w:rPr>
                <w:rFonts w:ascii="Arial" w:hAnsi="Arial" w:cs="Arial"/>
                <w:bCs/>
                <w:sz w:val="20"/>
                <w:szCs w:val="20"/>
                <w:lang w:val="en-GB"/>
              </w:rPr>
              <w:t>829</w:t>
            </w:r>
          </w:p>
        </w:tc>
        <w:tc>
          <w:tcPr>
            <w:tcW w:w="2074" w:type="dxa"/>
            <w:tcBorders>
              <w:bottom w:val="single" w:sz="4" w:space="0" w:color="auto"/>
            </w:tcBorders>
          </w:tcPr>
          <w:p w14:paraId="29F76C57" w14:textId="77777777" w:rsidR="000A3DBD" w:rsidRPr="000A3DBD" w:rsidRDefault="000A3DBD" w:rsidP="000A3DBD">
            <w:pPr>
              <w:jc w:val="both"/>
              <w:rPr>
                <w:rFonts w:ascii="Arial" w:hAnsi="Arial" w:cs="Arial"/>
                <w:bCs/>
                <w:sz w:val="20"/>
                <w:szCs w:val="20"/>
                <w:lang w:val="en-GB"/>
              </w:rPr>
            </w:pPr>
            <w:r w:rsidRPr="000A3DBD">
              <w:rPr>
                <w:rFonts w:ascii="Arial" w:hAnsi="Arial" w:cs="Arial"/>
                <w:bCs/>
                <w:sz w:val="20"/>
                <w:szCs w:val="20"/>
                <w:lang w:val="en-GB"/>
              </w:rPr>
              <w:t>276 (33.3)</w:t>
            </w:r>
          </w:p>
        </w:tc>
        <w:tc>
          <w:tcPr>
            <w:tcW w:w="2093" w:type="dxa"/>
            <w:tcBorders>
              <w:bottom w:val="single" w:sz="4" w:space="0" w:color="auto"/>
            </w:tcBorders>
          </w:tcPr>
          <w:p w14:paraId="14041BC7" w14:textId="77777777" w:rsidR="000A3DBD" w:rsidRPr="000A3DBD" w:rsidRDefault="000A3DBD" w:rsidP="000A3DBD">
            <w:pPr>
              <w:jc w:val="both"/>
              <w:rPr>
                <w:rFonts w:ascii="Arial" w:hAnsi="Arial" w:cs="Arial"/>
                <w:bCs/>
                <w:sz w:val="20"/>
                <w:szCs w:val="20"/>
                <w:lang w:val="en-GB"/>
              </w:rPr>
            </w:pPr>
            <w:r w:rsidRPr="000A3DBD">
              <w:rPr>
                <w:rFonts w:ascii="Arial" w:hAnsi="Arial" w:cs="Arial"/>
                <w:bCs/>
                <w:sz w:val="20"/>
                <w:szCs w:val="20"/>
                <w:lang w:val="en-GB"/>
              </w:rPr>
              <w:t>553 (66.7)</w:t>
            </w:r>
          </w:p>
        </w:tc>
      </w:tr>
    </w:tbl>
    <w:p w14:paraId="32CF9FB0" w14:textId="77777777" w:rsidR="000A3DBD" w:rsidRPr="000A3DBD" w:rsidRDefault="000A3DBD" w:rsidP="000A3DBD">
      <w:pPr>
        <w:jc w:val="both"/>
        <w:rPr>
          <w:rFonts w:ascii="Arial" w:hAnsi="Arial" w:cs="Arial"/>
          <w:bCs/>
          <w:i/>
          <w:sz w:val="18"/>
          <w:szCs w:val="18"/>
          <w:lang w:val="en-GB"/>
        </w:rPr>
      </w:pPr>
      <w:r w:rsidRPr="000A3DBD">
        <w:rPr>
          <w:rFonts w:ascii="Arial" w:hAnsi="Arial" w:cs="Arial"/>
          <w:bCs/>
          <w:i/>
          <w:sz w:val="18"/>
          <w:szCs w:val="18"/>
          <w:lang w:val="en-GB"/>
        </w:rPr>
        <w:t xml:space="preserve">Legend: RDT: Rapid Diagnostic Test, RDT1 (First Response Malaria </w:t>
      </w:r>
      <w:proofErr w:type="spellStart"/>
      <w:r w:rsidRPr="000A3DBD">
        <w:rPr>
          <w:rFonts w:ascii="Arial" w:hAnsi="Arial" w:cs="Arial"/>
          <w:bCs/>
          <w:i/>
          <w:sz w:val="18"/>
          <w:szCs w:val="18"/>
          <w:lang w:val="en-GB"/>
        </w:rPr>
        <w:t>Pf</w:t>
      </w:r>
      <w:proofErr w:type="spellEnd"/>
      <w:r w:rsidRPr="000A3DBD">
        <w:rPr>
          <w:rFonts w:ascii="Arial" w:hAnsi="Arial" w:cs="Arial"/>
          <w:bCs/>
          <w:i/>
          <w:sz w:val="18"/>
          <w:szCs w:val="18"/>
          <w:lang w:val="en-GB"/>
        </w:rPr>
        <w:t xml:space="preserve"> HRP2 Ag), RDT2 (Standard Q Malaria </w:t>
      </w:r>
      <w:proofErr w:type="spellStart"/>
      <w:r w:rsidRPr="000A3DBD">
        <w:rPr>
          <w:rFonts w:ascii="Arial" w:hAnsi="Arial" w:cs="Arial"/>
          <w:bCs/>
          <w:i/>
          <w:sz w:val="18"/>
          <w:szCs w:val="18"/>
          <w:lang w:val="en-GB"/>
        </w:rPr>
        <w:t>Pf</w:t>
      </w:r>
      <w:proofErr w:type="spellEnd"/>
      <w:r w:rsidRPr="000A3DBD">
        <w:rPr>
          <w:rFonts w:ascii="Arial" w:hAnsi="Arial" w:cs="Arial"/>
          <w:bCs/>
          <w:i/>
          <w:sz w:val="18"/>
          <w:szCs w:val="18"/>
          <w:lang w:val="en-GB"/>
        </w:rPr>
        <w:t xml:space="preserve"> Ag Test)</w:t>
      </w:r>
    </w:p>
    <w:p w14:paraId="0D5F0BCB" w14:textId="77777777" w:rsidR="009D2A2E" w:rsidRPr="000A3DBD" w:rsidRDefault="009D2A2E" w:rsidP="000A3DBD">
      <w:pPr>
        <w:pStyle w:val="Body"/>
        <w:spacing w:after="0"/>
        <w:rPr>
          <w:rFonts w:ascii="Arial" w:hAnsi="Arial" w:cs="Arial"/>
          <w:bCs/>
        </w:rPr>
      </w:pPr>
    </w:p>
    <w:p w14:paraId="12F51571" w14:textId="423F0854" w:rsidR="00C92ADC" w:rsidRPr="00C92ADC" w:rsidRDefault="00C92ADC" w:rsidP="00C92ADC">
      <w:pPr>
        <w:pStyle w:val="Body"/>
        <w:rPr>
          <w:rFonts w:ascii="Arial" w:hAnsi="Arial" w:cs="Arial"/>
          <w:b/>
          <w:bCs/>
          <w:sz w:val="22"/>
          <w:szCs w:val="22"/>
        </w:rPr>
      </w:pPr>
      <w:r w:rsidRPr="00C92ADC">
        <w:rPr>
          <w:rFonts w:ascii="Arial" w:hAnsi="Arial" w:cs="Arial"/>
          <w:b/>
          <w:bCs/>
          <w:sz w:val="22"/>
          <w:szCs w:val="22"/>
        </w:rPr>
        <w:t xml:space="preserve">3.3 Prevalence by age and sex using </w:t>
      </w:r>
      <w:proofErr w:type="spellStart"/>
      <w:r w:rsidRPr="00C92ADC">
        <w:rPr>
          <w:rFonts w:ascii="Arial" w:hAnsi="Arial" w:cs="Arial"/>
          <w:b/>
          <w:bCs/>
          <w:sz w:val="22"/>
          <w:szCs w:val="22"/>
        </w:rPr>
        <w:t>mRDT</w:t>
      </w:r>
      <w:proofErr w:type="spellEnd"/>
    </w:p>
    <w:p w14:paraId="7415A356" w14:textId="5EB1D341" w:rsidR="00C92ADC" w:rsidRDefault="00C92ADC" w:rsidP="00C92ADC">
      <w:pPr>
        <w:pStyle w:val="Body"/>
        <w:rPr>
          <w:rFonts w:ascii="Arial" w:hAnsi="Arial" w:cs="Arial"/>
        </w:rPr>
      </w:pPr>
      <w:r w:rsidRPr="00C92ADC">
        <w:rPr>
          <w:rFonts w:ascii="Arial" w:hAnsi="Arial" w:cs="Arial"/>
        </w:rPr>
        <w:t xml:space="preserve">The overall prevalence of </w:t>
      </w:r>
      <w:r w:rsidRPr="00C92ADC">
        <w:rPr>
          <w:rFonts w:ascii="Arial" w:hAnsi="Arial" w:cs="Arial"/>
          <w:i/>
          <w:iCs/>
        </w:rPr>
        <w:t>Plasmodium falciparum</w:t>
      </w:r>
      <w:r w:rsidRPr="00C92ADC">
        <w:rPr>
          <w:rFonts w:ascii="Arial" w:hAnsi="Arial" w:cs="Arial"/>
        </w:rPr>
        <w:t xml:space="preserve"> by </w:t>
      </w:r>
      <w:proofErr w:type="spellStart"/>
      <w:r w:rsidRPr="00C92ADC">
        <w:rPr>
          <w:rFonts w:ascii="Arial" w:hAnsi="Arial" w:cs="Arial"/>
        </w:rPr>
        <w:t>mRDT</w:t>
      </w:r>
      <w:proofErr w:type="spellEnd"/>
      <w:r w:rsidRPr="00C92ADC">
        <w:rPr>
          <w:rFonts w:ascii="Arial" w:hAnsi="Arial" w:cs="Arial"/>
        </w:rPr>
        <w:t xml:space="preserve"> was </w:t>
      </w:r>
      <w:r w:rsidRPr="00C92ADC">
        <w:rPr>
          <w:rFonts w:ascii="Arial" w:hAnsi="Arial" w:cs="Arial"/>
          <w:bCs/>
        </w:rPr>
        <w:t>30.2%</w:t>
      </w:r>
      <w:r w:rsidRPr="00C92ADC">
        <w:rPr>
          <w:rFonts w:ascii="Arial" w:hAnsi="Arial" w:cs="Arial"/>
        </w:rPr>
        <w:t xml:space="preserve"> (250/829). When stratified by age, infection was highest among participants aged </w:t>
      </w:r>
      <w:r w:rsidRPr="00C92ADC">
        <w:rPr>
          <w:rFonts w:ascii="Arial" w:hAnsi="Arial" w:cs="Arial"/>
          <w:bCs/>
        </w:rPr>
        <w:t>11-20 years (47.3%)</w:t>
      </w:r>
      <w:r w:rsidRPr="00C92ADC">
        <w:rPr>
          <w:rFonts w:ascii="Arial" w:hAnsi="Arial" w:cs="Arial"/>
        </w:rPr>
        <w:t xml:space="preserve">, followed by those aged </w:t>
      </w:r>
      <w:r w:rsidRPr="00C92ADC">
        <w:rPr>
          <w:rFonts w:ascii="Arial" w:hAnsi="Arial" w:cs="Arial"/>
          <w:bCs/>
        </w:rPr>
        <w:t>21-30 years (32.7%)</w:t>
      </w:r>
      <w:r w:rsidRPr="00C92ADC">
        <w:rPr>
          <w:rFonts w:ascii="Arial" w:hAnsi="Arial" w:cs="Arial"/>
        </w:rPr>
        <w:t xml:space="preserve"> and </w:t>
      </w:r>
      <w:r w:rsidRPr="00C92ADC">
        <w:rPr>
          <w:rFonts w:ascii="Arial" w:hAnsi="Arial" w:cs="Arial"/>
          <w:bCs/>
        </w:rPr>
        <w:t>1-10 years (31.8%)</w:t>
      </w:r>
      <w:r w:rsidRPr="00C92ADC">
        <w:rPr>
          <w:rFonts w:ascii="Arial" w:hAnsi="Arial" w:cs="Arial"/>
        </w:rPr>
        <w:t xml:space="preserve">. The lowest prevalence was observed in individuals aged </w:t>
      </w:r>
      <w:r w:rsidRPr="00C92ADC">
        <w:rPr>
          <w:rFonts w:ascii="Arial" w:hAnsi="Arial" w:cs="Arial"/>
          <w:bCs/>
        </w:rPr>
        <w:t>≥61 years (12.5%)</w:t>
      </w:r>
      <w:r w:rsidRPr="00C92ADC">
        <w:rPr>
          <w:rFonts w:ascii="Arial" w:hAnsi="Arial" w:cs="Arial"/>
        </w:rPr>
        <w:t>. A chi-square test indicated a statistically significant association between age group and malaria infection (χ²=20.68,</w:t>
      </w:r>
      <w:r>
        <w:rPr>
          <w:rFonts w:ascii="Arial" w:hAnsi="Arial" w:cs="Arial"/>
        </w:rPr>
        <w:t xml:space="preserve"> </w:t>
      </w:r>
      <w:r w:rsidRPr="00C92ADC">
        <w:rPr>
          <w:rFonts w:ascii="Arial" w:hAnsi="Arial" w:cs="Arial"/>
        </w:rPr>
        <w:t>df=6,</w:t>
      </w:r>
      <w:r>
        <w:rPr>
          <w:rFonts w:ascii="Arial" w:hAnsi="Arial" w:cs="Arial"/>
        </w:rPr>
        <w:t xml:space="preserve"> </w:t>
      </w:r>
      <w:r w:rsidRPr="00C92ADC">
        <w:rPr>
          <w:rFonts w:ascii="Arial" w:hAnsi="Arial" w:cs="Arial"/>
          <w:i/>
        </w:rPr>
        <w:t>P</w:t>
      </w:r>
      <w:r w:rsidRPr="00C92ADC">
        <w:rPr>
          <w:rFonts w:ascii="Arial" w:hAnsi="Arial" w:cs="Arial"/>
        </w:rPr>
        <w:t>=.002).</w:t>
      </w:r>
      <w:r>
        <w:rPr>
          <w:rFonts w:ascii="Arial" w:hAnsi="Arial" w:cs="Arial"/>
        </w:rPr>
        <w:t xml:space="preserve"> </w:t>
      </w:r>
      <w:r w:rsidRPr="00C92ADC">
        <w:rPr>
          <w:rFonts w:ascii="Arial" w:hAnsi="Arial" w:cs="Arial"/>
        </w:rPr>
        <w:t>With respect to sex, infection was slightly higher in females (33.3%) compared to males (28.2%), but the difference was not statistically significant (χ²=2.74, df=1,</w:t>
      </w:r>
      <w:r w:rsidRPr="00C92ADC">
        <w:rPr>
          <w:rFonts w:ascii="Arial" w:hAnsi="Arial" w:cs="Arial"/>
          <w:i/>
        </w:rPr>
        <w:t xml:space="preserve"> P</w:t>
      </w:r>
      <w:r w:rsidRPr="00C92ADC">
        <w:rPr>
          <w:rFonts w:ascii="Arial" w:hAnsi="Arial" w:cs="Arial"/>
        </w:rPr>
        <w:t>=.098).</w:t>
      </w:r>
    </w:p>
    <w:p w14:paraId="5B2F730E" w14:textId="77777777" w:rsidR="00C92ADC" w:rsidRDefault="00C92ADC" w:rsidP="00C92ADC">
      <w:pPr>
        <w:pStyle w:val="Body"/>
        <w:rPr>
          <w:rFonts w:ascii="Arial" w:hAnsi="Arial" w:cs="Arial"/>
        </w:rPr>
      </w:pPr>
    </w:p>
    <w:p w14:paraId="602D2520" w14:textId="77777777" w:rsidR="000C54E2" w:rsidRDefault="000C54E2" w:rsidP="00C92ADC">
      <w:pPr>
        <w:pStyle w:val="Body"/>
        <w:rPr>
          <w:rFonts w:ascii="Arial" w:hAnsi="Arial" w:cs="Arial"/>
        </w:rPr>
      </w:pPr>
    </w:p>
    <w:p w14:paraId="2D928000" w14:textId="77777777" w:rsidR="00C92ADC" w:rsidRDefault="00C92ADC" w:rsidP="00C92ADC">
      <w:pPr>
        <w:pStyle w:val="Body"/>
        <w:rPr>
          <w:rFonts w:ascii="Arial" w:hAnsi="Arial" w:cs="Arial"/>
        </w:rPr>
      </w:pPr>
    </w:p>
    <w:p w14:paraId="22554FA5" w14:textId="77777777" w:rsidR="00C92ADC" w:rsidRPr="00C92ADC" w:rsidRDefault="00C92ADC" w:rsidP="00C92ADC">
      <w:pPr>
        <w:pStyle w:val="Body"/>
        <w:rPr>
          <w:rFonts w:ascii="Arial" w:hAnsi="Arial" w:cs="Arial"/>
        </w:rPr>
      </w:pPr>
    </w:p>
    <w:p w14:paraId="7CAD966B" w14:textId="77777777" w:rsidR="00C92ADC" w:rsidRPr="00C92ADC" w:rsidRDefault="00C92ADC" w:rsidP="00C92ADC">
      <w:pPr>
        <w:jc w:val="both"/>
        <w:rPr>
          <w:rFonts w:ascii="Arial" w:hAnsi="Arial" w:cs="Arial"/>
          <w:bCs/>
          <w:lang w:val="en-GB"/>
        </w:rPr>
      </w:pPr>
      <w:r w:rsidRPr="00C92ADC">
        <w:rPr>
          <w:rFonts w:ascii="Arial" w:hAnsi="Arial" w:cs="Arial"/>
          <w:bCs/>
          <w:lang w:val="en-GB"/>
        </w:rPr>
        <w:t xml:space="preserve">Table 3. Prevalence of </w:t>
      </w:r>
      <w:r w:rsidRPr="00C92ADC">
        <w:rPr>
          <w:rFonts w:ascii="Arial" w:hAnsi="Arial" w:cs="Arial"/>
          <w:bCs/>
          <w:i/>
          <w:lang w:val="en-GB"/>
        </w:rPr>
        <w:t>Plasmodium falciparum</w:t>
      </w:r>
      <w:r w:rsidRPr="00C92ADC">
        <w:rPr>
          <w:rFonts w:ascii="Arial" w:hAnsi="Arial" w:cs="Arial"/>
          <w:bCs/>
          <w:lang w:val="en-GB"/>
        </w:rPr>
        <w:t xml:space="preserve"> according to age and sex by </w:t>
      </w:r>
      <w:proofErr w:type="spellStart"/>
      <w:r w:rsidRPr="00C92ADC">
        <w:rPr>
          <w:rFonts w:ascii="Arial" w:hAnsi="Arial" w:cs="Arial"/>
          <w:bCs/>
          <w:lang w:val="en-GB"/>
        </w:rPr>
        <w:t>mRDTs</w:t>
      </w:r>
      <w:proofErr w:type="spellEnd"/>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069"/>
        <w:gridCol w:w="2105"/>
        <w:gridCol w:w="2065"/>
        <w:gridCol w:w="2185"/>
      </w:tblGrid>
      <w:tr w:rsidR="00C92ADC" w:rsidRPr="00C92ADC" w14:paraId="02C182EF" w14:textId="77777777" w:rsidTr="00207B81">
        <w:tc>
          <w:tcPr>
            <w:tcW w:w="2394" w:type="dxa"/>
            <w:tcBorders>
              <w:top w:val="single" w:sz="4" w:space="0" w:color="auto"/>
              <w:bottom w:val="single" w:sz="4" w:space="0" w:color="auto"/>
            </w:tcBorders>
          </w:tcPr>
          <w:p w14:paraId="2A70935D" w14:textId="77777777" w:rsidR="00C92ADC" w:rsidRPr="00C92ADC" w:rsidRDefault="00C92ADC" w:rsidP="00C92ADC">
            <w:pPr>
              <w:jc w:val="both"/>
              <w:rPr>
                <w:rFonts w:ascii="Arial" w:hAnsi="Arial" w:cs="Arial"/>
                <w:bCs/>
                <w:sz w:val="20"/>
                <w:szCs w:val="20"/>
                <w:lang w:val="en-GB"/>
              </w:rPr>
            </w:pPr>
            <w:r w:rsidRPr="00C92ADC">
              <w:rPr>
                <w:rFonts w:ascii="Arial" w:hAnsi="Arial" w:cs="Arial"/>
                <w:bCs/>
                <w:sz w:val="20"/>
                <w:szCs w:val="20"/>
                <w:lang w:val="en-GB"/>
              </w:rPr>
              <w:t>Variable</w:t>
            </w:r>
          </w:p>
        </w:tc>
        <w:tc>
          <w:tcPr>
            <w:tcW w:w="2394" w:type="dxa"/>
            <w:tcBorders>
              <w:top w:val="single" w:sz="4" w:space="0" w:color="auto"/>
              <w:bottom w:val="single" w:sz="4" w:space="0" w:color="auto"/>
            </w:tcBorders>
          </w:tcPr>
          <w:p w14:paraId="3BD22071" w14:textId="77777777" w:rsidR="00C92ADC" w:rsidRPr="00C92ADC" w:rsidRDefault="00C92ADC" w:rsidP="00C92ADC">
            <w:pPr>
              <w:jc w:val="both"/>
              <w:rPr>
                <w:rFonts w:ascii="Arial" w:hAnsi="Arial" w:cs="Arial"/>
                <w:bCs/>
                <w:sz w:val="20"/>
                <w:szCs w:val="20"/>
                <w:lang w:val="en-GB"/>
              </w:rPr>
            </w:pPr>
            <w:r w:rsidRPr="00C92ADC">
              <w:rPr>
                <w:rFonts w:ascii="Arial" w:hAnsi="Arial" w:cs="Arial"/>
                <w:bCs/>
                <w:sz w:val="20"/>
                <w:szCs w:val="20"/>
                <w:lang w:val="en-GB"/>
              </w:rPr>
              <w:t>No. Examined</w:t>
            </w:r>
          </w:p>
        </w:tc>
        <w:tc>
          <w:tcPr>
            <w:tcW w:w="2394" w:type="dxa"/>
            <w:tcBorders>
              <w:top w:val="single" w:sz="4" w:space="0" w:color="auto"/>
              <w:bottom w:val="single" w:sz="4" w:space="0" w:color="auto"/>
            </w:tcBorders>
          </w:tcPr>
          <w:p w14:paraId="073357BC" w14:textId="77777777" w:rsidR="00C92ADC" w:rsidRPr="00C92ADC" w:rsidRDefault="00C92ADC" w:rsidP="00C92ADC">
            <w:pPr>
              <w:jc w:val="both"/>
              <w:rPr>
                <w:rFonts w:ascii="Arial" w:hAnsi="Arial" w:cs="Arial"/>
                <w:bCs/>
                <w:sz w:val="20"/>
                <w:szCs w:val="20"/>
                <w:lang w:val="en-GB"/>
              </w:rPr>
            </w:pPr>
            <w:r w:rsidRPr="00C92ADC">
              <w:rPr>
                <w:rFonts w:ascii="Arial" w:hAnsi="Arial" w:cs="Arial"/>
                <w:bCs/>
                <w:sz w:val="20"/>
                <w:szCs w:val="20"/>
                <w:lang w:val="en-GB"/>
              </w:rPr>
              <w:t>No. Infected (%)</w:t>
            </w:r>
          </w:p>
        </w:tc>
        <w:tc>
          <w:tcPr>
            <w:tcW w:w="2394" w:type="dxa"/>
            <w:tcBorders>
              <w:top w:val="single" w:sz="4" w:space="0" w:color="auto"/>
              <w:bottom w:val="single" w:sz="4" w:space="0" w:color="auto"/>
            </w:tcBorders>
          </w:tcPr>
          <w:p w14:paraId="57B9821D" w14:textId="77777777" w:rsidR="00C92ADC" w:rsidRPr="00C92ADC" w:rsidRDefault="00C92ADC" w:rsidP="00C92ADC">
            <w:pPr>
              <w:jc w:val="both"/>
              <w:rPr>
                <w:rFonts w:ascii="Arial" w:hAnsi="Arial" w:cs="Arial"/>
                <w:bCs/>
                <w:sz w:val="20"/>
                <w:szCs w:val="20"/>
                <w:lang w:val="en-GB"/>
              </w:rPr>
            </w:pPr>
            <w:r w:rsidRPr="00C92ADC">
              <w:rPr>
                <w:rFonts w:ascii="Arial" w:hAnsi="Arial" w:cs="Arial"/>
                <w:bCs/>
                <w:i/>
                <w:sz w:val="20"/>
                <w:szCs w:val="20"/>
                <w:lang w:val="en-GB"/>
              </w:rPr>
              <w:t>P</w:t>
            </w:r>
            <w:r w:rsidRPr="00C92ADC">
              <w:rPr>
                <w:rFonts w:ascii="Arial" w:hAnsi="Arial" w:cs="Arial"/>
                <w:bCs/>
                <w:sz w:val="20"/>
                <w:szCs w:val="20"/>
                <w:lang w:val="en-GB"/>
              </w:rPr>
              <w:t xml:space="preserve"> value (χ²)</w:t>
            </w:r>
          </w:p>
        </w:tc>
      </w:tr>
      <w:tr w:rsidR="00C92ADC" w:rsidRPr="00C92ADC" w14:paraId="5DF17126" w14:textId="77777777" w:rsidTr="00207B81">
        <w:tc>
          <w:tcPr>
            <w:tcW w:w="2394" w:type="dxa"/>
            <w:tcBorders>
              <w:top w:val="single" w:sz="4" w:space="0" w:color="auto"/>
            </w:tcBorders>
          </w:tcPr>
          <w:p w14:paraId="54C8A99E" w14:textId="77777777" w:rsidR="00C92ADC" w:rsidRPr="00C92ADC" w:rsidRDefault="00C92ADC" w:rsidP="00C92ADC">
            <w:pPr>
              <w:jc w:val="both"/>
              <w:rPr>
                <w:rFonts w:ascii="Arial" w:hAnsi="Arial" w:cs="Arial"/>
                <w:bCs/>
                <w:sz w:val="20"/>
                <w:szCs w:val="20"/>
                <w:lang w:val="en-GB"/>
              </w:rPr>
            </w:pPr>
            <w:r w:rsidRPr="00C92ADC">
              <w:rPr>
                <w:rFonts w:ascii="Arial" w:hAnsi="Arial" w:cs="Arial"/>
                <w:bCs/>
                <w:sz w:val="20"/>
                <w:szCs w:val="20"/>
                <w:lang w:val="en-GB"/>
              </w:rPr>
              <w:t>Age Group (Years)</w:t>
            </w:r>
          </w:p>
        </w:tc>
        <w:tc>
          <w:tcPr>
            <w:tcW w:w="2394" w:type="dxa"/>
            <w:tcBorders>
              <w:top w:val="single" w:sz="4" w:space="0" w:color="auto"/>
            </w:tcBorders>
          </w:tcPr>
          <w:p w14:paraId="31200558" w14:textId="77777777" w:rsidR="00C92ADC" w:rsidRPr="00C92ADC" w:rsidRDefault="00C92ADC" w:rsidP="00C92ADC">
            <w:pPr>
              <w:jc w:val="both"/>
              <w:rPr>
                <w:rFonts w:ascii="Arial" w:hAnsi="Arial" w:cs="Arial"/>
                <w:bCs/>
                <w:sz w:val="20"/>
                <w:szCs w:val="20"/>
                <w:lang w:val="en-GB"/>
              </w:rPr>
            </w:pPr>
          </w:p>
        </w:tc>
        <w:tc>
          <w:tcPr>
            <w:tcW w:w="2394" w:type="dxa"/>
            <w:tcBorders>
              <w:top w:val="single" w:sz="4" w:space="0" w:color="auto"/>
            </w:tcBorders>
          </w:tcPr>
          <w:p w14:paraId="3479BD83" w14:textId="77777777" w:rsidR="00C92ADC" w:rsidRPr="00C92ADC" w:rsidRDefault="00C92ADC" w:rsidP="00C92ADC">
            <w:pPr>
              <w:jc w:val="both"/>
              <w:rPr>
                <w:rFonts w:ascii="Arial" w:hAnsi="Arial" w:cs="Arial"/>
                <w:bCs/>
                <w:sz w:val="20"/>
                <w:szCs w:val="20"/>
                <w:lang w:val="en-GB"/>
              </w:rPr>
            </w:pPr>
          </w:p>
        </w:tc>
        <w:tc>
          <w:tcPr>
            <w:tcW w:w="2394" w:type="dxa"/>
            <w:tcBorders>
              <w:top w:val="single" w:sz="4" w:space="0" w:color="auto"/>
            </w:tcBorders>
          </w:tcPr>
          <w:p w14:paraId="3D681B70" w14:textId="77777777" w:rsidR="00C92ADC" w:rsidRPr="00C92ADC" w:rsidRDefault="00C92ADC" w:rsidP="00C92ADC">
            <w:pPr>
              <w:jc w:val="both"/>
              <w:rPr>
                <w:rFonts w:ascii="Arial" w:hAnsi="Arial" w:cs="Arial"/>
                <w:bCs/>
                <w:sz w:val="20"/>
                <w:szCs w:val="20"/>
                <w:lang w:val="en-GB"/>
              </w:rPr>
            </w:pPr>
          </w:p>
        </w:tc>
      </w:tr>
      <w:tr w:rsidR="00C92ADC" w:rsidRPr="00C92ADC" w14:paraId="2C03E474" w14:textId="77777777" w:rsidTr="00207B81">
        <w:tc>
          <w:tcPr>
            <w:tcW w:w="2394" w:type="dxa"/>
          </w:tcPr>
          <w:p w14:paraId="128EBA5D" w14:textId="77777777" w:rsidR="00C92ADC" w:rsidRPr="00C92ADC" w:rsidRDefault="00C92ADC" w:rsidP="00C92ADC">
            <w:pPr>
              <w:jc w:val="both"/>
              <w:rPr>
                <w:rFonts w:ascii="Arial" w:hAnsi="Arial" w:cs="Arial"/>
                <w:bCs/>
                <w:sz w:val="20"/>
                <w:szCs w:val="20"/>
                <w:lang w:val="en-GB"/>
              </w:rPr>
            </w:pPr>
            <w:r w:rsidRPr="00C92ADC">
              <w:rPr>
                <w:rFonts w:ascii="Arial" w:hAnsi="Arial" w:cs="Arial"/>
                <w:bCs/>
                <w:sz w:val="20"/>
                <w:szCs w:val="20"/>
                <w:lang w:val="en-GB"/>
              </w:rPr>
              <w:t>1-10</w:t>
            </w:r>
          </w:p>
        </w:tc>
        <w:tc>
          <w:tcPr>
            <w:tcW w:w="2394" w:type="dxa"/>
          </w:tcPr>
          <w:p w14:paraId="0890496C" w14:textId="77777777" w:rsidR="00C92ADC" w:rsidRPr="00C92ADC" w:rsidRDefault="00C92ADC" w:rsidP="00C92ADC">
            <w:pPr>
              <w:jc w:val="both"/>
              <w:rPr>
                <w:rFonts w:ascii="Arial" w:hAnsi="Arial" w:cs="Arial"/>
                <w:bCs/>
                <w:sz w:val="20"/>
                <w:szCs w:val="20"/>
                <w:lang w:val="en-GB"/>
              </w:rPr>
            </w:pPr>
            <w:r w:rsidRPr="00C92ADC">
              <w:rPr>
                <w:rFonts w:ascii="Arial" w:hAnsi="Arial" w:cs="Arial"/>
                <w:bCs/>
                <w:sz w:val="20"/>
                <w:szCs w:val="20"/>
                <w:lang w:val="en-GB"/>
              </w:rPr>
              <w:t>220</w:t>
            </w:r>
          </w:p>
        </w:tc>
        <w:tc>
          <w:tcPr>
            <w:tcW w:w="2394" w:type="dxa"/>
          </w:tcPr>
          <w:p w14:paraId="225D5A3A" w14:textId="77777777" w:rsidR="00C92ADC" w:rsidRPr="00C92ADC" w:rsidRDefault="00C92ADC" w:rsidP="00C92ADC">
            <w:pPr>
              <w:jc w:val="both"/>
              <w:rPr>
                <w:rFonts w:ascii="Arial" w:hAnsi="Arial" w:cs="Arial"/>
                <w:bCs/>
                <w:sz w:val="20"/>
                <w:szCs w:val="20"/>
                <w:lang w:val="en-GB"/>
              </w:rPr>
            </w:pPr>
            <w:r w:rsidRPr="00C92ADC">
              <w:rPr>
                <w:rFonts w:ascii="Arial" w:hAnsi="Arial" w:cs="Arial"/>
                <w:bCs/>
                <w:sz w:val="20"/>
                <w:szCs w:val="20"/>
                <w:lang w:val="en-GB"/>
              </w:rPr>
              <w:t>70 (31.8)</w:t>
            </w:r>
          </w:p>
        </w:tc>
        <w:tc>
          <w:tcPr>
            <w:tcW w:w="2394" w:type="dxa"/>
          </w:tcPr>
          <w:p w14:paraId="725B1A11" w14:textId="77777777" w:rsidR="00C92ADC" w:rsidRPr="00C92ADC" w:rsidRDefault="00C92ADC" w:rsidP="00C92ADC">
            <w:pPr>
              <w:jc w:val="both"/>
              <w:rPr>
                <w:rFonts w:ascii="Arial" w:hAnsi="Arial" w:cs="Arial"/>
                <w:bCs/>
                <w:sz w:val="20"/>
                <w:szCs w:val="20"/>
                <w:lang w:val="en-GB"/>
              </w:rPr>
            </w:pPr>
            <w:r w:rsidRPr="00C92ADC">
              <w:rPr>
                <w:rFonts w:ascii="Arial" w:hAnsi="Arial" w:cs="Arial"/>
                <w:bCs/>
                <w:sz w:val="20"/>
                <w:szCs w:val="20"/>
                <w:lang w:val="en-GB"/>
              </w:rPr>
              <w:t>0.0021(20.68)</w:t>
            </w:r>
          </w:p>
        </w:tc>
      </w:tr>
      <w:tr w:rsidR="00C92ADC" w:rsidRPr="00C92ADC" w14:paraId="3F38FA6B" w14:textId="77777777" w:rsidTr="00207B81">
        <w:tc>
          <w:tcPr>
            <w:tcW w:w="2394" w:type="dxa"/>
          </w:tcPr>
          <w:p w14:paraId="2C600DBC" w14:textId="77777777" w:rsidR="00C92ADC" w:rsidRPr="00C92ADC" w:rsidRDefault="00C92ADC" w:rsidP="00C92ADC">
            <w:pPr>
              <w:jc w:val="both"/>
              <w:rPr>
                <w:rFonts w:ascii="Arial" w:hAnsi="Arial" w:cs="Arial"/>
                <w:bCs/>
                <w:sz w:val="20"/>
                <w:szCs w:val="20"/>
                <w:lang w:val="en-GB"/>
              </w:rPr>
            </w:pPr>
            <w:r w:rsidRPr="00C92ADC">
              <w:rPr>
                <w:rFonts w:ascii="Arial" w:hAnsi="Arial" w:cs="Arial"/>
                <w:bCs/>
                <w:sz w:val="20"/>
                <w:szCs w:val="20"/>
                <w:lang w:val="en-GB"/>
              </w:rPr>
              <w:t>11-20</w:t>
            </w:r>
          </w:p>
        </w:tc>
        <w:tc>
          <w:tcPr>
            <w:tcW w:w="2394" w:type="dxa"/>
          </w:tcPr>
          <w:p w14:paraId="7BFBA5BB" w14:textId="77777777" w:rsidR="00C92ADC" w:rsidRPr="00C92ADC" w:rsidRDefault="00C92ADC" w:rsidP="00C92ADC">
            <w:pPr>
              <w:jc w:val="both"/>
              <w:rPr>
                <w:rFonts w:ascii="Arial" w:hAnsi="Arial" w:cs="Arial"/>
                <w:bCs/>
                <w:sz w:val="20"/>
                <w:szCs w:val="20"/>
                <w:lang w:val="en-GB"/>
              </w:rPr>
            </w:pPr>
            <w:r w:rsidRPr="00C92ADC">
              <w:rPr>
                <w:rFonts w:ascii="Arial" w:hAnsi="Arial" w:cs="Arial"/>
                <w:bCs/>
                <w:sz w:val="20"/>
                <w:szCs w:val="20"/>
                <w:lang w:val="en-GB"/>
              </w:rPr>
              <w:t>93</w:t>
            </w:r>
          </w:p>
        </w:tc>
        <w:tc>
          <w:tcPr>
            <w:tcW w:w="2394" w:type="dxa"/>
          </w:tcPr>
          <w:p w14:paraId="0011FF3B" w14:textId="77777777" w:rsidR="00C92ADC" w:rsidRPr="00C92ADC" w:rsidRDefault="00C92ADC" w:rsidP="00C92ADC">
            <w:pPr>
              <w:jc w:val="both"/>
              <w:rPr>
                <w:rFonts w:ascii="Arial" w:hAnsi="Arial" w:cs="Arial"/>
                <w:bCs/>
                <w:sz w:val="20"/>
                <w:szCs w:val="20"/>
                <w:lang w:val="en-GB"/>
              </w:rPr>
            </w:pPr>
            <w:r w:rsidRPr="00C92ADC">
              <w:rPr>
                <w:rFonts w:ascii="Arial" w:hAnsi="Arial" w:cs="Arial"/>
                <w:bCs/>
                <w:sz w:val="20"/>
                <w:szCs w:val="20"/>
                <w:lang w:val="en-GB"/>
              </w:rPr>
              <w:t>44 (47.3)</w:t>
            </w:r>
          </w:p>
        </w:tc>
        <w:tc>
          <w:tcPr>
            <w:tcW w:w="2394" w:type="dxa"/>
          </w:tcPr>
          <w:p w14:paraId="4D793D7E" w14:textId="77777777" w:rsidR="00C92ADC" w:rsidRPr="00C92ADC" w:rsidRDefault="00C92ADC" w:rsidP="00C92ADC">
            <w:pPr>
              <w:jc w:val="both"/>
              <w:rPr>
                <w:rFonts w:ascii="Arial" w:hAnsi="Arial" w:cs="Arial"/>
                <w:bCs/>
                <w:sz w:val="20"/>
                <w:szCs w:val="20"/>
                <w:lang w:val="en-GB"/>
              </w:rPr>
            </w:pPr>
          </w:p>
        </w:tc>
      </w:tr>
      <w:tr w:rsidR="00C92ADC" w:rsidRPr="00C92ADC" w14:paraId="6F3AF13A" w14:textId="77777777" w:rsidTr="00207B81">
        <w:tc>
          <w:tcPr>
            <w:tcW w:w="2394" w:type="dxa"/>
          </w:tcPr>
          <w:p w14:paraId="07EBB4B7" w14:textId="77777777" w:rsidR="00C92ADC" w:rsidRPr="00C92ADC" w:rsidRDefault="00C92ADC" w:rsidP="00C92ADC">
            <w:pPr>
              <w:jc w:val="both"/>
              <w:rPr>
                <w:rFonts w:ascii="Arial" w:hAnsi="Arial" w:cs="Arial"/>
                <w:bCs/>
                <w:sz w:val="20"/>
                <w:szCs w:val="20"/>
                <w:lang w:val="en-GB"/>
              </w:rPr>
            </w:pPr>
            <w:r w:rsidRPr="00C92ADC">
              <w:rPr>
                <w:rFonts w:ascii="Arial" w:hAnsi="Arial" w:cs="Arial"/>
                <w:bCs/>
                <w:sz w:val="20"/>
                <w:szCs w:val="20"/>
                <w:lang w:val="en-GB"/>
              </w:rPr>
              <w:t>21-30</w:t>
            </w:r>
          </w:p>
        </w:tc>
        <w:tc>
          <w:tcPr>
            <w:tcW w:w="2394" w:type="dxa"/>
          </w:tcPr>
          <w:p w14:paraId="78807BC9" w14:textId="77777777" w:rsidR="00C92ADC" w:rsidRPr="00C92ADC" w:rsidRDefault="00C92ADC" w:rsidP="00C92ADC">
            <w:pPr>
              <w:jc w:val="both"/>
              <w:rPr>
                <w:rFonts w:ascii="Arial" w:hAnsi="Arial" w:cs="Arial"/>
                <w:bCs/>
                <w:sz w:val="20"/>
                <w:szCs w:val="20"/>
                <w:lang w:val="en-GB"/>
              </w:rPr>
            </w:pPr>
            <w:r w:rsidRPr="00C92ADC">
              <w:rPr>
                <w:rFonts w:ascii="Arial" w:hAnsi="Arial" w:cs="Arial"/>
                <w:bCs/>
                <w:sz w:val="20"/>
                <w:szCs w:val="20"/>
                <w:lang w:val="en-GB"/>
              </w:rPr>
              <w:t>153</w:t>
            </w:r>
          </w:p>
        </w:tc>
        <w:tc>
          <w:tcPr>
            <w:tcW w:w="2394" w:type="dxa"/>
          </w:tcPr>
          <w:p w14:paraId="7419CDC5" w14:textId="77777777" w:rsidR="00C92ADC" w:rsidRPr="00C92ADC" w:rsidRDefault="00C92ADC" w:rsidP="00C92ADC">
            <w:pPr>
              <w:jc w:val="both"/>
              <w:rPr>
                <w:rFonts w:ascii="Arial" w:hAnsi="Arial" w:cs="Arial"/>
                <w:bCs/>
                <w:sz w:val="20"/>
                <w:szCs w:val="20"/>
                <w:lang w:val="en-GB"/>
              </w:rPr>
            </w:pPr>
            <w:r w:rsidRPr="00C92ADC">
              <w:rPr>
                <w:rFonts w:ascii="Arial" w:hAnsi="Arial" w:cs="Arial"/>
                <w:bCs/>
                <w:sz w:val="20"/>
                <w:szCs w:val="20"/>
                <w:lang w:val="en-GB"/>
              </w:rPr>
              <w:t>50 (32.7)</w:t>
            </w:r>
          </w:p>
        </w:tc>
        <w:tc>
          <w:tcPr>
            <w:tcW w:w="2394" w:type="dxa"/>
          </w:tcPr>
          <w:p w14:paraId="1CF7F33B" w14:textId="77777777" w:rsidR="00C92ADC" w:rsidRPr="00C92ADC" w:rsidRDefault="00C92ADC" w:rsidP="00C92ADC">
            <w:pPr>
              <w:jc w:val="both"/>
              <w:rPr>
                <w:rFonts w:ascii="Arial" w:hAnsi="Arial" w:cs="Arial"/>
                <w:bCs/>
                <w:sz w:val="20"/>
                <w:szCs w:val="20"/>
                <w:lang w:val="en-GB"/>
              </w:rPr>
            </w:pPr>
          </w:p>
        </w:tc>
      </w:tr>
      <w:tr w:rsidR="00C92ADC" w:rsidRPr="00C92ADC" w14:paraId="154EA49B" w14:textId="77777777" w:rsidTr="00207B81">
        <w:tc>
          <w:tcPr>
            <w:tcW w:w="2394" w:type="dxa"/>
          </w:tcPr>
          <w:p w14:paraId="43453342" w14:textId="77777777" w:rsidR="00C92ADC" w:rsidRPr="00C92ADC" w:rsidRDefault="00C92ADC" w:rsidP="00C92ADC">
            <w:pPr>
              <w:jc w:val="both"/>
              <w:rPr>
                <w:rFonts w:ascii="Arial" w:hAnsi="Arial" w:cs="Arial"/>
                <w:bCs/>
                <w:sz w:val="20"/>
                <w:szCs w:val="20"/>
                <w:lang w:val="en-GB"/>
              </w:rPr>
            </w:pPr>
            <w:r w:rsidRPr="00C92ADC">
              <w:rPr>
                <w:rFonts w:ascii="Arial" w:hAnsi="Arial" w:cs="Arial"/>
                <w:bCs/>
                <w:sz w:val="20"/>
                <w:szCs w:val="20"/>
                <w:lang w:val="en-GB"/>
              </w:rPr>
              <w:t>31-40</w:t>
            </w:r>
          </w:p>
        </w:tc>
        <w:tc>
          <w:tcPr>
            <w:tcW w:w="2394" w:type="dxa"/>
          </w:tcPr>
          <w:p w14:paraId="50CC481D" w14:textId="77777777" w:rsidR="00C92ADC" w:rsidRPr="00C92ADC" w:rsidRDefault="00C92ADC" w:rsidP="00C92ADC">
            <w:pPr>
              <w:jc w:val="both"/>
              <w:rPr>
                <w:rFonts w:ascii="Arial" w:hAnsi="Arial" w:cs="Arial"/>
                <w:bCs/>
                <w:sz w:val="20"/>
                <w:szCs w:val="20"/>
                <w:lang w:val="en-GB"/>
              </w:rPr>
            </w:pPr>
            <w:r w:rsidRPr="00C92ADC">
              <w:rPr>
                <w:rFonts w:ascii="Arial" w:hAnsi="Arial" w:cs="Arial"/>
                <w:bCs/>
                <w:sz w:val="20"/>
                <w:szCs w:val="20"/>
                <w:lang w:val="en-GB"/>
              </w:rPr>
              <w:t>162</w:t>
            </w:r>
          </w:p>
        </w:tc>
        <w:tc>
          <w:tcPr>
            <w:tcW w:w="2394" w:type="dxa"/>
          </w:tcPr>
          <w:p w14:paraId="47F751E8" w14:textId="77777777" w:rsidR="00C92ADC" w:rsidRPr="00C92ADC" w:rsidRDefault="00C92ADC" w:rsidP="00C92ADC">
            <w:pPr>
              <w:jc w:val="both"/>
              <w:rPr>
                <w:rFonts w:ascii="Arial" w:hAnsi="Arial" w:cs="Arial"/>
                <w:bCs/>
                <w:sz w:val="20"/>
                <w:szCs w:val="20"/>
                <w:lang w:val="en-GB"/>
              </w:rPr>
            </w:pPr>
            <w:r w:rsidRPr="00C92ADC">
              <w:rPr>
                <w:rFonts w:ascii="Arial" w:hAnsi="Arial" w:cs="Arial"/>
                <w:bCs/>
                <w:sz w:val="20"/>
                <w:szCs w:val="20"/>
                <w:lang w:val="en-GB"/>
              </w:rPr>
              <w:t>47 (29.0)</w:t>
            </w:r>
          </w:p>
        </w:tc>
        <w:tc>
          <w:tcPr>
            <w:tcW w:w="2394" w:type="dxa"/>
          </w:tcPr>
          <w:p w14:paraId="760E1528" w14:textId="77777777" w:rsidR="00C92ADC" w:rsidRPr="00C92ADC" w:rsidRDefault="00C92ADC" w:rsidP="00C92ADC">
            <w:pPr>
              <w:jc w:val="both"/>
              <w:rPr>
                <w:rFonts w:ascii="Arial" w:hAnsi="Arial" w:cs="Arial"/>
                <w:bCs/>
                <w:sz w:val="20"/>
                <w:szCs w:val="20"/>
                <w:lang w:val="en-GB"/>
              </w:rPr>
            </w:pPr>
          </w:p>
        </w:tc>
      </w:tr>
      <w:tr w:rsidR="00C92ADC" w:rsidRPr="00C92ADC" w14:paraId="0435C2EB" w14:textId="77777777" w:rsidTr="00207B81">
        <w:tc>
          <w:tcPr>
            <w:tcW w:w="2394" w:type="dxa"/>
          </w:tcPr>
          <w:p w14:paraId="050D9891" w14:textId="77777777" w:rsidR="00C92ADC" w:rsidRPr="00C92ADC" w:rsidRDefault="00C92ADC" w:rsidP="00C92ADC">
            <w:pPr>
              <w:jc w:val="both"/>
              <w:rPr>
                <w:rFonts w:ascii="Arial" w:hAnsi="Arial" w:cs="Arial"/>
                <w:bCs/>
                <w:sz w:val="20"/>
                <w:szCs w:val="20"/>
                <w:lang w:val="en-GB"/>
              </w:rPr>
            </w:pPr>
            <w:r w:rsidRPr="00C92ADC">
              <w:rPr>
                <w:rFonts w:ascii="Arial" w:hAnsi="Arial" w:cs="Arial"/>
                <w:bCs/>
                <w:sz w:val="20"/>
                <w:szCs w:val="20"/>
                <w:lang w:val="en-GB"/>
              </w:rPr>
              <w:t>41-50</w:t>
            </w:r>
          </w:p>
        </w:tc>
        <w:tc>
          <w:tcPr>
            <w:tcW w:w="2394" w:type="dxa"/>
          </w:tcPr>
          <w:p w14:paraId="75A2A660" w14:textId="77777777" w:rsidR="00C92ADC" w:rsidRPr="00C92ADC" w:rsidRDefault="00C92ADC" w:rsidP="00C92ADC">
            <w:pPr>
              <w:jc w:val="both"/>
              <w:rPr>
                <w:rFonts w:ascii="Arial" w:hAnsi="Arial" w:cs="Arial"/>
                <w:bCs/>
                <w:sz w:val="20"/>
                <w:szCs w:val="20"/>
                <w:lang w:val="en-GB"/>
              </w:rPr>
            </w:pPr>
            <w:r w:rsidRPr="00C92ADC">
              <w:rPr>
                <w:rFonts w:ascii="Arial" w:hAnsi="Arial" w:cs="Arial"/>
                <w:bCs/>
                <w:sz w:val="20"/>
                <w:szCs w:val="20"/>
                <w:lang w:val="en-GB"/>
              </w:rPr>
              <w:t>88</w:t>
            </w:r>
          </w:p>
        </w:tc>
        <w:tc>
          <w:tcPr>
            <w:tcW w:w="2394" w:type="dxa"/>
          </w:tcPr>
          <w:p w14:paraId="7BD59773" w14:textId="77777777" w:rsidR="00C92ADC" w:rsidRPr="00C92ADC" w:rsidRDefault="00C92ADC" w:rsidP="00C92ADC">
            <w:pPr>
              <w:jc w:val="both"/>
              <w:rPr>
                <w:rFonts w:ascii="Arial" w:hAnsi="Arial" w:cs="Arial"/>
                <w:bCs/>
                <w:sz w:val="20"/>
                <w:szCs w:val="20"/>
                <w:lang w:val="en-GB"/>
              </w:rPr>
            </w:pPr>
            <w:r w:rsidRPr="00C92ADC">
              <w:rPr>
                <w:rFonts w:ascii="Arial" w:hAnsi="Arial" w:cs="Arial"/>
                <w:bCs/>
                <w:sz w:val="20"/>
                <w:szCs w:val="20"/>
                <w:lang w:val="en-GB"/>
              </w:rPr>
              <w:t>22 (25.0)</w:t>
            </w:r>
          </w:p>
        </w:tc>
        <w:tc>
          <w:tcPr>
            <w:tcW w:w="2394" w:type="dxa"/>
          </w:tcPr>
          <w:p w14:paraId="4C200A3E" w14:textId="77777777" w:rsidR="00C92ADC" w:rsidRPr="00C92ADC" w:rsidRDefault="00C92ADC" w:rsidP="00C92ADC">
            <w:pPr>
              <w:jc w:val="both"/>
              <w:rPr>
                <w:rFonts w:ascii="Arial" w:hAnsi="Arial" w:cs="Arial"/>
                <w:bCs/>
                <w:sz w:val="20"/>
                <w:szCs w:val="20"/>
                <w:lang w:val="en-GB"/>
              </w:rPr>
            </w:pPr>
          </w:p>
        </w:tc>
      </w:tr>
      <w:tr w:rsidR="00C92ADC" w:rsidRPr="00C92ADC" w14:paraId="2EA6DF68" w14:textId="77777777" w:rsidTr="00207B81">
        <w:tc>
          <w:tcPr>
            <w:tcW w:w="2394" w:type="dxa"/>
          </w:tcPr>
          <w:p w14:paraId="1D837569" w14:textId="77777777" w:rsidR="00C92ADC" w:rsidRPr="00C92ADC" w:rsidRDefault="00C92ADC" w:rsidP="00C92ADC">
            <w:pPr>
              <w:jc w:val="both"/>
              <w:rPr>
                <w:rFonts w:ascii="Arial" w:hAnsi="Arial" w:cs="Arial"/>
                <w:bCs/>
                <w:sz w:val="20"/>
                <w:szCs w:val="20"/>
                <w:lang w:val="en-GB"/>
              </w:rPr>
            </w:pPr>
            <w:r w:rsidRPr="00C92ADC">
              <w:rPr>
                <w:rFonts w:ascii="Arial" w:hAnsi="Arial" w:cs="Arial"/>
                <w:bCs/>
                <w:sz w:val="20"/>
                <w:szCs w:val="20"/>
                <w:lang w:val="en-GB"/>
              </w:rPr>
              <w:t>51-60</w:t>
            </w:r>
          </w:p>
        </w:tc>
        <w:tc>
          <w:tcPr>
            <w:tcW w:w="2394" w:type="dxa"/>
          </w:tcPr>
          <w:p w14:paraId="573BEDEC" w14:textId="77777777" w:rsidR="00C92ADC" w:rsidRPr="00C92ADC" w:rsidRDefault="00C92ADC" w:rsidP="00C92ADC">
            <w:pPr>
              <w:jc w:val="both"/>
              <w:rPr>
                <w:rFonts w:ascii="Arial" w:hAnsi="Arial" w:cs="Arial"/>
                <w:bCs/>
                <w:sz w:val="20"/>
                <w:szCs w:val="20"/>
                <w:lang w:val="en-GB"/>
              </w:rPr>
            </w:pPr>
            <w:r w:rsidRPr="00C92ADC">
              <w:rPr>
                <w:rFonts w:ascii="Arial" w:hAnsi="Arial" w:cs="Arial"/>
                <w:bCs/>
                <w:sz w:val="20"/>
                <w:szCs w:val="20"/>
                <w:lang w:val="en-GB"/>
              </w:rPr>
              <w:t>65</w:t>
            </w:r>
          </w:p>
        </w:tc>
        <w:tc>
          <w:tcPr>
            <w:tcW w:w="2394" w:type="dxa"/>
          </w:tcPr>
          <w:p w14:paraId="31235A17" w14:textId="77777777" w:rsidR="00C92ADC" w:rsidRPr="00C92ADC" w:rsidRDefault="00C92ADC" w:rsidP="00C92ADC">
            <w:pPr>
              <w:jc w:val="both"/>
              <w:rPr>
                <w:rFonts w:ascii="Arial" w:hAnsi="Arial" w:cs="Arial"/>
                <w:bCs/>
                <w:sz w:val="20"/>
                <w:szCs w:val="20"/>
                <w:lang w:val="en-GB"/>
              </w:rPr>
            </w:pPr>
            <w:r w:rsidRPr="00C92ADC">
              <w:rPr>
                <w:rFonts w:ascii="Arial" w:hAnsi="Arial" w:cs="Arial"/>
                <w:bCs/>
                <w:sz w:val="20"/>
                <w:szCs w:val="20"/>
                <w:lang w:val="en-GB"/>
              </w:rPr>
              <w:t>11 (16.9)</w:t>
            </w:r>
          </w:p>
        </w:tc>
        <w:tc>
          <w:tcPr>
            <w:tcW w:w="2394" w:type="dxa"/>
          </w:tcPr>
          <w:p w14:paraId="3443F8A7" w14:textId="77777777" w:rsidR="00C92ADC" w:rsidRPr="00C92ADC" w:rsidRDefault="00C92ADC" w:rsidP="00C92ADC">
            <w:pPr>
              <w:jc w:val="both"/>
              <w:rPr>
                <w:rFonts w:ascii="Arial" w:hAnsi="Arial" w:cs="Arial"/>
                <w:bCs/>
                <w:sz w:val="20"/>
                <w:szCs w:val="20"/>
                <w:lang w:val="en-GB"/>
              </w:rPr>
            </w:pPr>
          </w:p>
        </w:tc>
      </w:tr>
      <w:tr w:rsidR="00C92ADC" w:rsidRPr="00C92ADC" w14:paraId="58F9EFB3" w14:textId="77777777" w:rsidTr="00207B81">
        <w:tc>
          <w:tcPr>
            <w:tcW w:w="2394" w:type="dxa"/>
          </w:tcPr>
          <w:p w14:paraId="52D57039" w14:textId="77777777" w:rsidR="00C92ADC" w:rsidRPr="00C92ADC" w:rsidRDefault="00C92ADC" w:rsidP="00C92ADC">
            <w:pPr>
              <w:jc w:val="both"/>
              <w:rPr>
                <w:rFonts w:ascii="Arial" w:hAnsi="Arial" w:cs="Arial"/>
                <w:bCs/>
                <w:sz w:val="20"/>
                <w:szCs w:val="20"/>
                <w:lang w:val="en-GB"/>
              </w:rPr>
            </w:pPr>
            <w:r w:rsidRPr="00C92ADC">
              <w:rPr>
                <w:rFonts w:ascii="Arial" w:hAnsi="Arial" w:cs="Arial"/>
                <w:bCs/>
                <w:sz w:val="20"/>
                <w:szCs w:val="20"/>
                <w:lang w:val="en-GB"/>
              </w:rPr>
              <w:t>≥ 61</w:t>
            </w:r>
          </w:p>
        </w:tc>
        <w:tc>
          <w:tcPr>
            <w:tcW w:w="2394" w:type="dxa"/>
          </w:tcPr>
          <w:p w14:paraId="613F1392" w14:textId="77777777" w:rsidR="00C92ADC" w:rsidRPr="00C92ADC" w:rsidRDefault="00C92ADC" w:rsidP="00C92ADC">
            <w:pPr>
              <w:jc w:val="both"/>
              <w:rPr>
                <w:rFonts w:ascii="Arial" w:hAnsi="Arial" w:cs="Arial"/>
                <w:bCs/>
                <w:sz w:val="20"/>
                <w:szCs w:val="20"/>
                <w:lang w:val="en-GB"/>
              </w:rPr>
            </w:pPr>
            <w:r w:rsidRPr="00C92ADC">
              <w:rPr>
                <w:rFonts w:ascii="Arial" w:hAnsi="Arial" w:cs="Arial"/>
                <w:bCs/>
                <w:sz w:val="20"/>
                <w:szCs w:val="20"/>
                <w:lang w:val="en-GB"/>
              </w:rPr>
              <w:t>48</w:t>
            </w:r>
          </w:p>
        </w:tc>
        <w:tc>
          <w:tcPr>
            <w:tcW w:w="2394" w:type="dxa"/>
          </w:tcPr>
          <w:p w14:paraId="4BDEB236" w14:textId="77777777" w:rsidR="00C92ADC" w:rsidRPr="00C92ADC" w:rsidRDefault="00C92ADC" w:rsidP="00C92ADC">
            <w:pPr>
              <w:jc w:val="both"/>
              <w:rPr>
                <w:rFonts w:ascii="Arial" w:hAnsi="Arial" w:cs="Arial"/>
                <w:bCs/>
                <w:sz w:val="20"/>
                <w:szCs w:val="20"/>
                <w:lang w:val="en-GB"/>
              </w:rPr>
            </w:pPr>
            <w:r w:rsidRPr="00C92ADC">
              <w:rPr>
                <w:rFonts w:ascii="Arial" w:hAnsi="Arial" w:cs="Arial"/>
                <w:bCs/>
                <w:sz w:val="20"/>
                <w:szCs w:val="20"/>
                <w:lang w:val="en-GB"/>
              </w:rPr>
              <w:t>6 (12.5)</w:t>
            </w:r>
          </w:p>
        </w:tc>
        <w:tc>
          <w:tcPr>
            <w:tcW w:w="2394" w:type="dxa"/>
          </w:tcPr>
          <w:p w14:paraId="3967AA38" w14:textId="77777777" w:rsidR="00C92ADC" w:rsidRPr="00C92ADC" w:rsidRDefault="00C92ADC" w:rsidP="00C92ADC">
            <w:pPr>
              <w:jc w:val="both"/>
              <w:rPr>
                <w:rFonts w:ascii="Arial" w:hAnsi="Arial" w:cs="Arial"/>
                <w:bCs/>
                <w:sz w:val="20"/>
                <w:szCs w:val="20"/>
                <w:lang w:val="en-GB"/>
              </w:rPr>
            </w:pPr>
          </w:p>
        </w:tc>
      </w:tr>
      <w:tr w:rsidR="00C92ADC" w:rsidRPr="00C92ADC" w14:paraId="2C01251A" w14:textId="77777777" w:rsidTr="00207B81">
        <w:tc>
          <w:tcPr>
            <w:tcW w:w="2394" w:type="dxa"/>
          </w:tcPr>
          <w:p w14:paraId="210FA42C" w14:textId="77777777" w:rsidR="00C92ADC" w:rsidRDefault="00C92ADC" w:rsidP="00C92ADC">
            <w:pPr>
              <w:jc w:val="both"/>
              <w:rPr>
                <w:rFonts w:ascii="Arial" w:hAnsi="Arial" w:cs="Arial"/>
                <w:bCs/>
                <w:sz w:val="20"/>
                <w:szCs w:val="20"/>
                <w:lang w:val="en-GB"/>
              </w:rPr>
            </w:pPr>
          </w:p>
          <w:p w14:paraId="076D7934" w14:textId="7F4F5227" w:rsidR="00C92ADC" w:rsidRPr="00C92ADC" w:rsidRDefault="00C92ADC" w:rsidP="00C92ADC">
            <w:pPr>
              <w:jc w:val="both"/>
              <w:rPr>
                <w:rFonts w:ascii="Arial" w:hAnsi="Arial" w:cs="Arial"/>
                <w:bCs/>
                <w:sz w:val="20"/>
                <w:szCs w:val="20"/>
                <w:lang w:val="en-GB"/>
              </w:rPr>
            </w:pPr>
            <w:r w:rsidRPr="00C92ADC">
              <w:rPr>
                <w:rFonts w:ascii="Arial" w:hAnsi="Arial" w:cs="Arial"/>
                <w:bCs/>
                <w:sz w:val="20"/>
                <w:szCs w:val="20"/>
                <w:lang w:val="en-GB"/>
              </w:rPr>
              <w:t>Sex</w:t>
            </w:r>
          </w:p>
        </w:tc>
        <w:tc>
          <w:tcPr>
            <w:tcW w:w="2394" w:type="dxa"/>
          </w:tcPr>
          <w:p w14:paraId="0DCF64D5" w14:textId="77777777" w:rsidR="00C92ADC" w:rsidRPr="00C92ADC" w:rsidRDefault="00C92ADC" w:rsidP="00C92ADC">
            <w:pPr>
              <w:jc w:val="both"/>
              <w:rPr>
                <w:rFonts w:ascii="Arial" w:hAnsi="Arial" w:cs="Arial"/>
                <w:bCs/>
                <w:sz w:val="20"/>
                <w:szCs w:val="20"/>
                <w:lang w:val="en-GB"/>
              </w:rPr>
            </w:pPr>
          </w:p>
        </w:tc>
        <w:tc>
          <w:tcPr>
            <w:tcW w:w="2394" w:type="dxa"/>
          </w:tcPr>
          <w:p w14:paraId="685C07E8" w14:textId="77777777" w:rsidR="00C92ADC" w:rsidRPr="00C92ADC" w:rsidRDefault="00C92ADC" w:rsidP="00C92ADC">
            <w:pPr>
              <w:jc w:val="both"/>
              <w:rPr>
                <w:rFonts w:ascii="Arial" w:hAnsi="Arial" w:cs="Arial"/>
                <w:bCs/>
                <w:sz w:val="20"/>
                <w:szCs w:val="20"/>
                <w:lang w:val="en-GB"/>
              </w:rPr>
            </w:pPr>
          </w:p>
        </w:tc>
        <w:tc>
          <w:tcPr>
            <w:tcW w:w="2394" w:type="dxa"/>
          </w:tcPr>
          <w:p w14:paraId="2DA848E4" w14:textId="77777777" w:rsidR="00C92ADC" w:rsidRPr="00C92ADC" w:rsidRDefault="00C92ADC" w:rsidP="00C92ADC">
            <w:pPr>
              <w:jc w:val="both"/>
              <w:rPr>
                <w:rFonts w:ascii="Arial" w:hAnsi="Arial" w:cs="Arial"/>
                <w:bCs/>
                <w:sz w:val="20"/>
                <w:szCs w:val="20"/>
                <w:lang w:val="en-GB"/>
              </w:rPr>
            </w:pPr>
          </w:p>
        </w:tc>
      </w:tr>
      <w:tr w:rsidR="00C92ADC" w:rsidRPr="00C92ADC" w14:paraId="2E217DC4" w14:textId="77777777" w:rsidTr="00207B81">
        <w:tc>
          <w:tcPr>
            <w:tcW w:w="2394" w:type="dxa"/>
          </w:tcPr>
          <w:p w14:paraId="42F91ADB" w14:textId="77777777" w:rsidR="00C92ADC" w:rsidRPr="00C92ADC" w:rsidRDefault="00C92ADC" w:rsidP="00C92ADC">
            <w:pPr>
              <w:jc w:val="both"/>
              <w:rPr>
                <w:rFonts w:ascii="Arial" w:hAnsi="Arial" w:cs="Arial"/>
                <w:bCs/>
                <w:sz w:val="20"/>
                <w:szCs w:val="20"/>
                <w:lang w:val="en-GB"/>
              </w:rPr>
            </w:pPr>
            <w:r w:rsidRPr="00C92ADC">
              <w:rPr>
                <w:rFonts w:ascii="Arial" w:hAnsi="Arial" w:cs="Arial"/>
                <w:bCs/>
                <w:sz w:val="20"/>
                <w:szCs w:val="20"/>
                <w:lang w:val="en-GB"/>
              </w:rPr>
              <w:t>Female</w:t>
            </w:r>
          </w:p>
        </w:tc>
        <w:tc>
          <w:tcPr>
            <w:tcW w:w="2394" w:type="dxa"/>
          </w:tcPr>
          <w:p w14:paraId="6988172D" w14:textId="77777777" w:rsidR="00C92ADC" w:rsidRPr="00C92ADC" w:rsidRDefault="00C92ADC" w:rsidP="00C92ADC">
            <w:pPr>
              <w:jc w:val="both"/>
              <w:rPr>
                <w:rFonts w:ascii="Arial" w:hAnsi="Arial" w:cs="Arial"/>
                <w:bCs/>
                <w:sz w:val="20"/>
                <w:szCs w:val="20"/>
                <w:lang w:val="en-GB"/>
              </w:rPr>
            </w:pPr>
            <w:r w:rsidRPr="00C92ADC">
              <w:rPr>
                <w:rFonts w:ascii="Arial" w:hAnsi="Arial" w:cs="Arial"/>
                <w:bCs/>
                <w:sz w:val="20"/>
                <w:szCs w:val="20"/>
                <w:lang w:val="en-GB"/>
              </w:rPr>
              <w:t>469</w:t>
            </w:r>
          </w:p>
        </w:tc>
        <w:tc>
          <w:tcPr>
            <w:tcW w:w="2394" w:type="dxa"/>
          </w:tcPr>
          <w:p w14:paraId="24EE0E76" w14:textId="77777777" w:rsidR="00C92ADC" w:rsidRPr="00C92ADC" w:rsidRDefault="00C92ADC" w:rsidP="00C92ADC">
            <w:pPr>
              <w:jc w:val="both"/>
              <w:rPr>
                <w:rFonts w:ascii="Arial" w:hAnsi="Arial" w:cs="Arial"/>
                <w:bCs/>
                <w:sz w:val="20"/>
                <w:szCs w:val="20"/>
                <w:lang w:val="en-GB"/>
              </w:rPr>
            </w:pPr>
            <w:r w:rsidRPr="00C92ADC">
              <w:rPr>
                <w:rFonts w:ascii="Arial" w:hAnsi="Arial" w:cs="Arial"/>
                <w:bCs/>
                <w:sz w:val="20"/>
                <w:szCs w:val="20"/>
                <w:lang w:val="en-GB"/>
              </w:rPr>
              <w:t>156 (33.3)</w:t>
            </w:r>
          </w:p>
        </w:tc>
        <w:tc>
          <w:tcPr>
            <w:tcW w:w="2394" w:type="dxa"/>
          </w:tcPr>
          <w:p w14:paraId="5BAD9B09" w14:textId="77777777" w:rsidR="00C92ADC" w:rsidRPr="00C92ADC" w:rsidRDefault="00C92ADC" w:rsidP="00C92ADC">
            <w:pPr>
              <w:jc w:val="both"/>
              <w:rPr>
                <w:rFonts w:ascii="Arial" w:hAnsi="Arial" w:cs="Arial"/>
                <w:bCs/>
                <w:sz w:val="20"/>
                <w:szCs w:val="20"/>
                <w:lang w:val="en-GB"/>
              </w:rPr>
            </w:pPr>
            <w:r w:rsidRPr="00C92ADC">
              <w:rPr>
                <w:rFonts w:ascii="Arial" w:hAnsi="Arial" w:cs="Arial"/>
                <w:bCs/>
                <w:sz w:val="20"/>
                <w:szCs w:val="20"/>
                <w:lang w:val="en-GB"/>
              </w:rPr>
              <w:t>0.098(2.74)</w:t>
            </w:r>
          </w:p>
        </w:tc>
      </w:tr>
      <w:tr w:rsidR="00C92ADC" w:rsidRPr="00C92ADC" w14:paraId="51D09018" w14:textId="77777777" w:rsidTr="00207B81">
        <w:tc>
          <w:tcPr>
            <w:tcW w:w="2394" w:type="dxa"/>
          </w:tcPr>
          <w:p w14:paraId="55E28558" w14:textId="77777777" w:rsidR="00C92ADC" w:rsidRPr="00C92ADC" w:rsidRDefault="00C92ADC" w:rsidP="00C92ADC">
            <w:pPr>
              <w:jc w:val="both"/>
              <w:rPr>
                <w:rFonts w:ascii="Arial" w:hAnsi="Arial" w:cs="Arial"/>
                <w:bCs/>
                <w:sz w:val="20"/>
                <w:szCs w:val="20"/>
                <w:lang w:val="en-GB"/>
              </w:rPr>
            </w:pPr>
            <w:r w:rsidRPr="00C92ADC">
              <w:rPr>
                <w:rFonts w:ascii="Arial" w:hAnsi="Arial" w:cs="Arial"/>
                <w:bCs/>
                <w:sz w:val="20"/>
                <w:szCs w:val="20"/>
                <w:lang w:val="en-GB"/>
              </w:rPr>
              <w:t>Male</w:t>
            </w:r>
          </w:p>
        </w:tc>
        <w:tc>
          <w:tcPr>
            <w:tcW w:w="2394" w:type="dxa"/>
          </w:tcPr>
          <w:p w14:paraId="6E226332" w14:textId="77777777" w:rsidR="00C92ADC" w:rsidRPr="00C92ADC" w:rsidRDefault="00C92ADC" w:rsidP="00C92ADC">
            <w:pPr>
              <w:jc w:val="both"/>
              <w:rPr>
                <w:rFonts w:ascii="Arial" w:hAnsi="Arial" w:cs="Arial"/>
                <w:bCs/>
                <w:sz w:val="20"/>
                <w:szCs w:val="20"/>
                <w:lang w:val="en-GB"/>
              </w:rPr>
            </w:pPr>
            <w:r w:rsidRPr="00C92ADC">
              <w:rPr>
                <w:rFonts w:ascii="Arial" w:hAnsi="Arial" w:cs="Arial"/>
                <w:bCs/>
                <w:sz w:val="20"/>
                <w:szCs w:val="20"/>
                <w:lang w:val="en-GB"/>
              </w:rPr>
              <w:t>333</w:t>
            </w:r>
          </w:p>
        </w:tc>
        <w:tc>
          <w:tcPr>
            <w:tcW w:w="2394" w:type="dxa"/>
          </w:tcPr>
          <w:p w14:paraId="38447A63" w14:textId="77777777" w:rsidR="00C92ADC" w:rsidRPr="00C92ADC" w:rsidRDefault="00C92ADC" w:rsidP="00C92ADC">
            <w:pPr>
              <w:jc w:val="both"/>
              <w:rPr>
                <w:rFonts w:ascii="Arial" w:hAnsi="Arial" w:cs="Arial"/>
                <w:bCs/>
                <w:sz w:val="20"/>
                <w:szCs w:val="20"/>
                <w:lang w:val="en-GB"/>
              </w:rPr>
            </w:pPr>
            <w:r w:rsidRPr="00C92ADC">
              <w:rPr>
                <w:rFonts w:ascii="Arial" w:hAnsi="Arial" w:cs="Arial"/>
                <w:bCs/>
                <w:sz w:val="20"/>
                <w:szCs w:val="20"/>
                <w:lang w:val="en-GB"/>
              </w:rPr>
              <w:t>94 (28.2)</w:t>
            </w:r>
          </w:p>
        </w:tc>
        <w:tc>
          <w:tcPr>
            <w:tcW w:w="2394" w:type="dxa"/>
          </w:tcPr>
          <w:p w14:paraId="3618004E" w14:textId="77777777" w:rsidR="00C92ADC" w:rsidRPr="00C92ADC" w:rsidRDefault="00C92ADC" w:rsidP="00C92ADC">
            <w:pPr>
              <w:jc w:val="both"/>
              <w:rPr>
                <w:rFonts w:ascii="Arial" w:hAnsi="Arial" w:cs="Arial"/>
                <w:bCs/>
                <w:sz w:val="20"/>
                <w:szCs w:val="20"/>
                <w:lang w:val="en-GB"/>
              </w:rPr>
            </w:pPr>
          </w:p>
        </w:tc>
      </w:tr>
    </w:tbl>
    <w:p w14:paraId="4934C7CD" w14:textId="77777777" w:rsidR="00C92ADC" w:rsidRPr="00C92ADC" w:rsidRDefault="00C92ADC" w:rsidP="00C92ADC">
      <w:pPr>
        <w:jc w:val="both"/>
        <w:rPr>
          <w:rFonts w:ascii="Arial" w:hAnsi="Arial" w:cs="Arial"/>
          <w:bCs/>
          <w:lang w:val="en-GB"/>
        </w:rPr>
      </w:pPr>
    </w:p>
    <w:p w14:paraId="62BD7D50" w14:textId="77777777" w:rsidR="00C92ADC" w:rsidRPr="00C92ADC" w:rsidRDefault="00C92ADC" w:rsidP="00C92ADC">
      <w:pPr>
        <w:spacing w:after="240"/>
        <w:jc w:val="both"/>
        <w:rPr>
          <w:rFonts w:ascii="Arial" w:hAnsi="Arial" w:cs="Arial"/>
          <w:b/>
          <w:bCs/>
          <w:sz w:val="22"/>
          <w:szCs w:val="22"/>
        </w:rPr>
      </w:pPr>
      <w:r w:rsidRPr="00C92ADC">
        <w:rPr>
          <w:rFonts w:ascii="Arial" w:hAnsi="Arial" w:cs="Arial"/>
          <w:b/>
          <w:bCs/>
          <w:sz w:val="22"/>
          <w:szCs w:val="22"/>
        </w:rPr>
        <w:t>3.4 Prevalence by age and sex using microscopy</w:t>
      </w:r>
    </w:p>
    <w:p w14:paraId="1A7D4899" w14:textId="77777777" w:rsidR="00C92ADC" w:rsidRPr="00C92ADC" w:rsidRDefault="00C92ADC" w:rsidP="00C92ADC">
      <w:pPr>
        <w:spacing w:after="240"/>
        <w:jc w:val="both"/>
        <w:rPr>
          <w:rFonts w:ascii="Arial" w:hAnsi="Arial" w:cs="Arial"/>
        </w:rPr>
      </w:pPr>
      <w:r w:rsidRPr="00C92ADC">
        <w:rPr>
          <w:rFonts w:ascii="Arial" w:hAnsi="Arial" w:cs="Arial"/>
        </w:rPr>
        <w:t xml:space="preserve">By microscopy, the overall prevalence of </w:t>
      </w:r>
      <w:r w:rsidRPr="00C92ADC">
        <w:rPr>
          <w:rFonts w:ascii="Arial" w:hAnsi="Arial" w:cs="Arial"/>
          <w:i/>
          <w:iCs/>
        </w:rPr>
        <w:t>P. falciparum</w:t>
      </w:r>
      <w:r w:rsidRPr="00C92ADC">
        <w:rPr>
          <w:rFonts w:ascii="Arial" w:hAnsi="Arial" w:cs="Arial"/>
        </w:rPr>
        <w:t xml:space="preserve"> was </w:t>
      </w:r>
      <w:r w:rsidRPr="00C92ADC">
        <w:rPr>
          <w:rFonts w:ascii="Arial" w:hAnsi="Arial" w:cs="Arial"/>
          <w:bCs/>
        </w:rPr>
        <w:t>33.3%</w:t>
      </w:r>
      <w:r w:rsidRPr="00C92ADC">
        <w:rPr>
          <w:rFonts w:ascii="Arial" w:hAnsi="Arial" w:cs="Arial"/>
        </w:rPr>
        <w:t xml:space="preserve"> (276/829). The highest prevalence occurred among individuals aged </w:t>
      </w:r>
      <w:r w:rsidRPr="00C92ADC">
        <w:rPr>
          <w:rFonts w:ascii="Arial" w:hAnsi="Arial" w:cs="Arial"/>
          <w:bCs/>
        </w:rPr>
        <w:t>11-20 years (50.5%)</w:t>
      </w:r>
      <w:r w:rsidRPr="00C92ADC">
        <w:rPr>
          <w:rFonts w:ascii="Arial" w:hAnsi="Arial" w:cs="Arial"/>
        </w:rPr>
        <w:t xml:space="preserve">, followed by the 21-30 years (37.9%) and 1-10 years (35.5%) groups. The lowest prevalence was again observed among individuals’ ≥61 years (12.5%). The association between age and malaria infection remained statistically significant (χ²=20.83, df=6, </w:t>
      </w:r>
      <w:r w:rsidRPr="00C92ADC">
        <w:rPr>
          <w:rFonts w:ascii="Arial" w:hAnsi="Arial" w:cs="Arial"/>
          <w:i/>
        </w:rPr>
        <w:t>P</w:t>
      </w:r>
      <w:r w:rsidRPr="00C92ADC">
        <w:rPr>
          <w:rFonts w:ascii="Arial" w:hAnsi="Arial" w:cs="Arial"/>
        </w:rPr>
        <w:t xml:space="preserve">=.002). In terms of sex, females had a prevalence of 34.1% compared to 32.1% in males. However, this difference was not statistically significant (χ²=0.47, df=1, </w:t>
      </w:r>
      <w:r w:rsidRPr="00C92ADC">
        <w:rPr>
          <w:rFonts w:ascii="Arial" w:hAnsi="Arial" w:cs="Arial"/>
          <w:i/>
        </w:rPr>
        <w:t>P</w:t>
      </w:r>
      <w:r w:rsidRPr="00C92ADC">
        <w:rPr>
          <w:rFonts w:ascii="Arial" w:hAnsi="Arial" w:cs="Arial"/>
        </w:rPr>
        <w:t>=.490).</w:t>
      </w:r>
    </w:p>
    <w:p w14:paraId="5356C396" w14:textId="77777777" w:rsidR="00C92ADC" w:rsidRPr="00C92ADC" w:rsidRDefault="00C92ADC" w:rsidP="00C92ADC">
      <w:pPr>
        <w:jc w:val="both"/>
        <w:rPr>
          <w:rFonts w:ascii="Arial" w:hAnsi="Arial" w:cs="Arial"/>
          <w:bCs/>
          <w:lang w:val="en-GB"/>
        </w:rPr>
      </w:pPr>
      <w:r w:rsidRPr="00C92ADC">
        <w:rPr>
          <w:rFonts w:ascii="Arial" w:hAnsi="Arial" w:cs="Arial"/>
          <w:bCs/>
          <w:lang w:val="en-GB"/>
        </w:rPr>
        <w:t xml:space="preserve">Table 4. Prevalence of </w:t>
      </w:r>
      <w:r w:rsidRPr="00C92ADC">
        <w:rPr>
          <w:rFonts w:ascii="Arial" w:hAnsi="Arial" w:cs="Arial"/>
          <w:bCs/>
          <w:i/>
          <w:lang w:val="en-GB"/>
        </w:rPr>
        <w:t>Plasmodium falciparum</w:t>
      </w:r>
      <w:r w:rsidRPr="00C92ADC">
        <w:rPr>
          <w:rFonts w:ascii="Arial" w:hAnsi="Arial" w:cs="Arial"/>
          <w:bCs/>
          <w:lang w:val="en-GB"/>
        </w:rPr>
        <w:t xml:space="preserve"> according to age and sex by microscopy</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069"/>
        <w:gridCol w:w="2105"/>
        <w:gridCol w:w="2065"/>
        <w:gridCol w:w="2185"/>
      </w:tblGrid>
      <w:tr w:rsidR="00C92ADC" w:rsidRPr="00C92ADC" w14:paraId="126407B9" w14:textId="77777777" w:rsidTr="00207B81">
        <w:tc>
          <w:tcPr>
            <w:tcW w:w="2394" w:type="dxa"/>
            <w:tcBorders>
              <w:top w:val="single" w:sz="4" w:space="0" w:color="auto"/>
              <w:bottom w:val="single" w:sz="4" w:space="0" w:color="auto"/>
            </w:tcBorders>
          </w:tcPr>
          <w:p w14:paraId="429A3F90" w14:textId="77777777" w:rsidR="00C92ADC" w:rsidRPr="00C92ADC" w:rsidRDefault="00C92ADC" w:rsidP="00C92ADC">
            <w:pPr>
              <w:jc w:val="both"/>
              <w:rPr>
                <w:rFonts w:ascii="Arial" w:hAnsi="Arial" w:cs="Arial"/>
                <w:bCs/>
                <w:sz w:val="20"/>
                <w:lang w:val="en-GB"/>
              </w:rPr>
            </w:pPr>
            <w:r w:rsidRPr="00C92ADC">
              <w:rPr>
                <w:rFonts w:ascii="Arial" w:hAnsi="Arial" w:cs="Arial"/>
                <w:bCs/>
                <w:sz w:val="20"/>
                <w:lang w:val="en-GB"/>
              </w:rPr>
              <w:t>Variable</w:t>
            </w:r>
          </w:p>
        </w:tc>
        <w:tc>
          <w:tcPr>
            <w:tcW w:w="2394" w:type="dxa"/>
            <w:tcBorders>
              <w:top w:val="single" w:sz="4" w:space="0" w:color="auto"/>
              <w:bottom w:val="single" w:sz="4" w:space="0" w:color="auto"/>
            </w:tcBorders>
          </w:tcPr>
          <w:p w14:paraId="32854AA2" w14:textId="77777777" w:rsidR="00C92ADC" w:rsidRPr="00C92ADC" w:rsidRDefault="00C92ADC" w:rsidP="00C92ADC">
            <w:pPr>
              <w:jc w:val="both"/>
              <w:rPr>
                <w:rFonts w:ascii="Arial" w:hAnsi="Arial" w:cs="Arial"/>
                <w:bCs/>
                <w:sz w:val="20"/>
                <w:lang w:val="en-GB"/>
              </w:rPr>
            </w:pPr>
            <w:r w:rsidRPr="00C92ADC">
              <w:rPr>
                <w:rFonts w:ascii="Arial" w:hAnsi="Arial" w:cs="Arial"/>
                <w:bCs/>
                <w:sz w:val="20"/>
                <w:lang w:val="en-GB"/>
              </w:rPr>
              <w:t>No. Examined</w:t>
            </w:r>
          </w:p>
        </w:tc>
        <w:tc>
          <w:tcPr>
            <w:tcW w:w="2394" w:type="dxa"/>
            <w:tcBorders>
              <w:top w:val="single" w:sz="4" w:space="0" w:color="auto"/>
              <w:bottom w:val="single" w:sz="4" w:space="0" w:color="auto"/>
            </w:tcBorders>
          </w:tcPr>
          <w:p w14:paraId="3E8D0217" w14:textId="77777777" w:rsidR="00C92ADC" w:rsidRPr="00C92ADC" w:rsidRDefault="00C92ADC" w:rsidP="00C92ADC">
            <w:pPr>
              <w:jc w:val="both"/>
              <w:rPr>
                <w:rFonts w:ascii="Arial" w:hAnsi="Arial" w:cs="Arial"/>
                <w:bCs/>
                <w:sz w:val="20"/>
                <w:lang w:val="en-GB"/>
              </w:rPr>
            </w:pPr>
            <w:r w:rsidRPr="00C92ADC">
              <w:rPr>
                <w:rFonts w:ascii="Arial" w:hAnsi="Arial" w:cs="Arial"/>
                <w:bCs/>
                <w:sz w:val="20"/>
                <w:lang w:val="en-GB"/>
              </w:rPr>
              <w:t>No. Infected (%)</w:t>
            </w:r>
          </w:p>
        </w:tc>
        <w:tc>
          <w:tcPr>
            <w:tcW w:w="2394" w:type="dxa"/>
            <w:tcBorders>
              <w:top w:val="single" w:sz="4" w:space="0" w:color="auto"/>
              <w:bottom w:val="single" w:sz="4" w:space="0" w:color="auto"/>
            </w:tcBorders>
          </w:tcPr>
          <w:p w14:paraId="42961302" w14:textId="77777777" w:rsidR="00C92ADC" w:rsidRPr="00C92ADC" w:rsidRDefault="00C92ADC" w:rsidP="00C92ADC">
            <w:pPr>
              <w:jc w:val="both"/>
              <w:rPr>
                <w:rFonts w:ascii="Arial" w:hAnsi="Arial" w:cs="Arial"/>
                <w:bCs/>
                <w:sz w:val="20"/>
                <w:lang w:val="en-GB"/>
              </w:rPr>
            </w:pPr>
            <w:r w:rsidRPr="00C92ADC">
              <w:rPr>
                <w:rFonts w:ascii="Arial" w:hAnsi="Arial" w:cs="Arial"/>
                <w:bCs/>
                <w:i/>
                <w:sz w:val="20"/>
                <w:lang w:val="en-GB"/>
              </w:rPr>
              <w:t>P</w:t>
            </w:r>
            <w:r w:rsidRPr="00C92ADC">
              <w:rPr>
                <w:rFonts w:ascii="Arial" w:hAnsi="Arial" w:cs="Arial"/>
                <w:bCs/>
                <w:sz w:val="20"/>
                <w:lang w:val="en-GB"/>
              </w:rPr>
              <w:t xml:space="preserve"> value (χ²)</w:t>
            </w:r>
          </w:p>
        </w:tc>
      </w:tr>
      <w:tr w:rsidR="00C92ADC" w:rsidRPr="00C92ADC" w14:paraId="585E5D48" w14:textId="77777777" w:rsidTr="00207B81">
        <w:tc>
          <w:tcPr>
            <w:tcW w:w="2394" w:type="dxa"/>
            <w:tcBorders>
              <w:top w:val="single" w:sz="4" w:space="0" w:color="auto"/>
            </w:tcBorders>
          </w:tcPr>
          <w:p w14:paraId="22890F70" w14:textId="77777777" w:rsidR="00C92ADC" w:rsidRPr="00C92ADC" w:rsidRDefault="00C92ADC" w:rsidP="00C92ADC">
            <w:pPr>
              <w:jc w:val="both"/>
              <w:rPr>
                <w:rFonts w:ascii="Arial" w:hAnsi="Arial" w:cs="Arial"/>
                <w:bCs/>
                <w:sz w:val="20"/>
                <w:lang w:val="en-GB"/>
              </w:rPr>
            </w:pPr>
            <w:r w:rsidRPr="00C92ADC">
              <w:rPr>
                <w:rFonts w:ascii="Arial" w:hAnsi="Arial" w:cs="Arial"/>
                <w:bCs/>
                <w:sz w:val="20"/>
                <w:lang w:val="en-GB"/>
              </w:rPr>
              <w:t>Age Group (Years)</w:t>
            </w:r>
          </w:p>
        </w:tc>
        <w:tc>
          <w:tcPr>
            <w:tcW w:w="2394" w:type="dxa"/>
            <w:tcBorders>
              <w:top w:val="single" w:sz="4" w:space="0" w:color="auto"/>
            </w:tcBorders>
          </w:tcPr>
          <w:p w14:paraId="7F21FD3F" w14:textId="77777777" w:rsidR="00C92ADC" w:rsidRPr="00C92ADC" w:rsidRDefault="00C92ADC" w:rsidP="00C92ADC">
            <w:pPr>
              <w:jc w:val="both"/>
              <w:rPr>
                <w:rFonts w:ascii="Arial" w:hAnsi="Arial" w:cs="Arial"/>
                <w:bCs/>
                <w:sz w:val="20"/>
                <w:lang w:val="en-GB"/>
              </w:rPr>
            </w:pPr>
          </w:p>
        </w:tc>
        <w:tc>
          <w:tcPr>
            <w:tcW w:w="2394" w:type="dxa"/>
            <w:tcBorders>
              <w:top w:val="single" w:sz="4" w:space="0" w:color="auto"/>
            </w:tcBorders>
          </w:tcPr>
          <w:p w14:paraId="55FD579E" w14:textId="77777777" w:rsidR="00C92ADC" w:rsidRPr="00C92ADC" w:rsidRDefault="00C92ADC" w:rsidP="00C92ADC">
            <w:pPr>
              <w:jc w:val="both"/>
              <w:rPr>
                <w:rFonts w:ascii="Arial" w:hAnsi="Arial" w:cs="Arial"/>
                <w:bCs/>
                <w:sz w:val="20"/>
                <w:lang w:val="en-GB"/>
              </w:rPr>
            </w:pPr>
          </w:p>
        </w:tc>
        <w:tc>
          <w:tcPr>
            <w:tcW w:w="2394" w:type="dxa"/>
            <w:tcBorders>
              <w:top w:val="single" w:sz="4" w:space="0" w:color="auto"/>
            </w:tcBorders>
          </w:tcPr>
          <w:p w14:paraId="73171A71" w14:textId="77777777" w:rsidR="00C92ADC" w:rsidRPr="00C92ADC" w:rsidRDefault="00C92ADC" w:rsidP="00C92ADC">
            <w:pPr>
              <w:jc w:val="both"/>
              <w:rPr>
                <w:rFonts w:ascii="Arial" w:hAnsi="Arial" w:cs="Arial"/>
                <w:bCs/>
                <w:sz w:val="20"/>
                <w:lang w:val="en-GB"/>
              </w:rPr>
            </w:pPr>
          </w:p>
        </w:tc>
      </w:tr>
      <w:tr w:rsidR="00C92ADC" w:rsidRPr="00C92ADC" w14:paraId="276B8EE1" w14:textId="77777777" w:rsidTr="00207B81">
        <w:tc>
          <w:tcPr>
            <w:tcW w:w="2394" w:type="dxa"/>
          </w:tcPr>
          <w:p w14:paraId="372D734A" w14:textId="77777777" w:rsidR="00C92ADC" w:rsidRPr="00C92ADC" w:rsidRDefault="00C92ADC" w:rsidP="00C92ADC">
            <w:pPr>
              <w:jc w:val="both"/>
              <w:rPr>
                <w:rFonts w:ascii="Arial" w:hAnsi="Arial" w:cs="Arial"/>
                <w:bCs/>
                <w:sz w:val="20"/>
                <w:lang w:val="en-GB"/>
              </w:rPr>
            </w:pPr>
            <w:r w:rsidRPr="00C92ADC">
              <w:rPr>
                <w:rFonts w:ascii="Arial" w:hAnsi="Arial" w:cs="Arial"/>
                <w:bCs/>
                <w:sz w:val="20"/>
                <w:lang w:val="en-GB"/>
              </w:rPr>
              <w:t>1-10</w:t>
            </w:r>
          </w:p>
        </w:tc>
        <w:tc>
          <w:tcPr>
            <w:tcW w:w="2394" w:type="dxa"/>
          </w:tcPr>
          <w:p w14:paraId="65ACB971" w14:textId="77777777" w:rsidR="00C92ADC" w:rsidRPr="00C92ADC" w:rsidRDefault="00C92ADC" w:rsidP="00C92ADC">
            <w:pPr>
              <w:jc w:val="both"/>
              <w:rPr>
                <w:rFonts w:ascii="Arial" w:hAnsi="Arial" w:cs="Arial"/>
                <w:bCs/>
                <w:sz w:val="20"/>
                <w:lang w:val="en-GB"/>
              </w:rPr>
            </w:pPr>
            <w:r w:rsidRPr="00C92ADC">
              <w:rPr>
                <w:rFonts w:ascii="Arial" w:hAnsi="Arial" w:cs="Arial"/>
                <w:bCs/>
                <w:sz w:val="20"/>
                <w:lang w:val="en-GB"/>
              </w:rPr>
              <w:t>220</w:t>
            </w:r>
          </w:p>
        </w:tc>
        <w:tc>
          <w:tcPr>
            <w:tcW w:w="2394" w:type="dxa"/>
          </w:tcPr>
          <w:p w14:paraId="2E5322E8" w14:textId="77777777" w:rsidR="00C92ADC" w:rsidRPr="00C92ADC" w:rsidRDefault="00C92ADC" w:rsidP="00C92ADC">
            <w:pPr>
              <w:jc w:val="both"/>
              <w:rPr>
                <w:rFonts w:ascii="Arial" w:hAnsi="Arial" w:cs="Arial"/>
                <w:bCs/>
                <w:sz w:val="20"/>
                <w:lang w:val="en-GB"/>
              </w:rPr>
            </w:pPr>
            <w:r w:rsidRPr="00C92ADC">
              <w:rPr>
                <w:rFonts w:ascii="Arial" w:hAnsi="Arial" w:cs="Arial"/>
                <w:bCs/>
                <w:sz w:val="20"/>
                <w:lang w:val="en-GB"/>
              </w:rPr>
              <w:t>78 (35.5)</w:t>
            </w:r>
          </w:p>
        </w:tc>
        <w:tc>
          <w:tcPr>
            <w:tcW w:w="2394" w:type="dxa"/>
          </w:tcPr>
          <w:p w14:paraId="466EE59D" w14:textId="77777777" w:rsidR="00C92ADC" w:rsidRPr="00C92ADC" w:rsidRDefault="00C92ADC" w:rsidP="00C92ADC">
            <w:pPr>
              <w:jc w:val="both"/>
              <w:rPr>
                <w:rFonts w:ascii="Arial" w:hAnsi="Arial" w:cs="Arial"/>
                <w:bCs/>
                <w:sz w:val="20"/>
                <w:lang w:val="en-GB"/>
              </w:rPr>
            </w:pPr>
            <w:r w:rsidRPr="00C92ADC">
              <w:rPr>
                <w:rFonts w:ascii="Arial" w:hAnsi="Arial" w:cs="Arial"/>
                <w:bCs/>
                <w:sz w:val="20"/>
                <w:lang w:val="en-GB"/>
              </w:rPr>
              <w:t>0.0020(20.83)</w:t>
            </w:r>
          </w:p>
        </w:tc>
      </w:tr>
      <w:tr w:rsidR="00C92ADC" w:rsidRPr="00C92ADC" w14:paraId="11580D20" w14:textId="77777777" w:rsidTr="00207B81">
        <w:tc>
          <w:tcPr>
            <w:tcW w:w="2394" w:type="dxa"/>
          </w:tcPr>
          <w:p w14:paraId="64551538" w14:textId="77777777" w:rsidR="00C92ADC" w:rsidRPr="00C92ADC" w:rsidRDefault="00C92ADC" w:rsidP="00C92ADC">
            <w:pPr>
              <w:jc w:val="both"/>
              <w:rPr>
                <w:rFonts w:ascii="Arial" w:hAnsi="Arial" w:cs="Arial"/>
                <w:bCs/>
                <w:sz w:val="20"/>
                <w:lang w:val="en-GB"/>
              </w:rPr>
            </w:pPr>
            <w:r w:rsidRPr="00C92ADC">
              <w:rPr>
                <w:rFonts w:ascii="Arial" w:hAnsi="Arial" w:cs="Arial"/>
                <w:bCs/>
                <w:sz w:val="20"/>
                <w:lang w:val="en-GB"/>
              </w:rPr>
              <w:t>11-20</w:t>
            </w:r>
          </w:p>
        </w:tc>
        <w:tc>
          <w:tcPr>
            <w:tcW w:w="2394" w:type="dxa"/>
          </w:tcPr>
          <w:p w14:paraId="2F1BEA20" w14:textId="77777777" w:rsidR="00C92ADC" w:rsidRPr="00C92ADC" w:rsidRDefault="00C92ADC" w:rsidP="00C92ADC">
            <w:pPr>
              <w:jc w:val="both"/>
              <w:rPr>
                <w:rFonts w:ascii="Arial" w:hAnsi="Arial" w:cs="Arial"/>
                <w:bCs/>
                <w:sz w:val="20"/>
                <w:lang w:val="en-GB"/>
              </w:rPr>
            </w:pPr>
            <w:r w:rsidRPr="00C92ADC">
              <w:rPr>
                <w:rFonts w:ascii="Arial" w:hAnsi="Arial" w:cs="Arial"/>
                <w:bCs/>
                <w:sz w:val="20"/>
                <w:lang w:val="en-GB"/>
              </w:rPr>
              <w:t>93</w:t>
            </w:r>
          </w:p>
        </w:tc>
        <w:tc>
          <w:tcPr>
            <w:tcW w:w="2394" w:type="dxa"/>
          </w:tcPr>
          <w:p w14:paraId="5CF18CDD" w14:textId="77777777" w:rsidR="00C92ADC" w:rsidRPr="00C92ADC" w:rsidRDefault="00C92ADC" w:rsidP="00C92ADC">
            <w:pPr>
              <w:jc w:val="both"/>
              <w:rPr>
                <w:rFonts w:ascii="Arial" w:hAnsi="Arial" w:cs="Arial"/>
                <w:bCs/>
                <w:sz w:val="20"/>
                <w:lang w:val="en-GB"/>
              </w:rPr>
            </w:pPr>
            <w:r w:rsidRPr="00C92ADC">
              <w:rPr>
                <w:rFonts w:ascii="Arial" w:hAnsi="Arial" w:cs="Arial"/>
                <w:bCs/>
                <w:sz w:val="20"/>
                <w:lang w:val="en-GB"/>
              </w:rPr>
              <w:t>47 (50.5)</w:t>
            </w:r>
          </w:p>
        </w:tc>
        <w:tc>
          <w:tcPr>
            <w:tcW w:w="2394" w:type="dxa"/>
          </w:tcPr>
          <w:p w14:paraId="39B5DFD0" w14:textId="77777777" w:rsidR="00C92ADC" w:rsidRPr="00C92ADC" w:rsidRDefault="00C92ADC" w:rsidP="00C92ADC">
            <w:pPr>
              <w:jc w:val="both"/>
              <w:rPr>
                <w:rFonts w:ascii="Arial" w:hAnsi="Arial" w:cs="Arial"/>
                <w:bCs/>
                <w:sz w:val="20"/>
                <w:lang w:val="en-GB"/>
              </w:rPr>
            </w:pPr>
          </w:p>
        </w:tc>
      </w:tr>
      <w:tr w:rsidR="00C92ADC" w:rsidRPr="00C92ADC" w14:paraId="4033D777" w14:textId="77777777" w:rsidTr="00207B81">
        <w:tc>
          <w:tcPr>
            <w:tcW w:w="2394" w:type="dxa"/>
          </w:tcPr>
          <w:p w14:paraId="79FC40F0" w14:textId="77777777" w:rsidR="00C92ADC" w:rsidRPr="00C92ADC" w:rsidRDefault="00C92ADC" w:rsidP="00C92ADC">
            <w:pPr>
              <w:jc w:val="both"/>
              <w:rPr>
                <w:rFonts w:ascii="Arial" w:hAnsi="Arial" w:cs="Arial"/>
                <w:bCs/>
                <w:sz w:val="20"/>
                <w:lang w:val="en-GB"/>
              </w:rPr>
            </w:pPr>
            <w:r w:rsidRPr="00C92ADC">
              <w:rPr>
                <w:rFonts w:ascii="Arial" w:hAnsi="Arial" w:cs="Arial"/>
                <w:bCs/>
                <w:sz w:val="20"/>
                <w:lang w:val="en-GB"/>
              </w:rPr>
              <w:t>21-30</w:t>
            </w:r>
          </w:p>
        </w:tc>
        <w:tc>
          <w:tcPr>
            <w:tcW w:w="2394" w:type="dxa"/>
          </w:tcPr>
          <w:p w14:paraId="5D543FDB" w14:textId="77777777" w:rsidR="00C92ADC" w:rsidRPr="00C92ADC" w:rsidRDefault="00C92ADC" w:rsidP="00C92ADC">
            <w:pPr>
              <w:jc w:val="both"/>
              <w:rPr>
                <w:rFonts w:ascii="Arial" w:hAnsi="Arial" w:cs="Arial"/>
                <w:bCs/>
                <w:sz w:val="20"/>
                <w:lang w:val="en-GB"/>
              </w:rPr>
            </w:pPr>
            <w:r w:rsidRPr="00C92ADC">
              <w:rPr>
                <w:rFonts w:ascii="Arial" w:hAnsi="Arial" w:cs="Arial"/>
                <w:bCs/>
                <w:sz w:val="20"/>
                <w:lang w:val="en-GB"/>
              </w:rPr>
              <w:t>153</w:t>
            </w:r>
          </w:p>
        </w:tc>
        <w:tc>
          <w:tcPr>
            <w:tcW w:w="2394" w:type="dxa"/>
          </w:tcPr>
          <w:p w14:paraId="04229A64" w14:textId="77777777" w:rsidR="00C92ADC" w:rsidRPr="00C92ADC" w:rsidRDefault="00C92ADC" w:rsidP="00C92ADC">
            <w:pPr>
              <w:jc w:val="both"/>
              <w:rPr>
                <w:rFonts w:ascii="Arial" w:hAnsi="Arial" w:cs="Arial"/>
                <w:bCs/>
                <w:sz w:val="20"/>
                <w:lang w:val="en-GB"/>
              </w:rPr>
            </w:pPr>
            <w:r w:rsidRPr="00C92ADC">
              <w:rPr>
                <w:rFonts w:ascii="Arial" w:hAnsi="Arial" w:cs="Arial"/>
                <w:bCs/>
                <w:sz w:val="20"/>
                <w:lang w:val="en-GB"/>
              </w:rPr>
              <w:t>58 (37.9)</w:t>
            </w:r>
          </w:p>
        </w:tc>
        <w:tc>
          <w:tcPr>
            <w:tcW w:w="2394" w:type="dxa"/>
          </w:tcPr>
          <w:p w14:paraId="3E899C09" w14:textId="77777777" w:rsidR="00C92ADC" w:rsidRPr="00C92ADC" w:rsidRDefault="00C92ADC" w:rsidP="00C92ADC">
            <w:pPr>
              <w:jc w:val="both"/>
              <w:rPr>
                <w:rFonts w:ascii="Arial" w:hAnsi="Arial" w:cs="Arial"/>
                <w:bCs/>
                <w:sz w:val="20"/>
                <w:lang w:val="en-GB"/>
              </w:rPr>
            </w:pPr>
          </w:p>
        </w:tc>
      </w:tr>
      <w:tr w:rsidR="00C92ADC" w:rsidRPr="00C92ADC" w14:paraId="4D836978" w14:textId="77777777" w:rsidTr="00207B81">
        <w:tc>
          <w:tcPr>
            <w:tcW w:w="2394" w:type="dxa"/>
          </w:tcPr>
          <w:p w14:paraId="1FDDD40A" w14:textId="77777777" w:rsidR="00C92ADC" w:rsidRPr="00C92ADC" w:rsidRDefault="00C92ADC" w:rsidP="00C92ADC">
            <w:pPr>
              <w:jc w:val="both"/>
              <w:rPr>
                <w:rFonts w:ascii="Arial" w:hAnsi="Arial" w:cs="Arial"/>
                <w:bCs/>
                <w:sz w:val="20"/>
                <w:lang w:val="en-GB"/>
              </w:rPr>
            </w:pPr>
            <w:r w:rsidRPr="00C92ADC">
              <w:rPr>
                <w:rFonts w:ascii="Arial" w:hAnsi="Arial" w:cs="Arial"/>
                <w:bCs/>
                <w:sz w:val="20"/>
                <w:lang w:val="en-GB"/>
              </w:rPr>
              <w:t>31-40</w:t>
            </w:r>
          </w:p>
        </w:tc>
        <w:tc>
          <w:tcPr>
            <w:tcW w:w="2394" w:type="dxa"/>
          </w:tcPr>
          <w:p w14:paraId="1C1C3503" w14:textId="77777777" w:rsidR="00C92ADC" w:rsidRPr="00C92ADC" w:rsidRDefault="00C92ADC" w:rsidP="00C92ADC">
            <w:pPr>
              <w:jc w:val="both"/>
              <w:rPr>
                <w:rFonts w:ascii="Arial" w:hAnsi="Arial" w:cs="Arial"/>
                <w:bCs/>
                <w:sz w:val="20"/>
                <w:lang w:val="en-GB"/>
              </w:rPr>
            </w:pPr>
            <w:r w:rsidRPr="00C92ADC">
              <w:rPr>
                <w:rFonts w:ascii="Arial" w:hAnsi="Arial" w:cs="Arial"/>
                <w:bCs/>
                <w:sz w:val="20"/>
                <w:lang w:val="en-GB"/>
              </w:rPr>
              <w:t>162</w:t>
            </w:r>
          </w:p>
        </w:tc>
        <w:tc>
          <w:tcPr>
            <w:tcW w:w="2394" w:type="dxa"/>
          </w:tcPr>
          <w:p w14:paraId="012A8278" w14:textId="77777777" w:rsidR="00C92ADC" w:rsidRPr="00C92ADC" w:rsidRDefault="00C92ADC" w:rsidP="00C92ADC">
            <w:pPr>
              <w:jc w:val="both"/>
              <w:rPr>
                <w:rFonts w:ascii="Arial" w:hAnsi="Arial" w:cs="Arial"/>
                <w:bCs/>
                <w:sz w:val="20"/>
                <w:lang w:val="en-GB"/>
              </w:rPr>
            </w:pPr>
            <w:r w:rsidRPr="00C92ADC">
              <w:rPr>
                <w:rFonts w:ascii="Arial" w:hAnsi="Arial" w:cs="Arial"/>
                <w:bCs/>
                <w:sz w:val="20"/>
                <w:lang w:val="en-GB"/>
              </w:rPr>
              <w:t>50 (30.9)</w:t>
            </w:r>
          </w:p>
        </w:tc>
        <w:tc>
          <w:tcPr>
            <w:tcW w:w="2394" w:type="dxa"/>
          </w:tcPr>
          <w:p w14:paraId="56DBE8EB" w14:textId="77777777" w:rsidR="00C92ADC" w:rsidRPr="00C92ADC" w:rsidRDefault="00C92ADC" w:rsidP="00C92ADC">
            <w:pPr>
              <w:jc w:val="both"/>
              <w:rPr>
                <w:rFonts w:ascii="Arial" w:hAnsi="Arial" w:cs="Arial"/>
                <w:bCs/>
                <w:sz w:val="20"/>
                <w:lang w:val="en-GB"/>
              </w:rPr>
            </w:pPr>
          </w:p>
        </w:tc>
      </w:tr>
      <w:tr w:rsidR="00C92ADC" w:rsidRPr="00C92ADC" w14:paraId="42FCA227" w14:textId="77777777" w:rsidTr="00207B81">
        <w:tc>
          <w:tcPr>
            <w:tcW w:w="2394" w:type="dxa"/>
          </w:tcPr>
          <w:p w14:paraId="45720DB0" w14:textId="77777777" w:rsidR="00C92ADC" w:rsidRPr="00C92ADC" w:rsidRDefault="00C92ADC" w:rsidP="00C92ADC">
            <w:pPr>
              <w:jc w:val="both"/>
              <w:rPr>
                <w:rFonts w:ascii="Arial" w:hAnsi="Arial" w:cs="Arial"/>
                <w:bCs/>
                <w:sz w:val="20"/>
                <w:lang w:val="en-GB"/>
              </w:rPr>
            </w:pPr>
            <w:r w:rsidRPr="00C92ADC">
              <w:rPr>
                <w:rFonts w:ascii="Arial" w:hAnsi="Arial" w:cs="Arial"/>
                <w:bCs/>
                <w:sz w:val="20"/>
                <w:lang w:val="en-GB"/>
              </w:rPr>
              <w:t>41-50</w:t>
            </w:r>
          </w:p>
        </w:tc>
        <w:tc>
          <w:tcPr>
            <w:tcW w:w="2394" w:type="dxa"/>
          </w:tcPr>
          <w:p w14:paraId="438404C2" w14:textId="77777777" w:rsidR="00C92ADC" w:rsidRPr="00C92ADC" w:rsidRDefault="00C92ADC" w:rsidP="00C92ADC">
            <w:pPr>
              <w:jc w:val="both"/>
              <w:rPr>
                <w:rFonts w:ascii="Arial" w:hAnsi="Arial" w:cs="Arial"/>
                <w:bCs/>
                <w:sz w:val="20"/>
                <w:lang w:val="en-GB"/>
              </w:rPr>
            </w:pPr>
            <w:r w:rsidRPr="00C92ADC">
              <w:rPr>
                <w:rFonts w:ascii="Arial" w:hAnsi="Arial" w:cs="Arial"/>
                <w:bCs/>
                <w:sz w:val="20"/>
                <w:lang w:val="en-GB"/>
              </w:rPr>
              <w:t>88</w:t>
            </w:r>
          </w:p>
        </w:tc>
        <w:tc>
          <w:tcPr>
            <w:tcW w:w="2394" w:type="dxa"/>
          </w:tcPr>
          <w:p w14:paraId="3AB76EED" w14:textId="77777777" w:rsidR="00C92ADC" w:rsidRPr="00C92ADC" w:rsidRDefault="00C92ADC" w:rsidP="00C92ADC">
            <w:pPr>
              <w:jc w:val="both"/>
              <w:rPr>
                <w:rFonts w:ascii="Arial" w:hAnsi="Arial" w:cs="Arial"/>
                <w:bCs/>
                <w:sz w:val="20"/>
                <w:lang w:val="en-GB"/>
              </w:rPr>
            </w:pPr>
            <w:r w:rsidRPr="00C92ADC">
              <w:rPr>
                <w:rFonts w:ascii="Arial" w:hAnsi="Arial" w:cs="Arial"/>
                <w:bCs/>
                <w:sz w:val="20"/>
                <w:lang w:val="en-GB"/>
              </w:rPr>
              <w:t>25 (28.4)</w:t>
            </w:r>
          </w:p>
        </w:tc>
        <w:tc>
          <w:tcPr>
            <w:tcW w:w="2394" w:type="dxa"/>
          </w:tcPr>
          <w:p w14:paraId="2A275BE1" w14:textId="77777777" w:rsidR="00C92ADC" w:rsidRPr="00C92ADC" w:rsidRDefault="00C92ADC" w:rsidP="00C92ADC">
            <w:pPr>
              <w:jc w:val="both"/>
              <w:rPr>
                <w:rFonts w:ascii="Arial" w:hAnsi="Arial" w:cs="Arial"/>
                <w:bCs/>
                <w:sz w:val="20"/>
                <w:lang w:val="en-GB"/>
              </w:rPr>
            </w:pPr>
          </w:p>
        </w:tc>
      </w:tr>
      <w:tr w:rsidR="00C92ADC" w:rsidRPr="00C92ADC" w14:paraId="6CB19ED6" w14:textId="77777777" w:rsidTr="00207B81">
        <w:tc>
          <w:tcPr>
            <w:tcW w:w="2394" w:type="dxa"/>
          </w:tcPr>
          <w:p w14:paraId="70E57CB8" w14:textId="77777777" w:rsidR="00C92ADC" w:rsidRPr="00C92ADC" w:rsidRDefault="00C92ADC" w:rsidP="00C92ADC">
            <w:pPr>
              <w:jc w:val="both"/>
              <w:rPr>
                <w:rFonts w:ascii="Arial" w:hAnsi="Arial" w:cs="Arial"/>
                <w:bCs/>
                <w:sz w:val="20"/>
                <w:lang w:val="en-GB"/>
              </w:rPr>
            </w:pPr>
            <w:r w:rsidRPr="00C92ADC">
              <w:rPr>
                <w:rFonts w:ascii="Arial" w:hAnsi="Arial" w:cs="Arial"/>
                <w:bCs/>
                <w:sz w:val="20"/>
                <w:lang w:val="en-GB"/>
              </w:rPr>
              <w:t>51-60</w:t>
            </w:r>
          </w:p>
        </w:tc>
        <w:tc>
          <w:tcPr>
            <w:tcW w:w="2394" w:type="dxa"/>
          </w:tcPr>
          <w:p w14:paraId="2EEE94C8" w14:textId="77777777" w:rsidR="00C92ADC" w:rsidRPr="00C92ADC" w:rsidRDefault="00C92ADC" w:rsidP="00C92ADC">
            <w:pPr>
              <w:jc w:val="both"/>
              <w:rPr>
                <w:rFonts w:ascii="Arial" w:hAnsi="Arial" w:cs="Arial"/>
                <w:bCs/>
                <w:sz w:val="20"/>
                <w:lang w:val="en-GB"/>
              </w:rPr>
            </w:pPr>
            <w:r w:rsidRPr="00C92ADC">
              <w:rPr>
                <w:rFonts w:ascii="Arial" w:hAnsi="Arial" w:cs="Arial"/>
                <w:bCs/>
                <w:sz w:val="20"/>
                <w:lang w:val="en-GB"/>
              </w:rPr>
              <w:t>65</w:t>
            </w:r>
          </w:p>
        </w:tc>
        <w:tc>
          <w:tcPr>
            <w:tcW w:w="2394" w:type="dxa"/>
          </w:tcPr>
          <w:p w14:paraId="11CE92E7" w14:textId="77777777" w:rsidR="00C92ADC" w:rsidRPr="00C92ADC" w:rsidRDefault="00C92ADC" w:rsidP="00C92ADC">
            <w:pPr>
              <w:jc w:val="both"/>
              <w:rPr>
                <w:rFonts w:ascii="Arial" w:hAnsi="Arial" w:cs="Arial"/>
                <w:bCs/>
                <w:sz w:val="20"/>
                <w:lang w:val="en-GB"/>
              </w:rPr>
            </w:pPr>
            <w:r w:rsidRPr="00C92ADC">
              <w:rPr>
                <w:rFonts w:ascii="Arial" w:hAnsi="Arial" w:cs="Arial"/>
                <w:bCs/>
                <w:sz w:val="20"/>
                <w:lang w:val="en-GB"/>
              </w:rPr>
              <w:t>12 (18.5)</w:t>
            </w:r>
          </w:p>
        </w:tc>
        <w:tc>
          <w:tcPr>
            <w:tcW w:w="2394" w:type="dxa"/>
          </w:tcPr>
          <w:p w14:paraId="3CE65E04" w14:textId="77777777" w:rsidR="00C92ADC" w:rsidRPr="00C92ADC" w:rsidRDefault="00C92ADC" w:rsidP="00C92ADC">
            <w:pPr>
              <w:jc w:val="both"/>
              <w:rPr>
                <w:rFonts w:ascii="Arial" w:hAnsi="Arial" w:cs="Arial"/>
                <w:bCs/>
                <w:sz w:val="20"/>
                <w:lang w:val="en-GB"/>
              </w:rPr>
            </w:pPr>
          </w:p>
        </w:tc>
      </w:tr>
      <w:tr w:rsidR="00C92ADC" w:rsidRPr="00C92ADC" w14:paraId="0229CB67" w14:textId="77777777" w:rsidTr="00207B81">
        <w:tc>
          <w:tcPr>
            <w:tcW w:w="2394" w:type="dxa"/>
          </w:tcPr>
          <w:p w14:paraId="75275A58" w14:textId="77777777" w:rsidR="00C92ADC" w:rsidRPr="00C92ADC" w:rsidRDefault="00C92ADC" w:rsidP="00C92ADC">
            <w:pPr>
              <w:jc w:val="both"/>
              <w:rPr>
                <w:rFonts w:ascii="Arial" w:hAnsi="Arial" w:cs="Arial"/>
                <w:bCs/>
                <w:sz w:val="20"/>
                <w:lang w:val="en-GB"/>
              </w:rPr>
            </w:pPr>
            <w:r w:rsidRPr="00C92ADC">
              <w:rPr>
                <w:rFonts w:ascii="Arial" w:hAnsi="Arial" w:cs="Arial"/>
                <w:bCs/>
                <w:sz w:val="20"/>
                <w:lang w:val="en-GB"/>
              </w:rPr>
              <w:t>≥ 61</w:t>
            </w:r>
          </w:p>
        </w:tc>
        <w:tc>
          <w:tcPr>
            <w:tcW w:w="2394" w:type="dxa"/>
          </w:tcPr>
          <w:p w14:paraId="01C1E3AC" w14:textId="77777777" w:rsidR="00C92ADC" w:rsidRPr="00C92ADC" w:rsidRDefault="00C92ADC" w:rsidP="00C92ADC">
            <w:pPr>
              <w:jc w:val="both"/>
              <w:rPr>
                <w:rFonts w:ascii="Arial" w:hAnsi="Arial" w:cs="Arial"/>
                <w:bCs/>
                <w:sz w:val="20"/>
                <w:lang w:val="en-GB"/>
              </w:rPr>
            </w:pPr>
            <w:r w:rsidRPr="00C92ADC">
              <w:rPr>
                <w:rFonts w:ascii="Arial" w:hAnsi="Arial" w:cs="Arial"/>
                <w:bCs/>
                <w:sz w:val="20"/>
                <w:lang w:val="en-GB"/>
              </w:rPr>
              <w:t>48</w:t>
            </w:r>
          </w:p>
        </w:tc>
        <w:tc>
          <w:tcPr>
            <w:tcW w:w="2394" w:type="dxa"/>
          </w:tcPr>
          <w:p w14:paraId="06480126" w14:textId="77777777" w:rsidR="00C92ADC" w:rsidRPr="00C92ADC" w:rsidRDefault="00C92ADC" w:rsidP="00C92ADC">
            <w:pPr>
              <w:jc w:val="both"/>
              <w:rPr>
                <w:rFonts w:ascii="Arial" w:hAnsi="Arial" w:cs="Arial"/>
                <w:bCs/>
                <w:sz w:val="20"/>
                <w:lang w:val="en-GB"/>
              </w:rPr>
            </w:pPr>
            <w:r w:rsidRPr="00C92ADC">
              <w:rPr>
                <w:rFonts w:ascii="Arial" w:hAnsi="Arial" w:cs="Arial"/>
                <w:bCs/>
                <w:sz w:val="20"/>
                <w:lang w:val="en-GB"/>
              </w:rPr>
              <w:t>6 (12.5)</w:t>
            </w:r>
          </w:p>
        </w:tc>
        <w:tc>
          <w:tcPr>
            <w:tcW w:w="2394" w:type="dxa"/>
          </w:tcPr>
          <w:p w14:paraId="1360C31C" w14:textId="77777777" w:rsidR="00C92ADC" w:rsidRPr="00C92ADC" w:rsidRDefault="00C92ADC" w:rsidP="00C92ADC">
            <w:pPr>
              <w:jc w:val="both"/>
              <w:rPr>
                <w:rFonts w:ascii="Arial" w:hAnsi="Arial" w:cs="Arial"/>
                <w:bCs/>
                <w:sz w:val="20"/>
                <w:lang w:val="en-GB"/>
              </w:rPr>
            </w:pPr>
          </w:p>
        </w:tc>
      </w:tr>
      <w:tr w:rsidR="00C92ADC" w:rsidRPr="00C92ADC" w14:paraId="10474E3F" w14:textId="77777777" w:rsidTr="00207B81">
        <w:tc>
          <w:tcPr>
            <w:tcW w:w="2394" w:type="dxa"/>
          </w:tcPr>
          <w:p w14:paraId="55E90E47" w14:textId="77777777" w:rsidR="00C92ADC" w:rsidRDefault="00C92ADC" w:rsidP="00C92ADC">
            <w:pPr>
              <w:jc w:val="both"/>
              <w:rPr>
                <w:rFonts w:ascii="Arial" w:hAnsi="Arial" w:cs="Arial"/>
                <w:bCs/>
                <w:sz w:val="20"/>
                <w:lang w:val="en-GB"/>
              </w:rPr>
            </w:pPr>
          </w:p>
          <w:p w14:paraId="186CE887" w14:textId="74CF75D9" w:rsidR="00C92ADC" w:rsidRPr="00C92ADC" w:rsidRDefault="00C92ADC" w:rsidP="00C92ADC">
            <w:pPr>
              <w:jc w:val="both"/>
              <w:rPr>
                <w:rFonts w:ascii="Arial" w:hAnsi="Arial" w:cs="Arial"/>
                <w:bCs/>
                <w:sz w:val="20"/>
                <w:lang w:val="en-GB"/>
              </w:rPr>
            </w:pPr>
            <w:r w:rsidRPr="00C92ADC">
              <w:rPr>
                <w:rFonts w:ascii="Arial" w:hAnsi="Arial" w:cs="Arial"/>
                <w:bCs/>
                <w:sz w:val="20"/>
                <w:lang w:val="en-GB"/>
              </w:rPr>
              <w:t>Sex</w:t>
            </w:r>
          </w:p>
        </w:tc>
        <w:tc>
          <w:tcPr>
            <w:tcW w:w="2394" w:type="dxa"/>
          </w:tcPr>
          <w:p w14:paraId="2521446C" w14:textId="77777777" w:rsidR="00C92ADC" w:rsidRPr="00C92ADC" w:rsidRDefault="00C92ADC" w:rsidP="00C92ADC">
            <w:pPr>
              <w:jc w:val="both"/>
              <w:rPr>
                <w:rFonts w:ascii="Arial" w:hAnsi="Arial" w:cs="Arial"/>
                <w:bCs/>
                <w:sz w:val="20"/>
                <w:lang w:val="en-GB"/>
              </w:rPr>
            </w:pPr>
          </w:p>
        </w:tc>
        <w:tc>
          <w:tcPr>
            <w:tcW w:w="2394" w:type="dxa"/>
          </w:tcPr>
          <w:p w14:paraId="084AAD01" w14:textId="77777777" w:rsidR="00C92ADC" w:rsidRPr="00C92ADC" w:rsidRDefault="00C92ADC" w:rsidP="00C92ADC">
            <w:pPr>
              <w:jc w:val="both"/>
              <w:rPr>
                <w:rFonts w:ascii="Arial" w:hAnsi="Arial" w:cs="Arial"/>
                <w:bCs/>
                <w:sz w:val="20"/>
                <w:lang w:val="en-GB"/>
              </w:rPr>
            </w:pPr>
          </w:p>
        </w:tc>
        <w:tc>
          <w:tcPr>
            <w:tcW w:w="2394" w:type="dxa"/>
          </w:tcPr>
          <w:p w14:paraId="33DBBF51" w14:textId="77777777" w:rsidR="00C92ADC" w:rsidRPr="00C92ADC" w:rsidRDefault="00C92ADC" w:rsidP="00C92ADC">
            <w:pPr>
              <w:jc w:val="both"/>
              <w:rPr>
                <w:rFonts w:ascii="Arial" w:hAnsi="Arial" w:cs="Arial"/>
                <w:bCs/>
                <w:sz w:val="20"/>
                <w:lang w:val="en-GB"/>
              </w:rPr>
            </w:pPr>
          </w:p>
        </w:tc>
      </w:tr>
      <w:tr w:rsidR="00C92ADC" w:rsidRPr="00C92ADC" w14:paraId="0846B907" w14:textId="77777777" w:rsidTr="00207B81">
        <w:tc>
          <w:tcPr>
            <w:tcW w:w="2394" w:type="dxa"/>
          </w:tcPr>
          <w:p w14:paraId="1A91917B" w14:textId="77777777" w:rsidR="00C92ADC" w:rsidRPr="00C92ADC" w:rsidRDefault="00C92ADC" w:rsidP="00C92ADC">
            <w:pPr>
              <w:jc w:val="both"/>
              <w:rPr>
                <w:rFonts w:ascii="Arial" w:hAnsi="Arial" w:cs="Arial"/>
                <w:bCs/>
                <w:sz w:val="20"/>
                <w:lang w:val="en-GB"/>
              </w:rPr>
            </w:pPr>
            <w:r w:rsidRPr="00C92ADC">
              <w:rPr>
                <w:rFonts w:ascii="Arial" w:hAnsi="Arial" w:cs="Arial"/>
                <w:bCs/>
                <w:sz w:val="20"/>
                <w:lang w:val="en-GB"/>
              </w:rPr>
              <w:t>Female</w:t>
            </w:r>
          </w:p>
        </w:tc>
        <w:tc>
          <w:tcPr>
            <w:tcW w:w="2394" w:type="dxa"/>
          </w:tcPr>
          <w:p w14:paraId="5D86DB8F" w14:textId="77777777" w:rsidR="00C92ADC" w:rsidRPr="00C92ADC" w:rsidRDefault="00C92ADC" w:rsidP="00C92ADC">
            <w:pPr>
              <w:jc w:val="both"/>
              <w:rPr>
                <w:rFonts w:ascii="Arial" w:hAnsi="Arial" w:cs="Arial"/>
                <w:bCs/>
                <w:sz w:val="20"/>
                <w:lang w:val="en-GB"/>
              </w:rPr>
            </w:pPr>
            <w:r w:rsidRPr="00C92ADC">
              <w:rPr>
                <w:rFonts w:ascii="Arial" w:hAnsi="Arial" w:cs="Arial"/>
                <w:bCs/>
                <w:sz w:val="20"/>
                <w:lang w:val="en-GB"/>
              </w:rPr>
              <w:t>469</w:t>
            </w:r>
          </w:p>
        </w:tc>
        <w:tc>
          <w:tcPr>
            <w:tcW w:w="2394" w:type="dxa"/>
          </w:tcPr>
          <w:p w14:paraId="19A1E42A" w14:textId="77777777" w:rsidR="00C92ADC" w:rsidRPr="00C92ADC" w:rsidRDefault="00C92ADC" w:rsidP="00C92ADC">
            <w:pPr>
              <w:jc w:val="both"/>
              <w:rPr>
                <w:rFonts w:ascii="Arial" w:hAnsi="Arial" w:cs="Arial"/>
                <w:bCs/>
                <w:sz w:val="20"/>
                <w:lang w:val="en-GB"/>
              </w:rPr>
            </w:pPr>
            <w:r w:rsidRPr="00C92ADC">
              <w:rPr>
                <w:rFonts w:ascii="Arial" w:hAnsi="Arial" w:cs="Arial"/>
                <w:bCs/>
                <w:sz w:val="20"/>
                <w:lang w:val="en-GB"/>
              </w:rPr>
              <w:t>169 (34.1)</w:t>
            </w:r>
          </w:p>
        </w:tc>
        <w:tc>
          <w:tcPr>
            <w:tcW w:w="2394" w:type="dxa"/>
          </w:tcPr>
          <w:p w14:paraId="72BAEDEE" w14:textId="77777777" w:rsidR="00C92ADC" w:rsidRPr="00C92ADC" w:rsidRDefault="00C92ADC" w:rsidP="00C92ADC">
            <w:pPr>
              <w:jc w:val="both"/>
              <w:rPr>
                <w:rFonts w:ascii="Arial" w:hAnsi="Arial" w:cs="Arial"/>
                <w:bCs/>
                <w:sz w:val="20"/>
                <w:lang w:val="en-GB"/>
              </w:rPr>
            </w:pPr>
            <w:r w:rsidRPr="00C92ADC">
              <w:rPr>
                <w:rFonts w:ascii="Arial" w:hAnsi="Arial" w:cs="Arial"/>
                <w:bCs/>
                <w:sz w:val="20"/>
                <w:lang w:val="en-GB"/>
              </w:rPr>
              <w:t>0.490 (0.47)</w:t>
            </w:r>
          </w:p>
        </w:tc>
      </w:tr>
      <w:tr w:rsidR="00C92ADC" w:rsidRPr="00C92ADC" w14:paraId="0403AC0C" w14:textId="77777777" w:rsidTr="00207B81">
        <w:tc>
          <w:tcPr>
            <w:tcW w:w="2394" w:type="dxa"/>
          </w:tcPr>
          <w:p w14:paraId="1C34F4DF" w14:textId="77777777" w:rsidR="00C92ADC" w:rsidRPr="00C92ADC" w:rsidRDefault="00C92ADC" w:rsidP="00C92ADC">
            <w:pPr>
              <w:jc w:val="both"/>
              <w:rPr>
                <w:rFonts w:ascii="Arial" w:hAnsi="Arial" w:cs="Arial"/>
                <w:bCs/>
                <w:sz w:val="20"/>
                <w:lang w:val="en-GB"/>
              </w:rPr>
            </w:pPr>
            <w:r w:rsidRPr="00C92ADC">
              <w:rPr>
                <w:rFonts w:ascii="Arial" w:hAnsi="Arial" w:cs="Arial"/>
                <w:bCs/>
                <w:sz w:val="20"/>
                <w:lang w:val="en-GB"/>
              </w:rPr>
              <w:t>Male</w:t>
            </w:r>
          </w:p>
        </w:tc>
        <w:tc>
          <w:tcPr>
            <w:tcW w:w="2394" w:type="dxa"/>
          </w:tcPr>
          <w:p w14:paraId="36A2D2BF" w14:textId="77777777" w:rsidR="00C92ADC" w:rsidRPr="00C92ADC" w:rsidRDefault="00C92ADC" w:rsidP="00C92ADC">
            <w:pPr>
              <w:jc w:val="both"/>
              <w:rPr>
                <w:rFonts w:ascii="Arial" w:hAnsi="Arial" w:cs="Arial"/>
                <w:bCs/>
                <w:sz w:val="20"/>
                <w:lang w:val="en-GB"/>
              </w:rPr>
            </w:pPr>
            <w:r w:rsidRPr="00C92ADC">
              <w:rPr>
                <w:rFonts w:ascii="Arial" w:hAnsi="Arial" w:cs="Arial"/>
                <w:bCs/>
                <w:sz w:val="20"/>
                <w:lang w:val="en-GB"/>
              </w:rPr>
              <w:t>333</w:t>
            </w:r>
          </w:p>
        </w:tc>
        <w:tc>
          <w:tcPr>
            <w:tcW w:w="2394" w:type="dxa"/>
          </w:tcPr>
          <w:p w14:paraId="1F7BCB05" w14:textId="77777777" w:rsidR="00C92ADC" w:rsidRPr="00C92ADC" w:rsidRDefault="00C92ADC" w:rsidP="00C92ADC">
            <w:pPr>
              <w:jc w:val="both"/>
              <w:rPr>
                <w:rFonts w:ascii="Arial" w:hAnsi="Arial" w:cs="Arial"/>
                <w:bCs/>
                <w:sz w:val="20"/>
                <w:lang w:val="en-GB"/>
              </w:rPr>
            </w:pPr>
            <w:r w:rsidRPr="00C92ADC">
              <w:rPr>
                <w:rFonts w:ascii="Arial" w:hAnsi="Arial" w:cs="Arial"/>
                <w:bCs/>
                <w:sz w:val="20"/>
                <w:lang w:val="en-GB"/>
              </w:rPr>
              <w:t>107 (32.1)</w:t>
            </w:r>
          </w:p>
        </w:tc>
        <w:tc>
          <w:tcPr>
            <w:tcW w:w="2394" w:type="dxa"/>
          </w:tcPr>
          <w:p w14:paraId="6B284C4A" w14:textId="77777777" w:rsidR="00C92ADC" w:rsidRPr="00C92ADC" w:rsidRDefault="00C92ADC" w:rsidP="00C92ADC">
            <w:pPr>
              <w:jc w:val="both"/>
              <w:rPr>
                <w:rFonts w:ascii="Arial" w:hAnsi="Arial" w:cs="Arial"/>
                <w:bCs/>
                <w:sz w:val="20"/>
                <w:lang w:val="en-GB"/>
              </w:rPr>
            </w:pPr>
          </w:p>
        </w:tc>
      </w:tr>
    </w:tbl>
    <w:p w14:paraId="1BEBF0E6" w14:textId="77777777" w:rsidR="00C92ADC" w:rsidRPr="00C92ADC" w:rsidRDefault="00C92ADC" w:rsidP="00C92ADC">
      <w:pPr>
        <w:jc w:val="both"/>
        <w:rPr>
          <w:rFonts w:ascii="Arial" w:hAnsi="Arial" w:cs="Arial"/>
          <w:b/>
          <w:lang w:val="en-GB"/>
        </w:rPr>
      </w:pPr>
    </w:p>
    <w:p w14:paraId="4585654C" w14:textId="77777777" w:rsidR="00C92ADC" w:rsidRPr="00C92ADC" w:rsidRDefault="00C92ADC" w:rsidP="003D1214">
      <w:pPr>
        <w:jc w:val="both"/>
        <w:rPr>
          <w:rFonts w:ascii="Arial" w:hAnsi="Arial" w:cs="Arial"/>
          <w:b/>
          <w:lang w:val="en-GB"/>
        </w:rPr>
      </w:pPr>
    </w:p>
    <w:p w14:paraId="298BE1DD" w14:textId="77777777" w:rsidR="00C92ADC" w:rsidRPr="00C92ADC" w:rsidRDefault="00C92ADC" w:rsidP="003D1214">
      <w:pPr>
        <w:spacing w:after="240"/>
        <w:jc w:val="both"/>
        <w:rPr>
          <w:rFonts w:ascii="Arial" w:hAnsi="Arial" w:cs="Arial"/>
          <w:b/>
          <w:sz w:val="22"/>
          <w:szCs w:val="22"/>
          <w:lang w:val="en-GB"/>
        </w:rPr>
      </w:pPr>
      <w:r w:rsidRPr="00C92ADC">
        <w:rPr>
          <w:rFonts w:ascii="Arial" w:hAnsi="Arial" w:cs="Arial"/>
          <w:b/>
          <w:sz w:val="22"/>
          <w:szCs w:val="22"/>
          <w:lang w:val="en-GB"/>
        </w:rPr>
        <w:t>3.5 Assessment of RDTs performance using microscopy as the reference standard</w:t>
      </w:r>
    </w:p>
    <w:p w14:paraId="0C552E8A" w14:textId="211FF78E" w:rsidR="00C92ADC" w:rsidRDefault="00C92ADC" w:rsidP="003D1214">
      <w:pPr>
        <w:jc w:val="both"/>
        <w:rPr>
          <w:rFonts w:ascii="Arial" w:hAnsi="Arial" w:cs="Arial"/>
          <w:lang w:val="en-GB"/>
        </w:rPr>
      </w:pPr>
      <w:r w:rsidRPr="00C92ADC">
        <w:rPr>
          <w:rFonts w:ascii="Arial" w:hAnsi="Arial" w:cs="Arial"/>
          <w:lang w:val="en-GB"/>
        </w:rPr>
        <w:t xml:space="preserve">Table 5 shows the performance of the HRP2-based RDTs using microscopy, as the gold standard for malaria diagnosis. The analysis focuses on diagnostic accuracy indicators, such as sensitivity (True Positive Rate, TPR), specificity (True Negative Value, TNR), Positive </w:t>
      </w:r>
      <w:r w:rsidRPr="00C92ADC">
        <w:rPr>
          <w:rFonts w:ascii="Arial" w:hAnsi="Arial" w:cs="Arial"/>
          <w:lang w:val="en-GB"/>
        </w:rPr>
        <w:lastRenderedPageBreak/>
        <w:t xml:space="preserve">Predictive Value (PPV), and Negative Predictive Value (NPV). A total of 829 individuals were examined across seven health facilities, 276 cases were confirmed as positive by microscopy, while 250 cases were detected as positive by RDTs. No false positives (FP=0) were recorded in any </w:t>
      </w:r>
      <w:r w:rsidR="003D1214" w:rsidRPr="00C92ADC">
        <w:rPr>
          <w:rFonts w:ascii="Arial" w:hAnsi="Arial" w:cs="Arial"/>
          <w:lang w:val="en-GB"/>
        </w:rPr>
        <w:t>facility;</w:t>
      </w:r>
      <w:r w:rsidRPr="00C92ADC">
        <w:rPr>
          <w:rFonts w:ascii="Arial" w:hAnsi="Arial" w:cs="Arial"/>
          <w:lang w:val="en-GB"/>
        </w:rPr>
        <w:t xml:space="preserve"> however, 26 false-negative cases (FN) were observed, meaning that RDTs failed to detect malaria in some microscopy-confirmed cases. The overall True Positive Rate (TPR or Sensitivity) was 0.91 (91%), meaning that the RDTs correctly identified 91% of microscopy-confirmed </w:t>
      </w:r>
      <w:r w:rsidRPr="00C92ADC">
        <w:rPr>
          <w:rFonts w:ascii="Arial" w:hAnsi="Arial" w:cs="Arial"/>
          <w:i/>
          <w:lang w:val="en-GB"/>
        </w:rPr>
        <w:t xml:space="preserve">P. falciparum </w:t>
      </w:r>
      <w:r w:rsidRPr="00C92ADC">
        <w:rPr>
          <w:rFonts w:ascii="Arial" w:hAnsi="Arial" w:cs="Arial"/>
          <w:lang w:val="en-GB"/>
        </w:rPr>
        <w:t>malaria cases. The True Negative Rate (TNR or Specificity) was 1.00 (100%), indicating that all microscopy-negative cases were correctly identified as negative by the RDTs.</w:t>
      </w:r>
      <w:r w:rsidR="003D1214">
        <w:rPr>
          <w:rFonts w:ascii="Arial" w:hAnsi="Arial" w:cs="Arial"/>
          <w:lang w:val="en-GB"/>
        </w:rPr>
        <w:t xml:space="preserve"> </w:t>
      </w:r>
      <w:r w:rsidRPr="00C92ADC">
        <w:rPr>
          <w:rFonts w:ascii="Arial" w:hAnsi="Arial" w:cs="Arial"/>
          <w:lang w:val="en-GB"/>
        </w:rPr>
        <w:t xml:space="preserve">The Positive Predictive Value (PPV) was 1.00 (100%), meaning that every RDT-positive case was a true malaria case. The Negative Predictive Value (NPV) was 0.96 (96%), showing that 96% of RDT-negative cases were truly negative. </w:t>
      </w:r>
    </w:p>
    <w:p w14:paraId="1B5B6538" w14:textId="77777777" w:rsidR="003D1214" w:rsidRDefault="003D1214" w:rsidP="003D1214">
      <w:pPr>
        <w:jc w:val="both"/>
        <w:rPr>
          <w:rFonts w:ascii="Arial" w:hAnsi="Arial" w:cs="Arial"/>
          <w:lang w:val="en-GB"/>
        </w:rPr>
      </w:pPr>
    </w:p>
    <w:p w14:paraId="21E9555B" w14:textId="77777777" w:rsidR="003D1214" w:rsidRPr="00C92ADC" w:rsidRDefault="003D1214" w:rsidP="003D1214">
      <w:pPr>
        <w:jc w:val="both"/>
        <w:rPr>
          <w:rFonts w:ascii="Arial" w:hAnsi="Arial" w:cs="Arial"/>
          <w:bCs/>
          <w:lang w:val="en-GB"/>
        </w:rPr>
      </w:pPr>
      <w:r w:rsidRPr="00C92ADC">
        <w:rPr>
          <w:rFonts w:ascii="Arial" w:hAnsi="Arial" w:cs="Arial"/>
          <w:bCs/>
          <w:lang w:val="en-GB"/>
        </w:rPr>
        <w:t>Table 5. Assessment of rapid diagnostic tests performance using microscopy as the reference method</w:t>
      </w:r>
    </w:p>
    <w:tbl>
      <w:tblPr>
        <w:tblStyle w:val="TableGrid"/>
        <w:tblW w:w="9381"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663"/>
        <w:gridCol w:w="1400"/>
        <w:gridCol w:w="568"/>
        <w:gridCol w:w="568"/>
        <w:gridCol w:w="807"/>
        <w:gridCol w:w="503"/>
        <w:gridCol w:w="568"/>
        <w:gridCol w:w="528"/>
        <w:gridCol w:w="674"/>
        <w:gridCol w:w="702"/>
        <w:gridCol w:w="688"/>
        <w:gridCol w:w="712"/>
      </w:tblGrid>
      <w:tr w:rsidR="003D1214" w:rsidRPr="003D1214" w14:paraId="0C08FF80" w14:textId="77777777" w:rsidTr="00207B81">
        <w:trPr>
          <w:trHeight w:val="395"/>
        </w:trPr>
        <w:tc>
          <w:tcPr>
            <w:tcW w:w="1663" w:type="dxa"/>
            <w:tcBorders>
              <w:top w:val="single" w:sz="4" w:space="0" w:color="auto"/>
              <w:bottom w:val="single" w:sz="4" w:space="0" w:color="auto"/>
            </w:tcBorders>
          </w:tcPr>
          <w:p w14:paraId="0F7C48FF" w14:textId="77777777" w:rsidR="003D1214" w:rsidRPr="00C92ADC" w:rsidRDefault="003D1214" w:rsidP="003D1214">
            <w:pPr>
              <w:jc w:val="both"/>
              <w:rPr>
                <w:rFonts w:ascii="Arial" w:hAnsi="Arial" w:cs="Arial"/>
                <w:b/>
                <w:sz w:val="20"/>
                <w:lang w:val="en-GB"/>
              </w:rPr>
            </w:pPr>
          </w:p>
          <w:p w14:paraId="2E09164F" w14:textId="77777777" w:rsidR="003D1214" w:rsidRPr="00C92ADC" w:rsidRDefault="003D1214" w:rsidP="003D1214">
            <w:pPr>
              <w:jc w:val="both"/>
              <w:rPr>
                <w:rFonts w:ascii="Arial" w:hAnsi="Arial" w:cs="Arial"/>
                <w:b/>
                <w:sz w:val="20"/>
                <w:lang w:val="en-GB"/>
              </w:rPr>
            </w:pPr>
            <w:r w:rsidRPr="00C92ADC">
              <w:rPr>
                <w:rFonts w:ascii="Arial" w:hAnsi="Arial" w:cs="Arial"/>
                <w:b/>
                <w:sz w:val="20"/>
                <w:lang w:val="en-GB"/>
              </w:rPr>
              <w:t>Facility</w:t>
            </w:r>
          </w:p>
        </w:tc>
        <w:tc>
          <w:tcPr>
            <w:tcW w:w="1400" w:type="dxa"/>
            <w:tcBorders>
              <w:top w:val="single" w:sz="4" w:space="0" w:color="auto"/>
              <w:bottom w:val="single" w:sz="4" w:space="0" w:color="auto"/>
            </w:tcBorders>
          </w:tcPr>
          <w:p w14:paraId="2DA9ACF7" w14:textId="77777777" w:rsidR="003D1214" w:rsidRPr="00C92ADC" w:rsidRDefault="003D1214" w:rsidP="003D1214">
            <w:pPr>
              <w:jc w:val="both"/>
              <w:rPr>
                <w:rFonts w:ascii="Arial" w:hAnsi="Arial" w:cs="Arial"/>
                <w:b/>
                <w:sz w:val="20"/>
                <w:lang w:val="en-GB"/>
              </w:rPr>
            </w:pPr>
            <w:r w:rsidRPr="00C92ADC">
              <w:rPr>
                <w:rFonts w:ascii="Arial" w:hAnsi="Arial" w:cs="Arial"/>
                <w:b/>
                <w:sz w:val="20"/>
                <w:lang w:val="en-GB"/>
              </w:rPr>
              <w:t>Microscopy</w:t>
            </w:r>
          </w:p>
          <w:p w14:paraId="615D5885" w14:textId="77777777" w:rsidR="003D1214" w:rsidRPr="00C92ADC" w:rsidRDefault="003D1214" w:rsidP="003D1214">
            <w:pPr>
              <w:jc w:val="both"/>
              <w:rPr>
                <w:rFonts w:ascii="Arial" w:hAnsi="Arial" w:cs="Arial"/>
                <w:b/>
                <w:sz w:val="20"/>
                <w:lang w:val="en-GB"/>
              </w:rPr>
            </w:pPr>
            <w:r w:rsidRPr="00C92ADC">
              <w:rPr>
                <w:rFonts w:ascii="Arial" w:hAnsi="Arial" w:cs="Arial"/>
                <w:b/>
                <w:sz w:val="20"/>
                <w:lang w:val="en-GB"/>
              </w:rPr>
              <w:t>NE</w:t>
            </w:r>
          </w:p>
        </w:tc>
        <w:tc>
          <w:tcPr>
            <w:tcW w:w="568" w:type="dxa"/>
            <w:tcBorders>
              <w:top w:val="single" w:sz="4" w:space="0" w:color="auto"/>
              <w:bottom w:val="single" w:sz="4" w:space="0" w:color="auto"/>
            </w:tcBorders>
          </w:tcPr>
          <w:p w14:paraId="5519C985" w14:textId="77777777" w:rsidR="003D1214" w:rsidRPr="00C92ADC" w:rsidRDefault="003D1214" w:rsidP="003D1214">
            <w:pPr>
              <w:jc w:val="both"/>
              <w:rPr>
                <w:rFonts w:ascii="Arial" w:hAnsi="Arial" w:cs="Arial"/>
                <w:b/>
                <w:sz w:val="20"/>
                <w:lang w:val="en-GB"/>
              </w:rPr>
            </w:pPr>
          </w:p>
          <w:p w14:paraId="5954E009" w14:textId="77777777" w:rsidR="003D1214" w:rsidRPr="00C92ADC" w:rsidRDefault="003D1214" w:rsidP="003D1214">
            <w:pPr>
              <w:jc w:val="both"/>
              <w:rPr>
                <w:rFonts w:ascii="Arial" w:hAnsi="Arial" w:cs="Arial"/>
                <w:b/>
                <w:sz w:val="20"/>
                <w:lang w:val="en-GB"/>
              </w:rPr>
            </w:pPr>
            <w:r w:rsidRPr="00C92ADC">
              <w:rPr>
                <w:rFonts w:ascii="Arial" w:hAnsi="Arial" w:cs="Arial"/>
                <w:b/>
                <w:sz w:val="20"/>
                <w:lang w:val="en-GB"/>
              </w:rPr>
              <w:t>TP</w:t>
            </w:r>
          </w:p>
        </w:tc>
        <w:tc>
          <w:tcPr>
            <w:tcW w:w="568" w:type="dxa"/>
            <w:tcBorders>
              <w:top w:val="single" w:sz="4" w:space="0" w:color="auto"/>
              <w:bottom w:val="single" w:sz="4" w:space="0" w:color="auto"/>
            </w:tcBorders>
          </w:tcPr>
          <w:p w14:paraId="2823A89D" w14:textId="77777777" w:rsidR="003D1214" w:rsidRPr="00C92ADC" w:rsidRDefault="003D1214" w:rsidP="003D1214">
            <w:pPr>
              <w:jc w:val="both"/>
              <w:rPr>
                <w:rFonts w:ascii="Arial" w:hAnsi="Arial" w:cs="Arial"/>
                <w:b/>
                <w:sz w:val="20"/>
                <w:lang w:val="en-GB"/>
              </w:rPr>
            </w:pPr>
          </w:p>
          <w:p w14:paraId="7B0865B9" w14:textId="77777777" w:rsidR="003D1214" w:rsidRPr="00C92ADC" w:rsidRDefault="003D1214" w:rsidP="003D1214">
            <w:pPr>
              <w:jc w:val="both"/>
              <w:rPr>
                <w:rFonts w:ascii="Arial" w:hAnsi="Arial" w:cs="Arial"/>
                <w:b/>
                <w:sz w:val="20"/>
                <w:lang w:val="en-GB"/>
              </w:rPr>
            </w:pPr>
            <w:r w:rsidRPr="00C92ADC">
              <w:rPr>
                <w:rFonts w:ascii="Arial" w:hAnsi="Arial" w:cs="Arial"/>
                <w:b/>
                <w:sz w:val="20"/>
                <w:lang w:val="en-GB"/>
              </w:rPr>
              <w:t>TN</w:t>
            </w:r>
          </w:p>
        </w:tc>
        <w:tc>
          <w:tcPr>
            <w:tcW w:w="807" w:type="dxa"/>
            <w:tcBorders>
              <w:top w:val="single" w:sz="4" w:space="0" w:color="auto"/>
              <w:bottom w:val="single" w:sz="4" w:space="0" w:color="auto"/>
            </w:tcBorders>
          </w:tcPr>
          <w:p w14:paraId="0C33707B" w14:textId="77777777" w:rsidR="003D1214" w:rsidRPr="00C92ADC" w:rsidRDefault="003D1214" w:rsidP="003D1214">
            <w:pPr>
              <w:jc w:val="both"/>
              <w:rPr>
                <w:rFonts w:ascii="Arial" w:hAnsi="Arial" w:cs="Arial"/>
                <w:b/>
                <w:sz w:val="20"/>
                <w:lang w:val="en-GB"/>
              </w:rPr>
            </w:pPr>
            <w:r w:rsidRPr="00C92ADC">
              <w:rPr>
                <w:rFonts w:ascii="Arial" w:hAnsi="Arial" w:cs="Arial"/>
                <w:b/>
                <w:sz w:val="20"/>
                <w:lang w:val="en-GB"/>
              </w:rPr>
              <w:t>RDTs</w:t>
            </w:r>
          </w:p>
          <w:p w14:paraId="2C6EE558" w14:textId="77777777" w:rsidR="003D1214" w:rsidRPr="00C92ADC" w:rsidRDefault="003D1214" w:rsidP="003D1214">
            <w:pPr>
              <w:jc w:val="both"/>
              <w:rPr>
                <w:rFonts w:ascii="Arial" w:hAnsi="Arial" w:cs="Arial"/>
                <w:b/>
                <w:sz w:val="20"/>
                <w:lang w:val="en-GB"/>
              </w:rPr>
            </w:pPr>
            <w:r w:rsidRPr="00C92ADC">
              <w:rPr>
                <w:rFonts w:ascii="Arial" w:hAnsi="Arial" w:cs="Arial"/>
                <w:b/>
                <w:sz w:val="20"/>
                <w:lang w:val="en-GB"/>
              </w:rPr>
              <w:t>TP</w:t>
            </w:r>
          </w:p>
        </w:tc>
        <w:tc>
          <w:tcPr>
            <w:tcW w:w="503" w:type="dxa"/>
            <w:tcBorders>
              <w:top w:val="single" w:sz="4" w:space="0" w:color="auto"/>
              <w:bottom w:val="single" w:sz="4" w:space="0" w:color="auto"/>
            </w:tcBorders>
          </w:tcPr>
          <w:p w14:paraId="35611F76" w14:textId="77777777" w:rsidR="003D1214" w:rsidRPr="00C92ADC" w:rsidRDefault="003D1214" w:rsidP="003D1214">
            <w:pPr>
              <w:jc w:val="both"/>
              <w:rPr>
                <w:rFonts w:ascii="Arial" w:hAnsi="Arial" w:cs="Arial"/>
                <w:b/>
                <w:sz w:val="20"/>
                <w:lang w:val="en-GB"/>
              </w:rPr>
            </w:pPr>
          </w:p>
          <w:p w14:paraId="6A00B813" w14:textId="77777777" w:rsidR="003D1214" w:rsidRPr="00C92ADC" w:rsidRDefault="003D1214" w:rsidP="003D1214">
            <w:pPr>
              <w:jc w:val="both"/>
              <w:rPr>
                <w:rFonts w:ascii="Arial" w:hAnsi="Arial" w:cs="Arial"/>
                <w:b/>
                <w:sz w:val="20"/>
                <w:lang w:val="en-GB"/>
              </w:rPr>
            </w:pPr>
            <w:r w:rsidRPr="00C92ADC">
              <w:rPr>
                <w:rFonts w:ascii="Arial" w:hAnsi="Arial" w:cs="Arial"/>
                <w:b/>
                <w:sz w:val="20"/>
                <w:lang w:val="en-GB"/>
              </w:rPr>
              <w:t>FP</w:t>
            </w:r>
          </w:p>
        </w:tc>
        <w:tc>
          <w:tcPr>
            <w:tcW w:w="568" w:type="dxa"/>
            <w:tcBorders>
              <w:top w:val="single" w:sz="4" w:space="0" w:color="auto"/>
              <w:bottom w:val="single" w:sz="4" w:space="0" w:color="auto"/>
            </w:tcBorders>
          </w:tcPr>
          <w:p w14:paraId="38A2924F" w14:textId="77777777" w:rsidR="003D1214" w:rsidRPr="00C92ADC" w:rsidRDefault="003D1214" w:rsidP="003D1214">
            <w:pPr>
              <w:jc w:val="both"/>
              <w:rPr>
                <w:rFonts w:ascii="Arial" w:hAnsi="Arial" w:cs="Arial"/>
                <w:b/>
                <w:sz w:val="20"/>
                <w:lang w:val="en-GB"/>
              </w:rPr>
            </w:pPr>
          </w:p>
          <w:p w14:paraId="4FD3BFA2" w14:textId="77777777" w:rsidR="003D1214" w:rsidRPr="00C92ADC" w:rsidRDefault="003D1214" w:rsidP="003D1214">
            <w:pPr>
              <w:jc w:val="both"/>
              <w:rPr>
                <w:rFonts w:ascii="Arial" w:hAnsi="Arial" w:cs="Arial"/>
                <w:b/>
                <w:sz w:val="20"/>
                <w:lang w:val="en-GB"/>
              </w:rPr>
            </w:pPr>
            <w:r w:rsidRPr="00C92ADC">
              <w:rPr>
                <w:rFonts w:ascii="Arial" w:hAnsi="Arial" w:cs="Arial"/>
                <w:b/>
                <w:sz w:val="20"/>
                <w:lang w:val="en-GB"/>
              </w:rPr>
              <w:t>TN</w:t>
            </w:r>
          </w:p>
        </w:tc>
        <w:tc>
          <w:tcPr>
            <w:tcW w:w="528" w:type="dxa"/>
            <w:tcBorders>
              <w:top w:val="single" w:sz="4" w:space="0" w:color="auto"/>
              <w:bottom w:val="single" w:sz="4" w:space="0" w:color="auto"/>
            </w:tcBorders>
          </w:tcPr>
          <w:p w14:paraId="096B8904" w14:textId="77777777" w:rsidR="003D1214" w:rsidRPr="00C92ADC" w:rsidRDefault="003D1214" w:rsidP="003D1214">
            <w:pPr>
              <w:jc w:val="both"/>
              <w:rPr>
                <w:rFonts w:ascii="Arial" w:hAnsi="Arial" w:cs="Arial"/>
                <w:b/>
                <w:sz w:val="20"/>
                <w:lang w:val="en-GB"/>
              </w:rPr>
            </w:pPr>
          </w:p>
          <w:p w14:paraId="7D7405C9" w14:textId="77777777" w:rsidR="003D1214" w:rsidRPr="00C92ADC" w:rsidRDefault="003D1214" w:rsidP="003D1214">
            <w:pPr>
              <w:jc w:val="both"/>
              <w:rPr>
                <w:rFonts w:ascii="Arial" w:hAnsi="Arial" w:cs="Arial"/>
                <w:b/>
                <w:sz w:val="20"/>
                <w:lang w:val="en-GB"/>
              </w:rPr>
            </w:pPr>
            <w:r w:rsidRPr="00C92ADC">
              <w:rPr>
                <w:rFonts w:ascii="Arial" w:hAnsi="Arial" w:cs="Arial"/>
                <w:b/>
                <w:sz w:val="20"/>
                <w:lang w:val="en-GB"/>
              </w:rPr>
              <w:t>FN</w:t>
            </w:r>
          </w:p>
        </w:tc>
        <w:tc>
          <w:tcPr>
            <w:tcW w:w="674" w:type="dxa"/>
            <w:tcBorders>
              <w:top w:val="single" w:sz="4" w:space="0" w:color="auto"/>
              <w:bottom w:val="single" w:sz="4" w:space="0" w:color="auto"/>
            </w:tcBorders>
          </w:tcPr>
          <w:p w14:paraId="670EFE15" w14:textId="77777777" w:rsidR="003D1214" w:rsidRPr="00C92ADC" w:rsidRDefault="003D1214" w:rsidP="003D1214">
            <w:pPr>
              <w:jc w:val="both"/>
              <w:rPr>
                <w:rFonts w:ascii="Arial" w:hAnsi="Arial" w:cs="Arial"/>
                <w:b/>
                <w:sz w:val="20"/>
                <w:lang w:val="en-GB"/>
              </w:rPr>
            </w:pPr>
            <w:r w:rsidRPr="00C92ADC">
              <w:rPr>
                <w:rFonts w:ascii="Arial" w:hAnsi="Arial" w:cs="Arial"/>
                <w:b/>
                <w:sz w:val="20"/>
                <w:lang w:val="en-GB"/>
              </w:rPr>
              <w:t>PPV</w:t>
            </w:r>
          </w:p>
        </w:tc>
        <w:tc>
          <w:tcPr>
            <w:tcW w:w="702" w:type="dxa"/>
            <w:tcBorders>
              <w:top w:val="single" w:sz="4" w:space="0" w:color="auto"/>
              <w:bottom w:val="single" w:sz="4" w:space="0" w:color="auto"/>
            </w:tcBorders>
          </w:tcPr>
          <w:p w14:paraId="45365474" w14:textId="77777777" w:rsidR="003D1214" w:rsidRPr="00C92ADC" w:rsidRDefault="003D1214" w:rsidP="003D1214">
            <w:pPr>
              <w:jc w:val="both"/>
              <w:rPr>
                <w:rFonts w:ascii="Arial" w:hAnsi="Arial" w:cs="Arial"/>
                <w:b/>
                <w:sz w:val="20"/>
                <w:lang w:val="en-GB"/>
              </w:rPr>
            </w:pPr>
            <w:r w:rsidRPr="00C92ADC">
              <w:rPr>
                <w:rFonts w:ascii="Arial" w:hAnsi="Arial" w:cs="Arial"/>
                <w:b/>
                <w:sz w:val="20"/>
                <w:lang w:val="en-GB"/>
              </w:rPr>
              <w:t>NPV</w:t>
            </w:r>
          </w:p>
        </w:tc>
        <w:tc>
          <w:tcPr>
            <w:tcW w:w="688" w:type="dxa"/>
            <w:tcBorders>
              <w:top w:val="single" w:sz="4" w:space="0" w:color="auto"/>
              <w:bottom w:val="single" w:sz="4" w:space="0" w:color="auto"/>
            </w:tcBorders>
          </w:tcPr>
          <w:p w14:paraId="5052C466" w14:textId="77777777" w:rsidR="003D1214" w:rsidRPr="00C92ADC" w:rsidRDefault="003D1214" w:rsidP="003D1214">
            <w:pPr>
              <w:jc w:val="both"/>
              <w:rPr>
                <w:rFonts w:ascii="Arial" w:hAnsi="Arial" w:cs="Arial"/>
                <w:b/>
                <w:sz w:val="20"/>
                <w:lang w:val="en-GB"/>
              </w:rPr>
            </w:pPr>
            <w:r w:rsidRPr="00C92ADC">
              <w:rPr>
                <w:rFonts w:ascii="Arial" w:hAnsi="Arial" w:cs="Arial"/>
                <w:b/>
                <w:sz w:val="20"/>
                <w:lang w:val="en-GB"/>
              </w:rPr>
              <w:t>TPR</w:t>
            </w:r>
          </w:p>
        </w:tc>
        <w:tc>
          <w:tcPr>
            <w:tcW w:w="712" w:type="dxa"/>
            <w:tcBorders>
              <w:top w:val="single" w:sz="4" w:space="0" w:color="auto"/>
              <w:bottom w:val="single" w:sz="4" w:space="0" w:color="auto"/>
            </w:tcBorders>
          </w:tcPr>
          <w:p w14:paraId="12456A3A" w14:textId="77777777" w:rsidR="003D1214" w:rsidRPr="00C92ADC" w:rsidRDefault="003D1214" w:rsidP="003D1214">
            <w:pPr>
              <w:jc w:val="both"/>
              <w:rPr>
                <w:rFonts w:ascii="Arial" w:hAnsi="Arial" w:cs="Arial"/>
                <w:b/>
                <w:sz w:val="20"/>
                <w:lang w:val="en-GB"/>
              </w:rPr>
            </w:pPr>
            <w:r w:rsidRPr="00C92ADC">
              <w:rPr>
                <w:rFonts w:ascii="Arial" w:hAnsi="Arial" w:cs="Arial"/>
                <w:b/>
                <w:sz w:val="20"/>
                <w:lang w:val="en-GB"/>
              </w:rPr>
              <w:t>TNR</w:t>
            </w:r>
          </w:p>
        </w:tc>
      </w:tr>
      <w:tr w:rsidR="003D1214" w:rsidRPr="003D1214" w14:paraId="7513A737" w14:textId="77777777" w:rsidTr="00207B81">
        <w:trPr>
          <w:trHeight w:val="395"/>
        </w:trPr>
        <w:tc>
          <w:tcPr>
            <w:tcW w:w="1663" w:type="dxa"/>
            <w:tcBorders>
              <w:top w:val="single" w:sz="4" w:space="0" w:color="auto"/>
            </w:tcBorders>
          </w:tcPr>
          <w:p w14:paraId="503E8F77" w14:textId="77777777" w:rsidR="003D1214" w:rsidRPr="00C92ADC" w:rsidRDefault="003D1214" w:rsidP="003D1214">
            <w:pPr>
              <w:jc w:val="both"/>
              <w:rPr>
                <w:rFonts w:ascii="Arial" w:hAnsi="Arial" w:cs="Arial"/>
                <w:sz w:val="20"/>
                <w:lang w:val="en-GB"/>
              </w:rPr>
            </w:pPr>
            <w:r w:rsidRPr="00C92ADC">
              <w:rPr>
                <w:rFonts w:ascii="Arial" w:hAnsi="Arial" w:cs="Arial"/>
                <w:sz w:val="20"/>
                <w:lang w:val="en-GB"/>
              </w:rPr>
              <w:t>MPHC Churchill</w:t>
            </w:r>
          </w:p>
        </w:tc>
        <w:tc>
          <w:tcPr>
            <w:tcW w:w="1400" w:type="dxa"/>
            <w:tcBorders>
              <w:top w:val="single" w:sz="4" w:space="0" w:color="auto"/>
            </w:tcBorders>
          </w:tcPr>
          <w:p w14:paraId="0B12AA64" w14:textId="77777777" w:rsidR="003D1214" w:rsidRPr="00C92ADC" w:rsidRDefault="003D1214" w:rsidP="003D1214">
            <w:pPr>
              <w:jc w:val="both"/>
              <w:rPr>
                <w:rFonts w:ascii="Arial" w:hAnsi="Arial" w:cs="Arial"/>
                <w:sz w:val="20"/>
                <w:lang w:val="en-GB"/>
              </w:rPr>
            </w:pPr>
            <w:r w:rsidRPr="00C92ADC">
              <w:rPr>
                <w:rFonts w:ascii="Arial" w:hAnsi="Arial" w:cs="Arial"/>
                <w:sz w:val="20"/>
                <w:lang w:val="en-GB"/>
              </w:rPr>
              <w:t>116</w:t>
            </w:r>
          </w:p>
        </w:tc>
        <w:tc>
          <w:tcPr>
            <w:tcW w:w="568" w:type="dxa"/>
            <w:tcBorders>
              <w:top w:val="single" w:sz="4" w:space="0" w:color="auto"/>
            </w:tcBorders>
          </w:tcPr>
          <w:p w14:paraId="661F6FDB" w14:textId="77777777" w:rsidR="003D1214" w:rsidRPr="00C92ADC" w:rsidRDefault="003D1214" w:rsidP="003D1214">
            <w:pPr>
              <w:jc w:val="both"/>
              <w:rPr>
                <w:rFonts w:ascii="Arial" w:hAnsi="Arial" w:cs="Arial"/>
                <w:sz w:val="20"/>
                <w:lang w:val="en-GB"/>
              </w:rPr>
            </w:pPr>
            <w:r w:rsidRPr="00C92ADC">
              <w:rPr>
                <w:rFonts w:ascii="Arial" w:hAnsi="Arial" w:cs="Arial"/>
                <w:sz w:val="20"/>
                <w:lang w:val="en-GB"/>
              </w:rPr>
              <w:t>28</w:t>
            </w:r>
          </w:p>
        </w:tc>
        <w:tc>
          <w:tcPr>
            <w:tcW w:w="568" w:type="dxa"/>
            <w:tcBorders>
              <w:top w:val="single" w:sz="4" w:space="0" w:color="auto"/>
            </w:tcBorders>
          </w:tcPr>
          <w:p w14:paraId="5F1300DE" w14:textId="77777777" w:rsidR="003D1214" w:rsidRPr="00C92ADC" w:rsidRDefault="003D1214" w:rsidP="003D1214">
            <w:pPr>
              <w:jc w:val="both"/>
              <w:rPr>
                <w:rFonts w:ascii="Arial" w:hAnsi="Arial" w:cs="Arial"/>
                <w:sz w:val="20"/>
                <w:lang w:val="en-GB"/>
              </w:rPr>
            </w:pPr>
            <w:r w:rsidRPr="00C92ADC">
              <w:rPr>
                <w:rFonts w:ascii="Arial" w:hAnsi="Arial" w:cs="Arial"/>
                <w:sz w:val="20"/>
                <w:lang w:val="en-GB"/>
              </w:rPr>
              <w:t>88</w:t>
            </w:r>
          </w:p>
        </w:tc>
        <w:tc>
          <w:tcPr>
            <w:tcW w:w="807" w:type="dxa"/>
            <w:tcBorders>
              <w:top w:val="single" w:sz="4" w:space="0" w:color="auto"/>
            </w:tcBorders>
          </w:tcPr>
          <w:p w14:paraId="77153C75" w14:textId="77777777" w:rsidR="003D1214" w:rsidRPr="00C92ADC" w:rsidRDefault="003D1214" w:rsidP="003D1214">
            <w:pPr>
              <w:jc w:val="both"/>
              <w:rPr>
                <w:rFonts w:ascii="Arial" w:hAnsi="Arial" w:cs="Arial"/>
                <w:sz w:val="20"/>
                <w:lang w:val="en-GB"/>
              </w:rPr>
            </w:pPr>
            <w:r w:rsidRPr="00C92ADC">
              <w:rPr>
                <w:rFonts w:ascii="Arial" w:hAnsi="Arial" w:cs="Arial"/>
                <w:sz w:val="20"/>
                <w:lang w:val="en-GB"/>
              </w:rPr>
              <w:t>22</w:t>
            </w:r>
          </w:p>
        </w:tc>
        <w:tc>
          <w:tcPr>
            <w:tcW w:w="503" w:type="dxa"/>
            <w:tcBorders>
              <w:top w:val="single" w:sz="4" w:space="0" w:color="auto"/>
            </w:tcBorders>
          </w:tcPr>
          <w:p w14:paraId="04BD3F5B" w14:textId="77777777" w:rsidR="003D1214" w:rsidRPr="00C92ADC" w:rsidRDefault="003D1214" w:rsidP="003D1214">
            <w:pPr>
              <w:jc w:val="both"/>
              <w:rPr>
                <w:rFonts w:ascii="Arial" w:hAnsi="Arial" w:cs="Arial"/>
                <w:sz w:val="20"/>
                <w:lang w:val="en-GB"/>
              </w:rPr>
            </w:pPr>
            <w:r w:rsidRPr="00C92ADC">
              <w:rPr>
                <w:rFonts w:ascii="Arial" w:hAnsi="Arial" w:cs="Arial"/>
                <w:sz w:val="20"/>
                <w:lang w:val="en-GB"/>
              </w:rPr>
              <w:t>0</w:t>
            </w:r>
          </w:p>
        </w:tc>
        <w:tc>
          <w:tcPr>
            <w:tcW w:w="568" w:type="dxa"/>
            <w:tcBorders>
              <w:top w:val="single" w:sz="4" w:space="0" w:color="auto"/>
            </w:tcBorders>
          </w:tcPr>
          <w:p w14:paraId="6B343A6E" w14:textId="77777777" w:rsidR="003D1214" w:rsidRPr="00C92ADC" w:rsidRDefault="003D1214" w:rsidP="003D1214">
            <w:pPr>
              <w:jc w:val="both"/>
              <w:rPr>
                <w:rFonts w:ascii="Arial" w:hAnsi="Arial" w:cs="Arial"/>
                <w:sz w:val="20"/>
                <w:lang w:val="en-GB"/>
              </w:rPr>
            </w:pPr>
            <w:r w:rsidRPr="00C92ADC">
              <w:rPr>
                <w:rFonts w:ascii="Arial" w:hAnsi="Arial" w:cs="Arial"/>
                <w:sz w:val="20"/>
                <w:lang w:val="en-GB"/>
              </w:rPr>
              <w:t>88</w:t>
            </w:r>
          </w:p>
        </w:tc>
        <w:tc>
          <w:tcPr>
            <w:tcW w:w="528" w:type="dxa"/>
            <w:tcBorders>
              <w:top w:val="single" w:sz="4" w:space="0" w:color="auto"/>
            </w:tcBorders>
          </w:tcPr>
          <w:p w14:paraId="4DB28CE4" w14:textId="77777777" w:rsidR="003D1214" w:rsidRPr="00C92ADC" w:rsidRDefault="003D1214" w:rsidP="003D1214">
            <w:pPr>
              <w:jc w:val="both"/>
              <w:rPr>
                <w:rFonts w:ascii="Arial" w:hAnsi="Arial" w:cs="Arial"/>
                <w:sz w:val="20"/>
                <w:lang w:val="en-GB"/>
              </w:rPr>
            </w:pPr>
            <w:r w:rsidRPr="00C92ADC">
              <w:rPr>
                <w:rFonts w:ascii="Arial" w:hAnsi="Arial" w:cs="Arial"/>
                <w:sz w:val="20"/>
                <w:lang w:val="en-GB"/>
              </w:rPr>
              <w:t>6</w:t>
            </w:r>
          </w:p>
        </w:tc>
        <w:tc>
          <w:tcPr>
            <w:tcW w:w="674" w:type="dxa"/>
            <w:tcBorders>
              <w:top w:val="single" w:sz="4" w:space="0" w:color="auto"/>
            </w:tcBorders>
          </w:tcPr>
          <w:p w14:paraId="55D3D547" w14:textId="77777777" w:rsidR="003D1214" w:rsidRPr="00C92ADC" w:rsidRDefault="003D1214" w:rsidP="003D1214">
            <w:pPr>
              <w:jc w:val="both"/>
              <w:rPr>
                <w:rFonts w:ascii="Arial" w:hAnsi="Arial" w:cs="Arial"/>
                <w:sz w:val="20"/>
                <w:lang w:val="en-GB"/>
              </w:rPr>
            </w:pPr>
            <w:r w:rsidRPr="00C92ADC">
              <w:rPr>
                <w:rFonts w:ascii="Arial" w:hAnsi="Arial" w:cs="Arial"/>
                <w:sz w:val="20"/>
                <w:lang w:val="en-GB"/>
              </w:rPr>
              <w:t>1.00</w:t>
            </w:r>
          </w:p>
        </w:tc>
        <w:tc>
          <w:tcPr>
            <w:tcW w:w="702" w:type="dxa"/>
            <w:tcBorders>
              <w:top w:val="single" w:sz="4" w:space="0" w:color="auto"/>
            </w:tcBorders>
          </w:tcPr>
          <w:p w14:paraId="3AA9E573" w14:textId="77777777" w:rsidR="003D1214" w:rsidRPr="00C92ADC" w:rsidRDefault="003D1214" w:rsidP="003D1214">
            <w:pPr>
              <w:jc w:val="both"/>
              <w:rPr>
                <w:rFonts w:ascii="Arial" w:hAnsi="Arial" w:cs="Arial"/>
                <w:sz w:val="20"/>
                <w:lang w:val="en-GB"/>
              </w:rPr>
            </w:pPr>
            <w:r w:rsidRPr="00C92ADC">
              <w:rPr>
                <w:rFonts w:ascii="Arial" w:hAnsi="Arial" w:cs="Arial"/>
                <w:sz w:val="20"/>
                <w:lang w:val="en-GB"/>
              </w:rPr>
              <w:t>0.94</w:t>
            </w:r>
          </w:p>
        </w:tc>
        <w:tc>
          <w:tcPr>
            <w:tcW w:w="688" w:type="dxa"/>
            <w:tcBorders>
              <w:top w:val="single" w:sz="4" w:space="0" w:color="auto"/>
            </w:tcBorders>
          </w:tcPr>
          <w:p w14:paraId="22D452C2" w14:textId="77777777" w:rsidR="003D1214" w:rsidRPr="00C92ADC" w:rsidRDefault="003D1214" w:rsidP="003D1214">
            <w:pPr>
              <w:jc w:val="both"/>
              <w:rPr>
                <w:rFonts w:ascii="Arial" w:hAnsi="Arial" w:cs="Arial"/>
                <w:sz w:val="20"/>
                <w:lang w:val="en-GB"/>
              </w:rPr>
            </w:pPr>
            <w:r w:rsidRPr="00C92ADC">
              <w:rPr>
                <w:rFonts w:ascii="Arial" w:hAnsi="Arial" w:cs="Arial"/>
                <w:sz w:val="20"/>
                <w:lang w:val="en-GB"/>
              </w:rPr>
              <w:t>0.79</w:t>
            </w:r>
          </w:p>
        </w:tc>
        <w:tc>
          <w:tcPr>
            <w:tcW w:w="712" w:type="dxa"/>
            <w:tcBorders>
              <w:top w:val="single" w:sz="4" w:space="0" w:color="auto"/>
            </w:tcBorders>
          </w:tcPr>
          <w:p w14:paraId="4677981F" w14:textId="77777777" w:rsidR="003D1214" w:rsidRPr="00C92ADC" w:rsidRDefault="003D1214" w:rsidP="003D1214">
            <w:pPr>
              <w:jc w:val="both"/>
              <w:rPr>
                <w:rFonts w:ascii="Arial" w:hAnsi="Arial" w:cs="Arial"/>
                <w:sz w:val="20"/>
                <w:lang w:val="en-GB"/>
              </w:rPr>
            </w:pPr>
            <w:r w:rsidRPr="00C92ADC">
              <w:rPr>
                <w:rFonts w:ascii="Arial" w:hAnsi="Arial" w:cs="Arial"/>
                <w:sz w:val="20"/>
                <w:lang w:val="en-GB"/>
              </w:rPr>
              <w:t>1.00</w:t>
            </w:r>
          </w:p>
        </w:tc>
      </w:tr>
      <w:tr w:rsidR="003D1214" w:rsidRPr="003D1214" w14:paraId="156207A0" w14:textId="77777777" w:rsidTr="00207B81">
        <w:trPr>
          <w:trHeight w:val="395"/>
        </w:trPr>
        <w:tc>
          <w:tcPr>
            <w:tcW w:w="1663" w:type="dxa"/>
          </w:tcPr>
          <w:p w14:paraId="0E02CD8A" w14:textId="77777777" w:rsidR="003D1214" w:rsidRPr="00C92ADC" w:rsidRDefault="003D1214" w:rsidP="003D1214">
            <w:pPr>
              <w:jc w:val="both"/>
              <w:rPr>
                <w:rFonts w:ascii="Arial" w:hAnsi="Arial" w:cs="Arial"/>
                <w:sz w:val="20"/>
                <w:lang w:val="en-GB"/>
              </w:rPr>
            </w:pPr>
            <w:r w:rsidRPr="00C92ADC">
              <w:rPr>
                <w:rFonts w:ascii="Arial" w:hAnsi="Arial" w:cs="Arial"/>
                <w:sz w:val="20"/>
                <w:lang w:val="en-GB"/>
              </w:rPr>
              <w:t xml:space="preserve">MPHC </w:t>
            </w:r>
            <w:proofErr w:type="spellStart"/>
            <w:r w:rsidRPr="00C92ADC">
              <w:rPr>
                <w:rFonts w:ascii="Arial" w:hAnsi="Arial" w:cs="Arial"/>
                <w:sz w:val="20"/>
                <w:lang w:val="en-GB"/>
              </w:rPr>
              <w:t>Mgbundukwu</w:t>
            </w:r>
            <w:proofErr w:type="spellEnd"/>
          </w:p>
        </w:tc>
        <w:tc>
          <w:tcPr>
            <w:tcW w:w="1400" w:type="dxa"/>
          </w:tcPr>
          <w:p w14:paraId="1C93D19F" w14:textId="77777777" w:rsidR="003D1214" w:rsidRPr="00C92ADC" w:rsidRDefault="003D1214" w:rsidP="003D1214">
            <w:pPr>
              <w:jc w:val="both"/>
              <w:rPr>
                <w:rFonts w:ascii="Arial" w:hAnsi="Arial" w:cs="Arial"/>
                <w:sz w:val="20"/>
                <w:lang w:val="en-GB"/>
              </w:rPr>
            </w:pPr>
            <w:r w:rsidRPr="00C92ADC">
              <w:rPr>
                <w:rFonts w:ascii="Arial" w:hAnsi="Arial" w:cs="Arial"/>
                <w:sz w:val="20"/>
                <w:lang w:val="en-GB"/>
              </w:rPr>
              <w:t>118</w:t>
            </w:r>
          </w:p>
        </w:tc>
        <w:tc>
          <w:tcPr>
            <w:tcW w:w="568" w:type="dxa"/>
          </w:tcPr>
          <w:p w14:paraId="6DDD73DC" w14:textId="77777777" w:rsidR="003D1214" w:rsidRPr="00C92ADC" w:rsidRDefault="003D1214" w:rsidP="003D1214">
            <w:pPr>
              <w:jc w:val="both"/>
              <w:rPr>
                <w:rFonts w:ascii="Arial" w:hAnsi="Arial" w:cs="Arial"/>
                <w:sz w:val="20"/>
                <w:lang w:val="en-GB"/>
              </w:rPr>
            </w:pPr>
            <w:r w:rsidRPr="00C92ADC">
              <w:rPr>
                <w:rFonts w:ascii="Arial" w:hAnsi="Arial" w:cs="Arial"/>
                <w:sz w:val="20"/>
                <w:lang w:val="en-GB"/>
              </w:rPr>
              <w:t>42</w:t>
            </w:r>
          </w:p>
        </w:tc>
        <w:tc>
          <w:tcPr>
            <w:tcW w:w="568" w:type="dxa"/>
          </w:tcPr>
          <w:p w14:paraId="63B2BA7A" w14:textId="77777777" w:rsidR="003D1214" w:rsidRPr="00C92ADC" w:rsidRDefault="003D1214" w:rsidP="003D1214">
            <w:pPr>
              <w:jc w:val="both"/>
              <w:rPr>
                <w:rFonts w:ascii="Arial" w:hAnsi="Arial" w:cs="Arial"/>
                <w:sz w:val="20"/>
                <w:lang w:val="en-GB"/>
              </w:rPr>
            </w:pPr>
            <w:r w:rsidRPr="00C92ADC">
              <w:rPr>
                <w:rFonts w:ascii="Arial" w:hAnsi="Arial" w:cs="Arial"/>
                <w:sz w:val="20"/>
                <w:lang w:val="en-GB"/>
              </w:rPr>
              <w:t>76</w:t>
            </w:r>
          </w:p>
        </w:tc>
        <w:tc>
          <w:tcPr>
            <w:tcW w:w="807" w:type="dxa"/>
          </w:tcPr>
          <w:p w14:paraId="5AA8C863" w14:textId="77777777" w:rsidR="003D1214" w:rsidRPr="00C92ADC" w:rsidRDefault="003D1214" w:rsidP="003D1214">
            <w:pPr>
              <w:jc w:val="both"/>
              <w:rPr>
                <w:rFonts w:ascii="Arial" w:hAnsi="Arial" w:cs="Arial"/>
                <w:sz w:val="20"/>
                <w:lang w:val="en-GB"/>
              </w:rPr>
            </w:pPr>
            <w:r w:rsidRPr="00C92ADC">
              <w:rPr>
                <w:rFonts w:ascii="Arial" w:hAnsi="Arial" w:cs="Arial"/>
                <w:sz w:val="20"/>
                <w:lang w:val="en-GB"/>
              </w:rPr>
              <w:t>37</w:t>
            </w:r>
          </w:p>
        </w:tc>
        <w:tc>
          <w:tcPr>
            <w:tcW w:w="503" w:type="dxa"/>
          </w:tcPr>
          <w:p w14:paraId="181C77A7" w14:textId="77777777" w:rsidR="003D1214" w:rsidRPr="00C92ADC" w:rsidRDefault="003D1214" w:rsidP="003D1214">
            <w:pPr>
              <w:jc w:val="both"/>
              <w:rPr>
                <w:rFonts w:ascii="Arial" w:hAnsi="Arial" w:cs="Arial"/>
                <w:sz w:val="20"/>
                <w:lang w:val="en-GB"/>
              </w:rPr>
            </w:pPr>
            <w:r w:rsidRPr="00C92ADC">
              <w:rPr>
                <w:rFonts w:ascii="Arial" w:hAnsi="Arial" w:cs="Arial"/>
                <w:sz w:val="20"/>
                <w:lang w:val="en-GB"/>
              </w:rPr>
              <w:t>0</w:t>
            </w:r>
          </w:p>
        </w:tc>
        <w:tc>
          <w:tcPr>
            <w:tcW w:w="568" w:type="dxa"/>
          </w:tcPr>
          <w:p w14:paraId="1726F48C" w14:textId="77777777" w:rsidR="003D1214" w:rsidRPr="00C92ADC" w:rsidRDefault="003D1214" w:rsidP="003D1214">
            <w:pPr>
              <w:jc w:val="both"/>
              <w:rPr>
                <w:rFonts w:ascii="Arial" w:hAnsi="Arial" w:cs="Arial"/>
                <w:sz w:val="20"/>
                <w:lang w:val="en-GB"/>
              </w:rPr>
            </w:pPr>
            <w:r w:rsidRPr="00C92ADC">
              <w:rPr>
                <w:rFonts w:ascii="Arial" w:hAnsi="Arial" w:cs="Arial"/>
                <w:sz w:val="20"/>
                <w:lang w:val="en-GB"/>
              </w:rPr>
              <w:t>76</w:t>
            </w:r>
          </w:p>
        </w:tc>
        <w:tc>
          <w:tcPr>
            <w:tcW w:w="528" w:type="dxa"/>
          </w:tcPr>
          <w:p w14:paraId="4C805F26" w14:textId="77777777" w:rsidR="003D1214" w:rsidRPr="00C92ADC" w:rsidRDefault="003D1214" w:rsidP="003D1214">
            <w:pPr>
              <w:jc w:val="both"/>
              <w:rPr>
                <w:rFonts w:ascii="Arial" w:hAnsi="Arial" w:cs="Arial"/>
                <w:sz w:val="20"/>
                <w:lang w:val="en-GB"/>
              </w:rPr>
            </w:pPr>
            <w:r w:rsidRPr="00C92ADC">
              <w:rPr>
                <w:rFonts w:ascii="Arial" w:hAnsi="Arial" w:cs="Arial"/>
                <w:sz w:val="20"/>
                <w:lang w:val="en-GB"/>
              </w:rPr>
              <w:t>5</w:t>
            </w:r>
          </w:p>
        </w:tc>
        <w:tc>
          <w:tcPr>
            <w:tcW w:w="674" w:type="dxa"/>
          </w:tcPr>
          <w:p w14:paraId="73CF08CC" w14:textId="77777777" w:rsidR="003D1214" w:rsidRPr="00C92ADC" w:rsidRDefault="003D1214" w:rsidP="003D1214">
            <w:pPr>
              <w:jc w:val="both"/>
              <w:rPr>
                <w:rFonts w:ascii="Arial" w:hAnsi="Arial" w:cs="Arial"/>
                <w:sz w:val="20"/>
                <w:lang w:val="en-GB"/>
              </w:rPr>
            </w:pPr>
            <w:r w:rsidRPr="00C92ADC">
              <w:rPr>
                <w:rFonts w:ascii="Arial" w:hAnsi="Arial" w:cs="Arial"/>
                <w:sz w:val="20"/>
                <w:lang w:val="en-GB"/>
              </w:rPr>
              <w:t>1.00</w:t>
            </w:r>
          </w:p>
        </w:tc>
        <w:tc>
          <w:tcPr>
            <w:tcW w:w="702" w:type="dxa"/>
          </w:tcPr>
          <w:p w14:paraId="68916BB3" w14:textId="77777777" w:rsidR="003D1214" w:rsidRPr="00C92ADC" w:rsidRDefault="003D1214" w:rsidP="003D1214">
            <w:pPr>
              <w:jc w:val="both"/>
              <w:rPr>
                <w:rFonts w:ascii="Arial" w:hAnsi="Arial" w:cs="Arial"/>
                <w:sz w:val="20"/>
                <w:lang w:val="en-GB"/>
              </w:rPr>
            </w:pPr>
            <w:r w:rsidRPr="00C92ADC">
              <w:rPr>
                <w:rFonts w:ascii="Arial" w:hAnsi="Arial" w:cs="Arial"/>
                <w:sz w:val="20"/>
                <w:lang w:val="en-GB"/>
              </w:rPr>
              <w:t>0.94</w:t>
            </w:r>
          </w:p>
        </w:tc>
        <w:tc>
          <w:tcPr>
            <w:tcW w:w="688" w:type="dxa"/>
          </w:tcPr>
          <w:p w14:paraId="2DDD99F4" w14:textId="77777777" w:rsidR="003D1214" w:rsidRPr="00C92ADC" w:rsidRDefault="003D1214" w:rsidP="003D1214">
            <w:pPr>
              <w:jc w:val="both"/>
              <w:rPr>
                <w:rFonts w:ascii="Arial" w:hAnsi="Arial" w:cs="Arial"/>
                <w:sz w:val="20"/>
                <w:lang w:val="en-GB"/>
              </w:rPr>
            </w:pPr>
            <w:r w:rsidRPr="00C92ADC">
              <w:rPr>
                <w:rFonts w:ascii="Arial" w:hAnsi="Arial" w:cs="Arial"/>
                <w:sz w:val="20"/>
                <w:lang w:val="en-GB"/>
              </w:rPr>
              <w:t>0.88</w:t>
            </w:r>
          </w:p>
        </w:tc>
        <w:tc>
          <w:tcPr>
            <w:tcW w:w="712" w:type="dxa"/>
          </w:tcPr>
          <w:p w14:paraId="2967FD02" w14:textId="77777777" w:rsidR="003D1214" w:rsidRPr="00C92ADC" w:rsidRDefault="003D1214" w:rsidP="003D1214">
            <w:pPr>
              <w:jc w:val="both"/>
              <w:rPr>
                <w:rFonts w:ascii="Arial" w:hAnsi="Arial" w:cs="Arial"/>
                <w:sz w:val="20"/>
                <w:lang w:val="en-GB"/>
              </w:rPr>
            </w:pPr>
            <w:r w:rsidRPr="00C92ADC">
              <w:rPr>
                <w:rFonts w:ascii="Arial" w:hAnsi="Arial" w:cs="Arial"/>
                <w:sz w:val="20"/>
                <w:lang w:val="en-GB"/>
              </w:rPr>
              <w:t>1.00</w:t>
            </w:r>
          </w:p>
        </w:tc>
      </w:tr>
      <w:tr w:rsidR="003D1214" w:rsidRPr="003D1214" w14:paraId="3B660EFC" w14:textId="77777777" w:rsidTr="00207B81">
        <w:trPr>
          <w:trHeight w:val="395"/>
        </w:trPr>
        <w:tc>
          <w:tcPr>
            <w:tcW w:w="1663" w:type="dxa"/>
          </w:tcPr>
          <w:p w14:paraId="6CCB4D0E" w14:textId="77777777" w:rsidR="003D1214" w:rsidRPr="00C92ADC" w:rsidRDefault="003D1214" w:rsidP="003D1214">
            <w:pPr>
              <w:jc w:val="both"/>
              <w:rPr>
                <w:rFonts w:ascii="Arial" w:hAnsi="Arial" w:cs="Arial"/>
                <w:sz w:val="20"/>
                <w:lang w:val="en-GB"/>
              </w:rPr>
            </w:pPr>
            <w:r w:rsidRPr="00C92ADC">
              <w:rPr>
                <w:rFonts w:ascii="Arial" w:hAnsi="Arial" w:cs="Arial"/>
                <w:sz w:val="20"/>
                <w:lang w:val="en-GB"/>
              </w:rPr>
              <w:t>MPHC</w:t>
            </w:r>
          </w:p>
          <w:p w14:paraId="4E57FA50" w14:textId="77777777" w:rsidR="003D1214" w:rsidRPr="00C92ADC" w:rsidRDefault="003D1214" w:rsidP="003D1214">
            <w:pPr>
              <w:jc w:val="both"/>
              <w:rPr>
                <w:rFonts w:ascii="Arial" w:hAnsi="Arial" w:cs="Arial"/>
                <w:sz w:val="20"/>
                <w:lang w:val="en-GB"/>
              </w:rPr>
            </w:pPr>
            <w:proofErr w:type="spellStart"/>
            <w:r w:rsidRPr="00C92ADC">
              <w:rPr>
                <w:rFonts w:ascii="Arial" w:hAnsi="Arial" w:cs="Arial"/>
                <w:sz w:val="20"/>
                <w:lang w:val="en-GB"/>
              </w:rPr>
              <w:t>Ozuoba</w:t>
            </w:r>
            <w:proofErr w:type="spellEnd"/>
          </w:p>
        </w:tc>
        <w:tc>
          <w:tcPr>
            <w:tcW w:w="1400" w:type="dxa"/>
          </w:tcPr>
          <w:p w14:paraId="202A9C04" w14:textId="77777777" w:rsidR="003D1214" w:rsidRPr="00C92ADC" w:rsidRDefault="003D1214" w:rsidP="003D1214">
            <w:pPr>
              <w:jc w:val="both"/>
              <w:rPr>
                <w:rFonts w:ascii="Arial" w:hAnsi="Arial" w:cs="Arial"/>
                <w:sz w:val="20"/>
                <w:lang w:val="en-GB"/>
              </w:rPr>
            </w:pPr>
            <w:r w:rsidRPr="00C92ADC">
              <w:rPr>
                <w:rFonts w:ascii="Arial" w:hAnsi="Arial" w:cs="Arial"/>
                <w:sz w:val="20"/>
                <w:lang w:val="en-GB"/>
              </w:rPr>
              <w:t>125</w:t>
            </w:r>
          </w:p>
        </w:tc>
        <w:tc>
          <w:tcPr>
            <w:tcW w:w="568" w:type="dxa"/>
          </w:tcPr>
          <w:p w14:paraId="1DB00DD6" w14:textId="77777777" w:rsidR="003D1214" w:rsidRPr="00C92ADC" w:rsidRDefault="003D1214" w:rsidP="003D1214">
            <w:pPr>
              <w:jc w:val="both"/>
              <w:rPr>
                <w:rFonts w:ascii="Arial" w:hAnsi="Arial" w:cs="Arial"/>
                <w:sz w:val="20"/>
                <w:lang w:val="en-GB"/>
              </w:rPr>
            </w:pPr>
            <w:r w:rsidRPr="00C92ADC">
              <w:rPr>
                <w:rFonts w:ascii="Arial" w:hAnsi="Arial" w:cs="Arial"/>
                <w:sz w:val="20"/>
                <w:lang w:val="en-GB"/>
              </w:rPr>
              <w:t>43</w:t>
            </w:r>
          </w:p>
        </w:tc>
        <w:tc>
          <w:tcPr>
            <w:tcW w:w="568" w:type="dxa"/>
          </w:tcPr>
          <w:p w14:paraId="060F900E" w14:textId="77777777" w:rsidR="003D1214" w:rsidRPr="00C92ADC" w:rsidRDefault="003D1214" w:rsidP="003D1214">
            <w:pPr>
              <w:jc w:val="both"/>
              <w:rPr>
                <w:rFonts w:ascii="Arial" w:hAnsi="Arial" w:cs="Arial"/>
                <w:sz w:val="20"/>
                <w:lang w:val="en-GB"/>
              </w:rPr>
            </w:pPr>
            <w:r w:rsidRPr="00C92ADC">
              <w:rPr>
                <w:rFonts w:ascii="Arial" w:hAnsi="Arial" w:cs="Arial"/>
                <w:sz w:val="20"/>
                <w:lang w:val="en-GB"/>
              </w:rPr>
              <w:t>82</w:t>
            </w:r>
          </w:p>
        </w:tc>
        <w:tc>
          <w:tcPr>
            <w:tcW w:w="807" w:type="dxa"/>
          </w:tcPr>
          <w:p w14:paraId="1E161D3D" w14:textId="77777777" w:rsidR="003D1214" w:rsidRPr="00C92ADC" w:rsidRDefault="003D1214" w:rsidP="003D1214">
            <w:pPr>
              <w:jc w:val="both"/>
              <w:rPr>
                <w:rFonts w:ascii="Arial" w:hAnsi="Arial" w:cs="Arial"/>
                <w:sz w:val="20"/>
                <w:lang w:val="en-GB"/>
              </w:rPr>
            </w:pPr>
            <w:r w:rsidRPr="00C92ADC">
              <w:rPr>
                <w:rFonts w:ascii="Arial" w:hAnsi="Arial" w:cs="Arial"/>
                <w:sz w:val="20"/>
                <w:lang w:val="en-GB"/>
              </w:rPr>
              <w:t>40</w:t>
            </w:r>
          </w:p>
        </w:tc>
        <w:tc>
          <w:tcPr>
            <w:tcW w:w="503" w:type="dxa"/>
          </w:tcPr>
          <w:p w14:paraId="516C70D2" w14:textId="77777777" w:rsidR="003D1214" w:rsidRPr="00C92ADC" w:rsidRDefault="003D1214" w:rsidP="003D1214">
            <w:pPr>
              <w:jc w:val="both"/>
              <w:rPr>
                <w:rFonts w:ascii="Arial" w:hAnsi="Arial" w:cs="Arial"/>
                <w:sz w:val="20"/>
                <w:lang w:val="en-GB"/>
              </w:rPr>
            </w:pPr>
            <w:r w:rsidRPr="00C92ADC">
              <w:rPr>
                <w:rFonts w:ascii="Arial" w:hAnsi="Arial" w:cs="Arial"/>
                <w:sz w:val="20"/>
                <w:lang w:val="en-GB"/>
              </w:rPr>
              <w:t>0</w:t>
            </w:r>
          </w:p>
        </w:tc>
        <w:tc>
          <w:tcPr>
            <w:tcW w:w="568" w:type="dxa"/>
          </w:tcPr>
          <w:p w14:paraId="483102F4" w14:textId="77777777" w:rsidR="003D1214" w:rsidRPr="00C92ADC" w:rsidRDefault="003D1214" w:rsidP="003D1214">
            <w:pPr>
              <w:jc w:val="both"/>
              <w:rPr>
                <w:rFonts w:ascii="Arial" w:hAnsi="Arial" w:cs="Arial"/>
                <w:sz w:val="20"/>
                <w:lang w:val="en-GB"/>
              </w:rPr>
            </w:pPr>
            <w:r w:rsidRPr="00C92ADC">
              <w:rPr>
                <w:rFonts w:ascii="Arial" w:hAnsi="Arial" w:cs="Arial"/>
                <w:sz w:val="20"/>
                <w:lang w:val="en-GB"/>
              </w:rPr>
              <w:t>82</w:t>
            </w:r>
          </w:p>
        </w:tc>
        <w:tc>
          <w:tcPr>
            <w:tcW w:w="528" w:type="dxa"/>
          </w:tcPr>
          <w:p w14:paraId="1B4B1C3D" w14:textId="77777777" w:rsidR="003D1214" w:rsidRPr="00C92ADC" w:rsidRDefault="003D1214" w:rsidP="003D1214">
            <w:pPr>
              <w:jc w:val="both"/>
              <w:rPr>
                <w:rFonts w:ascii="Arial" w:hAnsi="Arial" w:cs="Arial"/>
                <w:sz w:val="20"/>
                <w:lang w:val="en-GB"/>
              </w:rPr>
            </w:pPr>
            <w:r w:rsidRPr="00C92ADC">
              <w:rPr>
                <w:rFonts w:ascii="Arial" w:hAnsi="Arial" w:cs="Arial"/>
                <w:sz w:val="20"/>
                <w:lang w:val="en-GB"/>
              </w:rPr>
              <w:t>3</w:t>
            </w:r>
          </w:p>
        </w:tc>
        <w:tc>
          <w:tcPr>
            <w:tcW w:w="674" w:type="dxa"/>
          </w:tcPr>
          <w:p w14:paraId="2B872295" w14:textId="77777777" w:rsidR="003D1214" w:rsidRPr="00C92ADC" w:rsidRDefault="003D1214" w:rsidP="003D1214">
            <w:pPr>
              <w:jc w:val="both"/>
              <w:rPr>
                <w:rFonts w:ascii="Arial" w:hAnsi="Arial" w:cs="Arial"/>
                <w:sz w:val="20"/>
                <w:lang w:val="en-GB"/>
              </w:rPr>
            </w:pPr>
            <w:r w:rsidRPr="00C92ADC">
              <w:rPr>
                <w:rFonts w:ascii="Arial" w:hAnsi="Arial" w:cs="Arial"/>
                <w:sz w:val="20"/>
                <w:lang w:val="en-GB"/>
              </w:rPr>
              <w:t>1.00</w:t>
            </w:r>
          </w:p>
        </w:tc>
        <w:tc>
          <w:tcPr>
            <w:tcW w:w="702" w:type="dxa"/>
          </w:tcPr>
          <w:p w14:paraId="7A468079" w14:textId="77777777" w:rsidR="003D1214" w:rsidRPr="00C92ADC" w:rsidRDefault="003D1214" w:rsidP="003D1214">
            <w:pPr>
              <w:jc w:val="both"/>
              <w:rPr>
                <w:rFonts w:ascii="Arial" w:hAnsi="Arial" w:cs="Arial"/>
                <w:sz w:val="20"/>
                <w:lang w:val="en-GB"/>
              </w:rPr>
            </w:pPr>
            <w:r w:rsidRPr="00C92ADC">
              <w:rPr>
                <w:rFonts w:ascii="Arial" w:hAnsi="Arial" w:cs="Arial"/>
                <w:sz w:val="20"/>
                <w:lang w:val="en-GB"/>
              </w:rPr>
              <w:t>0.97</w:t>
            </w:r>
          </w:p>
        </w:tc>
        <w:tc>
          <w:tcPr>
            <w:tcW w:w="688" w:type="dxa"/>
          </w:tcPr>
          <w:p w14:paraId="7DBB93B2" w14:textId="77777777" w:rsidR="003D1214" w:rsidRPr="00C92ADC" w:rsidRDefault="003D1214" w:rsidP="003D1214">
            <w:pPr>
              <w:jc w:val="both"/>
              <w:rPr>
                <w:rFonts w:ascii="Arial" w:hAnsi="Arial" w:cs="Arial"/>
                <w:sz w:val="20"/>
                <w:lang w:val="en-GB"/>
              </w:rPr>
            </w:pPr>
            <w:r w:rsidRPr="00C92ADC">
              <w:rPr>
                <w:rFonts w:ascii="Arial" w:hAnsi="Arial" w:cs="Arial"/>
                <w:sz w:val="20"/>
                <w:lang w:val="en-GB"/>
              </w:rPr>
              <w:t>0.93</w:t>
            </w:r>
          </w:p>
        </w:tc>
        <w:tc>
          <w:tcPr>
            <w:tcW w:w="712" w:type="dxa"/>
          </w:tcPr>
          <w:p w14:paraId="201E09AE" w14:textId="77777777" w:rsidR="003D1214" w:rsidRPr="00C92ADC" w:rsidRDefault="003D1214" w:rsidP="003D1214">
            <w:pPr>
              <w:jc w:val="both"/>
              <w:rPr>
                <w:rFonts w:ascii="Arial" w:hAnsi="Arial" w:cs="Arial"/>
                <w:sz w:val="20"/>
                <w:lang w:val="en-GB"/>
              </w:rPr>
            </w:pPr>
            <w:r w:rsidRPr="00C92ADC">
              <w:rPr>
                <w:rFonts w:ascii="Arial" w:hAnsi="Arial" w:cs="Arial"/>
                <w:sz w:val="20"/>
                <w:lang w:val="en-GB"/>
              </w:rPr>
              <w:t>1.00</w:t>
            </w:r>
          </w:p>
        </w:tc>
      </w:tr>
      <w:tr w:rsidR="003D1214" w:rsidRPr="003D1214" w14:paraId="19E7AD27" w14:textId="77777777" w:rsidTr="00207B81">
        <w:trPr>
          <w:trHeight w:val="395"/>
        </w:trPr>
        <w:tc>
          <w:tcPr>
            <w:tcW w:w="1663" w:type="dxa"/>
          </w:tcPr>
          <w:p w14:paraId="5559AAEB" w14:textId="77777777" w:rsidR="003D1214" w:rsidRPr="00C92ADC" w:rsidRDefault="003D1214" w:rsidP="003D1214">
            <w:pPr>
              <w:jc w:val="both"/>
              <w:rPr>
                <w:rFonts w:ascii="Arial" w:hAnsi="Arial" w:cs="Arial"/>
                <w:sz w:val="20"/>
                <w:lang w:val="en-GB"/>
              </w:rPr>
            </w:pPr>
            <w:r w:rsidRPr="00C92ADC">
              <w:rPr>
                <w:rFonts w:ascii="Arial" w:hAnsi="Arial" w:cs="Arial"/>
                <w:sz w:val="20"/>
                <w:lang w:val="en-GB"/>
              </w:rPr>
              <w:t xml:space="preserve">MPHC </w:t>
            </w:r>
            <w:proofErr w:type="spellStart"/>
            <w:r w:rsidRPr="00C92ADC">
              <w:rPr>
                <w:rFonts w:ascii="Arial" w:hAnsi="Arial" w:cs="Arial"/>
                <w:sz w:val="20"/>
                <w:lang w:val="en-GB"/>
              </w:rPr>
              <w:t>Rumueme</w:t>
            </w:r>
            <w:proofErr w:type="spellEnd"/>
          </w:p>
        </w:tc>
        <w:tc>
          <w:tcPr>
            <w:tcW w:w="1400" w:type="dxa"/>
          </w:tcPr>
          <w:p w14:paraId="6BFEDD40" w14:textId="77777777" w:rsidR="003D1214" w:rsidRPr="00C92ADC" w:rsidRDefault="003D1214" w:rsidP="003D1214">
            <w:pPr>
              <w:jc w:val="both"/>
              <w:rPr>
                <w:rFonts w:ascii="Arial" w:hAnsi="Arial" w:cs="Arial"/>
                <w:sz w:val="20"/>
                <w:lang w:val="en-GB"/>
              </w:rPr>
            </w:pPr>
            <w:r w:rsidRPr="00C92ADC">
              <w:rPr>
                <w:rFonts w:ascii="Arial" w:hAnsi="Arial" w:cs="Arial"/>
                <w:sz w:val="20"/>
                <w:lang w:val="en-GB"/>
              </w:rPr>
              <w:t>114</w:t>
            </w:r>
          </w:p>
        </w:tc>
        <w:tc>
          <w:tcPr>
            <w:tcW w:w="568" w:type="dxa"/>
          </w:tcPr>
          <w:p w14:paraId="2B7ABEF6" w14:textId="77777777" w:rsidR="003D1214" w:rsidRPr="00C92ADC" w:rsidRDefault="003D1214" w:rsidP="003D1214">
            <w:pPr>
              <w:jc w:val="both"/>
              <w:rPr>
                <w:rFonts w:ascii="Arial" w:hAnsi="Arial" w:cs="Arial"/>
                <w:sz w:val="20"/>
                <w:lang w:val="en-GB"/>
              </w:rPr>
            </w:pPr>
            <w:r w:rsidRPr="00C92ADC">
              <w:rPr>
                <w:rFonts w:ascii="Arial" w:hAnsi="Arial" w:cs="Arial"/>
                <w:sz w:val="20"/>
                <w:lang w:val="en-GB"/>
              </w:rPr>
              <w:t>41</w:t>
            </w:r>
          </w:p>
        </w:tc>
        <w:tc>
          <w:tcPr>
            <w:tcW w:w="568" w:type="dxa"/>
          </w:tcPr>
          <w:p w14:paraId="1EFCADA0" w14:textId="77777777" w:rsidR="003D1214" w:rsidRPr="00C92ADC" w:rsidRDefault="003D1214" w:rsidP="003D1214">
            <w:pPr>
              <w:jc w:val="both"/>
              <w:rPr>
                <w:rFonts w:ascii="Arial" w:hAnsi="Arial" w:cs="Arial"/>
                <w:sz w:val="20"/>
                <w:lang w:val="en-GB"/>
              </w:rPr>
            </w:pPr>
            <w:r w:rsidRPr="00C92ADC">
              <w:rPr>
                <w:rFonts w:ascii="Arial" w:hAnsi="Arial" w:cs="Arial"/>
                <w:sz w:val="20"/>
                <w:lang w:val="en-GB"/>
              </w:rPr>
              <w:t>73</w:t>
            </w:r>
          </w:p>
        </w:tc>
        <w:tc>
          <w:tcPr>
            <w:tcW w:w="807" w:type="dxa"/>
          </w:tcPr>
          <w:p w14:paraId="5E9D86D3" w14:textId="77777777" w:rsidR="003D1214" w:rsidRPr="00C92ADC" w:rsidRDefault="003D1214" w:rsidP="003D1214">
            <w:pPr>
              <w:jc w:val="both"/>
              <w:rPr>
                <w:rFonts w:ascii="Arial" w:hAnsi="Arial" w:cs="Arial"/>
                <w:sz w:val="20"/>
                <w:lang w:val="en-GB"/>
              </w:rPr>
            </w:pPr>
            <w:r w:rsidRPr="00C92ADC">
              <w:rPr>
                <w:rFonts w:ascii="Arial" w:hAnsi="Arial" w:cs="Arial"/>
                <w:sz w:val="20"/>
                <w:lang w:val="en-GB"/>
              </w:rPr>
              <w:t>37</w:t>
            </w:r>
          </w:p>
        </w:tc>
        <w:tc>
          <w:tcPr>
            <w:tcW w:w="503" w:type="dxa"/>
          </w:tcPr>
          <w:p w14:paraId="5C4A333A" w14:textId="77777777" w:rsidR="003D1214" w:rsidRPr="00C92ADC" w:rsidRDefault="003D1214" w:rsidP="003D1214">
            <w:pPr>
              <w:jc w:val="both"/>
              <w:rPr>
                <w:rFonts w:ascii="Arial" w:hAnsi="Arial" w:cs="Arial"/>
                <w:sz w:val="20"/>
                <w:lang w:val="en-GB"/>
              </w:rPr>
            </w:pPr>
            <w:r w:rsidRPr="00C92ADC">
              <w:rPr>
                <w:rFonts w:ascii="Arial" w:hAnsi="Arial" w:cs="Arial"/>
                <w:sz w:val="20"/>
                <w:lang w:val="en-GB"/>
              </w:rPr>
              <w:t>0</w:t>
            </w:r>
          </w:p>
        </w:tc>
        <w:tc>
          <w:tcPr>
            <w:tcW w:w="568" w:type="dxa"/>
          </w:tcPr>
          <w:p w14:paraId="259C2B76" w14:textId="77777777" w:rsidR="003D1214" w:rsidRPr="00C92ADC" w:rsidRDefault="003D1214" w:rsidP="003D1214">
            <w:pPr>
              <w:jc w:val="both"/>
              <w:rPr>
                <w:rFonts w:ascii="Arial" w:hAnsi="Arial" w:cs="Arial"/>
                <w:sz w:val="20"/>
                <w:lang w:val="en-GB"/>
              </w:rPr>
            </w:pPr>
            <w:r w:rsidRPr="00C92ADC">
              <w:rPr>
                <w:rFonts w:ascii="Arial" w:hAnsi="Arial" w:cs="Arial"/>
                <w:sz w:val="20"/>
                <w:lang w:val="en-GB"/>
              </w:rPr>
              <w:t>73</w:t>
            </w:r>
          </w:p>
        </w:tc>
        <w:tc>
          <w:tcPr>
            <w:tcW w:w="528" w:type="dxa"/>
          </w:tcPr>
          <w:p w14:paraId="733C1D37" w14:textId="77777777" w:rsidR="003D1214" w:rsidRPr="00C92ADC" w:rsidRDefault="003D1214" w:rsidP="003D1214">
            <w:pPr>
              <w:jc w:val="both"/>
              <w:rPr>
                <w:rFonts w:ascii="Arial" w:hAnsi="Arial" w:cs="Arial"/>
                <w:sz w:val="20"/>
                <w:lang w:val="en-GB"/>
              </w:rPr>
            </w:pPr>
            <w:r w:rsidRPr="00C92ADC">
              <w:rPr>
                <w:rFonts w:ascii="Arial" w:hAnsi="Arial" w:cs="Arial"/>
                <w:sz w:val="20"/>
                <w:lang w:val="en-GB"/>
              </w:rPr>
              <w:t>4</w:t>
            </w:r>
          </w:p>
        </w:tc>
        <w:tc>
          <w:tcPr>
            <w:tcW w:w="674" w:type="dxa"/>
          </w:tcPr>
          <w:p w14:paraId="6439AE88" w14:textId="77777777" w:rsidR="003D1214" w:rsidRPr="00C92ADC" w:rsidRDefault="003D1214" w:rsidP="003D1214">
            <w:pPr>
              <w:jc w:val="both"/>
              <w:rPr>
                <w:rFonts w:ascii="Arial" w:hAnsi="Arial" w:cs="Arial"/>
                <w:sz w:val="20"/>
                <w:lang w:val="en-GB"/>
              </w:rPr>
            </w:pPr>
            <w:r w:rsidRPr="00C92ADC">
              <w:rPr>
                <w:rFonts w:ascii="Arial" w:hAnsi="Arial" w:cs="Arial"/>
                <w:sz w:val="20"/>
                <w:lang w:val="en-GB"/>
              </w:rPr>
              <w:t>1.00</w:t>
            </w:r>
          </w:p>
        </w:tc>
        <w:tc>
          <w:tcPr>
            <w:tcW w:w="702" w:type="dxa"/>
          </w:tcPr>
          <w:p w14:paraId="13E97272" w14:textId="77777777" w:rsidR="003D1214" w:rsidRPr="00C92ADC" w:rsidRDefault="003D1214" w:rsidP="003D1214">
            <w:pPr>
              <w:jc w:val="both"/>
              <w:rPr>
                <w:rFonts w:ascii="Arial" w:hAnsi="Arial" w:cs="Arial"/>
                <w:sz w:val="20"/>
                <w:lang w:val="en-GB"/>
              </w:rPr>
            </w:pPr>
            <w:r w:rsidRPr="00C92ADC">
              <w:rPr>
                <w:rFonts w:ascii="Arial" w:hAnsi="Arial" w:cs="Arial"/>
                <w:sz w:val="20"/>
                <w:lang w:val="en-GB"/>
              </w:rPr>
              <w:t>0.95</w:t>
            </w:r>
          </w:p>
        </w:tc>
        <w:tc>
          <w:tcPr>
            <w:tcW w:w="688" w:type="dxa"/>
          </w:tcPr>
          <w:p w14:paraId="7DD84D7C" w14:textId="77777777" w:rsidR="003D1214" w:rsidRPr="00C92ADC" w:rsidRDefault="003D1214" w:rsidP="003D1214">
            <w:pPr>
              <w:jc w:val="both"/>
              <w:rPr>
                <w:rFonts w:ascii="Arial" w:hAnsi="Arial" w:cs="Arial"/>
                <w:sz w:val="20"/>
                <w:lang w:val="en-GB"/>
              </w:rPr>
            </w:pPr>
            <w:r w:rsidRPr="00C92ADC">
              <w:rPr>
                <w:rFonts w:ascii="Arial" w:hAnsi="Arial" w:cs="Arial"/>
                <w:sz w:val="20"/>
                <w:lang w:val="en-GB"/>
              </w:rPr>
              <w:t>0.90</w:t>
            </w:r>
          </w:p>
        </w:tc>
        <w:tc>
          <w:tcPr>
            <w:tcW w:w="712" w:type="dxa"/>
          </w:tcPr>
          <w:p w14:paraId="6E219896" w14:textId="77777777" w:rsidR="003D1214" w:rsidRPr="00C92ADC" w:rsidRDefault="003D1214" w:rsidP="003D1214">
            <w:pPr>
              <w:jc w:val="both"/>
              <w:rPr>
                <w:rFonts w:ascii="Arial" w:hAnsi="Arial" w:cs="Arial"/>
                <w:sz w:val="20"/>
                <w:lang w:val="en-GB"/>
              </w:rPr>
            </w:pPr>
            <w:r w:rsidRPr="00C92ADC">
              <w:rPr>
                <w:rFonts w:ascii="Arial" w:hAnsi="Arial" w:cs="Arial"/>
                <w:sz w:val="20"/>
                <w:lang w:val="en-GB"/>
              </w:rPr>
              <w:t>1.00</w:t>
            </w:r>
          </w:p>
        </w:tc>
      </w:tr>
      <w:tr w:rsidR="003D1214" w:rsidRPr="003D1214" w14:paraId="0A8AEA76" w14:textId="77777777" w:rsidTr="00207B81">
        <w:trPr>
          <w:trHeight w:val="395"/>
        </w:trPr>
        <w:tc>
          <w:tcPr>
            <w:tcW w:w="1663" w:type="dxa"/>
          </w:tcPr>
          <w:p w14:paraId="67EA71FB" w14:textId="77777777" w:rsidR="003D1214" w:rsidRPr="00C92ADC" w:rsidRDefault="003D1214" w:rsidP="003D1214">
            <w:pPr>
              <w:jc w:val="both"/>
              <w:rPr>
                <w:rFonts w:ascii="Arial" w:hAnsi="Arial" w:cs="Arial"/>
                <w:sz w:val="20"/>
                <w:lang w:val="en-GB"/>
              </w:rPr>
            </w:pPr>
            <w:r w:rsidRPr="00C92ADC">
              <w:rPr>
                <w:rFonts w:ascii="Arial" w:hAnsi="Arial" w:cs="Arial"/>
                <w:sz w:val="20"/>
                <w:lang w:val="en-GB"/>
              </w:rPr>
              <w:t xml:space="preserve">MPHC </w:t>
            </w:r>
            <w:proofErr w:type="spellStart"/>
            <w:r w:rsidRPr="00C92ADC">
              <w:rPr>
                <w:rFonts w:ascii="Arial" w:hAnsi="Arial" w:cs="Arial"/>
                <w:sz w:val="20"/>
                <w:lang w:val="en-GB"/>
              </w:rPr>
              <w:t>Rumuigbo</w:t>
            </w:r>
            <w:proofErr w:type="spellEnd"/>
          </w:p>
        </w:tc>
        <w:tc>
          <w:tcPr>
            <w:tcW w:w="1400" w:type="dxa"/>
          </w:tcPr>
          <w:p w14:paraId="28238898" w14:textId="77777777" w:rsidR="003D1214" w:rsidRPr="00C92ADC" w:rsidRDefault="003D1214" w:rsidP="003D1214">
            <w:pPr>
              <w:jc w:val="both"/>
              <w:rPr>
                <w:rFonts w:ascii="Arial" w:hAnsi="Arial" w:cs="Arial"/>
                <w:sz w:val="20"/>
                <w:lang w:val="en-GB"/>
              </w:rPr>
            </w:pPr>
            <w:r w:rsidRPr="00C92ADC">
              <w:rPr>
                <w:rFonts w:ascii="Arial" w:hAnsi="Arial" w:cs="Arial"/>
                <w:sz w:val="20"/>
                <w:lang w:val="en-GB"/>
              </w:rPr>
              <w:t>119</w:t>
            </w:r>
          </w:p>
        </w:tc>
        <w:tc>
          <w:tcPr>
            <w:tcW w:w="568" w:type="dxa"/>
          </w:tcPr>
          <w:p w14:paraId="763C03F6" w14:textId="77777777" w:rsidR="003D1214" w:rsidRPr="00C92ADC" w:rsidRDefault="003D1214" w:rsidP="003D1214">
            <w:pPr>
              <w:jc w:val="both"/>
              <w:rPr>
                <w:rFonts w:ascii="Arial" w:hAnsi="Arial" w:cs="Arial"/>
                <w:sz w:val="20"/>
                <w:lang w:val="en-GB"/>
              </w:rPr>
            </w:pPr>
            <w:r w:rsidRPr="00C92ADC">
              <w:rPr>
                <w:rFonts w:ascii="Arial" w:hAnsi="Arial" w:cs="Arial"/>
                <w:sz w:val="20"/>
                <w:lang w:val="en-GB"/>
              </w:rPr>
              <w:t>47</w:t>
            </w:r>
          </w:p>
        </w:tc>
        <w:tc>
          <w:tcPr>
            <w:tcW w:w="568" w:type="dxa"/>
          </w:tcPr>
          <w:p w14:paraId="7770DEEA" w14:textId="77777777" w:rsidR="003D1214" w:rsidRPr="00C92ADC" w:rsidRDefault="003D1214" w:rsidP="003D1214">
            <w:pPr>
              <w:jc w:val="both"/>
              <w:rPr>
                <w:rFonts w:ascii="Arial" w:hAnsi="Arial" w:cs="Arial"/>
                <w:sz w:val="20"/>
                <w:lang w:val="en-GB"/>
              </w:rPr>
            </w:pPr>
            <w:r w:rsidRPr="00C92ADC">
              <w:rPr>
                <w:rFonts w:ascii="Arial" w:hAnsi="Arial" w:cs="Arial"/>
                <w:sz w:val="20"/>
                <w:lang w:val="en-GB"/>
              </w:rPr>
              <w:t>72</w:t>
            </w:r>
          </w:p>
        </w:tc>
        <w:tc>
          <w:tcPr>
            <w:tcW w:w="807" w:type="dxa"/>
          </w:tcPr>
          <w:p w14:paraId="40249C3C" w14:textId="77777777" w:rsidR="003D1214" w:rsidRPr="00C92ADC" w:rsidRDefault="003D1214" w:rsidP="003D1214">
            <w:pPr>
              <w:jc w:val="both"/>
              <w:rPr>
                <w:rFonts w:ascii="Arial" w:hAnsi="Arial" w:cs="Arial"/>
                <w:sz w:val="20"/>
                <w:lang w:val="en-GB"/>
              </w:rPr>
            </w:pPr>
            <w:r w:rsidRPr="00C92ADC">
              <w:rPr>
                <w:rFonts w:ascii="Arial" w:hAnsi="Arial" w:cs="Arial"/>
                <w:sz w:val="20"/>
                <w:lang w:val="en-GB"/>
              </w:rPr>
              <w:t>45</w:t>
            </w:r>
          </w:p>
        </w:tc>
        <w:tc>
          <w:tcPr>
            <w:tcW w:w="503" w:type="dxa"/>
          </w:tcPr>
          <w:p w14:paraId="578A92EC" w14:textId="77777777" w:rsidR="003D1214" w:rsidRPr="00C92ADC" w:rsidRDefault="003D1214" w:rsidP="003D1214">
            <w:pPr>
              <w:jc w:val="both"/>
              <w:rPr>
                <w:rFonts w:ascii="Arial" w:hAnsi="Arial" w:cs="Arial"/>
                <w:sz w:val="20"/>
                <w:lang w:val="en-GB"/>
              </w:rPr>
            </w:pPr>
            <w:r w:rsidRPr="00C92ADC">
              <w:rPr>
                <w:rFonts w:ascii="Arial" w:hAnsi="Arial" w:cs="Arial"/>
                <w:sz w:val="20"/>
                <w:lang w:val="en-GB"/>
              </w:rPr>
              <w:t>0</w:t>
            </w:r>
          </w:p>
        </w:tc>
        <w:tc>
          <w:tcPr>
            <w:tcW w:w="568" w:type="dxa"/>
          </w:tcPr>
          <w:p w14:paraId="7A333B80" w14:textId="77777777" w:rsidR="003D1214" w:rsidRPr="00C92ADC" w:rsidRDefault="003D1214" w:rsidP="003D1214">
            <w:pPr>
              <w:jc w:val="both"/>
              <w:rPr>
                <w:rFonts w:ascii="Arial" w:hAnsi="Arial" w:cs="Arial"/>
                <w:sz w:val="20"/>
                <w:lang w:val="en-GB"/>
              </w:rPr>
            </w:pPr>
            <w:r w:rsidRPr="00C92ADC">
              <w:rPr>
                <w:rFonts w:ascii="Arial" w:hAnsi="Arial" w:cs="Arial"/>
                <w:sz w:val="20"/>
                <w:lang w:val="en-GB"/>
              </w:rPr>
              <w:t>72</w:t>
            </w:r>
          </w:p>
        </w:tc>
        <w:tc>
          <w:tcPr>
            <w:tcW w:w="528" w:type="dxa"/>
          </w:tcPr>
          <w:p w14:paraId="1A7EA08D" w14:textId="77777777" w:rsidR="003D1214" w:rsidRPr="00C92ADC" w:rsidRDefault="003D1214" w:rsidP="003D1214">
            <w:pPr>
              <w:jc w:val="both"/>
              <w:rPr>
                <w:rFonts w:ascii="Arial" w:hAnsi="Arial" w:cs="Arial"/>
                <w:sz w:val="20"/>
                <w:lang w:val="en-GB"/>
              </w:rPr>
            </w:pPr>
            <w:r w:rsidRPr="00C92ADC">
              <w:rPr>
                <w:rFonts w:ascii="Arial" w:hAnsi="Arial" w:cs="Arial"/>
                <w:sz w:val="20"/>
                <w:lang w:val="en-GB"/>
              </w:rPr>
              <w:t>2</w:t>
            </w:r>
          </w:p>
        </w:tc>
        <w:tc>
          <w:tcPr>
            <w:tcW w:w="674" w:type="dxa"/>
          </w:tcPr>
          <w:p w14:paraId="06E20F3A" w14:textId="77777777" w:rsidR="003D1214" w:rsidRPr="00C92ADC" w:rsidRDefault="003D1214" w:rsidP="003D1214">
            <w:pPr>
              <w:jc w:val="both"/>
              <w:rPr>
                <w:rFonts w:ascii="Arial" w:hAnsi="Arial" w:cs="Arial"/>
                <w:sz w:val="20"/>
                <w:lang w:val="en-GB"/>
              </w:rPr>
            </w:pPr>
            <w:r w:rsidRPr="00C92ADC">
              <w:rPr>
                <w:rFonts w:ascii="Arial" w:hAnsi="Arial" w:cs="Arial"/>
                <w:sz w:val="20"/>
                <w:lang w:val="en-GB"/>
              </w:rPr>
              <w:t>1.00</w:t>
            </w:r>
          </w:p>
        </w:tc>
        <w:tc>
          <w:tcPr>
            <w:tcW w:w="702" w:type="dxa"/>
          </w:tcPr>
          <w:p w14:paraId="296EDAEB" w14:textId="77777777" w:rsidR="003D1214" w:rsidRPr="00C92ADC" w:rsidRDefault="003D1214" w:rsidP="003D1214">
            <w:pPr>
              <w:jc w:val="both"/>
              <w:rPr>
                <w:rFonts w:ascii="Arial" w:hAnsi="Arial" w:cs="Arial"/>
                <w:sz w:val="20"/>
                <w:lang w:val="en-GB"/>
              </w:rPr>
            </w:pPr>
            <w:r w:rsidRPr="00C92ADC">
              <w:rPr>
                <w:rFonts w:ascii="Arial" w:hAnsi="Arial" w:cs="Arial"/>
                <w:sz w:val="20"/>
                <w:lang w:val="en-GB"/>
              </w:rPr>
              <w:t>0.97</w:t>
            </w:r>
          </w:p>
        </w:tc>
        <w:tc>
          <w:tcPr>
            <w:tcW w:w="688" w:type="dxa"/>
          </w:tcPr>
          <w:p w14:paraId="1CD141B7" w14:textId="77777777" w:rsidR="003D1214" w:rsidRPr="00C92ADC" w:rsidRDefault="003D1214" w:rsidP="003D1214">
            <w:pPr>
              <w:jc w:val="both"/>
              <w:rPr>
                <w:rFonts w:ascii="Arial" w:hAnsi="Arial" w:cs="Arial"/>
                <w:sz w:val="20"/>
                <w:lang w:val="en-GB"/>
              </w:rPr>
            </w:pPr>
            <w:r w:rsidRPr="00C92ADC">
              <w:rPr>
                <w:rFonts w:ascii="Arial" w:hAnsi="Arial" w:cs="Arial"/>
                <w:sz w:val="20"/>
                <w:lang w:val="en-GB"/>
              </w:rPr>
              <w:t>0.96</w:t>
            </w:r>
          </w:p>
        </w:tc>
        <w:tc>
          <w:tcPr>
            <w:tcW w:w="712" w:type="dxa"/>
          </w:tcPr>
          <w:p w14:paraId="22D2C2E1" w14:textId="77777777" w:rsidR="003D1214" w:rsidRPr="00C92ADC" w:rsidRDefault="003D1214" w:rsidP="003D1214">
            <w:pPr>
              <w:jc w:val="both"/>
              <w:rPr>
                <w:rFonts w:ascii="Arial" w:hAnsi="Arial" w:cs="Arial"/>
                <w:sz w:val="20"/>
                <w:lang w:val="en-GB"/>
              </w:rPr>
            </w:pPr>
            <w:r w:rsidRPr="00C92ADC">
              <w:rPr>
                <w:rFonts w:ascii="Arial" w:hAnsi="Arial" w:cs="Arial"/>
                <w:sz w:val="20"/>
                <w:lang w:val="en-GB"/>
              </w:rPr>
              <w:t>1.00</w:t>
            </w:r>
          </w:p>
        </w:tc>
      </w:tr>
      <w:tr w:rsidR="003D1214" w:rsidRPr="003D1214" w14:paraId="6AB22182" w14:textId="77777777" w:rsidTr="00207B81">
        <w:trPr>
          <w:trHeight w:val="395"/>
        </w:trPr>
        <w:tc>
          <w:tcPr>
            <w:tcW w:w="1663" w:type="dxa"/>
          </w:tcPr>
          <w:p w14:paraId="0E51779A" w14:textId="77777777" w:rsidR="003D1214" w:rsidRPr="00C92ADC" w:rsidRDefault="003D1214" w:rsidP="003D1214">
            <w:pPr>
              <w:jc w:val="both"/>
              <w:rPr>
                <w:rFonts w:ascii="Arial" w:hAnsi="Arial" w:cs="Arial"/>
                <w:sz w:val="20"/>
                <w:lang w:val="en-GB"/>
              </w:rPr>
            </w:pPr>
            <w:r w:rsidRPr="00C92ADC">
              <w:rPr>
                <w:rFonts w:ascii="Arial" w:hAnsi="Arial" w:cs="Arial"/>
                <w:sz w:val="20"/>
                <w:lang w:val="en-GB"/>
              </w:rPr>
              <w:t xml:space="preserve">MPHC </w:t>
            </w:r>
            <w:proofErr w:type="spellStart"/>
            <w:r w:rsidRPr="00C92ADC">
              <w:rPr>
                <w:rFonts w:ascii="Arial" w:hAnsi="Arial" w:cs="Arial"/>
                <w:sz w:val="20"/>
                <w:lang w:val="en-GB"/>
              </w:rPr>
              <w:t>Rumuodomaya</w:t>
            </w:r>
            <w:proofErr w:type="spellEnd"/>
          </w:p>
        </w:tc>
        <w:tc>
          <w:tcPr>
            <w:tcW w:w="1400" w:type="dxa"/>
          </w:tcPr>
          <w:p w14:paraId="66661467" w14:textId="77777777" w:rsidR="003D1214" w:rsidRPr="00C92ADC" w:rsidRDefault="003D1214" w:rsidP="003D1214">
            <w:pPr>
              <w:jc w:val="both"/>
              <w:rPr>
                <w:rFonts w:ascii="Arial" w:hAnsi="Arial" w:cs="Arial"/>
                <w:sz w:val="20"/>
                <w:lang w:val="en-GB"/>
              </w:rPr>
            </w:pPr>
            <w:r w:rsidRPr="00C92ADC">
              <w:rPr>
                <w:rFonts w:ascii="Arial" w:hAnsi="Arial" w:cs="Arial"/>
                <w:sz w:val="20"/>
                <w:lang w:val="en-GB"/>
              </w:rPr>
              <w:t>108</w:t>
            </w:r>
          </w:p>
        </w:tc>
        <w:tc>
          <w:tcPr>
            <w:tcW w:w="568" w:type="dxa"/>
          </w:tcPr>
          <w:p w14:paraId="75299BDD" w14:textId="77777777" w:rsidR="003D1214" w:rsidRPr="00C92ADC" w:rsidRDefault="003D1214" w:rsidP="003D1214">
            <w:pPr>
              <w:jc w:val="both"/>
              <w:rPr>
                <w:rFonts w:ascii="Arial" w:hAnsi="Arial" w:cs="Arial"/>
                <w:sz w:val="20"/>
                <w:lang w:val="en-GB"/>
              </w:rPr>
            </w:pPr>
            <w:r w:rsidRPr="00C92ADC">
              <w:rPr>
                <w:rFonts w:ascii="Arial" w:hAnsi="Arial" w:cs="Arial"/>
                <w:sz w:val="20"/>
                <w:lang w:val="en-GB"/>
              </w:rPr>
              <w:t>31</w:t>
            </w:r>
          </w:p>
        </w:tc>
        <w:tc>
          <w:tcPr>
            <w:tcW w:w="568" w:type="dxa"/>
          </w:tcPr>
          <w:p w14:paraId="584D756E" w14:textId="77777777" w:rsidR="003D1214" w:rsidRPr="00C92ADC" w:rsidRDefault="003D1214" w:rsidP="003D1214">
            <w:pPr>
              <w:jc w:val="both"/>
              <w:rPr>
                <w:rFonts w:ascii="Arial" w:hAnsi="Arial" w:cs="Arial"/>
                <w:sz w:val="20"/>
                <w:lang w:val="en-GB"/>
              </w:rPr>
            </w:pPr>
            <w:r w:rsidRPr="00C92ADC">
              <w:rPr>
                <w:rFonts w:ascii="Arial" w:hAnsi="Arial" w:cs="Arial"/>
                <w:sz w:val="20"/>
                <w:lang w:val="en-GB"/>
              </w:rPr>
              <w:t>77</w:t>
            </w:r>
          </w:p>
        </w:tc>
        <w:tc>
          <w:tcPr>
            <w:tcW w:w="807" w:type="dxa"/>
          </w:tcPr>
          <w:p w14:paraId="2E9ED873" w14:textId="77777777" w:rsidR="003D1214" w:rsidRPr="00C92ADC" w:rsidRDefault="003D1214" w:rsidP="003D1214">
            <w:pPr>
              <w:jc w:val="both"/>
              <w:rPr>
                <w:rFonts w:ascii="Arial" w:hAnsi="Arial" w:cs="Arial"/>
                <w:sz w:val="20"/>
                <w:lang w:val="en-GB"/>
              </w:rPr>
            </w:pPr>
            <w:r w:rsidRPr="00C92ADC">
              <w:rPr>
                <w:rFonts w:ascii="Arial" w:hAnsi="Arial" w:cs="Arial"/>
                <w:sz w:val="20"/>
                <w:lang w:val="en-GB"/>
              </w:rPr>
              <w:t>27</w:t>
            </w:r>
          </w:p>
        </w:tc>
        <w:tc>
          <w:tcPr>
            <w:tcW w:w="503" w:type="dxa"/>
          </w:tcPr>
          <w:p w14:paraId="1EE2854D" w14:textId="77777777" w:rsidR="003D1214" w:rsidRPr="00C92ADC" w:rsidRDefault="003D1214" w:rsidP="003D1214">
            <w:pPr>
              <w:jc w:val="both"/>
              <w:rPr>
                <w:rFonts w:ascii="Arial" w:hAnsi="Arial" w:cs="Arial"/>
                <w:sz w:val="20"/>
                <w:lang w:val="en-GB"/>
              </w:rPr>
            </w:pPr>
            <w:r w:rsidRPr="00C92ADC">
              <w:rPr>
                <w:rFonts w:ascii="Arial" w:hAnsi="Arial" w:cs="Arial"/>
                <w:sz w:val="20"/>
                <w:lang w:val="en-GB"/>
              </w:rPr>
              <w:t>0</w:t>
            </w:r>
          </w:p>
        </w:tc>
        <w:tc>
          <w:tcPr>
            <w:tcW w:w="568" w:type="dxa"/>
          </w:tcPr>
          <w:p w14:paraId="7320A66C" w14:textId="77777777" w:rsidR="003D1214" w:rsidRPr="00C92ADC" w:rsidRDefault="003D1214" w:rsidP="003D1214">
            <w:pPr>
              <w:jc w:val="both"/>
              <w:rPr>
                <w:rFonts w:ascii="Arial" w:hAnsi="Arial" w:cs="Arial"/>
                <w:sz w:val="20"/>
                <w:lang w:val="en-GB"/>
              </w:rPr>
            </w:pPr>
            <w:r w:rsidRPr="00C92ADC">
              <w:rPr>
                <w:rFonts w:ascii="Arial" w:hAnsi="Arial" w:cs="Arial"/>
                <w:sz w:val="20"/>
                <w:lang w:val="en-GB"/>
              </w:rPr>
              <w:t>77</w:t>
            </w:r>
          </w:p>
        </w:tc>
        <w:tc>
          <w:tcPr>
            <w:tcW w:w="528" w:type="dxa"/>
          </w:tcPr>
          <w:p w14:paraId="469D7A11" w14:textId="77777777" w:rsidR="003D1214" w:rsidRPr="00C92ADC" w:rsidRDefault="003D1214" w:rsidP="003D1214">
            <w:pPr>
              <w:jc w:val="both"/>
              <w:rPr>
                <w:rFonts w:ascii="Arial" w:hAnsi="Arial" w:cs="Arial"/>
                <w:sz w:val="20"/>
                <w:lang w:val="en-GB"/>
              </w:rPr>
            </w:pPr>
            <w:r w:rsidRPr="00C92ADC">
              <w:rPr>
                <w:rFonts w:ascii="Arial" w:hAnsi="Arial" w:cs="Arial"/>
                <w:sz w:val="20"/>
                <w:lang w:val="en-GB"/>
              </w:rPr>
              <w:t>4</w:t>
            </w:r>
          </w:p>
        </w:tc>
        <w:tc>
          <w:tcPr>
            <w:tcW w:w="674" w:type="dxa"/>
          </w:tcPr>
          <w:p w14:paraId="2260A955" w14:textId="77777777" w:rsidR="003D1214" w:rsidRPr="00C92ADC" w:rsidRDefault="003D1214" w:rsidP="003D1214">
            <w:pPr>
              <w:jc w:val="both"/>
              <w:rPr>
                <w:rFonts w:ascii="Arial" w:hAnsi="Arial" w:cs="Arial"/>
                <w:sz w:val="20"/>
                <w:lang w:val="en-GB"/>
              </w:rPr>
            </w:pPr>
            <w:r w:rsidRPr="00C92ADC">
              <w:rPr>
                <w:rFonts w:ascii="Arial" w:hAnsi="Arial" w:cs="Arial"/>
                <w:sz w:val="20"/>
                <w:lang w:val="en-GB"/>
              </w:rPr>
              <w:t>1.00</w:t>
            </w:r>
          </w:p>
        </w:tc>
        <w:tc>
          <w:tcPr>
            <w:tcW w:w="702" w:type="dxa"/>
          </w:tcPr>
          <w:p w14:paraId="714CDC78" w14:textId="77777777" w:rsidR="003D1214" w:rsidRPr="00C92ADC" w:rsidRDefault="003D1214" w:rsidP="003D1214">
            <w:pPr>
              <w:jc w:val="both"/>
              <w:rPr>
                <w:rFonts w:ascii="Arial" w:hAnsi="Arial" w:cs="Arial"/>
                <w:sz w:val="20"/>
                <w:lang w:val="en-GB"/>
              </w:rPr>
            </w:pPr>
            <w:r w:rsidRPr="00C92ADC">
              <w:rPr>
                <w:rFonts w:ascii="Arial" w:hAnsi="Arial" w:cs="Arial"/>
                <w:sz w:val="20"/>
                <w:lang w:val="en-GB"/>
              </w:rPr>
              <w:t>0.95</w:t>
            </w:r>
          </w:p>
        </w:tc>
        <w:tc>
          <w:tcPr>
            <w:tcW w:w="688" w:type="dxa"/>
          </w:tcPr>
          <w:p w14:paraId="2CB2E972" w14:textId="77777777" w:rsidR="003D1214" w:rsidRPr="00C92ADC" w:rsidRDefault="003D1214" w:rsidP="003D1214">
            <w:pPr>
              <w:jc w:val="both"/>
              <w:rPr>
                <w:rFonts w:ascii="Arial" w:hAnsi="Arial" w:cs="Arial"/>
                <w:sz w:val="20"/>
                <w:lang w:val="en-GB"/>
              </w:rPr>
            </w:pPr>
            <w:r w:rsidRPr="00C92ADC">
              <w:rPr>
                <w:rFonts w:ascii="Arial" w:hAnsi="Arial" w:cs="Arial"/>
                <w:sz w:val="20"/>
                <w:lang w:val="en-GB"/>
              </w:rPr>
              <w:t>0.87</w:t>
            </w:r>
          </w:p>
        </w:tc>
        <w:tc>
          <w:tcPr>
            <w:tcW w:w="712" w:type="dxa"/>
          </w:tcPr>
          <w:p w14:paraId="66B28C02" w14:textId="77777777" w:rsidR="003D1214" w:rsidRPr="00C92ADC" w:rsidRDefault="003D1214" w:rsidP="003D1214">
            <w:pPr>
              <w:jc w:val="both"/>
              <w:rPr>
                <w:rFonts w:ascii="Arial" w:hAnsi="Arial" w:cs="Arial"/>
                <w:sz w:val="20"/>
                <w:lang w:val="en-GB"/>
              </w:rPr>
            </w:pPr>
            <w:r w:rsidRPr="00C92ADC">
              <w:rPr>
                <w:rFonts w:ascii="Arial" w:hAnsi="Arial" w:cs="Arial"/>
                <w:sz w:val="20"/>
                <w:lang w:val="en-GB"/>
              </w:rPr>
              <w:t>1.00</w:t>
            </w:r>
          </w:p>
        </w:tc>
      </w:tr>
      <w:tr w:rsidR="003D1214" w:rsidRPr="003D1214" w14:paraId="01296757" w14:textId="77777777" w:rsidTr="00207B81">
        <w:trPr>
          <w:trHeight w:val="201"/>
        </w:trPr>
        <w:tc>
          <w:tcPr>
            <w:tcW w:w="1663" w:type="dxa"/>
          </w:tcPr>
          <w:p w14:paraId="4EBC70EF" w14:textId="77777777" w:rsidR="003D1214" w:rsidRPr="00C92ADC" w:rsidRDefault="003D1214" w:rsidP="003D1214">
            <w:pPr>
              <w:jc w:val="both"/>
              <w:rPr>
                <w:rFonts w:ascii="Arial" w:hAnsi="Arial" w:cs="Arial"/>
                <w:sz w:val="20"/>
                <w:lang w:val="en-GB"/>
              </w:rPr>
            </w:pPr>
            <w:r w:rsidRPr="00C92ADC">
              <w:rPr>
                <w:rFonts w:ascii="Arial" w:hAnsi="Arial" w:cs="Arial"/>
                <w:sz w:val="20"/>
                <w:lang w:val="en-GB"/>
              </w:rPr>
              <w:t xml:space="preserve">KHH </w:t>
            </w:r>
            <w:proofErr w:type="spellStart"/>
            <w:r w:rsidRPr="00C92ADC">
              <w:rPr>
                <w:rFonts w:ascii="Arial" w:hAnsi="Arial" w:cs="Arial"/>
                <w:sz w:val="20"/>
                <w:lang w:val="en-GB"/>
              </w:rPr>
              <w:t>Diobu</w:t>
            </w:r>
            <w:proofErr w:type="spellEnd"/>
          </w:p>
        </w:tc>
        <w:tc>
          <w:tcPr>
            <w:tcW w:w="1400" w:type="dxa"/>
          </w:tcPr>
          <w:p w14:paraId="2E457291" w14:textId="77777777" w:rsidR="003D1214" w:rsidRPr="00C92ADC" w:rsidRDefault="003D1214" w:rsidP="003D1214">
            <w:pPr>
              <w:jc w:val="both"/>
              <w:rPr>
                <w:rFonts w:ascii="Arial" w:hAnsi="Arial" w:cs="Arial"/>
                <w:sz w:val="20"/>
                <w:lang w:val="en-GB"/>
              </w:rPr>
            </w:pPr>
            <w:r w:rsidRPr="00C92ADC">
              <w:rPr>
                <w:rFonts w:ascii="Arial" w:hAnsi="Arial" w:cs="Arial"/>
                <w:sz w:val="20"/>
                <w:lang w:val="en-GB"/>
              </w:rPr>
              <w:t>129</w:t>
            </w:r>
          </w:p>
        </w:tc>
        <w:tc>
          <w:tcPr>
            <w:tcW w:w="568" w:type="dxa"/>
          </w:tcPr>
          <w:p w14:paraId="3948F42D" w14:textId="77777777" w:rsidR="003D1214" w:rsidRPr="00C92ADC" w:rsidRDefault="003D1214" w:rsidP="003D1214">
            <w:pPr>
              <w:jc w:val="both"/>
              <w:rPr>
                <w:rFonts w:ascii="Arial" w:hAnsi="Arial" w:cs="Arial"/>
                <w:sz w:val="20"/>
                <w:lang w:val="en-GB"/>
              </w:rPr>
            </w:pPr>
            <w:r w:rsidRPr="00C92ADC">
              <w:rPr>
                <w:rFonts w:ascii="Arial" w:hAnsi="Arial" w:cs="Arial"/>
                <w:sz w:val="20"/>
                <w:lang w:val="en-GB"/>
              </w:rPr>
              <w:t>44</w:t>
            </w:r>
          </w:p>
        </w:tc>
        <w:tc>
          <w:tcPr>
            <w:tcW w:w="568" w:type="dxa"/>
          </w:tcPr>
          <w:p w14:paraId="3ECC3179" w14:textId="77777777" w:rsidR="003D1214" w:rsidRPr="00C92ADC" w:rsidRDefault="003D1214" w:rsidP="003D1214">
            <w:pPr>
              <w:jc w:val="both"/>
              <w:rPr>
                <w:rFonts w:ascii="Arial" w:hAnsi="Arial" w:cs="Arial"/>
                <w:sz w:val="20"/>
                <w:lang w:val="en-GB"/>
              </w:rPr>
            </w:pPr>
            <w:r w:rsidRPr="00C92ADC">
              <w:rPr>
                <w:rFonts w:ascii="Arial" w:hAnsi="Arial" w:cs="Arial"/>
                <w:sz w:val="20"/>
                <w:lang w:val="en-GB"/>
              </w:rPr>
              <w:t>85</w:t>
            </w:r>
          </w:p>
        </w:tc>
        <w:tc>
          <w:tcPr>
            <w:tcW w:w="807" w:type="dxa"/>
          </w:tcPr>
          <w:p w14:paraId="3A92C19B" w14:textId="77777777" w:rsidR="003D1214" w:rsidRPr="00C92ADC" w:rsidRDefault="003D1214" w:rsidP="003D1214">
            <w:pPr>
              <w:jc w:val="both"/>
              <w:rPr>
                <w:rFonts w:ascii="Arial" w:hAnsi="Arial" w:cs="Arial"/>
                <w:sz w:val="20"/>
                <w:lang w:val="en-GB"/>
              </w:rPr>
            </w:pPr>
            <w:r w:rsidRPr="00C92ADC">
              <w:rPr>
                <w:rFonts w:ascii="Arial" w:hAnsi="Arial" w:cs="Arial"/>
                <w:sz w:val="20"/>
                <w:lang w:val="en-GB"/>
              </w:rPr>
              <w:t>42</w:t>
            </w:r>
          </w:p>
        </w:tc>
        <w:tc>
          <w:tcPr>
            <w:tcW w:w="503" w:type="dxa"/>
          </w:tcPr>
          <w:p w14:paraId="2B1A1833" w14:textId="77777777" w:rsidR="003D1214" w:rsidRPr="00C92ADC" w:rsidRDefault="003D1214" w:rsidP="003D1214">
            <w:pPr>
              <w:jc w:val="both"/>
              <w:rPr>
                <w:rFonts w:ascii="Arial" w:hAnsi="Arial" w:cs="Arial"/>
                <w:sz w:val="20"/>
                <w:lang w:val="en-GB"/>
              </w:rPr>
            </w:pPr>
            <w:r w:rsidRPr="00C92ADC">
              <w:rPr>
                <w:rFonts w:ascii="Arial" w:hAnsi="Arial" w:cs="Arial"/>
                <w:sz w:val="20"/>
                <w:lang w:val="en-GB"/>
              </w:rPr>
              <w:t>0</w:t>
            </w:r>
          </w:p>
        </w:tc>
        <w:tc>
          <w:tcPr>
            <w:tcW w:w="568" w:type="dxa"/>
          </w:tcPr>
          <w:p w14:paraId="231F1B8B" w14:textId="77777777" w:rsidR="003D1214" w:rsidRPr="00C92ADC" w:rsidRDefault="003D1214" w:rsidP="003D1214">
            <w:pPr>
              <w:jc w:val="both"/>
              <w:rPr>
                <w:rFonts w:ascii="Arial" w:hAnsi="Arial" w:cs="Arial"/>
                <w:sz w:val="20"/>
                <w:lang w:val="en-GB"/>
              </w:rPr>
            </w:pPr>
            <w:r w:rsidRPr="00C92ADC">
              <w:rPr>
                <w:rFonts w:ascii="Arial" w:hAnsi="Arial" w:cs="Arial"/>
                <w:sz w:val="20"/>
                <w:lang w:val="en-GB"/>
              </w:rPr>
              <w:t>85</w:t>
            </w:r>
          </w:p>
        </w:tc>
        <w:tc>
          <w:tcPr>
            <w:tcW w:w="528" w:type="dxa"/>
          </w:tcPr>
          <w:p w14:paraId="7B70741E" w14:textId="77777777" w:rsidR="003D1214" w:rsidRPr="00C92ADC" w:rsidRDefault="003D1214" w:rsidP="003D1214">
            <w:pPr>
              <w:jc w:val="both"/>
              <w:rPr>
                <w:rFonts w:ascii="Arial" w:hAnsi="Arial" w:cs="Arial"/>
                <w:sz w:val="20"/>
                <w:lang w:val="en-GB"/>
              </w:rPr>
            </w:pPr>
            <w:r w:rsidRPr="00C92ADC">
              <w:rPr>
                <w:rFonts w:ascii="Arial" w:hAnsi="Arial" w:cs="Arial"/>
                <w:sz w:val="20"/>
                <w:lang w:val="en-GB"/>
              </w:rPr>
              <w:t>2</w:t>
            </w:r>
          </w:p>
        </w:tc>
        <w:tc>
          <w:tcPr>
            <w:tcW w:w="674" w:type="dxa"/>
          </w:tcPr>
          <w:p w14:paraId="24238DD3" w14:textId="77777777" w:rsidR="003D1214" w:rsidRPr="00C92ADC" w:rsidRDefault="003D1214" w:rsidP="003D1214">
            <w:pPr>
              <w:jc w:val="both"/>
              <w:rPr>
                <w:rFonts w:ascii="Arial" w:hAnsi="Arial" w:cs="Arial"/>
                <w:sz w:val="20"/>
                <w:lang w:val="en-GB"/>
              </w:rPr>
            </w:pPr>
            <w:r w:rsidRPr="00C92ADC">
              <w:rPr>
                <w:rFonts w:ascii="Arial" w:hAnsi="Arial" w:cs="Arial"/>
                <w:sz w:val="20"/>
                <w:lang w:val="en-GB"/>
              </w:rPr>
              <w:t>1.00</w:t>
            </w:r>
          </w:p>
        </w:tc>
        <w:tc>
          <w:tcPr>
            <w:tcW w:w="702" w:type="dxa"/>
          </w:tcPr>
          <w:p w14:paraId="030492ED" w14:textId="77777777" w:rsidR="003D1214" w:rsidRPr="00C92ADC" w:rsidRDefault="003D1214" w:rsidP="003D1214">
            <w:pPr>
              <w:jc w:val="both"/>
              <w:rPr>
                <w:rFonts w:ascii="Arial" w:hAnsi="Arial" w:cs="Arial"/>
                <w:sz w:val="20"/>
                <w:lang w:val="en-GB"/>
              </w:rPr>
            </w:pPr>
            <w:r w:rsidRPr="00C92ADC">
              <w:rPr>
                <w:rFonts w:ascii="Arial" w:hAnsi="Arial" w:cs="Arial"/>
                <w:sz w:val="20"/>
                <w:lang w:val="en-GB"/>
              </w:rPr>
              <w:t>0.98</w:t>
            </w:r>
          </w:p>
        </w:tc>
        <w:tc>
          <w:tcPr>
            <w:tcW w:w="688" w:type="dxa"/>
          </w:tcPr>
          <w:p w14:paraId="61853535" w14:textId="77777777" w:rsidR="003D1214" w:rsidRPr="00C92ADC" w:rsidRDefault="003D1214" w:rsidP="003D1214">
            <w:pPr>
              <w:jc w:val="both"/>
              <w:rPr>
                <w:rFonts w:ascii="Arial" w:hAnsi="Arial" w:cs="Arial"/>
                <w:sz w:val="20"/>
                <w:lang w:val="en-GB"/>
              </w:rPr>
            </w:pPr>
            <w:r w:rsidRPr="00C92ADC">
              <w:rPr>
                <w:rFonts w:ascii="Arial" w:hAnsi="Arial" w:cs="Arial"/>
                <w:sz w:val="20"/>
                <w:lang w:val="en-GB"/>
              </w:rPr>
              <w:t>0.96</w:t>
            </w:r>
          </w:p>
        </w:tc>
        <w:tc>
          <w:tcPr>
            <w:tcW w:w="712" w:type="dxa"/>
          </w:tcPr>
          <w:p w14:paraId="4E572B6A" w14:textId="77777777" w:rsidR="003D1214" w:rsidRPr="00C92ADC" w:rsidRDefault="003D1214" w:rsidP="003D1214">
            <w:pPr>
              <w:jc w:val="both"/>
              <w:rPr>
                <w:rFonts w:ascii="Arial" w:hAnsi="Arial" w:cs="Arial"/>
                <w:sz w:val="20"/>
                <w:lang w:val="en-GB"/>
              </w:rPr>
            </w:pPr>
            <w:r w:rsidRPr="00C92ADC">
              <w:rPr>
                <w:rFonts w:ascii="Arial" w:hAnsi="Arial" w:cs="Arial"/>
                <w:sz w:val="20"/>
                <w:lang w:val="en-GB"/>
              </w:rPr>
              <w:t>1.00</w:t>
            </w:r>
          </w:p>
        </w:tc>
      </w:tr>
      <w:tr w:rsidR="003D1214" w:rsidRPr="003D1214" w14:paraId="18C20A1B" w14:textId="77777777" w:rsidTr="00207B81">
        <w:trPr>
          <w:trHeight w:val="201"/>
        </w:trPr>
        <w:tc>
          <w:tcPr>
            <w:tcW w:w="1663" w:type="dxa"/>
          </w:tcPr>
          <w:p w14:paraId="2C6E2250" w14:textId="77777777" w:rsidR="003D1214" w:rsidRPr="00C92ADC" w:rsidRDefault="003D1214" w:rsidP="003D1214">
            <w:pPr>
              <w:jc w:val="both"/>
              <w:rPr>
                <w:rFonts w:ascii="Arial" w:hAnsi="Arial" w:cs="Arial"/>
                <w:sz w:val="20"/>
                <w:lang w:val="en-GB"/>
              </w:rPr>
            </w:pPr>
            <w:r w:rsidRPr="00C92ADC">
              <w:rPr>
                <w:rFonts w:ascii="Arial" w:hAnsi="Arial" w:cs="Arial"/>
                <w:sz w:val="20"/>
                <w:lang w:val="en-GB"/>
              </w:rPr>
              <w:t>Total</w:t>
            </w:r>
          </w:p>
        </w:tc>
        <w:tc>
          <w:tcPr>
            <w:tcW w:w="1400" w:type="dxa"/>
          </w:tcPr>
          <w:p w14:paraId="18272943" w14:textId="77777777" w:rsidR="003D1214" w:rsidRPr="00C92ADC" w:rsidRDefault="003D1214" w:rsidP="003D1214">
            <w:pPr>
              <w:jc w:val="both"/>
              <w:rPr>
                <w:rFonts w:ascii="Arial" w:hAnsi="Arial" w:cs="Arial"/>
                <w:sz w:val="20"/>
                <w:lang w:val="en-GB"/>
              </w:rPr>
            </w:pPr>
            <w:r w:rsidRPr="00C92ADC">
              <w:rPr>
                <w:rFonts w:ascii="Arial" w:hAnsi="Arial" w:cs="Arial"/>
                <w:sz w:val="20"/>
                <w:lang w:val="en-GB"/>
              </w:rPr>
              <w:t>829</w:t>
            </w:r>
          </w:p>
        </w:tc>
        <w:tc>
          <w:tcPr>
            <w:tcW w:w="568" w:type="dxa"/>
          </w:tcPr>
          <w:p w14:paraId="3166B849" w14:textId="77777777" w:rsidR="003D1214" w:rsidRPr="00C92ADC" w:rsidRDefault="003D1214" w:rsidP="003D1214">
            <w:pPr>
              <w:jc w:val="both"/>
              <w:rPr>
                <w:rFonts w:ascii="Arial" w:hAnsi="Arial" w:cs="Arial"/>
                <w:sz w:val="20"/>
                <w:lang w:val="en-GB"/>
              </w:rPr>
            </w:pPr>
            <w:r w:rsidRPr="00C92ADC">
              <w:rPr>
                <w:rFonts w:ascii="Arial" w:hAnsi="Arial" w:cs="Arial"/>
                <w:sz w:val="20"/>
                <w:lang w:val="en-GB"/>
              </w:rPr>
              <w:t>276</w:t>
            </w:r>
          </w:p>
        </w:tc>
        <w:tc>
          <w:tcPr>
            <w:tcW w:w="568" w:type="dxa"/>
          </w:tcPr>
          <w:p w14:paraId="4CB8888C" w14:textId="77777777" w:rsidR="003D1214" w:rsidRPr="00C92ADC" w:rsidRDefault="003D1214" w:rsidP="003D1214">
            <w:pPr>
              <w:jc w:val="both"/>
              <w:rPr>
                <w:rFonts w:ascii="Arial" w:hAnsi="Arial" w:cs="Arial"/>
                <w:sz w:val="20"/>
                <w:lang w:val="en-GB"/>
              </w:rPr>
            </w:pPr>
            <w:r w:rsidRPr="00C92ADC">
              <w:rPr>
                <w:rFonts w:ascii="Arial" w:hAnsi="Arial" w:cs="Arial"/>
                <w:sz w:val="20"/>
                <w:lang w:val="en-GB"/>
              </w:rPr>
              <w:t>553</w:t>
            </w:r>
          </w:p>
        </w:tc>
        <w:tc>
          <w:tcPr>
            <w:tcW w:w="807" w:type="dxa"/>
          </w:tcPr>
          <w:p w14:paraId="5E5B31A5" w14:textId="77777777" w:rsidR="003D1214" w:rsidRPr="00C92ADC" w:rsidRDefault="003D1214" w:rsidP="003D1214">
            <w:pPr>
              <w:jc w:val="both"/>
              <w:rPr>
                <w:rFonts w:ascii="Arial" w:hAnsi="Arial" w:cs="Arial"/>
                <w:sz w:val="20"/>
                <w:lang w:val="en-GB"/>
              </w:rPr>
            </w:pPr>
            <w:r w:rsidRPr="00C92ADC">
              <w:rPr>
                <w:rFonts w:ascii="Arial" w:hAnsi="Arial" w:cs="Arial"/>
                <w:sz w:val="20"/>
                <w:lang w:val="en-GB"/>
              </w:rPr>
              <w:t>250</w:t>
            </w:r>
          </w:p>
        </w:tc>
        <w:tc>
          <w:tcPr>
            <w:tcW w:w="503" w:type="dxa"/>
          </w:tcPr>
          <w:p w14:paraId="6B8C73BC" w14:textId="77777777" w:rsidR="003D1214" w:rsidRPr="00C92ADC" w:rsidRDefault="003D1214" w:rsidP="003D1214">
            <w:pPr>
              <w:jc w:val="both"/>
              <w:rPr>
                <w:rFonts w:ascii="Arial" w:hAnsi="Arial" w:cs="Arial"/>
                <w:sz w:val="20"/>
                <w:lang w:val="en-GB"/>
              </w:rPr>
            </w:pPr>
            <w:r w:rsidRPr="00C92ADC">
              <w:rPr>
                <w:rFonts w:ascii="Arial" w:hAnsi="Arial" w:cs="Arial"/>
                <w:sz w:val="20"/>
                <w:lang w:val="en-GB"/>
              </w:rPr>
              <w:t>0</w:t>
            </w:r>
          </w:p>
        </w:tc>
        <w:tc>
          <w:tcPr>
            <w:tcW w:w="568" w:type="dxa"/>
          </w:tcPr>
          <w:p w14:paraId="0640E99D" w14:textId="77777777" w:rsidR="003D1214" w:rsidRPr="00C92ADC" w:rsidRDefault="003D1214" w:rsidP="003D1214">
            <w:pPr>
              <w:jc w:val="both"/>
              <w:rPr>
                <w:rFonts w:ascii="Arial" w:hAnsi="Arial" w:cs="Arial"/>
                <w:sz w:val="20"/>
                <w:lang w:val="en-GB"/>
              </w:rPr>
            </w:pPr>
            <w:r w:rsidRPr="00C92ADC">
              <w:rPr>
                <w:rFonts w:ascii="Arial" w:hAnsi="Arial" w:cs="Arial"/>
                <w:sz w:val="20"/>
                <w:lang w:val="en-GB"/>
              </w:rPr>
              <w:t>553</w:t>
            </w:r>
          </w:p>
        </w:tc>
        <w:tc>
          <w:tcPr>
            <w:tcW w:w="528" w:type="dxa"/>
          </w:tcPr>
          <w:p w14:paraId="034ED852" w14:textId="77777777" w:rsidR="003D1214" w:rsidRPr="00C92ADC" w:rsidRDefault="003D1214" w:rsidP="003D1214">
            <w:pPr>
              <w:jc w:val="both"/>
              <w:rPr>
                <w:rFonts w:ascii="Arial" w:hAnsi="Arial" w:cs="Arial"/>
                <w:sz w:val="20"/>
                <w:lang w:val="en-GB"/>
              </w:rPr>
            </w:pPr>
            <w:r w:rsidRPr="00C92ADC">
              <w:rPr>
                <w:rFonts w:ascii="Arial" w:hAnsi="Arial" w:cs="Arial"/>
                <w:sz w:val="20"/>
                <w:lang w:val="en-GB"/>
              </w:rPr>
              <w:t>26</w:t>
            </w:r>
          </w:p>
        </w:tc>
        <w:tc>
          <w:tcPr>
            <w:tcW w:w="674" w:type="dxa"/>
          </w:tcPr>
          <w:p w14:paraId="02CD82AE" w14:textId="77777777" w:rsidR="003D1214" w:rsidRPr="00C92ADC" w:rsidRDefault="003D1214" w:rsidP="003D1214">
            <w:pPr>
              <w:jc w:val="both"/>
              <w:rPr>
                <w:rFonts w:ascii="Arial" w:hAnsi="Arial" w:cs="Arial"/>
                <w:sz w:val="20"/>
                <w:lang w:val="en-GB"/>
              </w:rPr>
            </w:pPr>
            <w:r w:rsidRPr="00C92ADC">
              <w:rPr>
                <w:rFonts w:ascii="Arial" w:hAnsi="Arial" w:cs="Arial"/>
                <w:sz w:val="20"/>
                <w:lang w:val="en-GB"/>
              </w:rPr>
              <w:t>1.00</w:t>
            </w:r>
          </w:p>
        </w:tc>
        <w:tc>
          <w:tcPr>
            <w:tcW w:w="702" w:type="dxa"/>
          </w:tcPr>
          <w:p w14:paraId="211B0C3B" w14:textId="77777777" w:rsidR="003D1214" w:rsidRPr="00C92ADC" w:rsidRDefault="003D1214" w:rsidP="003D1214">
            <w:pPr>
              <w:jc w:val="both"/>
              <w:rPr>
                <w:rFonts w:ascii="Arial" w:hAnsi="Arial" w:cs="Arial"/>
                <w:sz w:val="20"/>
                <w:lang w:val="en-GB"/>
              </w:rPr>
            </w:pPr>
            <w:r w:rsidRPr="00C92ADC">
              <w:rPr>
                <w:rFonts w:ascii="Arial" w:hAnsi="Arial" w:cs="Arial"/>
                <w:sz w:val="20"/>
                <w:lang w:val="en-GB"/>
              </w:rPr>
              <w:t>0.96</w:t>
            </w:r>
          </w:p>
        </w:tc>
        <w:tc>
          <w:tcPr>
            <w:tcW w:w="688" w:type="dxa"/>
          </w:tcPr>
          <w:p w14:paraId="25B0F4B2" w14:textId="77777777" w:rsidR="003D1214" w:rsidRPr="00C92ADC" w:rsidRDefault="003D1214" w:rsidP="003D1214">
            <w:pPr>
              <w:jc w:val="both"/>
              <w:rPr>
                <w:rFonts w:ascii="Arial" w:hAnsi="Arial" w:cs="Arial"/>
                <w:sz w:val="20"/>
                <w:lang w:val="en-GB"/>
              </w:rPr>
            </w:pPr>
            <w:r w:rsidRPr="00C92ADC">
              <w:rPr>
                <w:rFonts w:ascii="Arial" w:hAnsi="Arial" w:cs="Arial"/>
                <w:sz w:val="20"/>
                <w:lang w:val="en-GB"/>
              </w:rPr>
              <w:t>0.91</w:t>
            </w:r>
          </w:p>
        </w:tc>
        <w:tc>
          <w:tcPr>
            <w:tcW w:w="712" w:type="dxa"/>
          </w:tcPr>
          <w:p w14:paraId="10A80485" w14:textId="77777777" w:rsidR="003D1214" w:rsidRPr="00C92ADC" w:rsidRDefault="003D1214" w:rsidP="003D1214">
            <w:pPr>
              <w:jc w:val="both"/>
              <w:rPr>
                <w:rFonts w:ascii="Arial" w:hAnsi="Arial" w:cs="Arial"/>
                <w:sz w:val="20"/>
                <w:lang w:val="en-GB"/>
              </w:rPr>
            </w:pPr>
            <w:r w:rsidRPr="00C92ADC">
              <w:rPr>
                <w:rFonts w:ascii="Arial" w:hAnsi="Arial" w:cs="Arial"/>
                <w:sz w:val="20"/>
                <w:lang w:val="en-GB"/>
              </w:rPr>
              <w:t>1.00</w:t>
            </w:r>
          </w:p>
        </w:tc>
      </w:tr>
    </w:tbl>
    <w:p w14:paraId="7B00FD16" w14:textId="77777777" w:rsidR="003D1214" w:rsidRDefault="003D1214" w:rsidP="003D1214">
      <w:pPr>
        <w:jc w:val="both"/>
        <w:rPr>
          <w:rFonts w:ascii="Arial" w:hAnsi="Arial" w:cs="Arial"/>
          <w:lang w:val="en-GB"/>
        </w:rPr>
      </w:pPr>
    </w:p>
    <w:p w14:paraId="7C7D0305" w14:textId="1BDC3638" w:rsidR="003D1214" w:rsidRPr="003D1214" w:rsidRDefault="003D1214" w:rsidP="003D1214">
      <w:pPr>
        <w:spacing w:line="360" w:lineRule="auto"/>
        <w:jc w:val="both"/>
        <w:rPr>
          <w:rFonts w:ascii="Arial" w:hAnsi="Arial" w:cs="Arial"/>
          <w:b/>
          <w:sz w:val="22"/>
          <w:szCs w:val="22"/>
        </w:rPr>
      </w:pPr>
      <w:r w:rsidRPr="003D1214">
        <w:rPr>
          <w:rFonts w:ascii="Arial" w:hAnsi="Arial" w:cs="Arial"/>
          <w:b/>
          <w:sz w:val="22"/>
          <w:szCs w:val="22"/>
          <w:lang w:val="en-GB"/>
        </w:rPr>
        <w:t>3.6 Agreement of rapid diagnostic tests with microscopy</w:t>
      </w:r>
    </w:p>
    <w:p w14:paraId="0D3BCF1E" w14:textId="77777777" w:rsidR="003D1214" w:rsidRPr="002107F0" w:rsidRDefault="003D1214" w:rsidP="003D1214">
      <w:pPr>
        <w:framePr w:hSpace="180" w:wrap="around" w:hAnchor="margin" w:y="-237"/>
        <w:spacing w:line="360" w:lineRule="auto"/>
        <w:jc w:val="both"/>
        <w:rPr>
          <w:rFonts w:ascii="Arial" w:hAnsi="Arial" w:cs="Arial"/>
          <w:b/>
        </w:rPr>
      </w:pPr>
      <w:r w:rsidRPr="002107F0">
        <w:rPr>
          <w:rFonts w:ascii="Arial" w:hAnsi="Arial" w:cs="Arial"/>
          <w:b/>
          <w:lang w:val="en-GB"/>
        </w:rPr>
        <w:t>3.6 Agreement of rapid diagnostic tests with microscopy</w:t>
      </w:r>
    </w:p>
    <w:p w14:paraId="678DA71F" w14:textId="77777777" w:rsidR="003D1214" w:rsidRDefault="003D1214" w:rsidP="003D1214">
      <w:pPr>
        <w:jc w:val="both"/>
        <w:rPr>
          <w:rFonts w:ascii="Arial" w:hAnsi="Arial" w:cs="Arial"/>
        </w:rPr>
      </w:pPr>
      <w:r w:rsidRPr="003D1214">
        <w:rPr>
          <w:rFonts w:ascii="Arial" w:hAnsi="Arial" w:cs="Arial"/>
        </w:rPr>
        <w:t>Table 6 presents a 2x2 table comparing the results of RDT1/RDT2 (Rapid Diagnostic Tests) to Microscopy, the gold standard for detecting malaria. The diagnostic performance of RDT1/RDT2 in comparison with microscopy revealed a high sensitivity of 90.6%, indicating that the tests correctly identified a large majority of malaria-positive cases. Notably, the specificity and positive predictive value were both 100%, reflecting that there were no false positives recorded. The negative predictive value was 95.5%, suggesting strong reliability when ruling out malaria. The overall accuracy of the test was 96.9%, further confirming the effectiveness of RDT1/RDT2 as rapid diagnostic tools for malaria detection in this population. Cohen’s kappa coefficient (κ=0.93) showed an excellent level of agreement between RDT1/RDT2 results and</w:t>
      </w:r>
    </w:p>
    <w:p w14:paraId="21398D61" w14:textId="77777777" w:rsidR="003D1214" w:rsidRDefault="003D1214" w:rsidP="003D1214">
      <w:pPr>
        <w:jc w:val="both"/>
        <w:rPr>
          <w:rFonts w:ascii="Arial" w:hAnsi="Arial" w:cs="Arial"/>
        </w:rPr>
      </w:pPr>
    </w:p>
    <w:p w14:paraId="2ED11B60" w14:textId="77777777" w:rsidR="00C92ADC" w:rsidRPr="00C92ADC" w:rsidRDefault="00C92ADC" w:rsidP="00C92ADC">
      <w:pPr>
        <w:jc w:val="both"/>
        <w:rPr>
          <w:rFonts w:ascii="Arial" w:hAnsi="Arial" w:cs="Arial"/>
          <w:bCs/>
          <w:lang w:val="en-GB"/>
        </w:rPr>
      </w:pPr>
      <w:r w:rsidRPr="00C92ADC">
        <w:rPr>
          <w:rFonts w:ascii="Arial" w:hAnsi="Arial" w:cs="Arial"/>
          <w:bCs/>
          <w:lang w:val="en-GB"/>
        </w:rPr>
        <w:t>Table 6. Agreement of rapid diagnostic tests with microscopy</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086"/>
        <w:gridCol w:w="2109"/>
        <w:gridCol w:w="2109"/>
        <w:gridCol w:w="1030"/>
        <w:gridCol w:w="1090"/>
      </w:tblGrid>
      <w:tr w:rsidR="00C92ADC" w:rsidRPr="00C92ADC" w14:paraId="2FBDA4E5" w14:textId="77777777" w:rsidTr="00207B81">
        <w:tc>
          <w:tcPr>
            <w:tcW w:w="2394" w:type="dxa"/>
            <w:tcBorders>
              <w:top w:val="single" w:sz="4" w:space="0" w:color="auto"/>
              <w:bottom w:val="single" w:sz="4" w:space="0" w:color="auto"/>
            </w:tcBorders>
          </w:tcPr>
          <w:p w14:paraId="27140007" w14:textId="77777777" w:rsidR="00C92ADC" w:rsidRPr="00C92ADC" w:rsidRDefault="00C92ADC" w:rsidP="00C92ADC">
            <w:pPr>
              <w:jc w:val="both"/>
              <w:rPr>
                <w:rFonts w:ascii="Arial" w:hAnsi="Arial" w:cs="Arial"/>
                <w:bCs/>
                <w:sz w:val="20"/>
                <w:lang w:val="en-GB"/>
              </w:rPr>
            </w:pPr>
            <w:r w:rsidRPr="00C92ADC">
              <w:rPr>
                <w:rFonts w:ascii="Arial" w:hAnsi="Arial" w:cs="Arial"/>
                <w:bCs/>
                <w:sz w:val="20"/>
                <w:lang w:val="en-GB"/>
              </w:rPr>
              <w:t>Microscopy Result</w:t>
            </w:r>
          </w:p>
        </w:tc>
        <w:tc>
          <w:tcPr>
            <w:tcW w:w="2394" w:type="dxa"/>
            <w:tcBorders>
              <w:top w:val="single" w:sz="4" w:space="0" w:color="auto"/>
              <w:bottom w:val="single" w:sz="4" w:space="0" w:color="auto"/>
            </w:tcBorders>
          </w:tcPr>
          <w:p w14:paraId="4551D154" w14:textId="77777777" w:rsidR="00C92ADC" w:rsidRPr="00C92ADC" w:rsidRDefault="00C92ADC" w:rsidP="00C92ADC">
            <w:pPr>
              <w:jc w:val="both"/>
              <w:rPr>
                <w:rFonts w:ascii="Arial" w:hAnsi="Arial" w:cs="Arial"/>
                <w:bCs/>
                <w:sz w:val="20"/>
                <w:lang w:val="en-GB"/>
              </w:rPr>
            </w:pPr>
            <w:r w:rsidRPr="00C92ADC">
              <w:rPr>
                <w:rFonts w:ascii="Arial" w:hAnsi="Arial" w:cs="Arial"/>
                <w:bCs/>
                <w:sz w:val="20"/>
                <w:lang w:val="en-GB"/>
              </w:rPr>
              <w:t xml:space="preserve">RDT1/RDT2 </w:t>
            </w:r>
          </w:p>
          <w:p w14:paraId="6ED8539D" w14:textId="77777777" w:rsidR="00C92ADC" w:rsidRPr="00C92ADC" w:rsidRDefault="00C92ADC" w:rsidP="00C92ADC">
            <w:pPr>
              <w:jc w:val="both"/>
              <w:rPr>
                <w:rFonts w:ascii="Arial" w:hAnsi="Arial" w:cs="Arial"/>
                <w:bCs/>
                <w:sz w:val="20"/>
                <w:lang w:val="en-GB"/>
              </w:rPr>
            </w:pPr>
            <w:r w:rsidRPr="00C92ADC">
              <w:rPr>
                <w:rFonts w:ascii="Arial" w:hAnsi="Arial" w:cs="Arial"/>
                <w:bCs/>
                <w:sz w:val="20"/>
                <w:lang w:val="en-GB"/>
              </w:rPr>
              <w:t>Positive</w:t>
            </w:r>
          </w:p>
        </w:tc>
        <w:tc>
          <w:tcPr>
            <w:tcW w:w="2394" w:type="dxa"/>
            <w:tcBorders>
              <w:top w:val="single" w:sz="4" w:space="0" w:color="auto"/>
              <w:bottom w:val="single" w:sz="4" w:space="0" w:color="auto"/>
            </w:tcBorders>
          </w:tcPr>
          <w:p w14:paraId="7C0C8E8A" w14:textId="77777777" w:rsidR="00C92ADC" w:rsidRPr="00C92ADC" w:rsidRDefault="00C92ADC" w:rsidP="00C92ADC">
            <w:pPr>
              <w:jc w:val="both"/>
              <w:rPr>
                <w:rFonts w:ascii="Arial" w:hAnsi="Arial" w:cs="Arial"/>
                <w:bCs/>
                <w:sz w:val="20"/>
                <w:lang w:val="en-GB"/>
              </w:rPr>
            </w:pPr>
            <w:r w:rsidRPr="00C92ADC">
              <w:rPr>
                <w:rFonts w:ascii="Arial" w:hAnsi="Arial" w:cs="Arial"/>
                <w:bCs/>
                <w:sz w:val="20"/>
                <w:lang w:val="en-GB"/>
              </w:rPr>
              <w:t>RDT1/RDT2 Negative</w:t>
            </w:r>
          </w:p>
        </w:tc>
        <w:tc>
          <w:tcPr>
            <w:tcW w:w="1162" w:type="dxa"/>
            <w:tcBorders>
              <w:top w:val="single" w:sz="4" w:space="0" w:color="auto"/>
              <w:bottom w:val="single" w:sz="4" w:space="0" w:color="auto"/>
            </w:tcBorders>
          </w:tcPr>
          <w:p w14:paraId="08C5428A" w14:textId="77777777" w:rsidR="00C92ADC" w:rsidRPr="00C92ADC" w:rsidRDefault="00C92ADC" w:rsidP="00C92ADC">
            <w:pPr>
              <w:jc w:val="both"/>
              <w:rPr>
                <w:rFonts w:ascii="Arial" w:hAnsi="Arial" w:cs="Arial"/>
                <w:bCs/>
                <w:sz w:val="20"/>
                <w:lang w:val="en-GB"/>
              </w:rPr>
            </w:pPr>
            <w:r w:rsidRPr="00C92ADC">
              <w:rPr>
                <w:rFonts w:ascii="Arial" w:hAnsi="Arial" w:cs="Arial"/>
                <w:bCs/>
                <w:sz w:val="20"/>
                <w:lang w:val="en-GB"/>
              </w:rPr>
              <w:t xml:space="preserve">Total          </w:t>
            </w:r>
          </w:p>
        </w:tc>
        <w:tc>
          <w:tcPr>
            <w:tcW w:w="1232" w:type="dxa"/>
            <w:tcBorders>
              <w:top w:val="single" w:sz="4" w:space="0" w:color="auto"/>
              <w:bottom w:val="single" w:sz="4" w:space="0" w:color="auto"/>
            </w:tcBorders>
          </w:tcPr>
          <w:p w14:paraId="12966C19" w14:textId="77777777" w:rsidR="00C92ADC" w:rsidRPr="00C92ADC" w:rsidRDefault="00C92ADC" w:rsidP="00C92ADC">
            <w:pPr>
              <w:jc w:val="both"/>
              <w:rPr>
                <w:rFonts w:ascii="Arial" w:hAnsi="Arial" w:cs="Arial"/>
                <w:bCs/>
                <w:sz w:val="20"/>
                <w:lang w:val="en-GB"/>
              </w:rPr>
            </w:pPr>
            <w:r w:rsidRPr="00C92ADC">
              <w:rPr>
                <w:rFonts w:ascii="Arial" w:hAnsi="Arial" w:cs="Arial"/>
                <w:bCs/>
                <w:sz w:val="20"/>
              </w:rPr>
              <w:t>κ</w:t>
            </w:r>
            <w:r w:rsidRPr="00C92ADC">
              <w:rPr>
                <w:rFonts w:ascii="Arial" w:hAnsi="Arial" w:cs="Arial"/>
                <w:bCs/>
                <w:sz w:val="20"/>
                <w:lang w:val="en-GB"/>
              </w:rPr>
              <w:t>-value</w:t>
            </w:r>
          </w:p>
        </w:tc>
      </w:tr>
      <w:tr w:rsidR="00C92ADC" w:rsidRPr="00C92ADC" w14:paraId="1203704A" w14:textId="77777777" w:rsidTr="00207B81">
        <w:tc>
          <w:tcPr>
            <w:tcW w:w="2394" w:type="dxa"/>
            <w:tcBorders>
              <w:top w:val="single" w:sz="4" w:space="0" w:color="auto"/>
            </w:tcBorders>
          </w:tcPr>
          <w:p w14:paraId="196BA64F" w14:textId="77777777" w:rsidR="00C92ADC" w:rsidRPr="00C92ADC" w:rsidRDefault="00C92ADC" w:rsidP="00C92ADC">
            <w:pPr>
              <w:jc w:val="both"/>
              <w:rPr>
                <w:rFonts w:ascii="Arial" w:hAnsi="Arial" w:cs="Arial"/>
                <w:bCs/>
                <w:sz w:val="20"/>
                <w:lang w:val="en-GB"/>
              </w:rPr>
            </w:pPr>
            <w:r w:rsidRPr="00C92ADC">
              <w:rPr>
                <w:rFonts w:ascii="Arial" w:hAnsi="Arial" w:cs="Arial"/>
                <w:bCs/>
                <w:sz w:val="20"/>
                <w:lang w:val="en-GB"/>
              </w:rPr>
              <w:t>Positive (276)</w:t>
            </w:r>
            <w:r w:rsidRPr="00C92ADC">
              <w:rPr>
                <w:rFonts w:ascii="Arial" w:hAnsi="Arial" w:cs="Arial"/>
                <w:bCs/>
                <w:sz w:val="20"/>
                <w:lang w:val="en-GB"/>
              </w:rPr>
              <w:tab/>
            </w:r>
          </w:p>
        </w:tc>
        <w:tc>
          <w:tcPr>
            <w:tcW w:w="2394" w:type="dxa"/>
            <w:tcBorders>
              <w:top w:val="single" w:sz="4" w:space="0" w:color="auto"/>
            </w:tcBorders>
          </w:tcPr>
          <w:p w14:paraId="51D7D241" w14:textId="77777777" w:rsidR="00C92ADC" w:rsidRPr="00C92ADC" w:rsidRDefault="00C92ADC" w:rsidP="00C92ADC">
            <w:pPr>
              <w:jc w:val="both"/>
              <w:rPr>
                <w:rFonts w:ascii="Arial" w:hAnsi="Arial" w:cs="Arial"/>
                <w:bCs/>
                <w:sz w:val="20"/>
                <w:lang w:val="en-GB"/>
              </w:rPr>
            </w:pPr>
            <w:r w:rsidRPr="00C92ADC">
              <w:rPr>
                <w:rFonts w:ascii="Arial" w:hAnsi="Arial" w:cs="Arial"/>
                <w:bCs/>
                <w:sz w:val="20"/>
                <w:lang w:val="en-GB"/>
              </w:rPr>
              <w:t>250 (TP)</w:t>
            </w:r>
          </w:p>
        </w:tc>
        <w:tc>
          <w:tcPr>
            <w:tcW w:w="2394" w:type="dxa"/>
            <w:tcBorders>
              <w:top w:val="single" w:sz="4" w:space="0" w:color="auto"/>
            </w:tcBorders>
          </w:tcPr>
          <w:p w14:paraId="5FA9F23C" w14:textId="77777777" w:rsidR="00C92ADC" w:rsidRPr="00C92ADC" w:rsidRDefault="00C92ADC" w:rsidP="00C92ADC">
            <w:pPr>
              <w:jc w:val="both"/>
              <w:rPr>
                <w:rFonts w:ascii="Arial" w:hAnsi="Arial" w:cs="Arial"/>
                <w:bCs/>
                <w:sz w:val="20"/>
                <w:lang w:val="en-GB"/>
              </w:rPr>
            </w:pPr>
            <w:r w:rsidRPr="00C92ADC">
              <w:rPr>
                <w:rFonts w:ascii="Arial" w:hAnsi="Arial" w:cs="Arial"/>
                <w:bCs/>
                <w:sz w:val="20"/>
                <w:lang w:val="en-GB"/>
              </w:rPr>
              <w:t>26 (FN)</w:t>
            </w:r>
          </w:p>
        </w:tc>
        <w:tc>
          <w:tcPr>
            <w:tcW w:w="1162" w:type="dxa"/>
            <w:tcBorders>
              <w:top w:val="single" w:sz="4" w:space="0" w:color="auto"/>
            </w:tcBorders>
          </w:tcPr>
          <w:p w14:paraId="15BED3D9" w14:textId="77777777" w:rsidR="00C92ADC" w:rsidRPr="00C92ADC" w:rsidRDefault="00C92ADC" w:rsidP="00C92ADC">
            <w:pPr>
              <w:jc w:val="both"/>
              <w:rPr>
                <w:rFonts w:ascii="Arial" w:hAnsi="Arial" w:cs="Arial"/>
                <w:bCs/>
                <w:sz w:val="20"/>
                <w:lang w:val="en-GB"/>
              </w:rPr>
            </w:pPr>
            <w:r w:rsidRPr="00C92ADC">
              <w:rPr>
                <w:rFonts w:ascii="Arial" w:hAnsi="Arial" w:cs="Arial"/>
                <w:bCs/>
                <w:sz w:val="20"/>
                <w:lang w:val="en-GB"/>
              </w:rPr>
              <w:t>276</w:t>
            </w:r>
          </w:p>
        </w:tc>
        <w:tc>
          <w:tcPr>
            <w:tcW w:w="1232" w:type="dxa"/>
            <w:tcBorders>
              <w:top w:val="single" w:sz="4" w:space="0" w:color="auto"/>
            </w:tcBorders>
          </w:tcPr>
          <w:p w14:paraId="54D1DC76" w14:textId="77777777" w:rsidR="00C92ADC" w:rsidRPr="00C92ADC" w:rsidRDefault="00C92ADC" w:rsidP="00C92ADC">
            <w:pPr>
              <w:jc w:val="both"/>
              <w:rPr>
                <w:rFonts w:ascii="Arial" w:hAnsi="Arial" w:cs="Arial"/>
                <w:bCs/>
                <w:sz w:val="20"/>
                <w:lang w:val="en-GB"/>
              </w:rPr>
            </w:pPr>
            <w:r w:rsidRPr="00C92ADC">
              <w:rPr>
                <w:rFonts w:ascii="Arial" w:hAnsi="Arial" w:cs="Arial"/>
                <w:bCs/>
                <w:sz w:val="20"/>
                <w:lang w:val="en-GB"/>
              </w:rPr>
              <w:t>0.93</w:t>
            </w:r>
          </w:p>
        </w:tc>
      </w:tr>
      <w:tr w:rsidR="00C92ADC" w:rsidRPr="00C92ADC" w14:paraId="3D3D34CF" w14:textId="77777777" w:rsidTr="00207B81">
        <w:tc>
          <w:tcPr>
            <w:tcW w:w="2394" w:type="dxa"/>
          </w:tcPr>
          <w:p w14:paraId="28F77D0F" w14:textId="77777777" w:rsidR="00C92ADC" w:rsidRPr="00C92ADC" w:rsidRDefault="00C92ADC" w:rsidP="00C92ADC">
            <w:pPr>
              <w:jc w:val="both"/>
              <w:rPr>
                <w:rFonts w:ascii="Arial" w:hAnsi="Arial" w:cs="Arial"/>
                <w:bCs/>
                <w:sz w:val="20"/>
                <w:lang w:val="en-GB"/>
              </w:rPr>
            </w:pPr>
            <w:r w:rsidRPr="00C92ADC">
              <w:rPr>
                <w:rFonts w:ascii="Arial" w:hAnsi="Arial" w:cs="Arial"/>
                <w:bCs/>
                <w:sz w:val="20"/>
                <w:lang w:val="en-GB"/>
              </w:rPr>
              <w:t>Negative (553)</w:t>
            </w:r>
          </w:p>
        </w:tc>
        <w:tc>
          <w:tcPr>
            <w:tcW w:w="2394" w:type="dxa"/>
          </w:tcPr>
          <w:p w14:paraId="39856870" w14:textId="77777777" w:rsidR="00C92ADC" w:rsidRPr="00C92ADC" w:rsidRDefault="00C92ADC" w:rsidP="00C92ADC">
            <w:pPr>
              <w:jc w:val="both"/>
              <w:rPr>
                <w:rFonts w:ascii="Arial" w:hAnsi="Arial" w:cs="Arial"/>
                <w:bCs/>
                <w:sz w:val="20"/>
                <w:lang w:val="en-GB"/>
              </w:rPr>
            </w:pPr>
            <w:r w:rsidRPr="00C92ADC">
              <w:rPr>
                <w:rFonts w:ascii="Arial" w:hAnsi="Arial" w:cs="Arial"/>
                <w:bCs/>
                <w:sz w:val="20"/>
                <w:lang w:val="en-GB"/>
              </w:rPr>
              <w:t>0(FP)</w:t>
            </w:r>
          </w:p>
        </w:tc>
        <w:tc>
          <w:tcPr>
            <w:tcW w:w="2394" w:type="dxa"/>
          </w:tcPr>
          <w:p w14:paraId="4E046F2C" w14:textId="77777777" w:rsidR="00C92ADC" w:rsidRPr="00C92ADC" w:rsidRDefault="00C92ADC" w:rsidP="00C92ADC">
            <w:pPr>
              <w:jc w:val="both"/>
              <w:rPr>
                <w:rFonts w:ascii="Arial" w:hAnsi="Arial" w:cs="Arial"/>
                <w:bCs/>
                <w:sz w:val="20"/>
                <w:lang w:val="en-GB"/>
              </w:rPr>
            </w:pPr>
            <w:r w:rsidRPr="00C92ADC">
              <w:rPr>
                <w:rFonts w:ascii="Arial" w:hAnsi="Arial" w:cs="Arial"/>
                <w:bCs/>
                <w:sz w:val="20"/>
                <w:lang w:val="en-GB"/>
              </w:rPr>
              <w:t>553(TN)</w:t>
            </w:r>
          </w:p>
        </w:tc>
        <w:tc>
          <w:tcPr>
            <w:tcW w:w="1162" w:type="dxa"/>
          </w:tcPr>
          <w:p w14:paraId="1B29C6B3" w14:textId="77777777" w:rsidR="00C92ADC" w:rsidRPr="00C92ADC" w:rsidRDefault="00C92ADC" w:rsidP="00C92ADC">
            <w:pPr>
              <w:jc w:val="both"/>
              <w:rPr>
                <w:rFonts w:ascii="Arial" w:hAnsi="Arial" w:cs="Arial"/>
                <w:bCs/>
                <w:sz w:val="20"/>
                <w:lang w:val="en-GB"/>
              </w:rPr>
            </w:pPr>
            <w:r w:rsidRPr="00C92ADC">
              <w:rPr>
                <w:rFonts w:ascii="Arial" w:hAnsi="Arial" w:cs="Arial"/>
                <w:bCs/>
                <w:sz w:val="20"/>
                <w:lang w:val="en-GB"/>
              </w:rPr>
              <w:t>553</w:t>
            </w:r>
          </w:p>
        </w:tc>
        <w:tc>
          <w:tcPr>
            <w:tcW w:w="1232" w:type="dxa"/>
          </w:tcPr>
          <w:p w14:paraId="2CB88118" w14:textId="77777777" w:rsidR="00C92ADC" w:rsidRPr="00C92ADC" w:rsidRDefault="00C92ADC" w:rsidP="00C92ADC">
            <w:pPr>
              <w:jc w:val="both"/>
              <w:rPr>
                <w:rFonts w:ascii="Arial" w:hAnsi="Arial" w:cs="Arial"/>
                <w:bCs/>
                <w:sz w:val="20"/>
                <w:lang w:val="en-GB"/>
              </w:rPr>
            </w:pPr>
          </w:p>
        </w:tc>
      </w:tr>
      <w:tr w:rsidR="00C92ADC" w:rsidRPr="00C92ADC" w14:paraId="1CCF0612" w14:textId="77777777" w:rsidTr="00207B81">
        <w:tc>
          <w:tcPr>
            <w:tcW w:w="2394" w:type="dxa"/>
          </w:tcPr>
          <w:p w14:paraId="701FC0CA" w14:textId="77777777" w:rsidR="00C92ADC" w:rsidRPr="00C92ADC" w:rsidRDefault="00C92ADC" w:rsidP="00C92ADC">
            <w:pPr>
              <w:jc w:val="both"/>
              <w:rPr>
                <w:rFonts w:ascii="Arial" w:hAnsi="Arial" w:cs="Arial"/>
                <w:bCs/>
                <w:sz w:val="20"/>
                <w:lang w:val="en-GB"/>
              </w:rPr>
            </w:pPr>
            <w:r w:rsidRPr="00C92ADC">
              <w:rPr>
                <w:rFonts w:ascii="Arial" w:hAnsi="Arial" w:cs="Arial"/>
                <w:bCs/>
                <w:sz w:val="20"/>
                <w:lang w:val="en-GB"/>
              </w:rPr>
              <w:t>Total</w:t>
            </w:r>
          </w:p>
        </w:tc>
        <w:tc>
          <w:tcPr>
            <w:tcW w:w="2394" w:type="dxa"/>
          </w:tcPr>
          <w:p w14:paraId="0D33EC30" w14:textId="77777777" w:rsidR="00C92ADC" w:rsidRPr="00C92ADC" w:rsidRDefault="00C92ADC" w:rsidP="00C92ADC">
            <w:pPr>
              <w:jc w:val="both"/>
              <w:rPr>
                <w:rFonts w:ascii="Arial" w:hAnsi="Arial" w:cs="Arial"/>
                <w:bCs/>
                <w:sz w:val="20"/>
                <w:lang w:val="en-GB"/>
              </w:rPr>
            </w:pPr>
            <w:r w:rsidRPr="00C92ADC">
              <w:rPr>
                <w:rFonts w:ascii="Arial" w:hAnsi="Arial" w:cs="Arial"/>
                <w:bCs/>
                <w:sz w:val="20"/>
                <w:lang w:val="en-GB"/>
              </w:rPr>
              <w:t>250</w:t>
            </w:r>
          </w:p>
        </w:tc>
        <w:tc>
          <w:tcPr>
            <w:tcW w:w="2394" w:type="dxa"/>
          </w:tcPr>
          <w:p w14:paraId="1BF8A902" w14:textId="77777777" w:rsidR="00C92ADC" w:rsidRPr="00C92ADC" w:rsidRDefault="00C92ADC" w:rsidP="00C92ADC">
            <w:pPr>
              <w:jc w:val="both"/>
              <w:rPr>
                <w:rFonts w:ascii="Arial" w:hAnsi="Arial" w:cs="Arial"/>
                <w:bCs/>
                <w:sz w:val="20"/>
                <w:lang w:val="en-GB"/>
              </w:rPr>
            </w:pPr>
            <w:r w:rsidRPr="00C92ADC">
              <w:rPr>
                <w:rFonts w:ascii="Arial" w:hAnsi="Arial" w:cs="Arial"/>
                <w:bCs/>
                <w:sz w:val="20"/>
                <w:lang w:val="en-GB"/>
              </w:rPr>
              <w:t>579</w:t>
            </w:r>
          </w:p>
        </w:tc>
        <w:tc>
          <w:tcPr>
            <w:tcW w:w="1162" w:type="dxa"/>
          </w:tcPr>
          <w:p w14:paraId="2D7874B7" w14:textId="77777777" w:rsidR="00C92ADC" w:rsidRPr="00C92ADC" w:rsidRDefault="00C92ADC" w:rsidP="00C92ADC">
            <w:pPr>
              <w:jc w:val="both"/>
              <w:rPr>
                <w:rFonts w:ascii="Arial" w:hAnsi="Arial" w:cs="Arial"/>
                <w:bCs/>
                <w:sz w:val="20"/>
                <w:lang w:val="en-GB"/>
              </w:rPr>
            </w:pPr>
            <w:r w:rsidRPr="00C92ADC">
              <w:rPr>
                <w:rFonts w:ascii="Arial" w:hAnsi="Arial" w:cs="Arial"/>
                <w:bCs/>
                <w:sz w:val="20"/>
                <w:lang w:val="en-GB"/>
              </w:rPr>
              <w:t>829</w:t>
            </w:r>
          </w:p>
        </w:tc>
        <w:tc>
          <w:tcPr>
            <w:tcW w:w="1232" w:type="dxa"/>
          </w:tcPr>
          <w:p w14:paraId="012252CC" w14:textId="77777777" w:rsidR="00C92ADC" w:rsidRPr="00C92ADC" w:rsidRDefault="00C92ADC" w:rsidP="00C92ADC">
            <w:pPr>
              <w:jc w:val="both"/>
              <w:rPr>
                <w:rFonts w:ascii="Arial" w:hAnsi="Arial" w:cs="Arial"/>
                <w:bCs/>
                <w:sz w:val="20"/>
                <w:lang w:val="en-GB"/>
              </w:rPr>
            </w:pPr>
          </w:p>
        </w:tc>
      </w:tr>
    </w:tbl>
    <w:p w14:paraId="4D28AF97" w14:textId="77777777" w:rsidR="00C92ADC" w:rsidRPr="00C92ADC" w:rsidRDefault="00C92ADC" w:rsidP="00C92ADC">
      <w:pPr>
        <w:jc w:val="both"/>
        <w:rPr>
          <w:rFonts w:ascii="Arial" w:hAnsi="Arial" w:cs="Arial"/>
          <w:bCs/>
          <w:i/>
          <w:lang w:val="en-GB"/>
        </w:rPr>
      </w:pPr>
      <w:r w:rsidRPr="00C92ADC">
        <w:rPr>
          <w:rFonts w:ascii="Arial" w:hAnsi="Arial" w:cs="Arial"/>
          <w:bCs/>
          <w:i/>
          <w:lang w:val="en-GB"/>
        </w:rPr>
        <w:t>Legend: TP: True positive, TN: True negative, FP: False positive, FN: False negative</w:t>
      </w:r>
    </w:p>
    <w:p w14:paraId="106D523B" w14:textId="77777777" w:rsidR="00C92ADC" w:rsidRDefault="00C92ADC" w:rsidP="00C92ADC">
      <w:pPr>
        <w:spacing w:line="360" w:lineRule="auto"/>
        <w:jc w:val="both"/>
        <w:rPr>
          <w:rFonts w:ascii="Arial" w:hAnsi="Arial" w:cs="Arial"/>
          <w:lang w:val="en-GB"/>
        </w:rPr>
      </w:pPr>
    </w:p>
    <w:p w14:paraId="7B841710" w14:textId="14795AD7" w:rsidR="005D3AA0" w:rsidRDefault="005D3AA0" w:rsidP="005D3AA0">
      <w:pPr>
        <w:pStyle w:val="Head1"/>
        <w:spacing w:after="0"/>
        <w:jc w:val="both"/>
        <w:rPr>
          <w:rFonts w:ascii="Arial" w:hAnsi="Arial" w:cs="Arial"/>
        </w:rPr>
      </w:pPr>
      <w:r>
        <w:rPr>
          <w:rFonts w:ascii="Arial" w:hAnsi="Arial" w:cs="Arial"/>
        </w:rPr>
        <w:lastRenderedPageBreak/>
        <w:t>4. discussion</w:t>
      </w:r>
    </w:p>
    <w:p w14:paraId="1575C211" w14:textId="77777777" w:rsidR="005D3AA0" w:rsidRPr="00FB3A86" w:rsidRDefault="005D3AA0" w:rsidP="005D3AA0">
      <w:pPr>
        <w:pStyle w:val="Head1"/>
        <w:spacing w:after="0"/>
        <w:jc w:val="both"/>
        <w:rPr>
          <w:rFonts w:ascii="Arial" w:hAnsi="Arial" w:cs="Arial"/>
        </w:rPr>
      </w:pPr>
    </w:p>
    <w:p w14:paraId="1FD2150F" w14:textId="77777777" w:rsidR="00E95274" w:rsidRPr="00E95274" w:rsidRDefault="00E95274" w:rsidP="00E95274">
      <w:pPr>
        <w:pStyle w:val="Body"/>
        <w:rPr>
          <w:rFonts w:ascii="Arial" w:hAnsi="Arial" w:cs="Arial"/>
        </w:rPr>
      </w:pPr>
      <w:r w:rsidRPr="00E95274">
        <w:rPr>
          <w:rFonts w:ascii="Arial" w:hAnsi="Arial" w:cs="Arial"/>
        </w:rPr>
        <w:t>This study evaluated the performance of two HRP2-based malaria rapid diagnostic tests (RDTs) compared with microscopy, the gold standard, in febrile patients attending health facilities in Port Harcourt, Nigeria. The findings provide critical insights into the diagnostic utility of RDTs in this endemic setting and highlight important epidemiological patterns across age and sex. The study population of 829 febrile participants had a mean age of 27.4 years, with the highest representation among individuals aged 1-10 years (26.5%) and 31-40 years (19.5%). This reflects the well-documented vulnerability of children and young adults in endemic regions, who often experience the highest transmission intensity due to incomplete immunity (WHO, 2024; Ajayi et al., 2021). The relatively high infection burden among adolescents and young adults also aligns with studies conducted in Lagos, Abuja, and an urban city in Rivers state, which reported substantial malaria prevalence among school-aged children and youths (</w:t>
      </w:r>
      <w:proofErr w:type="spellStart"/>
      <w:r w:rsidRPr="00E95274">
        <w:rPr>
          <w:rFonts w:ascii="Arial" w:hAnsi="Arial" w:cs="Arial"/>
        </w:rPr>
        <w:t>Dimkpa</w:t>
      </w:r>
      <w:proofErr w:type="spellEnd"/>
      <w:r w:rsidRPr="00E95274">
        <w:rPr>
          <w:rFonts w:ascii="Arial" w:hAnsi="Arial" w:cs="Arial"/>
        </w:rPr>
        <w:t xml:space="preserve"> et al., 2023; Oviedo et al., 2023). The higher representation of females (59.8%) compared to males (40.2%) may partly reflect differences in healthcare-seeking </w:t>
      </w:r>
      <w:proofErr w:type="spellStart"/>
      <w:r w:rsidRPr="00E95274">
        <w:rPr>
          <w:rFonts w:ascii="Arial" w:hAnsi="Arial" w:cs="Arial"/>
        </w:rPr>
        <w:t>behaviour</w:t>
      </w:r>
      <w:proofErr w:type="spellEnd"/>
      <w:r w:rsidRPr="00E95274">
        <w:rPr>
          <w:rFonts w:ascii="Arial" w:hAnsi="Arial" w:cs="Arial"/>
        </w:rPr>
        <w:t xml:space="preserve">, with women often more likely to present at health facilities for febrile illness (Mohan et al., 2025). Although prevalence was slightly higher in females than males, the lack of significant difference is consistent with findings from Ibadan, and other parts of Nigeria where malaria prevalence was not strongly associated with sex (Opara &amp; West, 2017; Bello &amp; </w:t>
      </w:r>
      <w:proofErr w:type="spellStart"/>
      <w:r w:rsidRPr="00E95274">
        <w:rPr>
          <w:rFonts w:ascii="Arial" w:hAnsi="Arial" w:cs="Arial"/>
        </w:rPr>
        <w:t>Ayede</w:t>
      </w:r>
      <w:proofErr w:type="spellEnd"/>
      <w:r w:rsidRPr="00E95274">
        <w:rPr>
          <w:rFonts w:ascii="Arial" w:hAnsi="Arial" w:cs="Arial"/>
        </w:rPr>
        <w:t xml:space="preserve">, 2019; </w:t>
      </w:r>
      <w:proofErr w:type="spellStart"/>
      <w:r w:rsidRPr="00E95274">
        <w:rPr>
          <w:rFonts w:ascii="Arial" w:hAnsi="Arial" w:cs="Arial"/>
        </w:rPr>
        <w:t>Oyerogba</w:t>
      </w:r>
      <w:proofErr w:type="spellEnd"/>
      <w:r w:rsidRPr="00E95274">
        <w:rPr>
          <w:rFonts w:ascii="Arial" w:hAnsi="Arial" w:cs="Arial"/>
        </w:rPr>
        <w:t xml:space="preserve"> et al., 2023; Osun et al., 2024). However, in Ondo State, western Nigeria, higher </w:t>
      </w:r>
      <w:r w:rsidRPr="00E95274">
        <w:rPr>
          <w:rFonts w:ascii="Arial" w:hAnsi="Arial" w:cs="Arial"/>
          <w:i/>
        </w:rPr>
        <w:t>P</w:t>
      </w:r>
      <w:r w:rsidRPr="00E95274">
        <w:rPr>
          <w:rFonts w:ascii="Arial" w:hAnsi="Arial" w:cs="Arial"/>
        </w:rPr>
        <w:t xml:space="preserve">. </w:t>
      </w:r>
      <w:r w:rsidRPr="00E95274">
        <w:rPr>
          <w:rFonts w:ascii="Arial" w:hAnsi="Arial" w:cs="Arial"/>
          <w:i/>
        </w:rPr>
        <w:t>falciparum</w:t>
      </w:r>
      <w:r w:rsidRPr="00E95274">
        <w:rPr>
          <w:rFonts w:ascii="Arial" w:hAnsi="Arial" w:cs="Arial"/>
        </w:rPr>
        <w:t xml:space="preserve"> infection prevalence was reported among males than female study participants (Oluwafemi et al., 2024).</w:t>
      </w:r>
    </w:p>
    <w:p w14:paraId="597EB352" w14:textId="77777777" w:rsidR="00E95274" w:rsidRPr="00E95274" w:rsidRDefault="00E95274" w:rsidP="00E95274">
      <w:pPr>
        <w:pStyle w:val="Body"/>
        <w:rPr>
          <w:rFonts w:ascii="Arial" w:hAnsi="Arial" w:cs="Arial"/>
        </w:rPr>
      </w:pPr>
      <w:r w:rsidRPr="00E95274">
        <w:rPr>
          <w:rFonts w:ascii="Arial" w:hAnsi="Arial" w:cs="Arial"/>
        </w:rPr>
        <w:t xml:space="preserve">The prevalence of </w:t>
      </w:r>
      <w:r w:rsidRPr="00E95274">
        <w:rPr>
          <w:rFonts w:ascii="Arial" w:hAnsi="Arial" w:cs="Arial"/>
          <w:i/>
          <w:iCs/>
        </w:rPr>
        <w:t>Plasmodium falciparum</w:t>
      </w:r>
      <w:r w:rsidRPr="00E95274">
        <w:rPr>
          <w:rFonts w:ascii="Arial" w:hAnsi="Arial" w:cs="Arial"/>
        </w:rPr>
        <w:t xml:space="preserve"> malaria was 30.2% by RDTs and 33.3% by microscopy. The slightly higher prevalence obtained with microscopy reflects its ability to detect lower parasite densities, which may be missed by RDTs (WHO, 2024). Similar trends have been reported in Nigerian studies from Kwara, and Ondo States, where microscopy consistently detected slightly higher prevalence rates compared to RDTs (</w:t>
      </w:r>
      <w:proofErr w:type="spellStart"/>
      <w:r w:rsidRPr="00E95274">
        <w:rPr>
          <w:rFonts w:ascii="Arial" w:hAnsi="Arial" w:cs="Arial"/>
        </w:rPr>
        <w:t>Ajakaye</w:t>
      </w:r>
      <w:proofErr w:type="spellEnd"/>
      <w:r w:rsidRPr="00E95274">
        <w:rPr>
          <w:rFonts w:ascii="Arial" w:hAnsi="Arial" w:cs="Arial"/>
        </w:rPr>
        <w:t xml:space="preserve"> et al., 2024; </w:t>
      </w:r>
      <w:proofErr w:type="spellStart"/>
      <w:r w:rsidRPr="00E95274">
        <w:rPr>
          <w:rFonts w:ascii="Arial" w:hAnsi="Arial" w:cs="Arial"/>
        </w:rPr>
        <w:t>Obaniyi</w:t>
      </w:r>
      <w:proofErr w:type="spellEnd"/>
      <w:r w:rsidRPr="00E95274">
        <w:rPr>
          <w:rFonts w:ascii="Arial" w:hAnsi="Arial" w:cs="Arial"/>
        </w:rPr>
        <w:t xml:space="preserve"> et al., 2025). These findings reinforce the importance of microscopy for definitive diagnosis but also highlight that RDTs remain sufficiently reliable for routine case management in primary care facilities. Although in a rural community in Ebonyi State, eastern Nigeria, malaria parasite prevalence was reportedly higher by RDT (56.8%) compared to microscopy (38.6%) (</w:t>
      </w:r>
      <w:proofErr w:type="spellStart"/>
      <w:r w:rsidRPr="00E95274">
        <w:rPr>
          <w:rFonts w:ascii="Arial" w:hAnsi="Arial" w:cs="Arial"/>
        </w:rPr>
        <w:t>Nwele</w:t>
      </w:r>
      <w:proofErr w:type="spellEnd"/>
      <w:r w:rsidRPr="00E95274">
        <w:rPr>
          <w:rFonts w:ascii="Arial" w:hAnsi="Arial" w:cs="Arial"/>
        </w:rPr>
        <w:t xml:space="preserve"> et al., 2022). Age-stratified results revealed the highest prevalence among individuals aged 11-20 years (47.3% by RDT; 50.5% by microscopy), followed by 21-30 years and 1-10 years. This pattern is consistent with findings from Ogun and Edo States, where malaria prevalence was particularly high among school-age children and young adults (Oviedo et al., 2023). The significantly lower prevalence among participants aged ≥61 years supports the hypothesis that cumulative exposure confers partial immunity in older populations (WHO, 2024).</w:t>
      </w:r>
    </w:p>
    <w:p w14:paraId="6CB22694" w14:textId="27F9567C" w:rsidR="00E95274" w:rsidRPr="00E95274" w:rsidRDefault="00E95274" w:rsidP="00E95274">
      <w:pPr>
        <w:pStyle w:val="Body"/>
        <w:rPr>
          <w:rFonts w:ascii="Arial" w:hAnsi="Arial" w:cs="Arial"/>
        </w:rPr>
      </w:pPr>
      <w:r w:rsidRPr="00E95274">
        <w:rPr>
          <w:rFonts w:ascii="Arial" w:hAnsi="Arial" w:cs="Arial"/>
        </w:rPr>
        <w:t xml:space="preserve">Both RDTs demonstrated excellent diagnostic accuracy when compared with microscopy. The sensitivity of 90.6% indicates that most true malaria cases were correctly identified; while the specificity and positive predictive value of 100% </w:t>
      </w:r>
      <w:r w:rsidR="00EE57ED" w:rsidRPr="00E95274">
        <w:rPr>
          <w:rFonts w:ascii="Arial" w:hAnsi="Arial" w:cs="Arial"/>
        </w:rPr>
        <w:t>confirms</w:t>
      </w:r>
      <w:r w:rsidRPr="00E95274">
        <w:rPr>
          <w:rFonts w:ascii="Arial" w:hAnsi="Arial" w:cs="Arial"/>
        </w:rPr>
        <w:t xml:space="preserve"> that there were no false-positive cases. These results align with recent studies from other Nigerian regions, including Kwara and Ondo States, where HRP2-based RDTs achieved specificities above 98% and sensitivities ranging between 88-92% (Ali et al., 2022; </w:t>
      </w:r>
      <w:proofErr w:type="spellStart"/>
      <w:r w:rsidRPr="00E95274">
        <w:rPr>
          <w:rFonts w:ascii="Arial" w:hAnsi="Arial" w:cs="Arial"/>
        </w:rPr>
        <w:t>Obaniyi</w:t>
      </w:r>
      <w:proofErr w:type="spellEnd"/>
      <w:r w:rsidRPr="00E95274">
        <w:rPr>
          <w:rFonts w:ascii="Arial" w:hAnsi="Arial" w:cs="Arial"/>
        </w:rPr>
        <w:t xml:space="preserve"> et al., 2025). Similarly, in Ebonyi, Benue States, and other parts of the world, RDTs demonstrated high concordance with microscopy, reinforcing their reliability in real-world settings (Feleke et al., 2021; </w:t>
      </w:r>
      <w:proofErr w:type="spellStart"/>
      <w:r w:rsidRPr="00E95274">
        <w:rPr>
          <w:rFonts w:ascii="Arial" w:hAnsi="Arial" w:cs="Arial"/>
        </w:rPr>
        <w:t>Nwele</w:t>
      </w:r>
      <w:proofErr w:type="spellEnd"/>
      <w:r w:rsidRPr="00E95274">
        <w:rPr>
          <w:rFonts w:ascii="Arial" w:hAnsi="Arial" w:cs="Arial"/>
        </w:rPr>
        <w:t xml:space="preserve"> et al., 2022; Osun et al., 2024). However, in another related studies conducted in Calabar and North-Central Nigeria, conventionally RDT performed relatively low to microscopy (</w:t>
      </w:r>
      <w:proofErr w:type="spellStart"/>
      <w:r w:rsidRPr="00E95274">
        <w:rPr>
          <w:rFonts w:ascii="Arial" w:hAnsi="Arial" w:cs="Arial"/>
        </w:rPr>
        <w:t>Iwuafor</w:t>
      </w:r>
      <w:proofErr w:type="spellEnd"/>
      <w:r w:rsidRPr="00E95274">
        <w:rPr>
          <w:rFonts w:ascii="Arial" w:hAnsi="Arial" w:cs="Arial"/>
        </w:rPr>
        <w:t xml:space="preserve"> et al., 2018; </w:t>
      </w:r>
      <w:proofErr w:type="spellStart"/>
      <w:r w:rsidRPr="00E95274">
        <w:rPr>
          <w:rFonts w:ascii="Arial" w:hAnsi="Arial" w:cs="Arial"/>
        </w:rPr>
        <w:t>Anenga</w:t>
      </w:r>
      <w:proofErr w:type="spellEnd"/>
      <w:r w:rsidRPr="00E95274">
        <w:rPr>
          <w:rFonts w:ascii="Arial" w:hAnsi="Arial" w:cs="Arial"/>
        </w:rPr>
        <w:t xml:space="preserve"> et al., 2025). The occurrence of false negatives in this study (26 cases) is consistent with the known limitations of HRP2-based RDTs, particularly at low parasite densities or in the presence of </w:t>
      </w:r>
      <w:r w:rsidRPr="00E95274">
        <w:rPr>
          <w:rFonts w:ascii="Arial" w:hAnsi="Arial" w:cs="Arial"/>
          <w:i/>
          <w:iCs/>
        </w:rPr>
        <w:t>pfhrp2/3</w:t>
      </w:r>
      <w:r w:rsidRPr="00E95274">
        <w:rPr>
          <w:rFonts w:ascii="Arial" w:hAnsi="Arial" w:cs="Arial"/>
        </w:rPr>
        <w:t xml:space="preserve"> gene deletions (WHO, 2024; 2025). </w:t>
      </w:r>
      <w:r w:rsidRPr="00E95274">
        <w:rPr>
          <w:rFonts w:ascii="Arial" w:hAnsi="Arial" w:cs="Arial"/>
        </w:rPr>
        <w:lastRenderedPageBreak/>
        <w:t xml:space="preserve">Although </w:t>
      </w:r>
      <w:r w:rsidRPr="00E95274">
        <w:rPr>
          <w:rFonts w:ascii="Arial" w:hAnsi="Arial" w:cs="Arial"/>
          <w:i/>
          <w:iCs/>
        </w:rPr>
        <w:t>pfhrp2/3</w:t>
      </w:r>
      <w:r w:rsidRPr="00E95274">
        <w:rPr>
          <w:rFonts w:ascii="Arial" w:hAnsi="Arial" w:cs="Arial"/>
        </w:rPr>
        <w:t xml:space="preserve"> deletions have not been widely reported in Nigeria, surveillance studies from the West African subregion have raised concerns about their potential emergence (WHO, 2025). This highlights the importance of continuous monitoring of RDT performance and integrating molecular diagnostic tools in future Nigerian studies.</w:t>
      </w:r>
    </w:p>
    <w:p w14:paraId="097EFB26" w14:textId="77777777" w:rsidR="00E95274" w:rsidRPr="00E95274" w:rsidRDefault="00E95274" w:rsidP="00E95274">
      <w:pPr>
        <w:pStyle w:val="Body"/>
        <w:rPr>
          <w:rFonts w:ascii="Arial" w:hAnsi="Arial" w:cs="Arial"/>
        </w:rPr>
      </w:pPr>
      <w:r w:rsidRPr="00E95274">
        <w:rPr>
          <w:rFonts w:ascii="Arial" w:hAnsi="Arial" w:cs="Arial"/>
        </w:rPr>
        <w:t xml:space="preserve">The Cohen’s kappa coefficient of 0.93 in this study indicates excellent agreement between RDTs and microscopy, corroborating findings from endemic municipalities in Colombia and southern Nigeria where RDT-microscopy concordance exceeded κ=0.85 (Cortes &amp; Guerra, 2020; </w:t>
      </w:r>
      <w:proofErr w:type="spellStart"/>
      <w:r w:rsidRPr="00E95274">
        <w:rPr>
          <w:rFonts w:ascii="Arial" w:hAnsi="Arial" w:cs="Arial"/>
        </w:rPr>
        <w:t>Ogunfowokan</w:t>
      </w:r>
      <w:proofErr w:type="spellEnd"/>
      <w:r w:rsidRPr="00E95274">
        <w:rPr>
          <w:rFonts w:ascii="Arial" w:hAnsi="Arial" w:cs="Arial"/>
        </w:rPr>
        <w:t xml:space="preserve"> et al., 2020). According to </w:t>
      </w:r>
      <w:proofErr w:type="spellStart"/>
      <w:r w:rsidRPr="00E95274">
        <w:rPr>
          <w:rFonts w:ascii="Arial" w:hAnsi="Arial" w:cs="Arial"/>
        </w:rPr>
        <w:t>Ogunfowokan</w:t>
      </w:r>
      <w:proofErr w:type="spellEnd"/>
      <w:r w:rsidRPr="00E95274">
        <w:rPr>
          <w:rFonts w:ascii="Arial" w:hAnsi="Arial" w:cs="Arial"/>
        </w:rPr>
        <w:t xml:space="preserve"> et al., agreement between malaria </w:t>
      </w:r>
      <w:proofErr w:type="spellStart"/>
      <w:r w:rsidRPr="00E95274">
        <w:rPr>
          <w:rFonts w:ascii="Arial" w:hAnsi="Arial" w:cs="Arial"/>
        </w:rPr>
        <w:t>parasitaemia</w:t>
      </w:r>
      <w:proofErr w:type="spellEnd"/>
      <w:r w:rsidRPr="00E95274">
        <w:rPr>
          <w:rFonts w:ascii="Arial" w:hAnsi="Arial" w:cs="Arial"/>
        </w:rPr>
        <w:t xml:space="preserve"> using microscopy and malaria RDT positivity rates depend on increase in </w:t>
      </w:r>
      <w:r w:rsidRPr="00E95274">
        <w:rPr>
          <w:rFonts w:ascii="Arial" w:hAnsi="Arial" w:cs="Arial"/>
          <w:i/>
        </w:rPr>
        <w:t>Plasmodium falciparum</w:t>
      </w:r>
      <w:r w:rsidRPr="00E95274">
        <w:rPr>
          <w:rFonts w:ascii="Arial" w:hAnsi="Arial" w:cs="Arial"/>
        </w:rPr>
        <w:t xml:space="preserve"> density. Together, these findings confirm that HRP2-based RDTs are reliable alternatives to microscopy in routine practice, especially in primary healthcare </w:t>
      </w:r>
      <w:proofErr w:type="spellStart"/>
      <w:r w:rsidRPr="00E95274">
        <w:rPr>
          <w:rFonts w:ascii="Arial" w:hAnsi="Arial" w:cs="Arial"/>
        </w:rPr>
        <w:t>centres</w:t>
      </w:r>
      <w:proofErr w:type="spellEnd"/>
      <w:r w:rsidRPr="00E95274">
        <w:rPr>
          <w:rFonts w:ascii="Arial" w:hAnsi="Arial" w:cs="Arial"/>
        </w:rPr>
        <w:t xml:space="preserve"> lacking laboratory infrastructure.</w:t>
      </w:r>
    </w:p>
    <w:p w14:paraId="67758C30" w14:textId="77777777" w:rsidR="00E95274" w:rsidRPr="00E95274" w:rsidRDefault="00E95274" w:rsidP="00E95274">
      <w:pPr>
        <w:pStyle w:val="Body"/>
        <w:rPr>
          <w:rFonts w:ascii="Arial" w:hAnsi="Arial" w:cs="Arial"/>
        </w:rPr>
      </w:pPr>
      <w:r w:rsidRPr="00E95274">
        <w:rPr>
          <w:rFonts w:ascii="Arial" w:hAnsi="Arial" w:cs="Arial"/>
        </w:rPr>
        <w:t xml:space="preserve">The demonstrated reliability of HRP2-based RDTs in this study strengthens their role in Nigeria’s malaria case management strategy. Their simplicity, rapid turnaround, and accuracy make them vital tools for frontline diagnosis, especially in rural or resource-limited settings. Nonetheless, the false-negative cases emphasize the need for regular training of health workers to minimize operator errors, ensure proper storage, and improve test interpretation. Importantly, surveillance for </w:t>
      </w:r>
      <w:r w:rsidRPr="00E95274">
        <w:rPr>
          <w:rFonts w:ascii="Arial" w:hAnsi="Arial" w:cs="Arial"/>
          <w:i/>
          <w:iCs/>
        </w:rPr>
        <w:t>pfhrp2/3</w:t>
      </w:r>
      <w:r w:rsidRPr="00E95274">
        <w:rPr>
          <w:rFonts w:ascii="Arial" w:hAnsi="Arial" w:cs="Arial"/>
        </w:rPr>
        <w:t xml:space="preserve"> deletions should be incorporated into Nigeria’s malaria control </w:t>
      </w:r>
      <w:proofErr w:type="spellStart"/>
      <w:r w:rsidRPr="00E95274">
        <w:rPr>
          <w:rFonts w:ascii="Arial" w:hAnsi="Arial" w:cs="Arial"/>
        </w:rPr>
        <w:t>programmes</w:t>
      </w:r>
      <w:proofErr w:type="spellEnd"/>
      <w:r w:rsidRPr="00E95274">
        <w:rPr>
          <w:rFonts w:ascii="Arial" w:hAnsi="Arial" w:cs="Arial"/>
        </w:rPr>
        <w:t xml:space="preserve"> to preserve the long-term utility of HRP2-based RDTs.</w:t>
      </w:r>
    </w:p>
    <w:p w14:paraId="7E70365E" w14:textId="77777777" w:rsidR="003C0F28" w:rsidRPr="00FB3A86" w:rsidRDefault="003C0F28" w:rsidP="00441B6F">
      <w:pPr>
        <w:pStyle w:val="Body"/>
        <w:spacing w:after="0"/>
        <w:rPr>
          <w:rFonts w:ascii="Arial" w:hAnsi="Arial" w:cs="Arial"/>
        </w:rPr>
      </w:pPr>
    </w:p>
    <w:p w14:paraId="0EDC9948" w14:textId="29783AC6" w:rsidR="00B01FCD" w:rsidRDefault="005D3AA0"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12804656" w14:textId="77777777" w:rsidR="00E95274" w:rsidRDefault="00E95274" w:rsidP="00E95274">
      <w:pPr>
        <w:pStyle w:val="NormalWeb"/>
        <w:jc w:val="both"/>
        <w:rPr>
          <w:rFonts w:ascii="Arial" w:hAnsi="Arial" w:cs="Arial"/>
          <w:sz w:val="20"/>
          <w:szCs w:val="20"/>
        </w:rPr>
      </w:pPr>
      <w:r w:rsidRPr="00C170BC">
        <w:rPr>
          <w:rFonts w:ascii="Arial" w:hAnsi="Arial" w:cs="Arial"/>
          <w:sz w:val="20"/>
          <w:szCs w:val="20"/>
        </w:rPr>
        <w:t xml:space="preserve">This study demonstrates that HRP2-based RDTs have high sensitivity, perfect specificity, and strong concordance with microscopy for diagnosing </w:t>
      </w:r>
      <w:r w:rsidRPr="00C170BC">
        <w:rPr>
          <w:rStyle w:val="Emphasis"/>
          <w:rFonts w:ascii="Arial" w:hAnsi="Arial" w:cs="Arial"/>
          <w:sz w:val="20"/>
          <w:szCs w:val="20"/>
        </w:rPr>
        <w:t>P. falciparum</w:t>
      </w:r>
      <w:r w:rsidRPr="00C170BC">
        <w:rPr>
          <w:rFonts w:ascii="Arial" w:hAnsi="Arial" w:cs="Arial"/>
          <w:sz w:val="20"/>
          <w:szCs w:val="20"/>
        </w:rPr>
        <w:t xml:space="preserve"> malaria in Port Harcourt. These findings are consistent with Nigerian studies across different states, affirming the diagnostic utility of RDTs in routine practice. Strengthening their use, while complementing them with molecular surveillance and health worker training, will be critical to achieving Nigeria’s malaria elimination goals.</w:t>
      </w:r>
    </w:p>
    <w:p w14:paraId="4EBEDC4B" w14:textId="12A8C142" w:rsidR="005B478C" w:rsidRDefault="005B478C" w:rsidP="005B478C">
      <w:pPr>
        <w:pStyle w:val="ReferHead"/>
        <w:spacing w:after="0"/>
        <w:jc w:val="both"/>
        <w:rPr>
          <w:rFonts w:ascii="Arial" w:hAnsi="Arial" w:cs="Arial"/>
          <w:bCs/>
        </w:rPr>
      </w:pPr>
      <w:bookmarkStart w:id="1" w:name="_GoBack"/>
      <w:bookmarkEnd w:id="1"/>
      <w:r>
        <w:rPr>
          <w:rFonts w:ascii="Arial" w:hAnsi="Arial" w:cs="Arial"/>
          <w:bCs/>
        </w:rPr>
        <w:t>ETHICAL APPROVAL</w:t>
      </w:r>
    </w:p>
    <w:p w14:paraId="5E239BD4" w14:textId="3D9D2445" w:rsidR="005B478C" w:rsidRPr="007A35B4" w:rsidRDefault="005B478C" w:rsidP="005B478C">
      <w:pPr>
        <w:pStyle w:val="NormalWeb"/>
        <w:jc w:val="both"/>
        <w:rPr>
          <w:rFonts w:ascii="Arial" w:hAnsi="Arial" w:cs="Arial"/>
          <w:sz w:val="20"/>
          <w:szCs w:val="20"/>
        </w:rPr>
      </w:pPr>
      <w:r w:rsidRPr="005B478C">
        <w:rPr>
          <w:rFonts w:ascii="Arial" w:hAnsi="Arial" w:cs="Arial"/>
          <w:sz w:val="20"/>
          <w:szCs w:val="20"/>
        </w:rPr>
        <w:t>Ethical approval was obtained from the Rivers State Ministry of Health Research Ethics Committee, Rivers State Hospitals Management Board (Ref.: RSHMB/RSHREC/2024/087). In addition, verbal and informed consent was obtained from all participants or their legal guardians before enrollment.</w:t>
      </w:r>
    </w:p>
    <w:p w14:paraId="5AA5C840" w14:textId="55E492F0"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p>
    <w:p w14:paraId="2500339E" w14:textId="77777777" w:rsidR="002B685A" w:rsidRPr="002B685A" w:rsidRDefault="002B685A" w:rsidP="00441B6F">
      <w:pPr>
        <w:pStyle w:val="ReferHead"/>
        <w:spacing w:after="0"/>
        <w:jc w:val="both"/>
        <w:rPr>
          <w:rFonts w:ascii="Arial" w:hAnsi="Arial" w:cs="Arial"/>
          <w:bCs/>
        </w:rPr>
      </w:pPr>
    </w:p>
    <w:p w14:paraId="7E070898" w14:textId="1F390635" w:rsidR="001A29D8" w:rsidRPr="00763B6F" w:rsidRDefault="001A29D8" w:rsidP="00441B6F">
      <w:pPr>
        <w:pStyle w:val="ReferHead"/>
        <w:spacing w:after="0"/>
        <w:jc w:val="both"/>
        <w:rPr>
          <w:rFonts w:ascii="Arial" w:hAnsi="Arial" w:cs="Arial"/>
          <w:b w:val="0"/>
          <w:caps w:val="0"/>
          <w:sz w:val="20"/>
        </w:rPr>
      </w:pPr>
      <w:r w:rsidRPr="00763B6F">
        <w:rPr>
          <w:rFonts w:ascii="Arial" w:hAnsi="Arial" w:cs="Arial"/>
          <w:b w:val="0"/>
          <w:caps w:val="0"/>
          <w:sz w:val="20"/>
        </w:rPr>
        <w:t xml:space="preserve">All authors declare that written informed consent was obtained from the </w:t>
      </w:r>
      <w:r w:rsidR="00DF3292" w:rsidRPr="00763B6F">
        <w:rPr>
          <w:rFonts w:ascii="Arial" w:hAnsi="Arial" w:cs="Arial"/>
          <w:b w:val="0"/>
          <w:caps w:val="0"/>
          <w:sz w:val="20"/>
        </w:rPr>
        <w:t>subjects</w:t>
      </w:r>
      <w:r w:rsidRPr="00763B6F">
        <w:rPr>
          <w:rFonts w:ascii="Arial" w:hAnsi="Arial" w:cs="Arial"/>
          <w:b w:val="0"/>
          <w:caps w:val="0"/>
          <w:sz w:val="20"/>
        </w:rPr>
        <w:t>. A copy of the written consent is available for review by the Editorial office of this journal.</w:t>
      </w:r>
    </w:p>
    <w:p w14:paraId="615A1BD6" w14:textId="77777777" w:rsidR="00860000" w:rsidRDefault="00860000" w:rsidP="00441B6F">
      <w:pPr>
        <w:pStyle w:val="ReferHead"/>
        <w:spacing w:after="0"/>
        <w:jc w:val="both"/>
        <w:rPr>
          <w:rFonts w:ascii="Arial" w:hAnsi="Arial" w:cs="Arial"/>
        </w:rPr>
      </w:pPr>
    </w:p>
    <w:p w14:paraId="58EADCF9"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52C1C71" w14:textId="77777777" w:rsidR="00790ADA" w:rsidRPr="00FB3A86" w:rsidRDefault="00790ADA" w:rsidP="00441B6F">
      <w:pPr>
        <w:pStyle w:val="ReferHead"/>
        <w:spacing w:after="0"/>
        <w:jc w:val="both"/>
        <w:rPr>
          <w:rFonts w:ascii="Arial" w:hAnsi="Arial" w:cs="Arial"/>
        </w:rPr>
      </w:pPr>
    </w:p>
    <w:p w14:paraId="64FECD96" w14:textId="77777777" w:rsidR="00E95274" w:rsidRPr="00C170BC" w:rsidRDefault="00E95274" w:rsidP="007800D7">
      <w:pPr>
        <w:spacing w:after="240"/>
        <w:jc w:val="both"/>
        <w:rPr>
          <w:rFonts w:ascii="Arial" w:hAnsi="Arial" w:cs="Arial"/>
        </w:rPr>
      </w:pPr>
      <w:proofErr w:type="spellStart"/>
      <w:r w:rsidRPr="00C170BC">
        <w:rPr>
          <w:rFonts w:ascii="Arial" w:hAnsi="Arial" w:cs="Arial"/>
        </w:rPr>
        <w:t>Wokem</w:t>
      </w:r>
      <w:proofErr w:type="spellEnd"/>
      <w:r w:rsidRPr="00C170BC">
        <w:rPr>
          <w:rFonts w:ascii="Arial" w:hAnsi="Arial" w:cs="Arial"/>
        </w:rPr>
        <w:t xml:space="preserve">, G.N., </w:t>
      </w:r>
      <w:proofErr w:type="spellStart"/>
      <w:r w:rsidRPr="00C170BC">
        <w:rPr>
          <w:rFonts w:ascii="Arial" w:hAnsi="Arial" w:cs="Arial"/>
        </w:rPr>
        <w:t>Dimkpa</w:t>
      </w:r>
      <w:proofErr w:type="spellEnd"/>
      <w:r w:rsidRPr="00C170BC">
        <w:rPr>
          <w:rFonts w:ascii="Arial" w:hAnsi="Arial" w:cs="Arial"/>
        </w:rPr>
        <w:t xml:space="preserve">, F.B., &amp; </w:t>
      </w:r>
      <w:proofErr w:type="spellStart"/>
      <w:r w:rsidRPr="00C170BC">
        <w:rPr>
          <w:rFonts w:ascii="Arial" w:hAnsi="Arial" w:cs="Arial"/>
        </w:rPr>
        <w:t>Azuonwu</w:t>
      </w:r>
      <w:proofErr w:type="spellEnd"/>
      <w:r w:rsidRPr="00C170BC">
        <w:rPr>
          <w:rFonts w:ascii="Arial" w:hAnsi="Arial" w:cs="Arial"/>
        </w:rPr>
        <w:t xml:space="preserve">, O. (2021). Evaluation of falciparum malaria </w:t>
      </w:r>
      <w:proofErr w:type="spellStart"/>
      <w:r w:rsidRPr="00C170BC">
        <w:rPr>
          <w:rFonts w:ascii="Arial" w:hAnsi="Arial" w:cs="Arial"/>
        </w:rPr>
        <w:t>parasitaemia</w:t>
      </w:r>
      <w:proofErr w:type="spellEnd"/>
      <w:r w:rsidRPr="00C170BC">
        <w:rPr>
          <w:rFonts w:ascii="Arial" w:hAnsi="Arial" w:cs="Arial"/>
        </w:rPr>
        <w:t xml:space="preserve"> and associated inflammatory cytokines among malaria-vulnerable subjects in Port Harcourt, Rivers State, Nigeria. Journal of Parasitology, 42(2), 347-359.</w:t>
      </w:r>
    </w:p>
    <w:p w14:paraId="1E21E04A" w14:textId="77777777" w:rsidR="00E95274" w:rsidRPr="00C170BC" w:rsidRDefault="00E95274" w:rsidP="007800D7">
      <w:pPr>
        <w:spacing w:after="240"/>
        <w:jc w:val="both"/>
        <w:rPr>
          <w:rFonts w:ascii="Arial" w:hAnsi="Arial" w:cs="Arial"/>
        </w:rPr>
      </w:pPr>
      <w:proofErr w:type="spellStart"/>
      <w:r w:rsidRPr="00C170BC">
        <w:rPr>
          <w:rFonts w:ascii="Arial" w:hAnsi="Arial" w:cs="Arial"/>
        </w:rPr>
        <w:t>Dimkpa</w:t>
      </w:r>
      <w:proofErr w:type="spellEnd"/>
      <w:r w:rsidRPr="00C170BC">
        <w:rPr>
          <w:rFonts w:ascii="Arial" w:hAnsi="Arial" w:cs="Arial"/>
        </w:rPr>
        <w:t xml:space="preserve">, F.B., Singer, P.K., </w:t>
      </w:r>
      <w:proofErr w:type="spellStart"/>
      <w:r w:rsidRPr="00C170BC">
        <w:rPr>
          <w:rFonts w:ascii="Arial" w:hAnsi="Arial" w:cs="Arial"/>
        </w:rPr>
        <w:t>Nyenke</w:t>
      </w:r>
      <w:proofErr w:type="spellEnd"/>
      <w:r w:rsidRPr="00C170BC">
        <w:rPr>
          <w:rFonts w:ascii="Arial" w:hAnsi="Arial" w:cs="Arial"/>
        </w:rPr>
        <w:t xml:space="preserve">, C., </w:t>
      </w:r>
      <w:proofErr w:type="spellStart"/>
      <w:r w:rsidRPr="00C170BC">
        <w:rPr>
          <w:rFonts w:ascii="Arial" w:hAnsi="Arial" w:cs="Arial"/>
        </w:rPr>
        <w:t>Osuosa</w:t>
      </w:r>
      <w:proofErr w:type="spellEnd"/>
      <w:r w:rsidRPr="00C170BC">
        <w:rPr>
          <w:rFonts w:ascii="Arial" w:hAnsi="Arial" w:cs="Arial"/>
        </w:rPr>
        <w:t xml:space="preserve">, A.O., &amp; </w:t>
      </w:r>
      <w:proofErr w:type="spellStart"/>
      <w:r w:rsidRPr="00C170BC">
        <w:rPr>
          <w:rFonts w:ascii="Arial" w:hAnsi="Arial" w:cs="Arial"/>
        </w:rPr>
        <w:t>Amadi-Ikpa</w:t>
      </w:r>
      <w:proofErr w:type="spellEnd"/>
      <w:r w:rsidRPr="00C170BC">
        <w:rPr>
          <w:rFonts w:ascii="Arial" w:hAnsi="Arial" w:cs="Arial"/>
        </w:rPr>
        <w:t xml:space="preserve">, C.N. (2023). Dynamics of </w:t>
      </w:r>
      <w:r w:rsidRPr="00C170BC">
        <w:rPr>
          <w:rFonts w:ascii="Arial" w:hAnsi="Arial" w:cs="Arial"/>
          <w:i/>
        </w:rPr>
        <w:t xml:space="preserve">Plasmodium falciparum </w:t>
      </w:r>
      <w:proofErr w:type="spellStart"/>
      <w:r w:rsidRPr="00C170BC">
        <w:rPr>
          <w:rFonts w:ascii="Arial" w:hAnsi="Arial" w:cs="Arial"/>
        </w:rPr>
        <w:t>parasitaemia</w:t>
      </w:r>
      <w:proofErr w:type="spellEnd"/>
      <w:r w:rsidRPr="00C170BC">
        <w:rPr>
          <w:rFonts w:ascii="Arial" w:hAnsi="Arial" w:cs="Arial"/>
        </w:rPr>
        <w:t xml:space="preserve"> and uncomplicated malaria among school-age </w:t>
      </w:r>
      <w:r w:rsidRPr="00C170BC">
        <w:rPr>
          <w:rFonts w:ascii="Arial" w:hAnsi="Arial" w:cs="Arial"/>
        </w:rPr>
        <w:lastRenderedPageBreak/>
        <w:t xml:space="preserve">children living in </w:t>
      </w:r>
      <w:proofErr w:type="spellStart"/>
      <w:r w:rsidRPr="00C170BC">
        <w:rPr>
          <w:rFonts w:ascii="Arial" w:hAnsi="Arial" w:cs="Arial"/>
        </w:rPr>
        <w:t>Omoku</w:t>
      </w:r>
      <w:proofErr w:type="spellEnd"/>
      <w:r w:rsidRPr="00C170BC">
        <w:rPr>
          <w:rFonts w:ascii="Arial" w:hAnsi="Arial" w:cs="Arial"/>
        </w:rPr>
        <w:t>, Southern Nigeria. Journal of Health, Applied Sciences &amp; Management, 6(3), 59-67.</w:t>
      </w:r>
    </w:p>
    <w:p w14:paraId="50BAE98F" w14:textId="1CFFAB85" w:rsidR="00E95274" w:rsidRPr="00C170BC" w:rsidRDefault="00E95274" w:rsidP="007800D7">
      <w:pPr>
        <w:spacing w:after="240"/>
        <w:ind w:hanging="11"/>
        <w:jc w:val="both"/>
        <w:rPr>
          <w:rFonts w:ascii="Arial" w:hAnsi="Arial" w:cs="Arial"/>
        </w:rPr>
      </w:pPr>
      <w:r w:rsidRPr="00C170BC">
        <w:rPr>
          <w:rFonts w:ascii="Arial" w:hAnsi="Arial" w:cs="Arial"/>
        </w:rPr>
        <w:t xml:space="preserve">World Health Organization. (2024). World malaria report 2024. </w:t>
      </w:r>
      <w:hyperlink r:id="rId14" w:history="1">
        <w:r w:rsidRPr="00C170BC">
          <w:rPr>
            <w:rStyle w:val="Hyperlink"/>
            <w:rFonts w:ascii="Arial" w:hAnsi="Arial" w:cs="Arial"/>
            <w:color w:val="000000" w:themeColor="text1"/>
          </w:rPr>
          <w:t>https://www-who</w:t>
        </w:r>
        <w:r w:rsidRPr="00C170BC">
          <w:rPr>
            <w:rStyle w:val="Hyperlink"/>
            <w:rFonts w:ascii="Arial" w:hAnsi="Arial" w:cs="Arial"/>
          </w:rPr>
          <w:t>-</w:t>
        </w:r>
      </w:hyperlink>
      <w:r w:rsidRPr="00C170BC">
        <w:rPr>
          <w:rFonts w:ascii="Arial" w:hAnsi="Arial" w:cs="Arial"/>
        </w:rPr>
        <w:t>int/teams/global-mal-aria-programme/reports/world-malaria-report-2024</w:t>
      </w:r>
    </w:p>
    <w:p w14:paraId="2D9EFC73" w14:textId="77777777" w:rsidR="00E95274" w:rsidRPr="00C170BC" w:rsidRDefault="00E95274" w:rsidP="007800D7">
      <w:pPr>
        <w:spacing w:after="240"/>
        <w:jc w:val="both"/>
        <w:rPr>
          <w:rFonts w:ascii="Arial" w:hAnsi="Arial" w:cs="Arial"/>
          <w:color w:val="000000" w:themeColor="text1"/>
        </w:rPr>
      </w:pPr>
      <w:r w:rsidRPr="00C170BC">
        <w:rPr>
          <w:rFonts w:ascii="Arial" w:hAnsi="Arial" w:cs="Arial"/>
        </w:rPr>
        <w:t xml:space="preserve">World Health </w:t>
      </w:r>
      <w:proofErr w:type="gramStart"/>
      <w:r w:rsidRPr="00C170BC">
        <w:rPr>
          <w:rFonts w:ascii="Arial" w:hAnsi="Arial" w:cs="Arial"/>
        </w:rPr>
        <w:t>Organization.(</w:t>
      </w:r>
      <w:proofErr w:type="gramEnd"/>
      <w:r w:rsidRPr="00C170BC">
        <w:rPr>
          <w:rFonts w:ascii="Arial" w:hAnsi="Arial" w:cs="Arial"/>
        </w:rPr>
        <w:t xml:space="preserve">2025). World malaria report 2024. </w:t>
      </w:r>
      <w:hyperlink r:id="rId15" w:history="1">
        <w:r w:rsidRPr="00C170BC">
          <w:rPr>
            <w:rStyle w:val="Hyperlink"/>
            <w:rFonts w:ascii="Arial" w:hAnsi="Arial" w:cs="Arial"/>
            <w:color w:val="000000" w:themeColor="text1"/>
          </w:rPr>
          <w:t>https://www.who.int.teams/global-malaria-programme/reports/world-malria-report-2024</w:t>
        </w:r>
      </w:hyperlink>
    </w:p>
    <w:p w14:paraId="47479807" w14:textId="77777777" w:rsidR="00E95274" w:rsidRPr="00C170BC" w:rsidRDefault="00E95274" w:rsidP="007800D7">
      <w:pPr>
        <w:spacing w:after="240"/>
        <w:jc w:val="both"/>
        <w:rPr>
          <w:rFonts w:ascii="Arial" w:hAnsi="Arial" w:cs="Arial"/>
        </w:rPr>
      </w:pPr>
      <w:r w:rsidRPr="00C170BC">
        <w:rPr>
          <w:rFonts w:ascii="Arial" w:hAnsi="Arial" w:cs="Arial"/>
        </w:rPr>
        <w:t xml:space="preserve">Feleke, D.G., Alemu, Y., &amp; </w:t>
      </w:r>
      <w:proofErr w:type="spellStart"/>
      <w:r w:rsidRPr="00C170BC">
        <w:rPr>
          <w:rFonts w:ascii="Arial" w:hAnsi="Arial" w:cs="Arial"/>
        </w:rPr>
        <w:t>Yemanebirhane</w:t>
      </w:r>
      <w:proofErr w:type="spellEnd"/>
      <w:r w:rsidRPr="00C170BC">
        <w:rPr>
          <w:rFonts w:ascii="Arial" w:hAnsi="Arial" w:cs="Arial"/>
        </w:rPr>
        <w:t xml:space="preserve">, N. (2021). Performance of rapid diagnostic test, microscopy, loop-mediated isothermal amplification (LAMP) and PCR for malaria diagnosis in Ethiopia: A systematic review and meta-analysis. Malaria Journal, 20(1), 384. </w:t>
      </w:r>
      <w:proofErr w:type="spellStart"/>
      <w:r w:rsidRPr="00C170BC">
        <w:rPr>
          <w:rFonts w:ascii="Arial" w:hAnsi="Arial" w:cs="Arial"/>
        </w:rPr>
        <w:t>doi</w:t>
      </w:r>
      <w:proofErr w:type="spellEnd"/>
      <w:r w:rsidRPr="00C170BC">
        <w:rPr>
          <w:rFonts w:ascii="Arial" w:hAnsi="Arial" w:cs="Arial"/>
        </w:rPr>
        <w:t>: 10.1186/s12936-021-03923-8.</w:t>
      </w:r>
    </w:p>
    <w:p w14:paraId="20A00CA0" w14:textId="77777777" w:rsidR="00E95274" w:rsidRPr="00C170BC" w:rsidRDefault="00E95274" w:rsidP="007800D7">
      <w:pPr>
        <w:spacing w:after="240"/>
        <w:jc w:val="both"/>
        <w:rPr>
          <w:rFonts w:ascii="Arial" w:hAnsi="Arial" w:cs="Arial"/>
        </w:rPr>
      </w:pPr>
      <w:r w:rsidRPr="00C170BC">
        <w:rPr>
          <w:rFonts w:ascii="Arial" w:hAnsi="Arial" w:cs="Arial"/>
        </w:rPr>
        <w:t>Okereke, P.U., Ayodeji, B.M., Bolarinwa, R.T., Ayodeji, O.D., Popoola, I.O., Okereke, W.O., et al. (2025). Assessing the influence of rapid diagnostic test (RDT) accuracy on malaria misdiagnosis and antimalarial resistance in Nigeria. Annals of Medicine and Surgery, 87(2), 658-662.</w:t>
      </w:r>
    </w:p>
    <w:p w14:paraId="371125ED" w14:textId="77777777" w:rsidR="00E95274" w:rsidRPr="00C170BC" w:rsidRDefault="00E95274" w:rsidP="007800D7">
      <w:pPr>
        <w:spacing w:after="240"/>
        <w:jc w:val="both"/>
        <w:rPr>
          <w:rFonts w:ascii="Arial" w:hAnsi="Arial" w:cs="Arial"/>
        </w:rPr>
      </w:pPr>
      <w:r w:rsidRPr="00C170BC">
        <w:rPr>
          <w:rFonts w:ascii="Arial" w:hAnsi="Arial" w:cs="Arial"/>
        </w:rPr>
        <w:t>Yadav, A., Verma, K., Singh, K., Tyagi, S., Kori, L., &amp; Bharti, P.K. (2024). Analysis of diagnostic biomarkers for malaria: Prospects on rapid diagnostic test (RDT) development. Microbial Pathogenesis, 196, 106978.doi: 10.1016/j.micpath.2024.106978.</w:t>
      </w:r>
    </w:p>
    <w:p w14:paraId="27E8B9BC" w14:textId="77777777" w:rsidR="00E95274" w:rsidRPr="00C170BC" w:rsidRDefault="00E95274" w:rsidP="007800D7">
      <w:pPr>
        <w:spacing w:after="240"/>
        <w:jc w:val="both"/>
        <w:rPr>
          <w:rFonts w:ascii="Arial" w:hAnsi="Arial" w:cs="Arial"/>
        </w:rPr>
      </w:pPr>
      <w:proofErr w:type="spellStart"/>
      <w:r w:rsidRPr="00C170BC">
        <w:rPr>
          <w:rFonts w:ascii="Arial" w:hAnsi="Arial" w:cs="Arial"/>
        </w:rPr>
        <w:t>Ajakaye</w:t>
      </w:r>
      <w:proofErr w:type="spellEnd"/>
      <w:r w:rsidRPr="00C170BC">
        <w:rPr>
          <w:rFonts w:ascii="Arial" w:hAnsi="Arial" w:cs="Arial"/>
        </w:rPr>
        <w:t xml:space="preserve">, O.G. (2024). Poor performance of a popular malaria rapid diagnostic kit compared to microscopy in adults </w:t>
      </w:r>
      <w:r w:rsidRPr="00C170BC">
        <w:rPr>
          <w:rFonts w:ascii="Arial" w:hAnsi="Arial" w:cs="Arial"/>
          <w:i/>
        </w:rPr>
        <w:t xml:space="preserve">P. falciparum </w:t>
      </w:r>
      <w:r w:rsidRPr="00C170BC">
        <w:rPr>
          <w:rFonts w:ascii="Arial" w:hAnsi="Arial" w:cs="Arial"/>
        </w:rPr>
        <w:t>infections in Nigeria. FUDMA Journal of Sciences, 8(3), 390-394.</w:t>
      </w:r>
    </w:p>
    <w:p w14:paraId="262A2376" w14:textId="77777777" w:rsidR="00E95274" w:rsidRPr="00C170BC" w:rsidRDefault="00E95274" w:rsidP="007800D7">
      <w:pPr>
        <w:spacing w:after="240"/>
        <w:jc w:val="both"/>
        <w:rPr>
          <w:rFonts w:ascii="Arial" w:hAnsi="Arial" w:cs="Arial"/>
        </w:rPr>
      </w:pPr>
      <w:proofErr w:type="spellStart"/>
      <w:r w:rsidRPr="00C170BC">
        <w:rPr>
          <w:rFonts w:ascii="Arial" w:hAnsi="Arial" w:cs="Arial"/>
        </w:rPr>
        <w:t>Wogu</w:t>
      </w:r>
      <w:proofErr w:type="spellEnd"/>
      <w:r w:rsidRPr="00C170BC">
        <w:rPr>
          <w:rFonts w:ascii="Arial" w:hAnsi="Arial" w:cs="Arial"/>
        </w:rPr>
        <w:t xml:space="preserve">, M.N., &amp; Nduka, F.O. (2018). Evaluating malaria prevalence using clinical diagnosis compared with microscopy and rapid diagnostic tests in a tertiary healthcare facility in Rivers State, Nigeria. Journal of Tropical Medicine, 3954717. </w:t>
      </w:r>
      <w:proofErr w:type="spellStart"/>
      <w:r w:rsidRPr="00C170BC">
        <w:rPr>
          <w:rFonts w:ascii="Arial" w:hAnsi="Arial" w:cs="Arial"/>
        </w:rPr>
        <w:t>doi</w:t>
      </w:r>
      <w:proofErr w:type="spellEnd"/>
      <w:r w:rsidRPr="00C170BC">
        <w:rPr>
          <w:rFonts w:ascii="Arial" w:hAnsi="Arial" w:cs="Arial"/>
        </w:rPr>
        <w:t>: 10.1155/2018/3954717.</w:t>
      </w:r>
    </w:p>
    <w:p w14:paraId="399F2841" w14:textId="77777777" w:rsidR="00E95274" w:rsidRPr="00C170BC" w:rsidRDefault="00E95274" w:rsidP="007800D7">
      <w:pPr>
        <w:spacing w:after="240"/>
        <w:jc w:val="both"/>
        <w:rPr>
          <w:rFonts w:ascii="Arial" w:hAnsi="Arial" w:cs="Arial"/>
          <w:color w:val="000000" w:themeColor="text1"/>
        </w:rPr>
      </w:pPr>
      <w:r w:rsidRPr="00C170BC">
        <w:rPr>
          <w:rFonts w:ascii="Arial" w:hAnsi="Arial" w:cs="Arial"/>
        </w:rPr>
        <w:t xml:space="preserve">Obaniyi, A.K., Joseph, S.O., &amp; Oso, O.G. (2025). Comparative evaluation of rapid diagnostic tests and microscopy for placental malaria diagnosis among primigravidae after delivery in health care </w:t>
      </w:r>
      <w:proofErr w:type="spellStart"/>
      <w:r w:rsidRPr="00C170BC">
        <w:rPr>
          <w:rFonts w:ascii="Arial" w:hAnsi="Arial" w:cs="Arial"/>
        </w:rPr>
        <w:t>centres</w:t>
      </w:r>
      <w:proofErr w:type="spellEnd"/>
      <w:r w:rsidRPr="00C170BC">
        <w:rPr>
          <w:rFonts w:ascii="Arial" w:hAnsi="Arial" w:cs="Arial"/>
        </w:rPr>
        <w:t xml:space="preserve"> in </w:t>
      </w:r>
      <w:proofErr w:type="spellStart"/>
      <w:r w:rsidRPr="00C170BC">
        <w:rPr>
          <w:rFonts w:ascii="Arial" w:hAnsi="Arial" w:cs="Arial"/>
        </w:rPr>
        <w:t>Kwara</w:t>
      </w:r>
      <w:proofErr w:type="spellEnd"/>
      <w:r w:rsidRPr="00C170BC">
        <w:rPr>
          <w:rFonts w:ascii="Arial" w:hAnsi="Arial" w:cs="Arial"/>
        </w:rPr>
        <w:t xml:space="preserve"> State, North Central Nigeria. Journal of International Epidemiology and Public Health, 8(3), 59. </w:t>
      </w:r>
      <w:hyperlink r:id="rId16" w:history="1">
        <w:r w:rsidRPr="00C170BC">
          <w:rPr>
            <w:rStyle w:val="Hyperlink"/>
            <w:rFonts w:ascii="Arial" w:hAnsi="Arial" w:cs="Arial"/>
            <w:color w:val="000000" w:themeColor="text1"/>
          </w:rPr>
          <w:t>https://doi.org/10.37432/JIEPH-D-24-02037</w:t>
        </w:r>
      </w:hyperlink>
      <w:r w:rsidRPr="00C170BC">
        <w:rPr>
          <w:rFonts w:ascii="Arial" w:hAnsi="Arial" w:cs="Arial"/>
          <w:color w:val="000000" w:themeColor="text1"/>
        </w:rPr>
        <w:t xml:space="preserve">. </w:t>
      </w:r>
    </w:p>
    <w:p w14:paraId="29D81CE8" w14:textId="77777777" w:rsidR="00E95274" w:rsidRPr="00C170BC" w:rsidRDefault="00E95274" w:rsidP="007800D7">
      <w:pPr>
        <w:spacing w:after="240"/>
        <w:jc w:val="both"/>
        <w:rPr>
          <w:rFonts w:ascii="Arial" w:hAnsi="Arial" w:cs="Arial"/>
          <w:color w:val="000000" w:themeColor="text1"/>
        </w:rPr>
      </w:pPr>
      <w:proofErr w:type="spellStart"/>
      <w:r w:rsidRPr="00C170BC">
        <w:rPr>
          <w:rFonts w:ascii="Arial" w:hAnsi="Arial" w:cs="Arial"/>
          <w:color w:val="000000" w:themeColor="text1"/>
        </w:rPr>
        <w:t>Ajakaye</w:t>
      </w:r>
      <w:proofErr w:type="spellEnd"/>
      <w:r w:rsidRPr="00C170BC">
        <w:rPr>
          <w:rFonts w:ascii="Arial" w:hAnsi="Arial" w:cs="Arial"/>
          <w:color w:val="000000" w:themeColor="text1"/>
        </w:rPr>
        <w:t xml:space="preserve">, O.G., &amp; </w:t>
      </w:r>
      <w:proofErr w:type="spellStart"/>
      <w:r w:rsidRPr="00C170BC">
        <w:rPr>
          <w:rFonts w:ascii="Arial" w:hAnsi="Arial" w:cs="Arial"/>
          <w:color w:val="000000" w:themeColor="text1"/>
        </w:rPr>
        <w:t>Ibukunoluwa</w:t>
      </w:r>
      <w:proofErr w:type="spellEnd"/>
      <w:r w:rsidRPr="00C170BC">
        <w:rPr>
          <w:rFonts w:ascii="Arial" w:hAnsi="Arial" w:cs="Arial"/>
          <w:color w:val="000000" w:themeColor="text1"/>
        </w:rPr>
        <w:t>, M.R. (2020). Performance evaluation of a popular malaria RDT in Nigeria compared with microscopy. Journal of Parasite Diseases, 44(1), 122-125.</w:t>
      </w:r>
    </w:p>
    <w:p w14:paraId="62D9BB35" w14:textId="77777777" w:rsidR="00E95274" w:rsidRPr="00C170BC" w:rsidRDefault="00E95274" w:rsidP="007800D7">
      <w:pPr>
        <w:spacing w:after="240"/>
        <w:jc w:val="both"/>
        <w:rPr>
          <w:rFonts w:ascii="Arial" w:hAnsi="Arial" w:cs="Arial"/>
          <w:color w:val="000000" w:themeColor="text1"/>
        </w:rPr>
      </w:pPr>
      <w:proofErr w:type="spellStart"/>
      <w:r w:rsidRPr="00C170BC">
        <w:rPr>
          <w:rFonts w:ascii="Arial" w:hAnsi="Arial" w:cs="Arial"/>
          <w:color w:val="000000" w:themeColor="text1"/>
        </w:rPr>
        <w:t>Wokem</w:t>
      </w:r>
      <w:proofErr w:type="spellEnd"/>
      <w:r w:rsidRPr="00C170BC">
        <w:rPr>
          <w:rFonts w:ascii="Arial" w:hAnsi="Arial" w:cs="Arial"/>
          <w:color w:val="000000" w:themeColor="text1"/>
        </w:rPr>
        <w:t xml:space="preserve">, G.N., </w:t>
      </w:r>
      <w:proofErr w:type="spellStart"/>
      <w:r w:rsidRPr="00C170BC">
        <w:rPr>
          <w:rFonts w:ascii="Arial" w:hAnsi="Arial" w:cs="Arial"/>
          <w:color w:val="000000" w:themeColor="text1"/>
        </w:rPr>
        <w:t>Nnadi</w:t>
      </w:r>
      <w:proofErr w:type="spellEnd"/>
      <w:r w:rsidRPr="00C170BC">
        <w:rPr>
          <w:rFonts w:ascii="Arial" w:hAnsi="Arial" w:cs="Arial"/>
          <w:color w:val="000000" w:themeColor="text1"/>
        </w:rPr>
        <w:t xml:space="preserve">, E., </w:t>
      </w:r>
      <w:proofErr w:type="spellStart"/>
      <w:r w:rsidRPr="00C170BC">
        <w:rPr>
          <w:rFonts w:ascii="Arial" w:hAnsi="Arial" w:cs="Arial"/>
          <w:color w:val="000000" w:themeColor="text1"/>
        </w:rPr>
        <w:t>Azuonwu</w:t>
      </w:r>
      <w:proofErr w:type="spellEnd"/>
      <w:r w:rsidRPr="00C170BC">
        <w:rPr>
          <w:rFonts w:ascii="Arial" w:hAnsi="Arial" w:cs="Arial"/>
          <w:color w:val="000000" w:themeColor="text1"/>
        </w:rPr>
        <w:t>, O., &amp; Okafor, A. (2018). Effect of malaria on selected liver function profiles of children in Port Harcourt, Rivers State, Nigeria. International Journal of Tropical Disease and Health, 31(4), 1-8.</w:t>
      </w:r>
    </w:p>
    <w:p w14:paraId="55EFD2AB" w14:textId="77777777" w:rsidR="00E95274" w:rsidRPr="00C170BC" w:rsidRDefault="00E95274" w:rsidP="007800D7">
      <w:pPr>
        <w:spacing w:after="240"/>
        <w:jc w:val="both"/>
        <w:rPr>
          <w:rFonts w:ascii="Arial" w:hAnsi="Arial" w:cs="Arial"/>
        </w:rPr>
      </w:pPr>
      <w:r w:rsidRPr="00C170BC">
        <w:rPr>
          <w:rFonts w:ascii="Arial" w:hAnsi="Arial" w:cs="Arial"/>
        </w:rPr>
        <w:t xml:space="preserve">Naing, L., Winn, T. &amp; Rusli, B.N. (2006). Practical issues in calculating the sample size for prevalence studies. </w:t>
      </w:r>
      <w:r w:rsidRPr="00C170BC">
        <w:rPr>
          <w:rFonts w:ascii="Arial" w:hAnsi="Arial" w:cs="Arial"/>
          <w:iCs/>
        </w:rPr>
        <w:t>Archives of Orofacial Sciences</w:t>
      </w:r>
      <w:r w:rsidRPr="00C170BC">
        <w:rPr>
          <w:rFonts w:ascii="Arial" w:hAnsi="Arial" w:cs="Arial"/>
        </w:rPr>
        <w:t>, 1, 9-14.</w:t>
      </w:r>
    </w:p>
    <w:p w14:paraId="6C71D1F8" w14:textId="77777777" w:rsidR="00E95274" w:rsidRPr="00C170BC" w:rsidRDefault="00E95274" w:rsidP="007800D7">
      <w:pPr>
        <w:spacing w:after="240"/>
        <w:jc w:val="both"/>
        <w:rPr>
          <w:rFonts w:ascii="Arial" w:hAnsi="Arial" w:cs="Arial"/>
        </w:rPr>
      </w:pPr>
      <w:proofErr w:type="spellStart"/>
      <w:r w:rsidRPr="00C170BC">
        <w:rPr>
          <w:rFonts w:ascii="Arial" w:hAnsi="Arial" w:cs="Arial"/>
        </w:rPr>
        <w:t>Wokem</w:t>
      </w:r>
      <w:proofErr w:type="spellEnd"/>
      <w:r w:rsidRPr="00C170BC">
        <w:rPr>
          <w:rFonts w:ascii="Arial" w:hAnsi="Arial" w:cs="Arial"/>
        </w:rPr>
        <w:t xml:space="preserve">, G.N., Erasmus, A.M., &amp; </w:t>
      </w:r>
      <w:proofErr w:type="spellStart"/>
      <w:r w:rsidRPr="00C170BC">
        <w:rPr>
          <w:rFonts w:ascii="Arial" w:hAnsi="Arial" w:cs="Arial"/>
        </w:rPr>
        <w:t>Wokem</w:t>
      </w:r>
      <w:proofErr w:type="spellEnd"/>
      <w:r w:rsidRPr="00C170BC">
        <w:rPr>
          <w:rFonts w:ascii="Arial" w:hAnsi="Arial" w:cs="Arial"/>
        </w:rPr>
        <w:t>, V.C. (2020). Malaria status in relation to risk factors among attendees of two health facilities in Port Harcourt, Rivers State, Nigeria. Journal of Advances in Medicine and Medical Research, 32(23), 222-230.</w:t>
      </w:r>
    </w:p>
    <w:p w14:paraId="08CD60A8" w14:textId="046336E9" w:rsidR="00E95274" w:rsidRPr="00C170BC" w:rsidRDefault="00E95274" w:rsidP="00EE57ED">
      <w:pPr>
        <w:spacing w:after="240"/>
        <w:jc w:val="both"/>
        <w:rPr>
          <w:rFonts w:ascii="Arial" w:hAnsi="Arial" w:cs="Arial"/>
          <w:color w:val="000000" w:themeColor="text1"/>
        </w:rPr>
      </w:pPr>
      <w:r w:rsidRPr="00C170BC">
        <w:rPr>
          <w:rFonts w:ascii="Arial" w:hAnsi="Arial" w:cs="Arial"/>
          <w:color w:val="000000" w:themeColor="text1"/>
        </w:rPr>
        <w:t xml:space="preserve">Lewis, S.M., Bain, B.J. &amp; Bates, I. (2010). Dacie and Lewis practical </w:t>
      </w:r>
      <w:proofErr w:type="spellStart"/>
      <w:r w:rsidRPr="00C170BC">
        <w:rPr>
          <w:rFonts w:ascii="Arial" w:hAnsi="Arial" w:cs="Arial"/>
          <w:color w:val="000000" w:themeColor="text1"/>
        </w:rPr>
        <w:t>Haematology</w:t>
      </w:r>
      <w:proofErr w:type="spellEnd"/>
      <w:r w:rsidRPr="00C170BC">
        <w:rPr>
          <w:rFonts w:ascii="Arial" w:hAnsi="Arial" w:cs="Arial"/>
          <w:color w:val="000000" w:themeColor="text1"/>
        </w:rPr>
        <w:t xml:space="preserve"> (10</w:t>
      </w:r>
      <w:r w:rsidRPr="00C170BC">
        <w:rPr>
          <w:rFonts w:ascii="Arial" w:hAnsi="Arial" w:cs="Arial"/>
          <w:color w:val="000000" w:themeColor="text1"/>
          <w:vertAlign w:val="superscript"/>
        </w:rPr>
        <w:t>th</w:t>
      </w:r>
      <w:r w:rsidRPr="00C170BC">
        <w:rPr>
          <w:rFonts w:ascii="Arial" w:hAnsi="Arial" w:cs="Arial"/>
          <w:color w:val="000000" w:themeColor="text1"/>
        </w:rPr>
        <w:t xml:space="preserve"> ed.). Philadelphia, PA: Churchill Livingstone.</w:t>
      </w:r>
    </w:p>
    <w:p w14:paraId="5BCA3774" w14:textId="1EDBA33F" w:rsidR="00E95274" w:rsidRPr="00C170BC" w:rsidRDefault="00E95274" w:rsidP="00EE57ED">
      <w:pPr>
        <w:spacing w:after="240"/>
        <w:jc w:val="both"/>
        <w:rPr>
          <w:rFonts w:ascii="Arial" w:hAnsi="Arial" w:cs="Arial"/>
          <w:color w:val="000000" w:themeColor="text1"/>
        </w:rPr>
      </w:pPr>
      <w:r w:rsidRPr="00C170BC">
        <w:rPr>
          <w:rFonts w:ascii="Arial" w:hAnsi="Arial" w:cs="Arial"/>
          <w:color w:val="000000" w:themeColor="text1"/>
        </w:rPr>
        <w:lastRenderedPageBreak/>
        <w:t>Cheesbrough, M. (2006). District laboratory practice in tropical Countries, part 1 (2</w:t>
      </w:r>
      <w:r w:rsidRPr="00C170BC">
        <w:rPr>
          <w:rFonts w:ascii="Arial" w:hAnsi="Arial" w:cs="Arial"/>
          <w:color w:val="000000" w:themeColor="text1"/>
          <w:vertAlign w:val="superscript"/>
        </w:rPr>
        <w:t>nd</w:t>
      </w:r>
      <w:r w:rsidRPr="00C170BC">
        <w:rPr>
          <w:rFonts w:ascii="Arial" w:hAnsi="Arial" w:cs="Arial"/>
          <w:color w:val="000000" w:themeColor="text1"/>
        </w:rPr>
        <w:t xml:space="preserve"> ed.).</w:t>
      </w:r>
      <w:r w:rsidR="005B478C">
        <w:rPr>
          <w:rFonts w:ascii="Arial" w:hAnsi="Arial" w:cs="Arial"/>
          <w:color w:val="000000" w:themeColor="text1"/>
        </w:rPr>
        <w:t xml:space="preserve"> </w:t>
      </w:r>
      <w:r w:rsidRPr="00C170BC">
        <w:rPr>
          <w:rFonts w:ascii="Arial" w:hAnsi="Arial" w:cs="Arial"/>
          <w:color w:val="000000" w:themeColor="text1"/>
        </w:rPr>
        <w:t>New York, NY: Cambridge University Press.</w:t>
      </w:r>
    </w:p>
    <w:p w14:paraId="50652E7C" w14:textId="75AF1112" w:rsidR="00E95274" w:rsidRPr="00C170BC" w:rsidRDefault="00E95274" w:rsidP="007800D7">
      <w:pPr>
        <w:spacing w:after="240"/>
        <w:ind w:hanging="11"/>
        <w:jc w:val="both"/>
        <w:rPr>
          <w:rFonts w:ascii="Arial" w:hAnsi="Arial" w:cs="Arial"/>
          <w:color w:val="000000" w:themeColor="text1"/>
        </w:rPr>
      </w:pPr>
      <w:r w:rsidRPr="00C170BC">
        <w:rPr>
          <w:rFonts w:ascii="Arial" w:hAnsi="Arial" w:cs="Arial"/>
          <w:color w:val="000000" w:themeColor="text1"/>
        </w:rPr>
        <w:t>World Health Organization.</w:t>
      </w:r>
      <w:r w:rsidR="007800D7">
        <w:rPr>
          <w:rFonts w:ascii="Arial" w:hAnsi="Arial" w:cs="Arial"/>
          <w:color w:val="000000" w:themeColor="text1"/>
        </w:rPr>
        <w:t xml:space="preserve"> </w:t>
      </w:r>
      <w:r w:rsidRPr="00C170BC">
        <w:rPr>
          <w:rFonts w:ascii="Arial" w:hAnsi="Arial" w:cs="Arial"/>
          <w:color w:val="000000" w:themeColor="text1"/>
        </w:rPr>
        <w:t>(2010). Basic malaria microscopy, part 1. learners’ guide (2</w:t>
      </w:r>
      <w:r w:rsidRPr="00C170BC">
        <w:rPr>
          <w:rFonts w:ascii="Arial" w:hAnsi="Arial" w:cs="Arial"/>
          <w:color w:val="000000" w:themeColor="text1"/>
          <w:vertAlign w:val="superscript"/>
        </w:rPr>
        <w:t>nd</w:t>
      </w:r>
      <w:r w:rsidRPr="00C170BC">
        <w:rPr>
          <w:rFonts w:ascii="Arial" w:hAnsi="Arial" w:cs="Arial"/>
          <w:color w:val="000000" w:themeColor="text1"/>
        </w:rPr>
        <w:t xml:space="preserve"> ed.). Geneva</w:t>
      </w:r>
      <w:r w:rsidR="007800D7">
        <w:rPr>
          <w:rFonts w:ascii="Arial" w:hAnsi="Arial" w:cs="Arial"/>
          <w:color w:val="000000" w:themeColor="text1"/>
        </w:rPr>
        <w:t xml:space="preserve"> </w:t>
      </w:r>
      <w:r w:rsidRPr="00C170BC">
        <w:rPr>
          <w:rFonts w:ascii="Arial" w:hAnsi="Arial" w:cs="Arial"/>
          <w:color w:val="000000" w:themeColor="text1"/>
        </w:rPr>
        <w:t>Switzerland: WHO Press.</w:t>
      </w:r>
    </w:p>
    <w:p w14:paraId="4DB6E85D" w14:textId="24FABD26" w:rsidR="00E95274" w:rsidRPr="00C170BC" w:rsidRDefault="00E95274" w:rsidP="00EE57ED">
      <w:pPr>
        <w:spacing w:after="240"/>
        <w:ind w:hanging="11"/>
        <w:jc w:val="both"/>
        <w:rPr>
          <w:rFonts w:ascii="Arial" w:hAnsi="Arial" w:cs="Arial"/>
          <w:color w:val="000000" w:themeColor="text1"/>
        </w:rPr>
      </w:pPr>
      <w:r w:rsidRPr="00C170BC">
        <w:rPr>
          <w:rFonts w:ascii="Arial" w:hAnsi="Arial" w:cs="Arial"/>
          <w:color w:val="000000" w:themeColor="text1"/>
        </w:rPr>
        <w:t xml:space="preserve">Ajayi, I.O., </w:t>
      </w:r>
      <w:proofErr w:type="spellStart"/>
      <w:r w:rsidRPr="00C170BC">
        <w:rPr>
          <w:rFonts w:ascii="Arial" w:hAnsi="Arial" w:cs="Arial"/>
          <w:color w:val="000000" w:themeColor="text1"/>
        </w:rPr>
        <w:t>Jegede</w:t>
      </w:r>
      <w:proofErr w:type="spellEnd"/>
      <w:r w:rsidRPr="00C170BC">
        <w:rPr>
          <w:rFonts w:ascii="Arial" w:hAnsi="Arial" w:cs="Arial"/>
          <w:color w:val="000000" w:themeColor="text1"/>
        </w:rPr>
        <w:t xml:space="preserve">, A.S., </w:t>
      </w:r>
      <w:proofErr w:type="spellStart"/>
      <w:r w:rsidRPr="00C170BC">
        <w:rPr>
          <w:rFonts w:ascii="Arial" w:hAnsi="Arial" w:cs="Arial"/>
          <w:color w:val="000000" w:themeColor="text1"/>
        </w:rPr>
        <w:t>Ogunwale</w:t>
      </w:r>
      <w:proofErr w:type="spellEnd"/>
      <w:r w:rsidRPr="00C170BC">
        <w:rPr>
          <w:rFonts w:ascii="Arial" w:hAnsi="Arial" w:cs="Arial"/>
          <w:color w:val="000000" w:themeColor="text1"/>
        </w:rPr>
        <w:t xml:space="preserve">, A.O., </w:t>
      </w:r>
      <w:proofErr w:type="spellStart"/>
      <w:r w:rsidRPr="00C170BC">
        <w:rPr>
          <w:rFonts w:ascii="Arial" w:hAnsi="Arial" w:cs="Arial"/>
          <w:color w:val="000000" w:themeColor="text1"/>
        </w:rPr>
        <w:t>Ogundairo</w:t>
      </w:r>
      <w:proofErr w:type="spellEnd"/>
      <w:r w:rsidRPr="00C170BC">
        <w:rPr>
          <w:rFonts w:ascii="Arial" w:hAnsi="Arial" w:cs="Arial"/>
          <w:color w:val="000000" w:themeColor="text1"/>
        </w:rPr>
        <w:t xml:space="preserve">, J., </w:t>
      </w:r>
      <w:proofErr w:type="spellStart"/>
      <w:r w:rsidRPr="00C170BC">
        <w:rPr>
          <w:rFonts w:ascii="Arial" w:hAnsi="Arial" w:cs="Arial"/>
          <w:color w:val="000000" w:themeColor="text1"/>
        </w:rPr>
        <w:t>Olaleye</w:t>
      </w:r>
      <w:proofErr w:type="spellEnd"/>
      <w:r w:rsidRPr="00C170BC">
        <w:rPr>
          <w:rFonts w:ascii="Arial" w:hAnsi="Arial" w:cs="Arial"/>
          <w:color w:val="000000" w:themeColor="text1"/>
        </w:rPr>
        <w:t xml:space="preserve">, O.S., </w:t>
      </w:r>
      <w:proofErr w:type="spellStart"/>
      <w:r w:rsidRPr="00C170BC">
        <w:rPr>
          <w:rFonts w:ascii="Arial" w:hAnsi="Arial" w:cs="Arial"/>
          <w:color w:val="000000" w:themeColor="text1"/>
        </w:rPr>
        <w:t>Oshiname</w:t>
      </w:r>
      <w:proofErr w:type="spellEnd"/>
      <w:r w:rsidRPr="00C170BC">
        <w:rPr>
          <w:rFonts w:ascii="Arial" w:hAnsi="Arial" w:cs="Arial"/>
          <w:color w:val="000000" w:themeColor="text1"/>
        </w:rPr>
        <w:t>, F.O., et al. (2021). Community acceptance, satisfaction, and support for case management of malaria of various degrees in selected rural communities in Ibadan, Oyo-State. Ghana Medical Journal, 55(3), 198-205.</w:t>
      </w:r>
    </w:p>
    <w:p w14:paraId="16B0753C" w14:textId="77777777" w:rsidR="00E95274" w:rsidRPr="00C170BC" w:rsidRDefault="00E95274" w:rsidP="007800D7">
      <w:pPr>
        <w:spacing w:after="240"/>
        <w:jc w:val="both"/>
        <w:rPr>
          <w:rFonts w:ascii="Arial" w:hAnsi="Arial" w:cs="Arial"/>
        </w:rPr>
      </w:pPr>
      <w:r w:rsidRPr="00C170BC">
        <w:rPr>
          <w:rFonts w:ascii="Arial" w:hAnsi="Arial" w:cs="Arial"/>
        </w:rPr>
        <w:t xml:space="preserve">Oviedo, A., Abubaker, A., </w:t>
      </w:r>
      <w:proofErr w:type="spellStart"/>
      <w:r w:rsidRPr="00C170BC">
        <w:rPr>
          <w:rFonts w:ascii="Arial" w:hAnsi="Arial" w:cs="Arial"/>
        </w:rPr>
        <w:t>Uhomoibhi</w:t>
      </w:r>
      <w:proofErr w:type="spellEnd"/>
      <w:r w:rsidRPr="00C170BC">
        <w:rPr>
          <w:rFonts w:ascii="Arial" w:hAnsi="Arial" w:cs="Arial"/>
        </w:rPr>
        <w:t xml:space="preserve">, P., Maire, M., Inyang, U., Audu, B., et al. (2023). </w:t>
      </w:r>
      <w:r w:rsidRPr="00C170BC">
        <w:rPr>
          <w:rFonts w:ascii="Arial" w:hAnsi="Arial" w:cs="Arial"/>
          <w:i/>
        </w:rPr>
        <w:t>Plasmodium falciparum</w:t>
      </w:r>
      <w:r w:rsidRPr="00C170BC">
        <w:rPr>
          <w:rFonts w:ascii="Arial" w:hAnsi="Arial" w:cs="Arial"/>
        </w:rPr>
        <w:t xml:space="preserve"> infection prevalence among children aged 6-59 months from independent DHS and HIV surveys: Nigeria 2018. Scientific Reports, </w:t>
      </w:r>
      <w:proofErr w:type="gramStart"/>
      <w:r w:rsidRPr="00C170BC">
        <w:rPr>
          <w:rFonts w:ascii="Arial" w:hAnsi="Arial" w:cs="Arial"/>
        </w:rPr>
        <w:t>13:1998.doi</w:t>
      </w:r>
      <w:proofErr w:type="gramEnd"/>
      <w:r w:rsidRPr="00C170BC">
        <w:rPr>
          <w:rFonts w:ascii="Arial" w:hAnsi="Arial" w:cs="Arial"/>
        </w:rPr>
        <w:t>: 10.1038/s41598-023-28257-0.</w:t>
      </w:r>
    </w:p>
    <w:p w14:paraId="0EC09B5C" w14:textId="77777777" w:rsidR="00E95274" w:rsidRPr="00C170BC" w:rsidRDefault="00E95274" w:rsidP="007800D7">
      <w:pPr>
        <w:spacing w:after="240"/>
        <w:jc w:val="both"/>
        <w:rPr>
          <w:rFonts w:ascii="Arial" w:hAnsi="Arial" w:cs="Arial"/>
        </w:rPr>
      </w:pPr>
      <w:r w:rsidRPr="00C170BC">
        <w:rPr>
          <w:rFonts w:ascii="Arial" w:hAnsi="Arial" w:cs="Arial"/>
        </w:rPr>
        <w:t xml:space="preserve">Mohan, D.S.R., Jawahir, S., Manual, A., Mutalib, N.E.A., Noh, S., Rahim, I.A., et al. (2025). Gender differences in health-seeking </w:t>
      </w:r>
      <w:proofErr w:type="spellStart"/>
      <w:r w:rsidRPr="00C170BC">
        <w:rPr>
          <w:rFonts w:ascii="Arial" w:hAnsi="Arial" w:cs="Arial"/>
        </w:rPr>
        <w:t>behaviour</w:t>
      </w:r>
      <w:proofErr w:type="spellEnd"/>
      <w:r w:rsidRPr="00C170BC">
        <w:rPr>
          <w:rFonts w:ascii="Arial" w:hAnsi="Arial" w:cs="Arial"/>
        </w:rPr>
        <w:t xml:space="preserve">: Insights from the national health and morbidity survey 2019. BMC Health Service Research, 25, 900. </w:t>
      </w:r>
      <w:hyperlink r:id="rId17" w:history="1">
        <w:r w:rsidRPr="00C170BC">
          <w:rPr>
            <w:rStyle w:val="Hyperlink"/>
            <w:rFonts w:ascii="Arial" w:hAnsi="Arial" w:cs="Arial"/>
            <w:color w:val="000000" w:themeColor="text1"/>
          </w:rPr>
          <w:t>https://doi.org/10.1186/s12913-025-13020-0</w:t>
        </w:r>
      </w:hyperlink>
      <w:r w:rsidRPr="00C170BC">
        <w:rPr>
          <w:rFonts w:ascii="Arial" w:hAnsi="Arial" w:cs="Arial"/>
          <w:color w:val="000000" w:themeColor="text1"/>
        </w:rPr>
        <w:t>.</w:t>
      </w:r>
    </w:p>
    <w:p w14:paraId="64E702B7" w14:textId="01194709" w:rsidR="00E95274" w:rsidRPr="00C170BC" w:rsidRDefault="00E95274" w:rsidP="007800D7">
      <w:pPr>
        <w:spacing w:after="240"/>
        <w:jc w:val="both"/>
        <w:rPr>
          <w:rFonts w:ascii="Arial" w:hAnsi="Arial" w:cs="Arial"/>
        </w:rPr>
      </w:pPr>
      <w:r w:rsidRPr="00C170BC">
        <w:rPr>
          <w:rFonts w:ascii="Arial" w:hAnsi="Arial" w:cs="Arial"/>
        </w:rPr>
        <w:t>Opara, P.I., &amp; West, B.A. (2017). Prevalence of malaria among neonates presenting with fever in Port Harcourt, Nigeria. Journal of Neonatology and Clinical Pediatrics, 4(1), 1-17.</w:t>
      </w:r>
    </w:p>
    <w:p w14:paraId="3791749C" w14:textId="1E54B4CF" w:rsidR="00E95274" w:rsidRPr="00C170BC" w:rsidRDefault="00E95274" w:rsidP="007800D7">
      <w:pPr>
        <w:spacing w:after="240"/>
        <w:jc w:val="both"/>
        <w:rPr>
          <w:rFonts w:ascii="Arial" w:hAnsi="Arial" w:cs="Arial"/>
        </w:rPr>
      </w:pPr>
      <w:r w:rsidRPr="00C170BC">
        <w:rPr>
          <w:rFonts w:ascii="Arial" w:hAnsi="Arial" w:cs="Arial"/>
        </w:rPr>
        <w:t xml:space="preserve">Bello, F.A., &amp; </w:t>
      </w:r>
      <w:proofErr w:type="spellStart"/>
      <w:r w:rsidRPr="00C170BC">
        <w:rPr>
          <w:rFonts w:ascii="Arial" w:hAnsi="Arial" w:cs="Arial"/>
        </w:rPr>
        <w:t>Ayede</w:t>
      </w:r>
      <w:proofErr w:type="spellEnd"/>
      <w:r w:rsidRPr="00C170BC">
        <w:rPr>
          <w:rFonts w:ascii="Arial" w:hAnsi="Arial" w:cs="Arial"/>
        </w:rPr>
        <w:t xml:space="preserve">, A.I. (2019). Prevalence of malaria </w:t>
      </w:r>
      <w:proofErr w:type="spellStart"/>
      <w:r w:rsidRPr="00C170BC">
        <w:rPr>
          <w:rFonts w:ascii="Arial" w:hAnsi="Arial" w:cs="Arial"/>
        </w:rPr>
        <w:t>parasitaemia</w:t>
      </w:r>
      <w:proofErr w:type="spellEnd"/>
      <w:r w:rsidRPr="00C170BC">
        <w:rPr>
          <w:rFonts w:ascii="Arial" w:hAnsi="Arial" w:cs="Arial"/>
        </w:rPr>
        <w:t xml:space="preserve"> and the use of malaria prevention measures in pregnant women in Ibadan, </w:t>
      </w:r>
      <w:proofErr w:type="spellStart"/>
      <w:r w:rsidRPr="00C170BC">
        <w:rPr>
          <w:rFonts w:ascii="Arial" w:hAnsi="Arial" w:cs="Arial"/>
        </w:rPr>
        <w:t>Niigeria</w:t>
      </w:r>
      <w:proofErr w:type="spellEnd"/>
      <w:r w:rsidRPr="00C170BC">
        <w:rPr>
          <w:rFonts w:ascii="Arial" w:hAnsi="Arial" w:cs="Arial"/>
        </w:rPr>
        <w:t>. Annals of Ibadan Postgraduate Medicine, 17(2), 124-129.</w:t>
      </w:r>
    </w:p>
    <w:p w14:paraId="62334376" w14:textId="77777777" w:rsidR="00E95274" w:rsidRPr="00C170BC" w:rsidRDefault="00E95274" w:rsidP="007800D7">
      <w:pPr>
        <w:spacing w:after="240"/>
        <w:jc w:val="both"/>
        <w:rPr>
          <w:rFonts w:ascii="Arial" w:hAnsi="Arial" w:cs="Arial"/>
        </w:rPr>
      </w:pPr>
      <w:r w:rsidRPr="00C170BC">
        <w:rPr>
          <w:rFonts w:ascii="Arial" w:hAnsi="Arial" w:cs="Arial"/>
        </w:rPr>
        <w:t xml:space="preserve">Oyerogba, O.P., Adedapo, A., Awokson, T., </w:t>
      </w:r>
      <w:proofErr w:type="spellStart"/>
      <w:r w:rsidRPr="00C170BC">
        <w:rPr>
          <w:rFonts w:ascii="Arial" w:hAnsi="Arial" w:cs="Arial"/>
        </w:rPr>
        <w:t>Odukogbe</w:t>
      </w:r>
      <w:proofErr w:type="spellEnd"/>
      <w:r w:rsidRPr="00C170BC">
        <w:rPr>
          <w:rFonts w:ascii="Arial" w:hAnsi="Arial" w:cs="Arial"/>
        </w:rPr>
        <w:t xml:space="preserve">, A., &amp; </w:t>
      </w:r>
      <w:proofErr w:type="spellStart"/>
      <w:r w:rsidRPr="00C170BC">
        <w:rPr>
          <w:rFonts w:ascii="Arial" w:hAnsi="Arial" w:cs="Arial"/>
        </w:rPr>
        <w:t>Aderinto</w:t>
      </w:r>
      <w:proofErr w:type="spellEnd"/>
      <w:r w:rsidRPr="00C170BC">
        <w:rPr>
          <w:rFonts w:ascii="Arial" w:hAnsi="Arial" w:cs="Arial"/>
        </w:rPr>
        <w:t xml:space="preserve">, N. (2023). Prevalence of malaria </w:t>
      </w:r>
      <w:proofErr w:type="spellStart"/>
      <w:r w:rsidRPr="00C170BC">
        <w:rPr>
          <w:rFonts w:ascii="Arial" w:hAnsi="Arial" w:cs="Arial"/>
        </w:rPr>
        <w:t>parasitaemia</w:t>
      </w:r>
      <w:proofErr w:type="spellEnd"/>
      <w:r w:rsidRPr="00C170BC">
        <w:rPr>
          <w:rFonts w:ascii="Arial" w:hAnsi="Arial" w:cs="Arial"/>
        </w:rPr>
        <w:t xml:space="preserve"> among pregnant women at booking in Nigeria. Health Science Reports, 6(6), e1337.doi: 10.1002/hsr2.1337.</w:t>
      </w:r>
    </w:p>
    <w:p w14:paraId="6E622633" w14:textId="77777777" w:rsidR="00E95274" w:rsidRPr="00C170BC" w:rsidRDefault="00E95274" w:rsidP="007800D7">
      <w:pPr>
        <w:spacing w:after="240"/>
        <w:jc w:val="both"/>
        <w:rPr>
          <w:rFonts w:ascii="Arial" w:hAnsi="Arial" w:cs="Arial"/>
        </w:rPr>
      </w:pPr>
      <w:r w:rsidRPr="00C170BC">
        <w:rPr>
          <w:rFonts w:ascii="Arial" w:hAnsi="Arial" w:cs="Arial"/>
        </w:rPr>
        <w:t xml:space="preserve">Osun, O.G., Ahmed, A.S., Suliman, S.A., Olorunfemi, A.B., Thomas, B.N., &amp; </w:t>
      </w:r>
      <w:proofErr w:type="spellStart"/>
      <w:r w:rsidRPr="00C170BC">
        <w:rPr>
          <w:rFonts w:ascii="Arial" w:hAnsi="Arial" w:cs="Arial"/>
        </w:rPr>
        <w:t>Ojurongbe</w:t>
      </w:r>
      <w:proofErr w:type="spellEnd"/>
      <w:r w:rsidRPr="00C170BC">
        <w:rPr>
          <w:rFonts w:ascii="Arial" w:hAnsi="Arial" w:cs="Arial"/>
        </w:rPr>
        <w:t xml:space="preserve">, O. (2024). Comparative evaluation of microscopy, rapid diagnostic tests, and polymerase chain reaction (PCR) for malaria diagnosis in Nigerian children. Journal of Medical Science, </w:t>
      </w:r>
      <w:proofErr w:type="spellStart"/>
      <w:r w:rsidRPr="00C170BC">
        <w:rPr>
          <w:rFonts w:ascii="Arial" w:hAnsi="Arial" w:cs="Arial"/>
        </w:rPr>
        <w:t>Cureus</w:t>
      </w:r>
      <w:proofErr w:type="spellEnd"/>
      <w:r w:rsidRPr="00C170BC">
        <w:rPr>
          <w:rFonts w:ascii="Arial" w:hAnsi="Arial" w:cs="Arial"/>
        </w:rPr>
        <w:t>, 16(11), e73739.doi: 10.7759/Cureus.73739.</w:t>
      </w:r>
    </w:p>
    <w:p w14:paraId="785B7883" w14:textId="77777777" w:rsidR="00E95274" w:rsidRPr="00C170BC" w:rsidRDefault="00E95274" w:rsidP="007800D7">
      <w:pPr>
        <w:spacing w:after="240"/>
        <w:jc w:val="both"/>
        <w:rPr>
          <w:rFonts w:ascii="Arial" w:hAnsi="Arial" w:cs="Arial"/>
        </w:rPr>
      </w:pPr>
      <w:r w:rsidRPr="00C170BC">
        <w:rPr>
          <w:rFonts w:ascii="Arial" w:hAnsi="Arial" w:cs="Arial"/>
        </w:rPr>
        <w:t>Oluwafemi, R.O., Afolabi, O.J., &amp; Oniya, M.O. (2024). Prevalence of malaria among under-5 children in a secondary care level, Ondo State, Nigeria. European Journal of Clinical Medicine, 5(2), 8-13.</w:t>
      </w:r>
    </w:p>
    <w:p w14:paraId="5BB42552" w14:textId="77777777" w:rsidR="00E95274" w:rsidRPr="00C170BC" w:rsidRDefault="00E95274" w:rsidP="007800D7">
      <w:pPr>
        <w:spacing w:after="240"/>
        <w:jc w:val="both"/>
        <w:rPr>
          <w:rFonts w:ascii="Arial" w:hAnsi="Arial" w:cs="Arial"/>
        </w:rPr>
      </w:pPr>
      <w:proofErr w:type="spellStart"/>
      <w:r w:rsidRPr="00C170BC">
        <w:rPr>
          <w:rFonts w:ascii="Arial" w:hAnsi="Arial" w:cs="Arial"/>
        </w:rPr>
        <w:t>Nwele</w:t>
      </w:r>
      <w:proofErr w:type="spellEnd"/>
      <w:r w:rsidRPr="00C170BC">
        <w:rPr>
          <w:rFonts w:ascii="Arial" w:hAnsi="Arial" w:cs="Arial"/>
        </w:rPr>
        <w:t xml:space="preserve">, D.E., </w:t>
      </w:r>
      <w:proofErr w:type="spellStart"/>
      <w:r w:rsidRPr="00C170BC">
        <w:rPr>
          <w:rFonts w:ascii="Arial" w:hAnsi="Arial" w:cs="Arial"/>
        </w:rPr>
        <w:t>Onyali</w:t>
      </w:r>
      <w:proofErr w:type="spellEnd"/>
      <w:r w:rsidRPr="00C170BC">
        <w:rPr>
          <w:rFonts w:ascii="Arial" w:hAnsi="Arial" w:cs="Arial"/>
        </w:rPr>
        <w:t xml:space="preserve">, I.O., </w:t>
      </w:r>
      <w:proofErr w:type="spellStart"/>
      <w:r w:rsidRPr="00C170BC">
        <w:rPr>
          <w:rFonts w:ascii="Arial" w:hAnsi="Arial" w:cs="Arial"/>
        </w:rPr>
        <w:t>Iwueze</w:t>
      </w:r>
      <w:proofErr w:type="spellEnd"/>
      <w:r w:rsidRPr="00C170BC">
        <w:rPr>
          <w:rFonts w:ascii="Arial" w:hAnsi="Arial" w:cs="Arial"/>
        </w:rPr>
        <w:t xml:space="preserve">, M.O., </w:t>
      </w:r>
      <w:proofErr w:type="spellStart"/>
      <w:r w:rsidRPr="00C170BC">
        <w:rPr>
          <w:rFonts w:ascii="Arial" w:hAnsi="Arial" w:cs="Arial"/>
        </w:rPr>
        <w:t>Elom</w:t>
      </w:r>
      <w:proofErr w:type="spellEnd"/>
      <w:r w:rsidRPr="00C170BC">
        <w:rPr>
          <w:rFonts w:ascii="Arial" w:hAnsi="Arial" w:cs="Arial"/>
        </w:rPr>
        <w:t xml:space="preserve">, M.O., &amp; </w:t>
      </w:r>
      <w:proofErr w:type="spellStart"/>
      <w:r w:rsidRPr="00C170BC">
        <w:rPr>
          <w:rFonts w:ascii="Arial" w:hAnsi="Arial" w:cs="Arial"/>
        </w:rPr>
        <w:t>Uguru</w:t>
      </w:r>
      <w:proofErr w:type="spellEnd"/>
      <w:r w:rsidRPr="00C170BC">
        <w:rPr>
          <w:rFonts w:ascii="Arial" w:hAnsi="Arial" w:cs="Arial"/>
        </w:rPr>
        <w:t>, O.E.S. (2022). Malaria endemicity in the rural communities of Ebonyi State, Nigeria. The Korean Journal of Parasitology, 60(3), 173-179.</w:t>
      </w:r>
    </w:p>
    <w:p w14:paraId="290891DC" w14:textId="77777777" w:rsidR="00E95274" w:rsidRPr="00C170BC" w:rsidRDefault="00E95274" w:rsidP="007800D7">
      <w:pPr>
        <w:spacing w:after="240"/>
        <w:jc w:val="both"/>
        <w:rPr>
          <w:rFonts w:ascii="Arial" w:hAnsi="Arial" w:cs="Arial"/>
        </w:rPr>
      </w:pPr>
      <w:r w:rsidRPr="00C170BC">
        <w:rPr>
          <w:rFonts w:ascii="Arial" w:hAnsi="Arial" w:cs="Arial"/>
        </w:rPr>
        <w:t xml:space="preserve">Ali, P.O., </w:t>
      </w:r>
      <w:proofErr w:type="spellStart"/>
      <w:r w:rsidRPr="00C170BC">
        <w:rPr>
          <w:rFonts w:ascii="Arial" w:hAnsi="Arial" w:cs="Arial"/>
        </w:rPr>
        <w:t>Okebe</w:t>
      </w:r>
      <w:proofErr w:type="spellEnd"/>
      <w:r w:rsidRPr="00C170BC">
        <w:rPr>
          <w:rFonts w:ascii="Arial" w:hAnsi="Arial" w:cs="Arial"/>
        </w:rPr>
        <w:t xml:space="preserve">, J., &amp; Oduwole, O.A. (2022). Malaria </w:t>
      </w:r>
      <w:proofErr w:type="spellStart"/>
      <w:r w:rsidRPr="00C170BC">
        <w:rPr>
          <w:rFonts w:ascii="Arial" w:hAnsi="Arial" w:cs="Arial"/>
        </w:rPr>
        <w:t>raoid</w:t>
      </w:r>
      <w:proofErr w:type="spellEnd"/>
      <w:r w:rsidRPr="00C170BC">
        <w:rPr>
          <w:rFonts w:ascii="Arial" w:hAnsi="Arial" w:cs="Arial"/>
        </w:rPr>
        <w:t xml:space="preserve"> diagnostic tests for the case management of febrile children in Nigerian primary healthcare settings: A cross-sectional study. Journal of the Egyptian Public Health Association, 97, </w:t>
      </w:r>
      <w:proofErr w:type="gramStart"/>
      <w:r w:rsidRPr="00C170BC">
        <w:rPr>
          <w:rFonts w:ascii="Arial" w:hAnsi="Arial" w:cs="Arial"/>
        </w:rPr>
        <w:t>10.https://doi.org./10.1186/s42</w:t>
      </w:r>
      <w:proofErr w:type="gramEnd"/>
      <w:r w:rsidRPr="00C170BC">
        <w:rPr>
          <w:rFonts w:ascii="Arial" w:hAnsi="Arial" w:cs="Arial"/>
        </w:rPr>
        <w:t>.</w:t>
      </w:r>
    </w:p>
    <w:p w14:paraId="48D05AF2" w14:textId="77777777" w:rsidR="00E95274" w:rsidRPr="00C170BC" w:rsidRDefault="00E95274" w:rsidP="007800D7">
      <w:pPr>
        <w:spacing w:after="240"/>
        <w:jc w:val="both"/>
        <w:rPr>
          <w:rFonts w:ascii="Arial" w:hAnsi="Arial" w:cs="Arial"/>
        </w:rPr>
      </w:pPr>
      <w:proofErr w:type="spellStart"/>
      <w:r w:rsidRPr="00C170BC">
        <w:rPr>
          <w:rFonts w:ascii="Arial" w:hAnsi="Arial" w:cs="Arial"/>
        </w:rPr>
        <w:t>Iwuafor</w:t>
      </w:r>
      <w:proofErr w:type="spellEnd"/>
      <w:r w:rsidRPr="00C170BC">
        <w:rPr>
          <w:rFonts w:ascii="Arial" w:hAnsi="Arial" w:cs="Arial"/>
        </w:rPr>
        <w:t xml:space="preserve">, A.A., </w:t>
      </w:r>
      <w:proofErr w:type="spellStart"/>
      <w:r w:rsidRPr="00C170BC">
        <w:rPr>
          <w:rFonts w:ascii="Arial" w:hAnsi="Arial" w:cs="Arial"/>
        </w:rPr>
        <w:t>Ita</w:t>
      </w:r>
      <w:proofErr w:type="spellEnd"/>
      <w:r w:rsidRPr="00C170BC">
        <w:rPr>
          <w:rFonts w:ascii="Arial" w:hAnsi="Arial" w:cs="Arial"/>
        </w:rPr>
        <w:t xml:space="preserve">, O.I., </w:t>
      </w:r>
      <w:proofErr w:type="spellStart"/>
      <w:r w:rsidRPr="00C170BC">
        <w:rPr>
          <w:rFonts w:ascii="Arial" w:hAnsi="Arial" w:cs="Arial"/>
        </w:rPr>
        <w:t>Ogban</w:t>
      </w:r>
      <w:proofErr w:type="spellEnd"/>
      <w:r w:rsidRPr="00C170BC">
        <w:rPr>
          <w:rFonts w:ascii="Arial" w:hAnsi="Arial" w:cs="Arial"/>
        </w:rPr>
        <w:t xml:space="preserve">, G.I., Udoh, U.A., &amp; </w:t>
      </w:r>
      <w:proofErr w:type="spellStart"/>
      <w:r w:rsidRPr="00C170BC">
        <w:rPr>
          <w:rFonts w:ascii="Arial" w:hAnsi="Arial" w:cs="Arial"/>
        </w:rPr>
        <w:t>Amajor</w:t>
      </w:r>
      <w:proofErr w:type="spellEnd"/>
      <w:r w:rsidRPr="00C170BC">
        <w:rPr>
          <w:rFonts w:ascii="Arial" w:hAnsi="Arial" w:cs="Arial"/>
        </w:rPr>
        <w:t>, C.A. (2018). Evaluation of diagnostic accuracy of rapid diagnostic test for malaria diagnosis among febrile children in Calabar, Nigeria. Nigerian Medical Journal, 59(6), 64-69.</w:t>
      </w:r>
    </w:p>
    <w:p w14:paraId="7C3DCE53" w14:textId="77777777" w:rsidR="00E95274" w:rsidRPr="00C170BC" w:rsidRDefault="00E95274" w:rsidP="007800D7">
      <w:pPr>
        <w:spacing w:after="240"/>
        <w:jc w:val="both"/>
        <w:rPr>
          <w:rFonts w:ascii="Arial" w:hAnsi="Arial" w:cs="Arial"/>
        </w:rPr>
      </w:pPr>
      <w:proofErr w:type="spellStart"/>
      <w:r w:rsidRPr="00C170BC">
        <w:rPr>
          <w:rFonts w:ascii="Arial" w:hAnsi="Arial" w:cs="Arial"/>
        </w:rPr>
        <w:lastRenderedPageBreak/>
        <w:t>Ogunfowokan</w:t>
      </w:r>
      <w:proofErr w:type="spellEnd"/>
      <w:r w:rsidRPr="00C170BC">
        <w:rPr>
          <w:rFonts w:ascii="Arial" w:hAnsi="Arial" w:cs="Arial"/>
        </w:rPr>
        <w:t xml:space="preserve">, O., </w:t>
      </w:r>
      <w:proofErr w:type="spellStart"/>
      <w:r w:rsidRPr="00C170BC">
        <w:rPr>
          <w:rFonts w:ascii="Arial" w:hAnsi="Arial" w:cs="Arial"/>
        </w:rPr>
        <w:t>Ogunfowokan</w:t>
      </w:r>
      <w:proofErr w:type="spellEnd"/>
      <w:r w:rsidRPr="00C170BC">
        <w:rPr>
          <w:rFonts w:ascii="Arial" w:hAnsi="Arial" w:cs="Arial"/>
        </w:rPr>
        <w:t xml:space="preserve">, B.A., &amp; </w:t>
      </w:r>
      <w:proofErr w:type="spellStart"/>
      <w:r w:rsidRPr="00C170BC">
        <w:rPr>
          <w:rFonts w:ascii="Arial" w:hAnsi="Arial" w:cs="Arial"/>
        </w:rPr>
        <w:t>Nwaijei</w:t>
      </w:r>
      <w:proofErr w:type="spellEnd"/>
      <w:r w:rsidRPr="00C170BC">
        <w:rPr>
          <w:rFonts w:ascii="Arial" w:hAnsi="Arial" w:cs="Arial"/>
        </w:rPr>
        <w:t>, A.I. (2020). Sensitivity and specificity of malaria rapid diagnostic test (</w:t>
      </w:r>
      <w:proofErr w:type="spellStart"/>
      <w:r w:rsidRPr="00C170BC">
        <w:rPr>
          <w:rFonts w:ascii="Arial" w:hAnsi="Arial" w:cs="Arial"/>
        </w:rPr>
        <w:t>mRDT</w:t>
      </w:r>
      <w:proofErr w:type="spellEnd"/>
      <w:r w:rsidRPr="00C170BC">
        <w:rPr>
          <w:rFonts w:ascii="Arial" w:hAnsi="Arial" w:cs="Arial"/>
        </w:rPr>
        <w:t xml:space="preserve"> </w:t>
      </w:r>
      <w:proofErr w:type="spellStart"/>
      <w:r w:rsidRPr="00C170BC">
        <w:rPr>
          <w:rFonts w:ascii="Arial" w:hAnsi="Arial" w:cs="Arial"/>
        </w:rPr>
        <w:t>CareStart</w:t>
      </w:r>
      <w:proofErr w:type="spellEnd"/>
      <w:r w:rsidRPr="00C170BC">
        <w:rPr>
          <w:rFonts w:ascii="Arial" w:hAnsi="Arial" w:cs="Arial"/>
        </w:rPr>
        <w:t xml:space="preserve"> TM) compared with microscopy amongst under five children attending a primary care clinic in Southern Nigeria. African Journal of Primary Health Care &amp; Family Medicine, 12(1), e1-e8.</w:t>
      </w:r>
    </w:p>
    <w:p w14:paraId="6A21533D" w14:textId="77777777" w:rsidR="00E95274" w:rsidRPr="00C170BC" w:rsidRDefault="00E95274" w:rsidP="007800D7">
      <w:pPr>
        <w:spacing w:after="240"/>
        <w:jc w:val="both"/>
        <w:rPr>
          <w:rFonts w:ascii="Arial" w:hAnsi="Arial" w:cs="Arial"/>
        </w:rPr>
      </w:pPr>
      <w:r w:rsidRPr="00C170BC">
        <w:rPr>
          <w:rFonts w:ascii="Arial" w:hAnsi="Arial" w:cs="Arial"/>
        </w:rPr>
        <w:t xml:space="preserve">Cortes, L.J., &amp; Guerra, A.P. (2020). Concordance analysis of three diagnostic tests for malaria in the symptomatic population of Columbian endemic municipalities. Biomedica, 40(1), 117-128.  </w:t>
      </w:r>
    </w:p>
    <w:p w14:paraId="36763FEE" w14:textId="18D5192E" w:rsidR="00E95274" w:rsidRPr="00FB3A86" w:rsidRDefault="00E95274" w:rsidP="007800D7">
      <w:pPr>
        <w:pStyle w:val="Appendix"/>
        <w:jc w:val="both"/>
        <w:rPr>
          <w:rFonts w:ascii="Arial" w:hAnsi="Arial" w:cs="Arial"/>
          <w:b w:val="0"/>
        </w:rPr>
        <w:sectPr w:rsidR="00E95274" w:rsidRPr="00FB3A86" w:rsidSect="00C96D0A">
          <w:headerReference w:type="even" r:id="rId18"/>
          <w:headerReference w:type="default" r:id="rId19"/>
          <w:footerReference w:type="default" r:id="rId20"/>
          <w:headerReference w:type="first" r:id="rId21"/>
          <w:type w:val="continuous"/>
          <w:pgSz w:w="12240" w:h="15840"/>
          <w:pgMar w:top="1440" w:right="2016" w:bottom="2016" w:left="2016" w:header="720" w:footer="1123" w:gutter="0"/>
          <w:cols w:space="720"/>
          <w:docGrid w:linePitch="272"/>
        </w:sectPr>
      </w:pPr>
    </w:p>
    <w:p w14:paraId="717F6B45" w14:textId="77777777" w:rsidR="00B01FCD" w:rsidRPr="00FB3A86" w:rsidRDefault="00B01FCD" w:rsidP="007800D7">
      <w:pPr>
        <w:pStyle w:val="Appendix"/>
        <w:jc w:val="both"/>
        <w:rPr>
          <w:rFonts w:ascii="Arial" w:hAnsi="Arial" w:cs="Arial"/>
          <w:b w:val="0"/>
        </w:rPr>
      </w:pPr>
    </w:p>
    <w:sectPr w:rsidR="00B01FCD" w:rsidRPr="00FB3A86" w:rsidSect="00C96D0A">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077FD7" w14:textId="77777777" w:rsidR="00BD73C9" w:rsidRDefault="00BD73C9" w:rsidP="00C37E61">
      <w:r>
        <w:separator/>
      </w:r>
    </w:p>
  </w:endnote>
  <w:endnote w:type="continuationSeparator" w:id="0">
    <w:p w14:paraId="3BB3857C" w14:textId="77777777" w:rsidR="00BD73C9" w:rsidRDefault="00BD73C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4C43B" w14:textId="77777777" w:rsidR="00C96D0A" w:rsidRDefault="00C96D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54D3C" w14:textId="77777777" w:rsidR="00C96D0A" w:rsidRDefault="00C96D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EF385" w14:textId="77777777" w:rsidR="009E048A" w:rsidRDefault="009E048A">
    <w:pPr>
      <w:pStyle w:val="Footer"/>
      <w:rPr>
        <w:rFonts w:ascii="Arial" w:hAnsi="Arial" w:cs="Arial"/>
        <w:sz w:val="16"/>
      </w:rPr>
    </w:pPr>
  </w:p>
  <w:p w14:paraId="62810FD4"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0C49220B" w14:textId="77777777" w:rsidR="009E048A" w:rsidRDefault="009E048A">
    <w:pPr>
      <w:pStyle w:val="Footer"/>
      <w:rPr>
        <w:rFonts w:ascii="Arial" w:hAnsi="Arial" w:cs="Arial"/>
        <w:sz w:val="16"/>
      </w:rPr>
    </w:pPr>
  </w:p>
  <w:p w14:paraId="6CABB44B"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258BF"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F3E623" w14:textId="77777777" w:rsidR="00BD73C9" w:rsidRDefault="00BD73C9" w:rsidP="00C37E61">
      <w:r>
        <w:separator/>
      </w:r>
    </w:p>
  </w:footnote>
  <w:footnote w:type="continuationSeparator" w:id="0">
    <w:p w14:paraId="3AA65AD8" w14:textId="77777777" w:rsidR="00BD73C9" w:rsidRDefault="00BD73C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D5624" w14:textId="594F7FA8" w:rsidR="00C96D0A" w:rsidRDefault="00C96D0A">
    <w:pPr>
      <w:pStyle w:val="Header"/>
    </w:pPr>
    <w:r>
      <w:rPr>
        <w:noProof/>
      </w:rPr>
      <w:pict w14:anchorId="0C1694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63865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4E979" w14:textId="5247A516" w:rsidR="00C96D0A" w:rsidRDefault="00C96D0A">
    <w:pPr>
      <w:pStyle w:val="Header"/>
    </w:pPr>
    <w:r>
      <w:rPr>
        <w:noProof/>
      </w:rPr>
      <w:pict w14:anchorId="32DFE4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63865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684DCA" w14:textId="29787CA8" w:rsidR="00296529" w:rsidRPr="00296529" w:rsidRDefault="00C96D0A" w:rsidP="00296529">
    <w:pPr>
      <w:ind w:left="2160"/>
      <w:jc w:val="center"/>
      <w:rPr>
        <w:rFonts w:ascii="Times New Roman" w:eastAsia="Calibri" w:hAnsi="Times New Roman"/>
        <w:i/>
        <w:sz w:val="18"/>
        <w:szCs w:val="22"/>
      </w:rPr>
    </w:pPr>
    <w:r>
      <w:rPr>
        <w:noProof/>
      </w:rPr>
      <w:pict w14:anchorId="66E2E5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638656"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B7D01BF"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5B8BB2C"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AF18F6E"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0183FF6"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D5A8168"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4233FBD"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AC3909" w14:textId="0C6CB27B" w:rsidR="00C96D0A" w:rsidRDefault="00C96D0A">
    <w:pPr>
      <w:pStyle w:val="Header"/>
    </w:pPr>
    <w:r>
      <w:rPr>
        <w:noProof/>
      </w:rPr>
      <w:pict w14:anchorId="46C847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638660"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98593" w14:textId="50C55D4A" w:rsidR="00C96D0A" w:rsidRDefault="00C96D0A">
    <w:pPr>
      <w:pStyle w:val="Header"/>
    </w:pPr>
    <w:r>
      <w:rPr>
        <w:noProof/>
      </w:rPr>
      <w:pict w14:anchorId="54515F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638661"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D682B" w14:textId="0FCF5066" w:rsidR="00C96D0A" w:rsidRDefault="00C96D0A">
    <w:pPr>
      <w:pStyle w:val="Header"/>
    </w:pPr>
    <w:r>
      <w:rPr>
        <w:noProof/>
      </w:rPr>
      <w:pict w14:anchorId="408029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638659"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23E7"/>
    <w:rsid w:val="00030174"/>
    <w:rsid w:val="00032E23"/>
    <w:rsid w:val="0004579C"/>
    <w:rsid w:val="00074010"/>
    <w:rsid w:val="00094AA8"/>
    <w:rsid w:val="000A3DBD"/>
    <w:rsid w:val="000A47FA"/>
    <w:rsid w:val="000A65D3"/>
    <w:rsid w:val="000B1E33"/>
    <w:rsid w:val="000C54E2"/>
    <w:rsid w:val="000D2578"/>
    <w:rsid w:val="000D689F"/>
    <w:rsid w:val="000E7B7B"/>
    <w:rsid w:val="000E7D62"/>
    <w:rsid w:val="00103357"/>
    <w:rsid w:val="00123C9F"/>
    <w:rsid w:val="00126190"/>
    <w:rsid w:val="00130F17"/>
    <w:rsid w:val="001320BF"/>
    <w:rsid w:val="00163BC4"/>
    <w:rsid w:val="00191062"/>
    <w:rsid w:val="00192B72"/>
    <w:rsid w:val="001A29D8"/>
    <w:rsid w:val="001A5CAA"/>
    <w:rsid w:val="001A6B88"/>
    <w:rsid w:val="001B0427"/>
    <w:rsid w:val="001B206B"/>
    <w:rsid w:val="001D3A51"/>
    <w:rsid w:val="001E10D2"/>
    <w:rsid w:val="001E25B4"/>
    <w:rsid w:val="001E44FE"/>
    <w:rsid w:val="00200595"/>
    <w:rsid w:val="00202CE6"/>
    <w:rsid w:val="00204835"/>
    <w:rsid w:val="00221E45"/>
    <w:rsid w:val="00231920"/>
    <w:rsid w:val="0023195C"/>
    <w:rsid w:val="0024282C"/>
    <w:rsid w:val="002460DC"/>
    <w:rsid w:val="00246938"/>
    <w:rsid w:val="00250985"/>
    <w:rsid w:val="002556F6"/>
    <w:rsid w:val="00283105"/>
    <w:rsid w:val="00284C4C"/>
    <w:rsid w:val="00296529"/>
    <w:rsid w:val="002A56D8"/>
    <w:rsid w:val="002B27FB"/>
    <w:rsid w:val="002B685A"/>
    <w:rsid w:val="002C2695"/>
    <w:rsid w:val="002C57D2"/>
    <w:rsid w:val="002E0D56"/>
    <w:rsid w:val="00315186"/>
    <w:rsid w:val="0033343E"/>
    <w:rsid w:val="003512C2"/>
    <w:rsid w:val="003633E7"/>
    <w:rsid w:val="00371FB6"/>
    <w:rsid w:val="003763C1"/>
    <w:rsid w:val="00376BBE"/>
    <w:rsid w:val="0039224F"/>
    <w:rsid w:val="003A43A4"/>
    <w:rsid w:val="003A6627"/>
    <w:rsid w:val="003A7E18"/>
    <w:rsid w:val="003B4B8C"/>
    <w:rsid w:val="003C0F28"/>
    <w:rsid w:val="003C3434"/>
    <w:rsid w:val="003C4C86"/>
    <w:rsid w:val="003C6258"/>
    <w:rsid w:val="003D1214"/>
    <w:rsid w:val="003E2904"/>
    <w:rsid w:val="00401927"/>
    <w:rsid w:val="0041027F"/>
    <w:rsid w:val="00412475"/>
    <w:rsid w:val="00423789"/>
    <w:rsid w:val="00440F43"/>
    <w:rsid w:val="00441B6F"/>
    <w:rsid w:val="00446221"/>
    <w:rsid w:val="00450E62"/>
    <w:rsid w:val="004539DB"/>
    <w:rsid w:val="00471A80"/>
    <w:rsid w:val="004B5110"/>
    <w:rsid w:val="004D0D03"/>
    <w:rsid w:val="004D305E"/>
    <w:rsid w:val="004D4277"/>
    <w:rsid w:val="004D6521"/>
    <w:rsid w:val="004E6429"/>
    <w:rsid w:val="004F3811"/>
    <w:rsid w:val="00502516"/>
    <w:rsid w:val="00505F06"/>
    <w:rsid w:val="00506828"/>
    <w:rsid w:val="0053056E"/>
    <w:rsid w:val="00554FDA"/>
    <w:rsid w:val="00563DB1"/>
    <w:rsid w:val="005B478C"/>
    <w:rsid w:val="005B545F"/>
    <w:rsid w:val="005C70E1"/>
    <w:rsid w:val="005C784C"/>
    <w:rsid w:val="005D17F6"/>
    <w:rsid w:val="005D3AA0"/>
    <w:rsid w:val="005E5539"/>
    <w:rsid w:val="00602BF5"/>
    <w:rsid w:val="00617FDD"/>
    <w:rsid w:val="00633614"/>
    <w:rsid w:val="00633F68"/>
    <w:rsid w:val="00636EB2"/>
    <w:rsid w:val="006375B8"/>
    <w:rsid w:val="00643B6D"/>
    <w:rsid w:val="0066510A"/>
    <w:rsid w:val="00673F9F"/>
    <w:rsid w:val="0067499E"/>
    <w:rsid w:val="0067581D"/>
    <w:rsid w:val="00686953"/>
    <w:rsid w:val="00687DEA"/>
    <w:rsid w:val="00687E67"/>
    <w:rsid w:val="006967F7"/>
    <w:rsid w:val="006A044E"/>
    <w:rsid w:val="006A250C"/>
    <w:rsid w:val="006B21D3"/>
    <w:rsid w:val="006B57D0"/>
    <w:rsid w:val="006B77D1"/>
    <w:rsid w:val="006D30FF"/>
    <w:rsid w:val="006D6940"/>
    <w:rsid w:val="006F11EC"/>
    <w:rsid w:val="0070082C"/>
    <w:rsid w:val="00707C91"/>
    <w:rsid w:val="0072425C"/>
    <w:rsid w:val="007369E6"/>
    <w:rsid w:val="00746E59"/>
    <w:rsid w:val="00747DFD"/>
    <w:rsid w:val="007524DC"/>
    <w:rsid w:val="00754C9A"/>
    <w:rsid w:val="0075599A"/>
    <w:rsid w:val="00761D52"/>
    <w:rsid w:val="00763B6F"/>
    <w:rsid w:val="00765D66"/>
    <w:rsid w:val="0077749E"/>
    <w:rsid w:val="007800D7"/>
    <w:rsid w:val="00790ADA"/>
    <w:rsid w:val="007B0F98"/>
    <w:rsid w:val="007D2288"/>
    <w:rsid w:val="007E088F"/>
    <w:rsid w:val="007F7B32"/>
    <w:rsid w:val="00804BC2"/>
    <w:rsid w:val="0081431A"/>
    <w:rsid w:val="0083216F"/>
    <w:rsid w:val="00860000"/>
    <w:rsid w:val="00863BD3"/>
    <w:rsid w:val="00866D66"/>
    <w:rsid w:val="008671C6"/>
    <w:rsid w:val="00875803"/>
    <w:rsid w:val="008B1939"/>
    <w:rsid w:val="008B459E"/>
    <w:rsid w:val="008B4D61"/>
    <w:rsid w:val="008E13AE"/>
    <w:rsid w:val="008E1506"/>
    <w:rsid w:val="008E710C"/>
    <w:rsid w:val="008F69D6"/>
    <w:rsid w:val="00902823"/>
    <w:rsid w:val="00915CA6"/>
    <w:rsid w:val="00927834"/>
    <w:rsid w:val="0093117F"/>
    <w:rsid w:val="009500A6"/>
    <w:rsid w:val="00957C18"/>
    <w:rsid w:val="009659BA"/>
    <w:rsid w:val="00974EF3"/>
    <w:rsid w:val="00983040"/>
    <w:rsid w:val="009B3FB9"/>
    <w:rsid w:val="009C2465"/>
    <w:rsid w:val="009D2A2E"/>
    <w:rsid w:val="009D35A0"/>
    <w:rsid w:val="009D7EB7"/>
    <w:rsid w:val="009E048A"/>
    <w:rsid w:val="009E08E9"/>
    <w:rsid w:val="009E3DB9"/>
    <w:rsid w:val="009E6E35"/>
    <w:rsid w:val="009E7003"/>
    <w:rsid w:val="009F0EDA"/>
    <w:rsid w:val="00A00876"/>
    <w:rsid w:val="00A00ED6"/>
    <w:rsid w:val="00A03B96"/>
    <w:rsid w:val="00A05B19"/>
    <w:rsid w:val="00A1134E"/>
    <w:rsid w:val="00A24E7E"/>
    <w:rsid w:val="00A258C3"/>
    <w:rsid w:val="00A347C0"/>
    <w:rsid w:val="00A42BE1"/>
    <w:rsid w:val="00A47C45"/>
    <w:rsid w:val="00A51431"/>
    <w:rsid w:val="00A539AD"/>
    <w:rsid w:val="00A94063"/>
    <w:rsid w:val="00AA6219"/>
    <w:rsid w:val="00AA74E0"/>
    <w:rsid w:val="00AB703F"/>
    <w:rsid w:val="00AC6BB8"/>
    <w:rsid w:val="00AE008F"/>
    <w:rsid w:val="00B01FCD"/>
    <w:rsid w:val="00B1776C"/>
    <w:rsid w:val="00B52896"/>
    <w:rsid w:val="00B67B13"/>
    <w:rsid w:val="00B82206"/>
    <w:rsid w:val="00B95236"/>
    <w:rsid w:val="00B96BD9"/>
    <w:rsid w:val="00BA1B01"/>
    <w:rsid w:val="00BA2641"/>
    <w:rsid w:val="00BB37AA"/>
    <w:rsid w:val="00BC53A0"/>
    <w:rsid w:val="00BD5F5A"/>
    <w:rsid w:val="00BD5F6B"/>
    <w:rsid w:val="00BD73C9"/>
    <w:rsid w:val="00BE62AD"/>
    <w:rsid w:val="00BF121F"/>
    <w:rsid w:val="00BF1F80"/>
    <w:rsid w:val="00C06585"/>
    <w:rsid w:val="00C166EF"/>
    <w:rsid w:val="00C17EB0"/>
    <w:rsid w:val="00C27F5F"/>
    <w:rsid w:val="00C30A0F"/>
    <w:rsid w:val="00C37E61"/>
    <w:rsid w:val="00C70F1B"/>
    <w:rsid w:val="00C71A47"/>
    <w:rsid w:val="00C71C27"/>
    <w:rsid w:val="00C7464C"/>
    <w:rsid w:val="00C75150"/>
    <w:rsid w:val="00C82CC0"/>
    <w:rsid w:val="00C831D6"/>
    <w:rsid w:val="00C85588"/>
    <w:rsid w:val="00C92ADC"/>
    <w:rsid w:val="00C96D0A"/>
    <w:rsid w:val="00CC239B"/>
    <w:rsid w:val="00CD6755"/>
    <w:rsid w:val="00CD6856"/>
    <w:rsid w:val="00CE0089"/>
    <w:rsid w:val="00CE4C00"/>
    <w:rsid w:val="00CE793C"/>
    <w:rsid w:val="00CF0503"/>
    <w:rsid w:val="00D0161E"/>
    <w:rsid w:val="00D05F17"/>
    <w:rsid w:val="00D173F1"/>
    <w:rsid w:val="00D31109"/>
    <w:rsid w:val="00D52319"/>
    <w:rsid w:val="00D8295D"/>
    <w:rsid w:val="00D847E8"/>
    <w:rsid w:val="00DC0FDB"/>
    <w:rsid w:val="00DC2A65"/>
    <w:rsid w:val="00DE15F0"/>
    <w:rsid w:val="00DE5663"/>
    <w:rsid w:val="00DE78AA"/>
    <w:rsid w:val="00DF3292"/>
    <w:rsid w:val="00E053D0"/>
    <w:rsid w:val="00E15994"/>
    <w:rsid w:val="00E209B1"/>
    <w:rsid w:val="00E3114E"/>
    <w:rsid w:val="00E31A70"/>
    <w:rsid w:val="00E35B02"/>
    <w:rsid w:val="00E602F1"/>
    <w:rsid w:val="00E66496"/>
    <w:rsid w:val="00E66B35"/>
    <w:rsid w:val="00E66E10"/>
    <w:rsid w:val="00E74C2E"/>
    <w:rsid w:val="00E769F6"/>
    <w:rsid w:val="00E8407C"/>
    <w:rsid w:val="00E84F3C"/>
    <w:rsid w:val="00E90FB1"/>
    <w:rsid w:val="00E95274"/>
    <w:rsid w:val="00EA012C"/>
    <w:rsid w:val="00EB683E"/>
    <w:rsid w:val="00ED0288"/>
    <w:rsid w:val="00EE52CB"/>
    <w:rsid w:val="00EE57ED"/>
    <w:rsid w:val="00EF581D"/>
    <w:rsid w:val="00EF7FD8"/>
    <w:rsid w:val="00F05C79"/>
    <w:rsid w:val="00F06F59"/>
    <w:rsid w:val="00F17988"/>
    <w:rsid w:val="00F35E36"/>
    <w:rsid w:val="00F469F0"/>
    <w:rsid w:val="00F53273"/>
    <w:rsid w:val="00F6757F"/>
    <w:rsid w:val="00F755E4"/>
    <w:rsid w:val="00F77D02"/>
    <w:rsid w:val="00FB3A86"/>
    <w:rsid w:val="00FD08EB"/>
    <w:rsid w:val="00FD36C8"/>
    <w:rsid w:val="00FE5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44CBF821"/>
  <w15:docId w15:val="{200F383E-C579-4725-8AC2-5F3DFB9A7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C92AD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A42BE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paragraph" w:styleId="ListParagraph">
    <w:name w:val="List Paragraph"/>
    <w:basedOn w:val="Normal"/>
    <w:uiPriority w:val="34"/>
    <w:qFormat/>
    <w:rsid w:val="00C75150"/>
    <w:pPr>
      <w:ind w:left="720"/>
      <w:contextualSpacing/>
    </w:pPr>
  </w:style>
  <w:style w:type="character" w:styleId="UnresolvedMention">
    <w:name w:val="Unresolved Mention"/>
    <w:basedOn w:val="DefaultParagraphFont"/>
    <w:uiPriority w:val="99"/>
    <w:semiHidden/>
    <w:unhideWhenUsed/>
    <w:rsid w:val="001A6B88"/>
    <w:rPr>
      <w:color w:val="605E5C"/>
      <w:shd w:val="clear" w:color="auto" w:fill="E1DFDD"/>
    </w:rPr>
  </w:style>
  <w:style w:type="character" w:styleId="Strong">
    <w:name w:val="Strong"/>
    <w:basedOn w:val="DefaultParagraphFont"/>
    <w:uiPriority w:val="22"/>
    <w:qFormat/>
    <w:rsid w:val="00A42BE1"/>
    <w:rPr>
      <w:b/>
      <w:bCs/>
    </w:rPr>
  </w:style>
  <w:style w:type="paragraph" w:styleId="NormalWeb">
    <w:name w:val="Normal (Web)"/>
    <w:basedOn w:val="Normal"/>
    <w:uiPriority w:val="99"/>
    <w:unhideWhenUsed/>
    <w:rsid w:val="00A42BE1"/>
    <w:pPr>
      <w:spacing w:before="100" w:beforeAutospacing="1" w:after="100" w:afterAutospacing="1"/>
    </w:pPr>
    <w:rPr>
      <w:rFonts w:ascii="Times New Roman" w:hAnsi="Times New Roman"/>
      <w:sz w:val="24"/>
      <w:szCs w:val="24"/>
    </w:rPr>
  </w:style>
  <w:style w:type="character" w:customStyle="1" w:styleId="Heading4Char">
    <w:name w:val="Heading 4 Char"/>
    <w:basedOn w:val="DefaultParagraphFont"/>
    <w:link w:val="Heading4"/>
    <w:semiHidden/>
    <w:rsid w:val="00A42BE1"/>
    <w:rPr>
      <w:rFonts w:asciiTheme="majorHAnsi" w:eastAsiaTheme="majorEastAsia" w:hAnsiTheme="majorHAnsi" w:cstheme="majorBidi"/>
      <w:i/>
      <w:iCs/>
      <w:color w:val="365F91" w:themeColor="accent1" w:themeShade="BF"/>
    </w:rPr>
  </w:style>
  <w:style w:type="character" w:customStyle="1" w:styleId="mord">
    <w:name w:val="mord"/>
    <w:basedOn w:val="DefaultParagraphFont"/>
    <w:rsid w:val="00A42BE1"/>
  </w:style>
  <w:style w:type="character" w:customStyle="1" w:styleId="Heading3Char">
    <w:name w:val="Heading 3 Char"/>
    <w:basedOn w:val="DefaultParagraphFont"/>
    <w:link w:val="Heading3"/>
    <w:semiHidden/>
    <w:rsid w:val="00C92ADC"/>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186/s12913-025-13020-0" TargetMode="External"/><Relationship Id="rId2" Type="http://schemas.openxmlformats.org/officeDocument/2006/relationships/numbering" Target="numbering.xml"/><Relationship Id="rId16" Type="http://schemas.openxmlformats.org/officeDocument/2006/relationships/hyperlink" Target="https://doi.org/10.37432/JIEPH-D-24-02037"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who.int.teams/global-malaria-programme/reports/world-malria-report-2024"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who-"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6CEFDC-744E-4F7E-B905-C7D6FF6EB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673</TotalTime>
  <Pages>13</Pages>
  <Words>5497</Words>
  <Characters>31337</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36761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24</cp:revision>
  <cp:lastPrinted>1999-07-06T11:00:00Z</cp:lastPrinted>
  <dcterms:created xsi:type="dcterms:W3CDTF">2014-10-25T14:34:00Z</dcterms:created>
  <dcterms:modified xsi:type="dcterms:W3CDTF">2025-09-02T13:54:00Z</dcterms:modified>
</cp:coreProperties>
</file>