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A23E3" w14:textId="53EFFFB4" w:rsidR="0016438B" w:rsidRDefault="00157207" w:rsidP="007B45E9">
      <w:pPr>
        <w:spacing w:after="0" w:line="240" w:lineRule="auto"/>
        <w:rPr>
          <w:rFonts w:ascii="Times New Roman" w:eastAsia="Times New Roman" w:hAnsi="Times New Roman" w:cs="Times New Roman"/>
          <w:b/>
          <w:bCs/>
          <w:kern w:val="0"/>
          <w:sz w:val="24"/>
          <w:szCs w:val="24"/>
          <w:lang w:eastAsia="fr-FR"/>
          <w14:ligatures w14:val="none"/>
        </w:rPr>
      </w:pPr>
      <w:r w:rsidRPr="001443BC">
        <w:rPr>
          <w:rFonts w:ascii="Times New Roman" w:eastAsia="Times New Roman" w:hAnsi="Times New Roman" w:cs="Times New Roman"/>
          <w:b/>
          <w:bCs/>
          <w:kern w:val="0"/>
          <w:sz w:val="24"/>
          <w:szCs w:val="24"/>
          <w:lang w:eastAsia="fr-FR"/>
          <w14:ligatures w14:val="none"/>
        </w:rPr>
        <w:t xml:space="preserve">Climate </w:t>
      </w:r>
      <w:r w:rsidR="007227CE" w:rsidRPr="001443BC">
        <w:rPr>
          <w:rFonts w:ascii="Times New Roman" w:eastAsia="Times New Roman" w:hAnsi="Times New Roman" w:cs="Times New Roman"/>
          <w:b/>
          <w:bCs/>
          <w:kern w:val="0"/>
          <w:sz w:val="24"/>
          <w:szCs w:val="24"/>
          <w:lang w:eastAsia="fr-FR"/>
          <w14:ligatures w14:val="none"/>
        </w:rPr>
        <w:t xml:space="preserve">insurance in Africa : </w:t>
      </w:r>
      <w:r w:rsidR="003056F0" w:rsidRPr="001443BC">
        <w:rPr>
          <w:rFonts w:ascii="Times New Roman" w:eastAsia="Times New Roman" w:hAnsi="Times New Roman" w:cs="Times New Roman"/>
          <w:b/>
          <w:bCs/>
          <w:kern w:val="0"/>
          <w:sz w:val="24"/>
          <w:szCs w:val="24"/>
          <w:lang w:eastAsia="fr-FR"/>
          <w14:ligatures w14:val="none"/>
        </w:rPr>
        <w:t xml:space="preserve">how farm carbon </w:t>
      </w:r>
      <w:r w:rsidR="007227CE" w:rsidRPr="001443BC">
        <w:rPr>
          <w:rFonts w:ascii="Times New Roman" w:eastAsia="Times New Roman" w:hAnsi="Times New Roman" w:cs="Times New Roman"/>
          <w:b/>
          <w:bCs/>
          <w:kern w:val="0"/>
          <w:sz w:val="24"/>
          <w:szCs w:val="24"/>
          <w:lang w:eastAsia="fr-FR"/>
          <w14:ligatures w14:val="none"/>
        </w:rPr>
        <w:t xml:space="preserve">can contribute to </w:t>
      </w:r>
      <w:r w:rsidR="00860C35" w:rsidRPr="001443BC">
        <w:rPr>
          <w:rFonts w:ascii="Times New Roman" w:eastAsia="Times New Roman" w:hAnsi="Times New Roman" w:cs="Times New Roman"/>
          <w:b/>
          <w:bCs/>
          <w:kern w:val="0"/>
          <w:sz w:val="24"/>
          <w:szCs w:val="24"/>
          <w:lang w:eastAsia="fr-FR"/>
          <w14:ligatures w14:val="none"/>
        </w:rPr>
        <w:t>affordable premium</w:t>
      </w:r>
      <w:r w:rsidR="007227CE" w:rsidRPr="007B45E9">
        <w:rPr>
          <w:rFonts w:ascii="Times New Roman" w:eastAsia="Times New Roman" w:hAnsi="Times New Roman" w:cs="Times New Roman"/>
          <w:b/>
          <w:bCs/>
          <w:kern w:val="0"/>
          <w:sz w:val="24"/>
          <w:szCs w:val="24"/>
          <w:lang w:eastAsia="fr-FR"/>
          <w14:ligatures w14:val="none"/>
        </w:rPr>
        <w:t xml:space="preserve"> for smallholder’s farmers ?</w:t>
      </w:r>
    </w:p>
    <w:p w14:paraId="72C24A9B" w14:textId="77777777" w:rsidR="00AF1D7F" w:rsidRDefault="00AF1D7F" w:rsidP="007B45E9">
      <w:pPr>
        <w:spacing w:after="0" w:line="240" w:lineRule="auto"/>
        <w:rPr>
          <w:rFonts w:ascii="Times New Roman" w:eastAsia="Times New Roman" w:hAnsi="Times New Roman" w:cs="Times New Roman"/>
          <w:b/>
          <w:bCs/>
          <w:kern w:val="0"/>
          <w:sz w:val="24"/>
          <w:szCs w:val="24"/>
          <w:lang w:eastAsia="fr-FR"/>
          <w14:ligatures w14:val="none"/>
        </w:rPr>
      </w:pPr>
    </w:p>
    <w:p w14:paraId="502B0F00" w14:textId="77777777" w:rsidR="00BC718A" w:rsidRDefault="00BC718A" w:rsidP="007B45E9">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p>
    <w:p w14:paraId="3C7B6835" w14:textId="21E7AED6" w:rsidR="0016438B" w:rsidRPr="007B45E9" w:rsidRDefault="0016438B" w:rsidP="007B45E9">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bookmarkStart w:id="0" w:name="_GoBack"/>
      <w:bookmarkEnd w:id="0"/>
      <w:r w:rsidRPr="007B45E9">
        <w:rPr>
          <w:rFonts w:ascii="Times New Roman" w:eastAsia="Times New Roman" w:hAnsi="Times New Roman" w:cs="Times New Roman"/>
          <w:b/>
          <w:bCs/>
          <w:kern w:val="0"/>
          <w:sz w:val="24"/>
          <w:szCs w:val="24"/>
          <w:lang w:eastAsia="fr-FR"/>
          <w14:ligatures w14:val="none"/>
        </w:rPr>
        <w:t>Abstract</w:t>
      </w:r>
    </w:p>
    <w:p w14:paraId="65599D82" w14:textId="03BDB406" w:rsidR="0016438B" w:rsidRPr="007B45E9" w:rsidRDefault="00D40D17"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D40D17">
        <w:rPr>
          <w:rFonts w:ascii="Times New Roman" w:eastAsia="Times New Roman" w:hAnsi="Times New Roman" w:cs="Times New Roman"/>
          <w:kern w:val="0"/>
          <w:sz w:val="24"/>
          <w:szCs w:val="24"/>
          <w:lang w:eastAsia="fr-FR"/>
          <w14:ligatures w14:val="none"/>
        </w:rPr>
        <w:t>For many farmers in Africa, a major obstacle to getting insurance is the cost. The affordability of premiums is often the key issue that prevents them from accessing these product</w:t>
      </w:r>
      <w:r>
        <w:rPr>
          <w:rFonts w:ascii="Times New Roman" w:eastAsia="Times New Roman" w:hAnsi="Times New Roman" w:cs="Times New Roman"/>
          <w:kern w:val="0"/>
          <w:sz w:val="24"/>
          <w:szCs w:val="24"/>
          <w:lang w:eastAsia="fr-FR"/>
          <w14:ligatures w14:val="none"/>
        </w:rPr>
        <w:t xml:space="preserve">. </w:t>
      </w:r>
      <w:r w:rsidR="0016438B" w:rsidRPr="007B45E9">
        <w:rPr>
          <w:rFonts w:ascii="Times New Roman" w:eastAsia="Times New Roman" w:hAnsi="Times New Roman" w:cs="Times New Roman"/>
          <w:kern w:val="0"/>
          <w:sz w:val="24"/>
          <w:szCs w:val="24"/>
          <w:lang w:eastAsia="fr-FR"/>
          <w14:ligatures w14:val="none"/>
        </w:rPr>
        <w:t>This study investigates the potential of carbon finance to bolster agricultural resilience across Africa by analyzing regional variations in carbon sequestration, carbon pricing, estimated carbon value per hectare, and agricultural climate insurance premiums. Utilizing a classification system based on Primary Agricultural System Types and comprehensive secondary data, we systematically estimated carbon stock, carbon prices, and insurance premiums for diverse African regions.</w:t>
      </w:r>
    </w:p>
    <w:p w14:paraId="39FC5F6A" w14:textId="77777777"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Our findings reveal significant regional disparities. East and Central Africa, characterized by Highland, Mixed Farming, and Humid Forest systems, exhibit the highest carbon sequestration potential and subsequently, a carbon value per hectare that comfortably exceeds agricultural insurance premiums. Farmers in these regions can fully offset their insurance costs through carbon credits, often generating substantial surpluses (up to $24/ha in East Africa and $44/ha in Central Africa), offering a viable pathway for self-financed climate risk transfer.</w:t>
      </w:r>
    </w:p>
    <w:p w14:paraId="730F6740" w14:textId="6B6E5BB5"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In contrast, the West African Sahel, dominated by Rainfed Cropland and Pasture systems, faces a critical financial </w:t>
      </w:r>
      <w:r w:rsidR="004957CD" w:rsidRPr="007B45E9">
        <w:rPr>
          <w:rFonts w:ascii="Times New Roman" w:eastAsia="Times New Roman" w:hAnsi="Times New Roman" w:cs="Times New Roman"/>
          <w:kern w:val="0"/>
          <w:sz w:val="24"/>
          <w:szCs w:val="24"/>
          <w:lang w:eastAsia="fr-FR"/>
          <w14:ligatures w14:val="none"/>
        </w:rPr>
        <w:t>gap :</w:t>
      </w:r>
      <w:r w:rsidRPr="007B45E9">
        <w:rPr>
          <w:rFonts w:ascii="Times New Roman" w:eastAsia="Times New Roman" w:hAnsi="Times New Roman" w:cs="Times New Roman"/>
          <w:kern w:val="0"/>
          <w:sz w:val="24"/>
          <w:szCs w:val="24"/>
          <w:lang w:eastAsia="fr-FR"/>
          <w14:ligatures w14:val="none"/>
        </w:rPr>
        <w:t xml:space="preserve"> its lower carbon sequestration capacity and carbon prices mean the estimated carbon value per hectare falls short of covering agricultural insurance premiums, requiring up to a 30% farmer contribution. This highlights the impact of nascent market development and severe climate vulnerability. Southern Africa, while having the highest insurance premiums ($22.5/ha) due to high investment capital and climate risks, still generates sufficient carbon value (with a surplus of $75/ha) to cover these costs.</w:t>
      </w:r>
      <w:r w:rsidR="00E5799B">
        <w:rPr>
          <w:rFonts w:ascii="Times New Roman" w:eastAsia="Times New Roman" w:hAnsi="Times New Roman" w:cs="Times New Roman"/>
          <w:kern w:val="0"/>
          <w:sz w:val="24"/>
          <w:szCs w:val="24"/>
          <w:lang w:eastAsia="fr-FR"/>
          <w14:ligatures w14:val="none"/>
        </w:rPr>
        <w:t xml:space="preserve"> C</w:t>
      </w:r>
      <w:r w:rsidR="00E306C6">
        <w:rPr>
          <w:rFonts w:ascii="Times New Roman" w:eastAsia="Times New Roman" w:hAnsi="Times New Roman" w:cs="Times New Roman"/>
          <w:kern w:val="0"/>
          <w:sz w:val="24"/>
          <w:szCs w:val="24"/>
          <w:lang w:eastAsia="fr-FR"/>
          <w14:ligatures w14:val="none"/>
        </w:rPr>
        <w:t xml:space="preserve">    </w:t>
      </w:r>
      <w:r w:rsidRPr="007B45E9">
        <w:rPr>
          <w:rFonts w:ascii="Times New Roman" w:eastAsia="Times New Roman" w:hAnsi="Times New Roman" w:cs="Times New Roman"/>
          <w:kern w:val="0"/>
          <w:sz w:val="24"/>
          <w:szCs w:val="24"/>
          <w:lang w:eastAsia="fr-FR"/>
          <w14:ligatures w14:val="none"/>
        </w:rPr>
        <w:t>arbon finance presents a powerful, nature-based solution for agricultural climate insurance in much of Africa. However, a differentiated approach is essential. While East, Central, and Southern Africa can leverage carbon credits for self-sustaining climate risk management, the West African Sahel necessitates targeted interventions and innovative financial instruments to bridge its unique funding gap, ensuring equitable access to climate resilience for all African farming communities.</w:t>
      </w:r>
    </w:p>
    <w:p w14:paraId="30F8FD95" w14:textId="0954C641" w:rsidR="0016438B" w:rsidRPr="007B45E9" w:rsidRDefault="007B45E9"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b/>
          <w:bCs/>
          <w:kern w:val="0"/>
          <w:sz w:val="24"/>
          <w:szCs w:val="24"/>
          <w:lang w:eastAsia="fr-FR"/>
          <w14:ligatures w14:val="none"/>
        </w:rPr>
        <w:t>Keywords</w:t>
      </w:r>
      <w:r w:rsidR="0016438B" w:rsidRPr="007B45E9">
        <w:rPr>
          <w:rFonts w:ascii="Times New Roman" w:eastAsia="Times New Roman" w:hAnsi="Times New Roman" w:cs="Times New Roman"/>
          <w:kern w:val="0"/>
          <w:sz w:val="24"/>
          <w:szCs w:val="24"/>
          <w:lang w:eastAsia="fr-FR"/>
          <w14:ligatures w14:val="none"/>
        </w:rPr>
        <w:t> : Agricultural Systems, Carbon Sequestration, Carbon Financ, Climate Insuranc Regional Analysis, African Agriculture</w:t>
      </w:r>
    </w:p>
    <w:p w14:paraId="169136A6" w14:textId="77777777" w:rsidR="007B45E9" w:rsidRPr="007B45E9" w:rsidRDefault="007B45E9" w:rsidP="007B45E9">
      <w:pPr>
        <w:spacing w:line="240" w:lineRule="auto"/>
        <w:jc w:val="both"/>
        <w:rPr>
          <w:rFonts w:ascii="Times New Roman" w:hAnsi="Times New Roman" w:cs="Times New Roman"/>
          <w:sz w:val="24"/>
          <w:szCs w:val="24"/>
        </w:rPr>
      </w:pPr>
    </w:p>
    <w:p w14:paraId="38D7FACD" w14:textId="2F198C62" w:rsidR="0016438B" w:rsidRPr="007B45E9" w:rsidRDefault="0065658C"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INTRODUCTION</w:t>
      </w:r>
      <w:r w:rsidR="0016438B" w:rsidRPr="007B45E9">
        <w:rPr>
          <w:rFonts w:ascii="Times New Roman" w:hAnsi="Times New Roman" w:cs="Times New Roman"/>
          <w:b/>
          <w:bCs/>
          <w:sz w:val="24"/>
          <w:szCs w:val="24"/>
        </w:rPr>
        <w:t xml:space="preserve"> </w:t>
      </w:r>
    </w:p>
    <w:p w14:paraId="50BD5E77" w14:textId="20769F8A"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Smallholder farmers face a range of shocks and challenges beyond their control that can have a drastic impact on their incomes and livelihoods. These include unexpected non-agricultural events, such as health problems, and agricultural events, such as market and price fluctuations or pest and disease infestations. Climate change is a key driver behind agricultural shocks.( Rishi Raithatha and Jan Priebe 2020) Agricultural insurance plays a vital role in safeguarding smallholder farmers in Africa from the devastating impacts of climate change and other </w:t>
      </w:r>
      <w:r w:rsidRPr="007B45E9">
        <w:rPr>
          <w:rFonts w:ascii="Times New Roman" w:eastAsia="Times New Roman" w:hAnsi="Times New Roman" w:cs="Times New Roman"/>
          <w:kern w:val="0"/>
          <w:sz w:val="24"/>
          <w:szCs w:val="24"/>
          <w:lang w:eastAsia="fr-FR"/>
          <w14:ligatures w14:val="none"/>
        </w:rPr>
        <w:lastRenderedPageBreak/>
        <w:t>agricultural risks. However, its adoption remains exceptionally low, leaving millions vulnerable to financial ruin (</w:t>
      </w:r>
      <w:r w:rsidRPr="007B45E9">
        <w:rPr>
          <w:rFonts w:ascii="Times New Roman" w:hAnsi="Times New Roman" w:cs="Times New Roman"/>
          <w:sz w:val="24"/>
          <w:szCs w:val="24"/>
        </w:rPr>
        <w:t xml:space="preserve">OKO finance </w:t>
      </w:r>
      <w:r w:rsidR="00A43299" w:rsidRPr="007B45E9">
        <w:rPr>
          <w:rFonts w:ascii="Times New Roman" w:hAnsi="Times New Roman" w:cs="Times New Roman"/>
          <w:sz w:val="24"/>
          <w:szCs w:val="24"/>
        </w:rPr>
        <w:t>2024)</w:t>
      </w:r>
      <w:r w:rsidRPr="007B45E9">
        <w:rPr>
          <w:rFonts w:ascii="Times New Roman" w:eastAsia="Times New Roman" w:hAnsi="Times New Roman" w:cs="Times New Roman"/>
          <w:kern w:val="0"/>
          <w:sz w:val="24"/>
          <w:szCs w:val="24"/>
          <w:lang w:eastAsia="fr-FR"/>
          <w14:ligatures w14:val="none"/>
        </w:rPr>
        <w:t xml:space="preserve">. </w:t>
      </w:r>
    </w:p>
    <w:p w14:paraId="0BDDECD3" w14:textId="432FEEFB"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The primary reasons for low insurance adoption among smallholder farmers are rooted in their economic realities and perceptions. Low and irregular income coupled with severe cash-flow constraints severely limit their ability to pay premiums upfront, particularly at the beginning of the planting season when funds are urgently needed for essential inputs like seeds and fertilizers. This critical timing mismatch between income cycles and premium payment schedules significantly reduces their willingness and ability to purchase insurance (</w:t>
      </w:r>
      <w:hyperlink r:id="rId8" w:history="1">
        <w:r w:rsidR="00284AB1" w:rsidRPr="007B45E9">
          <w:rPr>
            <w:rStyle w:val="Hyperlink"/>
            <w:rFonts w:ascii="Times New Roman" w:eastAsia="Times New Roman" w:hAnsi="Times New Roman" w:cs="Times New Roman"/>
            <w:color w:val="auto"/>
            <w:kern w:val="0"/>
            <w:sz w:val="24"/>
            <w:szCs w:val="24"/>
            <w:lang w:eastAsia="fr-FR"/>
            <w14:ligatures w14:val="none"/>
          </w:rPr>
          <w:t>Yanyan Liu</w:t>
        </w:r>
      </w:hyperlink>
      <w:r w:rsidR="00284AB1" w:rsidRPr="007B45E9">
        <w:rPr>
          <w:rFonts w:ascii="Times New Roman" w:eastAsia="Times New Roman" w:hAnsi="Times New Roman" w:cs="Times New Roman"/>
          <w:kern w:val="0"/>
          <w:sz w:val="24"/>
          <w:szCs w:val="24"/>
          <w:lang w:eastAsia="fr-FR"/>
          <w14:ligatures w14:val="none"/>
        </w:rPr>
        <w:t xml:space="preserve"> et al 2020</w:t>
      </w:r>
      <w:r w:rsidRPr="007B45E9">
        <w:rPr>
          <w:rFonts w:ascii="Times New Roman" w:eastAsia="Times New Roman" w:hAnsi="Times New Roman" w:cs="Times New Roman"/>
          <w:kern w:val="0"/>
          <w:sz w:val="24"/>
          <w:szCs w:val="24"/>
          <w:lang w:eastAsia="fr-FR"/>
          <w14:ligatures w14:val="none"/>
        </w:rPr>
        <w:t>). Many smallholders are also entrenched in poverty and financial vulnerability, often burdened by household debt and grappling with escalating input costs. These economic pressures compound their inability to afford insurance premiums without the crucial intervention of subsidies or flexible payment options (</w:t>
      </w:r>
      <w:r w:rsidR="00284AB1" w:rsidRPr="007B45E9">
        <w:rPr>
          <w:rFonts w:ascii="Times New Roman" w:eastAsia="Times New Roman" w:hAnsi="Times New Roman" w:cs="Times New Roman"/>
          <w:kern w:val="0"/>
          <w:sz w:val="24"/>
          <w:szCs w:val="24"/>
          <w:lang w:eastAsia="fr-FR"/>
          <w14:ligatures w14:val="none"/>
        </w:rPr>
        <w:t>Cole et al 2013</w:t>
      </w:r>
      <w:r w:rsidRPr="007B45E9">
        <w:rPr>
          <w:rFonts w:ascii="Times New Roman" w:eastAsia="Times New Roman" w:hAnsi="Times New Roman" w:cs="Times New Roman"/>
          <w:kern w:val="0"/>
          <w:sz w:val="24"/>
          <w:szCs w:val="24"/>
          <w:lang w:eastAsia="fr-FR"/>
          <w14:ligatures w14:val="none"/>
        </w:rPr>
        <w:t>).</w:t>
      </w:r>
    </w:p>
    <w:p w14:paraId="5BD31C37" w14:textId="10E6BBBF"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D05C11">
        <w:rPr>
          <w:rFonts w:ascii="Times New Roman" w:eastAsia="Times New Roman" w:hAnsi="Times New Roman" w:cs="Times New Roman"/>
          <w:kern w:val="0"/>
          <w:sz w:val="24"/>
          <w:szCs w:val="24"/>
          <w:lang w:eastAsia="fr-FR"/>
          <w14:ligatures w14:val="none"/>
        </w:rPr>
        <w:t xml:space="preserve">Beyond financial limitations, a significant barrier lies in the lack of awareness and understanding of insurance products. Farmers frequently possess limited knowledge about the benefits, mechanisms, and pricing of agricultural insurance. This informational asymmetry fosters low trust and diminishes their motivation to purchase such products (Martina MascarenhasAnne G. TimuLiangzhi You 2024). Furthermore, their risk perception and motivation play a pivotal role. Farmers may not perceive insurance as a necessary or valuable tool if they rely on traditional risk management strategies. They may also harbor doubts about receiving payouts, especially in the context of index-based insurance schemes where payouts are triggered by external indices rather than individual losses, leading to skepticism and a reluctance to engage </w:t>
      </w:r>
    </w:p>
    <w:p w14:paraId="4CEE4159" w14:textId="7226EC5F" w:rsidR="0016438B" w:rsidRPr="007B45E9" w:rsidRDefault="00A43299"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Moreover,t</w:t>
      </w:r>
      <w:r w:rsidR="0016438B" w:rsidRPr="007B45E9">
        <w:rPr>
          <w:rFonts w:ascii="Times New Roman" w:eastAsia="Times New Roman" w:hAnsi="Times New Roman" w:cs="Times New Roman"/>
          <w:kern w:val="0"/>
          <w:sz w:val="24"/>
          <w:szCs w:val="24"/>
          <w:lang w:eastAsia="fr-FR"/>
          <w14:ligatures w14:val="none"/>
        </w:rPr>
        <w:t>he supply side of agricultural insurance for smallholders presents its own set of significant challenges for insurers. High operational and distribution costs are a major deterrent. Serving smallholder farmers in remote rural areas is logistically complex and expensive due to the small size of individual farms and the dispersed nature of the population. This inflates the cost per insured farmer, ultimately leading to higher premiums (5). Adding to this financial burden is the high risk and frequency of payouts. Agricultural risks in Africa, such as droughts, floods, and pest outbreaks, are often correlated and can be catastrophic, resulting in frequent and substantial payouts. This elevated risk profile makes it challenging for insurers to offer affordable premiums without the support of subsidies or robust risk-sharing mechanisms (5).</w:t>
      </w:r>
    </w:p>
    <w:p w14:paraId="6B4DC53A" w14:textId="77777777"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Consequently, low profitability for insurers becomes a significant disincentive. Smallholders are generally perceived as low-profit customers due to their limited ability to pay and the high costs associated with servicing their needs. This discourages insurers from developing and marketing affordable products tailored to this segment (5). Moreover, the complexity in designing suitable products further complicates the landscape. Insurance products must be meticulously tailored to the specific risks and diverse needs of smallholders, demanding detailed risk analysis and innovative product development, both of which can be costly and intricate endeavors (2).</w:t>
      </w:r>
    </w:p>
    <w:p w14:paraId="2194305E" w14:textId="5161E879"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The broader enabling environment significantly influences the viability and accessibility of agricultural insurance. A critical missing piece in many regions </w:t>
      </w:r>
      <w:r w:rsidR="004957CD">
        <w:rPr>
          <w:rFonts w:ascii="Times New Roman" w:eastAsia="Times New Roman" w:hAnsi="Times New Roman" w:cs="Times New Roman"/>
          <w:kern w:val="0"/>
          <w:sz w:val="24"/>
          <w:szCs w:val="24"/>
          <w:lang w:eastAsia="fr-FR"/>
          <w14:ligatures w14:val="none"/>
        </w:rPr>
        <w:t>are</w:t>
      </w:r>
      <w:r w:rsidRPr="007B45E9">
        <w:rPr>
          <w:rFonts w:ascii="Times New Roman" w:eastAsia="Times New Roman" w:hAnsi="Times New Roman" w:cs="Times New Roman"/>
          <w:kern w:val="0"/>
          <w:sz w:val="24"/>
          <w:szCs w:val="24"/>
          <w:lang w:eastAsia="fr-FR"/>
          <w14:ligatures w14:val="none"/>
        </w:rPr>
        <w:t xml:space="preserve"> the lack of government subsidies or support. Without well-targeted subsidies or public backing to reduce premiums, agricultural insurance often remains unaffordable for smallholders, hindering widespread adoption (Martina MascarenhasAnne G. TimuLiangzhi You 2024). Furthermore, weak policy, legal, and regulatory frameworks can severely impede the development of inclusive insurance </w:t>
      </w:r>
      <w:r w:rsidRPr="007B45E9">
        <w:rPr>
          <w:rFonts w:ascii="Times New Roman" w:eastAsia="Times New Roman" w:hAnsi="Times New Roman" w:cs="Times New Roman"/>
          <w:kern w:val="0"/>
          <w:sz w:val="24"/>
          <w:szCs w:val="24"/>
          <w:lang w:eastAsia="fr-FR"/>
          <w14:ligatures w14:val="none"/>
        </w:rPr>
        <w:lastRenderedPageBreak/>
        <w:t>markets. Inadequate frameworks can limit the ability to implement innovative payment or distribution mechanisms, thereby stifling market growth and farmer access to essential insurance services (Martina Mascarenhas, Anne G. Timu, and Liangzhi You 2024).</w:t>
      </w:r>
    </w:p>
    <w:p w14:paraId="4D104803" w14:textId="77777777"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Addressing these multifaceted challenges some of comprehensive approach encompassing various innovative solutions have been proposed :. Flexible payment options, such as pay-after-harvest (PAH) models or installment payments aligned with farmers' income cycles, can effectively overcome liquidity constraints (26). Bundling insurance with credit or inputs, by linking premiums to input loans or deducting them at the point of sale of produce, can also significantly reduce upfront payment barriers (Martina Mascarenhas, Anne G. Timu, and Liangzhi You 2024). The use of digital technologies, including mobile money, satellite data, and digital platforms, offers immense potential to reduce operational costs, enhance transparency, streamline distribution, and expedite claims processing (5). Crucially, government and donor subsidies, along with risk-sharing mechanisms, are essential to improve affordability and encourage uptake, though they necessitate clear exit strategies to ensure long-term sustainability (Martina Mascarenhas, Anne G. Timu, and Liangzhi You 2024). Finally, education and transparent pricing are paramount. Enhancing farmer education on the benefits of insurance and ensuring transparent communication of pricing builds trust and stimulates demand (Martina Mascarenhas, </w:t>
      </w:r>
      <w:hyperlink r:id="rId9" w:history="1">
        <w:r w:rsidRPr="007B45E9">
          <w:rPr>
            <w:rStyle w:val="Hyperlink"/>
            <w:rFonts w:ascii="Times New Roman" w:eastAsia="Times New Roman" w:hAnsi="Times New Roman" w:cs="Times New Roman"/>
            <w:color w:val="auto"/>
            <w:kern w:val="0"/>
            <w:sz w:val="24"/>
            <w:szCs w:val="24"/>
            <w:lang w:eastAsia="fr-FR"/>
            <w14:ligatures w14:val="none"/>
          </w:rPr>
          <w:t>Anne G. Timu</w:t>
        </w:r>
      </w:hyperlink>
      <w:r w:rsidRPr="007B45E9">
        <w:rPr>
          <w:rFonts w:ascii="Times New Roman" w:eastAsia="Times New Roman" w:hAnsi="Times New Roman" w:cs="Times New Roman"/>
          <w:kern w:val="0"/>
          <w:sz w:val="24"/>
          <w:szCs w:val="24"/>
          <w:lang w:eastAsia="fr-FR"/>
          <w14:ligatures w14:val="none"/>
        </w:rPr>
        <w:t>, and </w:t>
      </w:r>
      <w:hyperlink r:id="rId10" w:history="1">
        <w:r w:rsidRPr="007B45E9">
          <w:rPr>
            <w:rStyle w:val="Hyperlink"/>
            <w:rFonts w:ascii="Times New Roman" w:eastAsia="Times New Roman" w:hAnsi="Times New Roman" w:cs="Times New Roman"/>
            <w:color w:val="auto"/>
            <w:kern w:val="0"/>
            <w:sz w:val="24"/>
            <w:szCs w:val="24"/>
            <w:lang w:eastAsia="fr-FR"/>
            <w14:ligatures w14:val="none"/>
          </w:rPr>
          <w:t>Liangzhi You</w:t>
        </w:r>
      </w:hyperlink>
      <w:r w:rsidRPr="007B45E9">
        <w:rPr>
          <w:rFonts w:ascii="Times New Roman" w:eastAsia="Times New Roman" w:hAnsi="Times New Roman" w:cs="Times New Roman"/>
          <w:kern w:val="0"/>
          <w:sz w:val="24"/>
          <w:szCs w:val="24"/>
          <w:lang w:eastAsia="fr-FR"/>
          <w14:ligatures w14:val="none"/>
        </w:rPr>
        <w:t xml:space="preserve"> 2024).</w:t>
      </w:r>
    </w:p>
    <w:p w14:paraId="04A767F8" w14:textId="77777777"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Despite these promising solutions, a persistent challenge remains: securing sustainable and scalable funding to make agricultural insurance truly affordable for the vast majority of smallholder farmers in Africa. This is where carbon credits emerge could play as a crucial and innovative financing mechanism. By engaging in sustainable agricultural practices that sequester carbon or reduce greenhouse gas emissions – such as improved soil management, agroforestry, or reduced fertilizer use – smallholder farmers can generate carbon credits. These credits can then be sold in voluntary carbon markets, providing a direct and significant revenue stream. This revenue can be strategically channeled to directly subsidize agricultural insurance premiums, making them more accessible and affordable for the very farmers contributing to climate mitigation.</w:t>
      </w:r>
    </w:p>
    <w:p w14:paraId="254C5682" w14:textId="77777777"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Given that the generation of carbon credits by smallholder farmers offers a dual benefit: it incentivizes climate-smart agriculture, fostering environmental sustainability, while simultaneously providing a dedicated, market-based funding source can use to bridge the affordability gap in agricultural insurance.. By leveraging the growing global demand for carbon offsets, this approach could offers a sustainable and scalable pathway to ensure that affordable agricultural insurance becomes a reality for millions of smallholder farmers in Africa, empowering them to withstand climate shocks and secure their livelihoods. This research aimed to investigate in this perspective</w:t>
      </w:r>
    </w:p>
    <w:p w14:paraId="69537731" w14:textId="77777777" w:rsidR="007B45E9" w:rsidRDefault="007B45E9" w:rsidP="007B45E9">
      <w:pPr>
        <w:spacing w:line="240" w:lineRule="auto"/>
        <w:jc w:val="both"/>
        <w:rPr>
          <w:rFonts w:ascii="Times New Roman" w:hAnsi="Times New Roman" w:cs="Times New Roman"/>
          <w:b/>
          <w:bCs/>
          <w:sz w:val="24"/>
          <w:szCs w:val="24"/>
        </w:rPr>
      </w:pPr>
    </w:p>
    <w:p w14:paraId="7C9F82A7" w14:textId="3358CBEA"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 xml:space="preserve">II METHOD </w:t>
      </w:r>
    </w:p>
    <w:p w14:paraId="0E64412C" w14:textId="4B49A2FC"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 xml:space="preserve">2.1 </w:t>
      </w:r>
      <w:r w:rsidR="003879D6" w:rsidRPr="007B45E9">
        <w:rPr>
          <w:rFonts w:ascii="Times New Roman" w:hAnsi="Times New Roman" w:cs="Times New Roman"/>
          <w:b/>
          <w:bCs/>
          <w:sz w:val="24"/>
          <w:szCs w:val="24"/>
        </w:rPr>
        <w:t>Study area</w:t>
      </w:r>
    </w:p>
    <w:p w14:paraId="3724FC3E" w14:textId="31B1A5FA"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For This regionalization strategy was not arbitrary. Instead, it was meticulously carried out by grouping countries based on their similarities in terms of prevailing weather issues and parameters. This means that countries within the same region are expected to experience comparable climatic conditions, face similar weather-related challenges, and share common meteorological characteristics. For instance, countries in one region might predominantly </w:t>
      </w:r>
      <w:r w:rsidRPr="007B45E9">
        <w:rPr>
          <w:rFonts w:ascii="Times New Roman" w:hAnsi="Times New Roman" w:cs="Times New Roman"/>
          <w:sz w:val="24"/>
          <w:szCs w:val="24"/>
        </w:rPr>
        <w:lastRenderedPageBreak/>
        <w:t xml:space="preserve">experience arid conditions and drought, while another might be characterized by humid tropical climates and heavy rainfall. The primary purpose of this strategic split is to facilitate a more coherent and manageable analysis. By aggregating countries with similar weather profiles, the study </w:t>
      </w:r>
      <w:r w:rsidR="00E26194" w:rsidRPr="007B45E9">
        <w:rPr>
          <w:rFonts w:ascii="Times New Roman" w:hAnsi="Times New Roman" w:cs="Times New Roman"/>
          <w:sz w:val="24"/>
          <w:szCs w:val="24"/>
        </w:rPr>
        <w:t>can :</w:t>
      </w:r>
    </w:p>
    <w:p w14:paraId="20EDA666" w14:textId="77777777" w:rsidR="0016438B" w:rsidRPr="007B45E9" w:rsidRDefault="0016438B" w:rsidP="007B45E9">
      <w:pPr>
        <w:pStyle w:val="ListParagraph"/>
        <w:numPr>
          <w:ilvl w:val="0"/>
          <w:numId w:val="1"/>
        </w:num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Simplify Data Interpretation: Instead of analyzing 54 individual countries, the focus can be narrowed to six regions, making patterns and trends more discernible.</w:t>
      </w:r>
    </w:p>
    <w:p w14:paraId="581562A8" w14:textId="667E05B2" w:rsidR="0016438B" w:rsidRPr="007B45E9" w:rsidRDefault="0016438B" w:rsidP="007B45E9">
      <w:pPr>
        <w:pStyle w:val="ListParagraph"/>
        <w:numPr>
          <w:ilvl w:val="0"/>
          <w:numId w:val="1"/>
        </w:num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Highlight Regional </w:t>
      </w:r>
      <w:r w:rsidR="004F56BB" w:rsidRPr="007B45E9">
        <w:rPr>
          <w:rFonts w:ascii="Times New Roman" w:hAnsi="Times New Roman" w:cs="Times New Roman"/>
          <w:sz w:val="24"/>
          <w:szCs w:val="24"/>
        </w:rPr>
        <w:t>Trends :</w:t>
      </w:r>
      <w:r w:rsidRPr="007B45E9">
        <w:rPr>
          <w:rFonts w:ascii="Times New Roman" w:hAnsi="Times New Roman" w:cs="Times New Roman"/>
          <w:sz w:val="24"/>
          <w:szCs w:val="24"/>
        </w:rPr>
        <w:t xml:space="preserve"> This division allows for the identification of specific weather-related issues that are endemic to particular regions, enabling a more targeted understanding of their impacts and potential solutions.</w:t>
      </w:r>
    </w:p>
    <w:p w14:paraId="4776AB6F" w14:textId="77777777" w:rsidR="0016438B" w:rsidRPr="007B45E9" w:rsidRDefault="0016438B" w:rsidP="007B45E9">
      <w:pPr>
        <w:pStyle w:val="ListParagraph"/>
        <w:numPr>
          <w:ilvl w:val="0"/>
          <w:numId w:val="1"/>
        </w:num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Improve Comparability: Comparing countries within a regionally homogenous group provides a more robust basis for drawing conclusions, as external climatic variables are largely consistent.</w:t>
      </w:r>
    </w:p>
    <w:p w14:paraId="2E9BAA73" w14:textId="77777777" w:rsidR="0016438B" w:rsidRPr="007B45E9" w:rsidRDefault="0016438B" w:rsidP="007B45E9">
      <w:pPr>
        <w:pStyle w:val="ListParagraph"/>
        <w:numPr>
          <w:ilvl w:val="0"/>
          <w:numId w:val="1"/>
        </w:num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Enhance Policy Recommendations: Understanding the unique weather challenges of each region can lead to more tailored and effective policy recommendations, rather than one-size-fits-all approaches.</w:t>
      </w:r>
    </w:p>
    <w:p w14:paraId="24E6D18D" w14:textId="0D7A806F" w:rsidR="0016438B" w:rsidRPr="007B45E9" w:rsidRDefault="0065658C"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Figure</w:t>
      </w:r>
      <w:r w:rsidR="0016438B" w:rsidRPr="007B45E9">
        <w:rPr>
          <w:rFonts w:ascii="Times New Roman" w:hAnsi="Times New Roman" w:cs="Times New Roman"/>
          <w:sz w:val="24"/>
          <w:szCs w:val="24"/>
        </w:rPr>
        <w:t xml:space="preserve"> 1, as referenced, provides the detailed breakdown of these six regions and the specific countries assigned to each. This table serves as the foundational framework for the geographical scope of this study, ensuring that the subsequent analysis is both structured and relevant to the distinct weather dynamics observed across the African continent. This methodical approach underscores the study's commitment to a nuanced understanding of Africa's weather landscape. 5</w:t>
      </w:r>
    </w:p>
    <w:p w14:paraId="4601C48C"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noProof/>
          <w:sz w:val="24"/>
          <w:szCs w:val="24"/>
        </w:rPr>
        <w:drawing>
          <wp:inline distT="0" distB="0" distL="0" distR="0" wp14:anchorId="591CA322" wp14:editId="3AAB3794">
            <wp:extent cx="5760720" cy="4074160"/>
            <wp:effectExtent l="0" t="0" r="0" b="2540"/>
            <wp:docPr id="21351095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074160"/>
                    </a:xfrm>
                    <a:prstGeom prst="rect">
                      <a:avLst/>
                    </a:prstGeom>
                    <a:noFill/>
                    <a:ln>
                      <a:noFill/>
                    </a:ln>
                  </pic:spPr>
                </pic:pic>
              </a:graphicData>
            </a:graphic>
          </wp:inline>
        </w:drawing>
      </w:r>
    </w:p>
    <w:p w14:paraId="7B378142" w14:textId="2F9DE34A"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Figure 1</w:t>
      </w:r>
      <w:r w:rsidRPr="007B45E9">
        <w:rPr>
          <w:rFonts w:ascii="Times New Roman" w:hAnsi="Times New Roman" w:cs="Times New Roman"/>
          <w:sz w:val="24"/>
          <w:szCs w:val="24"/>
        </w:rPr>
        <w:t> : The six Africa Region with its countries</w:t>
      </w:r>
    </w:p>
    <w:p w14:paraId="1B66C3CE" w14:textId="77777777"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2.2. Primary Agricultural System Type used per Africa Region for Analyses</w:t>
      </w:r>
    </w:p>
    <w:p w14:paraId="511969E8" w14:textId="026CC47C"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lastRenderedPageBreak/>
        <w:t xml:space="preserve">To effectively investigate our research questions, it was crucial to categorize the diverse agricultural practices observed. Therefore, for the purposes of this investigation, we employed a classification system based on Primary Agricultural System Types, as detailed in Table </w:t>
      </w:r>
      <w:r w:rsidR="0065658C" w:rsidRPr="007B45E9">
        <w:rPr>
          <w:rFonts w:ascii="Times New Roman" w:eastAsia="Times New Roman" w:hAnsi="Times New Roman" w:cs="Times New Roman"/>
          <w:kern w:val="0"/>
          <w:sz w:val="24"/>
          <w:szCs w:val="24"/>
          <w:lang w:eastAsia="fr-FR"/>
          <w14:ligatures w14:val="none"/>
        </w:rPr>
        <w:t>1</w:t>
      </w:r>
      <w:r w:rsidRPr="007B45E9">
        <w:rPr>
          <w:rFonts w:ascii="Times New Roman" w:eastAsia="Times New Roman" w:hAnsi="Times New Roman" w:cs="Times New Roman"/>
          <w:kern w:val="0"/>
          <w:sz w:val="24"/>
          <w:szCs w:val="24"/>
          <w:lang w:eastAsia="fr-FR"/>
          <w14:ligatures w14:val="none"/>
        </w:rPr>
        <w:t>.</w:t>
      </w:r>
      <w:r w:rsidR="0065658C" w:rsidRPr="007B45E9">
        <w:rPr>
          <w:rFonts w:ascii="Times New Roman" w:eastAsia="Times New Roman" w:hAnsi="Times New Roman" w:cs="Times New Roman"/>
          <w:kern w:val="0"/>
          <w:sz w:val="24"/>
          <w:szCs w:val="24"/>
          <w:lang w:eastAsia="fr-FR"/>
          <w14:ligatures w14:val="none"/>
        </w:rPr>
        <w:t xml:space="preserve"> </w:t>
      </w:r>
      <w:r w:rsidRPr="007B45E9">
        <w:rPr>
          <w:rFonts w:ascii="Times New Roman" w:eastAsia="Times New Roman" w:hAnsi="Times New Roman" w:cs="Times New Roman"/>
          <w:kern w:val="0"/>
          <w:sz w:val="24"/>
          <w:szCs w:val="24"/>
          <w:lang w:eastAsia="fr-FR"/>
          <w14:ligatures w14:val="none"/>
        </w:rPr>
        <w:t>This categorization was not arbitrary; rather, it served as a fundamental framework to streamline our analysis and draw more meaningful insights. By grouping agricultural activities into distinct system types, we could:</w:t>
      </w:r>
    </w:p>
    <w:p w14:paraId="5700BC60" w14:textId="77777777" w:rsidR="0016438B" w:rsidRPr="007B45E9" w:rsidRDefault="0016438B" w:rsidP="007B45E9">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Standardize comparisons: It allowed us to compare and contrast different agricultural approaches on a common basis, even if they occurred in varied geographical or socio-economic contexts.</w:t>
      </w:r>
    </w:p>
    <w:p w14:paraId="52479992" w14:textId="77777777" w:rsidR="0016438B" w:rsidRPr="007B45E9" w:rsidRDefault="0016438B" w:rsidP="007B45E9">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Identify common characteristics and challenges: Each system type often comes with its own set of inherent characteristics, resource requirements, and environmental challenges. Grouping them enabled us to better understand these shared aspects.</w:t>
      </w:r>
    </w:p>
    <w:p w14:paraId="1FDB690E" w14:textId="77777777" w:rsidR="0016438B" w:rsidRPr="007B45E9" w:rsidRDefault="0016438B" w:rsidP="007B45E9">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Facilitate data aggregation: Instead of analyzing countless individual farms or micro-practices, we could aggregate data at the system level, making the overall analysis more manageable and comprehensible.</w:t>
      </w:r>
    </w:p>
    <w:p w14:paraId="3F5A10F5" w14:textId="77777777" w:rsidR="0016438B" w:rsidRPr="007B45E9" w:rsidRDefault="0016438B" w:rsidP="007B45E9">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Derive targeted conclusions : By understanding the performance and impacts of each primary system type, we could formulate more precise conclusions and recommendations relevant to specific agricultural contexts.</w:t>
      </w:r>
    </w:p>
    <w:p w14:paraId="7D495CCB" w14:textId="0A0B9513"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Table </w:t>
      </w:r>
      <w:r w:rsidR="0065658C" w:rsidRPr="007B45E9">
        <w:rPr>
          <w:rFonts w:ascii="Times New Roman" w:eastAsia="Times New Roman" w:hAnsi="Times New Roman" w:cs="Times New Roman"/>
          <w:kern w:val="0"/>
          <w:sz w:val="24"/>
          <w:szCs w:val="24"/>
          <w:lang w:eastAsia="fr-FR"/>
          <w14:ligatures w14:val="none"/>
        </w:rPr>
        <w:t>1</w:t>
      </w:r>
      <w:r w:rsidRPr="007B45E9">
        <w:rPr>
          <w:rFonts w:ascii="Times New Roman" w:eastAsia="Times New Roman" w:hAnsi="Times New Roman" w:cs="Times New Roman"/>
          <w:kern w:val="0"/>
          <w:sz w:val="24"/>
          <w:szCs w:val="24"/>
          <w:lang w:eastAsia="fr-FR"/>
          <w14:ligatures w14:val="none"/>
        </w:rPr>
        <w:t>, referenced in our methodology, comprehensively lists these Primary Agricultural System Types. It serves as the bedrock for understanding the agricultural landscape within the scope of this investigation, ensuring that our findings are systematically organized and directly comparable across different farming modalities. This structured approach is vital for drawing robust conclusions about the agricultural sector under study.</w:t>
      </w:r>
    </w:p>
    <w:p w14:paraId="0279D721" w14:textId="58BC3E41"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b/>
          <w:bCs/>
          <w:kern w:val="0"/>
          <w:sz w:val="24"/>
          <w:szCs w:val="24"/>
          <w:lang w:eastAsia="fr-FR"/>
          <w14:ligatures w14:val="none"/>
        </w:rPr>
        <w:t xml:space="preserve">Table </w:t>
      </w:r>
      <w:r w:rsidR="0065658C" w:rsidRPr="007B45E9">
        <w:rPr>
          <w:rFonts w:ascii="Times New Roman" w:eastAsia="Times New Roman" w:hAnsi="Times New Roman" w:cs="Times New Roman"/>
          <w:b/>
          <w:bCs/>
          <w:kern w:val="0"/>
          <w:sz w:val="24"/>
          <w:szCs w:val="24"/>
          <w:lang w:eastAsia="fr-FR"/>
          <w14:ligatures w14:val="none"/>
        </w:rPr>
        <w:t>1</w:t>
      </w:r>
      <w:r w:rsidRPr="007B45E9">
        <w:rPr>
          <w:rFonts w:ascii="Times New Roman" w:eastAsia="Times New Roman" w:hAnsi="Times New Roman" w:cs="Times New Roman"/>
          <w:kern w:val="0"/>
          <w:sz w:val="24"/>
          <w:szCs w:val="24"/>
          <w:lang w:eastAsia="fr-FR"/>
          <w14:ligatures w14:val="none"/>
        </w:rPr>
        <w:t> : Primary Agricultural System Type used per Africa Regions</w:t>
      </w:r>
    </w:p>
    <w:tbl>
      <w:tblPr>
        <w:tblStyle w:val="PlainTable5"/>
        <w:tblW w:w="0" w:type="auto"/>
        <w:tblLook w:val="04A0" w:firstRow="1" w:lastRow="0" w:firstColumn="1" w:lastColumn="0" w:noHBand="0" w:noVBand="1"/>
      </w:tblPr>
      <w:tblGrid>
        <w:gridCol w:w="470"/>
        <w:gridCol w:w="3370"/>
        <w:gridCol w:w="4822"/>
      </w:tblGrid>
      <w:tr w:rsidR="0016438B" w:rsidRPr="007B45E9" w14:paraId="26199853" w14:textId="77777777" w:rsidTr="003879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173EB860" w14:textId="77777777" w:rsidR="0016438B" w:rsidRPr="007B45E9" w:rsidRDefault="0016438B" w:rsidP="007B45E9">
            <w:pPr>
              <w:jc w:val="center"/>
              <w:rPr>
                <w:rFonts w:ascii="Times New Roman" w:hAnsi="Times New Roman" w:cs="Times New Roman"/>
                <w:sz w:val="24"/>
                <w:szCs w:val="24"/>
              </w:rPr>
            </w:pPr>
            <w:r w:rsidRPr="007B45E9">
              <w:rPr>
                <w:rFonts w:ascii="Times New Roman" w:hAnsi="Times New Roman" w:cs="Times New Roman"/>
                <w:i w:val="0"/>
                <w:iCs w:val="0"/>
                <w:sz w:val="24"/>
                <w:szCs w:val="24"/>
              </w:rPr>
              <w:t>N</w:t>
            </w:r>
            <w:r w:rsidRPr="007B45E9">
              <w:rPr>
                <w:rFonts w:ascii="Times New Roman" w:hAnsi="Times New Roman" w:cs="Times New Roman"/>
                <w:sz w:val="24"/>
                <w:szCs w:val="24"/>
                <w:vertAlign w:val="superscript"/>
              </w:rPr>
              <w:t>0</w:t>
            </w:r>
          </w:p>
        </w:tc>
        <w:tc>
          <w:tcPr>
            <w:tcW w:w="0" w:type="auto"/>
          </w:tcPr>
          <w:p w14:paraId="5C33F4DF" w14:textId="77777777" w:rsidR="0016438B" w:rsidRPr="007B45E9" w:rsidRDefault="0016438B" w:rsidP="007B45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7B45E9">
              <w:rPr>
                <w:rFonts w:ascii="Times New Roman" w:hAnsi="Times New Roman" w:cs="Times New Roman"/>
                <w:b/>
                <w:bCs/>
                <w:i w:val="0"/>
                <w:iCs w:val="0"/>
                <w:sz w:val="24"/>
                <w:szCs w:val="24"/>
              </w:rPr>
              <w:t>Africa Regions</w:t>
            </w:r>
          </w:p>
        </w:tc>
        <w:tc>
          <w:tcPr>
            <w:tcW w:w="0" w:type="auto"/>
          </w:tcPr>
          <w:p w14:paraId="5045F01E" w14:textId="77777777" w:rsidR="0016438B" w:rsidRPr="007B45E9" w:rsidRDefault="0016438B" w:rsidP="007B45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bookmarkStart w:id="1" w:name="_Hlk199694491"/>
            <w:r w:rsidRPr="007B45E9">
              <w:rPr>
                <w:rFonts w:ascii="Times New Roman" w:hAnsi="Times New Roman" w:cs="Times New Roman"/>
                <w:b/>
                <w:bCs/>
                <w:i w:val="0"/>
                <w:iCs w:val="0"/>
                <w:sz w:val="24"/>
                <w:szCs w:val="24"/>
              </w:rPr>
              <w:t>Primary Agricultural System Type</w:t>
            </w:r>
            <w:bookmarkEnd w:id="1"/>
          </w:p>
        </w:tc>
      </w:tr>
      <w:tr w:rsidR="0016438B" w:rsidRPr="007B45E9" w14:paraId="11FFF8C1" w14:textId="77777777" w:rsidTr="00387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F5716F" w14:textId="77777777" w:rsidR="0016438B" w:rsidRPr="007B45E9" w:rsidRDefault="0016438B" w:rsidP="007B45E9">
            <w:pPr>
              <w:jc w:val="both"/>
              <w:rPr>
                <w:rFonts w:ascii="Times New Roman" w:hAnsi="Times New Roman" w:cs="Times New Roman"/>
                <w:sz w:val="24"/>
                <w:szCs w:val="24"/>
              </w:rPr>
            </w:pPr>
            <w:r w:rsidRPr="007B45E9">
              <w:rPr>
                <w:rFonts w:ascii="Times New Roman" w:hAnsi="Times New Roman" w:cs="Times New Roman"/>
                <w:sz w:val="24"/>
                <w:szCs w:val="24"/>
              </w:rPr>
              <w:t>1</w:t>
            </w:r>
          </w:p>
        </w:tc>
        <w:tc>
          <w:tcPr>
            <w:tcW w:w="0" w:type="auto"/>
          </w:tcPr>
          <w:p w14:paraId="690D7B86" w14:textId="77777777" w:rsidR="0016438B" w:rsidRPr="007B45E9" w:rsidRDefault="0016438B" w:rsidP="007B45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North Africa</w:t>
            </w:r>
          </w:p>
        </w:tc>
        <w:tc>
          <w:tcPr>
            <w:tcW w:w="0" w:type="auto"/>
          </w:tcPr>
          <w:p w14:paraId="4548B978" w14:textId="77777777" w:rsidR="0016438B" w:rsidRPr="007B45E9" w:rsidRDefault="0016438B" w:rsidP="007B45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Arid/Semi-arid, Irrigated Croplands</w:t>
            </w:r>
          </w:p>
        </w:tc>
      </w:tr>
      <w:tr w:rsidR="0016438B" w:rsidRPr="007B45E9" w14:paraId="27A8F13D" w14:textId="77777777" w:rsidTr="003879D6">
        <w:tc>
          <w:tcPr>
            <w:cnfStyle w:val="001000000000" w:firstRow="0" w:lastRow="0" w:firstColumn="1" w:lastColumn="0" w:oddVBand="0" w:evenVBand="0" w:oddHBand="0" w:evenHBand="0" w:firstRowFirstColumn="0" w:firstRowLastColumn="0" w:lastRowFirstColumn="0" w:lastRowLastColumn="0"/>
            <w:tcW w:w="0" w:type="auto"/>
          </w:tcPr>
          <w:p w14:paraId="23F6B485" w14:textId="77777777" w:rsidR="0016438B" w:rsidRPr="007B45E9" w:rsidRDefault="0016438B" w:rsidP="007B45E9">
            <w:pPr>
              <w:jc w:val="both"/>
              <w:rPr>
                <w:rFonts w:ascii="Times New Roman" w:hAnsi="Times New Roman" w:cs="Times New Roman"/>
                <w:sz w:val="24"/>
                <w:szCs w:val="24"/>
              </w:rPr>
            </w:pPr>
            <w:r w:rsidRPr="007B45E9">
              <w:rPr>
                <w:rFonts w:ascii="Times New Roman" w:hAnsi="Times New Roman" w:cs="Times New Roman"/>
                <w:sz w:val="24"/>
                <w:szCs w:val="24"/>
              </w:rPr>
              <w:t>2</w:t>
            </w:r>
          </w:p>
        </w:tc>
        <w:tc>
          <w:tcPr>
            <w:tcW w:w="0" w:type="auto"/>
          </w:tcPr>
          <w:p w14:paraId="4A7812D4" w14:textId="77777777" w:rsidR="0016438B" w:rsidRPr="007B45E9" w:rsidRDefault="0016438B" w:rsidP="007B45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West Africa (Sahel)</w:t>
            </w:r>
          </w:p>
        </w:tc>
        <w:tc>
          <w:tcPr>
            <w:tcW w:w="0" w:type="auto"/>
          </w:tcPr>
          <w:p w14:paraId="7B7737E9" w14:textId="77777777" w:rsidR="0016438B" w:rsidRPr="007B45E9" w:rsidRDefault="0016438B" w:rsidP="007B45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Semi-arid, Rainfed Croplands, Pasture</w:t>
            </w:r>
          </w:p>
        </w:tc>
      </w:tr>
      <w:tr w:rsidR="0016438B" w:rsidRPr="007B45E9" w14:paraId="681E7425" w14:textId="77777777" w:rsidTr="00387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3B73ED" w14:textId="77777777" w:rsidR="0016438B" w:rsidRPr="007B45E9" w:rsidRDefault="0016438B" w:rsidP="007B45E9">
            <w:pPr>
              <w:jc w:val="both"/>
              <w:rPr>
                <w:rFonts w:ascii="Times New Roman" w:hAnsi="Times New Roman" w:cs="Times New Roman"/>
                <w:sz w:val="24"/>
                <w:szCs w:val="24"/>
              </w:rPr>
            </w:pPr>
            <w:r w:rsidRPr="007B45E9">
              <w:rPr>
                <w:rFonts w:ascii="Times New Roman" w:hAnsi="Times New Roman" w:cs="Times New Roman"/>
                <w:sz w:val="24"/>
                <w:szCs w:val="24"/>
              </w:rPr>
              <w:t>3</w:t>
            </w:r>
          </w:p>
        </w:tc>
        <w:tc>
          <w:tcPr>
            <w:tcW w:w="0" w:type="auto"/>
          </w:tcPr>
          <w:p w14:paraId="5EDAF881" w14:textId="77777777" w:rsidR="0016438B" w:rsidRPr="007B45E9" w:rsidRDefault="0016438B" w:rsidP="007B45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West Africa (Humid/Sub-humid)</w:t>
            </w:r>
          </w:p>
        </w:tc>
        <w:tc>
          <w:tcPr>
            <w:tcW w:w="0" w:type="auto"/>
          </w:tcPr>
          <w:p w14:paraId="117C498E" w14:textId="77777777" w:rsidR="0016438B" w:rsidRPr="007B45E9" w:rsidRDefault="0016438B" w:rsidP="007B45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Humid/Sub-humid, Croplands, Agroforestry</w:t>
            </w:r>
          </w:p>
        </w:tc>
      </w:tr>
      <w:tr w:rsidR="0016438B" w:rsidRPr="007B45E9" w14:paraId="52E147E8" w14:textId="77777777" w:rsidTr="003879D6">
        <w:tc>
          <w:tcPr>
            <w:cnfStyle w:val="001000000000" w:firstRow="0" w:lastRow="0" w:firstColumn="1" w:lastColumn="0" w:oddVBand="0" w:evenVBand="0" w:oddHBand="0" w:evenHBand="0" w:firstRowFirstColumn="0" w:firstRowLastColumn="0" w:lastRowFirstColumn="0" w:lastRowLastColumn="0"/>
            <w:tcW w:w="0" w:type="auto"/>
          </w:tcPr>
          <w:p w14:paraId="735AAC0B" w14:textId="77777777" w:rsidR="0016438B" w:rsidRPr="007B45E9" w:rsidRDefault="0016438B" w:rsidP="007B45E9">
            <w:pPr>
              <w:jc w:val="both"/>
              <w:rPr>
                <w:rFonts w:ascii="Times New Roman" w:hAnsi="Times New Roman" w:cs="Times New Roman"/>
                <w:sz w:val="24"/>
                <w:szCs w:val="24"/>
              </w:rPr>
            </w:pPr>
            <w:r w:rsidRPr="007B45E9">
              <w:rPr>
                <w:rFonts w:ascii="Times New Roman" w:hAnsi="Times New Roman" w:cs="Times New Roman"/>
                <w:sz w:val="24"/>
                <w:szCs w:val="24"/>
              </w:rPr>
              <w:t>4</w:t>
            </w:r>
          </w:p>
        </w:tc>
        <w:tc>
          <w:tcPr>
            <w:tcW w:w="0" w:type="auto"/>
          </w:tcPr>
          <w:p w14:paraId="788724D1" w14:textId="77777777" w:rsidR="0016438B" w:rsidRPr="007B45E9" w:rsidRDefault="0016438B" w:rsidP="007B45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East Africa</w:t>
            </w:r>
          </w:p>
        </w:tc>
        <w:tc>
          <w:tcPr>
            <w:tcW w:w="0" w:type="auto"/>
          </w:tcPr>
          <w:p w14:paraId="739C6BD2" w14:textId="77777777" w:rsidR="0016438B" w:rsidRPr="007B45E9" w:rsidRDefault="0016438B" w:rsidP="007B45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Highlands, Mixed Farming, Pastoral</w:t>
            </w:r>
          </w:p>
        </w:tc>
      </w:tr>
      <w:tr w:rsidR="0016438B" w:rsidRPr="007B45E9" w14:paraId="13DDC205" w14:textId="77777777" w:rsidTr="00387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90696C" w14:textId="77777777" w:rsidR="0016438B" w:rsidRPr="007B45E9" w:rsidRDefault="0016438B" w:rsidP="007B45E9">
            <w:pPr>
              <w:jc w:val="both"/>
              <w:rPr>
                <w:rFonts w:ascii="Times New Roman" w:hAnsi="Times New Roman" w:cs="Times New Roman"/>
                <w:sz w:val="24"/>
                <w:szCs w:val="24"/>
              </w:rPr>
            </w:pPr>
            <w:r w:rsidRPr="007B45E9">
              <w:rPr>
                <w:rFonts w:ascii="Times New Roman" w:hAnsi="Times New Roman" w:cs="Times New Roman"/>
                <w:sz w:val="24"/>
                <w:szCs w:val="24"/>
              </w:rPr>
              <w:t>5</w:t>
            </w:r>
          </w:p>
        </w:tc>
        <w:tc>
          <w:tcPr>
            <w:tcW w:w="0" w:type="auto"/>
          </w:tcPr>
          <w:p w14:paraId="6A291B6A" w14:textId="77777777" w:rsidR="0016438B" w:rsidRPr="007B45E9" w:rsidRDefault="0016438B" w:rsidP="007B45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Central Africa</w:t>
            </w:r>
          </w:p>
        </w:tc>
        <w:tc>
          <w:tcPr>
            <w:tcW w:w="0" w:type="auto"/>
          </w:tcPr>
          <w:p w14:paraId="460DA0C7" w14:textId="77777777" w:rsidR="0016438B" w:rsidRPr="007B45E9" w:rsidRDefault="0016438B" w:rsidP="007B45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Humid Forest, Shifting Cultivation</w:t>
            </w:r>
          </w:p>
        </w:tc>
      </w:tr>
      <w:tr w:rsidR="0016438B" w:rsidRPr="007B45E9" w14:paraId="5BF811B7" w14:textId="77777777" w:rsidTr="003879D6">
        <w:tc>
          <w:tcPr>
            <w:cnfStyle w:val="001000000000" w:firstRow="0" w:lastRow="0" w:firstColumn="1" w:lastColumn="0" w:oddVBand="0" w:evenVBand="0" w:oddHBand="0" w:evenHBand="0" w:firstRowFirstColumn="0" w:firstRowLastColumn="0" w:lastRowFirstColumn="0" w:lastRowLastColumn="0"/>
            <w:tcW w:w="0" w:type="auto"/>
          </w:tcPr>
          <w:p w14:paraId="3D68F77C" w14:textId="77777777" w:rsidR="0016438B" w:rsidRPr="007B45E9" w:rsidRDefault="0016438B" w:rsidP="007B45E9">
            <w:pPr>
              <w:jc w:val="both"/>
              <w:rPr>
                <w:rFonts w:ascii="Times New Roman" w:hAnsi="Times New Roman" w:cs="Times New Roman"/>
                <w:sz w:val="24"/>
                <w:szCs w:val="24"/>
              </w:rPr>
            </w:pPr>
            <w:r w:rsidRPr="007B45E9">
              <w:rPr>
                <w:rFonts w:ascii="Times New Roman" w:hAnsi="Times New Roman" w:cs="Times New Roman"/>
                <w:sz w:val="24"/>
                <w:szCs w:val="24"/>
              </w:rPr>
              <w:t>6</w:t>
            </w:r>
          </w:p>
        </w:tc>
        <w:tc>
          <w:tcPr>
            <w:tcW w:w="0" w:type="auto"/>
          </w:tcPr>
          <w:p w14:paraId="7EEB1653" w14:textId="77777777" w:rsidR="0016438B" w:rsidRPr="007B45E9" w:rsidRDefault="0016438B" w:rsidP="007B45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Southern Africa</w:t>
            </w:r>
          </w:p>
        </w:tc>
        <w:tc>
          <w:tcPr>
            <w:tcW w:w="0" w:type="auto"/>
          </w:tcPr>
          <w:p w14:paraId="1BC47CE5" w14:textId="77777777" w:rsidR="0016438B" w:rsidRPr="007B45E9" w:rsidRDefault="0016438B" w:rsidP="007B45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B45E9">
              <w:rPr>
                <w:rFonts w:ascii="Times New Roman" w:hAnsi="Times New Roman" w:cs="Times New Roman"/>
                <w:sz w:val="24"/>
                <w:szCs w:val="24"/>
              </w:rPr>
              <w:t>Diverse (arid to humid), Croplands, Rangelands</w:t>
            </w:r>
          </w:p>
        </w:tc>
      </w:tr>
    </w:tbl>
    <w:p w14:paraId="56CC7FFB" w14:textId="77777777" w:rsidR="0016438B" w:rsidRPr="007B45E9" w:rsidRDefault="0016438B" w:rsidP="007B45E9">
      <w:pPr>
        <w:spacing w:line="240" w:lineRule="auto"/>
        <w:jc w:val="both"/>
        <w:rPr>
          <w:rFonts w:ascii="Times New Roman" w:hAnsi="Times New Roman" w:cs="Times New Roman"/>
          <w:sz w:val="24"/>
          <w:szCs w:val="24"/>
        </w:rPr>
      </w:pPr>
    </w:p>
    <w:p w14:paraId="7E56AC9A" w14:textId="77777777"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2.3 Estimation of farland carbon potential sequestration per Africa Region</w:t>
      </w:r>
    </w:p>
    <w:p w14:paraId="5E2889C7" w14:textId="77777777" w:rsidR="0016438B" w:rsidRPr="007B45E9" w:rsidRDefault="0016438B" w:rsidP="007B45E9">
      <w:pPr>
        <w:pStyle w:val="NormalWeb"/>
        <w:spacing w:line="240" w:lineRule="auto"/>
        <w:jc w:val="both"/>
        <w:rPr>
          <w:rFonts w:eastAsia="Times New Roman"/>
          <w:kern w:val="0"/>
          <w:lang w:eastAsia="fr-FR"/>
          <w14:ligatures w14:val="none"/>
        </w:rPr>
      </w:pPr>
      <w:r w:rsidRPr="007B45E9">
        <w:t xml:space="preserve">To estimate carbon stock per region, secondary data were collected from peer-reviewed articles and academic publications covering countries across each region. The scope of this collection was comprehensive, encompassing publications that provided carbon stock measurements from various ecosystems and land uses across all countries within each designated region. This extensive search ensured that we captured a representative snapshot of carbon stock values from diverse geographical and ecological contexts within each region.The data obtained were then used to calculate the average attributed to each region. </w:t>
      </w:r>
      <w:r w:rsidRPr="007B45E9">
        <w:rPr>
          <w:rFonts w:eastAsia="Times New Roman"/>
          <w:kern w:val="0"/>
          <w:lang w:eastAsia="fr-FR"/>
          <w14:ligatures w14:val="none"/>
        </w:rPr>
        <w:t>This approach was adopted for several key reasons:</w:t>
      </w:r>
    </w:p>
    <w:p w14:paraId="543A7E9E" w14:textId="77777777" w:rsidR="0016438B" w:rsidRPr="007B45E9" w:rsidRDefault="0016438B" w:rsidP="007B45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Leveraging Existing Research: It allowed us to build upon the extensive scientific knowledge already available in the public domain, making efficient use of existing research efforts.</w:t>
      </w:r>
    </w:p>
    <w:p w14:paraId="63185FBE" w14:textId="77777777" w:rsidR="0016438B" w:rsidRPr="007B45E9" w:rsidRDefault="0016438B" w:rsidP="007B45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lastRenderedPageBreak/>
        <w:t>Ensuring Robustness: By drawing from multiple studies and diverse sources within each region, the calculated average is more robust and less susceptible to the biases or specific conditions of a single study.</w:t>
      </w:r>
    </w:p>
    <w:p w14:paraId="391DEEE4" w14:textId="77777777" w:rsidR="0016438B" w:rsidRPr="007B45E9" w:rsidRDefault="0016438B" w:rsidP="007B45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Facilitating Regional Comparison: The regional averages provide a standardized metric, enabling meaningful comparisons of carbon stock between different African regions. This is essential for understanding regional variations and identifying areas of higher or lower carbon sequestration potential.</w:t>
      </w:r>
    </w:p>
    <w:p w14:paraId="4C6265C3" w14:textId="77777777" w:rsidR="0016438B" w:rsidRPr="007B45E9" w:rsidRDefault="0016438B" w:rsidP="007B45E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Addressing Data Gaps: In instances where primary data collection might be impractical or resource-intensive across all countries, this method allows for a reliable estimation based on available scholarly information.</w:t>
      </w:r>
    </w:p>
    <w:p w14:paraId="75E6C7DF" w14:textId="77777777"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In essence, this systematic collection of secondary data and subsequent averaging provided a reliable and comprehensive estimation of carbon stock for each African region, forming a critical component of our broader understanding of carbon dynamics on the continent.</w:t>
      </w:r>
    </w:p>
    <w:p w14:paraId="318EB4A4" w14:textId="77777777"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For that purpose this formula was applied</w:t>
      </w:r>
    </w:p>
    <w:p w14:paraId="4AB4D085" w14:textId="77777777"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noProof/>
          <w:kern w:val="0"/>
          <w:sz w:val="24"/>
          <w:szCs w:val="24"/>
          <w:lang w:eastAsia="fr-FR"/>
          <w14:ligatures w14:val="none"/>
        </w:rPr>
        <w:drawing>
          <wp:inline distT="0" distB="0" distL="0" distR="0" wp14:anchorId="557FF5A4" wp14:editId="28FF7C5B">
            <wp:extent cx="2743341" cy="615982"/>
            <wp:effectExtent l="0" t="0" r="0" b="0"/>
            <wp:docPr id="6839474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47466" name=""/>
                    <pic:cNvPicPr/>
                  </pic:nvPicPr>
                  <pic:blipFill>
                    <a:blip r:embed="rId12"/>
                    <a:stretch>
                      <a:fillRect/>
                    </a:stretch>
                  </pic:blipFill>
                  <pic:spPr>
                    <a:xfrm>
                      <a:off x="0" y="0"/>
                      <a:ext cx="2743341" cy="615982"/>
                    </a:xfrm>
                    <a:prstGeom prst="rect">
                      <a:avLst/>
                    </a:prstGeom>
                  </pic:spPr>
                </pic:pic>
              </a:graphicData>
            </a:graphic>
          </wp:inline>
        </w:drawing>
      </w:r>
    </w:p>
    <w:p w14:paraId="15B04919" w14:textId="77777777"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Where : </w:t>
      </w:r>
    </w:p>
    <w:p w14:paraId="26F10233" w14:textId="77777777" w:rsidR="0016438B" w:rsidRPr="007B45E9" w:rsidRDefault="0016438B" w:rsidP="007B45E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CS</w:t>
      </w:r>
      <w:r w:rsidRPr="007B45E9">
        <w:rPr>
          <w:rFonts w:ascii="Times New Roman" w:eastAsia="Times New Roman" w:hAnsi="Times New Roman" w:cs="Times New Roman"/>
          <w:kern w:val="0"/>
          <w:sz w:val="24"/>
          <w:szCs w:val="24"/>
          <w:vertAlign w:val="subscript"/>
          <w:lang w:eastAsia="fr-FR"/>
          <w14:ligatures w14:val="none"/>
        </w:rPr>
        <w:t xml:space="preserve">region,r​: </w:t>
      </w:r>
      <w:r w:rsidRPr="007B45E9">
        <w:rPr>
          <w:rFonts w:ascii="Times New Roman" w:eastAsia="Times New Roman" w:hAnsi="Times New Roman" w:cs="Times New Roman"/>
          <w:kern w:val="0"/>
          <w:sz w:val="24"/>
          <w:szCs w:val="24"/>
          <w:lang w:eastAsia="fr-FR"/>
          <w14:ligatures w14:val="none"/>
        </w:rPr>
        <w:t>This is the dependent variable we are estimating, representing the average carbon stock for region r. The units will depend on whether the initial data points are per hectare, per specific land area, or total.</w:t>
      </w:r>
    </w:p>
    <w:p w14:paraId="06EE2843" w14:textId="77777777" w:rsidR="0016438B" w:rsidRPr="007B45E9" w:rsidRDefault="0016438B" w:rsidP="007B45E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D</w:t>
      </w:r>
      <w:r w:rsidRPr="007B45E9">
        <w:rPr>
          <w:rFonts w:ascii="Times New Roman" w:eastAsia="Times New Roman" w:hAnsi="Times New Roman" w:cs="Times New Roman"/>
          <w:kern w:val="0"/>
          <w:sz w:val="24"/>
          <w:szCs w:val="24"/>
          <w:vertAlign w:val="subscript"/>
          <w:lang w:eastAsia="fr-FR"/>
          <w14:ligatures w14:val="none"/>
        </w:rPr>
        <w:t>r,j</w:t>
      </w:r>
      <w:r w:rsidRPr="007B45E9">
        <w:rPr>
          <w:rFonts w:ascii="Times New Roman" w:eastAsia="Times New Roman" w:hAnsi="Times New Roman" w:cs="Times New Roman"/>
          <w:kern w:val="0"/>
          <w:sz w:val="24"/>
          <w:szCs w:val="24"/>
          <w:lang w:eastAsia="fr-FR"/>
          <w14:ligatures w14:val="none"/>
        </w:rPr>
        <w:t>​: This represents each individual carbon stock measurement (e.g., carbon stored in a forest, soil, or agricultural land) found in the literature for a location within region r. The data would be in units like tons C/ha, tons CO2e/ha, or total tons.</w:t>
      </w:r>
    </w:p>
    <w:p w14:paraId="798B3B9F" w14:textId="77777777" w:rsidR="0016438B" w:rsidRPr="007B45E9" w:rsidRDefault="0016438B" w:rsidP="007B45E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mr​: This denotes the total count of all such individual carbon stock data points collected for a given region r.</w:t>
      </w:r>
    </w:p>
    <w:p w14:paraId="6D7B462F" w14:textId="77777777" w:rsidR="0016438B" w:rsidRPr="007B45E9" w:rsidRDefault="0016438B" w:rsidP="007B45E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w:t>
      </w:r>
      <w:r w:rsidRPr="007B45E9">
        <w:rPr>
          <w:rFonts w:ascii="Times New Roman" w:hAnsi="Times New Roman" w:cs="Times New Roman"/>
          <w:noProof/>
          <w:sz w:val="24"/>
          <w:szCs w:val="24"/>
        </w:rPr>
        <w:t xml:space="preserve"> </w:t>
      </w:r>
      <w:r w:rsidRPr="007B45E9">
        <w:rPr>
          <w:rFonts w:ascii="Times New Roman" w:eastAsia="Times New Roman" w:hAnsi="Times New Roman" w:cs="Times New Roman"/>
          <w:noProof/>
          <w:kern w:val="0"/>
          <w:sz w:val="24"/>
          <w:szCs w:val="24"/>
          <w:lang w:eastAsia="fr-FR"/>
          <w14:ligatures w14:val="none"/>
        </w:rPr>
        <w:drawing>
          <wp:inline distT="0" distB="0" distL="0" distR="0" wp14:anchorId="6C52787C" wp14:editId="32E52D8D">
            <wp:extent cx="1054154" cy="234962"/>
            <wp:effectExtent l="0" t="0" r="0" b="0"/>
            <wp:docPr id="19666478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47894" name=""/>
                    <pic:cNvPicPr/>
                  </pic:nvPicPr>
                  <pic:blipFill>
                    <a:blip r:embed="rId13"/>
                    <a:stretch>
                      <a:fillRect/>
                    </a:stretch>
                  </pic:blipFill>
                  <pic:spPr>
                    <a:xfrm>
                      <a:off x="0" y="0"/>
                      <a:ext cx="1054154" cy="234962"/>
                    </a:xfrm>
                    <a:prstGeom prst="rect">
                      <a:avLst/>
                    </a:prstGeom>
                  </pic:spPr>
                </pic:pic>
              </a:graphicData>
            </a:graphic>
          </wp:inline>
        </w:drawing>
      </w:r>
      <w:r w:rsidRPr="007B45E9">
        <w:rPr>
          <w:rFonts w:ascii="Times New Roman" w:eastAsia="Times New Roman" w:hAnsi="Times New Roman" w:cs="Times New Roman"/>
          <w:kern w:val="0"/>
          <w:sz w:val="24"/>
          <w:szCs w:val="24"/>
          <w:lang w:eastAsia="fr-FR"/>
          <w14:ligatures w14:val="none"/>
        </w:rPr>
        <w:t>: This is the sum of all collected carbon stock data points for region r.</w:t>
      </w:r>
    </w:p>
    <w:p w14:paraId="2D4069FE" w14:textId="77777777" w:rsidR="0016438B" w:rsidRPr="007B45E9" w:rsidRDefault="0016438B" w:rsidP="007B45E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w:t>
      </w:r>
      <w:r w:rsidRPr="007B45E9">
        <w:rPr>
          <w:rFonts w:ascii="Times New Roman" w:hAnsi="Times New Roman" w:cs="Times New Roman"/>
          <w:noProof/>
          <w:sz w:val="24"/>
          <w:szCs w:val="24"/>
        </w:rPr>
        <w:t xml:space="preserve"> </w:t>
      </w:r>
      <w:r w:rsidRPr="007B45E9">
        <w:rPr>
          <w:rFonts w:ascii="Times New Roman" w:eastAsia="Times New Roman" w:hAnsi="Times New Roman" w:cs="Times New Roman"/>
          <w:noProof/>
          <w:kern w:val="0"/>
          <w:sz w:val="24"/>
          <w:szCs w:val="24"/>
          <w:lang w:eastAsia="fr-FR"/>
          <w14:ligatures w14:val="none"/>
        </w:rPr>
        <w:drawing>
          <wp:inline distT="0" distB="0" distL="0" distR="0" wp14:anchorId="1D11417B" wp14:editId="3A09DB8F">
            <wp:extent cx="1181161" cy="311166"/>
            <wp:effectExtent l="0" t="0" r="0" b="0"/>
            <wp:docPr id="551461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61751" name=""/>
                    <pic:cNvPicPr/>
                  </pic:nvPicPr>
                  <pic:blipFill>
                    <a:blip r:embed="rId14"/>
                    <a:stretch>
                      <a:fillRect/>
                    </a:stretch>
                  </pic:blipFill>
                  <pic:spPr>
                    <a:xfrm>
                      <a:off x="0" y="0"/>
                      <a:ext cx="1181161" cy="311166"/>
                    </a:xfrm>
                    <a:prstGeom prst="rect">
                      <a:avLst/>
                    </a:prstGeom>
                  </pic:spPr>
                </pic:pic>
              </a:graphicData>
            </a:graphic>
          </wp:inline>
        </w:drawing>
      </w:r>
      <w:r w:rsidRPr="007B45E9">
        <w:rPr>
          <w:rFonts w:ascii="Times New Roman" w:eastAsia="Times New Roman" w:hAnsi="Times New Roman" w:cs="Times New Roman"/>
          <w:kern w:val="0"/>
          <w:sz w:val="24"/>
          <w:szCs w:val="24"/>
          <w:lang w:eastAsia="fr-FR"/>
          <w14:ligatures w14:val="none"/>
        </w:rPr>
        <w:t>: This is the arithmetic mean, used to consolidate the diverse carbon stock measurements into a single, representative average for the region.</w:t>
      </w:r>
    </w:p>
    <w:p w14:paraId="75DCAECB" w14:textId="4D603058"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This mathematical model encapsulates the method of deriving a regional average carbon stock from a comprehensive collection of individual carbon stock measurements from the scientific literature.</w:t>
      </w:r>
    </w:p>
    <w:p w14:paraId="324393AB" w14:textId="52777F6C"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 xml:space="preserve">2.4 </w:t>
      </w:r>
      <w:bookmarkStart w:id="2" w:name="_Hlk199695546"/>
      <w:r w:rsidRPr="007B45E9">
        <w:rPr>
          <w:rFonts w:ascii="Times New Roman" w:hAnsi="Times New Roman" w:cs="Times New Roman"/>
          <w:b/>
          <w:bCs/>
          <w:sz w:val="24"/>
          <w:szCs w:val="24"/>
        </w:rPr>
        <w:t xml:space="preserve">Estimation of </w:t>
      </w:r>
      <w:bookmarkEnd w:id="2"/>
      <w:r w:rsidRPr="007B45E9">
        <w:rPr>
          <w:rFonts w:ascii="Times New Roman" w:hAnsi="Times New Roman" w:cs="Times New Roman"/>
          <w:b/>
          <w:bCs/>
          <w:sz w:val="24"/>
          <w:szCs w:val="24"/>
        </w:rPr>
        <w:t>carbon price per ton metric accross Africa Regions</w:t>
      </w:r>
    </w:p>
    <w:p w14:paraId="6584C60F"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To estimate regional carbon prices, we systematically gathered secondary data from peer-reviewed articles and academic publications spanning all countries within each defined region. This extensive collection of existing research allowed us to leverage validated information on carbon pricing mechanisms and market values. Subsequently, the diverse data points obtained for each region were consolidated and averaged. This calculated average was then assigned as the representative carbon price for that specific region, enabling a clear, region-specific understanding of carbon valuation. The following was them appliied</w:t>
      </w:r>
    </w:p>
    <w:p w14:paraId="31AF1D78" w14:textId="77777777"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noProof/>
          <w:kern w:val="0"/>
          <w:sz w:val="24"/>
          <w:szCs w:val="24"/>
          <w:lang w:eastAsia="fr-FR"/>
          <w14:ligatures w14:val="none"/>
        </w:rPr>
        <w:lastRenderedPageBreak/>
        <w:drawing>
          <wp:inline distT="0" distB="0" distL="0" distR="0" wp14:anchorId="2738C88E" wp14:editId="4872ADA0">
            <wp:extent cx="2254366" cy="768389"/>
            <wp:effectExtent l="0" t="0" r="0" b="0"/>
            <wp:docPr id="642680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80163" name=""/>
                    <pic:cNvPicPr/>
                  </pic:nvPicPr>
                  <pic:blipFill>
                    <a:blip r:embed="rId15"/>
                    <a:stretch>
                      <a:fillRect/>
                    </a:stretch>
                  </pic:blipFill>
                  <pic:spPr>
                    <a:xfrm>
                      <a:off x="0" y="0"/>
                      <a:ext cx="2254366" cy="768389"/>
                    </a:xfrm>
                    <a:prstGeom prst="rect">
                      <a:avLst/>
                    </a:prstGeom>
                  </pic:spPr>
                </pic:pic>
              </a:graphicData>
            </a:graphic>
          </wp:inline>
        </w:drawing>
      </w:r>
    </w:p>
    <w:p w14:paraId="260A4D47" w14:textId="77777777"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Where </w:t>
      </w:r>
    </w:p>
    <w:p w14:paraId="7443579C" w14:textId="5A51A713" w:rsidR="0016438B" w:rsidRPr="007B45E9" w:rsidRDefault="0016438B" w:rsidP="007B45E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CP</w:t>
      </w:r>
      <w:r w:rsidRPr="007B45E9">
        <w:rPr>
          <w:rFonts w:ascii="Times New Roman" w:eastAsia="Times New Roman" w:hAnsi="Times New Roman" w:cs="Times New Roman"/>
          <w:kern w:val="0"/>
          <w:sz w:val="24"/>
          <w:szCs w:val="24"/>
          <w:vertAlign w:val="subscript"/>
          <w:lang w:eastAsia="fr-FR"/>
          <w14:ligatures w14:val="none"/>
        </w:rPr>
        <w:t>price,r</w:t>
      </w:r>
      <w:r w:rsidRPr="007B45E9">
        <w:rPr>
          <w:rFonts w:ascii="Times New Roman" w:eastAsia="Times New Roman" w:hAnsi="Times New Roman" w:cs="Times New Roman"/>
          <w:kern w:val="0"/>
          <w:sz w:val="24"/>
          <w:szCs w:val="24"/>
          <w:lang w:eastAsia="fr-FR"/>
          <w14:ligatures w14:val="none"/>
        </w:rPr>
        <w:t>: This is the output, representing the estimated average carbon price for region r. It is the final value attributed to each region for carbon valuation.</w:t>
      </w:r>
    </w:p>
    <w:p w14:paraId="5684EC10" w14:textId="11E005F8" w:rsidR="0016438B" w:rsidRPr="007B45E9" w:rsidRDefault="0016438B" w:rsidP="007B45E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D</w:t>
      </w:r>
      <w:r w:rsidRPr="007B45E9">
        <w:rPr>
          <w:rFonts w:ascii="Times New Roman" w:eastAsia="Times New Roman" w:hAnsi="Times New Roman" w:cs="Times New Roman"/>
          <w:kern w:val="0"/>
          <w:sz w:val="24"/>
          <w:szCs w:val="24"/>
          <w:vertAlign w:val="subscript"/>
          <w:lang w:eastAsia="fr-FR"/>
          <w14:ligatures w14:val="none"/>
        </w:rPr>
        <w:t xml:space="preserve">r,i </w:t>
      </w:r>
      <w:r w:rsidRPr="007B45E9">
        <w:rPr>
          <w:rFonts w:ascii="Times New Roman" w:eastAsia="Times New Roman" w:hAnsi="Times New Roman" w:cs="Times New Roman"/>
          <w:kern w:val="0"/>
          <w:sz w:val="24"/>
          <w:szCs w:val="24"/>
          <w:lang w:eastAsia="fr-FR"/>
          <w14:ligatures w14:val="none"/>
        </w:rPr>
        <w:t>This represents each individual carbon price value (e.g., from a specific study or market mechanism) that was found for countries within region r. The data would be in units like &lt;span class="math-inline"&gt;/ton CO2e or \/ton C.</w:t>
      </w:r>
    </w:p>
    <w:p w14:paraId="44610D56" w14:textId="5FC6D445" w:rsidR="0016438B" w:rsidRPr="007B45E9" w:rsidRDefault="0016438B" w:rsidP="007B45E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nr: This denotes the count of all such individual data points collected for a given region r.</w:t>
      </w:r>
    </w:p>
    <w:p w14:paraId="5A4968D1" w14:textId="77777777" w:rsidR="0016438B" w:rsidRPr="007B45E9" w:rsidRDefault="0016438B" w:rsidP="007B45E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noProof/>
          <w:kern w:val="0"/>
          <w:sz w:val="24"/>
          <w:szCs w:val="24"/>
          <w:lang w:eastAsia="fr-FR"/>
          <w14:ligatures w14:val="none"/>
        </w:rPr>
        <w:drawing>
          <wp:inline distT="0" distB="0" distL="0" distR="0" wp14:anchorId="727BBC3F" wp14:editId="0FF1B706">
            <wp:extent cx="863644" cy="285765"/>
            <wp:effectExtent l="0" t="0" r="0" b="0"/>
            <wp:docPr id="10220166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16675" name=""/>
                    <pic:cNvPicPr/>
                  </pic:nvPicPr>
                  <pic:blipFill>
                    <a:blip r:embed="rId16"/>
                    <a:stretch>
                      <a:fillRect/>
                    </a:stretch>
                  </pic:blipFill>
                  <pic:spPr>
                    <a:xfrm>
                      <a:off x="0" y="0"/>
                      <a:ext cx="863644" cy="285765"/>
                    </a:xfrm>
                    <a:prstGeom prst="rect">
                      <a:avLst/>
                    </a:prstGeom>
                  </pic:spPr>
                </pic:pic>
              </a:graphicData>
            </a:graphic>
          </wp:inline>
        </w:drawing>
      </w:r>
      <w:r w:rsidRPr="007B45E9">
        <w:rPr>
          <w:rFonts w:ascii="Times New Roman" w:eastAsia="Times New Roman" w:hAnsi="Times New Roman" w:cs="Times New Roman"/>
          <w:kern w:val="0"/>
          <w:sz w:val="24"/>
          <w:szCs w:val="24"/>
          <w:lang w:eastAsia="fr-FR"/>
          <w14:ligatures w14:val="none"/>
        </w:rPr>
        <w:t>This is the sum of all collected carbon price data points for region r.</w:t>
      </w:r>
    </w:p>
    <w:p w14:paraId="4D470C31" w14:textId="77777777" w:rsidR="0016438B" w:rsidRPr="007B45E9" w:rsidRDefault="0016438B" w:rsidP="007B45E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9AB8DB7" w14:textId="77777777" w:rsidR="0016438B" w:rsidRPr="007B45E9" w:rsidRDefault="0016438B" w:rsidP="007B45E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noProof/>
          <w:kern w:val="0"/>
          <w:sz w:val="24"/>
          <w:szCs w:val="24"/>
          <w:lang w:eastAsia="fr-FR"/>
          <w14:ligatures w14:val="none"/>
        </w:rPr>
        <w:drawing>
          <wp:inline distT="0" distB="0" distL="0" distR="0" wp14:anchorId="470717A7" wp14:editId="76233D87">
            <wp:extent cx="1054154" cy="254013"/>
            <wp:effectExtent l="0" t="0" r="0" b="0"/>
            <wp:docPr id="7645004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00411" name=""/>
                    <pic:cNvPicPr/>
                  </pic:nvPicPr>
                  <pic:blipFill>
                    <a:blip r:embed="rId17"/>
                    <a:stretch>
                      <a:fillRect/>
                    </a:stretch>
                  </pic:blipFill>
                  <pic:spPr>
                    <a:xfrm>
                      <a:off x="0" y="0"/>
                      <a:ext cx="1054154" cy="254013"/>
                    </a:xfrm>
                    <a:prstGeom prst="rect">
                      <a:avLst/>
                    </a:prstGeom>
                  </pic:spPr>
                </pic:pic>
              </a:graphicData>
            </a:graphic>
          </wp:inline>
        </w:drawing>
      </w:r>
      <w:r w:rsidRPr="007B45E9">
        <w:rPr>
          <w:rFonts w:ascii="Times New Roman" w:eastAsia="Times New Roman" w:hAnsi="Times New Roman" w:cs="Times New Roman"/>
          <w:kern w:val="0"/>
          <w:sz w:val="24"/>
          <w:szCs w:val="24"/>
          <w:lang w:eastAsia="fr-FR"/>
          <w14:ligatures w14:val="none"/>
        </w:rPr>
        <w:t>: This is the arithmetic mean, which is used to consolidate the diverse data points into a single, representative average for the region.</w:t>
      </w:r>
    </w:p>
    <w:p w14:paraId="14BB4088" w14:textId="62FE7031"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This mathematical model succinctly describes the process of synthesizing multiple observed carbon price values into a single regional average, which is then used for further analysis.</w:t>
      </w:r>
    </w:p>
    <w:p w14:paraId="6EA77001" w14:textId="77777777"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2.5. Estimation of carbon value per ha accross Africa regions</w:t>
      </w:r>
    </w:p>
    <w:p w14:paraId="6065D511" w14:textId="77777777" w:rsidR="003879D6"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The study sought to determine the carbon value per hectare for each African region. This involved a crucial calculation combining two distinct, yet complementary, metrics. First, we utilized the previously established average carbon price per region, which reflects the economic value attributed to carbon in that specific geographical area, derived from comprehensive secondary data.</w:t>
      </w:r>
    </w:p>
    <w:p w14:paraId="6F10C8BD" w14:textId="1539AB1B"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Second, this regional carbon price was then multiplied by the average carbon potential per hectare within the same region. This "carbon potential" represents the estimated amount of carbon that can be sequestered or stored on one hectare of land, based on the diverse agricultural systems and ecosystems present in that region.</w:t>
      </w:r>
    </w:p>
    <w:p w14:paraId="71F1DD6A" w14:textId="77777777"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The product of these two averages yielded the estimated carbon value per hectare for each respective region. This method provides a powerful way to understand the economic significance of carbon sequestration capabilities across different parts of Africa, offering a tangible financial metric for conservation and sustainable land management efforts. It allows us to move beyond just understanding carbon stocks to appreciating their inherent economic worth on a per-hectare basis.</w:t>
      </w:r>
    </w:p>
    <w:p w14:paraId="66C814EE" w14:textId="77777777" w:rsidR="0016438B" w:rsidRPr="007B45E9" w:rsidRDefault="0016438B" w:rsidP="007B45E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The following model was applied </w:t>
      </w:r>
    </w:p>
    <w:p w14:paraId="24D7DE2E" w14:textId="5AAE602C"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CV</w:t>
      </w:r>
      <w:r w:rsidRPr="007B45E9">
        <w:rPr>
          <w:rFonts w:ascii="Times New Roman" w:eastAsia="Times New Roman" w:hAnsi="Times New Roman" w:cs="Times New Roman"/>
          <w:kern w:val="0"/>
          <w:sz w:val="24"/>
          <w:szCs w:val="24"/>
          <w:vertAlign w:val="subscript"/>
          <w:lang w:eastAsia="fr-FR"/>
          <w14:ligatures w14:val="none"/>
        </w:rPr>
        <w:t>ha,r</w:t>
      </w:r>
      <w:r w:rsidRPr="007B45E9">
        <w:rPr>
          <w:rFonts w:ascii="Times New Roman" w:eastAsia="Times New Roman" w:hAnsi="Times New Roman" w:cs="Times New Roman"/>
          <w:kern w:val="0"/>
          <w:sz w:val="24"/>
          <w:szCs w:val="24"/>
          <w:lang w:eastAsia="fr-FR"/>
          <w14:ligatures w14:val="none"/>
        </w:rPr>
        <w:t xml:space="preserve"> =  CP</w:t>
      </w:r>
      <w:r w:rsidRPr="007B45E9">
        <w:rPr>
          <w:rFonts w:ascii="Times New Roman" w:eastAsia="Times New Roman" w:hAnsi="Times New Roman" w:cs="Times New Roman"/>
          <w:kern w:val="0"/>
          <w:sz w:val="24"/>
          <w:szCs w:val="24"/>
          <w:vertAlign w:val="subscript"/>
          <w:lang w:eastAsia="fr-FR"/>
          <w14:ligatures w14:val="none"/>
        </w:rPr>
        <w:t>price,r</w:t>
      </w:r>
      <w:r w:rsidRPr="007B45E9">
        <w:rPr>
          <w:rFonts w:ascii="Times New Roman" w:eastAsia="Times New Roman" w:hAnsi="Times New Roman" w:cs="Times New Roman"/>
          <w:kern w:val="0"/>
          <w:sz w:val="24"/>
          <w:szCs w:val="24"/>
          <w:lang w:eastAsia="fr-FR"/>
          <w14:ligatures w14:val="none"/>
        </w:rPr>
        <w:t>×CP</w:t>
      </w:r>
      <w:r w:rsidRPr="007B45E9">
        <w:rPr>
          <w:rFonts w:ascii="Times New Roman" w:eastAsia="Times New Roman" w:hAnsi="Times New Roman" w:cs="Times New Roman"/>
          <w:kern w:val="0"/>
          <w:sz w:val="24"/>
          <w:szCs w:val="24"/>
          <w:vertAlign w:val="subscript"/>
          <w:lang w:eastAsia="fr-FR"/>
          <w14:ligatures w14:val="none"/>
        </w:rPr>
        <w:t>potential,r</w:t>
      </w:r>
    </w:p>
    <w:p w14:paraId="08735DE3" w14:textId="77777777"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Where</w:t>
      </w:r>
    </w:p>
    <w:p w14:paraId="4CE57267" w14:textId="6EAC70FE" w:rsidR="0016438B" w:rsidRPr="007B45E9" w:rsidRDefault="0016438B" w:rsidP="007B45E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lastRenderedPageBreak/>
        <w:t>CV</w:t>
      </w:r>
      <w:r w:rsidRPr="007B45E9">
        <w:rPr>
          <w:rFonts w:ascii="Times New Roman" w:eastAsia="Times New Roman" w:hAnsi="Times New Roman" w:cs="Times New Roman"/>
          <w:kern w:val="0"/>
          <w:sz w:val="24"/>
          <w:szCs w:val="24"/>
          <w:vertAlign w:val="subscript"/>
          <w:lang w:eastAsia="fr-FR"/>
          <w14:ligatures w14:val="none"/>
        </w:rPr>
        <w:t>ha,r</w:t>
      </w:r>
      <w:r w:rsidRPr="007B45E9">
        <w:rPr>
          <w:rFonts w:ascii="Times New Roman" w:eastAsia="Times New Roman" w:hAnsi="Times New Roman" w:cs="Times New Roman"/>
          <w:kern w:val="0"/>
          <w:sz w:val="24"/>
          <w:szCs w:val="24"/>
          <w:lang w:eastAsia="fr-FR"/>
          <w14:ligatures w14:val="none"/>
        </w:rPr>
        <w:t>: This is the dependent variable we aim to estimate, representing the economic value generated by the carbon sequestration or storage capacity of one hectare of land in a given region.</w:t>
      </w:r>
    </w:p>
    <w:p w14:paraId="1962C851" w14:textId="6877A786" w:rsidR="0016438B" w:rsidRPr="007B45E9" w:rsidRDefault="0016438B" w:rsidP="007B45E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CP</w:t>
      </w:r>
      <w:r w:rsidRPr="007B45E9">
        <w:rPr>
          <w:rFonts w:ascii="Times New Roman" w:eastAsia="Times New Roman" w:hAnsi="Times New Roman" w:cs="Times New Roman"/>
          <w:kern w:val="0"/>
          <w:sz w:val="24"/>
          <w:szCs w:val="24"/>
          <w:vertAlign w:val="subscript"/>
          <w:lang w:eastAsia="fr-FR"/>
          <w14:ligatures w14:val="none"/>
        </w:rPr>
        <w:t xml:space="preserve">price,r: </w:t>
      </w:r>
      <w:r w:rsidRPr="007B45E9">
        <w:rPr>
          <w:rFonts w:ascii="Times New Roman" w:eastAsia="Times New Roman" w:hAnsi="Times New Roman" w:cs="Times New Roman"/>
          <w:kern w:val="0"/>
          <w:sz w:val="24"/>
          <w:szCs w:val="24"/>
          <w:lang w:eastAsia="fr-FR"/>
          <w14:ligatures w14:val="none"/>
        </w:rPr>
        <w:t>This is an independent variable, representing the market or estimated price of carbon within region r. This value is derived from secondary data (peer-reviewed articles, academic publications) on carbon markets, offset prices, or policy-related carbon valuations specific to that region.</w:t>
      </w:r>
    </w:p>
    <w:p w14:paraId="7DAB784E" w14:textId="5162A535" w:rsidR="0016438B" w:rsidRPr="007B45E9" w:rsidRDefault="0016438B" w:rsidP="007B45E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CP</w:t>
      </w:r>
      <w:r w:rsidRPr="007B45E9">
        <w:rPr>
          <w:rFonts w:ascii="Times New Roman" w:eastAsia="Times New Roman" w:hAnsi="Times New Roman" w:cs="Times New Roman"/>
          <w:kern w:val="0"/>
          <w:sz w:val="24"/>
          <w:szCs w:val="24"/>
          <w:vertAlign w:val="subscript"/>
          <w:lang w:eastAsia="fr-FR"/>
          <w14:ligatures w14:val="none"/>
        </w:rPr>
        <w:t xml:space="preserve">potential,r: </w:t>
      </w:r>
      <w:r w:rsidRPr="007B45E9">
        <w:rPr>
          <w:rFonts w:ascii="Times New Roman" w:eastAsia="Times New Roman" w:hAnsi="Times New Roman" w:cs="Times New Roman"/>
          <w:kern w:val="0"/>
          <w:sz w:val="24"/>
          <w:szCs w:val="24"/>
          <w:lang w:eastAsia="fr-FR"/>
          <w14:ligatures w14:val="none"/>
        </w:rPr>
        <w:t>This is the second independent variable, representing the biophysical capacity of the land in region r to sequester or store carbon per unit area. This value is also derived from secondary data concerning carbon stock estimations, sequestration rates, and land use types within the region.</w:t>
      </w:r>
    </w:p>
    <w:p w14:paraId="67505504" w14:textId="3DABD819"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The model states that the carbon value per hectare in a specific region is directly proportional to both the prevailing carbon price in that region and the land's capacity to hold or absorb carbon per hectare.</w:t>
      </w:r>
    </w:p>
    <w:p w14:paraId="0FDA5C03"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2.6 Agricultural climate insurance premium accross Africa Regions</w:t>
      </w:r>
    </w:p>
    <w:p w14:paraId="4708A599"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To understand the economic cost of agricultural risk, we aimed to estimate the </w:t>
      </w:r>
      <w:r w:rsidRPr="007B45E9">
        <w:rPr>
          <w:rStyle w:val="Strong"/>
          <w:rFonts w:ascii="Times New Roman" w:hAnsi="Times New Roman" w:cs="Times New Roman"/>
          <w:b w:val="0"/>
          <w:bCs w:val="0"/>
          <w:sz w:val="24"/>
          <w:szCs w:val="24"/>
        </w:rPr>
        <w:t>agricultural insurance premium</w:t>
      </w:r>
      <w:r w:rsidRPr="007B45E9">
        <w:rPr>
          <w:rFonts w:ascii="Times New Roman" w:hAnsi="Times New Roman" w:cs="Times New Roman"/>
          <w:sz w:val="24"/>
          <w:szCs w:val="24"/>
        </w:rPr>
        <w:t xml:space="preserve"> for each African region. This estimation was achieved by a thorough process of </w:t>
      </w:r>
      <w:r w:rsidRPr="007B45E9">
        <w:rPr>
          <w:rStyle w:val="Strong"/>
          <w:rFonts w:ascii="Times New Roman" w:hAnsi="Times New Roman" w:cs="Times New Roman"/>
          <w:b w:val="0"/>
          <w:bCs w:val="0"/>
          <w:sz w:val="24"/>
          <w:szCs w:val="24"/>
        </w:rPr>
        <w:t>secondary data collection</w:t>
      </w:r>
      <w:r w:rsidRPr="007B45E9">
        <w:rPr>
          <w:rFonts w:ascii="Times New Roman" w:hAnsi="Times New Roman" w:cs="Times New Roman"/>
          <w:sz w:val="24"/>
          <w:szCs w:val="24"/>
        </w:rPr>
        <w:t xml:space="preserve">. We extensively reviewed </w:t>
      </w:r>
      <w:r w:rsidRPr="007B45E9">
        <w:rPr>
          <w:rStyle w:val="Strong"/>
          <w:rFonts w:ascii="Times New Roman" w:hAnsi="Times New Roman" w:cs="Times New Roman"/>
          <w:b w:val="0"/>
          <w:bCs w:val="0"/>
          <w:sz w:val="24"/>
          <w:szCs w:val="24"/>
        </w:rPr>
        <w:t>peer-reviewed articles and academic publications</w:t>
      </w:r>
      <w:r w:rsidRPr="007B45E9">
        <w:rPr>
          <w:rFonts w:ascii="Times New Roman" w:hAnsi="Times New Roman" w:cs="Times New Roman"/>
          <w:sz w:val="24"/>
          <w:szCs w:val="24"/>
        </w:rPr>
        <w:t xml:space="preserve"> that provided information on agricultural insurance premiums, schemes, or related risk assessments from countries across each designated region. This comprehensive data gathering ensured we captured diverse examples of premium calculations. The numerous data points collected for each region were then </w:t>
      </w:r>
      <w:r w:rsidRPr="007B45E9">
        <w:rPr>
          <w:rStyle w:val="Strong"/>
          <w:rFonts w:ascii="Times New Roman" w:hAnsi="Times New Roman" w:cs="Times New Roman"/>
          <w:b w:val="0"/>
          <w:bCs w:val="0"/>
          <w:sz w:val="24"/>
          <w:szCs w:val="24"/>
        </w:rPr>
        <w:t>consolidated and averaged</w:t>
      </w:r>
      <w:r w:rsidRPr="007B45E9">
        <w:rPr>
          <w:rFonts w:ascii="Times New Roman" w:hAnsi="Times New Roman" w:cs="Times New Roman"/>
          <w:sz w:val="24"/>
          <w:szCs w:val="24"/>
        </w:rPr>
        <w:t xml:space="preserve"> to derive a single, representative agricultural insurance premium. This average premium provides a standardized measure of the typical cost of agricultural insurance in that specific region, offering valuable insights into regional risk and financial exposure for farmers. The following formula was applied </w:t>
      </w:r>
    </w:p>
    <w:p w14:paraId="31C5B580"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noProof/>
          <w:sz w:val="24"/>
          <w:szCs w:val="24"/>
        </w:rPr>
        <w:drawing>
          <wp:inline distT="0" distB="0" distL="0" distR="0" wp14:anchorId="40FC5868" wp14:editId="2BD86B12">
            <wp:extent cx="2140060" cy="838243"/>
            <wp:effectExtent l="0" t="0" r="0" b="0"/>
            <wp:docPr id="10896766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76699" name=""/>
                    <pic:cNvPicPr/>
                  </pic:nvPicPr>
                  <pic:blipFill>
                    <a:blip r:embed="rId18"/>
                    <a:stretch>
                      <a:fillRect/>
                    </a:stretch>
                  </pic:blipFill>
                  <pic:spPr>
                    <a:xfrm>
                      <a:off x="0" y="0"/>
                      <a:ext cx="2140060" cy="838243"/>
                    </a:xfrm>
                    <a:prstGeom prst="rect">
                      <a:avLst/>
                    </a:prstGeom>
                  </pic:spPr>
                </pic:pic>
              </a:graphicData>
            </a:graphic>
          </wp:inline>
        </w:drawing>
      </w:r>
    </w:p>
    <w:p w14:paraId="08D0BDF4"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Where :</w:t>
      </w:r>
    </w:p>
    <w:p w14:paraId="4B13F3EF" w14:textId="5068C0D0" w:rsidR="0016438B" w:rsidRPr="007B45E9" w:rsidRDefault="0016438B" w:rsidP="007B45E9">
      <w:pPr>
        <w:spacing w:after="0"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AIP</w:t>
      </w:r>
      <w:r w:rsidRPr="007B45E9">
        <w:rPr>
          <w:rFonts w:ascii="Times New Roman" w:eastAsia="Times New Roman" w:hAnsi="Times New Roman" w:cs="Times New Roman"/>
          <w:kern w:val="0"/>
          <w:sz w:val="24"/>
          <w:szCs w:val="24"/>
          <w:vertAlign w:val="subscript"/>
          <w:lang w:eastAsia="fr-FR"/>
          <w14:ligatures w14:val="none"/>
        </w:rPr>
        <w:t xml:space="preserve">region,r: </w:t>
      </w:r>
      <w:r w:rsidRPr="007B45E9">
        <w:rPr>
          <w:rFonts w:ascii="Times New Roman" w:eastAsia="Times New Roman" w:hAnsi="Times New Roman" w:cs="Times New Roman"/>
          <w:kern w:val="0"/>
          <w:sz w:val="24"/>
          <w:szCs w:val="24"/>
          <w:lang w:eastAsia="fr-FR"/>
          <w14:ligatures w14:val="none"/>
        </w:rPr>
        <w:t xml:space="preserve">This is the dependent variable we are estimating, representing the average agricultural insurance premium for region r. The units will depend on the original data, but would typically be a cost per unit (e.g., &lt;span class="math-inline"&gt;/ha, \$/farmer, or \/policy). </w:t>
      </w:r>
    </w:p>
    <w:p w14:paraId="5781FDCD" w14:textId="5DB9CE3E" w:rsidR="0016438B" w:rsidRPr="007B45E9" w:rsidRDefault="0016438B" w:rsidP="007B45E9">
      <w:pPr>
        <w:spacing w:after="0"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P</w:t>
      </w:r>
      <w:r w:rsidRPr="007B45E9">
        <w:rPr>
          <w:rFonts w:ascii="Times New Roman" w:eastAsia="Times New Roman" w:hAnsi="Times New Roman" w:cs="Times New Roman"/>
          <w:kern w:val="0"/>
          <w:sz w:val="24"/>
          <w:szCs w:val="24"/>
          <w:vertAlign w:val="subscript"/>
          <w:lang w:eastAsia="fr-FR"/>
          <w14:ligatures w14:val="none"/>
        </w:rPr>
        <w:t xml:space="preserve">r,k: </w:t>
      </w:r>
      <w:r w:rsidRPr="007B45E9">
        <w:rPr>
          <w:rFonts w:ascii="Times New Roman" w:eastAsia="Times New Roman" w:hAnsi="Times New Roman" w:cs="Times New Roman"/>
          <w:kern w:val="0"/>
          <w:sz w:val="24"/>
          <w:szCs w:val="24"/>
          <w:lang w:eastAsia="fr-FR"/>
          <w14:ligatures w14:val="none"/>
        </w:rPr>
        <w:t xml:space="preserve">This represents each individual agricultural insurance premium value found in the literature for a location or specific policy within region r. </w:t>
      </w:r>
    </w:p>
    <w:p w14:paraId="30F2837B" w14:textId="3C2A02D4" w:rsidR="0016438B" w:rsidRPr="007B45E9" w:rsidRDefault="0016438B" w:rsidP="007B45E9">
      <w:pPr>
        <w:spacing w:after="0"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pr: This denotes the total count of all such individual data points collected for a given region r. </w:t>
      </w:r>
    </w:p>
    <w:p w14:paraId="62AACFA3" w14:textId="77777777" w:rsidR="0016438B" w:rsidRPr="007B45E9" w:rsidRDefault="0016438B" w:rsidP="007B45E9">
      <w:pPr>
        <w:spacing w:after="0"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noProof/>
          <w:kern w:val="0"/>
          <w:sz w:val="24"/>
          <w:szCs w:val="24"/>
          <w:lang w:eastAsia="fr-FR"/>
          <w14:ligatures w14:val="none"/>
        </w:rPr>
        <w:drawing>
          <wp:inline distT="0" distB="0" distL="0" distR="0" wp14:anchorId="28904A7C" wp14:editId="428652AF">
            <wp:extent cx="844593" cy="558829"/>
            <wp:effectExtent l="0" t="0" r="0" b="0"/>
            <wp:docPr id="9856276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27683" name=""/>
                    <pic:cNvPicPr/>
                  </pic:nvPicPr>
                  <pic:blipFill>
                    <a:blip r:embed="rId19"/>
                    <a:stretch>
                      <a:fillRect/>
                    </a:stretch>
                  </pic:blipFill>
                  <pic:spPr>
                    <a:xfrm>
                      <a:off x="0" y="0"/>
                      <a:ext cx="844593" cy="558829"/>
                    </a:xfrm>
                    <a:prstGeom prst="rect">
                      <a:avLst/>
                    </a:prstGeom>
                  </pic:spPr>
                </pic:pic>
              </a:graphicData>
            </a:graphic>
          </wp:inline>
        </w:drawing>
      </w:r>
      <w:r w:rsidRPr="007B45E9">
        <w:rPr>
          <w:rFonts w:ascii="Times New Roman" w:eastAsia="Times New Roman" w:hAnsi="Times New Roman" w:cs="Times New Roman"/>
          <w:kern w:val="0"/>
          <w:sz w:val="24"/>
          <w:szCs w:val="24"/>
          <w:lang w:eastAsia="fr-FR"/>
          <w14:ligatures w14:val="none"/>
        </w:rPr>
        <w:t xml:space="preserve">This is the sum of all collected agricultural insurance premium data points for region r. </w:t>
      </w:r>
    </w:p>
    <w:p w14:paraId="4DEC84C5"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eastAsia="Times New Roman" w:hAnsi="Times New Roman" w:cs="Times New Roman"/>
          <w:noProof/>
          <w:kern w:val="0"/>
          <w:sz w:val="24"/>
          <w:szCs w:val="24"/>
          <w:lang w:eastAsia="fr-FR"/>
          <w14:ligatures w14:val="none"/>
        </w:rPr>
        <w:lastRenderedPageBreak/>
        <w:drawing>
          <wp:inline distT="0" distB="0" distL="0" distR="0" wp14:anchorId="361EE309" wp14:editId="59F8937B">
            <wp:extent cx="1073205" cy="400071"/>
            <wp:effectExtent l="0" t="0" r="0" b="0"/>
            <wp:docPr id="1199050874" name="Image 1" descr="Une image contenant Police, texte, blanc,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50874" name="Image 1" descr="Une image contenant Police, texte, blanc, nombre&#10;&#10;Le contenu généré par l’IA peut être incorrect."/>
                    <pic:cNvPicPr/>
                  </pic:nvPicPr>
                  <pic:blipFill>
                    <a:blip r:embed="rId20"/>
                    <a:stretch>
                      <a:fillRect/>
                    </a:stretch>
                  </pic:blipFill>
                  <pic:spPr>
                    <a:xfrm>
                      <a:off x="0" y="0"/>
                      <a:ext cx="1073205" cy="400071"/>
                    </a:xfrm>
                    <a:prstGeom prst="rect">
                      <a:avLst/>
                    </a:prstGeom>
                  </pic:spPr>
                </pic:pic>
              </a:graphicData>
            </a:graphic>
          </wp:inline>
        </w:drawing>
      </w:r>
      <w:r w:rsidRPr="007B45E9">
        <w:rPr>
          <w:rFonts w:ascii="Times New Roman" w:eastAsia="Times New Roman" w:hAnsi="Times New Roman" w:cs="Times New Roman"/>
          <w:kern w:val="0"/>
          <w:sz w:val="24"/>
          <w:szCs w:val="24"/>
          <w:lang w:eastAsia="fr-FR"/>
          <w14:ligatures w14:val="none"/>
        </w:rPr>
        <w:t>This is the arithmetic mean, used to consolidate the diverse premium measurements into a single, representative average for the region.</w:t>
      </w:r>
    </w:p>
    <w:p w14:paraId="05AE4A45"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2.7. Carbon value and premium comparaison accros africa’s region</w:t>
      </w:r>
    </w:p>
    <w:p w14:paraId="0A63DE3C" w14:textId="526C1B5A"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To assess the financial viability of carbon-centric agricultural practices for smallholders, our study critically compared the </w:t>
      </w:r>
      <w:r w:rsidRPr="007B45E9">
        <w:rPr>
          <w:rStyle w:val="Strong"/>
          <w:rFonts w:ascii="Times New Roman" w:hAnsi="Times New Roman" w:cs="Times New Roman"/>
          <w:b w:val="0"/>
          <w:bCs w:val="0"/>
          <w:sz w:val="24"/>
          <w:szCs w:val="24"/>
        </w:rPr>
        <w:t>carbon value per hectare</w:t>
      </w:r>
      <w:r w:rsidRPr="007B45E9">
        <w:rPr>
          <w:rFonts w:ascii="Times New Roman" w:hAnsi="Times New Roman" w:cs="Times New Roman"/>
          <w:sz w:val="24"/>
          <w:szCs w:val="24"/>
        </w:rPr>
        <w:t xml:space="preserve"> with the </w:t>
      </w:r>
      <w:r w:rsidRPr="007B45E9">
        <w:rPr>
          <w:rStyle w:val="Strong"/>
          <w:rFonts w:ascii="Times New Roman" w:hAnsi="Times New Roman" w:cs="Times New Roman"/>
          <w:b w:val="0"/>
          <w:bCs w:val="0"/>
          <w:sz w:val="24"/>
          <w:szCs w:val="24"/>
        </w:rPr>
        <w:t>agricultural insurance premium</w:t>
      </w:r>
      <w:r w:rsidRPr="007B45E9">
        <w:rPr>
          <w:rFonts w:ascii="Times New Roman" w:hAnsi="Times New Roman" w:cs="Times New Roman"/>
          <w:sz w:val="24"/>
          <w:szCs w:val="24"/>
        </w:rPr>
        <w:t xml:space="preserve"> in each region. The core objective was to determine if the economic benefits derived from carbon sequestration on one hectare could effectively </w:t>
      </w:r>
      <w:r w:rsidRPr="007B45E9">
        <w:rPr>
          <w:rStyle w:val="Strong"/>
          <w:rFonts w:ascii="Times New Roman" w:hAnsi="Times New Roman" w:cs="Times New Roman"/>
          <w:b w:val="0"/>
          <w:bCs w:val="0"/>
          <w:sz w:val="24"/>
          <w:szCs w:val="24"/>
        </w:rPr>
        <w:t>offset or cover the cost of agricultural insurance premiums</w:t>
      </w:r>
      <w:r w:rsidRPr="007B45E9">
        <w:rPr>
          <w:rFonts w:ascii="Times New Roman" w:hAnsi="Times New Roman" w:cs="Times New Roman"/>
          <w:sz w:val="24"/>
          <w:szCs w:val="24"/>
        </w:rPr>
        <w:t>. A favorable comparison would suggest a mechanism where the "carbon value" could fund "inclusive insurance for smallholders," thereby reducing their financial burden, promoting climate-smart agriculture, and enhancing their resilience against climate-related risks.</w:t>
      </w:r>
      <w:r w:rsidR="0065658C" w:rsidRPr="007B45E9">
        <w:rPr>
          <w:rFonts w:ascii="Times New Roman" w:hAnsi="Times New Roman" w:cs="Times New Roman"/>
          <w:sz w:val="24"/>
          <w:szCs w:val="24"/>
        </w:rPr>
        <w:t xml:space="preserve"> For that purpose the following statment have been made.</w:t>
      </w:r>
    </w:p>
    <w:p w14:paraId="34515ADF" w14:textId="77777777" w:rsidR="0016438B" w:rsidRPr="007B45E9" w:rsidRDefault="0016438B" w:rsidP="007B45E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R be the set of African regions, where r</w:t>
      </w:r>
      <w:r w:rsidRPr="007B45E9">
        <w:rPr>
          <w:rFonts w:ascii="Cambria Math" w:eastAsia="Times New Roman" w:hAnsi="Cambria Math" w:cs="Cambria Math"/>
          <w:kern w:val="0"/>
          <w:sz w:val="24"/>
          <w:szCs w:val="24"/>
          <w:lang w:eastAsia="fr-FR"/>
          <w14:ligatures w14:val="none"/>
        </w:rPr>
        <w:t>∈</w:t>
      </w:r>
      <w:r w:rsidRPr="007B45E9">
        <w:rPr>
          <w:rFonts w:ascii="Times New Roman" w:eastAsia="Times New Roman" w:hAnsi="Times New Roman" w:cs="Times New Roman"/>
          <w:kern w:val="0"/>
          <w:sz w:val="24"/>
          <w:szCs w:val="24"/>
          <w:lang w:eastAsia="fr-FR"/>
          <w14:ligatures w14:val="none"/>
        </w:rPr>
        <w:t>R.</w:t>
      </w:r>
    </w:p>
    <w:p w14:paraId="3017E3E5" w14:textId="32BB64D8" w:rsidR="0016438B" w:rsidRPr="007B45E9" w:rsidRDefault="0016438B" w:rsidP="007B45E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CV</w:t>
      </w:r>
      <w:r w:rsidRPr="007B45E9">
        <w:rPr>
          <w:rFonts w:ascii="Times New Roman" w:eastAsia="Times New Roman" w:hAnsi="Times New Roman" w:cs="Times New Roman"/>
          <w:kern w:val="0"/>
          <w:sz w:val="24"/>
          <w:szCs w:val="24"/>
          <w:vertAlign w:val="subscript"/>
          <w:lang w:eastAsia="fr-FR"/>
          <w14:ligatures w14:val="none"/>
        </w:rPr>
        <w:t xml:space="preserve">ha,r </w:t>
      </w:r>
      <w:r w:rsidRPr="007B45E9">
        <w:rPr>
          <w:rFonts w:ascii="Times New Roman" w:eastAsia="Times New Roman" w:hAnsi="Times New Roman" w:cs="Times New Roman"/>
          <w:kern w:val="0"/>
          <w:sz w:val="24"/>
          <w:szCs w:val="24"/>
          <w:lang w:eastAsia="fr-FR"/>
          <w14:ligatures w14:val="none"/>
        </w:rPr>
        <w:t>be the estimated carbon value per hectare for region r (e.g., $/ha).</w:t>
      </w:r>
    </w:p>
    <w:p w14:paraId="1F8E9B97" w14:textId="5A188689" w:rsidR="0016438B" w:rsidRPr="007B45E9" w:rsidRDefault="0016438B" w:rsidP="007B45E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AIP</w:t>
      </w:r>
      <w:r w:rsidRPr="007B45E9">
        <w:rPr>
          <w:rFonts w:ascii="Times New Roman" w:eastAsia="Times New Roman" w:hAnsi="Times New Roman" w:cs="Times New Roman"/>
          <w:kern w:val="0"/>
          <w:sz w:val="24"/>
          <w:szCs w:val="24"/>
          <w:vertAlign w:val="subscript"/>
          <w:lang w:eastAsia="fr-FR"/>
          <w14:ligatures w14:val="none"/>
        </w:rPr>
        <w:t xml:space="preserve">region,r </w:t>
      </w:r>
      <w:r w:rsidRPr="007B45E9">
        <w:rPr>
          <w:rFonts w:ascii="Times New Roman" w:eastAsia="Times New Roman" w:hAnsi="Times New Roman" w:cs="Times New Roman"/>
          <w:kern w:val="0"/>
          <w:sz w:val="24"/>
          <w:szCs w:val="24"/>
          <w:lang w:eastAsia="fr-FR"/>
          <w14:ligatures w14:val="none"/>
        </w:rPr>
        <w:t>be the estimated average Agricultural Insurance Premium per unit area for region r (e.g., $/ha).</w:t>
      </w:r>
    </w:p>
    <w:p w14:paraId="3CF3A9B3" w14:textId="41743052"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The comparison for financial viability can be modeled as a condition : Condition for Financial Viability:  CVha,r≥ AIPregion,r</w:t>
      </w:r>
    </w:p>
    <w:p w14:paraId="6AC21A8E" w14:textId="3DA0EF92"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With </w:t>
      </w:r>
    </w:p>
    <w:p w14:paraId="3381B452" w14:textId="730FBE58" w:rsidR="0016438B" w:rsidRPr="007B45E9" w:rsidRDefault="0016438B" w:rsidP="007B45E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CV</w:t>
      </w:r>
      <w:r w:rsidRPr="007B45E9">
        <w:rPr>
          <w:rFonts w:ascii="Times New Roman" w:eastAsia="Times New Roman" w:hAnsi="Times New Roman" w:cs="Times New Roman"/>
          <w:kern w:val="0"/>
          <w:sz w:val="24"/>
          <w:szCs w:val="24"/>
          <w:vertAlign w:val="subscript"/>
          <w:lang w:eastAsia="fr-FR"/>
          <w14:ligatures w14:val="none"/>
        </w:rPr>
        <w:t>ha,r</w:t>
      </w:r>
      <w:r w:rsidRPr="007B45E9">
        <w:rPr>
          <w:rFonts w:ascii="Times New Roman" w:eastAsia="Times New Roman" w:hAnsi="Times New Roman" w:cs="Times New Roman"/>
          <w:kern w:val="0"/>
          <w:sz w:val="24"/>
          <w:szCs w:val="24"/>
          <w:lang w:eastAsia="fr-FR"/>
          <w14:ligatures w14:val="none"/>
        </w:rPr>
        <w:t>: This represents the economic benefit (value) generated from carbon sequestration or storage on one hectare of land in region r. This value would have been previously calculated as CPprice,r×CPpotential,r.</w:t>
      </w:r>
    </w:p>
    <w:p w14:paraId="11EF7580" w14:textId="3E062011" w:rsidR="0016438B" w:rsidRPr="007B45E9" w:rsidRDefault="0016438B" w:rsidP="007B45E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AIP</w:t>
      </w:r>
      <w:r w:rsidRPr="007B45E9">
        <w:rPr>
          <w:rFonts w:ascii="Times New Roman" w:eastAsia="Times New Roman" w:hAnsi="Times New Roman" w:cs="Times New Roman"/>
          <w:kern w:val="0"/>
          <w:sz w:val="24"/>
          <w:szCs w:val="24"/>
          <w:vertAlign w:val="subscript"/>
          <w:lang w:eastAsia="fr-FR"/>
          <w14:ligatures w14:val="none"/>
        </w:rPr>
        <w:t xml:space="preserve">region,r: </w:t>
      </w:r>
      <w:r w:rsidRPr="007B45E9">
        <w:rPr>
          <w:rFonts w:ascii="Times New Roman" w:eastAsia="Times New Roman" w:hAnsi="Times New Roman" w:cs="Times New Roman"/>
          <w:kern w:val="0"/>
          <w:sz w:val="24"/>
          <w:szCs w:val="24"/>
          <w:lang w:eastAsia="fr-FR"/>
          <w14:ligatures w14:val="none"/>
        </w:rPr>
        <w:t>This represents the cost of agricultural insurance for one unit of land (e.g., one hectare) in region r.</w:t>
      </w:r>
    </w:p>
    <w:p w14:paraId="2A7B5C75" w14:textId="5C7B4A93" w:rsidR="0016438B" w:rsidRPr="007B45E9" w:rsidRDefault="0016438B" w:rsidP="007B45E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 This inequality symbol signifies the core </w:t>
      </w:r>
      <w:r w:rsidR="00426CC3" w:rsidRPr="007B45E9">
        <w:rPr>
          <w:rFonts w:ascii="Times New Roman" w:eastAsia="Times New Roman" w:hAnsi="Times New Roman" w:cs="Times New Roman"/>
          <w:kern w:val="0"/>
          <w:sz w:val="24"/>
          <w:szCs w:val="24"/>
          <w:lang w:eastAsia="fr-FR"/>
          <w14:ligatures w14:val="none"/>
        </w:rPr>
        <w:t>objective :</w:t>
      </w:r>
      <w:r w:rsidRPr="007B45E9">
        <w:rPr>
          <w:rFonts w:ascii="Times New Roman" w:eastAsia="Times New Roman" w:hAnsi="Times New Roman" w:cs="Times New Roman"/>
          <w:kern w:val="0"/>
          <w:sz w:val="24"/>
          <w:szCs w:val="24"/>
          <w:lang w:eastAsia="fr-FR"/>
          <w14:ligatures w14:val="none"/>
        </w:rPr>
        <w:t xml:space="preserve"> to determine if the carbon value per hectare is </w:t>
      </w:r>
      <w:r w:rsidRPr="007B45E9">
        <w:rPr>
          <w:rFonts w:ascii="Times New Roman" w:eastAsia="Times New Roman" w:hAnsi="Times New Roman" w:cs="Times New Roman"/>
          <w:i/>
          <w:iCs/>
          <w:kern w:val="0"/>
          <w:sz w:val="24"/>
          <w:szCs w:val="24"/>
          <w:lang w:eastAsia="fr-FR"/>
          <w14:ligatures w14:val="none"/>
        </w:rPr>
        <w:t>greater than or equal to</w:t>
      </w:r>
      <w:r w:rsidRPr="007B45E9">
        <w:rPr>
          <w:rFonts w:ascii="Times New Roman" w:eastAsia="Times New Roman" w:hAnsi="Times New Roman" w:cs="Times New Roman"/>
          <w:kern w:val="0"/>
          <w:sz w:val="24"/>
          <w:szCs w:val="24"/>
          <w:lang w:eastAsia="fr-FR"/>
          <w14:ligatures w14:val="none"/>
        </w:rPr>
        <w:t xml:space="preserve"> the agricultural insurance premium.</w:t>
      </w:r>
    </w:p>
    <w:p w14:paraId="5996CDBE" w14:textId="69A4681C"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 xml:space="preserve">Interpretation of the </w:t>
      </w:r>
      <w:r w:rsidR="0065658C" w:rsidRPr="007B45E9">
        <w:rPr>
          <w:rFonts w:ascii="Times New Roman" w:eastAsia="Times New Roman" w:hAnsi="Times New Roman" w:cs="Times New Roman"/>
          <w:kern w:val="0"/>
          <w:sz w:val="24"/>
          <w:szCs w:val="24"/>
          <w:lang w:eastAsia="fr-FR"/>
          <w14:ligatures w14:val="none"/>
        </w:rPr>
        <w:t>condition :</w:t>
      </w:r>
    </w:p>
    <w:p w14:paraId="095FD8AE" w14:textId="52638BAD" w:rsidR="0016438B" w:rsidRPr="007B45E9" w:rsidRDefault="0016438B" w:rsidP="007B45E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If CV</w:t>
      </w:r>
      <w:r w:rsidRPr="007B45E9">
        <w:rPr>
          <w:rFonts w:ascii="Times New Roman" w:eastAsia="Times New Roman" w:hAnsi="Times New Roman" w:cs="Times New Roman"/>
          <w:kern w:val="0"/>
          <w:sz w:val="24"/>
          <w:szCs w:val="24"/>
          <w:vertAlign w:val="subscript"/>
          <w:lang w:eastAsia="fr-FR"/>
          <w14:ligatures w14:val="none"/>
        </w:rPr>
        <w:t>ha,r</w:t>
      </w:r>
      <w:r w:rsidRPr="007B45E9">
        <w:rPr>
          <w:rFonts w:ascii="Times New Roman" w:eastAsia="Times New Roman" w:hAnsi="Times New Roman" w:cs="Times New Roman"/>
          <w:kern w:val="0"/>
          <w:sz w:val="24"/>
          <w:szCs w:val="24"/>
          <w:lang w:eastAsia="fr-FR"/>
          <w14:ligatures w14:val="none"/>
        </w:rPr>
        <w:t>≥AIP</w:t>
      </w:r>
      <w:r w:rsidRPr="007B45E9">
        <w:rPr>
          <w:rFonts w:ascii="Times New Roman" w:eastAsia="Times New Roman" w:hAnsi="Times New Roman" w:cs="Times New Roman"/>
          <w:kern w:val="0"/>
          <w:sz w:val="24"/>
          <w:szCs w:val="24"/>
          <w:vertAlign w:val="subscript"/>
          <w:lang w:eastAsia="fr-FR"/>
          <w14:ligatures w14:val="none"/>
        </w:rPr>
        <w:t>region,r</w:t>
      </w:r>
      <w:r w:rsidRPr="007B45E9">
        <w:rPr>
          <w:rFonts w:ascii="Times New Roman" w:eastAsia="Times New Roman" w:hAnsi="Times New Roman" w:cs="Times New Roman"/>
          <w:kern w:val="0"/>
          <w:sz w:val="24"/>
          <w:szCs w:val="24"/>
          <w:lang w:eastAsia="fr-FR"/>
          <w14:ligatures w14:val="none"/>
        </w:rPr>
        <w:t>, it implies that the economic value gained from carbon in a hectare in region r is sufficient to cover, or potentially exceed, the cost of agricultural insurance for that same hectare. This would suggest a financially viable pathway for "inclusive insurance for smallholders" through carbon-centric practices.</w:t>
      </w:r>
    </w:p>
    <w:p w14:paraId="3D0838D8" w14:textId="1B5A0EC5" w:rsidR="0016438B" w:rsidRPr="007B45E9" w:rsidRDefault="0016438B" w:rsidP="007B45E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If CV</w:t>
      </w:r>
      <w:r w:rsidRPr="007B45E9">
        <w:rPr>
          <w:rFonts w:ascii="Times New Roman" w:eastAsia="Times New Roman" w:hAnsi="Times New Roman" w:cs="Times New Roman"/>
          <w:kern w:val="0"/>
          <w:sz w:val="24"/>
          <w:szCs w:val="24"/>
          <w:vertAlign w:val="subscript"/>
          <w:lang w:eastAsia="fr-FR"/>
          <w14:ligatures w14:val="none"/>
        </w:rPr>
        <w:t>ha,r&lt;</w:t>
      </w:r>
      <w:r w:rsidRPr="007B45E9">
        <w:rPr>
          <w:rFonts w:ascii="Times New Roman" w:eastAsia="Times New Roman" w:hAnsi="Times New Roman" w:cs="Times New Roman"/>
          <w:kern w:val="0"/>
          <w:sz w:val="24"/>
          <w:szCs w:val="24"/>
          <w:lang w:eastAsia="fr-FR"/>
          <w14:ligatures w14:val="none"/>
        </w:rPr>
        <w:t>AIP</w:t>
      </w:r>
      <w:r w:rsidRPr="007B45E9">
        <w:rPr>
          <w:rFonts w:ascii="Times New Roman" w:eastAsia="Times New Roman" w:hAnsi="Times New Roman" w:cs="Times New Roman"/>
          <w:kern w:val="0"/>
          <w:sz w:val="24"/>
          <w:szCs w:val="24"/>
          <w:vertAlign w:val="subscript"/>
          <w:lang w:eastAsia="fr-FR"/>
          <w14:ligatures w14:val="none"/>
        </w:rPr>
        <w:t>region,r</w:t>
      </w:r>
      <w:r w:rsidRPr="007B45E9">
        <w:rPr>
          <w:rFonts w:ascii="Times New Roman" w:eastAsia="Times New Roman" w:hAnsi="Times New Roman" w:cs="Times New Roman"/>
          <w:kern w:val="0"/>
          <w:sz w:val="24"/>
          <w:szCs w:val="24"/>
          <w:lang w:eastAsia="fr-FR"/>
          <w14:ligatures w14:val="none"/>
        </w:rPr>
        <w:t>, it indicates that the carbon value per hectare in region r is not enough to cover the agricultural insurance premium, suggesting that additional mechanisms or subsidies might be needed to make the insurance inclusive or that the current carbon value is insufficient.</w:t>
      </w:r>
    </w:p>
    <w:p w14:paraId="73717196" w14:textId="446FAA1B" w:rsidR="0016438B" w:rsidRPr="007B45E9" w:rsidRDefault="0016438B" w:rsidP="007B45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B45E9">
        <w:rPr>
          <w:rFonts w:ascii="Times New Roman" w:eastAsia="Times New Roman" w:hAnsi="Times New Roman" w:cs="Times New Roman"/>
          <w:kern w:val="0"/>
          <w:sz w:val="24"/>
          <w:szCs w:val="24"/>
          <w:lang w:eastAsia="fr-FR"/>
          <w14:ligatures w14:val="none"/>
        </w:rPr>
        <w:t>This model provides a clear mathematical representation of the core comparison performed in the study to assess the financial feasibility of leveraging carbon value to support agricultural insurance for smallholders.</w:t>
      </w:r>
    </w:p>
    <w:p w14:paraId="621F854C" w14:textId="77777777"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III. RESULTS AND DISCUSSIONS</w:t>
      </w:r>
    </w:p>
    <w:p w14:paraId="6E498D8C"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3.1 Carbon sequestration potential of farmland sytem accross Africas Regions</w:t>
      </w:r>
    </w:p>
    <w:p w14:paraId="16C82501" w14:textId="7D70D68E"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lastRenderedPageBreak/>
        <w:t xml:space="preserve">Analysis of carbon sequestration potential within farmland systems reveals that the East and Central African regions exhibit the greatest capacity for carbon storage, whereas the West African Sahel region demonstrates the least as depicted in Figure </w:t>
      </w:r>
      <w:r w:rsidR="003879D6" w:rsidRPr="007B45E9">
        <w:rPr>
          <w:rFonts w:ascii="Times New Roman" w:hAnsi="Times New Roman" w:cs="Times New Roman"/>
          <w:sz w:val="24"/>
          <w:szCs w:val="24"/>
        </w:rPr>
        <w:t>2)</w:t>
      </w:r>
      <w:r w:rsidRPr="007B45E9">
        <w:rPr>
          <w:rFonts w:ascii="Times New Roman" w:hAnsi="Times New Roman" w:cs="Times New Roman"/>
          <w:sz w:val="24"/>
          <w:szCs w:val="24"/>
        </w:rPr>
        <w:t xml:space="preserve">. </w:t>
      </w:r>
    </w:p>
    <w:p w14:paraId="174055A2" w14:textId="77777777" w:rsidR="0016438B" w:rsidRPr="007B45E9" w:rsidRDefault="0016438B" w:rsidP="007B45E9">
      <w:pPr>
        <w:spacing w:line="240" w:lineRule="auto"/>
        <w:rPr>
          <w:rFonts w:ascii="Times New Roman" w:hAnsi="Times New Roman" w:cs="Times New Roman"/>
          <w:sz w:val="24"/>
          <w:szCs w:val="24"/>
        </w:rPr>
      </w:pPr>
      <w:r w:rsidRPr="007B45E9">
        <w:rPr>
          <w:rFonts w:ascii="Times New Roman" w:hAnsi="Times New Roman" w:cs="Times New Roman"/>
          <w:noProof/>
          <w:sz w:val="24"/>
          <w:szCs w:val="24"/>
          <w:highlight w:val="yellow"/>
        </w:rPr>
        <w:drawing>
          <wp:inline distT="0" distB="0" distL="0" distR="0" wp14:anchorId="303EACE7" wp14:editId="6F7BDDE0">
            <wp:extent cx="5568950" cy="2971800"/>
            <wp:effectExtent l="0" t="0" r="12700" b="0"/>
            <wp:docPr id="1140742870" name="Graphique 1">
              <a:extLst xmlns:a="http://schemas.openxmlformats.org/drawingml/2006/main">
                <a:ext uri="{FF2B5EF4-FFF2-40B4-BE49-F238E27FC236}">
                  <a16:creationId xmlns:a16="http://schemas.microsoft.com/office/drawing/2014/main" id="{C0B32562-44F2-611C-9574-826A5CF3CB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21D928" w14:textId="00D07E61" w:rsidR="0016438B" w:rsidRPr="007B45E9" w:rsidRDefault="0016438B" w:rsidP="007B45E9">
      <w:pPr>
        <w:spacing w:line="240" w:lineRule="auto"/>
        <w:rPr>
          <w:rFonts w:ascii="Times New Roman" w:hAnsi="Times New Roman" w:cs="Times New Roman"/>
          <w:sz w:val="24"/>
          <w:szCs w:val="24"/>
        </w:rPr>
      </w:pPr>
      <w:r w:rsidRPr="007B45E9">
        <w:rPr>
          <w:rFonts w:ascii="Times New Roman" w:hAnsi="Times New Roman" w:cs="Times New Roman"/>
          <w:b/>
          <w:bCs/>
          <w:sz w:val="24"/>
          <w:szCs w:val="24"/>
        </w:rPr>
        <w:t xml:space="preserve">Figure </w:t>
      </w:r>
      <w:r w:rsidR="003879D6" w:rsidRPr="007B45E9">
        <w:rPr>
          <w:rFonts w:ascii="Times New Roman" w:hAnsi="Times New Roman" w:cs="Times New Roman"/>
          <w:b/>
          <w:bCs/>
          <w:sz w:val="24"/>
          <w:szCs w:val="24"/>
        </w:rPr>
        <w:t>2</w:t>
      </w:r>
      <w:r w:rsidRPr="007B45E9">
        <w:rPr>
          <w:rFonts w:ascii="Times New Roman" w:hAnsi="Times New Roman" w:cs="Times New Roman"/>
          <w:sz w:val="24"/>
          <w:szCs w:val="24"/>
        </w:rPr>
        <w:t> : Mean Carbon Sequestration  Potential in agricultural farmland system in Africa</w:t>
      </w:r>
    </w:p>
    <w:p w14:paraId="2308C700" w14:textId="3CD466BE"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These findings are explicable by the nature of their primary agricultural systems. East and Central Africa are dominated by Highland, Mixed Farming, and Humid Forest systems, which inherently contain more primary carbon stock compared to the Rainfed Cropland and Pasture systems prevalent in the West African Sahel, the latter having a lower capacity for carbon sequestration (Slik et al. (2013) ; Gonzalez-Sanchez et al. (2019), Corbeels et al. (2019) ; Tiga et al. (2019)</w:t>
      </w:r>
      <w:r w:rsidR="007F3759" w:rsidRPr="007B45E9">
        <w:rPr>
          <w:rFonts w:ascii="Times New Roman" w:hAnsi="Times New Roman" w:cs="Times New Roman"/>
          <w:sz w:val="24"/>
          <w:szCs w:val="24"/>
        </w:rPr>
        <w:t> ; Tiga Neya et al 2020.</w:t>
      </w:r>
      <w:r w:rsidRPr="007B45E9">
        <w:rPr>
          <w:rFonts w:ascii="Times New Roman" w:hAnsi="Times New Roman" w:cs="Times New Roman"/>
          <w:sz w:val="24"/>
          <w:szCs w:val="24"/>
        </w:rPr>
        <w:t xml:space="preserve"> However. some authors such as Dimobe et al., 2018, and akimoto et al. (2008), highlight that a major portion of carbon in many agricultural systems, especially in drier regions, is stored in the soil. While aboveground biomass is visibly different, soil carbon dynamics are crucial and can be influenced by management practices in all systems.</w:t>
      </w:r>
    </w:p>
    <w:p w14:paraId="22C70E5D" w14:textId="77777777" w:rsidR="0016438B" w:rsidRPr="007B45E9" w:rsidRDefault="0016438B" w:rsidP="007B45E9">
      <w:pPr>
        <w:spacing w:line="240" w:lineRule="auto"/>
        <w:rPr>
          <w:rFonts w:ascii="Times New Roman" w:hAnsi="Times New Roman" w:cs="Times New Roman"/>
          <w:b/>
          <w:bCs/>
          <w:sz w:val="24"/>
          <w:szCs w:val="24"/>
        </w:rPr>
      </w:pPr>
      <w:r w:rsidRPr="007B45E9">
        <w:rPr>
          <w:rFonts w:ascii="Times New Roman" w:hAnsi="Times New Roman" w:cs="Times New Roman"/>
          <w:b/>
          <w:bCs/>
          <w:sz w:val="24"/>
          <w:szCs w:val="24"/>
        </w:rPr>
        <w:t xml:space="preserve">3.2. </w:t>
      </w:r>
      <w:bookmarkStart w:id="3" w:name="_Hlk199695402"/>
      <w:r w:rsidRPr="007B45E9">
        <w:rPr>
          <w:rFonts w:ascii="Times New Roman" w:hAnsi="Times New Roman" w:cs="Times New Roman"/>
          <w:b/>
          <w:bCs/>
          <w:sz w:val="24"/>
          <w:szCs w:val="24"/>
        </w:rPr>
        <w:t>Carbon price per ton metric accross Africa Regions</w:t>
      </w:r>
      <w:bookmarkEnd w:id="3"/>
    </w:p>
    <w:p w14:paraId="497EC493" w14:textId="22897257" w:rsidR="0016438B" w:rsidRPr="007B45E9" w:rsidRDefault="0016438B" w:rsidP="007B45E9">
      <w:pPr>
        <w:spacing w:line="240" w:lineRule="auto"/>
        <w:jc w:val="both"/>
        <w:rPr>
          <w:rFonts w:ascii="Times New Roman" w:hAnsi="Times New Roman" w:cs="Times New Roman"/>
          <w:sz w:val="24"/>
          <w:szCs w:val="24"/>
        </w:rPr>
      </w:pPr>
      <w:bookmarkStart w:id="4" w:name="_Hlk199437330"/>
      <w:r w:rsidRPr="007B45E9">
        <w:rPr>
          <w:rFonts w:ascii="Times New Roman" w:hAnsi="Times New Roman" w:cs="Times New Roman"/>
          <w:sz w:val="24"/>
          <w:szCs w:val="24"/>
        </w:rPr>
        <w:t>Analysis indicates a higher carbon price in the Central African region, established at approximately USD 30. In contrast, the West African Sahel region exhibits the lowest price, which has stabilized at USD 15, representing half the value observed in Central Africa (</w:t>
      </w:r>
      <w:r w:rsidR="00426CC3" w:rsidRPr="007B45E9">
        <w:rPr>
          <w:rFonts w:ascii="Times New Roman" w:hAnsi="Times New Roman" w:cs="Times New Roman"/>
          <w:sz w:val="24"/>
          <w:szCs w:val="24"/>
        </w:rPr>
        <w:t>Figure 3</w:t>
      </w:r>
      <w:r w:rsidR="003879D6" w:rsidRPr="007B45E9">
        <w:rPr>
          <w:rFonts w:ascii="Times New Roman" w:hAnsi="Times New Roman" w:cs="Times New Roman"/>
          <w:sz w:val="24"/>
          <w:szCs w:val="24"/>
        </w:rPr>
        <w:t>)</w:t>
      </w:r>
    </w:p>
    <w:p w14:paraId="1F481D7C" w14:textId="40643518"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lastRenderedPageBreak/>
        <w:t xml:space="preserve"> </w:t>
      </w:r>
      <w:bookmarkEnd w:id="4"/>
      <w:r w:rsidRPr="007B45E9">
        <w:rPr>
          <w:rFonts w:ascii="Times New Roman" w:hAnsi="Times New Roman" w:cs="Times New Roman"/>
          <w:noProof/>
          <w:sz w:val="24"/>
          <w:szCs w:val="24"/>
        </w:rPr>
        <w:drawing>
          <wp:inline distT="0" distB="0" distL="0" distR="0" wp14:anchorId="7DFBD0E8" wp14:editId="408A6245">
            <wp:extent cx="5588000" cy="2743200"/>
            <wp:effectExtent l="0" t="0" r="12700" b="0"/>
            <wp:docPr id="418361765" name="Graphique 1">
              <a:extLst xmlns:a="http://schemas.openxmlformats.org/drawingml/2006/main">
                <a:ext uri="{FF2B5EF4-FFF2-40B4-BE49-F238E27FC236}">
                  <a16:creationId xmlns:a16="http://schemas.microsoft.com/office/drawing/2014/main" id="{3D8D3ABD-2E6E-503A-9A76-D5721C3F81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9F8088" w14:textId="32FCC04A" w:rsidR="0016438B" w:rsidRPr="007B45E9" w:rsidRDefault="0016438B" w:rsidP="007B45E9">
      <w:pPr>
        <w:spacing w:line="240" w:lineRule="auto"/>
        <w:rPr>
          <w:rFonts w:ascii="Times New Roman" w:hAnsi="Times New Roman" w:cs="Times New Roman"/>
          <w:sz w:val="24"/>
          <w:szCs w:val="24"/>
        </w:rPr>
      </w:pPr>
      <w:r w:rsidRPr="007B45E9">
        <w:rPr>
          <w:rFonts w:ascii="Times New Roman" w:hAnsi="Times New Roman" w:cs="Times New Roman"/>
          <w:b/>
          <w:bCs/>
          <w:sz w:val="24"/>
          <w:szCs w:val="24"/>
        </w:rPr>
        <w:t>Figure</w:t>
      </w:r>
      <w:r w:rsidR="003879D6" w:rsidRPr="007B45E9">
        <w:rPr>
          <w:rFonts w:ascii="Times New Roman" w:hAnsi="Times New Roman" w:cs="Times New Roman"/>
          <w:b/>
          <w:bCs/>
          <w:sz w:val="24"/>
          <w:szCs w:val="24"/>
        </w:rPr>
        <w:t xml:space="preserve"> 3</w:t>
      </w:r>
      <w:r w:rsidRPr="007B45E9">
        <w:rPr>
          <w:rFonts w:ascii="Times New Roman" w:hAnsi="Times New Roman" w:cs="Times New Roman"/>
          <w:sz w:val="24"/>
          <w:szCs w:val="24"/>
        </w:rPr>
        <w:t>: Mean carbon price per ton metric in USD</w:t>
      </w:r>
    </w:p>
    <w:p w14:paraId="18128C1E" w14:textId="6AA8E101" w:rsidR="0016438B" w:rsidRPr="007B45E9" w:rsidRDefault="0016438B" w:rsidP="007B45E9">
      <w:pPr>
        <w:spacing w:line="240" w:lineRule="auto"/>
        <w:jc w:val="both"/>
        <w:rPr>
          <w:rFonts w:ascii="Times New Roman" w:hAnsi="Times New Roman" w:cs="Times New Roman"/>
          <w:sz w:val="24"/>
          <w:szCs w:val="24"/>
        </w:rPr>
      </w:pPr>
      <w:bookmarkStart w:id="5" w:name="_Hlk199437636"/>
      <w:r w:rsidRPr="007B45E9">
        <w:rPr>
          <w:rFonts w:ascii="Times New Roman" w:hAnsi="Times New Roman" w:cs="Times New Roman"/>
          <w:sz w:val="24"/>
          <w:szCs w:val="24"/>
        </w:rPr>
        <w:t>The higher carbon price in Central Africa likely reflects a greater demand for high-integrity, nature-based carbon credits from its extensive forest resources, coupled with potentially more mature market frameworks or international recognition of these credits</w:t>
      </w:r>
      <w:bookmarkEnd w:id="5"/>
      <w:r w:rsidRPr="007B45E9">
        <w:rPr>
          <w:rFonts w:ascii="Times New Roman" w:hAnsi="Times New Roman" w:cs="Times New Roman"/>
          <w:sz w:val="24"/>
          <w:szCs w:val="24"/>
        </w:rPr>
        <w:t>. (</w:t>
      </w:r>
      <w:r w:rsidR="008111A1" w:rsidRPr="007B45E9">
        <w:rPr>
          <w:rFonts w:ascii="Times New Roman" w:hAnsi="Times New Roman" w:cs="Times New Roman"/>
          <w:sz w:val="24"/>
          <w:szCs w:val="24"/>
        </w:rPr>
        <w:t xml:space="preserve">Nadia Ashraf and Karim Karaki </w:t>
      </w:r>
      <w:r w:rsidR="00426CC3" w:rsidRPr="007B45E9">
        <w:rPr>
          <w:rFonts w:ascii="Times New Roman" w:hAnsi="Times New Roman" w:cs="Times New Roman"/>
          <w:sz w:val="24"/>
          <w:szCs w:val="24"/>
        </w:rPr>
        <w:t>2024,</w:t>
      </w:r>
      <w:r w:rsidRPr="007B45E9">
        <w:rPr>
          <w:rFonts w:ascii="Times New Roman" w:hAnsi="Times New Roman" w:cs="Times New Roman"/>
          <w:sz w:val="24"/>
          <w:szCs w:val="24"/>
        </w:rPr>
        <w:t xml:space="preserve"> Brice Yannick Djiofack et al, </w:t>
      </w:r>
      <w:r w:rsidR="00894CCB" w:rsidRPr="007B45E9">
        <w:rPr>
          <w:rFonts w:ascii="Times New Roman" w:hAnsi="Times New Roman" w:cs="Times New Roman"/>
          <w:sz w:val="24"/>
          <w:szCs w:val="24"/>
        </w:rPr>
        <w:t>2024.</w:t>
      </w:r>
      <w:r w:rsidR="00AD4279" w:rsidRPr="007B45E9">
        <w:rPr>
          <w:rFonts w:ascii="Times New Roman" w:hAnsi="Times New Roman" w:cs="Times New Roman"/>
          <w:sz w:val="24"/>
          <w:szCs w:val="24"/>
        </w:rPr>
        <w:t xml:space="preserve"> </w:t>
      </w:r>
      <w:r w:rsidRPr="007B45E9">
        <w:rPr>
          <w:rFonts w:ascii="Times New Roman" w:hAnsi="Times New Roman" w:cs="Times New Roman"/>
          <w:sz w:val="24"/>
          <w:szCs w:val="24"/>
        </w:rPr>
        <w:t>The lower price in the West African Sahel, while having significant potential for carbon finance through land restoration, might be influenced by nascent market development, different project types, and the immediate challenges of climate vulnerability (</w:t>
      </w:r>
      <w:r w:rsidR="003879D6" w:rsidRPr="007B45E9">
        <w:rPr>
          <w:rFonts w:ascii="Times New Roman" w:hAnsi="Times New Roman" w:cs="Times New Roman"/>
          <w:sz w:val="24"/>
          <w:szCs w:val="24"/>
        </w:rPr>
        <w:t>Tiga</w:t>
      </w:r>
      <w:r w:rsidRPr="007B45E9">
        <w:rPr>
          <w:rFonts w:ascii="Times New Roman" w:hAnsi="Times New Roman" w:cs="Times New Roman"/>
          <w:sz w:val="24"/>
          <w:szCs w:val="24"/>
        </w:rPr>
        <w:t xml:space="preserve"> et al. </w:t>
      </w:r>
      <w:r w:rsidR="00894CCB" w:rsidRPr="007B45E9">
        <w:rPr>
          <w:rFonts w:ascii="Times New Roman" w:hAnsi="Times New Roman" w:cs="Times New Roman"/>
          <w:sz w:val="24"/>
          <w:szCs w:val="24"/>
        </w:rPr>
        <w:t>2019.</w:t>
      </w:r>
      <w:r w:rsidR="002475B6" w:rsidRPr="007B45E9">
        <w:rPr>
          <w:rFonts w:ascii="Times New Roman" w:hAnsi="Times New Roman" w:cs="Times New Roman"/>
          <w:sz w:val="24"/>
          <w:szCs w:val="24"/>
        </w:rPr>
        <w:t xml:space="preserve"> Denton et al</w:t>
      </w:r>
      <w:r w:rsidRPr="007B45E9">
        <w:rPr>
          <w:rFonts w:ascii="Times New Roman" w:hAnsi="Times New Roman" w:cs="Times New Roman"/>
          <w:sz w:val="24"/>
          <w:szCs w:val="24"/>
          <w:u w:val="single"/>
        </w:rPr>
        <w:t>, 2024</w:t>
      </w:r>
      <w:r w:rsidRPr="007B45E9">
        <w:rPr>
          <w:rFonts w:ascii="Times New Roman" w:hAnsi="Times New Roman" w:cs="Times New Roman"/>
          <w:sz w:val="24"/>
          <w:szCs w:val="24"/>
        </w:rPr>
        <w:t xml:space="preserve">, Rouget </w:t>
      </w:r>
      <w:r w:rsidR="002475B6" w:rsidRPr="007B45E9">
        <w:rPr>
          <w:rFonts w:ascii="Times New Roman" w:hAnsi="Times New Roman" w:cs="Times New Roman"/>
          <w:sz w:val="24"/>
          <w:szCs w:val="24"/>
        </w:rPr>
        <w:t xml:space="preserve">et al </w:t>
      </w:r>
      <w:r w:rsidRPr="007B45E9">
        <w:rPr>
          <w:rFonts w:ascii="Times New Roman" w:hAnsi="Times New Roman" w:cs="Times New Roman"/>
          <w:sz w:val="24"/>
          <w:szCs w:val="24"/>
        </w:rPr>
        <w:t>2024)</w:t>
      </w:r>
    </w:p>
    <w:p w14:paraId="1A9622E8" w14:textId="77777777" w:rsidR="0016438B" w:rsidRPr="007B45E9" w:rsidRDefault="0016438B" w:rsidP="007B45E9">
      <w:pPr>
        <w:spacing w:line="240" w:lineRule="auto"/>
        <w:rPr>
          <w:rFonts w:ascii="Times New Roman" w:hAnsi="Times New Roman" w:cs="Times New Roman"/>
          <w:b/>
          <w:bCs/>
          <w:sz w:val="24"/>
          <w:szCs w:val="24"/>
        </w:rPr>
      </w:pPr>
      <w:r w:rsidRPr="007B45E9">
        <w:rPr>
          <w:rFonts w:ascii="Times New Roman" w:hAnsi="Times New Roman" w:cs="Times New Roman"/>
          <w:b/>
          <w:bCs/>
          <w:sz w:val="24"/>
          <w:szCs w:val="24"/>
        </w:rPr>
        <w:t>3.3. Estimated carbon value per ha accross Africa regions</w:t>
      </w:r>
    </w:p>
    <w:p w14:paraId="0CC5E71D" w14:textId="5EF045F1"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Analysis indicates a higher estimated carbon value per ha in the Central African region, established at approximately USD 90. In contrast, the West African Sahel region exhibits the lowest carbon value, which has stabilized at USD 12.75, representing one-seventh the value observed in Central Africa (Figure </w:t>
      </w:r>
      <w:r w:rsidR="003879D6" w:rsidRPr="007B45E9">
        <w:rPr>
          <w:rFonts w:ascii="Times New Roman" w:hAnsi="Times New Roman" w:cs="Times New Roman"/>
          <w:sz w:val="24"/>
          <w:szCs w:val="24"/>
        </w:rPr>
        <w:t>4</w:t>
      </w:r>
      <w:r w:rsidRPr="007B45E9">
        <w:rPr>
          <w:rFonts w:ascii="Times New Roman" w:hAnsi="Times New Roman" w:cs="Times New Roman"/>
          <w:sz w:val="24"/>
          <w:szCs w:val="24"/>
        </w:rPr>
        <w:t>)</w:t>
      </w:r>
    </w:p>
    <w:p w14:paraId="1F400C4B" w14:textId="77777777" w:rsidR="0016438B" w:rsidRPr="007B45E9" w:rsidRDefault="0016438B" w:rsidP="007B45E9">
      <w:pPr>
        <w:spacing w:line="240" w:lineRule="auto"/>
        <w:rPr>
          <w:rFonts w:ascii="Times New Roman" w:hAnsi="Times New Roman" w:cs="Times New Roman"/>
          <w:sz w:val="24"/>
          <w:szCs w:val="24"/>
        </w:rPr>
      </w:pPr>
      <w:r w:rsidRPr="007B45E9">
        <w:rPr>
          <w:rFonts w:ascii="Times New Roman" w:hAnsi="Times New Roman" w:cs="Times New Roman"/>
          <w:noProof/>
          <w:sz w:val="24"/>
          <w:szCs w:val="24"/>
        </w:rPr>
        <w:drawing>
          <wp:inline distT="0" distB="0" distL="0" distR="0" wp14:anchorId="17E8D300" wp14:editId="59F369FC">
            <wp:extent cx="5797550" cy="3117850"/>
            <wp:effectExtent l="0" t="0" r="12700" b="6350"/>
            <wp:docPr id="1314555850" name="Graphique 1">
              <a:extLst xmlns:a="http://schemas.openxmlformats.org/drawingml/2006/main">
                <a:ext uri="{FF2B5EF4-FFF2-40B4-BE49-F238E27FC236}">
                  <a16:creationId xmlns:a16="http://schemas.microsoft.com/office/drawing/2014/main" id="{83FA4196-8B4A-1FA2-9CDE-706C56F396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7245B08" w14:textId="2D84E3B2" w:rsidR="0016438B" w:rsidRPr="007B45E9" w:rsidRDefault="0016438B" w:rsidP="007B45E9">
      <w:pPr>
        <w:spacing w:line="240" w:lineRule="auto"/>
        <w:rPr>
          <w:rFonts w:ascii="Times New Roman" w:hAnsi="Times New Roman" w:cs="Times New Roman"/>
          <w:sz w:val="24"/>
          <w:szCs w:val="24"/>
        </w:rPr>
      </w:pPr>
      <w:bookmarkStart w:id="6" w:name="_Hlk199427311"/>
      <w:r w:rsidRPr="007B45E9">
        <w:rPr>
          <w:rFonts w:ascii="Times New Roman" w:hAnsi="Times New Roman" w:cs="Times New Roman"/>
          <w:b/>
          <w:bCs/>
          <w:sz w:val="24"/>
          <w:szCs w:val="24"/>
        </w:rPr>
        <w:lastRenderedPageBreak/>
        <w:t>Figure </w:t>
      </w:r>
      <w:r w:rsidR="003879D6" w:rsidRPr="007B45E9">
        <w:rPr>
          <w:rFonts w:ascii="Times New Roman" w:hAnsi="Times New Roman" w:cs="Times New Roman"/>
          <w:b/>
          <w:bCs/>
          <w:sz w:val="24"/>
          <w:szCs w:val="24"/>
        </w:rPr>
        <w:t>4</w:t>
      </w:r>
      <w:r w:rsidRPr="007B45E9">
        <w:rPr>
          <w:rFonts w:ascii="Times New Roman" w:hAnsi="Times New Roman" w:cs="Times New Roman"/>
          <w:b/>
          <w:bCs/>
          <w:sz w:val="24"/>
          <w:szCs w:val="24"/>
        </w:rPr>
        <w:t>:</w:t>
      </w:r>
      <w:r w:rsidRPr="007B45E9">
        <w:rPr>
          <w:rFonts w:ascii="Times New Roman" w:hAnsi="Times New Roman" w:cs="Times New Roman"/>
          <w:sz w:val="24"/>
          <w:szCs w:val="24"/>
        </w:rPr>
        <w:t xml:space="preserve"> Mean carbon value per ha in farmland ystem accross the Africas regions in USD</w:t>
      </w:r>
    </w:p>
    <w:bookmarkEnd w:id="6"/>
    <w:p w14:paraId="4F896052" w14:textId="0D175BF1"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Central Africa's higher carbon value per hectare likely stems from two key factors. First, there's greater demand for high-integrity, nature-based carbon credits originating from its vast forest resources. This demand is often paired with more mature market frameworks or international recognition of these credits, driving up carbon prices. Second, the region's primary agricultural systems record higher carbon sequestration, meaning they naturally store more carbon than those in the West African Sahel, contributing to the higher value (Cuni-Sanchez, A., et al 2021, Tiga et al. 2018 and </w:t>
      </w:r>
      <w:r w:rsidR="00C61AE4" w:rsidRPr="007B45E9">
        <w:rPr>
          <w:rFonts w:ascii="Times New Roman" w:hAnsi="Times New Roman" w:cs="Times New Roman"/>
          <w:sz w:val="24"/>
          <w:szCs w:val="24"/>
        </w:rPr>
        <w:t>Bishaw Badege</w:t>
      </w:r>
      <w:r w:rsidRPr="007B45E9">
        <w:rPr>
          <w:rFonts w:ascii="Times New Roman" w:hAnsi="Times New Roman" w:cs="Times New Roman"/>
          <w:sz w:val="24"/>
          <w:szCs w:val="24"/>
        </w:rPr>
        <w:t>., et al 2013)</w:t>
      </w:r>
    </w:p>
    <w:p w14:paraId="6440F9D0" w14:textId="77777777"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 xml:space="preserve">3.4. </w:t>
      </w:r>
      <w:bookmarkStart w:id="7" w:name="_Hlk199709865"/>
      <w:r w:rsidRPr="007B45E9">
        <w:rPr>
          <w:rFonts w:ascii="Times New Roman" w:hAnsi="Times New Roman" w:cs="Times New Roman"/>
          <w:b/>
          <w:bCs/>
          <w:sz w:val="24"/>
          <w:szCs w:val="24"/>
        </w:rPr>
        <w:t xml:space="preserve">Agricultural climate insurance premium accross Africa Regions </w:t>
      </w:r>
      <w:bookmarkEnd w:id="7"/>
    </w:p>
    <w:p w14:paraId="2BBC7A1A" w14:textId="07B5646F"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An analysis shows a clear regional difference in agricultural climate insurance costs: Central and East African regions have premiums set at approximately </w:t>
      </w:r>
      <w:r w:rsidRPr="007B45E9">
        <w:rPr>
          <w:rStyle w:val="Strong"/>
          <w:rFonts w:ascii="Times New Roman" w:hAnsi="Times New Roman" w:cs="Times New Roman"/>
          <w:b w:val="0"/>
          <w:bCs w:val="0"/>
          <w:sz w:val="24"/>
          <w:szCs w:val="24"/>
        </w:rPr>
        <w:t>USD 15 per hectare</w:t>
      </w:r>
      <w:r w:rsidRPr="007B45E9">
        <w:rPr>
          <w:rFonts w:ascii="Times New Roman" w:hAnsi="Times New Roman" w:cs="Times New Roman"/>
          <w:sz w:val="24"/>
          <w:szCs w:val="24"/>
        </w:rPr>
        <w:t xml:space="preserve">, while Southern Africa faces a higher premium of </w:t>
      </w:r>
      <w:r w:rsidRPr="007B45E9">
        <w:rPr>
          <w:rStyle w:val="Strong"/>
          <w:rFonts w:ascii="Times New Roman" w:hAnsi="Times New Roman" w:cs="Times New Roman"/>
          <w:b w:val="0"/>
          <w:bCs w:val="0"/>
          <w:sz w:val="24"/>
          <w:szCs w:val="24"/>
        </w:rPr>
        <w:t xml:space="preserve">USD 22.5 per hectare (Figure </w:t>
      </w:r>
      <w:r w:rsidR="003879D6" w:rsidRPr="007B45E9">
        <w:rPr>
          <w:rStyle w:val="Strong"/>
          <w:rFonts w:ascii="Times New Roman" w:hAnsi="Times New Roman" w:cs="Times New Roman"/>
          <w:b w:val="0"/>
          <w:bCs w:val="0"/>
          <w:sz w:val="24"/>
          <w:szCs w:val="24"/>
        </w:rPr>
        <w:t>5</w:t>
      </w:r>
      <w:r w:rsidRPr="007B45E9">
        <w:rPr>
          <w:rStyle w:val="Strong"/>
          <w:rFonts w:ascii="Times New Roman" w:hAnsi="Times New Roman" w:cs="Times New Roman"/>
          <w:b w:val="0"/>
          <w:bCs w:val="0"/>
          <w:sz w:val="24"/>
          <w:szCs w:val="24"/>
        </w:rPr>
        <w:t>)</w:t>
      </w:r>
    </w:p>
    <w:p w14:paraId="78A5139B" w14:textId="77777777" w:rsidR="0016438B" w:rsidRPr="007B45E9" w:rsidRDefault="0016438B" w:rsidP="007B45E9">
      <w:pPr>
        <w:spacing w:line="240" w:lineRule="auto"/>
        <w:rPr>
          <w:rFonts w:ascii="Times New Roman" w:hAnsi="Times New Roman" w:cs="Times New Roman"/>
          <w:sz w:val="24"/>
          <w:szCs w:val="24"/>
        </w:rPr>
      </w:pPr>
      <w:r w:rsidRPr="007B45E9">
        <w:rPr>
          <w:rFonts w:ascii="Times New Roman" w:hAnsi="Times New Roman" w:cs="Times New Roman"/>
          <w:noProof/>
          <w:sz w:val="24"/>
          <w:szCs w:val="24"/>
        </w:rPr>
        <w:drawing>
          <wp:inline distT="0" distB="0" distL="0" distR="0" wp14:anchorId="6A35D138" wp14:editId="0CB18708">
            <wp:extent cx="6210300" cy="3155950"/>
            <wp:effectExtent l="0" t="0" r="0" b="6350"/>
            <wp:docPr id="887022957" name="Graphique 1">
              <a:extLst xmlns:a="http://schemas.openxmlformats.org/drawingml/2006/main">
                <a:ext uri="{FF2B5EF4-FFF2-40B4-BE49-F238E27FC236}">
                  <a16:creationId xmlns:a16="http://schemas.microsoft.com/office/drawing/2014/main" id="{2A49D755-C48E-BDFB-2ECF-248B0BC68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FEE0B2E" w14:textId="4BA373C5" w:rsidR="0016438B" w:rsidRPr="007B45E9" w:rsidRDefault="0016438B" w:rsidP="007B45E9">
      <w:pPr>
        <w:spacing w:line="240" w:lineRule="auto"/>
        <w:rPr>
          <w:rFonts w:ascii="Times New Roman" w:hAnsi="Times New Roman" w:cs="Times New Roman"/>
          <w:sz w:val="24"/>
          <w:szCs w:val="24"/>
        </w:rPr>
      </w:pPr>
      <w:r w:rsidRPr="007B45E9">
        <w:rPr>
          <w:rFonts w:ascii="Times New Roman" w:hAnsi="Times New Roman" w:cs="Times New Roman"/>
          <w:b/>
          <w:bCs/>
          <w:sz w:val="24"/>
          <w:szCs w:val="24"/>
        </w:rPr>
        <w:t>Figure</w:t>
      </w:r>
      <w:r w:rsidR="003879D6" w:rsidRPr="007B45E9">
        <w:rPr>
          <w:rFonts w:ascii="Times New Roman" w:hAnsi="Times New Roman" w:cs="Times New Roman"/>
          <w:b/>
          <w:bCs/>
          <w:sz w:val="24"/>
          <w:szCs w:val="24"/>
        </w:rPr>
        <w:t xml:space="preserve"> 5</w:t>
      </w:r>
      <w:r w:rsidRPr="007B45E9">
        <w:rPr>
          <w:rFonts w:ascii="Times New Roman" w:hAnsi="Times New Roman" w:cs="Times New Roman"/>
          <w:sz w:val="24"/>
          <w:szCs w:val="24"/>
        </w:rPr>
        <w:t xml:space="preserve"> : Mean agricultural insurance premium </w:t>
      </w:r>
      <w:r w:rsidR="00A43299" w:rsidRPr="007B45E9">
        <w:rPr>
          <w:rFonts w:ascii="Times New Roman" w:hAnsi="Times New Roman" w:cs="Times New Roman"/>
          <w:sz w:val="24"/>
          <w:szCs w:val="24"/>
        </w:rPr>
        <w:t>per ha</w:t>
      </w:r>
      <w:r w:rsidRPr="007B45E9">
        <w:rPr>
          <w:rFonts w:ascii="Times New Roman" w:hAnsi="Times New Roman" w:cs="Times New Roman"/>
          <w:sz w:val="24"/>
          <w:szCs w:val="24"/>
        </w:rPr>
        <w:t xml:space="preserve"> accross the Africas regions in USD</w:t>
      </w:r>
    </w:p>
    <w:p w14:paraId="38533042" w14:textId="2664A4FB"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The higher agricultural climate insurance premiums in Southern Africa (USD 22.5/ha) compared to Central and East Africa (USD 15/ha) can be explained by a </w:t>
      </w:r>
      <w:r w:rsidRPr="007B45E9">
        <w:rPr>
          <w:rStyle w:val="Strong"/>
          <w:rFonts w:ascii="Times New Roman" w:hAnsi="Times New Roman" w:cs="Times New Roman"/>
          <w:b w:val="0"/>
          <w:bCs w:val="0"/>
          <w:sz w:val="24"/>
          <w:szCs w:val="24"/>
        </w:rPr>
        <w:t>higher value of investment capital per hectare</w:t>
      </w:r>
      <w:r w:rsidRPr="007B45E9">
        <w:rPr>
          <w:rFonts w:ascii="Times New Roman" w:hAnsi="Times New Roman" w:cs="Times New Roman"/>
          <w:sz w:val="24"/>
          <w:szCs w:val="24"/>
        </w:rPr>
        <w:t xml:space="preserve"> in the Southern African region. Since the premium represents a certain percentage of this capital, a larger investment naturally leads to a higher insurance cost.( Masiza, W., Chirima, J.G., Hamandawana, H., et al 202</w:t>
      </w:r>
      <w:r w:rsidR="00D3604C" w:rsidRPr="007B45E9">
        <w:rPr>
          <w:rFonts w:ascii="Times New Roman" w:hAnsi="Times New Roman" w:cs="Times New Roman"/>
          <w:sz w:val="24"/>
          <w:szCs w:val="24"/>
        </w:rPr>
        <w:t> ; Emmanuel Nshakira-Rukundo et al. 2021</w:t>
      </w:r>
      <w:r w:rsidR="009C5011" w:rsidRPr="007B45E9">
        <w:rPr>
          <w:rFonts w:ascii="Times New Roman" w:hAnsi="Times New Roman" w:cs="Times New Roman"/>
          <w:sz w:val="24"/>
          <w:szCs w:val="24"/>
        </w:rPr>
        <w:t xml:space="preserve"> ; Nepomuscene Ntukamazina et al. </w:t>
      </w:r>
      <w:r w:rsidR="00A43299" w:rsidRPr="007B45E9">
        <w:rPr>
          <w:rFonts w:ascii="Times New Roman" w:hAnsi="Times New Roman" w:cs="Times New Roman"/>
          <w:sz w:val="24"/>
          <w:szCs w:val="24"/>
        </w:rPr>
        <w:t>2017)</w:t>
      </w:r>
      <w:r w:rsidRPr="007B45E9">
        <w:rPr>
          <w:rFonts w:ascii="Times New Roman" w:hAnsi="Times New Roman" w:cs="Times New Roman"/>
          <w:sz w:val="24"/>
          <w:szCs w:val="24"/>
        </w:rPr>
        <w:t xml:space="preserve">   It can also explain by the fact that , the higher premium in Southern Africa reflects a combination of objectively higher climate risks to agriculture, potentially more advanced (and thus more accurate in risk pricing) insurance markets, and the underlying economic vulnerabilities that amplify the impact of climate events on agricultural production.</w:t>
      </w:r>
    </w:p>
    <w:p w14:paraId="6A6F287E" w14:textId="77777777" w:rsidR="0016438B" w:rsidRPr="007B45E9" w:rsidRDefault="0016438B" w:rsidP="007B45E9">
      <w:pPr>
        <w:spacing w:line="240" w:lineRule="auto"/>
        <w:rPr>
          <w:rFonts w:ascii="Times New Roman" w:hAnsi="Times New Roman" w:cs="Times New Roman"/>
          <w:b/>
          <w:bCs/>
          <w:sz w:val="24"/>
          <w:szCs w:val="24"/>
        </w:rPr>
      </w:pPr>
      <w:r w:rsidRPr="007B45E9">
        <w:rPr>
          <w:rFonts w:ascii="Times New Roman" w:hAnsi="Times New Roman" w:cs="Times New Roman"/>
          <w:b/>
          <w:bCs/>
          <w:sz w:val="24"/>
          <w:szCs w:val="24"/>
        </w:rPr>
        <w:t>3.5. Possible financing of agricultural index bas insurance premium payment through carborn credit accros the Africa Region</w:t>
      </w:r>
    </w:p>
    <w:p w14:paraId="457165C8" w14:textId="0247AA61"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The analysis reveals a financial gap in the West African Sahel : the mean carbon value per hectare annually is less than the average agricultural insurance premium (Figure </w:t>
      </w:r>
      <w:r w:rsidR="00F308EF" w:rsidRPr="007B45E9">
        <w:rPr>
          <w:rFonts w:ascii="Times New Roman" w:hAnsi="Times New Roman" w:cs="Times New Roman"/>
          <w:sz w:val="24"/>
          <w:szCs w:val="24"/>
        </w:rPr>
        <w:t>6</w:t>
      </w:r>
      <w:r w:rsidRPr="007B45E9">
        <w:rPr>
          <w:rFonts w:ascii="Times New Roman" w:hAnsi="Times New Roman" w:cs="Times New Roman"/>
          <w:sz w:val="24"/>
          <w:szCs w:val="24"/>
        </w:rPr>
        <w:t>). Although this carbon value ideally could cover the premium, providing smallholder farmers with risk-</w:t>
      </w:r>
      <w:r w:rsidRPr="007B45E9">
        <w:rPr>
          <w:rFonts w:ascii="Times New Roman" w:hAnsi="Times New Roman" w:cs="Times New Roman"/>
          <w:sz w:val="24"/>
          <w:szCs w:val="24"/>
        </w:rPr>
        <w:lastRenderedPageBreak/>
        <w:t>reducing insurance at no personal cost, the observed lower carbon values in the region suggest that farmers, despite their significant carbon sequestration efforts on their land, should still contribute up to 30 percent of the premium's value (One Acre Fund 2024</w:t>
      </w:r>
      <w:r w:rsidR="00215176" w:rsidRPr="007B45E9">
        <w:rPr>
          <w:rFonts w:ascii="Times New Roman" w:hAnsi="Times New Roman" w:cs="Times New Roman"/>
          <w:sz w:val="24"/>
          <w:szCs w:val="24"/>
        </w:rPr>
        <w:t xml:space="preserve"> AfDB 2021)</w:t>
      </w:r>
    </w:p>
    <w:p w14:paraId="6B3D2A49" w14:textId="77777777" w:rsidR="0016438B" w:rsidRPr="007B45E9" w:rsidRDefault="0016438B" w:rsidP="007B45E9">
      <w:pPr>
        <w:spacing w:line="240" w:lineRule="auto"/>
        <w:rPr>
          <w:rFonts w:ascii="Times New Roman" w:hAnsi="Times New Roman" w:cs="Times New Roman"/>
          <w:sz w:val="24"/>
          <w:szCs w:val="24"/>
        </w:rPr>
      </w:pPr>
      <w:r w:rsidRPr="007B45E9">
        <w:rPr>
          <w:rFonts w:ascii="Times New Roman" w:hAnsi="Times New Roman" w:cs="Times New Roman"/>
          <w:noProof/>
          <w:sz w:val="24"/>
          <w:szCs w:val="24"/>
        </w:rPr>
        <w:drawing>
          <wp:inline distT="0" distB="0" distL="0" distR="0" wp14:anchorId="5DB46995" wp14:editId="6D435E21">
            <wp:extent cx="5760720" cy="2589530"/>
            <wp:effectExtent l="0" t="0" r="11430" b="1270"/>
            <wp:docPr id="1698840977" name="Graphique 1">
              <a:extLst xmlns:a="http://schemas.openxmlformats.org/drawingml/2006/main">
                <a:ext uri="{FF2B5EF4-FFF2-40B4-BE49-F238E27FC236}">
                  <a16:creationId xmlns:a16="http://schemas.microsoft.com/office/drawing/2014/main" id="{335CE408-1E30-F49D-EC56-35C89EC2B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48C1221" w14:textId="0DE8F2E6" w:rsidR="0016438B" w:rsidRPr="007B45E9" w:rsidRDefault="0016438B" w:rsidP="007B45E9">
      <w:pPr>
        <w:spacing w:line="240" w:lineRule="auto"/>
        <w:rPr>
          <w:rFonts w:ascii="Times New Roman" w:hAnsi="Times New Roman" w:cs="Times New Roman"/>
          <w:sz w:val="24"/>
          <w:szCs w:val="24"/>
        </w:rPr>
      </w:pPr>
      <w:r w:rsidRPr="007B45E9">
        <w:rPr>
          <w:rFonts w:ascii="Times New Roman" w:hAnsi="Times New Roman" w:cs="Times New Roman"/>
          <w:b/>
          <w:bCs/>
          <w:sz w:val="24"/>
          <w:szCs w:val="24"/>
        </w:rPr>
        <w:t>Figure</w:t>
      </w:r>
      <w:r w:rsidR="003879D6" w:rsidRPr="007B45E9">
        <w:rPr>
          <w:rFonts w:ascii="Times New Roman" w:hAnsi="Times New Roman" w:cs="Times New Roman"/>
          <w:b/>
          <w:bCs/>
          <w:sz w:val="24"/>
          <w:szCs w:val="24"/>
        </w:rPr>
        <w:t xml:space="preserve"> </w:t>
      </w:r>
      <w:r w:rsidR="00F308EF" w:rsidRPr="007B45E9">
        <w:rPr>
          <w:rFonts w:ascii="Times New Roman" w:hAnsi="Times New Roman" w:cs="Times New Roman"/>
          <w:b/>
          <w:bCs/>
          <w:sz w:val="24"/>
          <w:szCs w:val="24"/>
        </w:rPr>
        <w:t>6</w:t>
      </w:r>
      <w:r w:rsidR="00F308EF" w:rsidRPr="007B45E9">
        <w:rPr>
          <w:rFonts w:ascii="Times New Roman" w:hAnsi="Times New Roman" w:cs="Times New Roman"/>
          <w:sz w:val="24"/>
          <w:szCs w:val="24"/>
        </w:rPr>
        <w:t xml:space="preserve"> :</w:t>
      </w:r>
      <w:r w:rsidRPr="007B45E9">
        <w:rPr>
          <w:rFonts w:ascii="Times New Roman" w:hAnsi="Times New Roman" w:cs="Times New Roman"/>
          <w:sz w:val="24"/>
          <w:szCs w:val="24"/>
        </w:rPr>
        <w:t xml:space="preserve">  Mean carbon value per ha compare to the mean agricultural insurance premium per ha across the Africas regions </w:t>
      </w:r>
    </w:p>
    <w:p w14:paraId="2CA04D23"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While farmers in other African regions generate enough carbon value per hectare per year to fully cover their agricultural index-based insurance premiums without personal contribution, a particularly interesting dynamic emerges in East, Central, and Southern Africa. Farmers in these regions can even earn a surplus from their carbon value, potentially receiving an additional USD 24, USD 44, and US 75 per hectare annually, respectively, beyond their insurance costs.</w:t>
      </w:r>
    </w:p>
    <w:p w14:paraId="1CBC06B1" w14:textId="712B19AD"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 xml:space="preserve">IV </w:t>
      </w:r>
      <w:r w:rsidR="00F308EF" w:rsidRPr="007B45E9">
        <w:rPr>
          <w:rFonts w:ascii="Times New Roman" w:hAnsi="Times New Roman" w:cs="Times New Roman"/>
          <w:b/>
          <w:bCs/>
          <w:sz w:val="24"/>
          <w:szCs w:val="24"/>
        </w:rPr>
        <w:t>CONCLUSION</w:t>
      </w:r>
    </w:p>
    <w:p w14:paraId="74597902"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An in-depth look at carbon sequestration, pricing, estimated carbon value per hectare, and agricultural climate insurance premiums across Africa's diverse regions offers vital insights into how we can finance agricultural resilience. It's clear that while carbon finance holds immense promise, its applicability varies significantly by region.</w:t>
      </w:r>
    </w:p>
    <w:p w14:paraId="27843139" w14:textId="77777777"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East and Central African regions stand out as leaders in leveraging carbon finance. Their agricultural systems, dominated by Highland, Mixed Farming, and Humid Forest, boast substantial carbon sequestration potential. This ecological advantage directly translates into a higher estimated carbon value per hectare. Crucially, this carbon value outstrips the cost of agricultural insurance premiums. Farmers in these areas can fully cover their index-based insurance through carbon credits and even generate a significant surplus—up to $24 per hectare in East Africa and $44 per hectare in Central Africa. This surplus creates a unique opportunity to directly finance climate risk transfer mechanisms, empowering smallholder farmers without requiring any personal financial contributions.</w:t>
      </w:r>
    </w:p>
    <w:p w14:paraId="156115FA" w14:textId="1DB13EA0" w:rsidR="0016438B" w:rsidRPr="007B45E9"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Conversely, the West African Sahel grapples with a notable challenge. While its agricultural systems naturally have less inherent carbon sequestration capacity than other regions, the most pressing issue is a financial </w:t>
      </w:r>
      <w:r w:rsidR="00426CC3" w:rsidRPr="007B45E9">
        <w:rPr>
          <w:rFonts w:ascii="Times New Roman" w:hAnsi="Times New Roman" w:cs="Times New Roman"/>
          <w:sz w:val="24"/>
          <w:szCs w:val="24"/>
        </w:rPr>
        <w:t>gap :</w:t>
      </w:r>
      <w:r w:rsidRPr="007B45E9">
        <w:rPr>
          <w:rFonts w:ascii="Times New Roman" w:hAnsi="Times New Roman" w:cs="Times New Roman"/>
          <w:sz w:val="24"/>
          <w:szCs w:val="24"/>
        </w:rPr>
        <w:t xml:space="preserve"> the average carbon value per hectare simply doesn't cover the agricultural insurance premium. Despite their efforts to sequester carbon on their land, farmers in the Sahel would still need to contribute up to 30% of their insurance premium. This highlights a critical need for alternative or supplementary funding to ensure full insurance coverage and build resilience in this highly climate-vulnerable region. The lower carbon prices here also </w:t>
      </w:r>
      <w:r w:rsidRPr="007B45E9">
        <w:rPr>
          <w:rFonts w:ascii="Times New Roman" w:hAnsi="Times New Roman" w:cs="Times New Roman"/>
          <w:sz w:val="24"/>
          <w:szCs w:val="24"/>
        </w:rPr>
        <w:lastRenderedPageBreak/>
        <w:t>reflect nascent market development and the immediate climate challenges, hindering the full potential of carbon finance.</w:t>
      </w:r>
    </w:p>
    <w:p w14:paraId="4894C91F" w14:textId="77777777" w:rsidR="0016438B" w:rsidRPr="007B45E9" w:rsidRDefault="0016438B" w:rsidP="007B45E9">
      <w:pPr>
        <w:spacing w:line="240" w:lineRule="auto"/>
        <w:jc w:val="both"/>
        <w:rPr>
          <w:rFonts w:ascii="Times New Roman" w:hAnsi="Times New Roman" w:cs="Times New Roman"/>
          <w:sz w:val="24"/>
          <w:szCs w:val="24"/>
        </w:rPr>
      </w:pPr>
      <w:r w:rsidRPr="007B45E9">
        <w:rPr>
          <w:rStyle w:val="Strong"/>
          <w:rFonts w:ascii="Times New Roman" w:hAnsi="Times New Roman" w:cs="Times New Roman"/>
          <w:b w:val="0"/>
          <w:bCs w:val="0"/>
          <w:sz w:val="24"/>
          <w:szCs w:val="24"/>
        </w:rPr>
        <w:t>Southern Africa</w:t>
      </w:r>
      <w:r w:rsidRPr="007B45E9">
        <w:rPr>
          <w:rFonts w:ascii="Times New Roman" w:hAnsi="Times New Roman" w:cs="Times New Roman"/>
          <w:sz w:val="24"/>
          <w:szCs w:val="24"/>
        </w:rPr>
        <w:t xml:space="preserve"> presents a distinct scenario with the highest agricultural climate insurance premiums, averaging </w:t>
      </w:r>
      <w:r w:rsidRPr="007B45E9">
        <w:rPr>
          <w:rStyle w:val="Strong"/>
          <w:rFonts w:ascii="Times New Roman" w:hAnsi="Times New Roman" w:cs="Times New Roman"/>
          <w:b w:val="0"/>
          <w:bCs w:val="0"/>
          <w:sz w:val="24"/>
          <w:szCs w:val="24"/>
        </w:rPr>
        <w:t>$22.5 per hectare</w:t>
      </w:r>
      <w:r w:rsidRPr="007B45E9">
        <w:rPr>
          <w:rFonts w:ascii="Times New Roman" w:hAnsi="Times New Roman" w:cs="Times New Roman"/>
          <w:sz w:val="24"/>
          <w:szCs w:val="24"/>
        </w:rPr>
        <w:t xml:space="preserve">. This higher cost stems from a combination of greater investment capital per hectare, objectively elevated climate risks, and potentially more mature insurance markets. However, much like East and Central Africa, farmers in Southern Africa still generate enough carbon value per hectare to fully cover their insurance premiums, often yielding a significant surplus of </w:t>
      </w:r>
      <w:r w:rsidRPr="007B45E9">
        <w:rPr>
          <w:rStyle w:val="Strong"/>
          <w:rFonts w:ascii="Times New Roman" w:hAnsi="Times New Roman" w:cs="Times New Roman"/>
          <w:b w:val="0"/>
          <w:bCs w:val="0"/>
          <w:sz w:val="24"/>
          <w:szCs w:val="24"/>
        </w:rPr>
        <w:t>$75 per hectare annually</w:t>
      </w:r>
      <w:r w:rsidRPr="007B45E9">
        <w:rPr>
          <w:rFonts w:ascii="Times New Roman" w:hAnsi="Times New Roman" w:cs="Times New Roman"/>
          <w:sz w:val="24"/>
          <w:szCs w:val="24"/>
        </w:rPr>
        <w:t>.</w:t>
      </w:r>
    </w:p>
    <w:p w14:paraId="3FE77E34" w14:textId="08588AF8" w:rsidR="0016438B" w:rsidRDefault="0016438B"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In essence, while </w:t>
      </w:r>
      <w:r w:rsidRPr="007B45E9">
        <w:rPr>
          <w:rStyle w:val="Strong"/>
          <w:rFonts w:ascii="Times New Roman" w:hAnsi="Times New Roman" w:cs="Times New Roman"/>
          <w:b w:val="0"/>
          <w:bCs w:val="0"/>
          <w:sz w:val="24"/>
          <w:szCs w:val="24"/>
        </w:rPr>
        <w:t>carbon finance</w:t>
      </w:r>
      <w:r w:rsidRPr="007B45E9">
        <w:rPr>
          <w:rFonts w:ascii="Times New Roman" w:hAnsi="Times New Roman" w:cs="Times New Roman"/>
          <w:sz w:val="24"/>
          <w:szCs w:val="24"/>
        </w:rPr>
        <w:t xml:space="preserve"> offers a powerful, nature-based solution to fund agricultural climate insurance across much of Africa, we see significant regional disparities. For regions like East, Central, and Southern Africa, harnessing carbon credits can forge a self-sustaining model for climate risk management, providing direct financial benefits to farmers. However, the unique challenges of the West African Sahel underscore the necessity for </w:t>
      </w:r>
      <w:r w:rsidRPr="007B45E9">
        <w:rPr>
          <w:rStyle w:val="Strong"/>
          <w:rFonts w:ascii="Times New Roman" w:hAnsi="Times New Roman" w:cs="Times New Roman"/>
          <w:b w:val="0"/>
          <w:bCs w:val="0"/>
          <w:sz w:val="24"/>
          <w:szCs w:val="24"/>
        </w:rPr>
        <w:t>targeted interventions and innovative financial instruments</w:t>
      </w:r>
      <w:r w:rsidRPr="007B45E9">
        <w:rPr>
          <w:rFonts w:ascii="Times New Roman" w:hAnsi="Times New Roman" w:cs="Times New Roman"/>
          <w:sz w:val="24"/>
          <w:szCs w:val="24"/>
        </w:rPr>
        <w:t xml:space="preserve"> to bridge the carbon value-insurance premium gap. This will ensure equitable access to vital climate resilience solutions for all African farming communities, reinforcing the need for a </w:t>
      </w:r>
      <w:r w:rsidRPr="007B45E9">
        <w:rPr>
          <w:rStyle w:val="Strong"/>
          <w:rFonts w:ascii="Times New Roman" w:hAnsi="Times New Roman" w:cs="Times New Roman"/>
          <w:b w:val="0"/>
          <w:bCs w:val="0"/>
          <w:sz w:val="24"/>
          <w:szCs w:val="24"/>
        </w:rPr>
        <w:t>differentiated approach</w:t>
      </w:r>
      <w:r w:rsidRPr="007B45E9">
        <w:rPr>
          <w:rFonts w:ascii="Times New Roman" w:hAnsi="Times New Roman" w:cs="Times New Roman"/>
          <w:sz w:val="24"/>
          <w:szCs w:val="24"/>
        </w:rPr>
        <w:t xml:space="preserve"> to build a truly climate-resilient agricultural sector across the continent.</w:t>
      </w:r>
      <w:r w:rsidR="00F308EF" w:rsidRPr="007B45E9">
        <w:rPr>
          <w:rFonts w:ascii="Times New Roman" w:hAnsi="Times New Roman" w:cs="Times New Roman"/>
          <w:sz w:val="24"/>
          <w:szCs w:val="24"/>
        </w:rPr>
        <w:t xml:space="preserve"> Finaly it is recommended </w:t>
      </w:r>
      <w:r w:rsidRPr="007B45E9">
        <w:rPr>
          <w:rStyle w:val="Strong"/>
          <w:rFonts w:ascii="Times New Roman" w:hAnsi="Times New Roman" w:cs="Times New Roman"/>
          <w:b w:val="0"/>
          <w:bCs w:val="0"/>
          <w:sz w:val="24"/>
          <w:szCs w:val="24"/>
        </w:rPr>
        <w:t>Multinational development agencies (World Bank, African Development Bank, Islamic Development Bank</w:t>
      </w:r>
      <w:r w:rsidR="00F308EF" w:rsidRPr="007B45E9">
        <w:rPr>
          <w:rStyle w:val="Strong"/>
          <w:rFonts w:ascii="Times New Roman" w:hAnsi="Times New Roman" w:cs="Times New Roman"/>
          <w:b w:val="0"/>
          <w:bCs w:val="0"/>
          <w:sz w:val="24"/>
          <w:szCs w:val="24"/>
        </w:rPr>
        <w:t xml:space="preserve">, Asia Development Bank EU Development Bank, Global Environment Funds, Green Climate Finance and even private bank </w:t>
      </w:r>
      <w:r w:rsidRPr="007B45E9">
        <w:rPr>
          <w:rStyle w:val="Strong"/>
          <w:rFonts w:ascii="Times New Roman" w:hAnsi="Times New Roman" w:cs="Times New Roman"/>
          <w:b w:val="0"/>
          <w:bCs w:val="0"/>
          <w:sz w:val="24"/>
          <w:szCs w:val="24"/>
        </w:rPr>
        <w:t>)</w:t>
      </w:r>
      <w:r w:rsidRPr="007B45E9">
        <w:rPr>
          <w:rFonts w:ascii="Times New Roman" w:hAnsi="Times New Roman" w:cs="Times New Roman"/>
          <w:sz w:val="24"/>
          <w:szCs w:val="24"/>
        </w:rPr>
        <w:t xml:space="preserve"> and </w:t>
      </w:r>
      <w:r w:rsidRPr="007B45E9">
        <w:rPr>
          <w:rStyle w:val="Strong"/>
          <w:rFonts w:ascii="Times New Roman" w:hAnsi="Times New Roman" w:cs="Times New Roman"/>
          <w:b w:val="0"/>
          <w:bCs w:val="0"/>
          <w:sz w:val="24"/>
          <w:szCs w:val="24"/>
        </w:rPr>
        <w:t>insurance companies</w:t>
      </w:r>
      <w:r w:rsidRPr="007B45E9">
        <w:rPr>
          <w:rFonts w:ascii="Times New Roman" w:hAnsi="Times New Roman" w:cs="Times New Roman"/>
          <w:sz w:val="24"/>
          <w:szCs w:val="24"/>
        </w:rPr>
        <w:t xml:space="preserve"> can collaborate with </w:t>
      </w:r>
      <w:r w:rsidRPr="007B45E9">
        <w:rPr>
          <w:rStyle w:val="Strong"/>
          <w:rFonts w:ascii="Times New Roman" w:hAnsi="Times New Roman" w:cs="Times New Roman"/>
          <w:b w:val="0"/>
          <w:bCs w:val="0"/>
          <w:sz w:val="24"/>
          <w:szCs w:val="24"/>
        </w:rPr>
        <w:t>Voluntary Carbon Market</w:t>
      </w:r>
      <w:r w:rsidRPr="007B45E9">
        <w:rPr>
          <w:rFonts w:ascii="Times New Roman" w:hAnsi="Times New Roman" w:cs="Times New Roman"/>
          <w:sz w:val="24"/>
          <w:szCs w:val="24"/>
        </w:rPr>
        <w:t xml:space="preserve"> initiatives like </w:t>
      </w:r>
      <w:r w:rsidRPr="007B45E9">
        <w:rPr>
          <w:rStyle w:val="Strong"/>
          <w:rFonts w:ascii="Times New Roman" w:hAnsi="Times New Roman" w:cs="Times New Roman"/>
          <w:b w:val="0"/>
          <w:bCs w:val="0"/>
          <w:sz w:val="24"/>
          <w:szCs w:val="24"/>
        </w:rPr>
        <w:t>VERRA</w:t>
      </w:r>
      <w:r w:rsidRPr="007B45E9">
        <w:rPr>
          <w:rFonts w:ascii="Times New Roman" w:hAnsi="Times New Roman" w:cs="Times New Roman"/>
          <w:sz w:val="24"/>
          <w:szCs w:val="24"/>
        </w:rPr>
        <w:t xml:space="preserve">, the </w:t>
      </w:r>
      <w:r w:rsidRPr="007B45E9">
        <w:rPr>
          <w:rStyle w:val="Strong"/>
          <w:rFonts w:ascii="Times New Roman" w:hAnsi="Times New Roman" w:cs="Times New Roman"/>
          <w:b w:val="0"/>
          <w:bCs w:val="0"/>
          <w:sz w:val="24"/>
          <w:szCs w:val="24"/>
        </w:rPr>
        <w:t>Gold Standard (GS)</w:t>
      </w:r>
      <w:r w:rsidRPr="007B45E9">
        <w:rPr>
          <w:rFonts w:ascii="Times New Roman" w:hAnsi="Times New Roman" w:cs="Times New Roman"/>
          <w:sz w:val="24"/>
          <w:szCs w:val="24"/>
        </w:rPr>
        <w:t xml:space="preserve">, the </w:t>
      </w:r>
      <w:r w:rsidRPr="007B45E9">
        <w:rPr>
          <w:rStyle w:val="Strong"/>
          <w:rFonts w:ascii="Times New Roman" w:hAnsi="Times New Roman" w:cs="Times New Roman"/>
          <w:b w:val="0"/>
          <w:bCs w:val="0"/>
          <w:sz w:val="24"/>
          <w:szCs w:val="24"/>
        </w:rPr>
        <w:t>American Carbon Registry (ACR)</w:t>
      </w:r>
      <w:r w:rsidRPr="007B45E9">
        <w:rPr>
          <w:rFonts w:ascii="Times New Roman" w:hAnsi="Times New Roman" w:cs="Times New Roman"/>
          <w:sz w:val="24"/>
          <w:szCs w:val="24"/>
        </w:rPr>
        <w:t xml:space="preserve">, and the </w:t>
      </w:r>
      <w:r w:rsidRPr="007B45E9">
        <w:rPr>
          <w:rStyle w:val="Strong"/>
          <w:rFonts w:ascii="Times New Roman" w:hAnsi="Times New Roman" w:cs="Times New Roman"/>
          <w:b w:val="0"/>
          <w:bCs w:val="0"/>
          <w:sz w:val="24"/>
          <w:szCs w:val="24"/>
        </w:rPr>
        <w:t>Climate Action Reserve (CAR)</w:t>
      </w:r>
      <w:r w:rsidRPr="007B45E9">
        <w:rPr>
          <w:rFonts w:ascii="Times New Roman" w:hAnsi="Times New Roman" w:cs="Times New Roman"/>
          <w:sz w:val="24"/>
          <w:szCs w:val="24"/>
        </w:rPr>
        <w:t xml:space="preserve">. This partnership would explore how the </w:t>
      </w:r>
      <w:r w:rsidRPr="007B45E9">
        <w:rPr>
          <w:rStyle w:val="Strong"/>
          <w:rFonts w:ascii="Times New Roman" w:hAnsi="Times New Roman" w:cs="Times New Roman"/>
          <w:b w:val="0"/>
          <w:bCs w:val="0"/>
          <w:sz w:val="24"/>
          <w:szCs w:val="24"/>
        </w:rPr>
        <w:t>carbon stock</w:t>
      </w:r>
      <w:r w:rsidRPr="007B45E9">
        <w:rPr>
          <w:rFonts w:ascii="Times New Roman" w:hAnsi="Times New Roman" w:cs="Times New Roman"/>
          <w:sz w:val="24"/>
          <w:szCs w:val="24"/>
        </w:rPr>
        <w:t xml:space="preserve"> held by </w:t>
      </w:r>
      <w:r w:rsidRPr="007B45E9">
        <w:rPr>
          <w:rStyle w:val="Strong"/>
          <w:rFonts w:ascii="Times New Roman" w:hAnsi="Times New Roman" w:cs="Times New Roman"/>
          <w:b w:val="0"/>
          <w:bCs w:val="0"/>
          <w:sz w:val="24"/>
          <w:szCs w:val="24"/>
        </w:rPr>
        <w:t>smallholder farmers</w:t>
      </w:r>
      <w:r w:rsidRPr="007B45E9">
        <w:rPr>
          <w:rFonts w:ascii="Times New Roman" w:hAnsi="Times New Roman" w:cs="Times New Roman"/>
          <w:sz w:val="24"/>
          <w:szCs w:val="24"/>
        </w:rPr>
        <w:t xml:space="preserve"> across the continent can help fund their </w:t>
      </w:r>
      <w:r w:rsidRPr="007B45E9">
        <w:rPr>
          <w:rStyle w:val="Strong"/>
          <w:rFonts w:ascii="Times New Roman" w:hAnsi="Times New Roman" w:cs="Times New Roman"/>
          <w:b w:val="0"/>
          <w:bCs w:val="0"/>
          <w:sz w:val="24"/>
          <w:szCs w:val="24"/>
        </w:rPr>
        <w:t>agricultural insurance premiums</w:t>
      </w:r>
      <w:r w:rsidRPr="007B45E9">
        <w:rPr>
          <w:rFonts w:ascii="Times New Roman" w:hAnsi="Times New Roman" w:cs="Times New Roman"/>
          <w:sz w:val="24"/>
          <w:szCs w:val="24"/>
        </w:rPr>
        <w:t>.</w:t>
      </w:r>
    </w:p>
    <w:p w14:paraId="6C075A14" w14:textId="77777777" w:rsidR="006630E4" w:rsidRDefault="006630E4" w:rsidP="007B45E9">
      <w:pPr>
        <w:spacing w:line="240" w:lineRule="auto"/>
        <w:jc w:val="both"/>
        <w:rPr>
          <w:rFonts w:ascii="Times New Roman" w:hAnsi="Times New Roman" w:cs="Times New Roman"/>
          <w:sz w:val="24"/>
          <w:szCs w:val="24"/>
        </w:rPr>
      </w:pPr>
    </w:p>
    <w:p w14:paraId="2B53F45C" w14:textId="77777777" w:rsidR="006630E4" w:rsidRPr="006630E4" w:rsidRDefault="006630E4" w:rsidP="006630E4">
      <w:pPr>
        <w:spacing w:after="200" w:line="276" w:lineRule="auto"/>
        <w:jc w:val="both"/>
        <w:outlineLvl w:val="0"/>
        <w:rPr>
          <w:rFonts w:ascii="Arial" w:eastAsia="Times New Roman" w:hAnsi="Arial" w:cs="Arial"/>
          <w:kern w:val="0"/>
          <w:lang w:val="en-GB" w:eastAsia="en-GB"/>
          <w14:ligatures w14:val="none"/>
        </w:rPr>
      </w:pPr>
      <w:r w:rsidRPr="006630E4">
        <w:rPr>
          <w:rFonts w:ascii="Arial" w:eastAsia="Times New Roman" w:hAnsi="Arial" w:cs="Arial"/>
          <w:b/>
          <w:bCs/>
          <w:kern w:val="0"/>
          <w:lang w:val="en-GB" w:eastAsia="en-GB"/>
          <w14:ligatures w14:val="none"/>
        </w:rPr>
        <w:t>COMPETING INTERESTS DISCLAIMER:</w:t>
      </w:r>
    </w:p>
    <w:p w14:paraId="4ED24097" w14:textId="77777777" w:rsidR="006630E4" w:rsidRPr="006630E4" w:rsidRDefault="006630E4" w:rsidP="006630E4">
      <w:pPr>
        <w:spacing w:after="200" w:line="276" w:lineRule="auto"/>
        <w:rPr>
          <w:rFonts w:ascii="Calibri" w:eastAsia="Times New Roman" w:hAnsi="Calibri" w:cs="Times New Roman"/>
          <w:kern w:val="0"/>
          <w:lang w:val="en-GB" w:eastAsia="en-GB"/>
          <w14:ligatures w14:val="none"/>
        </w:rPr>
      </w:pPr>
      <w:r w:rsidRPr="006630E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304D285" w14:textId="77777777" w:rsidR="006630E4" w:rsidRPr="006630E4" w:rsidRDefault="006630E4" w:rsidP="006630E4">
      <w:pPr>
        <w:spacing w:after="200" w:line="276" w:lineRule="auto"/>
        <w:rPr>
          <w:rFonts w:ascii="Calibri" w:eastAsia="Times New Roman" w:hAnsi="Calibri" w:cs="Times New Roman"/>
          <w:kern w:val="0"/>
          <w:lang w:val="en-GB" w:eastAsia="en-GB"/>
          <w14:ligatures w14:val="none"/>
        </w:rPr>
      </w:pPr>
    </w:p>
    <w:p w14:paraId="1B0D2736" w14:textId="77777777" w:rsidR="006630E4" w:rsidRPr="006630E4" w:rsidRDefault="006630E4" w:rsidP="006630E4">
      <w:pPr>
        <w:spacing w:after="200" w:line="276" w:lineRule="auto"/>
        <w:rPr>
          <w:rFonts w:ascii="Calibri" w:eastAsia="Times New Roman" w:hAnsi="Calibri" w:cs="Times New Roman"/>
          <w:kern w:val="0"/>
          <w:lang w:val="en-GB" w:eastAsia="en-GB"/>
          <w14:ligatures w14:val="none"/>
        </w:rPr>
      </w:pPr>
    </w:p>
    <w:p w14:paraId="33E66704" w14:textId="77777777" w:rsidR="006630E4" w:rsidRPr="007B45E9" w:rsidRDefault="006630E4" w:rsidP="007B45E9">
      <w:pPr>
        <w:spacing w:line="240" w:lineRule="auto"/>
        <w:jc w:val="both"/>
        <w:rPr>
          <w:rFonts w:ascii="Times New Roman" w:hAnsi="Times New Roman" w:cs="Times New Roman"/>
          <w:sz w:val="24"/>
          <w:szCs w:val="24"/>
        </w:rPr>
      </w:pPr>
    </w:p>
    <w:p w14:paraId="2EE1760C" w14:textId="77777777" w:rsidR="0016438B" w:rsidRPr="007B45E9" w:rsidRDefault="0016438B" w:rsidP="007B45E9">
      <w:pPr>
        <w:spacing w:line="240" w:lineRule="auto"/>
        <w:jc w:val="both"/>
        <w:rPr>
          <w:rFonts w:ascii="Times New Roman" w:hAnsi="Times New Roman" w:cs="Times New Roman"/>
          <w:sz w:val="24"/>
          <w:szCs w:val="24"/>
        </w:rPr>
      </w:pPr>
    </w:p>
    <w:p w14:paraId="1A7A6614" w14:textId="46687F35" w:rsidR="0016438B" w:rsidRPr="007B45E9" w:rsidRDefault="0016438B"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 xml:space="preserve">V. </w:t>
      </w:r>
      <w:r w:rsidR="00F308EF" w:rsidRPr="007B45E9">
        <w:rPr>
          <w:rFonts w:ascii="Times New Roman" w:hAnsi="Times New Roman" w:cs="Times New Roman"/>
          <w:b/>
          <w:bCs/>
          <w:sz w:val="24"/>
          <w:szCs w:val="24"/>
        </w:rPr>
        <w:t>REFERENCES</w:t>
      </w:r>
    </w:p>
    <w:p w14:paraId="0A9FA38E" w14:textId="74E25036" w:rsidR="00E54454" w:rsidRPr="007B45E9" w:rsidRDefault="00E54454"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AfDB (2021) : , African Economic Outlook. 180p</w:t>
      </w:r>
    </w:p>
    <w:p w14:paraId="1CF800F0" w14:textId="2DC4890A" w:rsidR="00E54454" w:rsidRPr="007B45E9" w:rsidRDefault="00E54454" w:rsidP="007B45E9">
      <w:pPr>
        <w:spacing w:after="0" w:line="240" w:lineRule="auto"/>
        <w:jc w:val="both"/>
        <w:rPr>
          <w:rFonts w:ascii="Times New Roman" w:eastAsia="Times New Roman" w:hAnsi="Times New Roman" w:cs="Times New Roman"/>
          <w:kern w:val="0"/>
          <w:sz w:val="24"/>
          <w:szCs w:val="24"/>
          <w:lang w:val="de-DE" w:eastAsia="fr-FR"/>
          <w14:ligatures w14:val="none"/>
        </w:rPr>
      </w:pPr>
      <w:r w:rsidRPr="007B45E9">
        <w:rPr>
          <w:rFonts w:ascii="Times New Roman" w:eastAsia="Times New Roman" w:hAnsi="Times New Roman" w:cs="Times New Roman"/>
          <w:b/>
          <w:bCs/>
          <w:kern w:val="0"/>
          <w:sz w:val="24"/>
          <w:szCs w:val="24"/>
          <w:lang w:val="de-DE" w:eastAsia="fr-FR"/>
          <w14:ligatures w14:val="none"/>
        </w:rPr>
        <w:t xml:space="preserve">Aida Cuni-Sanchez, Martin J. P. Sullivan, Philip J. Platts, Simon L. Lewis, Rob Marchant, Gérard Imani, Wannes Hubau, Iveren Abiem, Hari Adhikari, Tomas Albrecht, Jan Altman, Christian Amani, Abreham B. Aneseyee, Valerio Avitabile, Lindsay Banin, Rodrigue Batumike, Marijn Bauters, Hans Beeckman, Serge K. Begne, Amy C. Bennett, Robert Bitariho, Pascal Boeckx, Jan Bogaert, Achim </w:t>
      </w:r>
      <w:r w:rsidR="00426CC3" w:rsidRPr="007B45E9">
        <w:rPr>
          <w:rFonts w:ascii="Times New Roman" w:eastAsia="Times New Roman" w:hAnsi="Times New Roman" w:cs="Times New Roman"/>
          <w:b/>
          <w:bCs/>
          <w:kern w:val="0"/>
          <w:sz w:val="24"/>
          <w:szCs w:val="24"/>
          <w:lang w:val="de-DE" w:eastAsia="fr-FR"/>
          <w14:ligatures w14:val="none"/>
        </w:rPr>
        <w:t>Bräuning,</w:t>
      </w:r>
      <w:r w:rsidRPr="007B45E9">
        <w:rPr>
          <w:rFonts w:ascii="Times New Roman" w:eastAsia="Times New Roman" w:hAnsi="Times New Roman" w:cs="Times New Roman"/>
          <w:b/>
          <w:bCs/>
          <w:kern w:val="0"/>
          <w:sz w:val="24"/>
          <w:szCs w:val="24"/>
          <w:lang w:val="de-DE" w:eastAsia="fr-FR"/>
          <w14:ligatures w14:val="none"/>
        </w:rPr>
        <w:t xml:space="preserve"> (2021): </w:t>
      </w:r>
      <w:r w:rsidRPr="007B45E9">
        <w:rPr>
          <w:rFonts w:ascii="Times New Roman" w:eastAsia="Times New Roman" w:hAnsi="Times New Roman" w:cs="Times New Roman"/>
          <w:kern w:val="0"/>
          <w:sz w:val="24"/>
          <w:szCs w:val="24"/>
          <w:lang w:val="de-DE" w:eastAsia="fr-FR"/>
          <w14:ligatures w14:val="none"/>
        </w:rPr>
        <w:t>High aboveground carbon stock of African tropical montane forests. Nature volume 596, pages536–542 (2021)</w:t>
      </w:r>
    </w:p>
    <w:p w14:paraId="205736C9" w14:textId="77777777" w:rsidR="00E54454" w:rsidRPr="007B45E9" w:rsidRDefault="00E54454" w:rsidP="007B45E9">
      <w:pPr>
        <w:spacing w:after="0" w:line="240" w:lineRule="auto"/>
        <w:jc w:val="both"/>
        <w:rPr>
          <w:rFonts w:ascii="Times New Roman" w:eastAsia="Times New Roman" w:hAnsi="Times New Roman" w:cs="Times New Roman"/>
          <w:kern w:val="0"/>
          <w:sz w:val="24"/>
          <w:szCs w:val="24"/>
          <w:lang w:val="de-DE" w:eastAsia="fr-FR"/>
          <w14:ligatures w14:val="none"/>
        </w:rPr>
      </w:pPr>
    </w:p>
    <w:p w14:paraId="4A528D5D" w14:textId="77777777" w:rsidR="00E54454" w:rsidRPr="007B45E9" w:rsidRDefault="000464D8" w:rsidP="007B45E9">
      <w:pPr>
        <w:spacing w:after="0" w:line="240" w:lineRule="auto"/>
        <w:jc w:val="both"/>
        <w:rPr>
          <w:rFonts w:ascii="Times New Roman" w:eastAsia="Times New Roman" w:hAnsi="Times New Roman" w:cs="Times New Roman"/>
          <w:kern w:val="0"/>
          <w:sz w:val="24"/>
          <w:szCs w:val="24"/>
          <w:lang w:val="de-DE" w:eastAsia="fr-FR"/>
          <w14:ligatures w14:val="none"/>
        </w:rPr>
      </w:pPr>
      <w:hyperlink r:id="rId26" w:history="1">
        <w:r w:rsidR="00E54454" w:rsidRPr="00E54454">
          <w:rPr>
            <w:rFonts w:ascii="Times New Roman" w:eastAsia="Times New Roman" w:hAnsi="Times New Roman" w:cs="Times New Roman"/>
            <w:b/>
            <w:bCs/>
            <w:kern w:val="0"/>
            <w:sz w:val="24"/>
            <w:szCs w:val="24"/>
            <w:lang w:val="de-DE" w:eastAsia="fr-FR"/>
            <w14:ligatures w14:val="none"/>
          </w:rPr>
          <w:t>Bishaw Badege,Neufeldt, Henry, Mowo, Jeremias, Abdelkadir, Abdu, Muriuki, Jonathan, Dalle, Gemedo Assefa, Tewodros, Guillozet, Kathleen Kassa, Habtemariam Dawson, Ian K. Luedeling, Eike Mbow, Cheikh (2013)</w:t>
        </w:r>
        <w:r w:rsidR="00E54454" w:rsidRPr="00E54454">
          <w:rPr>
            <w:rFonts w:ascii="Times New Roman" w:eastAsia="Times New Roman" w:hAnsi="Times New Roman" w:cs="Times New Roman"/>
            <w:kern w:val="0"/>
            <w:sz w:val="24"/>
            <w:szCs w:val="24"/>
            <w:lang w:val="de-DE" w:eastAsia="fr-FR"/>
            <w14:ligatures w14:val="none"/>
          </w:rPr>
          <w:t xml:space="preserve">:  Farmers’ Strategies for Adapting to and Mitigating Climate Variability and Change through Agroforestry in Ethiopia and Kenya. http://hdl.handle.net/1957/38589 </w:t>
        </w:r>
      </w:hyperlink>
    </w:p>
    <w:p w14:paraId="6D380A73" w14:textId="77777777" w:rsidR="00E54454" w:rsidRPr="007B45E9" w:rsidRDefault="00E54454" w:rsidP="007B45E9">
      <w:pPr>
        <w:spacing w:after="0" w:line="240" w:lineRule="auto"/>
        <w:jc w:val="both"/>
        <w:rPr>
          <w:rFonts w:ascii="Times New Roman" w:eastAsia="Times New Roman" w:hAnsi="Times New Roman" w:cs="Times New Roman"/>
          <w:color w:val="467886"/>
          <w:kern w:val="0"/>
          <w:sz w:val="24"/>
          <w:szCs w:val="24"/>
          <w:u w:val="single"/>
          <w:lang w:eastAsia="fr-FR"/>
          <w14:ligatures w14:val="none"/>
        </w:rPr>
      </w:pPr>
    </w:p>
    <w:p w14:paraId="0799DEAF" w14:textId="4949A4CC" w:rsidR="00E54454" w:rsidRPr="007B45E9" w:rsidRDefault="00E54454"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 xml:space="preserve">Brice Yannick Djiofack, Hans Beeckman, Nils Bourland, Basile Luse Belanganayi, Félix Laurent, Bhely Angoboy Ilondea, Laurent Nsenga, Alain Huart, Menard Mbende Longwwango (2024) : </w:t>
      </w:r>
      <w:r w:rsidRPr="007B45E9">
        <w:rPr>
          <w:rFonts w:ascii="Times New Roman" w:hAnsi="Times New Roman" w:cs="Times New Roman"/>
          <w:sz w:val="24"/>
          <w:szCs w:val="24"/>
        </w:rPr>
        <w:t xml:space="preserve">Protecting an artificial savanna as a nature-based solution to restore carbon and biodiversity in the Democratic Republic of the Congo. </w:t>
      </w:r>
      <w:hyperlink r:id="rId27" w:history="1">
        <w:r w:rsidRPr="007B45E9">
          <w:rPr>
            <w:rStyle w:val="Hyperlink"/>
            <w:rFonts w:ascii="Times New Roman" w:hAnsi="Times New Roman" w:cs="Times New Roman"/>
            <w:sz w:val="24"/>
            <w:szCs w:val="24"/>
          </w:rPr>
          <w:t>https://doi.org/10.1111/gcb.17154</w:t>
        </w:r>
      </w:hyperlink>
    </w:p>
    <w:p w14:paraId="57531991" w14:textId="29D8F320" w:rsidR="00E54454" w:rsidRPr="007B45E9" w:rsidRDefault="00E54454"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Chavi Meattle, Anna Balm, Jose E. Diaz, Gaoyi Miao, Sean Stout, Ishrita Gupta, Sasha Abraham, Alfred Sloley, Dharshan Wignarajah (2024)</w:t>
      </w:r>
      <w:r w:rsidRPr="007B45E9">
        <w:rPr>
          <w:rFonts w:ascii="Times New Roman" w:hAnsi="Times New Roman" w:cs="Times New Roman"/>
          <w:sz w:val="24"/>
          <w:szCs w:val="24"/>
        </w:rPr>
        <w:t> : Landscape of Climate Finance in Africa 2024 at Climate Policy Initiative (CPI) Report</w:t>
      </w:r>
    </w:p>
    <w:p w14:paraId="6064DE30" w14:textId="4FA23C45" w:rsidR="00E54454" w:rsidRPr="007B45E9" w:rsidRDefault="00E54454"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Chidozie E. Ibe, S.D. Tanko, N.N. Okafor, P.O. Egbodo, K.B. Awe, O.A. Alawode, O.P. Adegoke, A.O. Okoro (2023) </w:t>
      </w:r>
      <w:r w:rsidRPr="007B45E9">
        <w:rPr>
          <w:rFonts w:ascii="Times New Roman" w:hAnsi="Times New Roman" w:cs="Times New Roman"/>
          <w:sz w:val="24"/>
          <w:szCs w:val="24"/>
        </w:rPr>
        <w:t>: "Agricultural insurance as a climate risk adaptation strategy in developing countries: a case of Nigeria at Journal of Climate Finance and Greener Finance</w:t>
      </w:r>
    </w:p>
    <w:p w14:paraId="31B05416" w14:textId="4E5E7EC6" w:rsidR="00E54454" w:rsidRPr="007B45E9" w:rsidRDefault="00E54454"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 xml:space="preserve">Cole, S., Giné, X., Tobacman, J., Townsend, R. M., Topalova, P., &amp; Vickery, J. (2013) :. </w:t>
      </w:r>
      <w:r w:rsidRPr="007B45E9">
        <w:rPr>
          <w:rFonts w:ascii="Times New Roman" w:hAnsi="Times New Roman" w:cs="Times New Roman"/>
          <w:sz w:val="24"/>
          <w:szCs w:val="24"/>
        </w:rPr>
        <w:t>Barriers to household risk management: Evidence from India. American Economic Journal: Applied Economics, 5(1), 104-35.</w:t>
      </w:r>
    </w:p>
    <w:p w14:paraId="19ADD26B" w14:textId="26C5140A" w:rsidR="00E54454" w:rsidRPr="007B45E9" w:rsidRDefault="00E54454"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Denton, F., Aminu-Kano, M., Gari, J., &amp; Katerere, Y. (2024). </w:t>
      </w:r>
      <w:r w:rsidRPr="007B45E9">
        <w:rPr>
          <w:rFonts w:ascii="Times New Roman" w:hAnsi="Times New Roman" w:cs="Times New Roman"/>
          <w:sz w:val="24"/>
          <w:szCs w:val="24"/>
        </w:rPr>
        <w:t>The Climate-Development-Security Nexus in the Sahel: A Systems Approach to Regional Peace and Resilience. Routledge.</w:t>
      </w:r>
    </w:p>
    <w:p w14:paraId="6CBE601E" w14:textId="3151F860" w:rsidR="00E54454" w:rsidRPr="007B45E9" w:rsidRDefault="00E54454"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Determinants of uptake and strategies to improve agricultural insurance in Africa: a review. (2021)</w:t>
      </w:r>
      <w:r w:rsidRPr="007B45E9">
        <w:rPr>
          <w:rFonts w:ascii="Times New Roman" w:hAnsi="Times New Roman" w:cs="Times New Roman"/>
          <w:sz w:val="24"/>
          <w:szCs w:val="24"/>
        </w:rPr>
        <w:t xml:space="preserve"> Emmanuel Nshakira-Rukundo Juliet Wanjiku Kamau and Heike Baumüller</w:t>
      </w:r>
    </w:p>
    <w:p w14:paraId="44C79DE2" w14:textId="5B86246E" w:rsidR="00E54454" w:rsidRPr="007B45E9" w:rsidRDefault="00E54454"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Fernando E. Garcia-Muiña ,Rocío González-Sánchez, Anna Maria Ferrari , Lucrezia Volpi, Martina Pini, Cristina Siligardi and Davide Settembre-Blundo Davide Settembre-Blundo (2019 ):</w:t>
      </w:r>
      <w:r w:rsidRPr="007B45E9">
        <w:rPr>
          <w:rFonts w:ascii="Times New Roman" w:hAnsi="Times New Roman" w:cs="Times New Roman"/>
          <w:sz w:val="24"/>
          <w:szCs w:val="24"/>
        </w:rPr>
        <w:t xml:space="preserve"> Identifying the Equilibrium Point between Sustainability Goals and Circular Economy Practices in an Industry 4.0 Manufacturing Context Using Eco-Design. Soc. Sci. 2019, 8(8), 241 ; https://doi.org/10.3390/socsci8080241  </w:t>
      </w:r>
    </w:p>
    <w:p w14:paraId="103530B3" w14:textId="303D94A6" w:rsidR="00E54454"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Ferry Slik, Gary Paoli, Krista McGuire, Ieda Amaral, Jorcely Barroso, Meredith Bastian et al. (2013 ):</w:t>
      </w:r>
      <w:r w:rsidRPr="007B45E9">
        <w:rPr>
          <w:rFonts w:ascii="Times New Roman" w:hAnsi="Times New Roman" w:cs="Times New Roman"/>
          <w:sz w:val="24"/>
          <w:szCs w:val="24"/>
        </w:rPr>
        <w:t xml:space="preserve"> Large trees drive forest aboveground biomass variation in moist lowland forests across the tropics. Global Ecology and Biogeography, (Global Ecol. Biogeogr.) (2013) 22, 1261–1271. DOI: 10.1111/geb.12092 </w:t>
      </w:r>
      <w:hyperlink r:id="rId28" w:history="1">
        <w:r w:rsidRPr="007B45E9">
          <w:rPr>
            <w:rStyle w:val="Hyperlink"/>
            <w:rFonts w:ascii="Times New Roman" w:hAnsi="Times New Roman" w:cs="Times New Roman"/>
            <w:sz w:val="24"/>
            <w:szCs w:val="24"/>
          </w:rPr>
          <w:t>http://wileyonlinelibrary.com/journal/geb</w:t>
        </w:r>
      </w:hyperlink>
    </w:p>
    <w:p w14:paraId="756C4135" w14:textId="4529EEB2"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Friederike Schilling, Heike Baumüller, Julius Ecuru, Joachim von Braun (2023) : Carbon farming in Africa: Opportunities and challenges for engaging smallholder farmers ,” ZEF Working Paper, no. 221, 2023, Accessed: Sep. 24, 2023. [Online]. Available: bonndoc.ulb.uni-bonn.de/xmlui/handle/20.500.11811/10771 Mcdonald et al.,(2021</w:t>
      </w:r>
      <w:r w:rsidRPr="007B45E9">
        <w:rPr>
          <w:rFonts w:ascii="Times New Roman" w:hAnsi="Times New Roman" w:cs="Times New Roman"/>
          <w:sz w:val="24"/>
          <w:szCs w:val="24"/>
        </w:rPr>
        <w:t>) :  “Carbon farming - Making agriculture fit for 2030 ,” Study for the committee on Environment, Public Health and Food Safety (ENVI), Policy  Department for Economic, Scientific and Quality of Life Policies, European Parliament, Luxembourg, 2021.</w:t>
      </w:r>
    </w:p>
    <w:p w14:paraId="2B3E0FD2" w14:textId="16563535"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Jennifer L (2025)</w:t>
      </w:r>
      <w:r w:rsidRPr="007B45E9">
        <w:rPr>
          <w:rFonts w:ascii="Times New Roman" w:hAnsi="Times New Roman" w:cs="Times New Roman"/>
          <w:sz w:val="24"/>
          <w:szCs w:val="24"/>
        </w:rPr>
        <w:t xml:space="preserve">  Agricultural Carbon Credits and Carbon Farming</w:t>
      </w:r>
    </w:p>
    <w:p w14:paraId="3C18E55F" w14:textId="0904319A"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lastRenderedPageBreak/>
        <w:t>Jennifer Turyatemba Tumushabe, Benson Turyasingura, Petros Chavula (2023) :</w:t>
      </w:r>
      <w:r w:rsidRPr="007B45E9">
        <w:rPr>
          <w:rFonts w:ascii="Times New Roman" w:hAnsi="Times New Roman" w:cs="Times New Roman"/>
          <w:sz w:val="24"/>
          <w:szCs w:val="24"/>
        </w:rPr>
        <w:t xml:space="preserve"> The Sustainability of Carbon Markets for Climate-Smart Agriculture among Smallholder Farmers in Uganda at Asian Journal of Research in Agriculture and Forestry</w:t>
      </w:r>
    </w:p>
    <w:p w14:paraId="7F9FA19D" w14:textId="5F37139A"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Joanes Atela 2012 :</w:t>
      </w:r>
      <w:r w:rsidRPr="007B45E9">
        <w:rPr>
          <w:rFonts w:ascii="Times New Roman" w:hAnsi="Times New Roman" w:cs="Times New Roman"/>
          <w:sz w:val="24"/>
          <w:szCs w:val="24"/>
        </w:rPr>
        <w:t xml:space="preserve"> The Politics of Agricultural Carbon Finance : The Case of the Kenya Agricultural Carbon Project</w:t>
      </w:r>
    </w:p>
    <w:p w14:paraId="64437958" w14:textId="2A478444" w:rsidR="00302A88" w:rsidRPr="007B45E9" w:rsidRDefault="00302A88" w:rsidP="007B45E9">
      <w:pPr>
        <w:spacing w:line="240" w:lineRule="auto"/>
        <w:jc w:val="both"/>
        <w:rPr>
          <w:rFonts w:ascii="Times New Roman" w:hAnsi="Times New Roman" w:cs="Times New Roman"/>
          <w:b/>
          <w:bCs/>
          <w:sz w:val="24"/>
          <w:szCs w:val="24"/>
        </w:rPr>
      </w:pPr>
      <w:r w:rsidRPr="007B45E9">
        <w:rPr>
          <w:rFonts w:ascii="Times New Roman" w:hAnsi="Times New Roman" w:cs="Times New Roman"/>
          <w:b/>
          <w:bCs/>
          <w:sz w:val="24"/>
          <w:szCs w:val="24"/>
        </w:rPr>
        <w:t>Kangbéni Dimobe ,Jean Léandre N’djoré Kouakou ,Jérôme E. Tondoh ,Benewinde J.-B. Zoungrana,Gerald Forkuor Gerald Forkuor and Korotimi Ouédraogo( 2018 </w:t>
      </w:r>
      <w:r w:rsidRPr="007B45E9">
        <w:rPr>
          <w:rFonts w:ascii="Times New Roman" w:hAnsi="Times New Roman" w:cs="Times New Roman"/>
          <w:sz w:val="24"/>
          <w:szCs w:val="24"/>
        </w:rPr>
        <w:t xml:space="preserve">): Predicting the Potential Impact of Climate Change on Carbon Stock in Semi-Arid West African Savannas, </w:t>
      </w:r>
      <w:r w:rsidRPr="007B45E9">
        <w:rPr>
          <w:rFonts w:ascii="Times New Roman" w:hAnsi="Times New Roman" w:cs="Times New Roman"/>
          <w:b/>
          <w:bCs/>
          <w:sz w:val="24"/>
          <w:szCs w:val="24"/>
        </w:rPr>
        <w:t>Land 2018, 7(4), 124; </w:t>
      </w:r>
      <w:hyperlink r:id="rId29" w:history="1">
        <w:r w:rsidRPr="007B45E9">
          <w:rPr>
            <w:rStyle w:val="Hyperlink"/>
            <w:rFonts w:ascii="Times New Roman" w:hAnsi="Times New Roman" w:cs="Times New Roman"/>
            <w:b/>
            <w:bCs/>
            <w:sz w:val="24"/>
            <w:szCs w:val="24"/>
          </w:rPr>
          <w:t>https://doi.org/10.3390/land7040124</w:t>
        </w:r>
      </w:hyperlink>
      <w:r w:rsidRPr="007B45E9">
        <w:rPr>
          <w:rFonts w:ascii="Times New Roman" w:hAnsi="Times New Roman" w:cs="Times New Roman"/>
          <w:b/>
          <w:bCs/>
          <w:sz w:val="24"/>
          <w:szCs w:val="24"/>
        </w:rPr>
        <w:t xml:space="preserve"> </w:t>
      </w:r>
    </w:p>
    <w:p w14:paraId="53AEC4AF" w14:textId="57624612"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Keigo Akimoto, Fuminori Sano,Takashi Homma,Junichiro Oda,Miyuki Nagashima, Masanobu Kii (2010 )</w:t>
      </w:r>
      <w:r w:rsidRPr="007B45E9">
        <w:rPr>
          <w:rFonts w:ascii="Times New Roman" w:hAnsi="Times New Roman" w:cs="Times New Roman"/>
          <w:sz w:val="24"/>
          <w:szCs w:val="24"/>
        </w:rPr>
        <w:t xml:space="preserve">: Estimates of GHG emission reduction potential by country, sector, and cost. Elsivier </w:t>
      </w:r>
      <w:hyperlink r:id="rId30" w:history="1">
        <w:r w:rsidRPr="007B45E9">
          <w:rPr>
            <w:rStyle w:val="Hyperlink"/>
            <w:rFonts w:ascii="Times New Roman" w:hAnsi="Times New Roman" w:cs="Times New Roman"/>
            <w:sz w:val="24"/>
            <w:szCs w:val="24"/>
          </w:rPr>
          <w:t>https://doi.org/10.1016/j.enpol.2010.02.012</w:t>
        </w:r>
      </w:hyperlink>
    </w:p>
    <w:p w14:paraId="0608067F" w14:textId="2B17981F"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Lee,  J., M. Ingalls, J. D. Erickson, and E. Wollenberg, (2016) :</w:t>
      </w:r>
      <w:r w:rsidRPr="007B45E9">
        <w:rPr>
          <w:rFonts w:ascii="Times New Roman" w:hAnsi="Times New Roman" w:cs="Times New Roman"/>
          <w:sz w:val="24"/>
          <w:szCs w:val="24"/>
        </w:rPr>
        <w:t xml:space="preserve"> “Bridging organizations in agricultural carbon markets and poverty alleviation: An analysis of pro-Poor carbon market projects in East Africa,” Global Environmental Change, vol. 39, pp. 98–107, Jul. 2016, doi: 10.1016/J.GLOENVCHA.2016.04.015 </w:t>
      </w:r>
    </w:p>
    <w:p w14:paraId="2D5E27A9" w14:textId="3CEE29AB"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Marc Corbeels, Rémi Cardinael, Krishna Naudin, Hervé Guibert, Emmanuel Torquebiau (2019 ):</w:t>
      </w:r>
      <w:r w:rsidRPr="007B45E9">
        <w:rPr>
          <w:rFonts w:ascii="Times New Roman" w:hAnsi="Times New Roman" w:cs="Times New Roman"/>
          <w:sz w:val="24"/>
          <w:szCs w:val="24"/>
        </w:rPr>
        <w:t xml:space="preserve"> The 4 per 1000 goal and soil carbon storage under agroforestry and conservation agriculture systems in sub-Saharan Africa. </w:t>
      </w:r>
      <w:hyperlink r:id="rId31" w:history="1">
        <w:r w:rsidRPr="007B45E9">
          <w:rPr>
            <w:rStyle w:val="Hyperlink"/>
            <w:rFonts w:ascii="Times New Roman" w:hAnsi="Times New Roman" w:cs="Times New Roman"/>
            <w:sz w:val="24"/>
            <w:szCs w:val="24"/>
          </w:rPr>
          <w:t>https://doi.org/10.1016/j.still.2018.02.015</w:t>
        </w:r>
      </w:hyperlink>
    </w:p>
    <w:p w14:paraId="73B58535" w14:textId="499E684B"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Martina Mascarenhas, Anne G. Timu, and Liangzhi You (2024) </w:t>
      </w:r>
      <w:r w:rsidRPr="007B45E9">
        <w:rPr>
          <w:rFonts w:ascii="Times New Roman" w:hAnsi="Times New Roman" w:cs="Times New Roman"/>
          <w:sz w:val="24"/>
          <w:szCs w:val="24"/>
        </w:rPr>
        <w:t>: From risk to resilience: How strategic government partnerships can enhance access to insurance-linked credit for mallholders in Zambia.</w:t>
      </w:r>
    </w:p>
    <w:p w14:paraId="5FA4122E" w14:textId="708676C7"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Nadia Ashraf and Karim Karaki (2024) : African voluntary carbon markets: Boom or bust ?</w:t>
      </w:r>
    </w:p>
    <w:p w14:paraId="251153FA" w14:textId="77777777"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sz w:val="24"/>
          <w:szCs w:val="24"/>
        </w:rPr>
        <w:t xml:space="preserve">Nepomuscene Ntukamazina, Richard N. Onwonga, Rolf Sommer, Jean-Claude Rubyogo, Clare M. Mukankusi, John Mburu, Rahab Kariuki (2017) : Index-based agricultural insurance products: challenges, opportunities and prospects for uptake in sub-Sahara Africa. </w:t>
      </w:r>
      <w:hyperlink r:id="rId32" w:history="1">
        <w:r w:rsidRPr="007B45E9">
          <w:rPr>
            <w:rStyle w:val="Hyperlink"/>
            <w:rFonts w:ascii="Times New Roman" w:hAnsi="Times New Roman" w:cs="Times New Roman"/>
            <w:sz w:val="24"/>
            <w:szCs w:val="24"/>
          </w:rPr>
          <w:t>http://nbn-resolving.de/urn:nbn:de:hebis:34-2017042052372</w:t>
        </w:r>
      </w:hyperlink>
      <w:r w:rsidRPr="007B45E9">
        <w:rPr>
          <w:rFonts w:ascii="Times New Roman" w:hAnsi="Times New Roman" w:cs="Times New Roman"/>
          <w:sz w:val="24"/>
          <w:szCs w:val="24"/>
        </w:rPr>
        <w:t xml:space="preserve"> </w:t>
      </w:r>
    </w:p>
    <w:p w14:paraId="7E1D635C" w14:textId="33FEA496"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OKO finance (2024)</w:t>
      </w:r>
      <w:r w:rsidRPr="007B45E9">
        <w:rPr>
          <w:rFonts w:ascii="Times New Roman" w:hAnsi="Times New Roman" w:cs="Times New Roman"/>
          <w:sz w:val="24"/>
          <w:szCs w:val="24"/>
        </w:rPr>
        <w:t xml:space="preserve"> : How agricultural insurance can transform small farms in Africa   </w:t>
      </w:r>
    </w:p>
    <w:p w14:paraId="631F19E9" w14:textId="685C86D2"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One Acre Fund (2024)</w:t>
      </w:r>
      <w:r w:rsidRPr="007B45E9">
        <w:rPr>
          <w:rFonts w:ascii="Times New Roman" w:hAnsi="Times New Roman" w:cs="Times New Roman"/>
          <w:sz w:val="24"/>
          <w:szCs w:val="24"/>
        </w:rPr>
        <w:t> : Annual Report. 17p</w:t>
      </w:r>
    </w:p>
    <w:p w14:paraId="4DE3FEDC" w14:textId="5B47826C"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Rishi Raithatha and Jan Priebe (2020)</w:t>
      </w:r>
      <w:r w:rsidRPr="007B45E9">
        <w:rPr>
          <w:rFonts w:ascii="Times New Roman" w:hAnsi="Times New Roman" w:cs="Times New Roman"/>
          <w:sz w:val="24"/>
          <w:szCs w:val="24"/>
        </w:rPr>
        <w:t> : Agricultural insurance for smallholders farmers digital innovation for scale. 36 P</w:t>
      </w:r>
    </w:p>
    <w:p w14:paraId="3AA903B3" w14:textId="7A8D056C"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Rouget, A., &amp; Rovzar, A. (2024).</w:t>
      </w:r>
      <w:r w:rsidRPr="007B45E9">
        <w:rPr>
          <w:rFonts w:ascii="Times New Roman" w:hAnsi="Times New Roman" w:cs="Times New Roman"/>
          <w:sz w:val="24"/>
          <w:szCs w:val="24"/>
        </w:rPr>
        <w:t> Multi-Donor Trust Fund for the African Disaster Risk Financing (ADRiFi) Programme: Mid-Term Review Report. African Development Bank.</w:t>
      </w:r>
    </w:p>
    <w:p w14:paraId="5952637C" w14:textId="37762164"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So S., B. K. Haya, and M. Elias (2023) </w:t>
      </w:r>
      <w:r w:rsidRPr="007B45E9">
        <w:rPr>
          <w:rFonts w:ascii="Times New Roman" w:hAnsi="Times New Roman" w:cs="Times New Roman"/>
          <w:sz w:val="24"/>
          <w:szCs w:val="24"/>
        </w:rPr>
        <w:t xml:space="preserve">:  “Voluntary Registry Offsets Database v7.1.” Berkeley Carbon Trading Project, University of California, Berkeley, 2023. Accessed: Feb. 07, 2023. [Online]. Available: gspp.berkeley.edu/faculty-and-impact/centers/cepp/projects/berkeley-carbon-trading-project/offsets-database </w:t>
      </w:r>
    </w:p>
    <w:p w14:paraId="11279B1B" w14:textId="1C9ECC06"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Tamba, Y. - Wafula, J. - Magaju, C. - St-Jacques, B. - Stiem-Bhatia L. - Arias-Navarro, Cristina - Aynekulu, E. - Winowiecki, Leigh Ann.( 2021 ):</w:t>
      </w:r>
      <w:r w:rsidRPr="007B45E9">
        <w:rPr>
          <w:rFonts w:ascii="Times New Roman" w:hAnsi="Times New Roman" w:cs="Times New Roman"/>
          <w:sz w:val="24"/>
          <w:szCs w:val="24"/>
        </w:rPr>
        <w:t xml:space="preserve"> “A review of the participation of smallholder farmers in land-based carbon payment schemes,” TMG and ICRAF Working Paper, Nov. 2021, doi: 10.35435/2.2021.4 </w:t>
      </w:r>
    </w:p>
    <w:p w14:paraId="5D8F85C5" w14:textId="61DB51D3"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lastRenderedPageBreak/>
        <w:t>Tiga  Neya., Neya, O., Abunyewa, A.A. (2018).</w:t>
      </w:r>
      <w:r w:rsidRPr="007B45E9">
        <w:rPr>
          <w:rFonts w:ascii="Times New Roman" w:hAnsi="Times New Roman" w:cs="Times New Roman"/>
          <w:sz w:val="24"/>
          <w:szCs w:val="24"/>
        </w:rPr>
        <w:t xml:space="preserve"> Agroforestry parkland profiles in three climatic zones of Burkina Faso, DOI: </w:t>
      </w:r>
      <w:hyperlink r:id="rId33" w:history="1">
        <w:r w:rsidRPr="007B45E9">
          <w:rPr>
            <w:rStyle w:val="Hyperlink"/>
            <w:rFonts w:ascii="Times New Roman" w:hAnsi="Times New Roman" w:cs="Times New Roman"/>
            <w:sz w:val="24"/>
            <w:szCs w:val="24"/>
          </w:rPr>
          <w:t>https://dx.doi.org/10.4314/ijbcs.v12i5.14</w:t>
        </w:r>
      </w:hyperlink>
      <w:r w:rsidRPr="007B45E9">
        <w:rPr>
          <w:rFonts w:ascii="Times New Roman" w:hAnsi="Times New Roman" w:cs="Times New Roman"/>
          <w:sz w:val="24"/>
          <w:szCs w:val="24"/>
        </w:rPr>
        <w:t xml:space="preserve"> </w:t>
      </w:r>
    </w:p>
    <w:p w14:paraId="45C8C568" w14:textId="3E060B28"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Tiga Neya, Akwasi. A. Abunyewa, Oblé Neya, Daniel Callo-Concha,  (2019)</w:t>
      </w:r>
      <w:r w:rsidRPr="007B45E9">
        <w:rPr>
          <w:rFonts w:ascii="Times New Roman" w:hAnsi="Times New Roman" w:cs="Times New Roman"/>
          <w:sz w:val="24"/>
          <w:szCs w:val="24"/>
        </w:rPr>
        <w:t xml:space="preserve"> : Trade-off of Tree Conservation and Crop Production on Agroforestry Parklands in Burkina Faso. : </w:t>
      </w:r>
      <w:hyperlink r:id="rId34" w:history="1">
        <w:r w:rsidRPr="007B45E9">
          <w:rPr>
            <w:rStyle w:val="Hyperlink"/>
            <w:rFonts w:ascii="Times New Roman" w:hAnsi="Times New Roman" w:cs="Times New Roman"/>
            <w:sz w:val="24"/>
            <w:szCs w:val="24"/>
          </w:rPr>
          <w:t>https://doi.org/10.5296/jas.v7i1.14270</w:t>
        </w:r>
      </w:hyperlink>
      <w:r w:rsidRPr="007B45E9">
        <w:rPr>
          <w:rFonts w:ascii="Times New Roman" w:hAnsi="Times New Roman" w:cs="Times New Roman"/>
          <w:sz w:val="24"/>
          <w:szCs w:val="24"/>
        </w:rPr>
        <w:t xml:space="preserve"> </w:t>
      </w:r>
    </w:p>
    <w:p w14:paraId="1AFB0806" w14:textId="2570321B"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Tiga Neya, Akwasi A Abunyewa, Oblé  Neya, et BJB Zoungrana et al (2020):</w:t>
      </w:r>
      <w:r w:rsidRPr="007B45E9">
        <w:rPr>
          <w:rFonts w:ascii="Times New Roman" w:hAnsi="Times New Roman" w:cs="Times New Roman"/>
          <w:sz w:val="24"/>
          <w:szCs w:val="24"/>
        </w:rPr>
        <w:t xml:space="preserve"> Carbon Sequestration Potential and Marketable Carbon Value of Smallholder Agroforestry Parklands Across Climatic Zones of Burkina Faso: Current Status and Way Forward for REDD+ Implementation. Environmental Management Springer . </w:t>
      </w:r>
      <w:hyperlink r:id="rId35" w:history="1">
        <w:r w:rsidRPr="007B45E9">
          <w:rPr>
            <w:rStyle w:val="Hyperlink"/>
            <w:rFonts w:ascii="Times New Roman" w:hAnsi="Times New Roman" w:cs="Times New Roman"/>
            <w:sz w:val="24"/>
            <w:szCs w:val="24"/>
          </w:rPr>
          <w:t>https://doi.org/10.1007/s00267-019-01248-6</w:t>
        </w:r>
      </w:hyperlink>
      <w:r w:rsidRPr="007B45E9">
        <w:rPr>
          <w:rFonts w:ascii="Times New Roman" w:hAnsi="Times New Roman" w:cs="Times New Roman"/>
          <w:sz w:val="24"/>
          <w:szCs w:val="24"/>
        </w:rPr>
        <w:t xml:space="preserve"> </w:t>
      </w:r>
    </w:p>
    <w:p w14:paraId="76F276E3" w14:textId="30E2A2F1" w:rsidR="00302A88" w:rsidRPr="007B45E9" w:rsidRDefault="00302A88"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Timm Tennigkeit, Katalin Solymosi, Matthias Seebauer and Bo Lager. (2013 )</w:t>
      </w:r>
      <w:r w:rsidRPr="007B45E9">
        <w:rPr>
          <w:rFonts w:ascii="Times New Roman" w:hAnsi="Times New Roman" w:cs="Times New Roman"/>
          <w:sz w:val="24"/>
          <w:szCs w:val="24"/>
        </w:rPr>
        <w:t xml:space="preserve"> “Carbon Intensification and Poverty Reduction in Kenya: Lessons from the Kenya Agricultural Carbon Project”, Field Actions Science Reports [Online], Special Issue 7 | 2013, Online since 19 April 2013, connection on 11 June 2025. URL: </w:t>
      </w:r>
      <w:hyperlink r:id="rId36" w:history="1">
        <w:r w:rsidRPr="007B45E9">
          <w:rPr>
            <w:rStyle w:val="Hyperlink"/>
            <w:rFonts w:ascii="Times New Roman" w:hAnsi="Times New Roman" w:cs="Times New Roman"/>
            <w:sz w:val="24"/>
            <w:szCs w:val="24"/>
          </w:rPr>
          <w:t>http://journals.openedition.org/factsreports/2600</w:t>
        </w:r>
      </w:hyperlink>
      <w:r w:rsidRPr="007B45E9">
        <w:rPr>
          <w:rFonts w:ascii="Times New Roman" w:hAnsi="Times New Roman" w:cs="Times New Roman"/>
          <w:sz w:val="24"/>
          <w:szCs w:val="24"/>
        </w:rPr>
        <w:t xml:space="preserve"> </w:t>
      </w:r>
    </w:p>
    <w:p w14:paraId="51ECBD12" w14:textId="0C2BA1B1" w:rsidR="00302A88" w:rsidRPr="007B45E9" w:rsidRDefault="00E551F7"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UNFCCC (2023)</w:t>
      </w:r>
      <w:r w:rsidRPr="007B45E9">
        <w:rPr>
          <w:rFonts w:ascii="Times New Roman" w:hAnsi="Times New Roman" w:cs="Times New Roman"/>
          <w:sz w:val="24"/>
          <w:szCs w:val="24"/>
        </w:rPr>
        <w:t xml:space="preserve"> : “About CDM.” Accessed: Feb. 10, 2023 .Available: cdm.unfccc.int/about/index.html </w:t>
      </w:r>
    </w:p>
    <w:p w14:paraId="2ECAD8C9" w14:textId="2FA1494A" w:rsidR="00E551F7" w:rsidRPr="007B45E9" w:rsidRDefault="00E551F7"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Wonga Masiza , ORCID,Johannes George Chirima, ORCID,Hamisai Hamandawana ,Ahmed Mukalazi Kalumba and Hezekiel Bheki Magagula Hezekiel Bheki Magagula (2021)</w:t>
      </w:r>
      <w:r w:rsidRPr="007B45E9">
        <w:rPr>
          <w:rFonts w:ascii="Times New Roman" w:hAnsi="Times New Roman" w:cs="Times New Roman"/>
          <w:sz w:val="24"/>
          <w:szCs w:val="24"/>
        </w:rPr>
        <w:t xml:space="preserve"> : Linking Agricultural Index Insurance with Factors That Influence Maize Yield in Rain-Fed Smallholder Farming Systems. </w:t>
      </w:r>
      <w:hyperlink r:id="rId37" w:history="1">
        <w:r w:rsidRPr="007B45E9">
          <w:rPr>
            <w:rStyle w:val="Hyperlink"/>
            <w:rFonts w:ascii="Times New Roman" w:hAnsi="Times New Roman" w:cs="Times New Roman"/>
            <w:sz w:val="24"/>
            <w:szCs w:val="24"/>
          </w:rPr>
          <w:t>https://doi.org/10.3390/su13095176</w:t>
        </w:r>
      </w:hyperlink>
      <w:r w:rsidRPr="007B45E9">
        <w:rPr>
          <w:rFonts w:ascii="Times New Roman" w:hAnsi="Times New Roman" w:cs="Times New Roman"/>
          <w:sz w:val="24"/>
          <w:szCs w:val="24"/>
        </w:rPr>
        <w:t xml:space="preserve"> </w:t>
      </w:r>
    </w:p>
    <w:p w14:paraId="6BC93C81" w14:textId="50E401DA" w:rsidR="00E551F7" w:rsidRPr="007B45E9" w:rsidRDefault="00E551F7" w:rsidP="007B45E9">
      <w:pPr>
        <w:spacing w:line="240" w:lineRule="auto"/>
        <w:jc w:val="both"/>
        <w:rPr>
          <w:rFonts w:ascii="Times New Roman" w:hAnsi="Times New Roman" w:cs="Times New Roman"/>
          <w:sz w:val="24"/>
          <w:szCs w:val="24"/>
        </w:rPr>
      </w:pPr>
      <w:r w:rsidRPr="007B45E9">
        <w:rPr>
          <w:rFonts w:ascii="Times New Roman" w:hAnsi="Times New Roman" w:cs="Times New Roman"/>
          <w:b/>
          <w:bCs/>
          <w:sz w:val="24"/>
          <w:szCs w:val="24"/>
        </w:rPr>
        <w:t>Yanyan Liu, Kevin Chen, Ruth V. Hill .(2020 )</w:t>
      </w:r>
      <w:r w:rsidRPr="007B45E9">
        <w:rPr>
          <w:rFonts w:ascii="Times New Roman" w:hAnsi="Times New Roman" w:cs="Times New Roman"/>
          <w:sz w:val="24"/>
          <w:szCs w:val="24"/>
        </w:rPr>
        <w:t xml:space="preserve">: Delayed Premium Payment, Insurance Adoption, and Household Investment in Rural China. AAEA  </w:t>
      </w:r>
      <w:hyperlink r:id="rId38" w:history="1">
        <w:r w:rsidRPr="007B45E9">
          <w:rPr>
            <w:rStyle w:val="Hyperlink"/>
            <w:rFonts w:ascii="Times New Roman" w:hAnsi="Times New Roman" w:cs="Times New Roman"/>
            <w:sz w:val="24"/>
            <w:szCs w:val="24"/>
          </w:rPr>
          <w:t>https://doi.org/10.1002/ajae.12038</w:t>
        </w:r>
      </w:hyperlink>
      <w:r w:rsidRPr="007B45E9">
        <w:rPr>
          <w:rFonts w:ascii="Times New Roman" w:hAnsi="Times New Roman" w:cs="Times New Roman"/>
          <w:sz w:val="24"/>
          <w:szCs w:val="24"/>
        </w:rPr>
        <w:t xml:space="preserve"> </w:t>
      </w:r>
    </w:p>
    <w:p w14:paraId="55534B34" w14:textId="77777777" w:rsidR="00E551F7" w:rsidRPr="007B45E9" w:rsidRDefault="00E551F7" w:rsidP="007B45E9">
      <w:pPr>
        <w:spacing w:line="240" w:lineRule="auto"/>
        <w:jc w:val="both"/>
        <w:rPr>
          <w:rFonts w:ascii="Times New Roman" w:hAnsi="Times New Roman" w:cs="Times New Roman"/>
          <w:sz w:val="24"/>
          <w:szCs w:val="24"/>
          <w:highlight w:val="yellow"/>
        </w:rPr>
      </w:pPr>
    </w:p>
    <w:p w14:paraId="3F2E1210" w14:textId="77777777" w:rsidR="00CE6553" w:rsidRPr="007B45E9" w:rsidRDefault="00CE6553" w:rsidP="007B45E9">
      <w:pPr>
        <w:spacing w:line="240" w:lineRule="auto"/>
        <w:rPr>
          <w:rFonts w:ascii="Times New Roman" w:hAnsi="Times New Roman" w:cs="Times New Roman"/>
          <w:sz w:val="24"/>
          <w:szCs w:val="24"/>
        </w:rPr>
      </w:pPr>
    </w:p>
    <w:sectPr w:rsidR="00CE6553" w:rsidRPr="007B45E9">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61524" w14:textId="77777777" w:rsidR="000464D8" w:rsidRDefault="000464D8" w:rsidP="007B45E9">
      <w:pPr>
        <w:spacing w:after="0" w:line="240" w:lineRule="auto"/>
      </w:pPr>
      <w:r>
        <w:separator/>
      </w:r>
    </w:p>
  </w:endnote>
  <w:endnote w:type="continuationSeparator" w:id="0">
    <w:p w14:paraId="41E3E8CF" w14:textId="77777777" w:rsidR="000464D8" w:rsidRDefault="000464D8" w:rsidP="007B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39A3" w14:textId="77777777" w:rsidR="00BC718A" w:rsidRDefault="00BC7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988715"/>
      <w:docPartObj>
        <w:docPartGallery w:val="Page Numbers (Bottom of Page)"/>
        <w:docPartUnique/>
      </w:docPartObj>
    </w:sdtPr>
    <w:sdtEndPr/>
    <w:sdtContent>
      <w:p w14:paraId="7DE4B09D" w14:textId="477ECFBF" w:rsidR="007B45E9" w:rsidRDefault="007B45E9">
        <w:pPr>
          <w:pStyle w:val="Footer"/>
          <w:jc w:val="right"/>
        </w:pPr>
        <w:r>
          <w:fldChar w:fldCharType="begin"/>
        </w:r>
        <w:r>
          <w:instrText>PAGE   \* MERGEFORMAT</w:instrText>
        </w:r>
        <w:r>
          <w:fldChar w:fldCharType="separate"/>
        </w:r>
        <w:r>
          <w:t>2</w:t>
        </w:r>
        <w:r>
          <w:fldChar w:fldCharType="end"/>
        </w:r>
      </w:p>
    </w:sdtContent>
  </w:sdt>
  <w:p w14:paraId="1CDECD82" w14:textId="77777777" w:rsidR="007B45E9" w:rsidRDefault="007B4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C8F3" w14:textId="77777777" w:rsidR="00BC718A" w:rsidRDefault="00BC7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A370F" w14:textId="77777777" w:rsidR="000464D8" w:rsidRDefault="000464D8" w:rsidP="007B45E9">
      <w:pPr>
        <w:spacing w:after="0" w:line="240" w:lineRule="auto"/>
      </w:pPr>
      <w:r>
        <w:separator/>
      </w:r>
    </w:p>
  </w:footnote>
  <w:footnote w:type="continuationSeparator" w:id="0">
    <w:p w14:paraId="613F8F46" w14:textId="77777777" w:rsidR="000464D8" w:rsidRDefault="000464D8" w:rsidP="007B4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156FA" w14:textId="4B7A6B97" w:rsidR="00BC718A" w:rsidRDefault="00BC718A">
    <w:pPr>
      <w:pStyle w:val="Header"/>
    </w:pPr>
    <w:r>
      <w:rPr>
        <w:noProof/>
      </w:rPr>
      <w:pict w14:anchorId="16A17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1047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08D4" w14:textId="0D78F7A1" w:rsidR="00BC718A" w:rsidRDefault="00BC718A">
    <w:pPr>
      <w:pStyle w:val="Header"/>
    </w:pPr>
    <w:r>
      <w:rPr>
        <w:noProof/>
      </w:rPr>
      <w:pict w14:anchorId="1C233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1047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D134" w14:textId="0797B673" w:rsidR="00BC718A" w:rsidRDefault="00BC718A">
    <w:pPr>
      <w:pStyle w:val="Header"/>
    </w:pPr>
    <w:r>
      <w:rPr>
        <w:noProof/>
      </w:rPr>
      <w:pict w14:anchorId="75A9A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1047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9C5"/>
    <w:multiLevelType w:val="multilevel"/>
    <w:tmpl w:val="77FE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730AF"/>
    <w:multiLevelType w:val="hybridMultilevel"/>
    <w:tmpl w:val="F2AC7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4A7F19"/>
    <w:multiLevelType w:val="multilevel"/>
    <w:tmpl w:val="7A8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A1246"/>
    <w:multiLevelType w:val="multilevel"/>
    <w:tmpl w:val="988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E24F6"/>
    <w:multiLevelType w:val="multilevel"/>
    <w:tmpl w:val="32EA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35941"/>
    <w:multiLevelType w:val="multilevel"/>
    <w:tmpl w:val="B770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11BD8"/>
    <w:multiLevelType w:val="multilevel"/>
    <w:tmpl w:val="B60C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204C8"/>
    <w:multiLevelType w:val="multilevel"/>
    <w:tmpl w:val="379A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B6065"/>
    <w:multiLevelType w:val="multilevel"/>
    <w:tmpl w:val="CE38CA7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4"/>
  </w:num>
  <w:num w:numId="5">
    <w:abstractNumId w:val="6"/>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B"/>
    <w:rsid w:val="00032868"/>
    <w:rsid w:val="000464D8"/>
    <w:rsid w:val="000B29B0"/>
    <w:rsid w:val="000D4BE6"/>
    <w:rsid w:val="000E1E6D"/>
    <w:rsid w:val="0011283F"/>
    <w:rsid w:val="001443BC"/>
    <w:rsid w:val="00150086"/>
    <w:rsid w:val="00157207"/>
    <w:rsid w:val="0016438B"/>
    <w:rsid w:val="00171637"/>
    <w:rsid w:val="00184894"/>
    <w:rsid w:val="0019241B"/>
    <w:rsid w:val="001C0709"/>
    <w:rsid w:val="001E7161"/>
    <w:rsid w:val="0020483E"/>
    <w:rsid w:val="00215176"/>
    <w:rsid w:val="002475B6"/>
    <w:rsid w:val="00284AB1"/>
    <w:rsid w:val="00302A88"/>
    <w:rsid w:val="003056F0"/>
    <w:rsid w:val="00333CD9"/>
    <w:rsid w:val="003879D6"/>
    <w:rsid w:val="00394036"/>
    <w:rsid w:val="00426CC3"/>
    <w:rsid w:val="00432481"/>
    <w:rsid w:val="0045798B"/>
    <w:rsid w:val="0046752F"/>
    <w:rsid w:val="00470A22"/>
    <w:rsid w:val="004957CD"/>
    <w:rsid w:val="004A5917"/>
    <w:rsid w:val="004A78AE"/>
    <w:rsid w:val="004B47E9"/>
    <w:rsid w:val="004F56BB"/>
    <w:rsid w:val="0065658C"/>
    <w:rsid w:val="006630E4"/>
    <w:rsid w:val="006B0C6C"/>
    <w:rsid w:val="006C0FB0"/>
    <w:rsid w:val="007227CE"/>
    <w:rsid w:val="0075595D"/>
    <w:rsid w:val="007922F0"/>
    <w:rsid w:val="007B45E9"/>
    <w:rsid w:val="007F3759"/>
    <w:rsid w:val="008111A1"/>
    <w:rsid w:val="00860C35"/>
    <w:rsid w:val="00894CCB"/>
    <w:rsid w:val="008A5243"/>
    <w:rsid w:val="009C5011"/>
    <w:rsid w:val="009D2B44"/>
    <w:rsid w:val="00A259A0"/>
    <w:rsid w:val="00A40AAB"/>
    <w:rsid w:val="00A43299"/>
    <w:rsid w:val="00AD4279"/>
    <w:rsid w:val="00AF1D7F"/>
    <w:rsid w:val="00BC3671"/>
    <w:rsid w:val="00BC718A"/>
    <w:rsid w:val="00C61AE4"/>
    <w:rsid w:val="00C77DAB"/>
    <w:rsid w:val="00C94AEC"/>
    <w:rsid w:val="00CA4EF6"/>
    <w:rsid w:val="00CE6553"/>
    <w:rsid w:val="00D05C11"/>
    <w:rsid w:val="00D24713"/>
    <w:rsid w:val="00D3604C"/>
    <w:rsid w:val="00D40D17"/>
    <w:rsid w:val="00D60144"/>
    <w:rsid w:val="00DA1EB5"/>
    <w:rsid w:val="00DC387E"/>
    <w:rsid w:val="00DD234D"/>
    <w:rsid w:val="00E06A50"/>
    <w:rsid w:val="00E256F4"/>
    <w:rsid w:val="00E26194"/>
    <w:rsid w:val="00E306C6"/>
    <w:rsid w:val="00E54454"/>
    <w:rsid w:val="00E551F7"/>
    <w:rsid w:val="00E5799B"/>
    <w:rsid w:val="00ED6E8A"/>
    <w:rsid w:val="00F308EF"/>
    <w:rsid w:val="00F46204"/>
    <w:rsid w:val="00FB7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F09C3F"/>
  <w15:chartTrackingRefBased/>
  <w15:docId w15:val="{AFEBBA3E-120B-407D-A606-7EB22D30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38B"/>
  </w:style>
  <w:style w:type="paragraph" w:styleId="Heading1">
    <w:name w:val="heading 1"/>
    <w:basedOn w:val="Normal"/>
    <w:next w:val="Normal"/>
    <w:link w:val="Heading1Char"/>
    <w:uiPriority w:val="9"/>
    <w:qFormat/>
    <w:rsid w:val="001643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3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3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3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3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3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3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3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3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3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38B"/>
    <w:rPr>
      <w:rFonts w:eastAsiaTheme="majorEastAsia" w:cstheme="majorBidi"/>
      <w:color w:val="272727" w:themeColor="text1" w:themeTint="D8"/>
    </w:rPr>
  </w:style>
  <w:style w:type="paragraph" w:styleId="Title">
    <w:name w:val="Title"/>
    <w:basedOn w:val="Normal"/>
    <w:next w:val="Normal"/>
    <w:link w:val="TitleChar"/>
    <w:uiPriority w:val="10"/>
    <w:qFormat/>
    <w:rsid w:val="00164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38B"/>
    <w:pPr>
      <w:spacing w:before="160"/>
      <w:jc w:val="center"/>
    </w:pPr>
    <w:rPr>
      <w:i/>
      <w:iCs/>
      <w:color w:val="404040" w:themeColor="text1" w:themeTint="BF"/>
    </w:rPr>
  </w:style>
  <w:style w:type="character" w:customStyle="1" w:styleId="QuoteChar">
    <w:name w:val="Quote Char"/>
    <w:basedOn w:val="DefaultParagraphFont"/>
    <w:link w:val="Quote"/>
    <w:uiPriority w:val="29"/>
    <w:rsid w:val="0016438B"/>
    <w:rPr>
      <w:i/>
      <w:iCs/>
      <w:color w:val="404040" w:themeColor="text1" w:themeTint="BF"/>
    </w:rPr>
  </w:style>
  <w:style w:type="paragraph" w:styleId="ListParagraph">
    <w:name w:val="List Paragraph"/>
    <w:basedOn w:val="Normal"/>
    <w:uiPriority w:val="34"/>
    <w:qFormat/>
    <w:rsid w:val="0016438B"/>
    <w:pPr>
      <w:ind w:left="720"/>
      <w:contextualSpacing/>
    </w:pPr>
  </w:style>
  <w:style w:type="character" w:styleId="IntenseEmphasis">
    <w:name w:val="Intense Emphasis"/>
    <w:basedOn w:val="DefaultParagraphFont"/>
    <w:uiPriority w:val="21"/>
    <w:qFormat/>
    <w:rsid w:val="0016438B"/>
    <w:rPr>
      <w:i/>
      <w:iCs/>
      <w:color w:val="2F5496" w:themeColor="accent1" w:themeShade="BF"/>
    </w:rPr>
  </w:style>
  <w:style w:type="paragraph" w:styleId="IntenseQuote">
    <w:name w:val="Intense Quote"/>
    <w:basedOn w:val="Normal"/>
    <w:next w:val="Normal"/>
    <w:link w:val="IntenseQuoteChar"/>
    <w:uiPriority w:val="30"/>
    <w:qFormat/>
    <w:rsid w:val="00164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38B"/>
    <w:rPr>
      <w:i/>
      <w:iCs/>
      <w:color w:val="2F5496" w:themeColor="accent1" w:themeShade="BF"/>
    </w:rPr>
  </w:style>
  <w:style w:type="character" w:styleId="IntenseReference">
    <w:name w:val="Intense Reference"/>
    <w:basedOn w:val="DefaultParagraphFont"/>
    <w:uiPriority w:val="32"/>
    <w:qFormat/>
    <w:rsid w:val="0016438B"/>
    <w:rPr>
      <w:b/>
      <w:bCs/>
      <w:smallCaps/>
      <w:color w:val="2F5496" w:themeColor="accent1" w:themeShade="BF"/>
      <w:spacing w:val="5"/>
    </w:rPr>
  </w:style>
  <w:style w:type="character" w:styleId="Hyperlink">
    <w:name w:val="Hyperlink"/>
    <w:basedOn w:val="DefaultParagraphFont"/>
    <w:uiPriority w:val="99"/>
    <w:unhideWhenUsed/>
    <w:rsid w:val="0016438B"/>
    <w:rPr>
      <w:color w:val="0563C1" w:themeColor="hyperlink"/>
      <w:u w:val="single"/>
    </w:rPr>
  </w:style>
  <w:style w:type="character" w:styleId="Strong">
    <w:name w:val="Strong"/>
    <w:basedOn w:val="DefaultParagraphFont"/>
    <w:uiPriority w:val="22"/>
    <w:qFormat/>
    <w:rsid w:val="0016438B"/>
    <w:rPr>
      <w:b/>
      <w:bCs/>
    </w:rPr>
  </w:style>
  <w:style w:type="table" w:styleId="TableGrid">
    <w:name w:val="Table Grid"/>
    <w:basedOn w:val="TableNormal"/>
    <w:uiPriority w:val="39"/>
    <w:rsid w:val="0016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438B"/>
    <w:rPr>
      <w:rFonts w:ascii="Times New Roman" w:hAnsi="Times New Roman" w:cs="Times New Roman"/>
      <w:sz w:val="24"/>
      <w:szCs w:val="24"/>
    </w:rPr>
  </w:style>
  <w:style w:type="table" w:styleId="PlainTable5">
    <w:name w:val="Plain Table 5"/>
    <w:basedOn w:val="TableNormal"/>
    <w:uiPriority w:val="45"/>
    <w:rsid w:val="003879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171637"/>
    <w:rPr>
      <w:color w:val="605E5C"/>
      <w:shd w:val="clear" w:color="auto" w:fill="E1DFDD"/>
    </w:rPr>
  </w:style>
  <w:style w:type="character" w:customStyle="1" w:styleId="react-xocs-alternative-link">
    <w:name w:val="react-xocs-alternative-link"/>
    <w:basedOn w:val="DefaultParagraphFont"/>
    <w:rsid w:val="00CE6553"/>
  </w:style>
  <w:style w:type="character" w:customStyle="1" w:styleId="given-name">
    <w:name w:val="given-name"/>
    <w:basedOn w:val="DefaultParagraphFont"/>
    <w:rsid w:val="00CE6553"/>
  </w:style>
  <w:style w:type="character" w:customStyle="1" w:styleId="text">
    <w:name w:val="text"/>
    <w:basedOn w:val="DefaultParagraphFont"/>
    <w:rsid w:val="00CE6553"/>
  </w:style>
  <w:style w:type="character" w:styleId="FollowedHyperlink">
    <w:name w:val="FollowedHyperlink"/>
    <w:basedOn w:val="DefaultParagraphFont"/>
    <w:uiPriority w:val="99"/>
    <w:semiHidden/>
    <w:unhideWhenUsed/>
    <w:rsid w:val="00C77DAB"/>
    <w:rPr>
      <w:color w:val="954F72" w:themeColor="followedHyperlink"/>
      <w:u w:val="single"/>
    </w:rPr>
  </w:style>
  <w:style w:type="paragraph" w:styleId="Header">
    <w:name w:val="header"/>
    <w:basedOn w:val="Normal"/>
    <w:link w:val="HeaderChar"/>
    <w:uiPriority w:val="99"/>
    <w:unhideWhenUsed/>
    <w:rsid w:val="007B45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5E9"/>
  </w:style>
  <w:style w:type="paragraph" w:styleId="Footer">
    <w:name w:val="footer"/>
    <w:basedOn w:val="Normal"/>
    <w:link w:val="FooterChar"/>
    <w:uiPriority w:val="99"/>
    <w:unhideWhenUsed/>
    <w:rsid w:val="007B45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92807">
      <w:bodyDiv w:val="1"/>
      <w:marLeft w:val="0"/>
      <w:marRight w:val="0"/>
      <w:marTop w:val="0"/>
      <w:marBottom w:val="0"/>
      <w:divBdr>
        <w:top w:val="none" w:sz="0" w:space="0" w:color="auto"/>
        <w:left w:val="none" w:sz="0" w:space="0" w:color="auto"/>
        <w:bottom w:val="none" w:sz="0" w:space="0" w:color="auto"/>
        <w:right w:val="none" w:sz="0" w:space="0" w:color="auto"/>
      </w:divBdr>
    </w:div>
    <w:div w:id="1027297881">
      <w:bodyDiv w:val="1"/>
      <w:marLeft w:val="0"/>
      <w:marRight w:val="0"/>
      <w:marTop w:val="0"/>
      <w:marBottom w:val="0"/>
      <w:divBdr>
        <w:top w:val="none" w:sz="0" w:space="0" w:color="auto"/>
        <w:left w:val="none" w:sz="0" w:space="0" w:color="auto"/>
        <w:bottom w:val="none" w:sz="0" w:space="0" w:color="auto"/>
        <w:right w:val="none" w:sz="0" w:space="0" w:color="auto"/>
      </w:divBdr>
      <w:divsChild>
        <w:div w:id="273052078">
          <w:marLeft w:val="0"/>
          <w:marRight w:val="0"/>
          <w:marTop w:val="0"/>
          <w:marBottom w:val="0"/>
          <w:divBdr>
            <w:top w:val="none" w:sz="0" w:space="0" w:color="auto"/>
            <w:left w:val="none" w:sz="0" w:space="0" w:color="auto"/>
            <w:bottom w:val="none" w:sz="0" w:space="0" w:color="auto"/>
            <w:right w:val="none" w:sz="0" w:space="0" w:color="auto"/>
          </w:divBdr>
        </w:div>
      </w:divsChild>
    </w:div>
    <w:div w:id="1436098418">
      <w:bodyDiv w:val="1"/>
      <w:marLeft w:val="0"/>
      <w:marRight w:val="0"/>
      <w:marTop w:val="0"/>
      <w:marBottom w:val="0"/>
      <w:divBdr>
        <w:top w:val="none" w:sz="0" w:space="0" w:color="auto"/>
        <w:left w:val="none" w:sz="0" w:space="0" w:color="auto"/>
        <w:bottom w:val="none" w:sz="0" w:space="0" w:color="auto"/>
        <w:right w:val="none" w:sz="0" w:space="0" w:color="auto"/>
      </w:divBdr>
    </w:div>
    <w:div w:id="1527720613">
      <w:bodyDiv w:val="1"/>
      <w:marLeft w:val="0"/>
      <w:marRight w:val="0"/>
      <w:marTop w:val="0"/>
      <w:marBottom w:val="0"/>
      <w:divBdr>
        <w:top w:val="none" w:sz="0" w:space="0" w:color="auto"/>
        <w:left w:val="none" w:sz="0" w:space="0" w:color="auto"/>
        <w:bottom w:val="none" w:sz="0" w:space="0" w:color="auto"/>
        <w:right w:val="none" w:sz="0" w:space="0" w:color="auto"/>
      </w:divBdr>
    </w:div>
    <w:div w:id="1995793862">
      <w:bodyDiv w:val="1"/>
      <w:marLeft w:val="0"/>
      <w:marRight w:val="0"/>
      <w:marTop w:val="0"/>
      <w:marBottom w:val="0"/>
      <w:divBdr>
        <w:top w:val="none" w:sz="0" w:space="0" w:color="auto"/>
        <w:left w:val="none" w:sz="0" w:space="0" w:color="auto"/>
        <w:bottom w:val="none" w:sz="0" w:space="0" w:color="auto"/>
        <w:right w:val="none" w:sz="0" w:space="0" w:color="auto"/>
      </w:divBdr>
      <w:divsChild>
        <w:div w:id="1840384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hdl.handle.net/1957/38589" TargetMode="External"/><Relationship Id="rId39" Type="http://schemas.openxmlformats.org/officeDocument/2006/relationships/header" Target="header1.xml"/><Relationship Id="rId21" Type="http://schemas.openxmlformats.org/officeDocument/2006/relationships/chart" Target="charts/chart1.xml"/><Relationship Id="rId34" Type="http://schemas.openxmlformats.org/officeDocument/2006/relationships/hyperlink" Target="https://doi.org/10.5296/jas.v7i1.14270"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3390/land70401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hart" Target="charts/chart4.xml"/><Relationship Id="rId32" Type="http://schemas.openxmlformats.org/officeDocument/2006/relationships/hyperlink" Target="http://nbn-resolving.de/urn:nbn:de:hebis:34-2017042052372" TargetMode="External"/><Relationship Id="rId37" Type="http://schemas.openxmlformats.org/officeDocument/2006/relationships/hyperlink" Target="https://doi.org/10.3390/su1309517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3.xml"/><Relationship Id="rId28" Type="http://schemas.openxmlformats.org/officeDocument/2006/relationships/hyperlink" Target="http://wileyonlinelibrary.com/journal/geb" TargetMode="External"/><Relationship Id="rId36" Type="http://schemas.openxmlformats.org/officeDocument/2006/relationships/hyperlink" Target="http://journals.openedition.org/factsreports/2600" TargetMode="External"/><Relationship Id="rId10" Type="http://schemas.openxmlformats.org/officeDocument/2006/relationships/hyperlink" Target="https://www.ifpri.org/profile/liangzhi-you/" TargetMode="External"/><Relationship Id="rId19" Type="http://schemas.openxmlformats.org/officeDocument/2006/relationships/image" Target="media/image9.png"/><Relationship Id="rId31" Type="http://schemas.openxmlformats.org/officeDocument/2006/relationships/hyperlink" Target="https://doi.org/10.1016/j.still.2018.02.015"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fpri.org/profile/anne-timu/" TargetMode="External"/><Relationship Id="rId14" Type="http://schemas.openxmlformats.org/officeDocument/2006/relationships/image" Target="media/image4.png"/><Relationship Id="rId22" Type="http://schemas.openxmlformats.org/officeDocument/2006/relationships/chart" Target="charts/chart2.xml"/><Relationship Id="rId27" Type="http://schemas.openxmlformats.org/officeDocument/2006/relationships/hyperlink" Target="https://doi.org/10.1111/gcb.17154" TargetMode="External"/><Relationship Id="rId30" Type="http://schemas.openxmlformats.org/officeDocument/2006/relationships/hyperlink" Target="https://doi.org/10.1016/j.enpol.2010.02.012" TargetMode="External"/><Relationship Id="rId35" Type="http://schemas.openxmlformats.org/officeDocument/2006/relationships/hyperlink" Target="https://doi.org/10.1007/s00267-019-01248-6" TargetMode="External"/><Relationship Id="rId43" Type="http://schemas.openxmlformats.org/officeDocument/2006/relationships/header" Target="header3.xml"/><Relationship Id="rId8" Type="http://schemas.openxmlformats.org/officeDocument/2006/relationships/hyperlink" Target="https://onlinelibrary.wiley.com/authored-by/Liu/Yanyan"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hart" Target="charts/chart5.xml"/><Relationship Id="rId33" Type="http://schemas.openxmlformats.org/officeDocument/2006/relationships/hyperlink" Target="https://dx.doi.org/10.4314/ijbcs.v12i5.14" TargetMode="External"/><Relationship Id="rId38" Type="http://schemas.openxmlformats.org/officeDocument/2006/relationships/hyperlink" Target="https://doi.org/10.1002/ajae.12038" TargetMode="External"/><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ownloads\What%20are%20the%20carbon%20sequestration%20potentiel%20in%20ag....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hp\Downloads\What%20are%20the%20carbon%20sequestration%20potentiel%20in%20a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Feuil1!$B$10</c:f>
              <c:strCache>
                <c:ptCount val="1"/>
                <c:pt idx="0">
                  <c:v>mean Carbon Sequestration Potential (Mg/t C ha⁻¹ yr⁻¹) - Indicative Range</c:v>
                </c:pt>
              </c:strCache>
            </c:strRef>
          </c:tx>
          <c:spPr>
            <a:solidFill>
              <a:schemeClr val="accent4"/>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1-D659-4463-A176-69A08A6BFEB3}"/>
              </c:ext>
            </c:extLst>
          </c:dPt>
          <c:dPt>
            <c:idx val="2"/>
            <c:invertIfNegative val="0"/>
            <c:bubble3D val="0"/>
            <c:spPr>
              <a:solidFill>
                <a:schemeClr val="tx2"/>
              </a:solidFill>
              <a:ln>
                <a:noFill/>
              </a:ln>
              <a:effectLst/>
            </c:spPr>
            <c:extLst>
              <c:ext xmlns:c16="http://schemas.microsoft.com/office/drawing/2014/chart" uri="{C3380CC4-5D6E-409C-BE32-E72D297353CC}">
                <c16:uniqueId val="{00000003-D659-4463-A176-69A08A6BFEB3}"/>
              </c:ext>
            </c:extLst>
          </c:dPt>
          <c:dPt>
            <c:idx val="3"/>
            <c:invertIfNegative val="0"/>
            <c:bubble3D val="0"/>
            <c:spPr>
              <a:solidFill>
                <a:schemeClr val="accent1">
                  <a:lumMod val="20000"/>
                  <a:lumOff val="80000"/>
                </a:schemeClr>
              </a:solidFill>
              <a:ln>
                <a:noFill/>
              </a:ln>
              <a:effectLst/>
            </c:spPr>
            <c:extLst>
              <c:ext xmlns:c16="http://schemas.microsoft.com/office/drawing/2014/chart" uri="{C3380CC4-5D6E-409C-BE32-E72D297353CC}">
                <c16:uniqueId val="{00000005-D659-4463-A176-69A08A6BFEB3}"/>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7-D659-4463-A176-69A08A6BFEB3}"/>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9-D659-4463-A176-69A08A6BFEB3}"/>
              </c:ext>
            </c:extLst>
          </c:dPt>
          <c:dLbls>
            <c:dLbl>
              <c:idx val="0"/>
              <c:layout>
                <c:manualLayout>
                  <c:x val="-2.0904357522860649E-17"/>
                  <c:y val="-3.8461538461538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59-4463-A176-69A08A6BFEB3}"/>
                </c:ext>
              </c:extLst>
            </c:dLbl>
            <c:dLbl>
              <c:idx val="1"/>
              <c:layout>
                <c:manualLayout>
                  <c:x val="-4.1808715045721298E-17"/>
                  <c:y val="-6.8376068376068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59-4463-A176-69A08A6BFEB3}"/>
                </c:ext>
              </c:extLst>
            </c:dLbl>
            <c:dLbl>
              <c:idx val="2"/>
              <c:layout>
                <c:manualLayout>
                  <c:x val="0"/>
                  <c:y val="-2.5641025641025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59-4463-A176-69A08A6BFEB3}"/>
                </c:ext>
              </c:extLst>
            </c:dLbl>
            <c:dLbl>
              <c:idx val="3"/>
              <c:layout>
                <c:manualLayout>
                  <c:x val="2.2805017103761992E-3"/>
                  <c:y val="-4.2735042735042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59-4463-A176-69A08A6BFEB3}"/>
                </c:ext>
              </c:extLst>
            </c:dLbl>
            <c:dLbl>
              <c:idx val="4"/>
              <c:layout>
                <c:manualLayout>
                  <c:x val="0"/>
                  <c:y val="-3.8461538461538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59-4463-A176-69A08A6BFEB3}"/>
                </c:ext>
              </c:extLst>
            </c:dLbl>
            <c:dLbl>
              <c:idx val="5"/>
              <c:layout>
                <c:manualLayout>
                  <c:x val="0"/>
                  <c:y val="-3.8461538461538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59-4463-A176-69A08A6BFE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Feuil1!$A$11:$A$16</c:f>
              <c:strCache>
                <c:ptCount val="6"/>
                <c:pt idx="0">
                  <c:v>North Africa</c:v>
                </c:pt>
                <c:pt idx="1">
                  <c:v>West Africa (Sahel)</c:v>
                </c:pt>
                <c:pt idx="2">
                  <c:v>West Africa (Humid/Sub-humid)</c:v>
                </c:pt>
                <c:pt idx="3">
                  <c:v>East Africa</c:v>
                </c:pt>
                <c:pt idx="4">
                  <c:v>Central Africa</c:v>
                </c:pt>
                <c:pt idx="5">
                  <c:v>Southern Africa</c:v>
                </c:pt>
              </c:strCache>
            </c:strRef>
          </c:cat>
          <c:val>
            <c:numRef>
              <c:f>Feuil1!$B$11:$B$16</c:f>
              <c:numCache>
                <c:formatCode>General</c:formatCode>
                <c:ptCount val="6"/>
                <c:pt idx="0">
                  <c:v>1.25</c:v>
                </c:pt>
                <c:pt idx="1">
                  <c:v>0.85</c:v>
                </c:pt>
                <c:pt idx="2">
                  <c:v>2.5</c:v>
                </c:pt>
                <c:pt idx="3">
                  <c:v>3.4</c:v>
                </c:pt>
                <c:pt idx="4">
                  <c:v>3</c:v>
                </c:pt>
                <c:pt idx="5">
                  <c:v>1.75</c:v>
                </c:pt>
              </c:numCache>
            </c:numRef>
          </c:val>
          <c:extLst>
            <c:ext xmlns:c16="http://schemas.microsoft.com/office/drawing/2014/chart" uri="{C3380CC4-5D6E-409C-BE32-E72D297353CC}">
              <c16:uniqueId val="{0000000B-D659-4463-A176-69A08A6BFEB3}"/>
            </c:ext>
          </c:extLst>
        </c:ser>
        <c:dLbls>
          <c:showLegendKey val="0"/>
          <c:showVal val="0"/>
          <c:showCatName val="0"/>
          <c:showSerName val="0"/>
          <c:showPercent val="0"/>
          <c:showBubbleSize val="0"/>
        </c:dLbls>
        <c:gapWidth val="219"/>
        <c:overlap val="-27"/>
        <c:axId val="1990227632"/>
        <c:axId val="1990228112"/>
      </c:barChart>
      <c:catAx>
        <c:axId val="1990227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Africans</a:t>
                </a:r>
                <a:r>
                  <a:rPr lang="fr-FR" baseline="0"/>
                  <a:t> regions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228112"/>
        <c:crosses val="autoZero"/>
        <c:auto val="1"/>
        <c:lblAlgn val="ctr"/>
        <c:lblOffset val="100"/>
        <c:noMultiLvlLbl val="0"/>
      </c:catAx>
      <c:valAx>
        <c:axId val="1990228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quantity of C0</a:t>
                </a:r>
                <a:r>
                  <a:rPr lang="fr-FR" baseline="-25000"/>
                  <a:t>2</a:t>
                </a:r>
                <a:r>
                  <a:rPr lang="fr-FR" baseline="0"/>
                  <a:t>t/ha/year</a:t>
                </a:r>
              </a:p>
            </c:rich>
          </c:tx>
          <c:layout>
            <c:manualLayout>
              <c:xMode val="edge"/>
              <c:yMode val="edge"/>
              <c:x val="1.5089379506011007E-2"/>
              <c:y val="6.8874083047311381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227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Feuil1!$B$20</c:f>
              <c:strCache>
                <c:ptCount val="1"/>
                <c:pt idx="0">
                  <c:v>Mean price Carbon USD/t</c:v>
                </c:pt>
              </c:strCache>
            </c:strRef>
          </c:tx>
          <c:spPr>
            <a:solidFill>
              <a:schemeClr val="accent1"/>
            </a:solidFill>
            <a:ln>
              <a:noFill/>
            </a:ln>
            <a:effectLst/>
          </c:spPr>
          <c:invertIfNegative val="0"/>
          <c:dPt>
            <c:idx val="1"/>
            <c:invertIfNegative val="0"/>
            <c:bubble3D val="0"/>
            <c:spPr>
              <a:solidFill>
                <a:srgbClr val="ED7D31">
                  <a:lumMod val="60000"/>
                  <a:lumOff val="40000"/>
                </a:srgbClr>
              </a:solidFill>
              <a:ln>
                <a:noFill/>
              </a:ln>
              <a:effectLst/>
            </c:spPr>
            <c:extLst>
              <c:ext xmlns:c16="http://schemas.microsoft.com/office/drawing/2014/chart" uri="{C3380CC4-5D6E-409C-BE32-E72D297353CC}">
                <c16:uniqueId val="{00000001-3810-44B4-B419-2902A28EA035}"/>
              </c:ext>
            </c:extLst>
          </c:dPt>
          <c:dPt>
            <c:idx val="2"/>
            <c:invertIfNegative val="0"/>
            <c:bubble3D val="0"/>
            <c:spPr>
              <a:solidFill>
                <a:srgbClr val="A5A5A5">
                  <a:lumMod val="75000"/>
                </a:srgbClr>
              </a:solidFill>
              <a:ln>
                <a:noFill/>
              </a:ln>
              <a:effectLst/>
            </c:spPr>
            <c:extLst>
              <c:ext xmlns:c16="http://schemas.microsoft.com/office/drawing/2014/chart" uri="{C3380CC4-5D6E-409C-BE32-E72D297353CC}">
                <c16:uniqueId val="{00000003-3810-44B4-B419-2902A28EA035}"/>
              </c:ext>
            </c:extLst>
          </c:dPt>
          <c:dPt>
            <c:idx val="3"/>
            <c:invertIfNegative val="0"/>
            <c:bubble3D val="0"/>
            <c:spPr>
              <a:solidFill>
                <a:srgbClr val="ED7D31">
                  <a:lumMod val="75000"/>
                </a:srgbClr>
              </a:solidFill>
              <a:ln>
                <a:noFill/>
              </a:ln>
              <a:effectLst/>
            </c:spPr>
            <c:extLst>
              <c:ext xmlns:c16="http://schemas.microsoft.com/office/drawing/2014/chart" uri="{C3380CC4-5D6E-409C-BE32-E72D297353CC}">
                <c16:uniqueId val="{00000005-3810-44B4-B419-2902A28EA035}"/>
              </c:ext>
            </c:extLst>
          </c:dPt>
          <c:dPt>
            <c:idx val="4"/>
            <c:invertIfNegative val="0"/>
            <c:bubble3D val="0"/>
            <c:spPr>
              <a:solidFill>
                <a:srgbClr val="FFC000"/>
              </a:solidFill>
              <a:ln>
                <a:noFill/>
              </a:ln>
              <a:effectLst/>
            </c:spPr>
            <c:extLst>
              <c:ext xmlns:c16="http://schemas.microsoft.com/office/drawing/2014/chart" uri="{C3380CC4-5D6E-409C-BE32-E72D297353CC}">
                <c16:uniqueId val="{00000007-3810-44B4-B419-2902A28EA035}"/>
              </c:ext>
            </c:extLst>
          </c:dPt>
          <c:dPt>
            <c:idx val="5"/>
            <c:invertIfNegative val="0"/>
            <c:bubble3D val="0"/>
            <c:spPr>
              <a:solidFill>
                <a:srgbClr val="70AD47">
                  <a:lumMod val="75000"/>
                </a:srgbClr>
              </a:solidFill>
              <a:ln>
                <a:noFill/>
              </a:ln>
              <a:effectLst/>
            </c:spPr>
            <c:extLst>
              <c:ext xmlns:c16="http://schemas.microsoft.com/office/drawing/2014/chart" uri="{C3380CC4-5D6E-409C-BE32-E72D297353CC}">
                <c16:uniqueId val="{00000009-3810-44B4-B419-2902A28EA035}"/>
              </c:ext>
            </c:extLst>
          </c:dPt>
          <c:dLbls>
            <c:dLbl>
              <c:idx val="3"/>
              <c:layout>
                <c:manualLayout>
                  <c:x val="-2.2727272727272726E-3"/>
                  <c:y val="-5.0925925925925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10-44B4-B419-2902A28EA035}"/>
                </c:ext>
              </c:extLst>
            </c:dLbl>
            <c:dLbl>
              <c:idx val="4"/>
              <c:layout>
                <c:manualLayout>
                  <c:x val="-2.2727272727272726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10-44B4-B419-2902A28EA035}"/>
                </c:ext>
              </c:extLst>
            </c:dLbl>
            <c:dLbl>
              <c:idx val="5"/>
              <c:layout>
                <c:manualLayout>
                  <c:x val="4.5454545454543787E-3"/>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10-44B4-B419-2902A28EA0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Feuil1!$A$21:$A$26</c:f>
              <c:strCache>
                <c:ptCount val="6"/>
                <c:pt idx="0">
                  <c:v>North Africa</c:v>
                </c:pt>
                <c:pt idx="1">
                  <c:v>West Africa (Sahel)</c:v>
                </c:pt>
                <c:pt idx="2">
                  <c:v>West Africa (Humid/Sub-humid)</c:v>
                </c:pt>
                <c:pt idx="3">
                  <c:v>East Africa</c:v>
                </c:pt>
                <c:pt idx="4">
                  <c:v>Central Africa</c:v>
                </c:pt>
                <c:pt idx="5">
                  <c:v>Southern Africa</c:v>
                </c:pt>
              </c:strCache>
            </c:strRef>
          </c:cat>
          <c:val>
            <c:numRef>
              <c:f>Feuil1!$B$21:$B$26</c:f>
              <c:numCache>
                <c:formatCode>General</c:formatCode>
                <c:ptCount val="6"/>
                <c:pt idx="0">
                  <c:v>17.5</c:v>
                </c:pt>
                <c:pt idx="1">
                  <c:v>15</c:v>
                </c:pt>
                <c:pt idx="2">
                  <c:v>17.5</c:v>
                </c:pt>
                <c:pt idx="3">
                  <c:v>17.5</c:v>
                </c:pt>
                <c:pt idx="4">
                  <c:v>30</c:v>
                </c:pt>
                <c:pt idx="5">
                  <c:v>17.5</c:v>
                </c:pt>
              </c:numCache>
            </c:numRef>
          </c:val>
          <c:extLst>
            <c:ext xmlns:c16="http://schemas.microsoft.com/office/drawing/2014/chart" uri="{C3380CC4-5D6E-409C-BE32-E72D297353CC}">
              <c16:uniqueId val="{0000000A-3810-44B4-B419-2902A28EA035}"/>
            </c:ext>
          </c:extLst>
        </c:ser>
        <c:dLbls>
          <c:showLegendKey val="0"/>
          <c:showVal val="0"/>
          <c:showCatName val="0"/>
          <c:showSerName val="0"/>
          <c:showPercent val="0"/>
          <c:showBubbleSize val="0"/>
        </c:dLbls>
        <c:gapWidth val="219"/>
        <c:overlap val="-27"/>
        <c:axId val="1990221872"/>
        <c:axId val="1990207952"/>
      </c:barChart>
      <c:catAx>
        <c:axId val="1990221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Africa</a:t>
                </a:r>
                <a:r>
                  <a:rPr lang="fr-FR" baseline="0"/>
                  <a:t> Regions</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207952"/>
        <c:crosses val="autoZero"/>
        <c:auto val="1"/>
        <c:lblAlgn val="ctr"/>
        <c:lblOffset val="100"/>
        <c:noMultiLvlLbl val="0"/>
      </c:catAx>
      <c:valAx>
        <c:axId val="199020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Prce</a:t>
                </a:r>
                <a:r>
                  <a:rPr lang="fr-FR" baseline="0"/>
                  <a:t> (USD)</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221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Feuil1!$B$31</c:f>
              <c:strCache>
                <c:ptCount val="1"/>
                <c:pt idx="0">
                  <c:v>Mean_amount carbon per ha in USD</c:v>
                </c:pt>
              </c:strCache>
            </c:strRef>
          </c:tx>
          <c:spPr>
            <a:solidFill>
              <a:schemeClr val="accent1"/>
            </a:solidFill>
            <a:ln>
              <a:noFill/>
            </a:ln>
            <a:effectLst/>
          </c:spPr>
          <c:invertIfNegative val="0"/>
          <c:dLbls>
            <c:dLbl>
              <c:idx val="0"/>
              <c:layout>
                <c:manualLayout>
                  <c:x val="-2.1905805038335158E-3"/>
                  <c:y val="-5.2953156822810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64-4909-B993-51AC11D050E8}"/>
                </c:ext>
              </c:extLst>
            </c:dLbl>
            <c:dLbl>
              <c:idx val="1"/>
              <c:layout>
                <c:manualLayout>
                  <c:x val="-2.1905805038334755E-3"/>
                  <c:y val="-3.6659877800407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64-4909-B993-51AC11D050E8}"/>
                </c:ext>
              </c:extLst>
            </c:dLbl>
            <c:dLbl>
              <c:idx val="2"/>
              <c:layout>
                <c:manualLayout>
                  <c:x val="-2.1905805038335961E-3"/>
                  <c:y val="-3.6659877800407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64-4909-B993-51AC11D050E8}"/>
                </c:ext>
              </c:extLst>
            </c:dLbl>
            <c:dLbl>
              <c:idx val="3"/>
              <c:layout>
                <c:manualLayout>
                  <c:x val="-2.1905805038335961E-3"/>
                  <c:y val="-3.6659877800407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64-4909-B993-51AC11D050E8}"/>
                </c:ext>
              </c:extLst>
            </c:dLbl>
            <c:dLbl>
              <c:idx val="4"/>
              <c:layout>
                <c:manualLayout>
                  <c:x val="0"/>
                  <c:y val="-4.07331975560081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64-4909-B993-51AC11D050E8}"/>
                </c:ext>
              </c:extLst>
            </c:dLbl>
            <c:dLbl>
              <c:idx val="5"/>
              <c:layout>
                <c:manualLayout>
                  <c:x val="-2.1905805038335158E-3"/>
                  <c:y val="-4.0733197556008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64-4909-B993-51AC11D050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Feuil1!$A$32:$A$37</c:f>
              <c:strCache>
                <c:ptCount val="6"/>
                <c:pt idx="0">
                  <c:v>North Africa</c:v>
                </c:pt>
                <c:pt idx="1">
                  <c:v>West Africa (Sahel)</c:v>
                </c:pt>
                <c:pt idx="2">
                  <c:v>West Africa (Humid/Sub-humid)</c:v>
                </c:pt>
                <c:pt idx="3">
                  <c:v>East Africa</c:v>
                </c:pt>
                <c:pt idx="4">
                  <c:v>Central Africa</c:v>
                </c:pt>
                <c:pt idx="5">
                  <c:v>Southern Africa</c:v>
                </c:pt>
              </c:strCache>
            </c:strRef>
          </c:cat>
          <c:val>
            <c:numRef>
              <c:f>Feuil1!$B$32:$B$37</c:f>
              <c:numCache>
                <c:formatCode>General</c:formatCode>
                <c:ptCount val="6"/>
                <c:pt idx="0">
                  <c:v>21.875</c:v>
                </c:pt>
                <c:pt idx="1">
                  <c:v>12.75</c:v>
                </c:pt>
                <c:pt idx="2">
                  <c:v>43.75</c:v>
                </c:pt>
                <c:pt idx="3">
                  <c:v>59.5</c:v>
                </c:pt>
                <c:pt idx="4">
                  <c:v>90</c:v>
                </c:pt>
                <c:pt idx="5">
                  <c:v>30.625</c:v>
                </c:pt>
              </c:numCache>
            </c:numRef>
          </c:val>
          <c:extLst>
            <c:ext xmlns:c16="http://schemas.microsoft.com/office/drawing/2014/chart" uri="{C3380CC4-5D6E-409C-BE32-E72D297353CC}">
              <c16:uniqueId val="{00000006-0564-4909-B993-51AC11D050E8}"/>
            </c:ext>
          </c:extLst>
        </c:ser>
        <c:dLbls>
          <c:showLegendKey val="0"/>
          <c:showVal val="0"/>
          <c:showCatName val="0"/>
          <c:showSerName val="0"/>
          <c:showPercent val="0"/>
          <c:showBubbleSize val="0"/>
        </c:dLbls>
        <c:gapWidth val="219"/>
        <c:overlap val="-27"/>
        <c:axId val="1112610608"/>
        <c:axId val="1112611088"/>
      </c:barChart>
      <c:catAx>
        <c:axId val="1112610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Africa</a:t>
                </a:r>
                <a:r>
                  <a:rPr lang="fr-FR" baseline="0"/>
                  <a:t> Regions</a:t>
                </a:r>
                <a:endParaRPr lang="fr-FR"/>
              </a:p>
            </c:rich>
          </c:tx>
          <c:layout>
            <c:manualLayout>
              <c:xMode val="edge"/>
              <c:yMode val="edge"/>
              <c:x val="0.4669496597700753"/>
              <c:y val="0.896130346232179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611088"/>
        <c:crosses val="autoZero"/>
        <c:auto val="1"/>
        <c:lblAlgn val="ctr"/>
        <c:lblOffset val="100"/>
        <c:noMultiLvlLbl val="0"/>
      </c:catAx>
      <c:valAx>
        <c:axId val="1112611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USD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610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375980000340133E-2"/>
          <c:y val="7.2837022132796775E-2"/>
          <c:w val="0.92386592064760809"/>
          <c:h val="0.49054325955734407"/>
        </c:manualLayout>
      </c:layout>
      <c:barChart>
        <c:barDir val="col"/>
        <c:grouping val="clustered"/>
        <c:varyColors val="0"/>
        <c:ser>
          <c:idx val="0"/>
          <c:order val="0"/>
          <c:tx>
            <c:strRef>
              <c:f>Feuil1!$B$40</c:f>
              <c:strCache>
                <c:ptCount val="1"/>
                <c:pt idx="0">
                  <c:v>Mean insurance premium USD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Feuil1!$A$41:$A$46</c:f>
              <c:strCache>
                <c:ptCount val="6"/>
                <c:pt idx="0">
                  <c:v>North Africa</c:v>
                </c:pt>
                <c:pt idx="1">
                  <c:v>West Africa (Sahel)</c:v>
                </c:pt>
                <c:pt idx="2">
                  <c:v>West Africa (Humid/Sub-humid)</c:v>
                </c:pt>
                <c:pt idx="3">
                  <c:v>East Africa</c:v>
                </c:pt>
                <c:pt idx="4">
                  <c:v>Central Africa</c:v>
                </c:pt>
                <c:pt idx="5">
                  <c:v>Southern Africa</c:v>
                </c:pt>
              </c:strCache>
            </c:strRef>
          </c:cat>
          <c:val>
            <c:numRef>
              <c:f>Feuil1!$B$41:$B$46</c:f>
              <c:numCache>
                <c:formatCode>General</c:formatCode>
                <c:ptCount val="6"/>
                <c:pt idx="0">
                  <c:v>19.170000000000002</c:v>
                </c:pt>
                <c:pt idx="1">
                  <c:v>19.170000000000002</c:v>
                </c:pt>
                <c:pt idx="2">
                  <c:v>19.170000000000002</c:v>
                </c:pt>
                <c:pt idx="3">
                  <c:v>15</c:v>
                </c:pt>
                <c:pt idx="4">
                  <c:v>15</c:v>
                </c:pt>
                <c:pt idx="5">
                  <c:v>22.5</c:v>
                </c:pt>
              </c:numCache>
            </c:numRef>
          </c:val>
          <c:extLst>
            <c:ext xmlns:c16="http://schemas.microsoft.com/office/drawing/2014/chart" uri="{C3380CC4-5D6E-409C-BE32-E72D297353CC}">
              <c16:uniqueId val="{00000000-4AD3-4B01-9537-30E65563CFAB}"/>
            </c:ext>
          </c:extLst>
        </c:ser>
        <c:dLbls>
          <c:showLegendKey val="0"/>
          <c:showVal val="0"/>
          <c:showCatName val="0"/>
          <c:showSerName val="0"/>
          <c:showPercent val="0"/>
          <c:showBubbleSize val="0"/>
        </c:dLbls>
        <c:gapWidth val="219"/>
        <c:overlap val="-27"/>
        <c:axId val="1112558768"/>
        <c:axId val="1112583728"/>
      </c:barChart>
      <c:catAx>
        <c:axId val="1112558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Africa regions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583728"/>
        <c:crosses val="autoZero"/>
        <c:auto val="1"/>
        <c:lblAlgn val="ctr"/>
        <c:lblOffset val="100"/>
        <c:noMultiLvlLbl val="0"/>
      </c:catAx>
      <c:valAx>
        <c:axId val="1112583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USD/ha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558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Feuil1!$B$94</c:f>
              <c:strCache>
                <c:ptCount val="1"/>
                <c:pt idx="0">
                  <c:v>Mean insurance premium USD</c:v>
                </c:pt>
              </c:strCache>
            </c:strRef>
          </c:tx>
          <c:spPr>
            <a:solidFill>
              <a:schemeClr val="accent1"/>
            </a:solidFill>
            <a:ln>
              <a:noFill/>
            </a:ln>
            <a:effectLst/>
          </c:spPr>
          <c:invertIfNegative val="0"/>
          <c:cat>
            <c:strRef>
              <c:f>Feuil1!$A$95:$A$100</c:f>
              <c:strCache>
                <c:ptCount val="6"/>
                <c:pt idx="0">
                  <c:v>North Africa</c:v>
                </c:pt>
                <c:pt idx="1">
                  <c:v>West Africa (Sahel)</c:v>
                </c:pt>
                <c:pt idx="2">
                  <c:v>West Africa (Humid/Sub-humid)</c:v>
                </c:pt>
                <c:pt idx="3">
                  <c:v>East Africa</c:v>
                </c:pt>
                <c:pt idx="4">
                  <c:v>Central Africa</c:v>
                </c:pt>
                <c:pt idx="5">
                  <c:v>Southern Africa</c:v>
                </c:pt>
              </c:strCache>
            </c:strRef>
          </c:cat>
          <c:val>
            <c:numRef>
              <c:f>Feuil1!$B$95:$B$100</c:f>
              <c:numCache>
                <c:formatCode>General</c:formatCode>
                <c:ptCount val="6"/>
                <c:pt idx="0">
                  <c:v>19.170000000000002</c:v>
                </c:pt>
                <c:pt idx="1">
                  <c:v>19.170000000000002</c:v>
                </c:pt>
                <c:pt idx="2">
                  <c:v>19.170000000000002</c:v>
                </c:pt>
                <c:pt idx="3">
                  <c:v>15</c:v>
                </c:pt>
                <c:pt idx="4">
                  <c:v>15</c:v>
                </c:pt>
                <c:pt idx="5">
                  <c:v>22.5</c:v>
                </c:pt>
              </c:numCache>
            </c:numRef>
          </c:val>
          <c:extLst>
            <c:ext xmlns:c16="http://schemas.microsoft.com/office/drawing/2014/chart" uri="{C3380CC4-5D6E-409C-BE32-E72D297353CC}">
              <c16:uniqueId val="{00000000-A3D0-4FEE-A044-7B73146F60FF}"/>
            </c:ext>
          </c:extLst>
        </c:ser>
        <c:ser>
          <c:idx val="1"/>
          <c:order val="1"/>
          <c:tx>
            <c:strRef>
              <c:f>Feuil1!$C$94</c:f>
              <c:strCache>
                <c:ptCount val="1"/>
                <c:pt idx="0">
                  <c:v>Mean amount of carbon/ha in USD</c:v>
                </c:pt>
              </c:strCache>
            </c:strRef>
          </c:tx>
          <c:spPr>
            <a:solidFill>
              <a:schemeClr val="accent2"/>
            </a:solidFill>
            <a:ln>
              <a:noFill/>
            </a:ln>
            <a:effectLst/>
          </c:spPr>
          <c:invertIfNegative val="0"/>
          <c:cat>
            <c:strRef>
              <c:f>Feuil1!$A$95:$A$100</c:f>
              <c:strCache>
                <c:ptCount val="6"/>
                <c:pt idx="0">
                  <c:v>North Africa</c:v>
                </c:pt>
                <c:pt idx="1">
                  <c:v>West Africa (Sahel)</c:v>
                </c:pt>
                <c:pt idx="2">
                  <c:v>West Africa (Humid/Sub-humid)</c:v>
                </c:pt>
                <c:pt idx="3">
                  <c:v>East Africa</c:v>
                </c:pt>
                <c:pt idx="4">
                  <c:v>Central Africa</c:v>
                </c:pt>
                <c:pt idx="5">
                  <c:v>Southern Africa</c:v>
                </c:pt>
              </c:strCache>
            </c:strRef>
          </c:cat>
          <c:val>
            <c:numRef>
              <c:f>Feuil1!$C$95:$C$100</c:f>
              <c:numCache>
                <c:formatCode>General</c:formatCode>
                <c:ptCount val="6"/>
                <c:pt idx="0">
                  <c:v>21.875</c:v>
                </c:pt>
                <c:pt idx="1">
                  <c:v>12.75</c:v>
                </c:pt>
                <c:pt idx="2">
                  <c:v>43.75</c:v>
                </c:pt>
                <c:pt idx="3">
                  <c:v>59.5</c:v>
                </c:pt>
                <c:pt idx="4">
                  <c:v>90</c:v>
                </c:pt>
                <c:pt idx="5">
                  <c:v>30.625</c:v>
                </c:pt>
              </c:numCache>
            </c:numRef>
          </c:val>
          <c:extLst>
            <c:ext xmlns:c16="http://schemas.microsoft.com/office/drawing/2014/chart" uri="{C3380CC4-5D6E-409C-BE32-E72D297353CC}">
              <c16:uniqueId val="{00000001-A3D0-4FEE-A044-7B73146F60FF}"/>
            </c:ext>
          </c:extLst>
        </c:ser>
        <c:ser>
          <c:idx val="2"/>
          <c:order val="2"/>
          <c:tx>
            <c:strRef>
              <c:f>Feuil1!$D$94</c:f>
              <c:strCache>
                <c:ptCount val="1"/>
                <c:pt idx="0">
                  <c:v>Defference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Feuil1!$A$95:$A$100</c:f>
              <c:strCache>
                <c:ptCount val="6"/>
                <c:pt idx="0">
                  <c:v>North Africa</c:v>
                </c:pt>
                <c:pt idx="1">
                  <c:v>West Africa (Sahel)</c:v>
                </c:pt>
                <c:pt idx="2">
                  <c:v>West Africa (Humid/Sub-humid)</c:v>
                </c:pt>
                <c:pt idx="3">
                  <c:v>East Africa</c:v>
                </c:pt>
                <c:pt idx="4">
                  <c:v>Central Africa</c:v>
                </c:pt>
                <c:pt idx="5">
                  <c:v>Southern Africa</c:v>
                </c:pt>
              </c:strCache>
            </c:strRef>
          </c:cat>
          <c:val>
            <c:numRef>
              <c:f>Feuil1!$D$95:$D$100</c:f>
              <c:numCache>
                <c:formatCode>General</c:formatCode>
                <c:ptCount val="6"/>
                <c:pt idx="0">
                  <c:v>-2.7049999999999983</c:v>
                </c:pt>
                <c:pt idx="1">
                  <c:v>6.4200000000000017</c:v>
                </c:pt>
                <c:pt idx="2">
                  <c:v>-24.58</c:v>
                </c:pt>
                <c:pt idx="3">
                  <c:v>-44.5</c:v>
                </c:pt>
                <c:pt idx="4">
                  <c:v>-75</c:v>
                </c:pt>
                <c:pt idx="5">
                  <c:v>-8.125</c:v>
                </c:pt>
              </c:numCache>
            </c:numRef>
          </c:val>
          <c:extLst>
            <c:ext xmlns:c16="http://schemas.microsoft.com/office/drawing/2014/chart" uri="{C3380CC4-5D6E-409C-BE32-E72D297353CC}">
              <c16:uniqueId val="{00000002-A3D0-4FEE-A044-7B73146F60FF}"/>
            </c:ext>
          </c:extLst>
        </c:ser>
        <c:dLbls>
          <c:showLegendKey val="0"/>
          <c:showVal val="0"/>
          <c:showCatName val="0"/>
          <c:showSerName val="0"/>
          <c:showPercent val="0"/>
          <c:showBubbleSize val="0"/>
        </c:dLbls>
        <c:gapWidth val="219"/>
        <c:overlap val="-27"/>
        <c:axId val="1990254992"/>
        <c:axId val="1990241552"/>
      </c:barChart>
      <c:catAx>
        <c:axId val="199025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241552"/>
        <c:crosses val="autoZero"/>
        <c:auto val="1"/>
        <c:lblAlgn val="ctr"/>
        <c:lblOffset val="100"/>
        <c:noMultiLvlLbl val="0"/>
      </c:catAx>
      <c:valAx>
        <c:axId val="19902415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25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182B-B041-4CC1-B794-40C0AF1B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17</Pages>
  <Words>6751</Words>
  <Characters>38481</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NEYA, TIGA</dc:creator>
  <cp:keywords/>
  <dc:description/>
  <cp:lastModifiedBy>SDI 1084</cp:lastModifiedBy>
  <cp:revision>72</cp:revision>
  <dcterms:created xsi:type="dcterms:W3CDTF">2025-06-12T10:06:00Z</dcterms:created>
  <dcterms:modified xsi:type="dcterms:W3CDTF">2025-10-16T09:46:00Z</dcterms:modified>
</cp:coreProperties>
</file>