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BB50A" w14:textId="77777777" w:rsidR="003B471A" w:rsidRDefault="003B471A" w:rsidP="00C36BCC">
      <w:pPr>
        <w:pStyle w:val="Heading2"/>
        <w:spacing w:before="0" w:line="240" w:lineRule="auto"/>
        <w:jc w:val="right"/>
        <w:rPr>
          <w:rFonts w:ascii="Arial" w:hAnsi="Arial" w:cs="Arial"/>
          <w:color w:val="auto"/>
          <w:sz w:val="36"/>
          <w:szCs w:val="36"/>
        </w:rPr>
      </w:pPr>
      <w:r w:rsidRPr="003B471A">
        <w:rPr>
          <w:rFonts w:ascii="Arial" w:hAnsi="Arial" w:cs="Arial"/>
          <w:color w:val="auto"/>
          <w:sz w:val="36"/>
          <w:szCs w:val="36"/>
        </w:rPr>
        <w:t xml:space="preserve">Review Article </w:t>
      </w:r>
    </w:p>
    <w:p w14:paraId="758D237C" w14:textId="77777777" w:rsidR="003B471A" w:rsidRDefault="003B471A" w:rsidP="00C36BCC">
      <w:pPr>
        <w:pStyle w:val="Heading2"/>
        <w:spacing w:before="0" w:line="240" w:lineRule="auto"/>
        <w:jc w:val="right"/>
        <w:rPr>
          <w:rFonts w:ascii="Arial" w:hAnsi="Arial" w:cs="Arial"/>
          <w:color w:val="auto"/>
          <w:sz w:val="36"/>
          <w:szCs w:val="36"/>
        </w:rPr>
      </w:pPr>
    </w:p>
    <w:p w14:paraId="115C8683" w14:textId="555D40D6" w:rsidR="00084AF7" w:rsidRPr="00C36BCC" w:rsidRDefault="00084AF7" w:rsidP="00C36BCC">
      <w:pPr>
        <w:pStyle w:val="Heading2"/>
        <w:spacing w:before="0" w:line="240" w:lineRule="auto"/>
        <w:jc w:val="right"/>
        <w:rPr>
          <w:rFonts w:ascii="Arial" w:hAnsi="Arial" w:cs="Arial"/>
          <w:color w:val="auto"/>
          <w:sz w:val="36"/>
          <w:szCs w:val="36"/>
        </w:rPr>
      </w:pPr>
      <w:r w:rsidRPr="00C36BCC">
        <w:rPr>
          <w:rFonts w:ascii="Arial" w:hAnsi="Arial" w:cs="Arial"/>
          <w:color w:val="auto"/>
          <w:sz w:val="36"/>
          <w:szCs w:val="36"/>
        </w:rPr>
        <w:t>An appraisal of the ecology and socio-economic implication</w:t>
      </w:r>
      <w:r w:rsidR="001216FD" w:rsidRPr="00C36BCC">
        <w:rPr>
          <w:rFonts w:ascii="Arial" w:hAnsi="Arial" w:cs="Arial"/>
          <w:color w:val="auto"/>
          <w:sz w:val="36"/>
          <w:szCs w:val="36"/>
        </w:rPr>
        <w:t>s</w:t>
      </w:r>
      <w:r w:rsidRPr="00C36BCC">
        <w:rPr>
          <w:rFonts w:ascii="Arial" w:hAnsi="Arial" w:cs="Arial"/>
          <w:color w:val="auto"/>
          <w:sz w:val="36"/>
          <w:szCs w:val="36"/>
        </w:rPr>
        <w:t xml:space="preserve"> of traditionally managed Trees Outside Forest</w:t>
      </w:r>
      <w:r w:rsidR="001216FD" w:rsidRPr="00C36BCC">
        <w:rPr>
          <w:rFonts w:ascii="Arial" w:hAnsi="Arial" w:cs="Arial"/>
          <w:color w:val="auto"/>
          <w:sz w:val="36"/>
          <w:szCs w:val="36"/>
        </w:rPr>
        <w:t>s</w:t>
      </w:r>
      <w:r w:rsidR="00FA5F9E">
        <w:rPr>
          <w:rFonts w:ascii="Arial" w:hAnsi="Arial" w:cs="Arial"/>
          <w:color w:val="auto"/>
          <w:sz w:val="36"/>
          <w:szCs w:val="36"/>
        </w:rPr>
        <w:t xml:space="preserve"> </w:t>
      </w:r>
      <w:r w:rsidR="001216FD" w:rsidRPr="00C36BCC">
        <w:rPr>
          <w:rFonts w:ascii="Arial" w:hAnsi="Arial" w:cs="Arial"/>
          <w:color w:val="auto"/>
          <w:sz w:val="36"/>
          <w:szCs w:val="36"/>
        </w:rPr>
        <w:t>(TOF</w:t>
      </w:r>
      <w:r w:rsidR="00387384">
        <w:rPr>
          <w:rFonts w:ascii="Arial" w:hAnsi="Arial" w:cs="Arial"/>
          <w:color w:val="auto"/>
          <w:sz w:val="36"/>
          <w:szCs w:val="36"/>
        </w:rPr>
        <w:t>s</w:t>
      </w:r>
      <w:r w:rsidR="001216FD" w:rsidRPr="00C36BCC">
        <w:rPr>
          <w:rFonts w:ascii="Arial" w:hAnsi="Arial" w:cs="Arial"/>
          <w:color w:val="auto"/>
          <w:sz w:val="36"/>
          <w:szCs w:val="36"/>
        </w:rPr>
        <w:t xml:space="preserve">) </w:t>
      </w:r>
      <w:r w:rsidRPr="00C36BCC">
        <w:rPr>
          <w:rFonts w:ascii="Arial" w:hAnsi="Arial" w:cs="Arial"/>
          <w:color w:val="auto"/>
          <w:sz w:val="36"/>
          <w:szCs w:val="36"/>
        </w:rPr>
        <w:t>in North East India</w:t>
      </w:r>
    </w:p>
    <w:p w14:paraId="25A10DEF" w14:textId="77777777" w:rsidR="00084AF7" w:rsidRPr="00761F9B" w:rsidRDefault="00084AF7" w:rsidP="001216FD">
      <w:pPr>
        <w:pStyle w:val="Heading2"/>
        <w:spacing w:before="0" w:line="360" w:lineRule="auto"/>
        <w:jc w:val="right"/>
        <w:rPr>
          <w:rFonts w:ascii="Arial" w:hAnsi="Arial" w:cs="Arial"/>
          <w:b w:val="0"/>
          <w:color w:val="auto"/>
          <w:sz w:val="20"/>
          <w:szCs w:val="20"/>
        </w:rPr>
      </w:pPr>
    </w:p>
    <w:p w14:paraId="1C06ABDE" w14:textId="77777777" w:rsidR="008D213D" w:rsidRDefault="008D213D" w:rsidP="001216FD">
      <w:pPr>
        <w:spacing w:after="0" w:line="360" w:lineRule="auto"/>
        <w:ind w:firstLine="720"/>
        <w:jc w:val="right"/>
        <w:rPr>
          <w:rFonts w:ascii="Arial" w:hAnsi="Arial" w:cs="Arial"/>
          <w:color w:val="FF0000"/>
          <w:sz w:val="20"/>
          <w:szCs w:val="20"/>
          <w:shd w:val="clear" w:color="auto" w:fill="FFFFFF"/>
        </w:rPr>
      </w:pPr>
    </w:p>
    <w:p w14:paraId="65789EA6" w14:textId="188AB321" w:rsidR="00FE024D" w:rsidRPr="005A72E1" w:rsidRDefault="006A688F" w:rsidP="001216FD">
      <w:pPr>
        <w:spacing w:after="0" w:line="360" w:lineRule="auto"/>
        <w:ind w:firstLine="720"/>
        <w:jc w:val="right"/>
        <w:rPr>
          <w:rFonts w:ascii="Arial" w:hAnsi="Arial" w:cs="Arial"/>
          <w:color w:val="FF0000"/>
          <w:sz w:val="20"/>
          <w:szCs w:val="20"/>
          <w:shd w:val="clear" w:color="auto" w:fill="FFFFFF"/>
        </w:rPr>
      </w:pPr>
      <w:r>
        <w:rPr>
          <w:rFonts w:ascii="Arial" w:hAnsi="Arial" w:cs="Arial"/>
          <w:noProof/>
          <w:color w:val="FF0000"/>
          <w:sz w:val="20"/>
          <w:szCs w:val="20"/>
        </w:rPr>
        <w:pict w14:anchorId="204675D9">
          <v:shapetype id="_x0000_t32" coordsize="21600,21600" o:spt="32" o:oned="t" path="m,l21600,21600e" filled="f">
            <v:path arrowok="t" fillok="f" o:connecttype="none"/>
            <o:lock v:ext="edit" shapetype="t"/>
          </v:shapetype>
          <v:shape id="_x0000_s1026" type="#_x0000_t32" style="position:absolute;left:0;text-align:left;margin-left:.5pt;margin-top:5.1pt;width:466.15pt;height:.4pt;flip:y;z-index:251658240;mso-position-horizontal-relative:text;mso-position-vertical-relative:text" o:connectortype="straight" strokeweight="1.5pt"/>
        </w:pict>
      </w:r>
    </w:p>
    <w:p w14:paraId="2E88BCEA" w14:textId="143F0655" w:rsidR="0059778F" w:rsidRDefault="00453EA8" w:rsidP="0059778F">
      <w:pPr>
        <w:spacing w:after="0" w:line="360" w:lineRule="auto"/>
        <w:jc w:val="both"/>
        <w:rPr>
          <w:rFonts w:ascii="Arial" w:hAnsi="Arial" w:cs="Arial"/>
          <w:b/>
        </w:rPr>
      </w:pPr>
      <w:r w:rsidRPr="00761F9B">
        <w:rPr>
          <w:rFonts w:ascii="Arial" w:hAnsi="Arial" w:cs="Arial"/>
          <w:b/>
        </w:rPr>
        <w:t>ABSTRACT</w:t>
      </w:r>
    </w:p>
    <w:p w14:paraId="77139CF9" w14:textId="570C0FE8" w:rsidR="00831937" w:rsidRDefault="006A688F" w:rsidP="0059778F">
      <w:pPr>
        <w:spacing w:after="0" w:line="360" w:lineRule="auto"/>
        <w:jc w:val="both"/>
        <w:rPr>
          <w:rFonts w:ascii="Arial" w:hAnsi="Arial" w:cs="Arial"/>
          <w:b/>
        </w:rPr>
      </w:pPr>
      <w:r>
        <w:rPr>
          <w:rFonts w:ascii="Arial" w:hAnsi="Arial" w:cs="Arial"/>
          <w:b/>
          <w:noProof/>
        </w:rPr>
        <w:pict w14:anchorId="04CB2C79">
          <v:rect id="_x0000_s1027" style="position:absolute;left:0;text-align:left;margin-left:.7pt;margin-top:1.45pt;width:466.95pt;height:169.1pt;z-index:251659264;mso-position-horizontal:absolute;mso-position-horizontal-relative:text;mso-position-vertical:absolute;mso-position-vertical-relative:text" fillcolor="#f2f2f2 [3052]">
            <v:textbox style="mso-next-textbox:#_x0000_s1027">
              <w:txbxContent>
                <w:p w14:paraId="5CE7705B" w14:textId="4572F0C4" w:rsidR="00831937" w:rsidRPr="0059778F" w:rsidRDefault="00831937" w:rsidP="0065349F">
                  <w:pPr>
                    <w:spacing w:after="0" w:line="240" w:lineRule="auto"/>
                    <w:jc w:val="both"/>
                    <w:rPr>
                      <w:rFonts w:ascii="Arial" w:hAnsi="Arial" w:cs="Arial"/>
                      <w:b/>
                    </w:rPr>
                  </w:pPr>
                  <w:r w:rsidRPr="00761F9B">
                    <w:rPr>
                      <w:rFonts w:ascii="Arial" w:eastAsiaTheme="majorEastAsia" w:hAnsi="Arial" w:cs="Arial"/>
                      <w:bCs/>
                      <w:sz w:val="20"/>
                      <w:szCs w:val="20"/>
                      <w:lang w:val="en-IN"/>
                    </w:rPr>
                    <w:t xml:space="preserve">Trees outside forest (TOF) have ample ecological and socio-economic importance in terms of </w:t>
                  </w:r>
                  <w:proofErr w:type="spellStart"/>
                  <w:r w:rsidRPr="00761F9B">
                    <w:rPr>
                      <w:rFonts w:ascii="Arial" w:eastAsiaTheme="majorEastAsia" w:hAnsi="Arial" w:cs="Arial"/>
                      <w:bCs/>
                      <w:sz w:val="20"/>
                      <w:szCs w:val="20"/>
                      <w:lang w:val="en-IN"/>
                    </w:rPr>
                    <w:t>phyto</w:t>
                  </w:r>
                  <w:proofErr w:type="spellEnd"/>
                  <w:r w:rsidRPr="00761F9B">
                    <w:rPr>
                      <w:rFonts w:ascii="Arial" w:eastAsiaTheme="majorEastAsia" w:hAnsi="Arial" w:cs="Arial"/>
                      <w:bCs/>
                      <w:sz w:val="20"/>
                      <w:szCs w:val="20"/>
                      <w:lang w:val="en-IN"/>
                    </w:rPr>
                    <w:t xml:space="preserve">-diversity, timber and </w:t>
                  </w:r>
                  <w:r w:rsidRPr="00761F9B">
                    <w:rPr>
                      <w:rFonts w:ascii="Arial" w:hAnsi="Arial" w:cs="Arial"/>
                      <w:sz w:val="20"/>
                      <w:szCs w:val="20"/>
                    </w:rPr>
                    <w:t xml:space="preserve">non-timber forest products (NTFPs), </w:t>
                  </w:r>
                  <w:r w:rsidRPr="00761F9B">
                    <w:rPr>
                      <w:rFonts w:ascii="Arial" w:eastAsiaTheme="majorEastAsia" w:hAnsi="Arial" w:cs="Arial"/>
                      <w:bCs/>
                      <w:sz w:val="20"/>
                      <w:szCs w:val="20"/>
                      <w:lang w:val="en-IN"/>
                    </w:rPr>
                    <w:t xml:space="preserve">carbon sequestration, regulation of local climate and livelihood benefits. </w:t>
                  </w:r>
                  <w:r w:rsidR="00D403DD" w:rsidRPr="00D403DD">
                    <w:rPr>
                      <w:rFonts w:ascii="Arial" w:eastAsiaTheme="majorEastAsia" w:hAnsi="Arial" w:cs="Arial"/>
                      <w:bCs/>
                      <w:sz w:val="20"/>
                      <w:szCs w:val="20"/>
                      <w:lang w:val="en-IN"/>
                    </w:rPr>
                    <w:t>An analysis of research on various TOFs in Northeast India over the past ~35 years (1990–2025) reveals a steady increase in the number of publications. Traditionally managed TOFs commonly include home gardens, sacred groves, village community forests, and similar systems</w:t>
                  </w:r>
                  <w:r w:rsidR="00D403DD">
                    <w:rPr>
                      <w:rFonts w:ascii="Arial" w:eastAsiaTheme="majorEastAsia" w:hAnsi="Arial" w:cs="Arial"/>
                      <w:bCs/>
                      <w:sz w:val="20"/>
                      <w:szCs w:val="20"/>
                      <w:lang w:val="en-IN"/>
                    </w:rPr>
                    <w:t xml:space="preserve">. </w:t>
                  </w:r>
                  <w:r w:rsidRPr="00761F9B">
                    <w:rPr>
                      <w:rFonts w:ascii="Arial" w:hAnsi="Arial" w:cs="Arial"/>
                      <w:sz w:val="20"/>
                      <w:szCs w:val="20"/>
                    </w:rPr>
                    <w:t>The total area under TOFs in North East India is 32,110 km</w:t>
                  </w:r>
                  <w:r w:rsidRPr="00761F9B">
                    <w:rPr>
                      <w:rFonts w:ascii="Arial" w:hAnsi="Arial" w:cs="Arial"/>
                      <w:sz w:val="20"/>
                      <w:szCs w:val="20"/>
                      <w:vertAlign w:val="superscript"/>
                    </w:rPr>
                    <w:t>2</w:t>
                  </w:r>
                  <w:r w:rsidRPr="00761F9B">
                    <w:rPr>
                      <w:rFonts w:ascii="Arial" w:hAnsi="Arial" w:cs="Arial"/>
                      <w:sz w:val="20"/>
                      <w:szCs w:val="20"/>
                    </w:rPr>
                    <w:t xml:space="preserve"> where Assam and Arunachal Pradesh are having the maximum area. </w:t>
                  </w:r>
                  <w:r w:rsidRPr="00761F9B">
                    <w:rPr>
                      <w:rFonts w:ascii="Arial" w:eastAsiaTheme="majorEastAsia" w:hAnsi="Arial" w:cs="Arial"/>
                      <w:bCs/>
                      <w:sz w:val="20"/>
                      <w:szCs w:val="20"/>
                      <w:lang w:val="en-IN"/>
                    </w:rPr>
                    <w:t xml:space="preserve">Home gardens are a form of traditional </w:t>
                  </w:r>
                  <w:proofErr w:type="spellStart"/>
                  <w:r w:rsidRPr="00761F9B">
                    <w:rPr>
                      <w:rFonts w:ascii="Arial" w:eastAsiaTheme="majorEastAsia" w:hAnsi="Arial" w:cs="Arial"/>
                      <w:bCs/>
                      <w:sz w:val="20"/>
                      <w:szCs w:val="20"/>
                      <w:lang w:val="en-IN"/>
                    </w:rPr>
                    <w:t>agro</w:t>
                  </w:r>
                  <w:proofErr w:type="spellEnd"/>
                  <w:r w:rsidRPr="00761F9B">
                    <w:rPr>
                      <w:rFonts w:ascii="Arial" w:eastAsiaTheme="majorEastAsia" w:hAnsi="Arial" w:cs="Arial"/>
                      <w:bCs/>
                      <w:sz w:val="20"/>
                      <w:szCs w:val="20"/>
                      <w:lang w:val="en-IN"/>
                    </w:rPr>
                    <w:t xml:space="preserve">-forestry systems conspicuously prevalent in the North East Indian rural landscape. Sacred groves are mostly confined to Manipur followed </w:t>
                  </w:r>
                  <w:r w:rsidRPr="00761F9B">
                    <w:rPr>
                      <w:rFonts w:ascii="Arial" w:hAnsi="Arial" w:cs="Arial"/>
                      <w:iCs/>
                      <w:sz w:val="20"/>
                      <w:szCs w:val="20"/>
                    </w:rPr>
                    <w:t xml:space="preserve">by </w:t>
                  </w:r>
                  <w:r w:rsidRPr="00761F9B">
                    <w:rPr>
                      <w:rFonts w:ascii="Arial" w:eastAsiaTheme="majorEastAsia" w:hAnsi="Arial" w:cs="Arial"/>
                      <w:bCs/>
                      <w:sz w:val="20"/>
                      <w:szCs w:val="20"/>
                      <w:lang w:val="en-IN"/>
                    </w:rPr>
                    <w:t>Meghalaya, Aru</w:t>
                  </w:r>
                  <w:r>
                    <w:rPr>
                      <w:rFonts w:ascii="Arial" w:eastAsiaTheme="majorEastAsia" w:hAnsi="Arial" w:cs="Arial"/>
                      <w:bCs/>
                      <w:sz w:val="20"/>
                      <w:szCs w:val="20"/>
                      <w:lang w:val="en-IN"/>
                    </w:rPr>
                    <w:t xml:space="preserve">nachal Pradesh and other states. </w:t>
                  </w:r>
                  <w:r w:rsidRPr="0020269D">
                    <w:rPr>
                      <w:rFonts w:ascii="Arial" w:hAnsi="Arial" w:cs="Arial"/>
                      <w:sz w:val="20"/>
                      <w:szCs w:val="20"/>
                    </w:rPr>
                    <w:t>Village community forests are fragmented remnants of natural forests that are conserved and managed by local communities in rural areas.</w:t>
                  </w:r>
                  <w:r>
                    <w:rPr>
                      <w:rFonts w:ascii="Arial" w:hAnsi="Arial" w:cs="Arial"/>
                      <w:sz w:val="20"/>
                      <w:szCs w:val="20"/>
                    </w:rPr>
                    <w:t xml:space="preserve"> </w:t>
                  </w:r>
                  <w:r w:rsidR="00D403DD" w:rsidRPr="00D403DD">
                    <w:rPr>
                      <w:rFonts w:ascii="Arial" w:eastAsiaTheme="majorEastAsia" w:hAnsi="Arial" w:cs="Arial"/>
                      <w:bCs/>
                      <w:sz w:val="20"/>
                      <w:szCs w:val="20"/>
                      <w:lang w:val="en-IN"/>
                    </w:rPr>
                    <w:t>The preservation of these TOFs through socio-ecological system</w:t>
                  </w:r>
                  <w:r w:rsidR="00D403DD">
                    <w:rPr>
                      <w:rFonts w:ascii="Arial" w:eastAsiaTheme="majorEastAsia" w:hAnsi="Arial" w:cs="Arial"/>
                      <w:bCs/>
                      <w:sz w:val="20"/>
                      <w:szCs w:val="20"/>
                      <w:lang w:val="en-IN"/>
                    </w:rPr>
                    <w:t>-</w:t>
                  </w:r>
                  <w:r w:rsidR="00D403DD" w:rsidRPr="00D403DD">
                    <w:rPr>
                      <w:rFonts w:ascii="Arial" w:eastAsiaTheme="majorEastAsia" w:hAnsi="Arial" w:cs="Arial"/>
                      <w:bCs/>
                      <w:sz w:val="20"/>
                      <w:szCs w:val="20"/>
                      <w:lang w:val="en-IN"/>
                    </w:rPr>
                    <w:t>specific approaches is essential for biodiversity conservation, as they serve as reservoirs of numerous endemic species in the region.</w:t>
                  </w:r>
                  <w:r w:rsidR="00D403DD">
                    <w:rPr>
                      <w:rFonts w:ascii="Arial" w:eastAsiaTheme="majorEastAsia" w:hAnsi="Arial" w:cs="Arial"/>
                      <w:bCs/>
                      <w:sz w:val="20"/>
                      <w:szCs w:val="20"/>
                      <w:lang w:val="en-IN"/>
                    </w:rPr>
                    <w:t xml:space="preserve"> </w:t>
                  </w:r>
                  <w:r w:rsidRPr="00761F9B">
                    <w:rPr>
                      <w:rFonts w:ascii="Arial" w:eastAsiaTheme="majorEastAsia" w:hAnsi="Arial" w:cs="Arial"/>
                      <w:bCs/>
                      <w:sz w:val="20"/>
                      <w:szCs w:val="20"/>
                      <w:lang w:val="en-IN"/>
                    </w:rPr>
                    <w:t xml:space="preserve">A holistic study covering all TOFs in ecological and socio-economic perspective is thus indispensable. </w:t>
                  </w:r>
                </w:p>
                <w:p w14:paraId="77D9950F" w14:textId="35CE38F6" w:rsidR="00831937" w:rsidRDefault="00831937" w:rsidP="00831937">
                  <w:pPr>
                    <w:jc w:val="both"/>
                  </w:pPr>
                </w:p>
              </w:txbxContent>
            </v:textbox>
          </v:rect>
        </w:pict>
      </w:r>
    </w:p>
    <w:p w14:paraId="4D1E9C56" w14:textId="77777777" w:rsidR="00831937" w:rsidRDefault="00831937" w:rsidP="0059778F">
      <w:pPr>
        <w:spacing w:after="0" w:line="360" w:lineRule="auto"/>
        <w:jc w:val="both"/>
        <w:rPr>
          <w:rFonts w:ascii="Arial" w:hAnsi="Arial" w:cs="Arial"/>
          <w:b/>
        </w:rPr>
      </w:pPr>
    </w:p>
    <w:p w14:paraId="4FF3F911" w14:textId="77777777" w:rsidR="00831937" w:rsidRDefault="00831937" w:rsidP="0059778F">
      <w:pPr>
        <w:spacing w:after="0" w:line="360" w:lineRule="auto"/>
        <w:jc w:val="both"/>
        <w:rPr>
          <w:rFonts w:ascii="Arial" w:hAnsi="Arial" w:cs="Arial"/>
          <w:b/>
        </w:rPr>
      </w:pPr>
    </w:p>
    <w:p w14:paraId="66EA8614" w14:textId="77777777" w:rsidR="00831937" w:rsidRDefault="00831937" w:rsidP="0059778F">
      <w:pPr>
        <w:spacing w:after="0" w:line="360" w:lineRule="auto"/>
        <w:jc w:val="both"/>
        <w:rPr>
          <w:rFonts w:ascii="Arial" w:hAnsi="Arial" w:cs="Arial"/>
          <w:b/>
        </w:rPr>
      </w:pPr>
    </w:p>
    <w:p w14:paraId="390B321C" w14:textId="77777777" w:rsidR="00831937" w:rsidRDefault="00831937" w:rsidP="0059778F">
      <w:pPr>
        <w:spacing w:after="0" w:line="360" w:lineRule="auto"/>
        <w:jc w:val="both"/>
        <w:rPr>
          <w:rFonts w:ascii="Arial" w:hAnsi="Arial" w:cs="Arial"/>
          <w:b/>
        </w:rPr>
      </w:pPr>
    </w:p>
    <w:p w14:paraId="504E2A35" w14:textId="77777777" w:rsidR="00831937" w:rsidRDefault="00831937" w:rsidP="0059778F">
      <w:pPr>
        <w:spacing w:after="0" w:line="360" w:lineRule="auto"/>
        <w:jc w:val="both"/>
        <w:rPr>
          <w:rFonts w:ascii="Arial" w:hAnsi="Arial" w:cs="Arial"/>
          <w:b/>
        </w:rPr>
      </w:pPr>
    </w:p>
    <w:p w14:paraId="1EB6F3B0" w14:textId="77777777" w:rsidR="00831937" w:rsidRDefault="00831937" w:rsidP="0059778F">
      <w:pPr>
        <w:spacing w:after="0" w:line="360" w:lineRule="auto"/>
        <w:jc w:val="both"/>
        <w:rPr>
          <w:rFonts w:ascii="Arial" w:hAnsi="Arial" w:cs="Arial"/>
          <w:b/>
        </w:rPr>
      </w:pPr>
    </w:p>
    <w:p w14:paraId="442EC385" w14:textId="77777777" w:rsidR="00831937" w:rsidRDefault="00831937" w:rsidP="0059778F">
      <w:pPr>
        <w:spacing w:after="0" w:line="360" w:lineRule="auto"/>
        <w:jc w:val="both"/>
        <w:rPr>
          <w:rFonts w:ascii="Arial" w:hAnsi="Arial" w:cs="Arial"/>
          <w:b/>
        </w:rPr>
      </w:pPr>
    </w:p>
    <w:p w14:paraId="608485C0" w14:textId="77777777" w:rsidR="00831937" w:rsidRDefault="00831937" w:rsidP="0059778F">
      <w:pPr>
        <w:spacing w:after="0" w:line="360" w:lineRule="auto"/>
        <w:jc w:val="both"/>
        <w:rPr>
          <w:rFonts w:ascii="Arial" w:hAnsi="Arial" w:cs="Arial"/>
          <w:b/>
        </w:rPr>
      </w:pPr>
    </w:p>
    <w:p w14:paraId="594C5AF3" w14:textId="77777777" w:rsidR="003F07BF" w:rsidRDefault="003F07BF" w:rsidP="001216FD">
      <w:pPr>
        <w:pStyle w:val="Heading2"/>
        <w:spacing w:before="0" w:line="360" w:lineRule="auto"/>
        <w:jc w:val="both"/>
        <w:rPr>
          <w:rFonts w:ascii="Arial" w:hAnsi="Arial" w:cs="Arial"/>
          <w:b w:val="0"/>
          <w:i/>
          <w:color w:val="auto"/>
          <w:sz w:val="20"/>
          <w:szCs w:val="20"/>
        </w:rPr>
      </w:pPr>
    </w:p>
    <w:p w14:paraId="2249EAC9" w14:textId="6A299BD6" w:rsidR="00084AF7" w:rsidRDefault="00084AF7" w:rsidP="001216FD">
      <w:pPr>
        <w:pStyle w:val="Heading2"/>
        <w:spacing w:before="0" w:line="360" w:lineRule="auto"/>
        <w:jc w:val="both"/>
        <w:rPr>
          <w:rFonts w:ascii="Arial" w:hAnsi="Arial" w:cs="Arial"/>
          <w:b w:val="0"/>
          <w:i/>
          <w:color w:val="auto"/>
          <w:sz w:val="20"/>
          <w:szCs w:val="20"/>
        </w:rPr>
      </w:pPr>
      <w:r w:rsidRPr="0041352C">
        <w:rPr>
          <w:rFonts w:ascii="Arial" w:hAnsi="Arial" w:cs="Arial"/>
          <w:b w:val="0"/>
          <w:i/>
          <w:color w:val="auto"/>
          <w:sz w:val="20"/>
          <w:szCs w:val="20"/>
        </w:rPr>
        <w:t>Keywords:</w:t>
      </w:r>
      <w:r w:rsidR="00C44630">
        <w:rPr>
          <w:rFonts w:ascii="Arial" w:hAnsi="Arial" w:cs="Arial"/>
          <w:b w:val="0"/>
          <w:i/>
          <w:color w:val="auto"/>
          <w:sz w:val="20"/>
          <w:szCs w:val="20"/>
        </w:rPr>
        <w:t xml:space="preserve"> </w:t>
      </w:r>
      <w:r w:rsidRPr="0041352C">
        <w:rPr>
          <w:rFonts w:ascii="Arial" w:hAnsi="Arial" w:cs="Arial"/>
          <w:b w:val="0"/>
          <w:i/>
          <w:color w:val="auto"/>
          <w:sz w:val="20"/>
          <w:szCs w:val="20"/>
        </w:rPr>
        <w:t>Home-gardens, Sacred groves, Phyto-sociology, Carbon sequestration, Livelihood</w:t>
      </w:r>
    </w:p>
    <w:p w14:paraId="61E7AD01" w14:textId="77777777" w:rsidR="005C0EB5" w:rsidRDefault="005C0EB5" w:rsidP="00E064AE">
      <w:pPr>
        <w:spacing w:line="240" w:lineRule="auto"/>
        <w:rPr>
          <w:rFonts w:ascii="Arial" w:hAnsi="Arial" w:cs="Arial"/>
          <w:b/>
          <w:bCs/>
        </w:rPr>
      </w:pPr>
    </w:p>
    <w:p w14:paraId="505F5281" w14:textId="5F6FDFC0" w:rsidR="00831937" w:rsidRPr="00831937" w:rsidRDefault="00831937" w:rsidP="00E064AE">
      <w:pPr>
        <w:spacing w:line="240" w:lineRule="auto"/>
        <w:rPr>
          <w:rFonts w:ascii="Arial" w:hAnsi="Arial" w:cs="Arial"/>
          <w:b/>
          <w:bCs/>
          <w:iCs/>
          <w:lang w:val="en-GB"/>
        </w:rPr>
      </w:pPr>
      <w:r w:rsidRPr="00831937">
        <w:rPr>
          <w:rFonts w:ascii="Arial" w:hAnsi="Arial" w:cs="Arial"/>
          <w:b/>
          <w:bCs/>
        </w:rPr>
        <w:t>1.</w:t>
      </w:r>
      <w:r>
        <w:rPr>
          <w:rFonts w:ascii="Arial" w:hAnsi="Arial" w:cs="Arial"/>
          <w:b/>
          <w:bCs/>
        </w:rPr>
        <w:t xml:space="preserve"> </w:t>
      </w:r>
      <w:r w:rsidR="0041352C" w:rsidRPr="00831937">
        <w:rPr>
          <w:rFonts w:ascii="Arial" w:hAnsi="Arial" w:cs="Arial"/>
          <w:b/>
          <w:bCs/>
        </w:rPr>
        <w:t>INTRODUCTION</w:t>
      </w:r>
    </w:p>
    <w:p w14:paraId="79DF8FF9" w14:textId="0A823E33" w:rsidR="000D1B6D" w:rsidRDefault="00D403DD" w:rsidP="00E064AE">
      <w:pPr>
        <w:spacing w:after="0" w:line="240" w:lineRule="auto"/>
        <w:jc w:val="both"/>
        <w:rPr>
          <w:rFonts w:ascii="Arial" w:hAnsi="Arial" w:cs="Arial"/>
          <w:sz w:val="20"/>
          <w:szCs w:val="20"/>
        </w:rPr>
      </w:pPr>
      <w:r w:rsidRPr="00D403DD">
        <w:rPr>
          <w:rFonts w:ascii="Arial" w:hAnsi="Arial" w:cs="Arial"/>
          <w:sz w:val="20"/>
          <w:szCs w:val="20"/>
        </w:rPr>
        <w:t>Trees Outside Forests (TOFs) are defined as 'trees on land not classified as forest or other wooded lands' (FAO, 1998), and as 'all tree crops outside designated forest areas, including tree cover smaller than 1 hectare as well as forest cover outside forest areas that may exceed</w:t>
      </w:r>
      <w:r>
        <w:rPr>
          <w:rFonts w:ascii="Arial" w:hAnsi="Arial" w:cs="Arial"/>
          <w:sz w:val="20"/>
          <w:szCs w:val="20"/>
        </w:rPr>
        <w:t xml:space="preserve"> </w:t>
      </w:r>
      <w:r w:rsidR="00084AF7" w:rsidRPr="0041352C">
        <w:rPr>
          <w:rFonts w:ascii="Arial" w:hAnsi="Arial" w:cs="Arial"/>
          <w:sz w:val="20"/>
          <w:szCs w:val="20"/>
        </w:rPr>
        <w:t>1 hectar</w:t>
      </w:r>
      <w:r>
        <w:rPr>
          <w:rFonts w:ascii="Arial" w:hAnsi="Arial" w:cs="Arial"/>
          <w:sz w:val="20"/>
          <w:szCs w:val="20"/>
        </w:rPr>
        <w:t>e</w:t>
      </w:r>
      <w:r w:rsidRPr="00D403DD">
        <w:rPr>
          <w:rFonts w:ascii="Arial" w:hAnsi="Arial" w:cs="Arial"/>
          <w:sz w:val="20"/>
          <w:szCs w:val="20"/>
        </w:rPr>
        <w:t>'</w:t>
      </w:r>
      <w:r w:rsidR="00084AF7" w:rsidRPr="0041352C">
        <w:rPr>
          <w:rFonts w:ascii="Arial" w:hAnsi="Arial" w:cs="Arial"/>
          <w:sz w:val="20"/>
          <w:szCs w:val="20"/>
        </w:rPr>
        <w:t xml:space="preserve"> (FSI, 2021). TOFs have much ecological and socio-economic significance in terms of biodiversity, timber products, NTFPs, carbon sequestration, regulation of climate and other benefits including livelihood </w:t>
      </w:r>
      <w:proofErr w:type="spellStart"/>
      <w:proofErr w:type="gramStart"/>
      <w:r w:rsidR="00084AF7" w:rsidRPr="0041352C">
        <w:rPr>
          <w:rFonts w:ascii="Arial" w:hAnsi="Arial" w:cs="Arial"/>
          <w:sz w:val="20"/>
          <w:szCs w:val="20"/>
        </w:rPr>
        <w:t>support.</w:t>
      </w:r>
      <w:r w:rsidR="00084AF7" w:rsidRPr="00EA7007">
        <w:rPr>
          <w:rFonts w:ascii="Arial" w:hAnsi="Arial" w:cs="Arial"/>
          <w:sz w:val="20"/>
          <w:szCs w:val="20"/>
        </w:rPr>
        <w:t>The</w:t>
      </w:r>
      <w:proofErr w:type="spellEnd"/>
      <w:proofErr w:type="gramEnd"/>
      <w:r w:rsidR="00084AF7" w:rsidRPr="00EA7007">
        <w:rPr>
          <w:rFonts w:ascii="Arial" w:hAnsi="Arial" w:cs="Arial"/>
          <w:sz w:val="20"/>
          <w:szCs w:val="20"/>
        </w:rPr>
        <w:t xml:space="preserve"> total extent of TOFs in North East India is 32,110 km</w:t>
      </w:r>
      <w:r w:rsidR="00084AF7" w:rsidRPr="00EA7007">
        <w:rPr>
          <w:rFonts w:ascii="Arial" w:hAnsi="Arial" w:cs="Arial"/>
          <w:sz w:val="20"/>
          <w:szCs w:val="20"/>
          <w:vertAlign w:val="superscript"/>
        </w:rPr>
        <w:t>2</w:t>
      </w:r>
      <w:r w:rsidR="00084AF7" w:rsidRPr="00EA7007">
        <w:rPr>
          <w:rFonts w:ascii="Arial" w:hAnsi="Arial" w:cs="Arial"/>
          <w:sz w:val="20"/>
          <w:szCs w:val="20"/>
        </w:rPr>
        <w:t>. Assam with a total of 9,939 km</w:t>
      </w:r>
      <w:r w:rsidR="00084AF7" w:rsidRPr="00EA7007">
        <w:rPr>
          <w:rFonts w:ascii="Arial" w:hAnsi="Arial" w:cs="Arial"/>
          <w:sz w:val="20"/>
          <w:szCs w:val="20"/>
          <w:vertAlign w:val="superscript"/>
        </w:rPr>
        <w:t>2</w:t>
      </w:r>
      <w:r w:rsidR="00084AF7" w:rsidRPr="00EA7007">
        <w:rPr>
          <w:rFonts w:ascii="Arial" w:hAnsi="Arial" w:cs="Arial"/>
          <w:sz w:val="20"/>
          <w:szCs w:val="20"/>
        </w:rPr>
        <w:t xml:space="preserve"> (12.67% of the total TOFs) is having highest area followed by Arunachal Pradesh (8,752 km</w:t>
      </w:r>
      <w:r w:rsidR="00084AF7" w:rsidRPr="00EA7007">
        <w:rPr>
          <w:rFonts w:ascii="Arial" w:hAnsi="Arial" w:cs="Arial"/>
          <w:sz w:val="20"/>
          <w:szCs w:val="20"/>
          <w:vertAlign w:val="superscript"/>
        </w:rPr>
        <w:t>2</w:t>
      </w:r>
      <w:r w:rsidR="00084AF7" w:rsidRPr="00EA7007">
        <w:rPr>
          <w:rFonts w:ascii="Arial" w:hAnsi="Arial" w:cs="Arial"/>
          <w:sz w:val="20"/>
          <w:szCs w:val="20"/>
        </w:rPr>
        <w:t>, 10.45%), Nagaland (3,988 km</w:t>
      </w:r>
      <w:r w:rsidR="00084AF7" w:rsidRPr="00EA7007">
        <w:rPr>
          <w:rFonts w:ascii="Arial" w:hAnsi="Arial" w:cs="Arial"/>
          <w:sz w:val="20"/>
          <w:szCs w:val="20"/>
          <w:vertAlign w:val="superscript"/>
        </w:rPr>
        <w:t>2</w:t>
      </w:r>
      <w:r w:rsidR="00084AF7" w:rsidRPr="00EA7007">
        <w:rPr>
          <w:rFonts w:ascii="Arial" w:hAnsi="Arial" w:cs="Arial"/>
          <w:sz w:val="20"/>
          <w:szCs w:val="20"/>
        </w:rPr>
        <w:t>, 24.05%), Meghalaya (2,946 km</w:t>
      </w:r>
      <w:r w:rsidR="00084AF7" w:rsidRPr="00EA7007">
        <w:rPr>
          <w:rFonts w:ascii="Arial" w:hAnsi="Arial" w:cs="Arial"/>
          <w:sz w:val="20"/>
          <w:szCs w:val="20"/>
          <w:vertAlign w:val="superscript"/>
        </w:rPr>
        <w:t>2</w:t>
      </w:r>
      <w:r w:rsidR="00084AF7" w:rsidRPr="00EA7007">
        <w:rPr>
          <w:rFonts w:ascii="Arial" w:hAnsi="Arial" w:cs="Arial"/>
          <w:sz w:val="20"/>
          <w:szCs w:val="20"/>
        </w:rPr>
        <w:t>, 13.13%), Tripura (2,517 km</w:t>
      </w:r>
      <w:r w:rsidR="00084AF7" w:rsidRPr="00EA7007">
        <w:rPr>
          <w:rFonts w:ascii="Arial" w:hAnsi="Arial" w:cs="Arial"/>
          <w:sz w:val="20"/>
          <w:szCs w:val="20"/>
          <w:vertAlign w:val="superscript"/>
        </w:rPr>
        <w:t>2</w:t>
      </w:r>
      <w:r w:rsidR="00084AF7" w:rsidRPr="00EA7007">
        <w:rPr>
          <w:rFonts w:ascii="Arial" w:hAnsi="Arial" w:cs="Arial"/>
          <w:sz w:val="20"/>
          <w:szCs w:val="20"/>
        </w:rPr>
        <w:t>, 24%), Manipur (1,934 km</w:t>
      </w:r>
      <w:r w:rsidR="00084AF7" w:rsidRPr="00EA7007">
        <w:rPr>
          <w:rFonts w:ascii="Arial" w:hAnsi="Arial" w:cs="Arial"/>
          <w:sz w:val="20"/>
          <w:szCs w:val="20"/>
          <w:vertAlign w:val="superscript"/>
        </w:rPr>
        <w:t>2</w:t>
      </w:r>
      <w:r w:rsidR="00084AF7" w:rsidRPr="00EA7007">
        <w:rPr>
          <w:rFonts w:ascii="Arial" w:hAnsi="Arial" w:cs="Arial"/>
          <w:sz w:val="20"/>
          <w:szCs w:val="20"/>
        </w:rPr>
        <w:t>, 8.66%), Sikkim (1,326 km</w:t>
      </w:r>
      <w:r w:rsidR="00084AF7" w:rsidRPr="00EA7007">
        <w:rPr>
          <w:rFonts w:ascii="Arial" w:hAnsi="Arial" w:cs="Arial"/>
          <w:sz w:val="20"/>
          <w:szCs w:val="20"/>
          <w:vertAlign w:val="superscript"/>
        </w:rPr>
        <w:t>2</w:t>
      </w:r>
      <w:r w:rsidR="00084AF7" w:rsidRPr="00EA7007">
        <w:rPr>
          <w:rFonts w:ascii="Arial" w:hAnsi="Arial" w:cs="Arial"/>
          <w:sz w:val="20"/>
          <w:szCs w:val="20"/>
        </w:rPr>
        <w:t>, 18.69%) and Mizoram (708 km</w:t>
      </w:r>
      <w:r w:rsidR="00084AF7" w:rsidRPr="00EA7007">
        <w:rPr>
          <w:rFonts w:ascii="Arial" w:hAnsi="Arial" w:cs="Arial"/>
          <w:sz w:val="20"/>
          <w:szCs w:val="20"/>
          <w:vertAlign w:val="superscript"/>
        </w:rPr>
        <w:t>2</w:t>
      </w:r>
      <w:r w:rsidR="00084AF7" w:rsidRPr="00EA7007">
        <w:rPr>
          <w:rFonts w:ascii="Arial" w:hAnsi="Arial" w:cs="Arial"/>
          <w:sz w:val="20"/>
          <w:szCs w:val="20"/>
        </w:rPr>
        <w:t xml:space="preserve">, 3.36%) (FSI, </w:t>
      </w:r>
      <w:r w:rsidR="00084AF7" w:rsidRPr="002D7DB3">
        <w:rPr>
          <w:rFonts w:ascii="Arial" w:hAnsi="Arial" w:cs="Arial"/>
          <w:sz w:val="20"/>
          <w:szCs w:val="20"/>
        </w:rPr>
        <w:t xml:space="preserve">2021). </w:t>
      </w:r>
      <w:r w:rsidR="002D7DB3" w:rsidRPr="002D7DB3">
        <w:rPr>
          <w:rFonts w:ascii="Arial" w:hAnsi="Arial" w:cs="Arial"/>
          <w:sz w:val="20"/>
          <w:szCs w:val="20"/>
        </w:rPr>
        <w:t xml:space="preserve">In rural areas of North East India, Trees Outside Forests (TOFs) are predominantly represented by </w:t>
      </w:r>
      <w:proofErr w:type="spellStart"/>
      <w:r w:rsidR="002D7DB3" w:rsidRPr="002D7DB3">
        <w:rPr>
          <w:rFonts w:ascii="Arial" w:hAnsi="Arial" w:cs="Arial"/>
          <w:i/>
          <w:iCs/>
          <w:sz w:val="20"/>
          <w:szCs w:val="20"/>
        </w:rPr>
        <w:t>Schima</w:t>
      </w:r>
      <w:proofErr w:type="spellEnd"/>
      <w:r w:rsidR="002D7DB3" w:rsidRPr="002D7DB3">
        <w:rPr>
          <w:rFonts w:ascii="Arial" w:hAnsi="Arial" w:cs="Arial"/>
          <w:i/>
          <w:iCs/>
          <w:sz w:val="20"/>
          <w:szCs w:val="20"/>
        </w:rPr>
        <w:t xml:space="preserve"> </w:t>
      </w:r>
      <w:proofErr w:type="spellStart"/>
      <w:r w:rsidR="002D7DB3" w:rsidRPr="002D7DB3">
        <w:rPr>
          <w:rFonts w:ascii="Arial" w:hAnsi="Arial" w:cs="Arial"/>
          <w:i/>
          <w:iCs/>
          <w:sz w:val="20"/>
          <w:szCs w:val="20"/>
        </w:rPr>
        <w:t>wallichii</w:t>
      </w:r>
      <w:proofErr w:type="spellEnd"/>
      <w:r w:rsidR="002D7DB3" w:rsidRPr="002D7DB3">
        <w:rPr>
          <w:rFonts w:ascii="Arial" w:hAnsi="Arial" w:cs="Arial"/>
          <w:sz w:val="20"/>
          <w:szCs w:val="20"/>
        </w:rPr>
        <w:t xml:space="preserve">, </w:t>
      </w:r>
      <w:proofErr w:type="spellStart"/>
      <w:r w:rsidR="002D7DB3" w:rsidRPr="002D7DB3">
        <w:rPr>
          <w:rFonts w:ascii="Arial" w:hAnsi="Arial" w:cs="Arial"/>
          <w:i/>
          <w:iCs/>
          <w:sz w:val="20"/>
          <w:szCs w:val="20"/>
        </w:rPr>
        <w:t>Castanopsis</w:t>
      </w:r>
      <w:proofErr w:type="spellEnd"/>
      <w:r w:rsidR="002D7DB3" w:rsidRPr="002D7DB3">
        <w:rPr>
          <w:rFonts w:ascii="Arial" w:hAnsi="Arial" w:cs="Arial"/>
          <w:i/>
          <w:iCs/>
          <w:sz w:val="20"/>
          <w:szCs w:val="20"/>
        </w:rPr>
        <w:t xml:space="preserve"> spp.</w:t>
      </w:r>
      <w:r w:rsidR="002D7DB3" w:rsidRPr="002D7DB3">
        <w:rPr>
          <w:rFonts w:ascii="Arial" w:hAnsi="Arial" w:cs="Arial"/>
          <w:sz w:val="20"/>
          <w:szCs w:val="20"/>
        </w:rPr>
        <w:t xml:space="preserve">, </w:t>
      </w:r>
      <w:proofErr w:type="spellStart"/>
      <w:r w:rsidR="002D7DB3" w:rsidRPr="002D7DB3">
        <w:rPr>
          <w:rFonts w:ascii="Arial" w:hAnsi="Arial" w:cs="Arial"/>
          <w:i/>
          <w:iCs/>
          <w:sz w:val="20"/>
          <w:szCs w:val="20"/>
        </w:rPr>
        <w:t>Albizia</w:t>
      </w:r>
      <w:proofErr w:type="spellEnd"/>
      <w:r w:rsidR="002D7DB3" w:rsidRPr="002D7DB3">
        <w:rPr>
          <w:rFonts w:ascii="Arial" w:hAnsi="Arial" w:cs="Arial"/>
          <w:i/>
          <w:iCs/>
          <w:sz w:val="20"/>
          <w:szCs w:val="20"/>
        </w:rPr>
        <w:t xml:space="preserve"> spp.</w:t>
      </w:r>
      <w:r w:rsidR="002D7DB3" w:rsidRPr="002D7DB3">
        <w:rPr>
          <w:rFonts w:ascii="Arial" w:hAnsi="Arial" w:cs="Arial"/>
          <w:sz w:val="20"/>
          <w:szCs w:val="20"/>
        </w:rPr>
        <w:t xml:space="preserve">, </w:t>
      </w:r>
      <w:r w:rsidR="002D7DB3" w:rsidRPr="002D7DB3">
        <w:rPr>
          <w:rFonts w:ascii="Arial" w:hAnsi="Arial" w:cs="Arial"/>
          <w:i/>
          <w:iCs/>
          <w:sz w:val="20"/>
          <w:szCs w:val="20"/>
        </w:rPr>
        <w:t>Areca catechu</w:t>
      </w:r>
      <w:r w:rsidR="002D7DB3">
        <w:rPr>
          <w:rFonts w:ascii="Arial" w:hAnsi="Arial" w:cs="Arial"/>
          <w:sz w:val="20"/>
          <w:szCs w:val="20"/>
        </w:rPr>
        <w:t xml:space="preserve"> </w:t>
      </w:r>
      <w:r w:rsidR="002D7DB3" w:rsidRPr="002D7DB3">
        <w:rPr>
          <w:rFonts w:ascii="Arial" w:hAnsi="Arial" w:cs="Arial"/>
          <w:sz w:val="20"/>
          <w:szCs w:val="20"/>
        </w:rPr>
        <w:t xml:space="preserve">and </w:t>
      </w:r>
      <w:r w:rsidR="002D7DB3" w:rsidRPr="002D7DB3">
        <w:rPr>
          <w:rFonts w:ascii="Arial" w:hAnsi="Arial" w:cs="Arial"/>
          <w:i/>
          <w:iCs/>
          <w:sz w:val="20"/>
          <w:szCs w:val="20"/>
        </w:rPr>
        <w:t>Macaranga spp.</w:t>
      </w:r>
      <w:r w:rsidR="002D7DB3" w:rsidRPr="002D7DB3">
        <w:rPr>
          <w:rFonts w:ascii="Arial" w:hAnsi="Arial" w:cs="Arial"/>
          <w:sz w:val="20"/>
          <w:szCs w:val="20"/>
        </w:rPr>
        <w:t xml:space="preserve">, whereas in urban landscapes, </w:t>
      </w:r>
      <w:r w:rsidR="002D7DB3" w:rsidRPr="002D7DB3">
        <w:rPr>
          <w:rFonts w:ascii="Arial" w:hAnsi="Arial" w:cs="Arial"/>
          <w:i/>
          <w:iCs/>
          <w:sz w:val="20"/>
          <w:szCs w:val="20"/>
        </w:rPr>
        <w:t>Areca catechu</w:t>
      </w:r>
      <w:r w:rsidR="002D7DB3" w:rsidRPr="002D7DB3">
        <w:rPr>
          <w:rFonts w:ascii="Arial" w:hAnsi="Arial" w:cs="Arial"/>
          <w:sz w:val="20"/>
          <w:szCs w:val="20"/>
        </w:rPr>
        <w:t xml:space="preserve">, </w:t>
      </w:r>
      <w:proofErr w:type="spellStart"/>
      <w:r w:rsidR="002D7DB3" w:rsidRPr="002D7DB3">
        <w:rPr>
          <w:rFonts w:ascii="Arial" w:hAnsi="Arial" w:cs="Arial"/>
          <w:i/>
          <w:iCs/>
          <w:sz w:val="20"/>
          <w:szCs w:val="20"/>
        </w:rPr>
        <w:t>Artocarpus</w:t>
      </w:r>
      <w:proofErr w:type="spellEnd"/>
      <w:r w:rsidR="002D7DB3" w:rsidRPr="002D7DB3">
        <w:rPr>
          <w:rFonts w:ascii="Arial" w:hAnsi="Arial" w:cs="Arial"/>
          <w:i/>
          <w:iCs/>
          <w:sz w:val="20"/>
          <w:szCs w:val="20"/>
        </w:rPr>
        <w:t xml:space="preserve"> </w:t>
      </w:r>
      <w:proofErr w:type="spellStart"/>
      <w:r w:rsidR="002D7DB3" w:rsidRPr="002D7DB3">
        <w:rPr>
          <w:rFonts w:ascii="Arial" w:hAnsi="Arial" w:cs="Arial"/>
          <w:i/>
          <w:iCs/>
          <w:sz w:val="20"/>
          <w:szCs w:val="20"/>
        </w:rPr>
        <w:t>integrifolia</w:t>
      </w:r>
      <w:proofErr w:type="spellEnd"/>
      <w:r w:rsidR="002D7DB3" w:rsidRPr="002D7DB3">
        <w:rPr>
          <w:rFonts w:ascii="Arial" w:hAnsi="Arial" w:cs="Arial"/>
          <w:sz w:val="20"/>
          <w:szCs w:val="20"/>
        </w:rPr>
        <w:t xml:space="preserve">, </w:t>
      </w:r>
      <w:proofErr w:type="spellStart"/>
      <w:r w:rsidR="002D7DB3" w:rsidRPr="002D7DB3">
        <w:rPr>
          <w:rFonts w:ascii="Arial" w:hAnsi="Arial" w:cs="Arial"/>
          <w:i/>
          <w:iCs/>
          <w:sz w:val="20"/>
          <w:szCs w:val="20"/>
        </w:rPr>
        <w:t>Mangifera</w:t>
      </w:r>
      <w:proofErr w:type="spellEnd"/>
      <w:r w:rsidR="002D7DB3" w:rsidRPr="002D7DB3">
        <w:rPr>
          <w:rFonts w:ascii="Arial" w:hAnsi="Arial" w:cs="Arial"/>
          <w:i/>
          <w:iCs/>
          <w:sz w:val="20"/>
          <w:szCs w:val="20"/>
        </w:rPr>
        <w:t xml:space="preserve"> </w:t>
      </w:r>
      <w:proofErr w:type="spellStart"/>
      <w:r w:rsidR="002D7DB3" w:rsidRPr="002D7DB3">
        <w:rPr>
          <w:rFonts w:ascii="Arial" w:hAnsi="Arial" w:cs="Arial"/>
          <w:i/>
          <w:iCs/>
          <w:sz w:val="20"/>
          <w:szCs w:val="20"/>
        </w:rPr>
        <w:t>indica</w:t>
      </w:r>
      <w:proofErr w:type="spellEnd"/>
      <w:r w:rsidR="002D7DB3" w:rsidRPr="002D7DB3">
        <w:rPr>
          <w:rFonts w:ascii="Arial" w:hAnsi="Arial" w:cs="Arial"/>
          <w:sz w:val="20"/>
          <w:szCs w:val="20"/>
        </w:rPr>
        <w:t xml:space="preserve">, </w:t>
      </w:r>
      <w:r w:rsidR="002D7DB3" w:rsidRPr="002D7DB3">
        <w:rPr>
          <w:rFonts w:ascii="Arial" w:hAnsi="Arial" w:cs="Arial"/>
          <w:i/>
          <w:iCs/>
          <w:sz w:val="20"/>
          <w:szCs w:val="20"/>
        </w:rPr>
        <w:t>Cocos nucifera</w:t>
      </w:r>
      <w:r w:rsidR="002D7DB3" w:rsidRPr="002D7DB3">
        <w:rPr>
          <w:rFonts w:ascii="Arial" w:hAnsi="Arial" w:cs="Arial"/>
          <w:sz w:val="20"/>
          <w:szCs w:val="20"/>
        </w:rPr>
        <w:t xml:space="preserve"> and </w:t>
      </w:r>
      <w:proofErr w:type="spellStart"/>
      <w:r w:rsidR="002D7DB3" w:rsidRPr="002D7DB3">
        <w:rPr>
          <w:rFonts w:ascii="Arial" w:hAnsi="Arial" w:cs="Arial"/>
          <w:i/>
          <w:iCs/>
          <w:sz w:val="20"/>
          <w:szCs w:val="20"/>
        </w:rPr>
        <w:t>Schima</w:t>
      </w:r>
      <w:proofErr w:type="spellEnd"/>
      <w:r w:rsidR="002D7DB3" w:rsidRPr="002D7DB3">
        <w:rPr>
          <w:rFonts w:ascii="Arial" w:hAnsi="Arial" w:cs="Arial"/>
          <w:i/>
          <w:iCs/>
          <w:sz w:val="20"/>
          <w:szCs w:val="20"/>
        </w:rPr>
        <w:t xml:space="preserve"> </w:t>
      </w:r>
      <w:proofErr w:type="spellStart"/>
      <w:r w:rsidR="002D7DB3" w:rsidRPr="002D7DB3">
        <w:rPr>
          <w:rFonts w:ascii="Arial" w:hAnsi="Arial" w:cs="Arial"/>
          <w:i/>
          <w:iCs/>
          <w:sz w:val="20"/>
          <w:szCs w:val="20"/>
        </w:rPr>
        <w:t>wallichii</w:t>
      </w:r>
      <w:proofErr w:type="spellEnd"/>
      <w:r w:rsidR="002D7DB3" w:rsidRPr="002D7DB3">
        <w:rPr>
          <w:rFonts w:ascii="Arial" w:hAnsi="Arial" w:cs="Arial"/>
          <w:i/>
          <w:iCs/>
          <w:sz w:val="20"/>
          <w:szCs w:val="20"/>
        </w:rPr>
        <w:t xml:space="preserve"> </w:t>
      </w:r>
      <w:r w:rsidR="002D7DB3" w:rsidRPr="002D7DB3">
        <w:rPr>
          <w:rFonts w:ascii="Arial" w:hAnsi="Arial" w:cs="Arial"/>
          <w:sz w:val="20"/>
          <w:szCs w:val="20"/>
        </w:rPr>
        <w:t>emerge as the dominant species (FSI, 2019).</w:t>
      </w:r>
    </w:p>
    <w:p w14:paraId="10A33CB2" w14:textId="77777777" w:rsidR="00673D26" w:rsidRPr="00673D26" w:rsidRDefault="00673D26" w:rsidP="00E064AE">
      <w:pPr>
        <w:spacing w:after="0" w:line="240" w:lineRule="auto"/>
        <w:jc w:val="both"/>
        <w:rPr>
          <w:rFonts w:ascii="Arial" w:hAnsi="Arial" w:cs="Arial"/>
          <w:b/>
          <w:bCs/>
          <w:sz w:val="20"/>
          <w:szCs w:val="20"/>
        </w:rPr>
      </w:pPr>
      <w:r w:rsidRPr="00673D26">
        <w:rPr>
          <w:rFonts w:ascii="Arial" w:hAnsi="Arial" w:cs="Arial"/>
          <w:b/>
          <w:bCs/>
          <w:sz w:val="20"/>
          <w:szCs w:val="20"/>
        </w:rPr>
        <w:t xml:space="preserve">2. </w:t>
      </w:r>
      <w:r w:rsidR="006D797B" w:rsidRPr="00673D26">
        <w:rPr>
          <w:rFonts w:ascii="Arial" w:hAnsi="Arial" w:cs="Arial"/>
          <w:b/>
          <w:bCs/>
          <w:sz w:val="20"/>
          <w:szCs w:val="20"/>
        </w:rPr>
        <w:t>TREES OUTSIDE FORESTS (TOF</w:t>
      </w:r>
      <w:r w:rsidR="006D797B">
        <w:rPr>
          <w:rFonts w:ascii="Arial" w:hAnsi="Arial" w:cs="Arial"/>
          <w:b/>
          <w:bCs/>
          <w:sz w:val="20"/>
          <w:szCs w:val="20"/>
        </w:rPr>
        <w:t>s</w:t>
      </w:r>
      <w:r w:rsidR="006D797B" w:rsidRPr="00673D26">
        <w:rPr>
          <w:rFonts w:ascii="Arial" w:hAnsi="Arial" w:cs="Arial"/>
          <w:b/>
          <w:bCs/>
          <w:sz w:val="20"/>
          <w:szCs w:val="20"/>
        </w:rPr>
        <w:t>) IN NORTH EAST INDIA</w:t>
      </w:r>
    </w:p>
    <w:p w14:paraId="773477BA" w14:textId="77777777" w:rsidR="00831937" w:rsidRDefault="00831937" w:rsidP="00E064AE">
      <w:pPr>
        <w:spacing w:after="0" w:line="240" w:lineRule="auto"/>
        <w:jc w:val="both"/>
        <w:rPr>
          <w:rFonts w:ascii="Arial" w:hAnsi="Arial" w:cs="Arial"/>
          <w:sz w:val="20"/>
          <w:szCs w:val="20"/>
        </w:rPr>
      </w:pPr>
    </w:p>
    <w:p w14:paraId="2780B97A" w14:textId="095A55CB" w:rsidR="006D797B" w:rsidRDefault="002D7DB3" w:rsidP="00E064AE">
      <w:pPr>
        <w:spacing w:after="0" w:line="240" w:lineRule="auto"/>
        <w:jc w:val="both"/>
        <w:rPr>
          <w:rFonts w:ascii="Arial" w:hAnsi="Arial" w:cs="Arial"/>
          <w:sz w:val="20"/>
          <w:szCs w:val="20"/>
        </w:rPr>
      </w:pPr>
      <w:r w:rsidRPr="002D7DB3">
        <w:rPr>
          <w:rFonts w:ascii="Arial" w:hAnsi="Arial" w:cs="Arial"/>
          <w:sz w:val="20"/>
          <w:szCs w:val="20"/>
        </w:rPr>
        <w:t xml:space="preserve">In North East India, Trees Outside Forests (TOFs) are broadly categorized as (1) traditionally managed systems such as </w:t>
      </w:r>
      <w:proofErr w:type="spellStart"/>
      <w:r w:rsidRPr="002D7DB3">
        <w:rPr>
          <w:rFonts w:ascii="Arial" w:hAnsi="Arial" w:cs="Arial"/>
          <w:sz w:val="20"/>
          <w:szCs w:val="20"/>
        </w:rPr>
        <w:t>homegardens</w:t>
      </w:r>
      <w:proofErr w:type="spellEnd"/>
      <w:r w:rsidRPr="002D7DB3">
        <w:rPr>
          <w:rFonts w:ascii="Arial" w:hAnsi="Arial" w:cs="Arial"/>
          <w:sz w:val="20"/>
          <w:szCs w:val="20"/>
        </w:rPr>
        <w:t>, sacred groves</w:t>
      </w:r>
      <w:r>
        <w:rPr>
          <w:rFonts w:ascii="Arial" w:hAnsi="Arial" w:cs="Arial"/>
          <w:sz w:val="20"/>
          <w:szCs w:val="20"/>
        </w:rPr>
        <w:t xml:space="preserve"> </w:t>
      </w:r>
      <w:r w:rsidRPr="002D7DB3">
        <w:rPr>
          <w:rFonts w:ascii="Arial" w:hAnsi="Arial" w:cs="Arial"/>
          <w:sz w:val="20"/>
          <w:szCs w:val="20"/>
        </w:rPr>
        <w:t>and community forests, and (2) introduced systems including tea estates, commercial plantations</w:t>
      </w:r>
      <w:r>
        <w:rPr>
          <w:rFonts w:ascii="Arial" w:hAnsi="Arial" w:cs="Arial"/>
          <w:sz w:val="20"/>
          <w:szCs w:val="20"/>
        </w:rPr>
        <w:t xml:space="preserve"> </w:t>
      </w:r>
      <w:r w:rsidRPr="002D7DB3">
        <w:rPr>
          <w:rFonts w:ascii="Arial" w:hAnsi="Arial" w:cs="Arial"/>
          <w:sz w:val="20"/>
          <w:szCs w:val="20"/>
        </w:rPr>
        <w:t xml:space="preserve">and avenue plantations. While traditionally managed TOFs have evolved through generations of local knowledge and cultural practices, providing subsistence </w:t>
      </w:r>
      <w:r w:rsidRPr="002D7DB3">
        <w:rPr>
          <w:rFonts w:ascii="Arial" w:hAnsi="Arial" w:cs="Arial"/>
          <w:sz w:val="20"/>
          <w:szCs w:val="20"/>
        </w:rPr>
        <w:lastRenderedPageBreak/>
        <w:t xml:space="preserve">resources and conserving biodiversity, introduced TOFs primarily address economic and industrial demands. Together, these systems form an essential component of the regional landscape, enhancing ecological stability and socio-economic resilience. This paper focuses on the significance of traditionally managed TOFs, with emphasis on </w:t>
      </w:r>
      <w:proofErr w:type="spellStart"/>
      <w:r w:rsidRPr="002D7DB3">
        <w:rPr>
          <w:rFonts w:ascii="Arial" w:hAnsi="Arial" w:cs="Arial"/>
          <w:sz w:val="20"/>
          <w:szCs w:val="20"/>
        </w:rPr>
        <w:t>homegardens</w:t>
      </w:r>
      <w:proofErr w:type="spellEnd"/>
      <w:r w:rsidRPr="002D7DB3">
        <w:rPr>
          <w:rFonts w:ascii="Arial" w:hAnsi="Arial" w:cs="Arial"/>
          <w:sz w:val="20"/>
          <w:szCs w:val="20"/>
        </w:rPr>
        <w:t>, sacred groves</w:t>
      </w:r>
      <w:r>
        <w:rPr>
          <w:rFonts w:ascii="Arial" w:hAnsi="Arial" w:cs="Arial"/>
          <w:sz w:val="20"/>
          <w:szCs w:val="20"/>
        </w:rPr>
        <w:t xml:space="preserve"> </w:t>
      </w:r>
      <w:r w:rsidRPr="002D7DB3">
        <w:rPr>
          <w:rFonts w:ascii="Arial" w:hAnsi="Arial" w:cs="Arial"/>
          <w:sz w:val="20"/>
          <w:szCs w:val="20"/>
        </w:rPr>
        <w:t>and community forests.</w:t>
      </w:r>
    </w:p>
    <w:p w14:paraId="0746A035" w14:textId="77777777" w:rsidR="002D7DB3" w:rsidRPr="006D797B" w:rsidRDefault="002D7DB3" w:rsidP="00673D26">
      <w:pPr>
        <w:spacing w:after="0" w:line="360" w:lineRule="auto"/>
        <w:jc w:val="both"/>
        <w:rPr>
          <w:rFonts w:ascii="Arial" w:hAnsi="Arial" w:cs="Arial"/>
          <w:sz w:val="20"/>
          <w:szCs w:val="20"/>
        </w:rPr>
      </w:pPr>
    </w:p>
    <w:p w14:paraId="105846D4" w14:textId="77777777" w:rsidR="00673D26" w:rsidRDefault="00084AF7" w:rsidP="00E064AE">
      <w:pPr>
        <w:spacing w:after="0" w:line="240" w:lineRule="auto"/>
        <w:jc w:val="both"/>
        <w:rPr>
          <w:rFonts w:ascii="Arial" w:hAnsi="Arial" w:cs="Arial"/>
          <w:b/>
          <w:bCs/>
          <w:iCs/>
          <w:lang w:val="en-IN"/>
        </w:rPr>
      </w:pPr>
      <w:proofErr w:type="spellStart"/>
      <w:r w:rsidRPr="0020269D">
        <w:rPr>
          <w:rFonts w:ascii="Arial" w:hAnsi="Arial" w:cs="Arial"/>
          <w:b/>
          <w:bCs/>
          <w:iCs/>
          <w:lang w:val="en-IN"/>
        </w:rPr>
        <w:t>Homegardens</w:t>
      </w:r>
      <w:proofErr w:type="spellEnd"/>
    </w:p>
    <w:p w14:paraId="27D2A355" w14:textId="77777777" w:rsidR="002C35F4" w:rsidRDefault="002C35F4" w:rsidP="00E064AE">
      <w:pPr>
        <w:spacing w:after="0" w:line="240" w:lineRule="auto"/>
        <w:jc w:val="both"/>
        <w:rPr>
          <w:rFonts w:ascii="Arial" w:hAnsi="Arial" w:cs="Arial"/>
          <w:b/>
          <w:bCs/>
          <w:iCs/>
          <w:lang w:val="en-IN"/>
        </w:rPr>
      </w:pPr>
    </w:p>
    <w:p w14:paraId="25A1EDC3" w14:textId="0A5D50B3" w:rsidR="00084AF7" w:rsidRDefault="00D403DD" w:rsidP="00E064AE">
      <w:pPr>
        <w:spacing w:after="0" w:line="240" w:lineRule="auto"/>
        <w:jc w:val="both"/>
        <w:rPr>
          <w:rFonts w:ascii="Arial" w:hAnsi="Arial" w:cs="Arial"/>
          <w:bCs/>
          <w:iCs/>
          <w:sz w:val="20"/>
          <w:szCs w:val="20"/>
          <w:lang w:val="en-IN"/>
        </w:rPr>
      </w:pPr>
      <w:proofErr w:type="spellStart"/>
      <w:r w:rsidRPr="00D403DD">
        <w:rPr>
          <w:rFonts w:ascii="Arial" w:hAnsi="Arial" w:cs="Arial"/>
          <w:bCs/>
          <w:iCs/>
          <w:sz w:val="20"/>
          <w:szCs w:val="20"/>
          <w:lang w:val="en-IN"/>
        </w:rPr>
        <w:t>Homegardens</w:t>
      </w:r>
      <w:proofErr w:type="spellEnd"/>
      <w:r w:rsidRPr="00D403DD">
        <w:rPr>
          <w:rFonts w:ascii="Arial" w:hAnsi="Arial" w:cs="Arial"/>
          <w:bCs/>
          <w:iCs/>
          <w:sz w:val="20"/>
          <w:szCs w:val="20"/>
          <w:lang w:val="en-IN"/>
        </w:rPr>
        <w:t xml:space="preserve"> are widely acknowledged for their multifaceted benefits, particularly in enhancing food security and supporting livelihoods, while providing both tangible and intangible ecological and socio-economic values</w:t>
      </w:r>
      <w:r>
        <w:rPr>
          <w:rFonts w:ascii="Arial" w:hAnsi="Arial" w:cs="Arial"/>
          <w:bCs/>
          <w:iCs/>
          <w:sz w:val="20"/>
          <w:szCs w:val="20"/>
          <w:lang w:val="en-IN"/>
        </w:rPr>
        <w:t xml:space="preserve"> (</w:t>
      </w:r>
      <w:r w:rsidR="00F35310" w:rsidRPr="00EA7007">
        <w:rPr>
          <w:rFonts w:ascii="Arial" w:hAnsi="Arial" w:cs="Arial"/>
          <w:bCs/>
          <w:iCs/>
          <w:sz w:val="20"/>
          <w:szCs w:val="20"/>
          <w:lang w:val="en-IN"/>
        </w:rPr>
        <w:t>Roy and Arunachalam, 2014). They are variably referred to as homestead gardens (</w:t>
      </w:r>
      <w:proofErr w:type="spellStart"/>
      <w:r w:rsidR="00F35310" w:rsidRPr="00EA7007">
        <w:rPr>
          <w:rFonts w:ascii="Arial" w:hAnsi="Arial" w:cs="Arial"/>
          <w:bCs/>
          <w:iCs/>
          <w:sz w:val="20"/>
          <w:szCs w:val="20"/>
          <w:lang w:val="en-IN"/>
        </w:rPr>
        <w:t>Tangjang</w:t>
      </w:r>
      <w:proofErr w:type="spellEnd"/>
      <w:r w:rsidR="00F35310" w:rsidRPr="00EA7007">
        <w:rPr>
          <w:rFonts w:ascii="Arial" w:hAnsi="Arial" w:cs="Arial"/>
          <w:bCs/>
          <w:iCs/>
          <w:sz w:val="20"/>
          <w:szCs w:val="20"/>
          <w:lang w:val="en-IN"/>
        </w:rPr>
        <w:t xml:space="preserve"> and Arunachalam, 2017), kitch</w:t>
      </w:r>
      <w:r w:rsidR="005278B6">
        <w:rPr>
          <w:rFonts w:ascii="Arial" w:hAnsi="Arial" w:cs="Arial"/>
          <w:bCs/>
          <w:iCs/>
          <w:sz w:val="20"/>
          <w:szCs w:val="20"/>
          <w:lang w:val="en-IN"/>
        </w:rPr>
        <w:t>en gardens (Salam et al., 2011)</w:t>
      </w:r>
      <w:r w:rsidR="00F35310" w:rsidRPr="00EA7007">
        <w:rPr>
          <w:rFonts w:ascii="Arial" w:hAnsi="Arial" w:cs="Arial"/>
          <w:bCs/>
          <w:iCs/>
          <w:sz w:val="20"/>
          <w:szCs w:val="20"/>
          <w:lang w:val="en-IN"/>
        </w:rPr>
        <w:t xml:space="preserve"> and herbal gardens (Kaushik and </w:t>
      </w:r>
      <w:proofErr w:type="spellStart"/>
      <w:r w:rsidR="00F35310" w:rsidRPr="00EA7007">
        <w:rPr>
          <w:rFonts w:ascii="Arial" w:hAnsi="Arial" w:cs="Arial"/>
          <w:bCs/>
          <w:iCs/>
          <w:sz w:val="20"/>
          <w:szCs w:val="20"/>
          <w:lang w:val="en-IN"/>
        </w:rPr>
        <w:t>Saha</w:t>
      </w:r>
      <w:proofErr w:type="spellEnd"/>
      <w:r w:rsidR="00F35310" w:rsidRPr="00EA7007">
        <w:rPr>
          <w:rFonts w:ascii="Arial" w:hAnsi="Arial" w:cs="Arial"/>
          <w:bCs/>
          <w:iCs/>
          <w:sz w:val="20"/>
          <w:szCs w:val="20"/>
          <w:lang w:val="en-IN"/>
        </w:rPr>
        <w:t xml:space="preserve">, 2020). </w:t>
      </w:r>
      <w:r w:rsidRPr="00D403DD">
        <w:rPr>
          <w:rFonts w:ascii="Arial" w:hAnsi="Arial" w:cs="Arial"/>
          <w:bCs/>
          <w:iCs/>
          <w:sz w:val="20"/>
          <w:szCs w:val="20"/>
          <w:lang w:val="en-IN"/>
        </w:rPr>
        <w:t>In Assam, these gardens are commonly referred to as ‘Bari’ by Assamese communities (Figure 1), and as ‘</w:t>
      </w:r>
      <w:proofErr w:type="spellStart"/>
      <w:r w:rsidRPr="00D403DD">
        <w:rPr>
          <w:rFonts w:ascii="Arial" w:hAnsi="Arial" w:cs="Arial"/>
          <w:bCs/>
          <w:iCs/>
          <w:sz w:val="20"/>
          <w:szCs w:val="20"/>
          <w:lang w:val="en-IN"/>
        </w:rPr>
        <w:t>Gharer</w:t>
      </w:r>
      <w:proofErr w:type="spellEnd"/>
      <w:r w:rsidRPr="00D403DD">
        <w:rPr>
          <w:rFonts w:ascii="Arial" w:hAnsi="Arial" w:cs="Arial"/>
          <w:bCs/>
          <w:iCs/>
          <w:sz w:val="20"/>
          <w:szCs w:val="20"/>
          <w:lang w:val="en-IN"/>
        </w:rPr>
        <w:t xml:space="preserve"> Bagan’ or ‘</w:t>
      </w:r>
      <w:proofErr w:type="spellStart"/>
      <w:r w:rsidRPr="00D403DD">
        <w:rPr>
          <w:rFonts w:ascii="Arial" w:hAnsi="Arial" w:cs="Arial"/>
          <w:bCs/>
          <w:iCs/>
          <w:sz w:val="20"/>
          <w:szCs w:val="20"/>
          <w:lang w:val="en-IN"/>
        </w:rPr>
        <w:t>Bisra</w:t>
      </w:r>
      <w:proofErr w:type="spellEnd"/>
      <w:r w:rsidRPr="00D403DD">
        <w:rPr>
          <w:rFonts w:ascii="Arial" w:hAnsi="Arial" w:cs="Arial"/>
          <w:bCs/>
          <w:iCs/>
          <w:sz w:val="20"/>
          <w:szCs w:val="20"/>
          <w:lang w:val="en-IN"/>
        </w:rPr>
        <w:t>’ by Bengalis in the Barak Valley (</w:t>
      </w:r>
      <w:proofErr w:type="spellStart"/>
      <w:r w:rsidRPr="00D403DD">
        <w:rPr>
          <w:rFonts w:ascii="Arial" w:hAnsi="Arial" w:cs="Arial"/>
          <w:bCs/>
          <w:iCs/>
          <w:sz w:val="20"/>
          <w:szCs w:val="20"/>
          <w:lang w:val="en-IN"/>
        </w:rPr>
        <w:t>Sarma</w:t>
      </w:r>
      <w:proofErr w:type="spellEnd"/>
      <w:r w:rsidRPr="00D403DD">
        <w:rPr>
          <w:rFonts w:ascii="Arial" w:hAnsi="Arial" w:cs="Arial"/>
          <w:bCs/>
          <w:iCs/>
          <w:sz w:val="20"/>
          <w:szCs w:val="20"/>
          <w:lang w:val="en-IN"/>
        </w:rPr>
        <w:t>, 2015).</w:t>
      </w:r>
      <w:r>
        <w:rPr>
          <w:rFonts w:ascii="Arial" w:hAnsi="Arial" w:cs="Arial"/>
          <w:bCs/>
          <w:iCs/>
          <w:sz w:val="20"/>
          <w:szCs w:val="20"/>
          <w:lang w:val="en-IN"/>
        </w:rPr>
        <w:t xml:space="preserve"> </w:t>
      </w:r>
      <w:r w:rsidR="00F35310" w:rsidRPr="00EA7007">
        <w:rPr>
          <w:rFonts w:ascii="Arial" w:hAnsi="Arial" w:cs="Arial"/>
          <w:bCs/>
          <w:iCs/>
          <w:sz w:val="20"/>
          <w:szCs w:val="20"/>
          <w:lang w:val="en-IN"/>
        </w:rPr>
        <w:t xml:space="preserve">Regional names for </w:t>
      </w:r>
      <w:proofErr w:type="spellStart"/>
      <w:r w:rsidR="00F35310" w:rsidRPr="00EA7007">
        <w:rPr>
          <w:rFonts w:ascii="Arial" w:hAnsi="Arial" w:cs="Arial"/>
          <w:bCs/>
          <w:iCs/>
          <w:sz w:val="20"/>
          <w:szCs w:val="20"/>
          <w:lang w:val="en-IN"/>
        </w:rPr>
        <w:t>homegardens</w:t>
      </w:r>
      <w:proofErr w:type="spellEnd"/>
      <w:r w:rsidR="00F35310" w:rsidRPr="00EA7007">
        <w:rPr>
          <w:rFonts w:ascii="Arial" w:hAnsi="Arial" w:cs="Arial"/>
          <w:bCs/>
          <w:iCs/>
          <w:sz w:val="20"/>
          <w:szCs w:val="20"/>
          <w:lang w:val="en-IN"/>
        </w:rPr>
        <w:t xml:space="preserve"> also reflect rich </w:t>
      </w:r>
      <w:r w:rsidR="005F0B5F">
        <w:rPr>
          <w:rFonts w:ascii="Arial" w:hAnsi="Arial" w:cs="Arial"/>
          <w:bCs/>
          <w:iCs/>
          <w:sz w:val="20"/>
          <w:szCs w:val="20"/>
          <w:lang w:val="en-IN"/>
        </w:rPr>
        <w:t xml:space="preserve">ethnic and linguistic diversity - </w:t>
      </w:r>
      <w:r w:rsidR="00F35310" w:rsidRPr="00EA7007">
        <w:rPr>
          <w:rFonts w:ascii="Arial" w:hAnsi="Arial" w:cs="Arial"/>
          <w:bCs/>
          <w:iCs/>
          <w:sz w:val="20"/>
          <w:szCs w:val="20"/>
          <w:lang w:val="en-IN"/>
        </w:rPr>
        <w:t xml:space="preserve">for instance, </w:t>
      </w:r>
      <w:r w:rsidR="00F35310" w:rsidRPr="00EA7007">
        <w:rPr>
          <w:rFonts w:ascii="Arial" w:hAnsi="Arial" w:cs="Arial"/>
          <w:bCs/>
          <w:i/>
          <w:iCs/>
          <w:sz w:val="20"/>
          <w:szCs w:val="20"/>
          <w:lang w:val="en-IN"/>
        </w:rPr>
        <w:t>Bari</w:t>
      </w:r>
      <w:r w:rsidR="00F35310" w:rsidRPr="00EA7007">
        <w:rPr>
          <w:rFonts w:ascii="Arial" w:hAnsi="Arial" w:cs="Arial"/>
          <w:bCs/>
          <w:iCs/>
          <w:sz w:val="20"/>
          <w:szCs w:val="20"/>
          <w:lang w:val="en-IN"/>
        </w:rPr>
        <w:t xml:space="preserve"> among </w:t>
      </w:r>
      <w:proofErr w:type="spellStart"/>
      <w:r w:rsidR="00F35310" w:rsidRPr="00EA7007">
        <w:rPr>
          <w:rFonts w:ascii="Arial" w:hAnsi="Arial" w:cs="Arial"/>
          <w:bCs/>
          <w:iCs/>
          <w:sz w:val="20"/>
          <w:szCs w:val="20"/>
          <w:lang w:val="en-IN"/>
        </w:rPr>
        <w:t>Kokboroks</w:t>
      </w:r>
      <w:proofErr w:type="spellEnd"/>
      <w:r w:rsidR="00F35310" w:rsidRPr="00EA7007">
        <w:rPr>
          <w:rFonts w:ascii="Arial" w:hAnsi="Arial" w:cs="Arial"/>
          <w:bCs/>
          <w:iCs/>
          <w:sz w:val="20"/>
          <w:szCs w:val="20"/>
          <w:lang w:val="en-IN"/>
        </w:rPr>
        <w:t xml:space="preserve"> in Tripura, </w:t>
      </w:r>
      <w:proofErr w:type="spellStart"/>
      <w:r w:rsidR="00F35310" w:rsidRPr="00EA7007">
        <w:rPr>
          <w:rFonts w:ascii="Arial" w:hAnsi="Arial" w:cs="Arial"/>
          <w:bCs/>
          <w:i/>
          <w:iCs/>
          <w:sz w:val="20"/>
          <w:szCs w:val="20"/>
          <w:lang w:val="en-IN"/>
        </w:rPr>
        <w:t>Intathingre</w:t>
      </w:r>
      <w:proofErr w:type="spellEnd"/>
      <w:r w:rsidR="00F35310" w:rsidRPr="00EA7007">
        <w:rPr>
          <w:rFonts w:ascii="Arial" w:hAnsi="Arial" w:cs="Arial"/>
          <w:bCs/>
          <w:iCs/>
          <w:sz w:val="20"/>
          <w:szCs w:val="20"/>
          <w:lang w:val="en-IN"/>
        </w:rPr>
        <w:t xml:space="preserve"> among the </w:t>
      </w:r>
      <w:proofErr w:type="spellStart"/>
      <w:r w:rsidR="00F35310" w:rsidRPr="00EA7007">
        <w:rPr>
          <w:rFonts w:ascii="Arial" w:hAnsi="Arial" w:cs="Arial"/>
          <w:bCs/>
          <w:iCs/>
          <w:sz w:val="20"/>
          <w:szCs w:val="20"/>
          <w:lang w:val="en-IN"/>
        </w:rPr>
        <w:t>Singpho</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
          <w:iCs/>
          <w:sz w:val="20"/>
          <w:szCs w:val="20"/>
          <w:lang w:val="en-IN"/>
        </w:rPr>
        <w:t>Gimrouck</w:t>
      </w:r>
      <w:proofErr w:type="spellEnd"/>
      <w:r w:rsidR="00F35310" w:rsidRPr="00EA7007">
        <w:rPr>
          <w:rFonts w:ascii="Arial" w:hAnsi="Arial" w:cs="Arial"/>
          <w:bCs/>
          <w:iCs/>
          <w:sz w:val="20"/>
          <w:szCs w:val="20"/>
          <w:lang w:val="en-IN"/>
        </w:rPr>
        <w:t xml:space="preserve"> among the </w:t>
      </w:r>
      <w:proofErr w:type="spellStart"/>
      <w:r w:rsidR="00F35310" w:rsidRPr="00EA7007">
        <w:rPr>
          <w:rFonts w:ascii="Arial" w:hAnsi="Arial" w:cs="Arial"/>
          <w:bCs/>
          <w:iCs/>
          <w:sz w:val="20"/>
          <w:szCs w:val="20"/>
          <w:lang w:val="en-IN"/>
        </w:rPr>
        <w:t>Tangsa</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
          <w:iCs/>
          <w:sz w:val="20"/>
          <w:szCs w:val="20"/>
          <w:lang w:val="en-IN"/>
        </w:rPr>
        <w:t>Nolaihaphai</w:t>
      </w:r>
      <w:proofErr w:type="spellEnd"/>
      <w:r w:rsidR="00F35310" w:rsidRPr="00EA7007">
        <w:rPr>
          <w:rFonts w:ascii="Arial" w:hAnsi="Arial" w:cs="Arial"/>
          <w:bCs/>
          <w:iCs/>
          <w:sz w:val="20"/>
          <w:szCs w:val="20"/>
          <w:lang w:val="en-IN"/>
        </w:rPr>
        <w:t xml:space="preserve"> among the </w:t>
      </w:r>
      <w:proofErr w:type="spellStart"/>
      <w:r w:rsidR="00F35310" w:rsidRPr="00EA7007">
        <w:rPr>
          <w:rFonts w:ascii="Arial" w:hAnsi="Arial" w:cs="Arial"/>
          <w:bCs/>
          <w:iCs/>
          <w:sz w:val="20"/>
          <w:szCs w:val="20"/>
          <w:lang w:val="en-IN"/>
        </w:rPr>
        <w:t>Dimasa</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
          <w:iCs/>
          <w:sz w:val="20"/>
          <w:szCs w:val="20"/>
          <w:lang w:val="en-IN"/>
        </w:rPr>
        <w:t>Kilou</w:t>
      </w:r>
      <w:proofErr w:type="spellEnd"/>
      <w:r w:rsidR="00F35310" w:rsidRPr="00EA7007">
        <w:rPr>
          <w:rFonts w:ascii="Arial" w:hAnsi="Arial" w:cs="Arial"/>
          <w:bCs/>
          <w:iCs/>
          <w:sz w:val="20"/>
          <w:szCs w:val="20"/>
          <w:lang w:val="en-IN"/>
        </w:rPr>
        <w:t xml:space="preserve"> among the </w:t>
      </w:r>
      <w:proofErr w:type="spellStart"/>
      <w:r w:rsidR="00F35310" w:rsidRPr="00EA7007">
        <w:rPr>
          <w:rFonts w:ascii="Arial" w:hAnsi="Arial" w:cs="Arial"/>
          <w:bCs/>
          <w:iCs/>
          <w:sz w:val="20"/>
          <w:szCs w:val="20"/>
          <w:lang w:val="en-IN"/>
        </w:rPr>
        <w:t>Zeme</w:t>
      </w:r>
      <w:proofErr w:type="spellEnd"/>
      <w:r w:rsidR="00F35310" w:rsidRPr="00EA7007">
        <w:rPr>
          <w:rFonts w:ascii="Arial" w:hAnsi="Arial" w:cs="Arial"/>
          <w:bCs/>
          <w:iCs/>
          <w:sz w:val="20"/>
          <w:szCs w:val="20"/>
          <w:lang w:val="en-IN"/>
        </w:rPr>
        <w:t xml:space="preserve">, </w:t>
      </w:r>
      <w:r w:rsidR="00F35310" w:rsidRPr="00EA7007">
        <w:rPr>
          <w:rFonts w:ascii="Arial" w:hAnsi="Arial" w:cs="Arial"/>
          <w:bCs/>
          <w:i/>
          <w:iCs/>
          <w:sz w:val="20"/>
          <w:szCs w:val="20"/>
          <w:lang w:val="en-IN"/>
        </w:rPr>
        <w:t>Kho</w:t>
      </w:r>
      <w:r w:rsidR="00F35310" w:rsidRPr="00EA7007">
        <w:rPr>
          <w:rFonts w:ascii="Arial" w:hAnsi="Arial" w:cs="Arial"/>
          <w:bCs/>
          <w:iCs/>
          <w:sz w:val="20"/>
          <w:szCs w:val="20"/>
          <w:lang w:val="en-IN"/>
        </w:rPr>
        <w:t xml:space="preserve"> among the Kuki, </w:t>
      </w:r>
      <w:proofErr w:type="spellStart"/>
      <w:r w:rsidR="00F35310" w:rsidRPr="00EA7007">
        <w:rPr>
          <w:rFonts w:ascii="Arial" w:hAnsi="Arial" w:cs="Arial"/>
          <w:bCs/>
          <w:i/>
          <w:iCs/>
          <w:sz w:val="20"/>
          <w:szCs w:val="20"/>
          <w:lang w:val="en-IN"/>
        </w:rPr>
        <w:t>Khou</w:t>
      </w:r>
      <w:proofErr w:type="spellEnd"/>
      <w:r w:rsidR="00F35310" w:rsidRPr="00EA7007">
        <w:rPr>
          <w:rFonts w:ascii="Arial" w:hAnsi="Arial" w:cs="Arial"/>
          <w:bCs/>
          <w:iCs/>
          <w:sz w:val="20"/>
          <w:szCs w:val="20"/>
          <w:lang w:val="en-IN"/>
        </w:rPr>
        <w:t xml:space="preserve"> among the Hmar, and </w:t>
      </w:r>
      <w:proofErr w:type="spellStart"/>
      <w:r w:rsidR="00F35310" w:rsidRPr="00EA7007">
        <w:rPr>
          <w:rFonts w:ascii="Arial" w:hAnsi="Arial" w:cs="Arial"/>
          <w:bCs/>
          <w:i/>
          <w:iCs/>
          <w:sz w:val="20"/>
          <w:szCs w:val="20"/>
          <w:lang w:val="en-IN"/>
        </w:rPr>
        <w:t>Shong</w:t>
      </w:r>
      <w:proofErr w:type="spellEnd"/>
      <w:r w:rsidR="00F35310" w:rsidRPr="00EA7007">
        <w:rPr>
          <w:rFonts w:ascii="Arial" w:hAnsi="Arial" w:cs="Arial"/>
          <w:bCs/>
          <w:iCs/>
          <w:sz w:val="20"/>
          <w:szCs w:val="20"/>
          <w:lang w:val="en-IN"/>
        </w:rPr>
        <w:t xml:space="preserve"> among the </w:t>
      </w:r>
      <w:proofErr w:type="spellStart"/>
      <w:r w:rsidR="00F35310" w:rsidRPr="00EA7007">
        <w:rPr>
          <w:rFonts w:ascii="Arial" w:hAnsi="Arial" w:cs="Arial"/>
          <w:bCs/>
          <w:iCs/>
          <w:sz w:val="20"/>
          <w:szCs w:val="20"/>
          <w:lang w:val="en-IN"/>
        </w:rPr>
        <w:t>Jaintia</w:t>
      </w:r>
      <w:proofErr w:type="spellEnd"/>
      <w:r w:rsidR="00F35310" w:rsidRPr="00EA7007">
        <w:rPr>
          <w:rFonts w:ascii="Arial" w:hAnsi="Arial" w:cs="Arial"/>
          <w:bCs/>
          <w:iCs/>
          <w:sz w:val="20"/>
          <w:szCs w:val="20"/>
          <w:lang w:val="en-IN"/>
        </w:rPr>
        <w:t xml:space="preserve">. Other regional terms include </w:t>
      </w:r>
      <w:proofErr w:type="spellStart"/>
      <w:r w:rsidR="00F35310" w:rsidRPr="00EA7007">
        <w:rPr>
          <w:rFonts w:ascii="Arial" w:hAnsi="Arial" w:cs="Arial"/>
          <w:bCs/>
          <w:i/>
          <w:iCs/>
          <w:sz w:val="20"/>
          <w:szCs w:val="20"/>
          <w:lang w:val="en-IN"/>
        </w:rPr>
        <w:t>Baluh</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Cs/>
          <w:sz w:val="20"/>
          <w:szCs w:val="20"/>
          <w:lang w:val="en-IN"/>
        </w:rPr>
        <w:t>Apatanis</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
          <w:iCs/>
          <w:sz w:val="20"/>
          <w:szCs w:val="20"/>
          <w:lang w:val="en-IN"/>
        </w:rPr>
        <w:t>Ghar</w:t>
      </w:r>
      <w:proofErr w:type="spellEnd"/>
      <w:r w:rsidR="00F35310" w:rsidRPr="00EA7007">
        <w:rPr>
          <w:rFonts w:ascii="Arial" w:hAnsi="Arial" w:cs="Arial"/>
          <w:bCs/>
          <w:i/>
          <w:iCs/>
          <w:sz w:val="20"/>
          <w:szCs w:val="20"/>
          <w:lang w:val="en-IN"/>
        </w:rPr>
        <w:t xml:space="preserve"> </w:t>
      </w:r>
      <w:proofErr w:type="spellStart"/>
      <w:r w:rsidR="00F35310" w:rsidRPr="00EA7007">
        <w:rPr>
          <w:rFonts w:ascii="Arial" w:hAnsi="Arial" w:cs="Arial"/>
          <w:bCs/>
          <w:i/>
          <w:iCs/>
          <w:sz w:val="20"/>
          <w:szCs w:val="20"/>
          <w:lang w:val="en-IN"/>
        </w:rPr>
        <w:t>Bagaicha</w:t>
      </w:r>
      <w:proofErr w:type="spellEnd"/>
      <w:r w:rsidR="00F35310" w:rsidRPr="00EA7007">
        <w:rPr>
          <w:rFonts w:ascii="Arial" w:hAnsi="Arial" w:cs="Arial"/>
          <w:bCs/>
          <w:iCs/>
          <w:sz w:val="20"/>
          <w:szCs w:val="20"/>
          <w:lang w:val="en-IN"/>
        </w:rPr>
        <w:t xml:space="preserve"> (Sikkimese), </w:t>
      </w:r>
      <w:proofErr w:type="spellStart"/>
      <w:r w:rsidR="00F35310" w:rsidRPr="00EA7007">
        <w:rPr>
          <w:rFonts w:ascii="Arial" w:hAnsi="Arial" w:cs="Arial"/>
          <w:bCs/>
          <w:i/>
          <w:iCs/>
          <w:sz w:val="20"/>
          <w:szCs w:val="20"/>
          <w:lang w:val="en-IN"/>
        </w:rPr>
        <w:t>Inghols</w:t>
      </w:r>
      <w:proofErr w:type="spellEnd"/>
      <w:r w:rsidR="00F35310" w:rsidRPr="00EA7007">
        <w:rPr>
          <w:rFonts w:ascii="Arial" w:hAnsi="Arial" w:cs="Arial"/>
          <w:bCs/>
          <w:iCs/>
          <w:sz w:val="20"/>
          <w:szCs w:val="20"/>
          <w:lang w:val="en-IN"/>
        </w:rPr>
        <w:t xml:space="preserve"> (</w:t>
      </w:r>
      <w:proofErr w:type="spellStart"/>
      <w:r w:rsidR="00F35310" w:rsidRPr="00EA7007">
        <w:rPr>
          <w:rFonts w:ascii="Arial" w:hAnsi="Arial" w:cs="Arial"/>
          <w:bCs/>
          <w:iCs/>
          <w:sz w:val="20"/>
          <w:szCs w:val="20"/>
          <w:lang w:val="en-IN"/>
        </w:rPr>
        <w:t>Meiteis</w:t>
      </w:r>
      <w:proofErr w:type="spellEnd"/>
      <w:r w:rsidR="00F35310" w:rsidRPr="00EA7007">
        <w:rPr>
          <w:rFonts w:ascii="Arial" w:hAnsi="Arial" w:cs="Arial"/>
          <w:bCs/>
          <w:iCs/>
          <w:sz w:val="20"/>
          <w:szCs w:val="20"/>
          <w:lang w:val="en-IN"/>
        </w:rPr>
        <w:t xml:space="preserve">), and </w:t>
      </w:r>
      <w:proofErr w:type="spellStart"/>
      <w:r w:rsidR="00F35310" w:rsidRPr="00EA7007">
        <w:rPr>
          <w:rFonts w:ascii="Arial" w:hAnsi="Arial" w:cs="Arial"/>
          <w:bCs/>
          <w:i/>
          <w:iCs/>
          <w:sz w:val="20"/>
          <w:szCs w:val="20"/>
          <w:lang w:val="en-IN"/>
        </w:rPr>
        <w:t>Chuktuah</w:t>
      </w:r>
      <w:proofErr w:type="spellEnd"/>
      <w:r w:rsidR="00F35310" w:rsidRPr="00EA7007">
        <w:rPr>
          <w:rFonts w:ascii="Arial" w:hAnsi="Arial" w:cs="Arial"/>
          <w:bCs/>
          <w:i/>
          <w:iCs/>
          <w:sz w:val="20"/>
          <w:szCs w:val="20"/>
          <w:lang w:val="en-IN"/>
        </w:rPr>
        <w:t xml:space="preserve"> Huan</w:t>
      </w:r>
      <w:r w:rsidR="00F35310" w:rsidRPr="00EA7007">
        <w:rPr>
          <w:rFonts w:ascii="Arial" w:hAnsi="Arial" w:cs="Arial"/>
          <w:bCs/>
          <w:iCs/>
          <w:sz w:val="20"/>
          <w:szCs w:val="20"/>
          <w:lang w:val="en-IN"/>
        </w:rPr>
        <w:t xml:space="preserve"> (</w:t>
      </w:r>
      <w:proofErr w:type="spellStart"/>
      <w:r w:rsidR="00F35310" w:rsidRPr="00EA7007">
        <w:rPr>
          <w:rFonts w:ascii="Arial" w:hAnsi="Arial" w:cs="Arial"/>
          <w:bCs/>
          <w:iCs/>
          <w:sz w:val="20"/>
          <w:szCs w:val="20"/>
          <w:lang w:val="en-IN"/>
        </w:rPr>
        <w:t>Mizos</w:t>
      </w:r>
      <w:proofErr w:type="spellEnd"/>
      <w:r w:rsidR="00F35310" w:rsidRPr="00EA7007">
        <w:rPr>
          <w:rFonts w:ascii="Arial" w:hAnsi="Arial" w:cs="Arial"/>
          <w:bCs/>
          <w:iCs/>
          <w:sz w:val="20"/>
          <w:szCs w:val="20"/>
          <w:lang w:val="en-IN"/>
        </w:rPr>
        <w:t>) (Devi and Das, 2010;</w:t>
      </w:r>
      <w:r w:rsidR="005278B6">
        <w:rPr>
          <w:rFonts w:ascii="Arial" w:hAnsi="Arial" w:cs="Arial"/>
          <w:bCs/>
          <w:iCs/>
          <w:sz w:val="20"/>
          <w:szCs w:val="20"/>
          <w:lang w:val="en-IN"/>
        </w:rPr>
        <w:t xml:space="preserve"> </w:t>
      </w:r>
      <w:r w:rsidR="00F35310" w:rsidRPr="00EA7007">
        <w:rPr>
          <w:rFonts w:ascii="Arial" w:hAnsi="Arial" w:cs="Arial"/>
          <w:bCs/>
          <w:iCs/>
          <w:sz w:val="20"/>
          <w:szCs w:val="20"/>
          <w:lang w:val="en-IN"/>
        </w:rPr>
        <w:t>Sahoo et al., 2018).</w:t>
      </w:r>
    </w:p>
    <w:p w14:paraId="502B14E6" w14:textId="77777777" w:rsidR="007B68F6" w:rsidRDefault="007B68F6" w:rsidP="00E064AE">
      <w:pPr>
        <w:spacing w:after="0" w:line="240" w:lineRule="auto"/>
        <w:jc w:val="both"/>
        <w:rPr>
          <w:rFonts w:ascii="Arial" w:hAnsi="Arial" w:cs="Arial"/>
          <w:bCs/>
          <w:iCs/>
          <w:sz w:val="20"/>
          <w:szCs w:val="20"/>
          <w:lang w:val="en-IN"/>
        </w:rPr>
      </w:pPr>
    </w:p>
    <w:p w14:paraId="1ABC9342" w14:textId="77777777" w:rsidR="003F07BF" w:rsidRDefault="003F07BF" w:rsidP="00E064AE">
      <w:pPr>
        <w:spacing w:after="0" w:line="240" w:lineRule="auto"/>
        <w:jc w:val="both"/>
        <w:rPr>
          <w:rFonts w:ascii="Arial" w:hAnsi="Arial" w:cs="Arial"/>
          <w:bCs/>
          <w:iCs/>
          <w:sz w:val="20"/>
          <w:szCs w:val="20"/>
          <w:lang w:val="en-IN"/>
        </w:rPr>
      </w:pPr>
    </w:p>
    <w:p w14:paraId="1FCDAB33" w14:textId="77777777" w:rsidR="007B68F6" w:rsidRDefault="007B68F6" w:rsidP="000A6536">
      <w:pPr>
        <w:spacing w:after="0" w:line="360" w:lineRule="auto"/>
        <w:jc w:val="center"/>
        <w:rPr>
          <w:rFonts w:ascii="Arial" w:hAnsi="Arial" w:cs="Arial"/>
          <w:bCs/>
          <w:iCs/>
          <w:sz w:val="20"/>
          <w:szCs w:val="20"/>
          <w:lang w:val="en-IN"/>
        </w:rPr>
      </w:pPr>
      <w:r>
        <w:rPr>
          <w:noProof/>
        </w:rPr>
        <w:drawing>
          <wp:inline distT="0" distB="0" distL="0" distR="0" wp14:anchorId="4A23BB38" wp14:editId="215A159F">
            <wp:extent cx="4837176" cy="3346704"/>
            <wp:effectExtent l="0" t="0" r="0" b="0"/>
            <wp:docPr id="71318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7176" cy="3346704"/>
                    </a:xfrm>
                    <a:prstGeom prst="rect">
                      <a:avLst/>
                    </a:prstGeom>
                    <a:noFill/>
                    <a:ln>
                      <a:noFill/>
                    </a:ln>
                  </pic:spPr>
                </pic:pic>
              </a:graphicData>
            </a:graphic>
          </wp:inline>
        </w:drawing>
      </w:r>
    </w:p>
    <w:p w14:paraId="302D8FBB" w14:textId="77777777" w:rsidR="007B68F6" w:rsidRPr="000A6536" w:rsidRDefault="007B68F6" w:rsidP="007B68F6">
      <w:pPr>
        <w:spacing w:after="0" w:line="360" w:lineRule="auto"/>
        <w:jc w:val="center"/>
        <w:rPr>
          <w:sz w:val="20"/>
          <w:szCs w:val="20"/>
        </w:rPr>
      </w:pPr>
      <w:r w:rsidRPr="000A6536">
        <w:rPr>
          <w:rFonts w:ascii="Arial" w:hAnsi="Arial" w:cs="Arial"/>
          <w:b/>
          <w:iCs/>
          <w:sz w:val="20"/>
          <w:szCs w:val="20"/>
          <w:lang w:val="en-IN"/>
        </w:rPr>
        <w:t>Figure 1:</w:t>
      </w:r>
      <w:r w:rsidRPr="000A6536">
        <w:rPr>
          <w:rFonts w:ascii="Arial" w:hAnsi="Arial" w:cs="Arial"/>
          <w:bCs/>
          <w:iCs/>
          <w:sz w:val="20"/>
          <w:szCs w:val="20"/>
          <w:lang w:val="en-IN"/>
        </w:rPr>
        <w:t xml:space="preserve"> Traditional </w:t>
      </w:r>
      <w:proofErr w:type="spellStart"/>
      <w:r w:rsidRPr="000A6536">
        <w:rPr>
          <w:rFonts w:ascii="Arial" w:hAnsi="Arial" w:cs="Arial"/>
          <w:bCs/>
          <w:iCs/>
          <w:sz w:val="20"/>
          <w:szCs w:val="20"/>
          <w:lang w:val="en-IN"/>
        </w:rPr>
        <w:t>homegard</w:t>
      </w:r>
      <w:r w:rsidR="005278B6" w:rsidRPr="000A6536">
        <w:rPr>
          <w:rFonts w:ascii="Arial" w:hAnsi="Arial" w:cs="Arial"/>
          <w:bCs/>
          <w:iCs/>
          <w:sz w:val="20"/>
          <w:szCs w:val="20"/>
          <w:lang w:val="en-IN"/>
        </w:rPr>
        <w:t>en</w:t>
      </w:r>
      <w:proofErr w:type="spellEnd"/>
      <w:r w:rsidR="005278B6" w:rsidRPr="000A6536">
        <w:rPr>
          <w:rFonts w:ascii="Arial" w:hAnsi="Arial" w:cs="Arial"/>
          <w:bCs/>
          <w:iCs/>
          <w:sz w:val="20"/>
          <w:szCs w:val="20"/>
          <w:lang w:val="en-IN"/>
        </w:rPr>
        <w:t xml:space="preserve"> landscape </w:t>
      </w:r>
      <w:r w:rsidR="001E42C4" w:rsidRPr="000A6536">
        <w:rPr>
          <w:rFonts w:ascii="Arial" w:hAnsi="Arial" w:cs="Arial"/>
          <w:bCs/>
          <w:iCs/>
          <w:sz w:val="20"/>
          <w:szCs w:val="20"/>
          <w:lang w:val="en-IN"/>
        </w:rPr>
        <w:t>in Assam (</w:t>
      </w:r>
      <w:proofErr w:type="spellStart"/>
      <w:r w:rsidR="001E42C4" w:rsidRPr="000A6536">
        <w:rPr>
          <w:rFonts w:ascii="Arial" w:hAnsi="Arial" w:cs="Arial"/>
          <w:bCs/>
          <w:iCs/>
          <w:sz w:val="20"/>
          <w:szCs w:val="20"/>
          <w:lang w:val="en-IN"/>
        </w:rPr>
        <w:t>Sribhumi</w:t>
      </w:r>
      <w:proofErr w:type="spellEnd"/>
      <w:r w:rsidR="001E42C4" w:rsidRPr="000A6536">
        <w:rPr>
          <w:rFonts w:ascii="Arial" w:hAnsi="Arial" w:cs="Arial"/>
          <w:bCs/>
          <w:iCs/>
          <w:sz w:val="20"/>
          <w:szCs w:val="20"/>
          <w:lang w:val="en-IN"/>
        </w:rPr>
        <w:t xml:space="preserve">, </w:t>
      </w:r>
      <w:r w:rsidR="005278B6" w:rsidRPr="000A6536">
        <w:rPr>
          <w:rFonts w:ascii="Arial" w:hAnsi="Arial" w:cs="Arial"/>
          <w:bCs/>
          <w:iCs/>
          <w:sz w:val="20"/>
          <w:szCs w:val="20"/>
          <w:lang w:val="en-IN"/>
        </w:rPr>
        <w:t xml:space="preserve">erstwhile </w:t>
      </w:r>
      <w:proofErr w:type="spellStart"/>
      <w:r w:rsidR="005278B6" w:rsidRPr="000A6536">
        <w:rPr>
          <w:rFonts w:ascii="Arial" w:hAnsi="Arial" w:cs="Arial"/>
          <w:bCs/>
          <w:iCs/>
          <w:sz w:val="20"/>
          <w:szCs w:val="20"/>
          <w:lang w:val="en-IN"/>
        </w:rPr>
        <w:t>Karimganj</w:t>
      </w:r>
      <w:proofErr w:type="spellEnd"/>
      <w:r w:rsidR="005278B6" w:rsidRPr="000A6536">
        <w:rPr>
          <w:rFonts w:ascii="Arial" w:hAnsi="Arial" w:cs="Arial"/>
          <w:bCs/>
          <w:iCs/>
          <w:sz w:val="20"/>
          <w:szCs w:val="20"/>
          <w:lang w:val="en-IN"/>
        </w:rPr>
        <w:t xml:space="preserve"> </w:t>
      </w:r>
      <w:r w:rsidRPr="000A6536">
        <w:rPr>
          <w:rFonts w:ascii="Arial" w:hAnsi="Arial" w:cs="Arial"/>
          <w:bCs/>
          <w:iCs/>
          <w:sz w:val="20"/>
          <w:szCs w:val="20"/>
          <w:lang w:val="en-IN"/>
        </w:rPr>
        <w:t>district)</w:t>
      </w:r>
      <w:r w:rsidR="001E42C4" w:rsidRPr="000A6536">
        <w:rPr>
          <w:sz w:val="20"/>
          <w:szCs w:val="20"/>
        </w:rPr>
        <w:t xml:space="preserve"> </w:t>
      </w:r>
    </w:p>
    <w:p w14:paraId="2B65872E" w14:textId="77777777" w:rsidR="003F07BF" w:rsidRDefault="003F07BF" w:rsidP="00E064AE">
      <w:pPr>
        <w:spacing w:after="0" w:line="240" w:lineRule="auto"/>
        <w:jc w:val="both"/>
        <w:rPr>
          <w:rFonts w:ascii="Arial" w:hAnsi="Arial" w:cs="Arial"/>
          <w:bCs/>
          <w:iCs/>
          <w:sz w:val="20"/>
          <w:szCs w:val="20"/>
          <w:lang w:val="en-IN"/>
        </w:rPr>
      </w:pPr>
    </w:p>
    <w:p w14:paraId="2FE63994" w14:textId="2DA19889" w:rsidR="007B68F6" w:rsidRDefault="004B2C48" w:rsidP="00E064AE">
      <w:pPr>
        <w:spacing w:after="0" w:line="240" w:lineRule="auto"/>
        <w:jc w:val="both"/>
        <w:rPr>
          <w:rFonts w:ascii="Arial" w:hAnsi="Arial" w:cs="Arial"/>
          <w:bCs/>
          <w:iCs/>
          <w:sz w:val="20"/>
          <w:szCs w:val="20"/>
          <w:lang w:val="en-IN"/>
        </w:rPr>
      </w:pPr>
      <w:proofErr w:type="spellStart"/>
      <w:r w:rsidRPr="00EA7007">
        <w:rPr>
          <w:rFonts w:ascii="Arial" w:hAnsi="Arial" w:cs="Arial"/>
          <w:bCs/>
          <w:iCs/>
          <w:sz w:val="20"/>
          <w:szCs w:val="20"/>
          <w:lang w:val="en-IN"/>
        </w:rPr>
        <w:t>Homegardens</w:t>
      </w:r>
      <w:proofErr w:type="spellEnd"/>
      <w:r w:rsidRPr="00EA7007">
        <w:rPr>
          <w:rFonts w:ascii="Arial" w:hAnsi="Arial" w:cs="Arial"/>
          <w:bCs/>
          <w:iCs/>
          <w:sz w:val="20"/>
          <w:szCs w:val="20"/>
          <w:lang w:val="en-IN"/>
        </w:rPr>
        <w:t>, typically suited to warm climatic regions with adequate rainfall, are among the oldest forms of managed agroforestry systems and are characterized by high biological diversity (Kumar and Nair, 2004;</w:t>
      </w:r>
      <w:r w:rsidR="005278B6">
        <w:rPr>
          <w:rFonts w:ascii="Arial" w:hAnsi="Arial" w:cs="Arial"/>
          <w:bCs/>
          <w:iCs/>
          <w:sz w:val="20"/>
          <w:szCs w:val="20"/>
          <w:lang w:val="en-IN"/>
        </w:rPr>
        <w:t xml:space="preserve"> </w:t>
      </w:r>
      <w:r w:rsidRPr="00EA7007">
        <w:rPr>
          <w:rFonts w:ascii="Arial" w:hAnsi="Arial" w:cs="Arial"/>
          <w:bCs/>
          <w:iCs/>
          <w:sz w:val="20"/>
          <w:szCs w:val="20"/>
          <w:lang w:val="en-IN"/>
        </w:rPr>
        <w:t xml:space="preserve">Mohan et al., 2007). </w:t>
      </w:r>
      <w:r w:rsidR="00D403DD" w:rsidRPr="00D403DD">
        <w:rPr>
          <w:rFonts w:ascii="Arial" w:hAnsi="Arial" w:cs="Arial"/>
          <w:bCs/>
          <w:iCs/>
          <w:sz w:val="20"/>
          <w:szCs w:val="20"/>
          <w:lang w:val="en-IN"/>
        </w:rPr>
        <w:t xml:space="preserve">These systems are typically maintained using family labour, as the average size of </w:t>
      </w:r>
      <w:proofErr w:type="spellStart"/>
      <w:r w:rsidR="00D403DD" w:rsidRPr="00D403DD">
        <w:rPr>
          <w:rFonts w:ascii="Arial" w:hAnsi="Arial" w:cs="Arial"/>
          <w:bCs/>
          <w:iCs/>
          <w:sz w:val="20"/>
          <w:szCs w:val="20"/>
          <w:lang w:val="en-IN"/>
        </w:rPr>
        <w:t>homegardens</w:t>
      </w:r>
      <w:proofErr w:type="spellEnd"/>
      <w:r w:rsidR="00D403DD" w:rsidRPr="00D403DD">
        <w:rPr>
          <w:rFonts w:ascii="Arial" w:hAnsi="Arial" w:cs="Arial"/>
          <w:bCs/>
          <w:iCs/>
          <w:sz w:val="20"/>
          <w:szCs w:val="20"/>
          <w:lang w:val="en-IN"/>
        </w:rPr>
        <w:t xml:space="preserve"> is generally less than 0.5 hectares (Fernandes &amp; Nair, 1986).</w:t>
      </w:r>
      <w:r w:rsidR="00D403DD">
        <w:rPr>
          <w:rFonts w:ascii="Arial" w:hAnsi="Arial" w:cs="Arial"/>
          <w:bCs/>
          <w:iCs/>
          <w:sz w:val="20"/>
          <w:szCs w:val="20"/>
          <w:lang w:val="en-IN"/>
        </w:rPr>
        <w:t xml:space="preserve"> </w:t>
      </w:r>
      <w:r w:rsidRPr="00EA7007">
        <w:rPr>
          <w:rFonts w:ascii="Arial" w:hAnsi="Arial" w:cs="Arial"/>
          <w:bCs/>
          <w:iCs/>
          <w:sz w:val="20"/>
          <w:szCs w:val="20"/>
          <w:lang w:val="en-IN"/>
        </w:rPr>
        <w:t xml:space="preserve">However, </w:t>
      </w:r>
      <w:proofErr w:type="spellStart"/>
      <w:r w:rsidRPr="00EA7007">
        <w:rPr>
          <w:rFonts w:ascii="Arial" w:hAnsi="Arial" w:cs="Arial"/>
          <w:bCs/>
          <w:iCs/>
          <w:sz w:val="20"/>
          <w:szCs w:val="20"/>
          <w:lang w:val="en-IN"/>
        </w:rPr>
        <w:t>Jeeceelee</w:t>
      </w:r>
      <w:proofErr w:type="spellEnd"/>
      <w:r w:rsidRPr="00EA7007">
        <w:rPr>
          <w:rFonts w:ascii="Arial" w:hAnsi="Arial" w:cs="Arial"/>
          <w:bCs/>
          <w:iCs/>
          <w:sz w:val="20"/>
          <w:szCs w:val="20"/>
          <w:lang w:val="en-IN"/>
        </w:rPr>
        <w:t xml:space="preserve"> and Sahoo (2015) reported </w:t>
      </w:r>
      <w:proofErr w:type="spellStart"/>
      <w:r w:rsidRPr="00EA7007">
        <w:rPr>
          <w:rFonts w:ascii="Arial" w:hAnsi="Arial" w:cs="Arial"/>
          <w:bCs/>
          <w:iCs/>
          <w:sz w:val="20"/>
          <w:szCs w:val="20"/>
          <w:lang w:val="en-IN"/>
        </w:rPr>
        <w:t>homegardens</w:t>
      </w:r>
      <w:proofErr w:type="spellEnd"/>
      <w:r w:rsidRPr="00EA7007">
        <w:rPr>
          <w:rFonts w:ascii="Arial" w:hAnsi="Arial" w:cs="Arial"/>
          <w:bCs/>
          <w:iCs/>
          <w:sz w:val="20"/>
          <w:szCs w:val="20"/>
          <w:lang w:val="en-IN"/>
        </w:rPr>
        <w:t xml:space="preserve"> in Mizoram ranging from 0.025 to 1.5 hectares. </w:t>
      </w:r>
      <w:r w:rsidR="00D403DD" w:rsidRPr="00D403DD">
        <w:rPr>
          <w:rFonts w:ascii="Arial" w:hAnsi="Arial" w:cs="Arial"/>
          <w:bCs/>
          <w:iCs/>
          <w:sz w:val="20"/>
          <w:szCs w:val="20"/>
          <w:lang w:val="en-IN"/>
        </w:rPr>
        <w:t xml:space="preserve">In the </w:t>
      </w:r>
      <w:proofErr w:type="spellStart"/>
      <w:r w:rsidR="00D403DD" w:rsidRPr="00D403DD">
        <w:rPr>
          <w:rFonts w:ascii="Arial" w:hAnsi="Arial" w:cs="Arial"/>
          <w:bCs/>
          <w:iCs/>
          <w:sz w:val="20"/>
          <w:szCs w:val="20"/>
          <w:lang w:val="en-IN"/>
        </w:rPr>
        <w:t>Papum</w:t>
      </w:r>
      <w:proofErr w:type="spellEnd"/>
      <w:r w:rsidR="00D403DD" w:rsidRPr="00D403DD">
        <w:rPr>
          <w:rFonts w:ascii="Arial" w:hAnsi="Arial" w:cs="Arial"/>
          <w:bCs/>
          <w:iCs/>
          <w:sz w:val="20"/>
          <w:szCs w:val="20"/>
          <w:lang w:val="en-IN"/>
        </w:rPr>
        <w:t xml:space="preserve"> Pare district of Arunachal Pradesh, </w:t>
      </w:r>
      <w:proofErr w:type="spellStart"/>
      <w:r w:rsidR="00D403DD" w:rsidRPr="00D403DD">
        <w:rPr>
          <w:rFonts w:ascii="Arial" w:hAnsi="Arial" w:cs="Arial"/>
          <w:bCs/>
          <w:iCs/>
          <w:sz w:val="20"/>
          <w:szCs w:val="20"/>
          <w:lang w:val="en-IN"/>
        </w:rPr>
        <w:t>Zimik</w:t>
      </w:r>
      <w:proofErr w:type="spellEnd"/>
      <w:r w:rsidR="00D403DD" w:rsidRPr="00D403DD">
        <w:rPr>
          <w:rFonts w:ascii="Arial" w:hAnsi="Arial" w:cs="Arial"/>
          <w:bCs/>
          <w:iCs/>
          <w:sz w:val="20"/>
          <w:szCs w:val="20"/>
          <w:lang w:val="en-IN"/>
        </w:rPr>
        <w:t xml:space="preserve"> et al. (2012) documented 205 plant species in </w:t>
      </w:r>
      <w:proofErr w:type="spellStart"/>
      <w:r w:rsidR="00D403DD" w:rsidRPr="00D403DD">
        <w:rPr>
          <w:rFonts w:ascii="Arial" w:hAnsi="Arial" w:cs="Arial"/>
          <w:bCs/>
          <w:iCs/>
          <w:sz w:val="20"/>
          <w:szCs w:val="20"/>
          <w:lang w:val="en-IN"/>
        </w:rPr>
        <w:t>homegardens</w:t>
      </w:r>
      <w:proofErr w:type="spellEnd"/>
      <w:r w:rsidR="00D403DD" w:rsidRPr="00D403DD">
        <w:rPr>
          <w:rFonts w:ascii="Arial" w:hAnsi="Arial" w:cs="Arial"/>
          <w:bCs/>
          <w:iCs/>
          <w:sz w:val="20"/>
          <w:szCs w:val="20"/>
          <w:lang w:val="en-IN"/>
        </w:rPr>
        <w:t xml:space="preserve">, a number considerably higher than the 57 species reported later by </w:t>
      </w:r>
      <w:proofErr w:type="spellStart"/>
      <w:r w:rsidR="00D403DD" w:rsidRPr="00D403DD">
        <w:rPr>
          <w:rFonts w:ascii="Arial" w:hAnsi="Arial" w:cs="Arial"/>
          <w:bCs/>
          <w:iCs/>
          <w:sz w:val="20"/>
          <w:szCs w:val="20"/>
          <w:lang w:val="en-IN"/>
        </w:rPr>
        <w:t>Tangjang</w:t>
      </w:r>
      <w:proofErr w:type="spellEnd"/>
      <w:r w:rsidR="00D403DD" w:rsidRPr="00D403DD">
        <w:rPr>
          <w:rFonts w:ascii="Arial" w:hAnsi="Arial" w:cs="Arial"/>
          <w:bCs/>
          <w:iCs/>
          <w:sz w:val="20"/>
          <w:szCs w:val="20"/>
          <w:lang w:val="en-IN"/>
        </w:rPr>
        <w:t xml:space="preserve"> and Arunachalam (2017).</w:t>
      </w:r>
      <w:r w:rsidR="00D403DD">
        <w:rPr>
          <w:rFonts w:ascii="Arial" w:hAnsi="Arial" w:cs="Arial"/>
          <w:bCs/>
          <w:iCs/>
          <w:sz w:val="20"/>
          <w:szCs w:val="20"/>
          <w:lang w:val="en-IN"/>
        </w:rPr>
        <w:t xml:space="preserve"> </w:t>
      </w:r>
      <w:r w:rsidRPr="00EA7007">
        <w:rPr>
          <w:rFonts w:ascii="Arial" w:hAnsi="Arial" w:cs="Arial"/>
          <w:bCs/>
          <w:iCs/>
          <w:sz w:val="20"/>
          <w:szCs w:val="20"/>
          <w:lang w:val="en-IN"/>
        </w:rPr>
        <w:t xml:space="preserve">A similar variation was observed in the </w:t>
      </w:r>
      <w:proofErr w:type="spellStart"/>
      <w:r w:rsidRPr="00EA7007">
        <w:rPr>
          <w:rFonts w:ascii="Arial" w:hAnsi="Arial" w:cs="Arial"/>
          <w:bCs/>
          <w:iCs/>
          <w:sz w:val="20"/>
          <w:szCs w:val="20"/>
          <w:lang w:val="en-IN"/>
        </w:rPr>
        <w:t>homegardens</w:t>
      </w:r>
      <w:proofErr w:type="spellEnd"/>
      <w:r w:rsidRPr="00EA7007">
        <w:rPr>
          <w:rFonts w:ascii="Arial" w:hAnsi="Arial" w:cs="Arial"/>
          <w:bCs/>
          <w:iCs/>
          <w:sz w:val="20"/>
          <w:szCs w:val="20"/>
          <w:lang w:val="en-IN"/>
        </w:rPr>
        <w:t xml:space="preserve"> of Lakhimpur district, Assam, where </w:t>
      </w:r>
      <w:proofErr w:type="spellStart"/>
      <w:r w:rsidRPr="00EA7007">
        <w:rPr>
          <w:rFonts w:ascii="Arial" w:hAnsi="Arial" w:cs="Arial"/>
          <w:bCs/>
          <w:iCs/>
          <w:sz w:val="20"/>
          <w:szCs w:val="20"/>
          <w:lang w:val="en-IN"/>
        </w:rPr>
        <w:t>Zimik</w:t>
      </w:r>
      <w:proofErr w:type="spellEnd"/>
      <w:r w:rsidRPr="00EA7007">
        <w:rPr>
          <w:rFonts w:ascii="Arial" w:hAnsi="Arial" w:cs="Arial"/>
          <w:bCs/>
          <w:iCs/>
          <w:sz w:val="20"/>
          <w:szCs w:val="20"/>
          <w:lang w:val="en-IN"/>
        </w:rPr>
        <w:t xml:space="preserve"> et al. </w:t>
      </w:r>
      <w:r w:rsidRPr="00EA7007">
        <w:rPr>
          <w:rFonts w:ascii="Arial" w:hAnsi="Arial" w:cs="Arial"/>
          <w:bCs/>
          <w:iCs/>
          <w:sz w:val="20"/>
          <w:szCs w:val="20"/>
          <w:lang w:val="en-IN"/>
        </w:rPr>
        <w:lastRenderedPageBreak/>
        <w:t xml:space="preserve">(2012) documented 230 species, compared to 46 species reported by </w:t>
      </w:r>
      <w:proofErr w:type="spellStart"/>
      <w:r w:rsidRPr="00EA7007">
        <w:rPr>
          <w:rFonts w:ascii="Arial" w:hAnsi="Arial" w:cs="Arial"/>
          <w:bCs/>
          <w:iCs/>
          <w:sz w:val="20"/>
          <w:szCs w:val="20"/>
          <w:lang w:val="en-IN"/>
        </w:rPr>
        <w:t>Tangjang</w:t>
      </w:r>
      <w:proofErr w:type="spellEnd"/>
      <w:r w:rsidRPr="00EA7007">
        <w:rPr>
          <w:rFonts w:ascii="Arial" w:hAnsi="Arial" w:cs="Arial"/>
          <w:bCs/>
          <w:iCs/>
          <w:sz w:val="20"/>
          <w:szCs w:val="20"/>
          <w:lang w:val="en-IN"/>
        </w:rPr>
        <w:t xml:space="preserve"> and Arunachalam (2017).</w:t>
      </w:r>
    </w:p>
    <w:p w14:paraId="2E3BB989" w14:textId="77777777" w:rsidR="007B68F6" w:rsidRDefault="007B68F6" w:rsidP="00E064AE">
      <w:pPr>
        <w:spacing w:after="0" w:line="240" w:lineRule="auto"/>
        <w:jc w:val="both"/>
        <w:rPr>
          <w:rFonts w:ascii="Arial" w:hAnsi="Arial" w:cs="Arial"/>
          <w:bCs/>
          <w:iCs/>
          <w:sz w:val="20"/>
          <w:szCs w:val="20"/>
          <w:lang w:val="en-IN"/>
        </w:rPr>
      </w:pPr>
    </w:p>
    <w:p w14:paraId="44497D48" w14:textId="77777777" w:rsidR="007B68F6" w:rsidRDefault="004B2C48" w:rsidP="00E064AE">
      <w:pPr>
        <w:spacing w:after="0" w:line="240" w:lineRule="auto"/>
        <w:jc w:val="both"/>
        <w:rPr>
          <w:rFonts w:ascii="Arial" w:hAnsi="Arial" w:cs="Arial"/>
          <w:bCs/>
          <w:iCs/>
          <w:sz w:val="20"/>
          <w:szCs w:val="20"/>
          <w:lang w:val="en-IN"/>
        </w:rPr>
      </w:pPr>
      <w:r w:rsidRPr="00EA7007">
        <w:rPr>
          <w:rFonts w:ascii="Arial" w:hAnsi="Arial" w:cs="Arial"/>
          <w:bCs/>
          <w:iCs/>
          <w:sz w:val="20"/>
          <w:szCs w:val="20"/>
          <w:lang w:val="en-IN"/>
        </w:rPr>
        <w:t xml:space="preserve">In the districts of </w:t>
      </w:r>
      <w:proofErr w:type="spellStart"/>
      <w:r w:rsidRPr="00EA7007">
        <w:rPr>
          <w:rFonts w:ascii="Arial" w:hAnsi="Arial" w:cs="Arial"/>
          <w:bCs/>
          <w:iCs/>
          <w:sz w:val="20"/>
          <w:szCs w:val="20"/>
          <w:lang w:val="en-IN"/>
        </w:rPr>
        <w:t>Cachar</w:t>
      </w:r>
      <w:proofErr w:type="spellEnd"/>
      <w:r w:rsidRPr="00EA7007">
        <w:rPr>
          <w:rFonts w:ascii="Arial" w:hAnsi="Arial" w:cs="Arial"/>
          <w:bCs/>
          <w:iCs/>
          <w:sz w:val="20"/>
          <w:szCs w:val="20"/>
          <w:lang w:val="en-IN"/>
        </w:rPr>
        <w:t xml:space="preserve">, </w:t>
      </w:r>
      <w:proofErr w:type="spellStart"/>
      <w:r w:rsidRPr="00EA7007">
        <w:rPr>
          <w:rFonts w:ascii="Arial" w:hAnsi="Arial" w:cs="Arial"/>
          <w:bCs/>
          <w:iCs/>
          <w:sz w:val="20"/>
          <w:szCs w:val="20"/>
          <w:lang w:val="en-IN"/>
        </w:rPr>
        <w:t>Hailakandi</w:t>
      </w:r>
      <w:proofErr w:type="spellEnd"/>
      <w:r w:rsidRPr="00EA7007">
        <w:rPr>
          <w:rFonts w:ascii="Arial" w:hAnsi="Arial" w:cs="Arial"/>
          <w:bCs/>
          <w:iCs/>
          <w:sz w:val="20"/>
          <w:szCs w:val="20"/>
          <w:lang w:val="en-IN"/>
        </w:rPr>
        <w:t xml:space="preserve">, and </w:t>
      </w:r>
      <w:proofErr w:type="spellStart"/>
      <w:r w:rsidRPr="00EA7007">
        <w:rPr>
          <w:rFonts w:ascii="Arial" w:hAnsi="Arial" w:cs="Arial"/>
          <w:bCs/>
          <w:iCs/>
          <w:sz w:val="20"/>
          <w:szCs w:val="20"/>
          <w:lang w:val="en-IN"/>
        </w:rPr>
        <w:t>Karimganj</w:t>
      </w:r>
      <w:proofErr w:type="spellEnd"/>
      <w:r w:rsidRPr="00EA7007">
        <w:rPr>
          <w:rFonts w:ascii="Arial" w:hAnsi="Arial" w:cs="Arial"/>
          <w:bCs/>
          <w:iCs/>
          <w:sz w:val="20"/>
          <w:szCs w:val="20"/>
          <w:lang w:val="en-IN"/>
        </w:rPr>
        <w:t xml:space="preserve"> in Assam, Das and Das (2005) documented as many as 161 plant species. In </w:t>
      </w:r>
      <w:proofErr w:type="spellStart"/>
      <w:r w:rsidRPr="00EA7007">
        <w:rPr>
          <w:rFonts w:ascii="Arial" w:hAnsi="Arial" w:cs="Arial"/>
          <w:bCs/>
          <w:iCs/>
          <w:sz w:val="20"/>
          <w:szCs w:val="20"/>
          <w:lang w:val="en-IN"/>
        </w:rPr>
        <w:t>Kamrup</w:t>
      </w:r>
      <w:proofErr w:type="spellEnd"/>
      <w:r w:rsidRPr="00EA7007">
        <w:rPr>
          <w:rFonts w:ascii="Arial" w:hAnsi="Arial" w:cs="Arial"/>
          <w:bCs/>
          <w:iCs/>
          <w:sz w:val="20"/>
          <w:szCs w:val="20"/>
          <w:lang w:val="en-IN"/>
        </w:rPr>
        <w:t xml:space="preserve"> district, 217 species were recorded by Goswami et al. (2011). A </w:t>
      </w:r>
      <w:r w:rsidR="005278B6">
        <w:rPr>
          <w:rFonts w:ascii="Arial" w:hAnsi="Arial" w:cs="Arial"/>
          <w:bCs/>
          <w:iCs/>
          <w:sz w:val="20"/>
          <w:szCs w:val="20"/>
          <w:lang w:val="en-IN"/>
        </w:rPr>
        <w:t xml:space="preserve">significantly higher diversity - 323 species - </w:t>
      </w:r>
      <w:r w:rsidRPr="00EA7007">
        <w:rPr>
          <w:rFonts w:ascii="Arial" w:hAnsi="Arial" w:cs="Arial"/>
          <w:bCs/>
          <w:iCs/>
          <w:sz w:val="20"/>
          <w:szCs w:val="20"/>
          <w:lang w:val="en-IN"/>
        </w:rPr>
        <w:t xml:space="preserve">was observed in the </w:t>
      </w:r>
      <w:proofErr w:type="spellStart"/>
      <w:r w:rsidRPr="00EA7007">
        <w:rPr>
          <w:rFonts w:ascii="Arial" w:hAnsi="Arial" w:cs="Arial"/>
          <w:bCs/>
          <w:iCs/>
          <w:sz w:val="20"/>
          <w:szCs w:val="20"/>
          <w:lang w:val="en-IN"/>
        </w:rPr>
        <w:t>homegardens</w:t>
      </w:r>
      <w:proofErr w:type="spellEnd"/>
      <w:r w:rsidRPr="00EA7007">
        <w:rPr>
          <w:rFonts w:ascii="Arial" w:hAnsi="Arial" w:cs="Arial"/>
          <w:bCs/>
          <w:iCs/>
          <w:sz w:val="20"/>
          <w:szCs w:val="20"/>
          <w:lang w:val="en-IN"/>
        </w:rPr>
        <w:t xml:space="preserve"> of </w:t>
      </w:r>
      <w:proofErr w:type="spellStart"/>
      <w:r w:rsidRPr="00EA7007">
        <w:rPr>
          <w:rFonts w:ascii="Arial" w:hAnsi="Arial" w:cs="Arial"/>
          <w:bCs/>
          <w:iCs/>
          <w:sz w:val="20"/>
          <w:szCs w:val="20"/>
          <w:lang w:val="en-IN"/>
        </w:rPr>
        <w:t>Golaghat</w:t>
      </w:r>
      <w:proofErr w:type="spellEnd"/>
      <w:r w:rsidRPr="00EA7007">
        <w:rPr>
          <w:rFonts w:ascii="Arial" w:hAnsi="Arial" w:cs="Arial"/>
          <w:bCs/>
          <w:iCs/>
          <w:sz w:val="20"/>
          <w:szCs w:val="20"/>
          <w:lang w:val="en-IN"/>
        </w:rPr>
        <w:t xml:space="preserve"> and Jorhat districts, where </w:t>
      </w:r>
      <w:r w:rsidRPr="00EA7007">
        <w:rPr>
          <w:rFonts w:ascii="Arial" w:hAnsi="Arial" w:cs="Arial"/>
          <w:bCs/>
          <w:i/>
          <w:iCs/>
          <w:sz w:val="20"/>
          <w:szCs w:val="20"/>
          <w:lang w:val="en-IN"/>
        </w:rPr>
        <w:t xml:space="preserve">Aquilaria </w:t>
      </w:r>
      <w:proofErr w:type="spellStart"/>
      <w:r w:rsidRPr="00EA7007">
        <w:rPr>
          <w:rFonts w:ascii="Arial" w:hAnsi="Arial" w:cs="Arial"/>
          <w:bCs/>
          <w:i/>
          <w:iCs/>
          <w:sz w:val="20"/>
          <w:szCs w:val="20"/>
          <w:lang w:val="en-IN"/>
        </w:rPr>
        <w:t>malaccensis</w:t>
      </w:r>
      <w:proofErr w:type="spellEnd"/>
      <w:r w:rsidRPr="00EA7007">
        <w:rPr>
          <w:rFonts w:ascii="Arial" w:hAnsi="Arial" w:cs="Arial"/>
          <w:bCs/>
          <w:iCs/>
          <w:sz w:val="20"/>
          <w:szCs w:val="20"/>
          <w:lang w:val="en-IN"/>
        </w:rPr>
        <w:t xml:space="preserve"> emerged as the dominant tree species (</w:t>
      </w:r>
      <w:proofErr w:type="spellStart"/>
      <w:r w:rsidRPr="00EA7007">
        <w:rPr>
          <w:rFonts w:ascii="Arial" w:hAnsi="Arial" w:cs="Arial"/>
          <w:bCs/>
          <w:iCs/>
          <w:sz w:val="20"/>
          <w:szCs w:val="20"/>
          <w:lang w:val="en-IN"/>
        </w:rPr>
        <w:t>Saikia</w:t>
      </w:r>
      <w:proofErr w:type="spellEnd"/>
      <w:r w:rsidRPr="00EA7007">
        <w:rPr>
          <w:rFonts w:ascii="Arial" w:hAnsi="Arial" w:cs="Arial"/>
          <w:bCs/>
          <w:iCs/>
          <w:sz w:val="20"/>
          <w:szCs w:val="20"/>
          <w:lang w:val="en-IN"/>
        </w:rPr>
        <w:t xml:space="preserve"> and Khan, 2014).</w:t>
      </w:r>
    </w:p>
    <w:p w14:paraId="52581C0E" w14:textId="77777777" w:rsidR="001E42C4" w:rsidRDefault="001E42C4" w:rsidP="00E064AE">
      <w:pPr>
        <w:spacing w:after="0" w:line="240" w:lineRule="auto"/>
        <w:jc w:val="both"/>
        <w:rPr>
          <w:rFonts w:ascii="Arial" w:hAnsi="Arial" w:cs="Arial"/>
          <w:bCs/>
          <w:iCs/>
          <w:sz w:val="20"/>
          <w:szCs w:val="20"/>
          <w:lang w:val="en-IN"/>
        </w:rPr>
      </w:pPr>
    </w:p>
    <w:p w14:paraId="4119281D" w14:textId="550CC7DD" w:rsidR="001E42C4" w:rsidRDefault="00FA5F9E" w:rsidP="00E064AE">
      <w:pPr>
        <w:spacing w:after="0" w:line="240" w:lineRule="auto"/>
        <w:jc w:val="both"/>
        <w:rPr>
          <w:rFonts w:ascii="Arial" w:hAnsi="Arial" w:cs="Arial"/>
          <w:bCs/>
          <w:iCs/>
          <w:sz w:val="20"/>
          <w:szCs w:val="20"/>
          <w:lang w:val="en-IN"/>
        </w:rPr>
      </w:pPr>
      <w:r>
        <w:rPr>
          <w:rFonts w:ascii="Arial" w:hAnsi="Arial" w:cs="Arial"/>
          <w:bCs/>
          <w:iCs/>
          <w:sz w:val="20"/>
          <w:szCs w:val="20"/>
          <w:lang w:val="en-IN"/>
        </w:rPr>
        <w:t>I</w:t>
      </w:r>
      <w:r w:rsidRPr="00FA5F9E">
        <w:rPr>
          <w:rFonts w:ascii="Arial" w:hAnsi="Arial" w:cs="Arial"/>
          <w:bCs/>
          <w:iCs/>
          <w:sz w:val="20"/>
          <w:szCs w:val="20"/>
          <w:lang w:val="en-IN"/>
        </w:rPr>
        <w:t xml:space="preserve">n Meghalaya, </w:t>
      </w:r>
      <w:proofErr w:type="spellStart"/>
      <w:r w:rsidRPr="00FA5F9E">
        <w:rPr>
          <w:rFonts w:ascii="Arial" w:hAnsi="Arial" w:cs="Arial"/>
          <w:bCs/>
          <w:iCs/>
          <w:sz w:val="20"/>
          <w:szCs w:val="20"/>
          <w:lang w:val="en-IN"/>
        </w:rPr>
        <w:t>homegardens</w:t>
      </w:r>
      <w:proofErr w:type="spellEnd"/>
      <w:r w:rsidRPr="00FA5F9E">
        <w:rPr>
          <w:rFonts w:ascii="Arial" w:hAnsi="Arial" w:cs="Arial"/>
          <w:bCs/>
          <w:iCs/>
          <w:sz w:val="20"/>
          <w:szCs w:val="20"/>
          <w:lang w:val="en-IN"/>
        </w:rPr>
        <w:t xml:space="preserve"> of the War Khasi community were found to </w:t>
      </w:r>
      <w:proofErr w:type="spellStart"/>
      <w:r w:rsidRPr="00FA5F9E">
        <w:rPr>
          <w:rFonts w:ascii="Arial" w:hAnsi="Arial" w:cs="Arial"/>
          <w:bCs/>
          <w:iCs/>
          <w:sz w:val="20"/>
          <w:szCs w:val="20"/>
          <w:lang w:val="en-IN"/>
        </w:rPr>
        <w:t>harbor</w:t>
      </w:r>
      <w:proofErr w:type="spellEnd"/>
      <w:r w:rsidRPr="00FA5F9E">
        <w:rPr>
          <w:rFonts w:ascii="Arial" w:hAnsi="Arial" w:cs="Arial"/>
          <w:bCs/>
          <w:iCs/>
          <w:sz w:val="20"/>
          <w:szCs w:val="20"/>
          <w:lang w:val="en-IN"/>
        </w:rPr>
        <w:t xml:space="preserve"> 197 species (</w:t>
      </w:r>
      <w:proofErr w:type="spellStart"/>
      <w:r w:rsidRPr="00FA5F9E">
        <w:rPr>
          <w:rFonts w:ascii="Arial" w:hAnsi="Arial" w:cs="Arial"/>
          <w:bCs/>
          <w:iCs/>
          <w:sz w:val="20"/>
          <w:szCs w:val="20"/>
          <w:lang w:val="en-IN"/>
        </w:rPr>
        <w:t>Tynsong</w:t>
      </w:r>
      <w:proofErr w:type="spellEnd"/>
      <w:r w:rsidRPr="00FA5F9E">
        <w:rPr>
          <w:rFonts w:ascii="Arial" w:hAnsi="Arial" w:cs="Arial"/>
          <w:bCs/>
          <w:iCs/>
          <w:sz w:val="20"/>
          <w:szCs w:val="20"/>
          <w:lang w:val="en-IN"/>
        </w:rPr>
        <w:t xml:space="preserve"> &amp; Tiwari, 2010b), while 160 species were recorded from the southern region of the state (</w:t>
      </w:r>
      <w:proofErr w:type="spellStart"/>
      <w:r w:rsidRPr="00FA5F9E">
        <w:rPr>
          <w:rFonts w:ascii="Arial" w:hAnsi="Arial" w:cs="Arial"/>
          <w:bCs/>
          <w:iCs/>
          <w:sz w:val="20"/>
          <w:szCs w:val="20"/>
          <w:lang w:val="en-IN"/>
        </w:rPr>
        <w:t>Tynsong</w:t>
      </w:r>
      <w:proofErr w:type="spellEnd"/>
      <w:r w:rsidRPr="00FA5F9E">
        <w:rPr>
          <w:rFonts w:ascii="Arial" w:hAnsi="Arial" w:cs="Arial"/>
          <w:bCs/>
          <w:iCs/>
          <w:sz w:val="20"/>
          <w:szCs w:val="20"/>
          <w:lang w:val="en-IN"/>
        </w:rPr>
        <w:t xml:space="preserve"> &amp; Tiwari, 2010a). Even degraded karst landscapes supported a diversity of 21 plant species (</w:t>
      </w:r>
      <w:proofErr w:type="spellStart"/>
      <w:r w:rsidRPr="00FA5F9E">
        <w:rPr>
          <w:rFonts w:ascii="Arial" w:hAnsi="Arial" w:cs="Arial"/>
          <w:bCs/>
          <w:iCs/>
          <w:sz w:val="20"/>
          <w:szCs w:val="20"/>
          <w:lang w:val="en-IN"/>
        </w:rPr>
        <w:t>Bdoor</w:t>
      </w:r>
      <w:proofErr w:type="spellEnd"/>
      <w:r w:rsidRPr="00FA5F9E">
        <w:rPr>
          <w:rFonts w:ascii="Arial" w:hAnsi="Arial" w:cs="Arial"/>
          <w:bCs/>
          <w:iCs/>
          <w:sz w:val="20"/>
          <w:szCs w:val="20"/>
          <w:lang w:val="en-IN"/>
        </w:rPr>
        <w:t xml:space="preserve">, 2017). Across both Assam and Meghalaya, members of the family </w:t>
      </w:r>
      <w:proofErr w:type="spellStart"/>
      <w:r w:rsidRPr="00FA5F9E">
        <w:rPr>
          <w:rFonts w:ascii="Arial" w:hAnsi="Arial" w:cs="Arial"/>
          <w:bCs/>
          <w:iCs/>
          <w:sz w:val="20"/>
          <w:szCs w:val="20"/>
          <w:lang w:val="en-IN"/>
        </w:rPr>
        <w:t>Arecaceae</w:t>
      </w:r>
      <w:proofErr w:type="spellEnd"/>
      <w:r w:rsidRPr="00FA5F9E">
        <w:rPr>
          <w:rFonts w:ascii="Arial" w:hAnsi="Arial" w:cs="Arial"/>
          <w:bCs/>
          <w:iCs/>
          <w:sz w:val="20"/>
          <w:szCs w:val="20"/>
          <w:lang w:val="en-IN"/>
        </w:rPr>
        <w:t xml:space="preserve"> emerged as the most dominant among the documented flora (Devi &amp; Das, 2010; </w:t>
      </w:r>
      <w:proofErr w:type="spellStart"/>
      <w:r w:rsidRPr="00FA5F9E">
        <w:rPr>
          <w:rFonts w:ascii="Arial" w:hAnsi="Arial" w:cs="Arial"/>
          <w:bCs/>
          <w:iCs/>
          <w:sz w:val="20"/>
          <w:szCs w:val="20"/>
          <w:lang w:val="en-IN"/>
        </w:rPr>
        <w:t>Tynsong</w:t>
      </w:r>
      <w:proofErr w:type="spellEnd"/>
      <w:r w:rsidRPr="00FA5F9E">
        <w:rPr>
          <w:rFonts w:ascii="Arial" w:hAnsi="Arial" w:cs="Arial"/>
          <w:bCs/>
          <w:iCs/>
          <w:sz w:val="20"/>
          <w:szCs w:val="20"/>
          <w:lang w:val="en-IN"/>
        </w:rPr>
        <w:t xml:space="preserve"> &amp; Tiwari, 2011).</w:t>
      </w:r>
    </w:p>
    <w:p w14:paraId="7E48601E" w14:textId="77777777" w:rsidR="00FA5F9E" w:rsidRDefault="00FA5F9E" w:rsidP="001E42C4">
      <w:pPr>
        <w:spacing w:after="0" w:line="360" w:lineRule="auto"/>
        <w:jc w:val="both"/>
        <w:rPr>
          <w:rFonts w:ascii="Arial" w:hAnsi="Arial" w:cs="Arial"/>
          <w:bCs/>
          <w:iCs/>
          <w:sz w:val="20"/>
          <w:szCs w:val="20"/>
          <w:lang w:val="en-IN"/>
        </w:rPr>
      </w:pPr>
    </w:p>
    <w:p w14:paraId="7D24AD55" w14:textId="00FE1DC8" w:rsidR="00135983" w:rsidRPr="00FA5F9E" w:rsidRDefault="00FA5F9E" w:rsidP="00E064AE">
      <w:pPr>
        <w:spacing w:after="0" w:line="240" w:lineRule="auto"/>
        <w:jc w:val="both"/>
        <w:rPr>
          <w:rFonts w:ascii="Arial" w:hAnsi="Arial" w:cs="Arial"/>
          <w:bCs/>
          <w:iCs/>
          <w:sz w:val="20"/>
          <w:szCs w:val="20"/>
          <w:lang w:val="en-IN"/>
        </w:rPr>
      </w:pPr>
      <w:r w:rsidRPr="00FA5F9E">
        <w:rPr>
          <w:rFonts w:ascii="Arial" w:hAnsi="Arial" w:cs="Arial"/>
          <w:sz w:val="20"/>
          <w:szCs w:val="20"/>
        </w:rPr>
        <w:t xml:space="preserve">A study of </w:t>
      </w:r>
      <w:proofErr w:type="spellStart"/>
      <w:r w:rsidRPr="00FA5F9E">
        <w:rPr>
          <w:rFonts w:ascii="Arial" w:hAnsi="Arial" w:cs="Arial"/>
          <w:sz w:val="20"/>
          <w:szCs w:val="20"/>
        </w:rPr>
        <w:t>homegardens</w:t>
      </w:r>
      <w:proofErr w:type="spellEnd"/>
      <w:r w:rsidRPr="00FA5F9E">
        <w:rPr>
          <w:rFonts w:ascii="Arial" w:hAnsi="Arial" w:cs="Arial"/>
          <w:sz w:val="20"/>
          <w:szCs w:val="20"/>
        </w:rPr>
        <w:t xml:space="preserve"> of the Meitei community (a Manipuri tribe) in the Barak Valley of Assam documented 92 plant species across two villages, with </w:t>
      </w:r>
      <w:proofErr w:type="spellStart"/>
      <w:r w:rsidRPr="00FA5F9E">
        <w:rPr>
          <w:rFonts w:ascii="Arial" w:hAnsi="Arial" w:cs="Arial"/>
          <w:sz w:val="20"/>
          <w:szCs w:val="20"/>
        </w:rPr>
        <w:t>Parkia</w:t>
      </w:r>
      <w:proofErr w:type="spellEnd"/>
      <w:r w:rsidRPr="00FA5F9E">
        <w:rPr>
          <w:rFonts w:ascii="Arial" w:hAnsi="Arial" w:cs="Arial"/>
          <w:sz w:val="20"/>
          <w:szCs w:val="20"/>
        </w:rPr>
        <w:t xml:space="preserve"> </w:t>
      </w:r>
      <w:proofErr w:type="spellStart"/>
      <w:r w:rsidRPr="00FA5F9E">
        <w:rPr>
          <w:rFonts w:ascii="Arial" w:hAnsi="Arial" w:cs="Arial"/>
          <w:sz w:val="20"/>
          <w:szCs w:val="20"/>
        </w:rPr>
        <w:t>timoriana</w:t>
      </w:r>
      <w:proofErr w:type="spellEnd"/>
      <w:r w:rsidRPr="00FA5F9E">
        <w:rPr>
          <w:rFonts w:ascii="Arial" w:hAnsi="Arial" w:cs="Arial"/>
          <w:sz w:val="20"/>
          <w:szCs w:val="20"/>
        </w:rPr>
        <w:t xml:space="preserve"> and Areca catechu emerging as the dominant species (Devi &amp; Das, 2010; 2013). In Manipur, the </w:t>
      </w:r>
      <w:proofErr w:type="spellStart"/>
      <w:r w:rsidRPr="00FA5F9E">
        <w:rPr>
          <w:rFonts w:ascii="Arial" w:hAnsi="Arial" w:cs="Arial"/>
          <w:sz w:val="20"/>
          <w:szCs w:val="20"/>
        </w:rPr>
        <w:t>homegardens</w:t>
      </w:r>
      <w:proofErr w:type="spellEnd"/>
      <w:r w:rsidRPr="00FA5F9E">
        <w:rPr>
          <w:rFonts w:ascii="Arial" w:hAnsi="Arial" w:cs="Arial"/>
          <w:sz w:val="20"/>
          <w:szCs w:val="20"/>
        </w:rPr>
        <w:t xml:space="preserve"> of the Lois community also exhibited considerable diversity, with 120 species recorded in </w:t>
      </w:r>
      <w:proofErr w:type="spellStart"/>
      <w:r w:rsidRPr="00FA5F9E">
        <w:rPr>
          <w:rFonts w:ascii="Arial" w:hAnsi="Arial" w:cs="Arial"/>
          <w:sz w:val="20"/>
          <w:szCs w:val="20"/>
        </w:rPr>
        <w:t>Thoubal</w:t>
      </w:r>
      <w:proofErr w:type="spellEnd"/>
      <w:r w:rsidRPr="00FA5F9E">
        <w:rPr>
          <w:rFonts w:ascii="Arial" w:hAnsi="Arial" w:cs="Arial"/>
          <w:sz w:val="20"/>
          <w:szCs w:val="20"/>
        </w:rPr>
        <w:t xml:space="preserve"> district and 55 species in </w:t>
      </w:r>
      <w:proofErr w:type="spellStart"/>
      <w:r w:rsidRPr="00FA5F9E">
        <w:rPr>
          <w:rFonts w:ascii="Arial" w:hAnsi="Arial" w:cs="Arial"/>
          <w:sz w:val="20"/>
          <w:szCs w:val="20"/>
        </w:rPr>
        <w:t>Ukhrul</w:t>
      </w:r>
      <w:proofErr w:type="spellEnd"/>
      <w:r w:rsidRPr="00FA5F9E">
        <w:rPr>
          <w:rFonts w:ascii="Arial" w:hAnsi="Arial" w:cs="Arial"/>
          <w:sz w:val="20"/>
          <w:szCs w:val="20"/>
        </w:rPr>
        <w:t xml:space="preserve"> district </w:t>
      </w:r>
      <w:proofErr w:type="gramStart"/>
      <w:r w:rsidRPr="00FA5F9E">
        <w:rPr>
          <w:rFonts w:ascii="Arial" w:hAnsi="Arial" w:cs="Arial"/>
          <w:sz w:val="20"/>
          <w:szCs w:val="20"/>
        </w:rPr>
        <w:t xml:space="preserve">( </w:t>
      </w:r>
      <w:proofErr w:type="spellStart"/>
      <w:r w:rsidRPr="00FA5F9E">
        <w:rPr>
          <w:rFonts w:ascii="Arial" w:hAnsi="Arial" w:cs="Arial"/>
          <w:sz w:val="20"/>
          <w:szCs w:val="20"/>
        </w:rPr>
        <w:t>Maibam</w:t>
      </w:r>
      <w:proofErr w:type="spellEnd"/>
      <w:proofErr w:type="gramEnd"/>
      <w:r w:rsidRPr="00FA5F9E">
        <w:rPr>
          <w:rFonts w:ascii="Arial" w:hAnsi="Arial" w:cs="Arial"/>
          <w:sz w:val="20"/>
          <w:szCs w:val="20"/>
        </w:rPr>
        <w:t xml:space="preserve"> &amp; Gupta, 2007; Salam et al., 2011</w:t>
      </w:r>
      <w:r w:rsidR="00135983" w:rsidRPr="00FA5F9E">
        <w:rPr>
          <w:rFonts w:ascii="Arial" w:hAnsi="Arial" w:cs="Arial"/>
          <w:bCs/>
          <w:iCs/>
          <w:sz w:val="20"/>
          <w:szCs w:val="20"/>
          <w:lang w:val="en-IN"/>
        </w:rPr>
        <w:t>).</w:t>
      </w:r>
    </w:p>
    <w:p w14:paraId="031A9D0E" w14:textId="77777777" w:rsidR="001E42C4" w:rsidRDefault="001E42C4" w:rsidP="00E064AE">
      <w:pPr>
        <w:spacing w:after="0" w:line="240" w:lineRule="auto"/>
        <w:jc w:val="both"/>
        <w:rPr>
          <w:rFonts w:ascii="Arial" w:hAnsi="Arial" w:cs="Arial"/>
          <w:bCs/>
          <w:iCs/>
          <w:sz w:val="20"/>
          <w:szCs w:val="20"/>
          <w:lang w:val="en-IN"/>
        </w:rPr>
      </w:pPr>
    </w:p>
    <w:p w14:paraId="2F07C946" w14:textId="7EF53571" w:rsidR="000B567D" w:rsidRDefault="00FA5F9E" w:rsidP="00E064AE">
      <w:pPr>
        <w:spacing w:after="0" w:line="240" w:lineRule="auto"/>
        <w:jc w:val="both"/>
        <w:rPr>
          <w:rFonts w:ascii="Arial" w:hAnsi="Arial" w:cs="Arial"/>
          <w:bCs/>
          <w:iCs/>
          <w:sz w:val="20"/>
          <w:szCs w:val="20"/>
          <w:lang w:val="en-IN"/>
        </w:rPr>
      </w:pPr>
      <w:r w:rsidRPr="00FA5F9E">
        <w:rPr>
          <w:rFonts w:ascii="Arial" w:hAnsi="Arial" w:cs="Arial"/>
          <w:bCs/>
          <w:iCs/>
          <w:sz w:val="20"/>
          <w:szCs w:val="20"/>
          <w:lang w:val="en-IN"/>
        </w:rPr>
        <w:t xml:space="preserve">In the traditional </w:t>
      </w:r>
      <w:proofErr w:type="spellStart"/>
      <w:r w:rsidRPr="00FA5F9E">
        <w:rPr>
          <w:rFonts w:ascii="Arial" w:hAnsi="Arial" w:cs="Arial"/>
          <w:bCs/>
          <w:iCs/>
          <w:sz w:val="20"/>
          <w:szCs w:val="20"/>
          <w:lang w:val="en-IN"/>
        </w:rPr>
        <w:t>homegardens</w:t>
      </w:r>
      <w:proofErr w:type="spellEnd"/>
      <w:r w:rsidRPr="00FA5F9E">
        <w:rPr>
          <w:rFonts w:ascii="Arial" w:hAnsi="Arial" w:cs="Arial"/>
          <w:bCs/>
          <w:iCs/>
          <w:sz w:val="20"/>
          <w:szCs w:val="20"/>
          <w:lang w:val="en-IN"/>
        </w:rPr>
        <w:t xml:space="preserve"> of Mizoram, a remarkable 351 plant species were documented by Sahoo and </w:t>
      </w:r>
      <w:proofErr w:type="spellStart"/>
      <w:r w:rsidRPr="00FA5F9E">
        <w:rPr>
          <w:rFonts w:ascii="Arial" w:hAnsi="Arial" w:cs="Arial"/>
          <w:bCs/>
          <w:iCs/>
          <w:sz w:val="20"/>
          <w:szCs w:val="20"/>
          <w:lang w:val="en-IN"/>
        </w:rPr>
        <w:t>Pebam</w:t>
      </w:r>
      <w:proofErr w:type="spellEnd"/>
      <w:r w:rsidRPr="00FA5F9E">
        <w:rPr>
          <w:rFonts w:ascii="Arial" w:hAnsi="Arial" w:cs="Arial"/>
          <w:bCs/>
          <w:iCs/>
          <w:sz w:val="20"/>
          <w:szCs w:val="20"/>
          <w:lang w:val="en-IN"/>
        </w:rPr>
        <w:t xml:space="preserve"> (2015).</w:t>
      </w:r>
      <w:r>
        <w:rPr>
          <w:rFonts w:ascii="Arial" w:hAnsi="Arial" w:cs="Arial"/>
          <w:bCs/>
          <w:iCs/>
          <w:sz w:val="20"/>
          <w:szCs w:val="20"/>
          <w:lang w:val="en-IN"/>
        </w:rPr>
        <w:t xml:space="preserve"> </w:t>
      </w:r>
      <w:r w:rsidR="00135983" w:rsidRPr="00EA7007">
        <w:rPr>
          <w:rFonts w:ascii="Arial" w:hAnsi="Arial" w:cs="Arial"/>
          <w:bCs/>
          <w:iCs/>
          <w:sz w:val="20"/>
          <w:szCs w:val="20"/>
          <w:lang w:val="en-IN"/>
        </w:rPr>
        <w:t>In Nagaland, Singh et al. (2014) recorded 122 species fr</w:t>
      </w:r>
      <w:r w:rsidR="005F0B5F">
        <w:rPr>
          <w:rFonts w:ascii="Arial" w:hAnsi="Arial" w:cs="Arial"/>
          <w:bCs/>
          <w:iCs/>
          <w:sz w:val="20"/>
          <w:szCs w:val="20"/>
          <w:lang w:val="en-IN"/>
        </w:rPr>
        <w:t xml:space="preserve">om </w:t>
      </w:r>
      <w:proofErr w:type="spellStart"/>
      <w:r w:rsidR="005F0B5F">
        <w:rPr>
          <w:rFonts w:ascii="Arial" w:hAnsi="Arial" w:cs="Arial"/>
          <w:bCs/>
          <w:iCs/>
          <w:sz w:val="20"/>
          <w:szCs w:val="20"/>
          <w:lang w:val="en-IN"/>
        </w:rPr>
        <w:t>Tanhai</w:t>
      </w:r>
      <w:proofErr w:type="spellEnd"/>
      <w:r w:rsidR="005F0B5F">
        <w:rPr>
          <w:rFonts w:ascii="Arial" w:hAnsi="Arial" w:cs="Arial"/>
          <w:bCs/>
          <w:iCs/>
          <w:sz w:val="20"/>
          <w:szCs w:val="20"/>
          <w:lang w:val="en-IN"/>
        </w:rPr>
        <w:t xml:space="preserve">, 87 species from Mon </w:t>
      </w:r>
      <w:r w:rsidR="00135983" w:rsidRPr="00EA7007">
        <w:rPr>
          <w:rFonts w:ascii="Arial" w:hAnsi="Arial" w:cs="Arial"/>
          <w:bCs/>
          <w:iCs/>
          <w:sz w:val="20"/>
          <w:szCs w:val="20"/>
          <w:lang w:val="en-IN"/>
        </w:rPr>
        <w:t xml:space="preserve">and 45 species from </w:t>
      </w:r>
      <w:proofErr w:type="spellStart"/>
      <w:r w:rsidR="00135983" w:rsidRPr="00EA7007">
        <w:rPr>
          <w:rFonts w:ascii="Arial" w:hAnsi="Arial" w:cs="Arial"/>
          <w:bCs/>
          <w:iCs/>
          <w:sz w:val="20"/>
          <w:szCs w:val="20"/>
          <w:lang w:val="en-IN"/>
        </w:rPr>
        <w:t>Liangnyu</w:t>
      </w:r>
      <w:proofErr w:type="spellEnd"/>
      <w:r w:rsidR="00135983" w:rsidRPr="00EA7007">
        <w:rPr>
          <w:rFonts w:ascii="Arial" w:hAnsi="Arial" w:cs="Arial"/>
          <w:bCs/>
          <w:iCs/>
          <w:sz w:val="20"/>
          <w:szCs w:val="20"/>
          <w:lang w:val="en-IN"/>
        </w:rPr>
        <w:t xml:space="preserve">. From </w:t>
      </w:r>
      <w:proofErr w:type="spellStart"/>
      <w:r w:rsidR="00135983" w:rsidRPr="00EA7007">
        <w:rPr>
          <w:rFonts w:ascii="Arial" w:hAnsi="Arial" w:cs="Arial"/>
          <w:bCs/>
          <w:iCs/>
          <w:sz w:val="20"/>
          <w:szCs w:val="20"/>
          <w:lang w:val="en-IN"/>
        </w:rPr>
        <w:t>Dzongu</w:t>
      </w:r>
      <w:proofErr w:type="spellEnd"/>
      <w:r w:rsidR="00135983" w:rsidRPr="00EA7007">
        <w:rPr>
          <w:rFonts w:ascii="Arial" w:hAnsi="Arial" w:cs="Arial"/>
          <w:bCs/>
          <w:iCs/>
          <w:sz w:val="20"/>
          <w:szCs w:val="20"/>
          <w:lang w:val="en-IN"/>
        </w:rPr>
        <w:t xml:space="preserve"> in Sikkim, </w:t>
      </w:r>
      <w:proofErr w:type="spellStart"/>
      <w:r w:rsidR="00135983" w:rsidRPr="00EA7007">
        <w:rPr>
          <w:rFonts w:ascii="Arial" w:hAnsi="Arial" w:cs="Arial"/>
          <w:bCs/>
          <w:iCs/>
          <w:sz w:val="20"/>
          <w:szCs w:val="20"/>
          <w:lang w:val="en-IN"/>
        </w:rPr>
        <w:t>Lepcha</w:t>
      </w:r>
      <w:proofErr w:type="spellEnd"/>
      <w:r w:rsidR="00135983" w:rsidRPr="00EA7007">
        <w:rPr>
          <w:rFonts w:ascii="Arial" w:hAnsi="Arial" w:cs="Arial"/>
          <w:bCs/>
          <w:iCs/>
          <w:sz w:val="20"/>
          <w:szCs w:val="20"/>
          <w:lang w:val="en-IN"/>
        </w:rPr>
        <w:t xml:space="preserve"> et al. (2019) reported 102 plant species. In Tripura, studies documented significant variation in species richness: 148 species were recorded by Das and Datta (2018</w:t>
      </w:r>
      <w:r w:rsidR="000A4FDD" w:rsidRPr="00EA7007">
        <w:rPr>
          <w:rFonts w:ascii="Arial" w:hAnsi="Arial" w:cs="Arial"/>
          <w:bCs/>
          <w:iCs/>
          <w:sz w:val="20"/>
          <w:szCs w:val="20"/>
          <w:lang w:val="en-IN"/>
        </w:rPr>
        <w:t>a</w:t>
      </w:r>
      <w:r w:rsidR="00135983" w:rsidRPr="00EA7007">
        <w:rPr>
          <w:rFonts w:ascii="Arial" w:hAnsi="Arial" w:cs="Arial"/>
          <w:bCs/>
          <w:iCs/>
          <w:sz w:val="20"/>
          <w:szCs w:val="20"/>
          <w:lang w:val="en-IN"/>
        </w:rPr>
        <w:t xml:space="preserve">), with Leguminosae and </w:t>
      </w:r>
      <w:proofErr w:type="spellStart"/>
      <w:r w:rsidR="00135983" w:rsidRPr="00EA7007">
        <w:rPr>
          <w:rFonts w:ascii="Arial" w:hAnsi="Arial" w:cs="Arial"/>
          <w:bCs/>
          <w:iCs/>
          <w:sz w:val="20"/>
          <w:szCs w:val="20"/>
          <w:lang w:val="en-IN"/>
        </w:rPr>
        <w:t>Poaceae</w:t>
      </w:r>
      <w:proofErr w:type="spellEnd"/>
      <w:r w:rsidR="00135983" w:rsidRPr="00EA7007">
        <w:rPr>
          <w:rFonts w:ascii="Arial" w:hAnsi="Arial" w:cs="Arial"/>
          <w:bCs/>
          <w:iCs/>
          <w:sz w:val="20"/>
          <w:szCs w:val="20"/>
          <w:lang w:val="en-IN"/>
        </w:rPr>
        <w:t xml:space="preserve"> as the dominant families; 93 species were reported by Deb et al. (2014), and 69 species by </w:t>
      </w:r>
      <w:proofErr w:type="spellStart"/>
      <w:r w:rsidR="00135983" w:rsidRPr="00EA7007">
        <w:rPr>
          <w:rFonts w:ascii="Arial" w:hAnsi="Arial" w:cs="Arial"/>
          <w:bCs/>
          <w:iCs/>
          <w:sz w:val="20"/>
          <w:szCs w:val="20"/>
          <w:lang w:val="en-IN"/>
        </w:rPr>
        <w:t>Debbarma</w:t>
      </w:r>
      <w:proofErr w:type="spellEnd"/>
      <w:r w:rsidR="00135983" w:rsidRPr="00EA7007">
        <w:rPr>
          <w:rFonts w:ascii="Arial" w:hAnsi="Arial" w:cs="Arial"/>
          <w:bCs/>
          <w:iCs/>
          <w:sz w:val="20"/>
          <w:szCs w:val="20"/>
          <w:lang w:val="en-IN"/>
        </w:rPr>
        <w:t xml:space="preserve"> et al. (2015).</w:t>
      </w:r>
      <w:r w:rsidR="001E42C4">
        <w:rPr>
          <w:rFonts w:ascii="Arial" w:hAnsi="Arial" w:cs="Arial"/>
          <w:bCs/>
          <w:iCs/>
          <w:sz w:val="20"/>
          <w:szCs w:val="20"/>
          <w:lang w:val="en-IN"/>
        </w:rPr>
        <w:t xml:space="preserve"> </w:t>
      </w:r>
      <w:r w:rsidR="00135983" w:rsidRPr="00EA7007">
        <w:rPr>
          <w:rFonts w:ascii="Arial" w:hAnsi="Arial" w:cs="Arial"/>
          <w:bCs/>
          <w:iCs/>
          <w:sz w:val="20"/>
          <w:szCs w:val="20"/>
          <w:lang w:val="en-IN"/>
        </w:rPr>
        <w:t xml:space="preserve">A consolidated summary of the number of plant species documented in </w:t>
      </w:r>
      <w:proofErr w:type="spellStart"/>
      <w:r w:rsidR="00135983" w:rsidRPr="00EA7007">
        <w:rPr>
          <w:rFonts w:ascii="Arial" w:hAnsi="Arial" w:cs="Arial"/>
          <w:bCs/>
          <w:iCs/>
          <w:sz w:val="20"/>
          <w:szCs w:val="20"/>
          <w:lang w:val="en-IN"/>
        </w:rPr>
        <w:t>homegardens</w:t>
      </w:r>
      <w:proofErr w:type="spellEnd"/>
      <w:r w:rsidR="00135983" w:rsidRPr="00EA7007">
        <w:rPr>
          <w:rFonts w:ascii="Arial" w:hAnsi="Arial" w:cs="Arial"/>
          <w:bCs/>
          <w:iCs/>
          <w:sz w:val="20"/>
          <w:szCs w:val="20"/>
          <w:lang w:val="en-IN"/>
        </w:rPr>
        <w:t xml:space="preserve"> across various north</w:t>
      </w:r>
      <w:r w:rsidR="000E40D4" w:rsidRPr="00EA7007">
        <w:rPr>
          <w:rFonts w:ascii="Arial" w:hAnsi="Arial" w:cs="Arial"/>
          <w:bCs/>
          <w:iCs/>
          <w:sz w:val="20"/>
          <w:szCs w:val="20"/>
          <w:lang w:val="en-IN"/>
        </w:rPr>
        <w:t>-</w:t>
      </w:r>
      <w:r w:rsidR="00135983" w:rsidRPr="00EA7007">
        <w:rPr>
          <w:rFonts w:ascii="Arial" w:hAnsi="Arial" w:cs="Arial"/>
          <w:bCs/>
          <w:iCs/>
          <w:sz w:val="20"/>
          <w:szCs w:val="20"/>
          <w:lang w:val="en-IN"/>
        </w:rPr>
        <w:t>eastern states of India, as reported by differen</w:t>
      </w:r>
      <w:r w:rsidR="00777821">
        <w:rPr>
          <w:rFonts w:ascii="Arial" w:hAnsi="Arial" w:cs="Arial"/>
          <w:bCs/>
          <w:iCs/>
          <w:sz w:val="20"/>
          <w:szCs w:val="20"/>
          <w:lang w:val="en-IN"/>
        </w:rPr>
        <w:t xml:space="preserve">t authors, is provided in Table </w:t>
      </w:r>
      <w:r w:rsidR="00135983" w:rsidRPr="00EA7007">
        <w:rPr>
          <w:rFonts w:ascii="Arial" w:hAnsi="Arial" w:cs="Arial"/>
          <w:bCs/>
          <w:iCs/>
          <w:sz w:val="20"/>
          <w:szCs w:val="20"/>
          <w:lang w:val="en-IN"/>
        </w:rPr>
        <w:t>1.</w:t>
      </w:r>
    </w:p>
    <w:p w14:paraId="58C15C32" w14:textId="77777777" w:rsidR="00777821" w:rsidRPr="00777821" w:rsidRDefault="00777821" w:rsidP="00E064AE">
      <w:pPr>
        <w:spacing w:after="0" w:line="240" w:lineRule="auto"/>
        <w:ind w:firstLine="720"/>
        <w:rPr>
          <w:rFonts w:ascii="Arial" w:hAnsi="Arial" w:cs="Arial"/>
          <w:bCs/>
          <w:iCs/>
          <w:sz w:val="20"/>
          <w:szCs w:val="20"/>
          <w:lang w:val="en-IN"/>
        </w:rPr>
      </w:pPr>
    </w:p>
    <w:p w14:paraId="0CFACBE0" w14:textId="77777777" w:rsidR="00777821" w:rsidRPr="00173D6A" w:rsidRDefault="00777821" w:rsidP="00777821">
      <w:pPr>
        <w:spacing w:after="0" w:line="240" w:lineRule="auto"/>
        <w:ind w:firstLine="720"/>
        <w:rPr>
          <w:rFonts w:ascii="Arial" w:hAnsi="Arial" w:cs="Arial"/>
          <w:iCs/>
          <w:sz w:val="20"/>
          <w:szCs w:val="20"/>
          <w:lang w:val="en-IN"/>
        </w:rPr>
      </w:pPr>
      <w:r w:rsidRPr="00173D6A">
        <w:rPr>
          <w:rFonts w:ascii="Arial" w:eastAsia="Times New Roman" w:hAnsi="Arial" w:cs="Arial"/>
          <w:b/>
          <w:bCs/>
          <w:sz w:val="20"/>
          <w:szCs w:val="20"/>
        </w:rPr>
        <w:t xml:space="preserve">Table1: </w:t>
      </w:r>
      <w:r w:rsidRPr="00173D6A">
        <w:rPr>
          <w:rFonts w:ascii="Arial" w:hAnsi="Arial" w:cs="Arial"/>
          <w:iCs/>
          <w:sz w:val="20"/>
          <w:szCs w:val="20"/>
          <w:lang w:val="en-IN"/>
        </w:rPr>
        <w:t>Number of plant species recorded in various home gardens of North East India</w:t>
      </w:r>
    </w:p>
    <w:p w14:paraId="0C00AE1C" w14:textId="77777777" w:rsidR="000A6536" w:rsidRPr="00173D6A" w:rsidRDefault="000A6536" w:rsidP="00777821">
      <w:pPr>
        <w:spacing w:after="0" w:line="240" w:lineRule="auto"/>
        <w:ind w:firstLine="720"/>
        <w:rPr>
          <w:rFonts w:ascii="Arial" w:hAnsi="Arial" w:cs="Arial"/>
          <w:iCs/>
          <w:sz w:val="20"/>
          <w:szCs w:val="20"/>
          <w:lang w:val="en-IN"/>
        </w:rPr>
      </w:pPr>
    </w:p>
    <w:tbl>
      <w:tblPr>
        <w:tblW w:w="4887" w:type="pct"/>
        <w:tblInd w:w="108" w:type="dxa"/>
        <w:tblBorders>
          <w:top w:val="single" w:sz="6" w:space="0" w:color="auto"/>
          <w:bottom w:val="single" w:sz="6" w:space="0" w:color="auto"/>
          <w:insideH w:val="single" w:sz="6" w:space="0" w:color="auto"/>
        </w:tblBorders>
        <w:tblLook w:val="04A0" w:firstRow="1" w:lastRow="0" w:firstColumn="1" w:lastColumn="0" w:noHBand="0" w:noVBand="1"/>
      </w:tblPr>
      <w:tblGrid>
        <w:gridCol w:w="1195"/>
        <w:gridCol w:w="1327"/>
        <w:gridCol w:w="1659"/>
        <w:gridCol w:w="5179"/>
      </w:tblGrid>
      <w:tr w:rsidR="00777821" w:rsidRPr="00173D6A" w14:paraId="3513971C" w14:textId="77777777" w:rsidTr="002C35F4">
        <w:trPr>
          <w:trHeight w:val="469"/>
        </w:trPr>
        <w:tc>
          <w:tcPr>
            <w:tcW w:w="624" w:type="pct"/>
            <w:vAlign w:val="center"/>
            <w:hideMark/>
          </w:tcPr>
          <w:p w14:paraId="0C6BFE76" w14:textId="77777777" w:rsidR="00777821" w:rsidRPr="00173D6A" w:rsidRDefault="00777821" w:rsidP="00777821">
            <w:pPr>
              <w:spacing w:after="0" w:line="240" w:lineRule="auto"/>
              <w:rPr>
                <w:rFonts w:ascii="Arial" w:eastAsia="Times New Roman" w:hAnsi="Arial" w:cs="Arial"/>
                <w:b/>
                <w:bCs/>
                <w:sz w:val="20"/>
                <w:szCs w:val="20"/>
              </w:rPr>
            </w:pPr>
            <w:r w:rsidRPr="00173D6A">
              <w:rPr>
                <w:rFonts w:ascii="Arial" w:eastAsia="Times New Roman" w:hAnsi="Arial" w:cs="Arial"/>
                <w:b/>
                <w:bCs/>
                <w:sz w:val="20"/>
                <w:szCs w:val="20"/>
              </w:rPr>
              <w:t>State</w:t>
            </w:r>
          </w:p>
        </w:tc>
        <w:tc>
          <w:tcPr>
            <w:tcW w:w="682" w:type="pct"/>
            <w:vAlign w:val="center"/>
            <w:hideMark/>
          </w:tcPr>
          <w:p w14:paraId="260D9D2E" w14:textId="77777777" w:rsidR="00777821" w:rsidRPr="00173D6A" w:rsidRDefault="00777821" w:rsidP="002C35F4">
            <w:pPr>
              <w:spacing w:after="0" w:line="240" w:lineRule="auto"/>
              <w:rPr>
                <w:rFonts w:ascii="Arial" w:eastAsia="Times New Roman" w:hAnsi="Arial" w:cs="Arial"/>
                <w:b/>
                <w:bCs/>
                <w:sz w:val="20"/>
                <w:szCs w:val="20"/>
              </w:rPr>
            </w:pPr>
            <w:r w:rsidRPr="00173D6A">
              <w:rPr>
                <w:rFonts w:ascii="Arial" w:eastAsia="Times New Roman" w:hAnsi="Arial" w:cs="Arial"/>
                <w:b/>
                <w:bCs/>
                <w:sz w:val="20"/>
                <w:szCs w:val="20"/>
              </w:rPr>
              <w:t>Mean no. of plant species</w:t>
            </w:r>
          </w:p>
        </w:tc>
        <w:tc>
          <w:tcPr>
            <w:tcW w:w="907" w:type="pct"/>
            <w:vAlign w:val="center"/>
          </w:tcPr>
          <w:p w14:paraId="7353BCE8" w14:textId="77777777" w:rsidR="00777821" w:rsidRPr="00173D6A" w:rsidRDefault="00777821" w:rsidP="002C35F4">
            <w:pPr>
              <w:spacing w:after="0" w:line="240" w:lineRule="auto"/>
              <w:rPr>
                <w:rFonts w:ascii="Arial" w:eastAsia="Times New Roman" w:hAnsi="Arial" w:cs="Arial"/>
                <w:b/>
                <w:bCs/>
                <w:sz w:val="20"/>
                <w:szCs w:val="20"/>
              </w:rPr>
            </w:pPr>
            <w:r w:rsidRPr="00173D6A">
              <w:rPr>
                <w:rFonts w:ascii="Arial" w:eastAsia="Times New Roman" w:hAnsi="Arial" w:cs="Arial"/>
                <w:b/>
                <w:bCs/>
                <w:sz w:val="20"/>
                <w:szCs w:val="20"/>
              </w:rPr>
              <w:t>Range</w:t>
            </w:r>
          </w:p>
        </w:tc>
        <w:tc>
          <w:tcPr>
            <w:tcW w:w="2786" w:type="pct"/>
            <w:vAlign w:val="center"/>
            <w:hideMark/>
          </w:tcPr>
          <w:p w14:paraId="6E831042" w14:textId="77777777" w:rsidR="00777821" w:rsidRPr="00173D6A" w:rsidRDefault="00777821" w:rsidP="002C35F4">
            <w:pPr>
              <w:spacing w:after="0" w:line="240" w:lineRule="auto"/>
              <w:jc w:val="both"/>
              <w:rPr>
                <w:rFonts w:ascii="Arial" w:eastAsia="Times New Roman" w:hAnsi="Arial" w:cs="Arial"/>
                <w:b/>
                <w:bCs/>
                <w:sz w:val="20"/>
                <w:szCs w:val="20"/>
              </w:rPr>
            </w:pPr>
            <w:r w:rsidRPr="00173D6A">
              <w:rPr>
                <w:rFonts w:ascii="Arial" w:eastAsia="Times New Roman" w:hAnsi="Arial" w:cs="Arial"/>
                <w:b/>
                <w:bCs/>
                <w:sz w:val="20"/>
                <w:szCs w:val="20"/>
              </w:rPr>
              <w:t>References</w:t>
            </w:r>
          </w:p>
        </w:tc>
      </w:tr>
      <w:tr w:rsidR="00777821" w:rsidRPr="00173D6A" w14:paraId="69D2FB42" w14:textId="77777777" w:rsidTr="002C35F4">
        <w:trPr>
          <w:trHeight w:val="170"/>
        </w:trPr>
        <w:tc>
          <w:tcPr>
            <w:tcW w:w="624" w:type="pct"/>
            <w:vAlign w:val="center"/>
            <w:hideMark/>
          </w:tcPr>
          <w:p w14:paraId="4B98CCA3"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Arunachal Pradesh</w:t>
            </w:r>
          </w:p>
        </w:tc>
        <w:tc>
          <w:tcPr>
            <w:tcW w:w="682" w:type="pct"/>
            <w:vAlign w:val="center"/>
            <w:hideMark/>
          </w:tcPr>
          <w:p w14:paraId="3FEF5D49"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131.0±104.7</w:t>
            </w:r>
          </w:p>
        </w:tc>
        <w:tc>
          <w:tcPr>
            <w:tcW w:w="907" w:type="pct"/>
            <w:vAlign w:val="center"/>
          </w:tcPr>
          <w:p w14:paraId="5CDA8BB7"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57 to 205</w:t>
            </w:r>
          </w:p>
        </w:tc>
        <w:tc>
          <w:tcPr>
            <w:tcW w:w="2786" w:type="pct"/>
            <w:vAlign w:val="center"/>
            <w:hideMark/>
          </w:tcPr>
          <w:p w14:paraId="472ECF49" w14:textId="77777777" w:rsidR="00777821" w:rsidRPr="00173D6A" w:rsidRDefault="001E42C4" w:rsidP="002C35F4">
            <w:pPr>
              <w:spacing w:after="0" w:line="240" w:lineRule="auto"/>
              <w:jc w:val="both"/>
              <w:rPr>
                <w:rFonts w:ascii="Arial" w:eastAsia="Times New Roman" w:hAnsi="Arial" w:cs="Arial"/>
                <w:color w:val="FF0000"/>
                <w:sz w:val="20"/>
                <w:szCs w:val="20"/>
              </w:rPr>
            </w:pPr>
            <w:proofErr w:type="spellStart"/>
            <w:r w:rsidRPr="00173D6A">
              <w:rPr>
                <w:rFonts w:ascii="Arial" w:eastAsia="Times New Roman" w:hAnsi="Arial" w:cs="Arial"/>
                <w:sz w:val="20"/>
                <w:szCs w:val="20"/>
              </w:rPr>
              <w:t>Zimik</w:t>
            </w:r>
            <w:proofErr w:type="spellEnd"/>
            <w:r w:rsidRPr="00173D6A">
              <w:rPr>
                <w:rFonts w:ascii="Arial" w:eastAsia="Times New Roman" w:hAnsi="Arial" w:cs="Arial"/>
                <w:sz w:val="20"/>
                <w:szCs w:val="20"/>
              </w:rPr>
              <w:t xml:space="preserve"> et al.  (2012), </w:t>
            </w:r>
            <w:proofErr w:type="spellStart"/>
            <w:r w:rsidR="00777821" w:rsidRPr="00173D6A">
              <w:rPr>
                <w:rFonts w:ascii="Arial" w:eastAsia="Times New Roman" w:hAnsi="Arial" w:cs="Arial"/>
                <w:sz w:val="20"/>
                <w:szCs w:val="20"/>
              </w:rPr>
              <w:t>Tangjang</w:t>
            </w:r>
            <w:proofErr w:type="spellEnd"/>
            <w:r w:rsidR="00777821" w:rsidRPr="00173D6A">
              <w:rPr>
                <w:rFonts w:ascii="Arial" w:eastAsia="Times New Roman" w:hAnsi="Arial" w:cs="Arial"/>
                <w:sz w:val="20"/>
                <w:szCs w:val="20"/>
              </w:rPr>
              <w:t xml:space="preserve"> and Arunachalam (2017)</w:t>
            </w:r>
          </w:p>
        </w:tc>
      </w:tr>
      <w:tr w:rsidR="00777821" w:rsidRPr="00173D6A" w14:paraId="6D18C1CB" w14:textId="77777777" w:rsidTr="002C35F4">
        <w:trPr>
          <w:trHeight w:val="170"/>
        </w:trPr>
        <w:tc>
          <w:tcPr>
            <w:tcW w:w="624" w:type="pct"/>
            <w:vAlign w:val="center"/>
            <w:hideMark/>
          </w:tcPr>
          <w:p w14:paraId="5DFE07B7"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Assam</w:t>
            </w:r>
          </w:p>
        </w:tc>
        <w:tc>
          <w:tcPr>
            <w:tcW w:w="682" w:type="pct"/>
            <w:vAlign w:val="center"/>
            <w:hideMark/>
          </w:tcPr>
          <w:p w14:paraId="757AD12B"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170.1±94.0</w:t>
            </w:r>
          </w:p>
        </w:tc>
        <w:tc>
          <w:tcPr>
            <w:tcW w:w="907" w:type="pct"/>
            <w:vAlign w:val="center"/>
          </w:tcPr>
          <w:p w14:paraId="03B748B9"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46 to 323</w:t>
            </w:r>
          </w:p>
        </w:tc>
        <w:tc>
          <w:tcPr>
            <w:tcW w:w="2786" w:type="pct"/>
            <w:vAlign w:val="center"/>
            <w:hideMark/>
          </w:tcPr>
          <w:p w14:paraId="296D9C7A" w14:textId="77777777" w:rsidR="00777821" w:rsidRPr="00173D6A" w:rsidRDefault="00777821" w:rsidP="002C35F4">
            <w:pPr>
              <w:spacing w:after="0" w:line="240" w:lineRule="auto"/>
              <w:jc w:val="both"/>
              <w:rPr>
                <w:rFonts w:ascii="Arial" w:eastAsia="Times New Roman" w:hAnsi="Arial" w:cs="Arial"/>
                <w:color w:val="FF0000"/>
                <w:sz w:val="20"/>
                <w:szCs w:val="20"/>
              </w:rPr>
            </w:pPr>
            <w:r w:rsidRPr="00173D6A">
              <w:rPr>
                <w:rFonts w:ascii="Arial" w:eastAsia="Times New Roman" w:hAnsi="Arial" w:cs="Arial"/>
                <w:sz w:val="20"/>
                <w:szCs w:val="20"/>
              </w:rPr>
              <w:t>Das and Das (2005),</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Devi and Das (2010),</w:t>
            </w:r>
            <w:r w:rsidR="001E42C4" w:rsidRPr="00173D6A">
              <w:rPr>
                <w:rFonts w:ascii="Arial" w:eastAsia="Times New Roman" w:hAnsi="Arial" w:cs="Arial"/>
                <w:sz w:val="20"/>
                <w:szCs w:val="20"/>
              </w:rPr>
              <w:t xml:space="preserve"> </w:t>
            </w:r>
            <w:proofErr w:type="spellStart"/>
            <w:r w:rsidRPr="00173D6A">
              <w:rPr>
                <w:rFonts w:ascii="Arial" w:eastAsia="Times New Roman" w:hAnsi="Arial" w:cs="Arial"/>
                <w:sz w:val="20"/>
                <w:szCs w:val="20"/>
              </w:rPr>
              <w:t>Zimik</w:t>
            </w:r>
            <w:proofErr w:type="spellEnd"/>
            <w:r w:rsidRPr="00173D6A">
              <w:rPr>
                <w:rFonts w:ascii="Arial" w:eastAsia="Times New Roman" w:hAnsi="Arial" w:cs="Arial"/>
                <w:sz w:val="20"/>
                <w:szCs w:val="20"/>
              </w:rPr>
              <w:t xml:space="preserve"> et al.  (2012),</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Goswami et al.  (2011</w:t>
            </w:r>
            <w:proofErr w:type="gramStart"/>
            <w:r w:rsidRPr="00173D6A">
              <w:rPr>
                <w:rFonts w:ascii="Arial" w:eastAsia="Times New Roman" w:hAnsi="Arial" w:cs="Arial"/>
                <w:sz w:val="20"/>
                <w:szCs w:val="20"/>
              </w:rPr>
              <w:t>),</w:t>
            </w:r>
            <w:proofErr w:type="spellStart"/>
            <w:r w:rsidRPr="00173D6A">
              <w:rPr>
                <w:rFonts w:ascii="Arial" w:eastAsia="Times New Roman" w:hAnsi="Arial" w:cs="Arial"/>
                <w:sz w:val="20"/>
                <w:szCs w:val="20"/>
              </w:rPr>
              <w:t>Saikia</w:t>
            </w:r>
            <w:proofErr w:type="spellEnd"/>
            <w:proofErr w:type="gramEnd"/>
            <w:r w:rsidRPr="00173D6A">
              <w:rPr>
                <w:rFonts w:ascii="Arial" w:eastAsia="Times New Roman" w:hAnsi="Arial" w:cs="Arial"/>
                <w:sz w:val="20"/>
                <w:szCs w:val="20"/>
              </w:rPr>
              <w:t xml:space="preserve"> and Khan (2014),</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Das and Das (2015),</w:t>
            </w:r>
            <w:r w:rsidR="001E42C4" w:rsidRPr="00173D6A">
              <w:rPr>
                <w:rFonts w:ascii="Arial" w:eastAsia="Times New Roman" w:hAnsi="Arial" w:cs="Arial"/>
                <w:sz w:val="20"/>
                <w:szCs w:val="20"/>
              </w:rPr>
              <w:t xml:space="preserve"> </w:t>
            </w:r>
            <w:proofErr w:type="spellStart"/>
            <w:r w:rsidRPr="00173D6A">
              <w:rPr>
                <w:rFonts w:ascii="Arial" w:eastAsia="Times New Roman" w:hAnsi="Arial" w:cs="Arial"/>
                <w:sz w:val="20"/>
                <w:szCs w:val="20"/>
              </w:rPr>
              <w:t>Tangjang</w:t>
            </w:r>
            <w:proofErr w:type="spellEnd"/>
            <w:r w:rsidRPr="00173D6A">
              <w:rPr>
                <w:rFonts w:ascii="Arial" w:eastAsia="Times New Roman" w:hAnsi="Arial" w:cs="Arial"/>
                <w:sz w:val="20"/>
                <w:szCs w:val="20"/>
              </w:rPr>
              <w:t xml:space="preserve"> and Arunachalam (2017)</w:t>
            </w:r>
          </w:p>
        </w:tc>
      </w:tr>
      <w:tr w:rsidR="00777821" w:rsidRPr="00173D6A" w14:paraId="76FA1D99" w14:textId="77777777" w:rsidTr="002C35F4">
        <w:trPr>
          <w:trHeight w:val="170"/>
        </w:trPr>
        <w:tc>
          <w:tcPr>
            <w:tcW w:w="624" w:type="pct"/>
            <w:vAlign w:val="center"/>
            <w:hideMark/>
          </w:tcPr>
          <w:p w14:paraId="69CF81E7"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Manipur</w:t>
            </w:r>
          </w:p>
        </w:tc>
        <w:tc>
          <w:tcPr>
            <w:tcW w:w="682" w:type="pct"/>
            <w:vAlign w:val="center"/>
            <w:hideMark/>
          </w:tcPr>
          <w:p w14:paraId="58B7702E"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87.5±46.0</w:t>
            </w:r>
          </w:p>
        </w:tc>
        <w:tc>
          <w:tcPr>
            <w:tcW w:w="907" w:type="pct"/>
            <w:vAlign w:val="center"/>
          </w:tcPr>
          <w:p w14:paraId="105778D2"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55 to 120</w:t>
            </w:r>
          </w:p>
        </w:tc>
        <w:tc>
          <w:tcPr>
            <w:tcW w:w="2786" w:type="pct"/>
            <w:vAlign w:val="center"/>
            <w:hideMark/>
          </w:tcPr>
          <w:p w14:paraId="06C2B72E" w14:textId="77777777" w:rsidR="00777821" w:rsidRPr="00173D6A" w:rsidRDefault="00777821" w:rsidP="002C35F4">
            <w:pPr>
              <w:spacing w:after="0" w:line="240" w:lineRule="auto"/>
              <w:jc w:val="both"/>
              <w:rPr>
                <w:rFonts w:ascii="Arial" w:eastAsia="Times New Roman" w:hAnsi="Arial" w:cs="Arial"/>
                <w:color w:val="FF0000"/>
                <w:sz w:val="20"/>
                <w:szCs w:val="20"/>
              </w:rPr>
            </w:pPr>
            <w:proofErr w:type="spellStart"/>
            <w:r w:rsidRPr="00173D6A">
              <w:rPr>
                <w:rFonts w:ascii="Arial" w:eastAsia="Times New Roman" w:hAnsi="Arial" w:cs="Arial"/>
                <w:sz w:val="20"/>
                <w:szCs w:val="20"/>
              </w:rPr>
              <w:t>Maibam</w:t>
            </w:r>
            <w:proofErr w:type="spellEnd"/>
            <w:r w:rsidRPr="00173D6A">
              <w:rPr>
                <w:rFonts w:ascii="Arial" w:eastAsia="Times New Roman" w:hAnsi="Arial" w:cs="Arial"/>
                <w:sz w:val="20"/>
                <w:szCs w:val="20"/>
              </w:rPr>
              <w:t xml:space="preserve"> and Gupta (2007),</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Salam et al.  (2011)</w:t>
            </w:r>
          </w:p>
        </w:tc>
      </w:tr>
      <w:tr w:rsidR="00777821" w:rsidRPr="00173D6A" w14:paraId="24B011FF" w14:textId="77777777" w:rsidTr="002C35F4">
        <w:trPr>
          <w:trHeight w:val="170"/>
        </w:trPr>
        <w:tc>
          <w:tcPr>
            <w:tcW w:w="624" w:type="pct"/>
            <w:vAlign w:val="center"/>
            <w:hideMark/>
          </w:tcPr>
          <w:p w14:paraId="744E7821"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Meghalaya</w:t>
            </w:r>
          </w:p>
        </w:tc>
        <w:tc>
          <w:tcPr>
            <w:tcW w:w="682" w:type="pct"/>
            <w:vAlign w:val="center"/>
            <w:hideMark/>
          </w:tcPr>
          <w:p w14:paraId="01638C71"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178.5±26.2</w:t>
            </w:r>
          </w:p>
        </w:tc>
        <w:tc>
          <w:tcPr>
            <w:tcW w:w="907" w:type="pct"/>
            <w:vAlign w:val="center"/>
          </w:tcPr>
          <w:p w14:paraId="630F87AA"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160 to 197</w:t>
            </w:r>
          </w:p>
        </w:tc>
        <w:tc>
          <w:tcPr>
            <w:tcW w:w="2786" w:type="pct"/>
            <w:vAlign w:val="center"/>
            <w:hideMark/>
          </w:tcPr>
          <w:p w14:paraId="65D482F0" w14:textId="77777777" w:rsidR="00777821" w:rsidRPr="00173D6A" w:rsidRDefault="00777821" w:rsidP="002C35F4">
            <w:pPr>
              <w:spacing w:after="0" w:line="240" w:lineRule="auto"/>
              <w:jc w:val="both"/>
              <w:rPr>
                <w:rFonts w:ascii="Arial" w:eastAsia="Times New Roman" w:hAnsi="Arial" w:cs="Arial"/>
                <w:sz w:val="20"/>
                <w:szCs w:val="20"/>
              </w:rPr>
            </w:pPr>
            <w:proofErr w:type="spellStart"/>
            <w:r w:rsidRPr="00173D6A">
              <w:rPr>
                <w:rFonts w:ascii="Arial" w:eastAsia="Times New Roman" w:hAnsi="Arial" w:cs="Arial"/>
                <w:sz w:val="20"/>
                <w:szCs w:val="20"/>
              </w:rPr>
              <w:t>Tynsong</w:t>
            </w:r>
            <w:proofErr w:type="spellEnd"/>
            <w:r w:rsidRPr="00173D6A">
              <w:rPr>
                <w:rFonts w:ascii="Arial" w:eastAsia="Times New Roman" w:hAnsi="Arial" w:cs="Arial"/>
                <w:sz w:val="20"/>
                <w:szCs w:val="20"/>
              </w:rPr>
              <w:t xml:space="preserve"> and Tiwari (2010 a, b)</w:t>
            </w:r>
          </w:p>
        </w:tc>
      </w:tr>
      <w:tr w:rsidR="00777821" w:rsidRPr="00173D6A" w14:paraId="2F579CC9" w14:textId="77777777" w:rsidTr="002C35F4">
        <w:trPr>
          <w:trHeight w:val="170"/>
        </w:trPr>
        <w:tc>
          <w:tcPr>
            <w:tcW w:w="624" w:type="pct"/>
            <w:vAlign w:val="center"/>
            <w:hideMark/>
          </w:tcPr>
          <w:p w14:paraId="11AF3131"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Mizoram</w:t>
            </w:r>
          </w:p>
        </w:tc>
        <w:tc>
          <w:tcPr>
            <w:tcW w:w="682" w:type="pct"/>
            <w:vAlign w:val="center"/>
            <w:hideMark/>
          </w:tcPr>
          <w:p w14:paraId="08FED835"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342.0±12.7</w:t>
            </w:r>
          </w:p>
        </w:tc>
        <w:tc>
          <w:tcPr>
            <w:tcW w:w="907" w:type="pct"/>
            <w:vAlign w:val="center"/>
          </w:tcPr>
          <w:p w14:paraId="33B90D98"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333 to 351</w:t>
            </w:r>
          </w:p>
        </w:tc>
        <w:tc>
          <w:tcPr>
            <w:tcW w:w="2786" w:type="pct"/>
            <w:vAlign w:val="center"/>
            <w:hideMark/>
          </w:tcPr>
          <w:p w14:paraId="5D4B5DBA" w14:textId="77777777" w:rsidR="00777821" w:rsidRPr="00173D6A" w:rsidRDefault="00777821" w:rsidP="002C35F4">
            <w:pPr>
              <w:spacing w:after="0" w:line="240" w:lineRule="auto"/>
              <w:jc w:val="both"/>
              <w:rPr>
                <w:rFonts w:ascii="Arial" w:eastAsia="Times New Roman" w:hAnsi="Arial" w:cs="Arial"/>
                <w:color w:val="FF0000"/>
                <w:sz w:val="20"/>
                <w:szCs w:val="20"/>
              </w:rPr>
            </w:pPr>
            <w:r w:rsidRPr="00173D6A">
              <w:rPr>
                <w:rFonts w:ascii="Arial" w:eastAsia="Times New Roman" w:hAnsi="Arial" w:cs="Arial"/>
                <w:sz w:val="20"/>
                <w:szCs w:val="20"/>
              </w:rPr>
              <w:t xml:space="preserve">Sahoo and </w:t>
            </w:r>
            <w:proofErr w:type="spellStart"/>
            <w:r w:rsidRPr="00173D6A">
              <w:rPr>
                <w:rFonts w:ascii="Arial" w:eastAsia="Times New Roman" w:hAnsi="Arial" w:cs="Arial"/>
                <w:sz w:val="20"/>
                <w:szCs w:val="20"/>
              </w:rPr>
              <w:t>Pebam</w:t>
            </w:r>
            <w:proofErr w:type="spellEnd"/>
            <w:r w:rsidRPr="00173D6A">
              <w:rPr>
                <w:rFonts w:ascii="Arial" w:eastAsia="Times New Roman" w:hAnsi="Arial" w:cs="Arial"/>
                <w:sz w:val="20"/>
                <w:szCs w:val="20"/>
              </w:rPr>
              <w:t xml:space="preserve"> (2015),</w:t>
            </w:r>
            <w:r w:rsidR="001E42C4" w:rsidRPr="00173D6A">
              <w:rPr>
                <w:rFonts w:ascii="Arial" w:eastAsia="Times New Roman" w:hAnsi="Arial" w:cs="Arial"/>
                <w:sz w:val="20"/>
                <w:szCs w:val="20"/>
              </w:rPr>
              <w:t xml:space="preserve"> </w:t>
            </w:r>
            <w:proofErr w:type="spellStart"/>
            <w:r w:rsidRPr="00173D6A">
              <w:rPr>
                <w:rFonts w:ascii="Arial" w:eastAsia="Times New Roman" w:hAnsi="Arial" w:cs="Arial"/>
                <w:sz w:val="20"/>
                <w:szCs w:val="20"/>
              </w:rPr>
              <w:t>Barbhuiya</w:t>
            </w:r>
            <w:proofErr w:type="spellEnd"/>
            <w:r w:rsidRPr="00173D6A">
              <w:rPr>
                <w:rFonts w:ascii="Arial" w:eastAsia="Times New Roman" w:hAnsi="Arial" w:cs="Arial"/>
                <w:sz w:val="20"/>
                <w:szCs w:val="20"/>
              </w:rPr>
              <w:t xml:space="preserve"> et al.  (2016)</w:t>
            </w:r>
          </w:p>
        </w:tc>
      </w:tr>
      <w:tr w:rsidR="00777821" w:rsidRPr="00173D6A" w14:paraId="4E1ECB47" w14:textId="77777777" w:rsidTr="002C35F4">
        <w:trPr>
          <w:trHeight w:val="170"/>
        </w:trPr>
        <w:tc>
          <w:tcPr>
            <w:tcW w:w="624" w:type="pct"/>
            <w:vAlign w:val="center"/>
            <w:hideMark/>
          </w:tcPr>
          <w:p w14:paraId="4F269A4B"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Nagaland</w:t>
            </w:r>
          </w:p>
        </w:tc>
        <w:tc>
          <w:tcPr>
            <w:tcW w:w="682" w:type="pct"/>
            <w:vAlign w:val="center"/>
            <w:hideMark/>
          </w:tcPr>
          <w:p w14:paraId="16FA0FD5"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84.7±38.6</w:t>
            </w:r>
          </w:p>
        </w:tc>
        <w:tc>
          <w:tcPr>
            <w:tcW w:w="907" w:type="pct"/>
            <w:vAlign w:val="center"/>
          </w:tcPr>
          <w:p w14:paraId="123E1707"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45 to 122</w:t>
            </w:r>
          </w:p>
        </w:tc>
        <w:tc>
          <w:tcPr>
            <w:tcW w:w="2786" w:type="pct"/>
            <w:vAlign w:val="center"/>
            <w:hideMark/>
          </w:tcPr>
          <w:p w14:paraId="7306274E" w14:textId="77777777" w:rsidR="00777821" w:rsidRPr="00173D6A" w:rsidRDefault="00777821" w:rsidP="002C35F4">
            <w:pPr>
              <w:spacing w:after="0" w:line="240" w:lineRule="auto"/>
              <w:jc w:val="both"/>
              <w:rPr>
                <w:rFonts w:ascii="Arial" w:eastAsia="Times New Roman" w:hAnsi="Arial" w:cs="Arial"/>
                <w:sz w:val="20"/>
                <w:szCs w:val="20"/>
              </w:rPr>
            </w:pPr>
            <w:r w:rsidRPr="00173D6A">
              <w:rPr>
                <w:rFonts w:ascii="Arial" w:eastAsia="Times New Roman" w:hAnsi="Arial" w:cs="Arial"/>
                <w:sz w:val="20"/>
                <w:szCs w:val="20"/>
              </w:rPr>
              <w:t>Singh</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 xml:space="preserve">et al.  </w:t>
            </w:r>
            <w:r w:rsidRPr="00173D6A">
              <w:rPr>
                <w:rFonts w:ascii="Arial" w:eastAsia="Times New Roman" w:hAnsi="Arial" w:cs="Arial"/>
                <w:i/>
                <w:iCs/>
                <w:sz w:val="20"/>
                <w:szCs w:val="20"/>
              </w:rPr>
              <w:t>(</w:t>
            </w:r>
            <w:r w:rsidRPr="00173D6A">
              <w:rPr>
                <w:rFonts w:ascii="Arial" w:eastAsia="Times New Roman" w:hAnsi="Arial" w:cs="Arial"/>
                <w:sz w:val="20"/>
                <w:szCs w:val="20"/>
              </w:rPr>
              <w:t xml:space="preserve">2014), Singh and </w:t>
            </w:r>
            <w:proofErr w:type="spellStart"/>
            <w:r w:rsidRPr="00173D6A">
              <w:rPr>
                <w:rFonts w:ascii="Arial" w:eastAsia="Times New Roman" w:hAnsi="Arial" w:cs="Arial"/>
                <w:sz w:val="20"/>
                <w:szCs w:val="20"/>
              </w:rPr>
              <w:t>Teron</w:t>
            </w:r>
            <w:proofErr w:type="spellEnd"/>
            <w:r w:rsidRPr="00173D6A">
              <w:rPr>
                <w:rFonts w:ascii="Arial" w:eastAsia="Times New Roman" w:hAnsi="Arial" w:cs="Arial"/>
                <w:sz w:val="20"/>
                <w:szCs w:val="20"/>
              </w:rPr>
              <w:t xml:space="preserve"> (2015)</w:t>
            </w:r>
          </w:p>
        </w:tc>
      </w:tr>
      <w:tr w:rsidR="00777821" w:rsidRPr="00173D6A" w14:paraId="498863C0" w14:textId="77777777" w:rsidTr="002C35F4">
        <w:trPr>
          <w:trHeight w:val="170"/>
        </w:trPr>
        <w:tc>
          <w:tcPr>
            <w:tcW w:w="624" w:type="pct"/>
            <w:vAlign w:val="center"/>
            <w:hideMark/>
          </w:tcPr>
          <w:p w14:paraId="0E694B06"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Sikkim</w:t>
            </w:r>
          </w:p>
        </w:tc>
        <w:tc>
          <w:tcPr>
            <w:tcW w:w="682" w:type="pct"/>
            <w:vAlign w:val="center"/>
            <w:hideMark/>
          </w:tcPr>
          <w:p w14:paraId="786FCBB1"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77.3±21.9</w:t>
            </w:r>
          </w:p>
        </w:tc>
        <w:tc>
          <w:tcPr>
            <w:tcW w:w="907" w:type="pct"/>
            <w:vAlign w:val="center"/>
          </w:tcPr>
          <w:p w14:paraId="73E62D13"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60 to102</w:t>
            </w:r>
          </w:p>
        </w:tc>
        <w:tc>
          <w:tcPr>
            <w:tcW w:w="2786" w:type="pct"/>
            <w:vAlign w:val="center"/>
            <w:hideMark/>
          </w:tcPr>
          <w:p w14:paraId="605C21C5" w14:textId="77777777" w:rsidR="00777821" w:rsidRPr="00173D6A" w:rsidRDefault="00777821" w:rsidP="002C35F4">
            <w:pPr>
              <w:spacing w:after="0" w:line="240" w:lineRule="auto"/>
              <w:jc w:val="both"/>
              <w:rPr>
                <w:rFonts w:ascii="Arial" w:eastAsia="Times New Roman" w:hAnsi="Arial" w:cs="Arial"/>
                <w:color w:val="FF0000"/>
                <w:sz w:val="20"/>
                <w:szCs w:val="20"/>
              </w:rPr>
            </w:pPr>
            <w:r w:rsidRPr="00173D6A">
              <w:rPr>
                <w:rFonts w:ascii="Arial" w:hAnsi="Arial" w:cs="Arial"/>
                <w:sz w:val="20"/>
                <w:szCs w:val="20"/>
              </w:rPr>
              <w:t>Sharma (2012),</w:t>
            </w:r>
            <w:r w:rsidR="001E42C4" w:rsidRPr="00173D6A">
              <w:rPr>
                <w:rFonts w:ascii="Arial" w:hAnsi="Arial" w:cs="Arial"/>
                <w:sz w:val="20"/>
                <w:szCs w:val="20"/>
              </w:rPr>
              <w:t xml:space="preserve"> </w:t>
            </w:r>
            <w:proofErr w:type="spellStart"/>
            <w:r w:rsidRPr="00173D6A">
              <w:rPr>
                <w:rFonts w:ascii="Arial" w:eastAsia="Times New Roman" w:hAnsi="Arial" w:cs="Arial"/>
                <w:sz w:val="20"/>
                <w:szCs w:val="20"/>
              </w:rPr>
              <w:t>Lepcha</w:t>
            </w:r>
            <w:proofErr w:type="spellEnd"/>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 xml:space="preserve">et al.  </w:t>
            </w:r>
            <w:r w:rsidRPr="00173D6A">
              <w:rPr>
                <w:rFonts w:ascii="Arial" w:eastAsia="Times New Roman" w:hAnsi="Arial" w:cs="Arial"/>
                <w:i/>
                <w:iCs/>
                <w:sz w:val="20"/>
                <w:szCs w:val="20"/>
              </w:rPr>
              <w:t>(</w:t>
            </w:r>
            <w:r w:rsidRPr="00173D6A">
              <w:rPr>
                <w:rFonts w:ascii="Arial" w:eastAsia="Times New Roman" w:hAnsi="Arial" w:cs="Arial"/>
                <w:sz w:val="20"/>
                <w:szCs w:val="20"/>
              </w:rPr>
              <w:t>2019)</w:t>
            </w:r>
          </w:p>
        </w:tc>
      </w:tr>
      <w:tr w:rsidR="00777821" w:rsidRPr="00173D6A" w14:paraId="02513DDD" w14:textId="77777777" w:rsidTr="002C35F4">
        <w:trPr>
          <w:trHeight w:val="170"/>
        </w:trPr>
        <w:tc>
          <w:tcPr>
            <w:tcW w:w="624" w:type="pct"/>
            <w:vAlign w:val="center"/>
            <w:hideMark/>
          </w:tcPr>
          <w:p w14:paraId="106786C8" w14:textId="77777777" w:rsidR="00777821" w:rsidRPr="00173D6A" w:rsidRDefault="00777821" w:rsidP="00777821">
            <w:pPr>
              <w:spacing w:after="0" w:line="240" w:lineRule="auto"/>
              <w:rPr>
                <w:rFonts w:ascii="Arial" w:eastAsia="Times New Roman" w:hAnsi="Arial" w:cs="Arial"/>
                <w:sz w:val="20"/>
                <w:szCs w:val="20"/>
              </w:rPr>
            </w:pPr>
            <w:r w:rsidRPr="00173D6A">
              <w:rPr>
                <w:rFonts w:ascii="Arial" w:eastAsia="Times New Roman" w:hAnsi="Arial" w:cs="Arial"/>
                <w:sz w:val="20"/>
                <w:szCs w:val="20"/>
              </w:rPr>
              <w:t>Tripura</w:t>
            </w:r>
          </w:p>
        </w:tc>
        <w:tc>
          <w:tcPr>
            <w:tcW w:w="682" w:type="pct"/>
            <w:vAlign w:val="center"/>
            <w:hideMark/>
          </w:tcPr>
          <w:p w14:paraId="6EAA6BD0"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103.3±40.5</w:t>
            </w:r>
          </w:p>
        </w:tc>
        <w:tc>
          <w:tcPr>
            <w:tcW w:w="907" w:type="pct"/>
            <w:vAlign w:val="center"/>
          </w:tcPr>
          <w:p w14:paraId="1AF6FD81" w14:textId="77777777" w:rsidR="00777821" w:rsidRPr="00173D6A" w:rsidRDefault="00777821" w:rsidP="002C35F4">
            <w:pPr>
              <w:spacing w:after="0" w:line="240" w:lineRule="auto"/>
              <w:rPr>
                <w:rFonts w:ascii="Arial" w:eastAsia="Times New Roman" w:hAnsi="Arial" w:cs="Arial"/>
                <w:sz w:val="20"/>
                <w:szCs w:val="20"/>
              </w:rPr>
            </w:pPr>
            <w:r w:rsidRPr="00173D6A">
              <w:rPr>
                <w:rFonts w:ascii="Arial" w:eastAsia="Times New Roman" w:hAnsi="Arial" w:cs="Arial"/>
                <w:sz w:val="20"/>
                <w:szCs w:val="20"/>
              </w:rPr>
              <w:t>69 to 148</w:t>
            </w:r>
          </w:p>
        </w:tc>
        <w:tc>
          <w:tcPr>
            <w:tcW w:w="2786" w:type="pct"/>
            <w:vAlign w:val="center"/>
            <w:hideMark/>
          </w:tcPr>
          <w:p w14:paraId="106809EB" w14:textId="77777777" w:rsidR="00777821" w:rsidRPr="00173D6A" w:rsidRDefault="00777821" w:rsidP="002C35F4">
            <w:pPr>
              <w:spacing w:after="0" w:line="240" w:lineRule="auto"/>
              <w:jc w:val="both"/>
              <w:rPr>
                <w:rFonts w:ascii="Arial" w:eastAsia="Times New Roman" w:hAnsi="Arial" w:cs="Arial"/>
                <w:color w:val="FF0000"/>
                <w:sz w:val="20"/>
                <w:szCs w:val="20"/>
              </w:rPr>
            </w:pPr>
            <w:r w:rsidRPr="00173D6A">
              <w:rPr>
                <w:rFonts w:ascii="Arial" w:eastAsia="Times New Roman" w:hAnsi="Arial" w:cs="Arial"/>
                <w:sz w:val="20"/>
                <w:szCs w:val="20"/>
              </w:rPr>
              <w:t>Deb</w:t>
            </w:r>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 xml:space="preserve">et al.  </w:t>
            </w:r>
            <w:r w:rsidRPr="00173D6A">
              <w:rPr>
                <w:rFonts w:ascii="Arial" w:eastAsia="Times New Roman" w:hAnsi="Arial" w:cs="Arial"/>
                <w:i/>
                <w:iCs/>
                <w:sz w:val="20"/>
                <w:szCs w:val="20"/>
              </w:rPr>
              <w:t>(</w:t>
            </w:r>
            <w:r w:rsidRPr="00173D6A">
              <w:rPr>
                <w:rFonts w:ascii="Arial" w:eastAsia="Times New Roman" w:hAnsi="Arial" w:cs="Arial"/>
                <w:sz w:val="20"/>
                <w:szCs w:val="20"/>
              </w:rPr>
              <w:t>2014),</w:t>
            </w:r>
            <w:r w:rsidR="001E42C4" w:rsidRPr="00173D6A">
              <w:rPr>
                <w:rFonts w:ascii="Arial" w:eastAsia="Times New Roman" w:hAnsi="Arial" w:cs="Arial"/>
                <w:sz w:val="20"/>
                <w:szCs w:val="20"/>
              </w:rPr>
              <w:t xml:space="preserve"> </w:t>
            </w:r>
            <w:proofErr w:type="spellStart"/>
            <w:r w:rsidRPr="00173D6A">
              <w:rPr>
                <w:rFonts w:ascii="Arial" w:eastAsia="Times New Roman" w:hAnsi="Arial" w:cs="Arial"/>
                <w:sz w:val="20"/>
                <w:szCs w:val="20"/>
              </w:rPr>
              <w:t>Debbarma</w:t>
            </w:r>
            <w:proofErr w:type="spellEnd"/>
            <w:r w:rsidR="001E42C4" w:rsidRPr="00173D6A">
              <w:rPr>
                <w:rFonts w:ascii="Arial" w:eastAsia="Times New Roman" w:hAnsi="Arial" w:cs="Arial"/>
                <w:sz w:val="20"/>
                <w:szCs w:val="20"/>
              </w:rPr>
              <w:t xml:space="preserve"> </w:t>
            </w:r>
            <w:r w:rsidRPr="00173D6A">
              <w:rPr>
                <w:rFonts w:ascii="Arial" w:eastAsia="Times New Roman" w:hAnsi="Arial" w:cs="Arial"/>
                <w:sz w:val="20"/>
                <w:szCs w:val="20"/>
              </w:rPr>
              <w:t>et al.  (2015</w:t>
            </w:r>
            <w:proofErr w:type="gramStart"/>
            <w:r w:rsidRPr="00173D6A">
              <w:rPr>
                <w:rFonts w:ascii="Arial" w:eastAsia="Times New Roman" w:hAnsi="Arial" w:cs="Arial"/>
                <w:sz w:val="20"/>
                <w:szCs w:val="20"/>
              </w:rPr>
              <w:t>),Das</w:t>
            </w:r>
            <w:proofErr w:type="gramEnd"/>
            <w:r w:rsidRPr="00173D6A">
              <w:rPr>
                <w:rFonts w:ascii="Arial" w:eastAsia="Times New Roman" w:hAnsi="Arial" w:cs="Arial"/>
                <w:sz w:val="20"/>
                <w:szCs w:val="20"/>
              </w:rPr>
              <w:t xml:space="preserve"> and Datta (2018a)</w:t>
            </w:r>
          </w:p>
        </w:tc>
      </w:tr>
    </w:tbl>
    <w:p w14:paraId="01BEF153" w14:textId="77777777" w:rsidR="00777821" w:rsidRDefault="00777821" w:rsidP="00777821">
      <w:pPr>
        <w:spacing w:after="0" w:line="360" w:lineRule="auto"/>
        <w:ind w:firstLine="720"/>
        <w:jc w:val="both"/>
        <w:rPr>
          <w:rFonts w:ascii="Arial" w:hAnsi="Arial" w:cs="Arial"/>
          <w:bCs/>
          <w:iCs/>
          <w:sz w:val="20"/>
          <w:szCs w:val="20"/>
          <w:lang w:val="en-IN"/>
        </w:rPr>
      </w:pPr>
    </w:p>
    <w:p w14:paraId="53BE5FC1" w14:textId="6710A1EC" w:rsidR="001E42C4" w:rsidRDefault="00135983" w:rsidP="00E064AE">
      <w:pPr>
        <w:spacing w:after="0" w:line="240" w:lineRule="auto"/>
        <w:jc w:val="both"/>
        <w:rPr>
          <w:rFonts w:ascii="Arial" w:hAnsi="Arial" w:cs="Arial"/>
          <w:iCs/>
          <w:sz w:val="20"/>
          <w:szCs w:val="20"/>
          <w:lang w:val="en-IN"/>
        </w:rPr>
      </w:pPr>
      <w:r w:rsidRPr="00EA7007">
        <w:rPr>
          <w:rFonts w:ascii="Arial" w:hAnsi="Arial" w:cs="Arial"/>
          <w:iCs/>
          <w:sz w:val="20"/>
          <w:szCs w:val="20"/>
          <w:lang w:val="en-IN"/>
        </w:rPr>
        <w:t xml:space="preserve">Bamboo is one of the dominant plant groups commonly found in </w:t>
      </w:r>
      <w:proofErr w:type="spellStart"/>
      <w:r w:rsidRPr="00EA7007">
        <w:rPr>
          <w:rFonts w:ascii="Arial" w:hAnsi="Arial" w:cs="Arial"/>
          <w:iCs/>
          <w:sz w:val="20"/>
          <w:szCs w:val="20"/>
          <w:lang w:val="en-IN"/>
        </w:rPr>
        <w:t>homegardens</w:t>
      </w:r>
      <w:proofErr w:type="spellEnd"/>
      <w:r w:rsidRPr="00EA7007">
        <w:rPr>
          <w:rFonts w:ascii="Arial" w:hAnsi="Arial" w:cs="Arial"/>
          <w:iCs/>
          <w:sz w:val="20"/>
          <w:szCs w:val="20"/>
          <w:lang w:val="en-IN"/>
        </w:rPr>
        <w:t xml:space="preserve"> across Northeast India. In agroforestry systems of </w:t>
      </w:r>
      <w:proofErr w:type="spellStart"/>
      <w:r w:rsidRPr="00EA7007">
        <w:rPr>
          <w:rFonts w:ascii="Arial" w:hAnsi="Arial" w:cs="Arial"/>
          <w:iCs/>
          <w:sz w:val="20"/>
          <w:szCs w:val="20"/>
          <w:lang w:val="en-IN"/>
        </w:rPr>
        <w:t>Cachar</w:t>
      </w:r>
      <w:proofErr w:type="spellEnd"/>
      <w:r w:rsidRPr="00EA7007">
        <w:rPr>
          <w:rFonts w:ascii="Arial" w:hAnsi="Arial" w:cs="Arial"/>
          <w:iCs/>
          <w:sz w:val="20"/>
          <w:szCs w:val="20"/>
          <w:lang w:val="en-IN"/>
        </w:rPr>
        <w:t xml:space="preserve"> district, Assam, the aboveground biomass carbon stock of bamboo has been estimated to range between 21.69 to 76.55 Mg ha</w:t>
      </w:r>
      <w:r w:rsidRPr="00EA7007">
        <w:rPr>
          <w:rFonts w:ascii="Arial" w:hAnsi="Times New Roman" w:cs="Arial"/>
          <w:iCs/>
          <w:sz w:val="20"/>
          <w:szCs w:val="20"/>
          <w:lang w:val="en-IN"/>
        </w:rPr>
        <w:t>⁻</w:t>
      </w:r>
      <w:r w:rsidRPr="00EA7007">
        <w:rPr>
          <w:rFonts w:ascii="Arial" w:hAnsi="Arial" w:cs="Arial"/>
          <w:iCs/>
          <w:sz w:val="20"/>
          <w:szCs w:val="20"/>
          <w:lang w:val="en-IN"/>
        </w:rPr>
        <w:t>¹ (Nath and Das, 2012), with another study reporting an average of 34 Mg ha</w:t>
      </w:r>
      <w:r w:rsidRPr="00EA7007">
        <w:rPr>
          <w:rFonts w:ascii="Arial" w:hAnsi="Times New Roman" w:cs="Arial"/>
          <w:iCs/>
          <w:sz w:val="20"/>
          <w:szCs w:val="20"/>
          <w:lang w:val="en-IN"/>
        </w:rPr>
        <w:t>⁻</w:t>
      </w:r>
      <w:r w:rsidRPr="00EA7007">
        <w:rPr>
          <w:rFonts w:ascii="Arial" w:hAnsi="Arial" w:cs="Arial"/>
          <w:iCs/>
          <w:sz w:val="20"/>
          <w:szCs w:val="20"/>
          <w:lang w:val="en-IN"/>
        </w:rPr>
        <w:t>¹ (</w:t>
      </w:r>
      <w:proofErr w:type="spellStart"/>
      <w:r w:rsidRPr="00EA7007">
        <w:rPr>
          <w:rFonts w:ascii="Arial" w:hAnsi="Arial" w:cs="Arial"/>
          <w:iCs/>
          <w:sz w:val="20"/>
          <w:szCs w:val="20"/>
          <w:lang w:val="en-IN"/>
        </w:rPr>
        <w:t>Singnar</w:t>
      </w:r>
      <w:proofErr w:type="spellEnd"/>
      <w:r w:rsidRPr="00EA7007">
        <w:rPr>
          <w:rFonts w:ascii="Arial" w:hAnsi="Arial" w:cs="Arial"/>
          <w:iCs/>
          <w:sz w:val="20"/>
          <w:szCs w:val="20"/>
          <w:lang w:val="en-IN"/>
        </w:rPr>
        <w:t xml:space="preserve"> et al., 2017). </w:t>
      </w:r>
      <w:proofErr w:type="spellStart"/>
      <w:r w:rsidRPr="00EA7007">
        <w:rPr>
          <w:rFonts w:ascii="Arial" w:hAnsi="Arial" w:cs="Arial"/>
          <w:iCs/>
          <w:sz w:val="20"/>
          <w:szCs w:val="20"/>
          <w:lang w:val="en-IN"/>
        </w:rPr>
        <w:t>Homegardens</w:t>
      </w:r>
      <w:proofErr w:type="spellEnd"/>
      <w:r w:rsidRPr="00EA7007">
        <w:rPr>
          <w:rFonts w:ascii="Arial" w:hAnsi="Arial" w:cs="Arial"/>
          <w:iCs/>
          <w:sz w:val="20"/>
          <w:szCs w:val="20"/>
          <w:lang w:val="en-IN"/>
        </w:rPr>
        <w:t xml:space="preserve"> also contribute significantly to soil productivity by facilitating atmospheric nitrogen fixation, en</w:t>
      </w:r>
      <w:r w:rsidR="00777821">
        <w:rPr>
          <w:rFonts w:ascii="Arial" w:hAnsi="Arial" w:cs="Arial"/>
          <w:iCs/>
          <w:sz w:val="20"/>
          <w:szCs w:val="20"/>
          <w:lang w:val="en-IN"/>
        </w:rPr>
        <w:t>hancing soil moisture retention</w:t>
      </w:r>
      <w:r w:rsidRPr="00EA7007">
        <w:rPr>
          <w:rFonts w:ascii="Arial" w:hAnsi="Arial" w:cs="Arial"/>
          <w:iCs/>
          <w:sz w:val="20"/>
          <w:szCs w:val="20"/>
          <w:lang w:val="en-IN"/>
        </w:rPr>
        <w:t xml:space="preserve"> and reducing topsoil erosion (Nath et al., 2015). </w:t>
      </w:r>
      <w:r w:rsidR="00503165" w:rsidRPr="00503165">
        <w:rPr>
          <w:rFonts w:ascii="Arial" w:hAnsi="Arial" w:cs="Arial"/>
          <w:iCs/>
          <w:sz w:val="20"/>
          <w:szCs w:val="20"/>
          <w:lang w:val="en-IN"/>
        </w:rPr>
        <w:t xml:space="preserve">In Mizoram, </w:t>
      </w:r>
      <w:proofErr w:type="spellStart"/>
      <w:r w:rsidR="00503165" w:rsidRPr="00503165">
        <w:rPr>
          <w:rFonts w:ascii="Arial" w:hAnsi="Arial" w:cs="Arial"/>
          <w:iCs/>
          <w:sz w:val="20"/>
          <w:szCs w:val="20"/>
          <w:lang w:val="en-IN"/>
        </w:rPr>
        <w:t>homegardens</w:t>
      </w:r>
      <w:proofErr w:type="spellEnd"/>
      <w:r w:rsidR="00503165" w:rsidRPr="00503165">
        <w:rPr>
          <w:rFonts w:ascii="Arial" w:hAnsi="Arial" w:cs="Arial"/>
          <w:iCs/>
          <w:sz w:val="20"/>
          <w:szCs w:val="20"/>
          <w:lang w:val="en-IN"/>
        </w:rPr>
        <w:t xml:space="preserve"> were reported to have a soil </w:t>
      </w:r>
      <w:r w:rsidR="00503165" w:rsidRPr="00503165">
        <w:rPr>
          <w:rFonts w:ascii="Arial" w:hAnsi="Arial" w:cs="Arial"/>
          <w:iCs/>
          <w:sz w:val="20"/>
          <w:szCs w:val="20"/>
          <w:lang w:val="en-IN"/>
        </w:rPr>
        <w:lastRenderedPageBreak/>
        <w:t>organic carbon stock of up to 142.24 Mg ha</w:t>
      </w:r>
      <w:r w:rsidR="00503165" w:rsidRPr="00503165">
        <w:rPr>
          <w:rFonts w:ascii="Cambria Math" w:hAnsi="Cambria Math" w:cs="Cambria Math"/>
          <w:iCs/>
          <w:sz w:val="20"/>
          <w:szCs w:val="20"/>
          <w:lang w:val="en-IN"/>
        </w:rPr>
        <w:t>⁻</w:t>
      </w:r>
      <w:r w:rsidR="00503165" w:rsidRPr="00503165">
        <w:rPr>
          <w:rFonts w:ascii="Arial" w:hAnsi="Arial" w:cs="Arial"/>
          <w:iCs/>
          <w:sz w:val="20"/>
          <w:szCs w:val="20"/>
          <w:lang w:val="en-IN"/>
        </w:rPr>
        <w:t xml:space="preserve">¹ (Singh &amp; </w:t>
      </w:r>
      <w:proofErr w:type="spellStart"/>
      <w:r w:rsidR="00503165" w:rsidRPr="00503165">
        <w:rPr>
          <w:rFonts w:ascii="Arial" w:hAnsi="Arial" w:cs="Arial"/>
          <w:iCs/>
          <w:sz w:val="20"/>
          <w:szCs w:val="20"/>
          <w:lang w:val="en-IN"/>
        </w:rPr>
        <w:t>Sahu</w:t>
      </w:r>
      <w:proofErr w:type="spellEnd"/>
      <w:r w:rsidR="00503165" w:rsidRPr="00503165">
        <w:rPr>
          <w:rFonts w:ascii="Arial" w:hAnsi="Arial" w:cs="Arial"/>
          <w:iCs/>
          <w:sz w:val="20"/>
          <w:szCs w:val="20"/>
          <w:lang w:val="en-IN"/>
        </w:rPr>
        <w:t>, 2021), highlighting their significant potential for carbon sequestration and soil health enhancement.</w:t>
      </w:r>
    </w:p>
    <w:p w14:paraId="75F2DA9D" w14:textId="77777777" w:rsidR="00503165" w:rsidRDefault="00503165" w:rsidP="00E064AE">
      <w:pPr>
        <w:spacing w:after="0" w:line="240" w:lineRule="auto"/>
        <w:jc w:val="both"/>
        <w:rPr>
          <w:rFonts w:ascii="Arial" w:hAnsi="Arial" w:cs="Arial"/>
          <w:iCs/>
          <w:sz w:val="20"/>
          <w:szCs w:val="20"/>
        </w:rPr>
      </w:pPr>
    </w:p>
    <w:p w14:paraId="496C4A2B" w14:textId="0597C368" w:rsidR="00997121" w:rsidRPr="00EA7007" w:rsidRDefault="00503165" w:rsidP="00E064AE">
      <w:pPr>
        <w:spacing w:after="0" w:line="240" w:lineRule="auto"/>
        <w:jc w:val="both"/>
        <w:rPr>
          <w:rFonts w:ascii="Arial" w:hAnsi="Arial" w:cs="Arial"/>
          <w:iCs/>
          <w:sz w:val="20"/>
          <w:szCs w:val="20"/>
        </w:rPr>
      </w:pPr>
      <w:r w:rsidRPr="00503165">
        <w:rPr>
          <w:rFonts w:ascii="Arial" w:hAnsi="Arial" w:cs="Arial"/>
          <w:iCs/>
          <w:sz w:val="20"/>
          <w:szCs w:val="20"/>
        </w:rPr>
        <w:t xml:space="preserve">The contribution of </w:t>
      </w:r>
      <w:proofErr w:type="spellStart"/>
      <w:r w:rsidRPr="00503165">
        <w:rPr>
          <w:rFonts w:ascii="Arial" w:hAnsi="Arial" w:cs="Arial"/>
          <w:iCs/>
          <w:sz w:val="20"/>
          <w:szCs w:val="20"/>
        </w:rPr>
        <w:t>homegardens</w:t>
      </w:r>
      <w:proofErr w:type="spellEnd"/>
      <w:r w:rsidRPr="00503165">
        <w:rPr>
          <w:rFonts w:ascii="Arial" w:hAnsi="Arial" w:cs="Arial"/>
          <w:iCs/>
          <w:sz w:val="20"/>
          <w:szCs w:val="20"/>
        </w:rPr>
        <w:t xml:space="preserve"> to species conservation has been widely recognized in numerous studies.</w:t>
      </w:r>
      <w:r>
        <w:rPr>
          <w:rFonts w:ascii="Arial" w:hAnsi="Arial" w:cs="Arial"/>
          <w:iCs/>
          <w:sz w:val="20"/>
          <w:szCs w:val="20"/>
        </w:rPr>
        <w:t xml:space="preserve"> </w:t>
      </w:r>
      <w:r w:rsidR="00997121" w:rsidRPr="00EA7007">
        <w:rPr>
          <w:rFonts w:ascii="Arial" w:hAnsi="Arial" w:cs="Arial"/>
          <w:iCs/>
          <w:sz w:val="20"/>
          <w:szCs w:val="20"/>
        </w:rPr>
        <w:t xml:space="preserve">In the </w:t>
      </w:r>
      <w:r w:rsidR="00997121" w:rsidRPr="00EA7007">
        <w:rPr>
          <w:rFonts w:ascii="Arial" w:hAnsi="Arial" w:cs="Arial"/>
          <w:bCs/>
          <w:iCs/>
          <w:sz w:val="20"/>
          <w:szCs w:val="20"/>
        </w:rPr>
        <w:t xml:space="preserve">Meitei </w:t>
      </w:r>
      <w:proofErr w:type="spellStart"/>
      <w:r w:rsidR="00997121" w:rsidRPr="00EA7007">
        <w:rPr>
          <w:rFonts w:ascii="Arial" w:hAnsi="Arial" w:cs="Arial"/>
          <w:bCs/>
          <w:iCs/>
          <w:sz w:val="20"/>
          <w:szCs w:val="20"/>
        </w:rPr>
        <w:t>homegardens</w:t>
      </w:r>
      <w:proofErr w:type="spellEnd"/>
      <w:r w:rsidR="00997121" w:rsidRPr="00EA7007">
        <w:rPr>
          <w:rFonts w:ascii="Arial" w:hAnsi="Arial" w:cs="Arial"/>
          <w:iCs/>
          <w:sz w:val="20"/>
          <w:szCs w:val="20"/>
        </w:rPr>
        <w:t xml:space="preserve"> of Assam, species such as </w:t>
      </w:r>
      <w:proofErr w:type="spellStart"/>
      <w:r w:rsidR="00997121" w:rsidRPr="00EA7007">
        <w:rPr>
          <w:rFonts w:ascii="Arial" w:hAnsi="Arial" w:cs="Arial"/>
          <w:i/>
          <w:iCs/>
          <w:sz w:val="20"/>
          <w:szCs w:val="20"/>
        </w:rPr>
        <w:t>Meyna</w:t>
      </w:r>
      <w:proofErr w:type="spellEnd"/>
      <w:r w:rsidR="001E42C4">
        <w:rPr>
          <w:rFonts w:ascii="Arial" w:hAnsi="Arial" w:cs="Arial"/>
          <w:i/>
          <w:iCs/>
          <w:sz w:val="20"/>
          <w:szCs w:val="20"/>
        </w:rPr>
        <w:t xml:space="preserve"> </w:t>
      </w:r>
      <w:proofErr w:type="spellStart"/>
      <w:r w:rsidR="00997121" w:rsidRPr="00EA7007">
        <w:rPr>
          <w:rFonts w:ascii="Arial" w:hAnsi="Arial" w:cs="Arial"/>
          <w:i/>
          <w:iCs/>
          <w:sz w:val="20"/>
          <w:szCs w:val="20"/>
        </w:rPr>
        <w:t>laxiflora</w:t>
      </w:r>
      <w:proofErr w:type="spellEnd"/>
      <w:r w:rsidR="00997121" w:rsidRPr="00EA7007">
        <w:rPr>
          <w:rFonts w:ascii="Arial" w:hAnsi="Arial" w:cs="Arial"/>
          <w:iCs/>
          <w:sz w:val="20"/>
          <w:szCs w:val="20"/>
        </w:rPr>
        <w:t xml:space="preserve">, </w:t>
      </w:r>
      <w:proofErr w:type="spellStart"/>
      <w:r w:rsidR="00997121" w:rsidRPr="00EA7007">
        <w:rPr>
          <w:rFonts w:ascii="Arial" w:hAnsi="Arial" w:cs="Arial"/>
          <w:i/>
          <w:iCs/>
          <w:sz w:val="20"/>
          <w:szCs w:val="20"/>
        </w:rPr>
        <w:t>Parkia</w:t>
      </w:r>
      <w:proofErr w:type="spellEnd"/>
      <w:r w:rsidR="00997121" w:rsidRPr="00EA7007">
        <w:rPr>
          <w:rFonts w:ascii="Arial" w:hAnsi="Arial" w:cs="Arial"/>
          <w:i/>
          <w:iCs/>
          <w:sz w:val="20"/>
          <w:szCs w:val="20"/>
        </w:rPr>
        <w:t xml:space="preserve"> </w:t>
      </w:r>
      <w:proofErr w:type="spellStart"/>
      <w:r w:rsidR="00997121" w:rsidRPr="00EA7007">
        <w:rPr>
          <w:rFonts w:ascii="Arial" w:hAnsi="Arial" w:cs="Arial"/>
          <w:i/>
          <w:iCs/>
          <w:sz w:val="20"/>
          <w:szCs w:val="20"/>
        </w:rPr>
        <w:t>timoriana</w:t>
      </w:r>
      <w:proofErr w:type="spellEnd"/>
      <w:r w:rsidR="00997121" w:rsidRPr="00EA7007">
        <w:rPr>
          <w:rFonts w:ascii="Arial" w:hAnsi="Arial" w:cs="Arial"/>
          <w:iCs/>
          <w:sz w:val="20"/>
          <w:szCs w:val="20"/>
        </w:rPr>
        <w:t xml:space="preserve">, and </w:t>
      </w:r>
      <w:proofErr w:type="spellStart"/>
      <w:r w:rsidR="00997121" w:rsidRPr="00EA7007">
        <w:rPr>
          <w:rFonts w:ascii="Arial" w:hAnsi="Arial" w:cs="Arial"/>
          <w:i/>
          <w:iCs/>
          <w:sz w:val="20"/>
          <w:szCs w:val="20"/>
        </w:rPr>
        <w:t>Toona</w:t>
      </w:r>
      <w:proofErr w:type="spellEnd"/>
      <w:r w:rsidR="00997121" w:rsidRPr="00EA7007">
        <w:rPr>
          <w:rFonts w:ascii="Arial" w:hAnsi="Arial" w:cs="Arial"/>
          <w:i/>
          <w:iCs/>
          <w:sz w:val="20"/>
          <w:szCs w:val="20"/>
        </w:rPr>
        <w:t xml:space="preserve"> </w:t>
      </w:r>
      <w:proofErr w:type="spellStart"/>
      <w:r w:rsidR="00997121" w:rsidRPr="00EA7007">
        <w:rPr>
          <w:rFonts w:ascii="Arial" w:hAnsi="Arial" w:cs="Arial"/>
          <w:i/>
          <w:iCs/>
          <w:sz w:val="20"/>
          <w:szCs w:val="20"/>
        </w:rPr>
        <w:t>ciliata</w:t>
      </w:r>
      <w:proofErr w:type="spellEnd"/>
      <w:r w:rsidR="00997121" w:rsidRPr="00EA7007">
        <w:rPr>
          <w:rFonts w:ascii="Arial" w:hAnsi="Arial" w:cs="Arial"/>
          <w:iCs/>
          <w:sz w:val="20"/>
          <w:szCs w:val="20"/>
        </w:rPr>
        <w:t xml:space="preserve"> are actively conserved for their specific uses and cultural significance (Devi and Das, 2017). In </w:t>
      </w:r>
      <w:r w:rsidR="00997121" w:rsidRPr="00EA7007">
        <w:rPr>
          <w:rFonts w:ascii="Arial" w:hAnsi="Arial" w:cs="Arial"/>
          <w:bCs/>
          <w:iCs/>
          <w:sz w:val="20"/>
          <w:szCs w:val="20"/>
        </w:rPr>
        <w:t>Tripura</w:t>
      </w:r>
      <w:r w:rsidR="00997121" w:rsidRPr="00EA7007">
        <w:rPr>
          <w:rFonts w:ascii="Arial" w:hAnsi="Arial" w:cs="Arial"/>
          <w:iCs/>
          <w:sz w:val="20"/>
          <w:szCs w:val="20"/>
        </w:rPr>
        <w:t xml:space="preserve">, the endangered medicinal climber </w:t>
      </w:r>
      <w:r w:rsidR="00997121" w:rsidRPr="00EA7007">
        <w:rPr>
          <w:rFonts w:ascii="Arial" w:hAnsi="Arial" w:cs="Arial"/>
          <w:i/>
          <w:iCs/>
          <w:sz w:val="20"/>
          <w:szCs w:val="20"/>
        </w:rPr>
        <w:t>Stephania glabra</w:t>
      </w:r>
      <w:r w:rsidR="00997121" w:rsidRPr="00EA7007">
        <w:rPr>
          <w:rFonts w:ascii="Arial" w:hAnsi="Arial" w:cs="Arial"/>
          <w:iCs/>
          <w:sz w:val="20"/>
          <w:szCs w:val="20"/>
        </w:rPr>
        <w:t xml:space="preserve"> has been preserved in the </w:t>
      </w:r>
      <w:proofErr w:type="spellStart"/>
      <w:r w:rsidR="00997121" w:rsidRPr="00EA7007">
        <w:rPr>
          <w:rFonts w:ascii="Arial" w:hAnsi="Arial" w:cs="Arial"/>
          <w:iCs/>
          <w:sz w:val="20"/>
          <w:szCs w:val="20"/>
        </w:rPr>
        <w:t>homegardens</w:t>
      </w:r>
      <w:proofErr w:type="spellEnd"/>
      <w:r w:rsidR="00997121" w:rsidRPr="00EA7007">
        <w:rPr>
          <w:rFonts w:ascii="Arial" w:hAnsi="Arial" w:cs="Arial"/>
          <w:iCs/>
          <w:sz w:val="20"/>
          <w:szCs w:val="20"/>
        </w:rPr>
        <w:t xml:space="preserve"> of the </w:t>
      </w:r>
      <w:proofErr w:type="spellStart"/>
      <w:r w:rsidR="00997121" w:rsidRPr="00EA7007">
        <w:rPr>
          <w:rFonts w:ascii="Arial" w:hAnsi="Arial" w:cs="Arial"/>
          <w:bCs/>
          <w:iCs/>
          <w:sz w:val="20"/>
          <w:szCs w:val="20"/>
        </w:rPr>
        <w:t>Reang</w:t>
      </w:r>
      <w:proofErr w:type="spellEnd"/>
      <w:r w:rsidR="00997121" w:rsidRPr="00EA7007">
        <w:rPr>
          <w:rFonts w:ascii="Arial" w:hAnsi="Arial" w:cs="Arial"/>
          <w:bCs/>
          <w:iCs/>
          <w:sz w:val="20"/>
          <w:szCs w:val="20"/>
        </w:rPr>
        <w:t xml:space="preserve"> community</w:t>
      </w:r>
      <w:r w:rsidR="00997121" w:rsidRPr="00EA7007">
        <w:rPr>
          <w:rFonts w:ascii="Arial" w:hAnsi="Arial" w:cs="Arial"/>
          <w:iCs/>
          <w:sz w:val="20"/>
          <w:szCs w:val="20"/>
        </w:rPr>
        <w:t xml:space="preserve"> (Das and Datta, 2018</w:t>
      </w:r>
      <w:r w:rsidR="003B24C5" w:rsidRPr="00EA7007">
        <w:rPr>
          <w:rFonts w:ascii="Arial" w:hAnsi="Arial" w:cs="Arial"/>
          <w:iCs/>
          <w:sz w:val="20"/>
          <w:szCs w:val="20"/>
        </w:rPr>
        <w:t>b</w:t>
      </w:r>
      <w:r w:rsidR="00997121" w:rsidRPr="00EA7007">
        <w:rPr>
          <w:rFonts w:ascii="Arial" w:hAnsi="Arial" w:cs="Arial"/>
          <w:iCs/>
          <w:sz w:val="20"/>
          <w:szCs w:val="20"/>
        </w:rPr>
        <w:t xml:space="preserve">). Similarly, the traditional beliefs and cultural practices of the </w:t>
      </w:r>
      <w:proofErr w:type="spellStart"/>
      <w:r w:rsidR="00997121" w:rsidRPr="00EA7007">
        <w:rPr>
          <w:rFonts w:ascii="Arial" w:hAnsi="Arial" w:cs="Arial"/>
          <w:bCs/>
          <w:iCs/>
          <w:sz w:val="20"/>
          <w:szCs w:val="20"/>
        </w:rPr>
        <w:t>Angami</w:t>
      </w:r>
      <w:proofErr w:type="spellEnd"/>
      <w:r w:rsidR="00997121" w:rsidRPr="00EA7007">
        <w:rPr>
          <w:rFonts w:ascii="Arial" w:hAnsi="Arial" w:cs="Arial"/>
          <w:bCs/>
          <w:iCs/>
          <w:sz w:val="20"/>
          <w:szCs w:val="20"/>
        </w:rPr>
        <w:t xml:space="preserve"> tribe</w:t>
      </w:r>
      <w:r w:rsidR="00997121" w:rsidRPr="00EA7007">
        <w:rPr>
          <w:rFonts w:ascii="Arial" w:hAnsi="Arial" w:cs="Arial"/>
          <w:iCs/>
          <w:sz w:val="20"/>
          <w:szCs w:val="20"/>
        </w:rPr>
        <w:t xml:space="preserve"> in </w:t>
      </w:r>
      <w:r w:rsidR="00997121" w:rsidRPr="00EA7007">
        <w:rPr>
          <w:rFonts w:ascii="Arial" w:hAnsi="Arial" w:cs="Arial"/>
          <w:bCs/>
          <w:iCs/>
          <w:sz w:val="20"/>
          <w:szCs w:val="20"/>
        </w:rPr>
        <w:t>Nagaland</w:t>
      </w:r>
      <w:r w:rsidR="00997121" w:rsidRPr="00EA7007">
        <w:rPr>
          <w:rFonts w:ascii="Arial" w:hAnsi="Arial" w:cs="Arial"/>
          <w:iCs/>
          <w:sz w:val="20"/>
          <w:szCs w:val="20"/>
        </w:rPr>
        <w:t xml:space="preserve"> have contributed to the </w:t>
      </w:r>
      <w:proofErr w:type="gramStart"/>
      <w:r w:rsidR="00997121" w:rsidRPr="00EA7007">
        <w:rPr>
          <w:rFonts w:ascii="Arial" w:hAnsi="Arial" w:cs="Arial"/>
          <w:i/>
          <w:iCs/>
          <w:sz w:val="20"/>
          <w:szCs w:val="20"/>
        </w:rPr>
        <w:t>in situ</w:t>
      </w:r>
      <w:proofErr w:type="gramEnd"/>
      <w:r w:rsidR="00997121" w:rsidRPr="00EA7007">
        <w:rPr>
          <w:rFonts w:ascii="Arial" w:hAnsi="Arial" w:cs="Arial"/>
          <w:iCs/>
          <w:sz w:val="20"/>
          <w:szCs w:val="20"/>
        </w:rPr>
        <w:t xml:space="preserve"> conservation of floral resources within their </w:t>
      </w:r>
      <w:proofErr w:type="spellStart"/>
      <w:r w:rsidR="00997121" w:rsidRPr="00EA7007">
        <w:rPr>
          <w:rFonts w:ascii="Arial" w:hAnsi="Arial" w:cs="Arial"/>
          <w:iCs/>
          <w:sz w:val="20"/>
          <w:szCs w:val="20"/>
        </w:rPr>
        <w:t>homegardens</w:t>
      </w:r>
      <w:proofErr w:type="spellEnd"/>
      <w:r w:rsidR="00997121" w:rsidRPr="00EA7007">
        <w:rPr>
          <w:rFonts w:ascii="Arial" w:hAnsi="Arial" w:cs="Arial"/>
          <w:iCs/>
          <w:sz w:val="20"/>
          <w:szCs w:val="20"/>
        </w:rPr>
        <w:t xml:space="preserve"> (Singh and </w:t>
      </w:r>
      <w:proofErr w:type="spellStart"/>
      <w:r w:rsidR="00997121" w:rsidRPr="00EA7007">
        <w:rPr>
          <w:rFonts w:ascii="Arial" w:hAnsi="Arial" w:cs="Arial"/>
          <w:iCs/>
          <w:sz w:val="20"/>
          <w:szCs w:val="20"/>
        </w:rPr>
        <w:t>Teron</w:t>
      </w:r>
      <w:proofErr w:type="spellEnd"/>
      <w:r w:rsidR="00997121" w:rsidRPr="00EA7007">
        <w:rPr>
          <w:rFonts w:ascii="Arial" w:hAnsi="Arial" w:cs="Arial"/>
          <w:iCs/>
          <w:sz w:val="20"/>
          <w:szCs w:val="20"/>
        </w:rPr>
        <w:t xml:space="preserve">, 2015). In </w:t>
      </w:r>
      <w:r w:rsidR="00997121" w:rsidRPr="00EA7007">
        <w:rPr>
          <w:rFonts w:ascii="Arial" w:hAnsi="Arial" w:cs="Arial"/>
          <w:bCs/>
          <w:iCs/>
          <w:sz w:val="20"/>
          <w:szCs w:val="20"/>
        </w:rPr>
        <w:t>Sikkim</w:t>
      </w:r>
      <w:r w:rsidR="00997121" w:rsidRPr="00EA7007">
        <w:rPr>
          <w:rFonts w:ascii="Arial" w:hAnsi="Arial" w:cs="Arial"/>
          <w:iCs/>
          <w:sz w:val="20"/>
          <w:szCs w:val="20"/>
        </w:rPr>
        <w:t xml:space="preserve">, </w:t>
      </w:r>
      <w:proofErr w:type="spellStart"/>
      <w:r w:rsidR="00997121" w:rsidRPr="00EA7007">
        <w:rPr>
          <w:rFonts w:ascii="Arial" w:hAnsi="Arial" w:cs="Arial"/>
          <w:iCs/>
          <w:sz w:val="20"/>
          <w:szCs w:val="20"/>
        </w:rPr>
        <w:t>homegardens</w:t>
      </w:r>
      <w:proofErr w:type="spellEnd"/>
      <w:r w:rsidR="00997121" w:rsidRPr="00EA7007">
        <w:rPr>
          <w:rFonts w:ascii="Arial" w:hAnsi="Arial" w:cs="Arial"/>
          <w:iCs/>
          <w:sz w:val="20"/>
          <w:szCs w:val="20"/>
        </w:rPr>
        <w:t xml:space="preserve"> have also been recognized as potential </w:t>
      </w:r>
      <w:r w:rsidR="00997121" w:rsidRPr="00EA7007">
        <w:rPr>
          <w:rFonts w:ascii="Arial" w:hAnsi="Arial" w:cs="Arial"/>
          <w:bCs/>
          <w:iCs/>
          <w:sz w:val="20"/>
          <w:szCs w:val="20"/>
        </w:rPr>
        <w:t>seed banks</w:t>
      </w:r>
      <w:r w:rsidR="00997121" w:rsidRPr="00EA7007">
        <w:rPr>
          <w:rFonts w:ascii="Arial" w:hAnsi="Arial" w:cs="Arial"/>
          <w:iCs/>
          <w:sz w:val="20"/>
          <w:szCs w:val="20"/>
        </w:rPr>
        <w:t>, playing a crucial role in the preservation of local plant genetic resources (Sharma et al., 2016b).</w:t>
      </w:r>
    </w:p>
    <w:p w14:paraId="5A664031" w14:textId="77777777" w:rsidR="001E42C4" w:rsidRDefault="001E42C4" w:rsidP="001E42C4">
      <w:pPr>
        <w:spacing w:after="0" w:line="360" w:lineRule="auto"/>
        <w:jc w:val="both"/>
        <w:rPr>
          <w:rFonts w:ascii="Arial" w:hAnsi="Arial" w:cs="Arial"/>
          <w:iCs/>
          <w:sz w:val="20"/>
          <w:szCs w:val="20"/>
        </w:rPr>
      </w:pPr>
    </w:p>
    <w:p w14:paraId="296BC531" w14:textId="54D84EE1" w:rsidR="001E42C4" w:rsidRDefault="00754E12" w:rsidP="00E064AE">
      <w:pPr>
        <w:spacing w:after="0" w:line="240" w:lineRule="auto"/>
        <w:jc w:val="both"/>
        <w:rPr>
          <w:rFonts w:ascii="Arial" w:hAnsi="Arial" w:cs="Arial"/>
          <w:iCs/>
          <w:sz w:val="20"/>
          <w:szCs w:val="20"/>
        </w:rPr>
      </w:pP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have been recognized as important contributors to livelihood enhancement across various communities in Northeast India. Among the War Khasi community,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generated an average annual gross income of ₹73,748 per hectare (</w:t>
      </w:r>
      <w:proofErr w:type="spellStart"/>
      <w:r w:rsidRPr="00EA7007">
        <w:rPr>
          <w:rFonts w:ascii="Arial" w:hAnsi="Arial" w:cs="Arial"/>
          <w:iCs/>
          <w:sz w:val="20"/>
          <w:szCs w:val="20"/>
        </w:rPr>
        <w:t>Tynsong</w:t>
      </w:r>
      <w:proofErr w:type="spellEnd"/>
      <w:r w:rsidRPr="00EA7007">
        <w:rPr>
          <w:rFonts w:ascii="Arial" w:hAnsi="Arial" w:cs="Arial"/>
          <w:iCs/>
          <w:sz w:val="20"/>
          <w:szCs w:val="20"/>
        </w:rPr>
        <w:t xml:space="preserve"> and Tiwari, 2010b). In a comparative study, </w:t>
      </w:r>
      <w:proofErr w:type="spellStart"/>
      <w:r w:rsidRPr="00EA7007">
        <w:rPr>
          <w:rFonts w:ascii="Arial" w:hAnsi="Arial" w:cs="Arial"/>
          <w:iCs/>
          <w:sz w:val="20"/>
          <w:szCs w:val="20"/>
        </w:rPr>
        <w:t>Karbi</w:t>
      </w:r>
      <w:proofErr w:type="spellEnd"/>
      <w:r w:rsidRPr="00EA7007">
        <w:rPr>
          <w:rFonts w:ascii="Arial" w:hAnsi="Arial" w:cs="Arial"/>
          <w:iCs/>
          <w:sz w:val="20"/>
          <w:szCs w:val="20"/>
        </w:rPr>
        <w:t xml:space="preserve"> and </w:t>
      </w:r>
      <w:proofErr w:type="spellStart"/>
      <w:r w:rsidRPr="00EA7007">
        <w:rPr>
          <w:rFonts w:ascii="Arial" w:hAnsi="Arial" w:cs="Arial"/>
          <w:iCs/>
          <w:sz w:val="20"/>
          <w:szCs w:val="20"/>
        </w:rPr>
        <w:t>Mising</w:t>
      </w:r>
      <w:proofErr w:type="spellEnd"/>
      <w:r w:rsidR="001E42C4">
        <w:rPr>
          <w:rFonts w:ascii="Arial" w:hAnsi="Arial" w:cs="Arial"/>
          <w:iCs/>
          <w:sz w:val="20"/>
          <w:szCs w:val="20"/>
        </w:rPr>
        <w:t xml:space="preserve">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were observed to be larger in size than those of immigrant communities, yet they yielded lower economic returns (Shrivastava and Heinen, 2005). </w:t>
      </w:r>
      <w:r w:rsidR="00503165" w:rsidRPr="00503165">
        <w:rPr>
          <w:rFonts w:ascii="Arial" w:hAnsi="Arial" w:cs="Arial"/>
          <w:iCs/>
          <w:sz w:val="20"/>
          <w:szCs w:val="20"/>
        </w:rPr>
        <w:t xml:space="preserve">Similarly, in Mizoram, smaller </w:t>
      </w:r>
      <w:proofErr w:type="spellStart"/>
      <w:r w:rsidR="00503165" w:rsidRPr="00503165">
        <w:rPr>
          <w:rFonts w:ascii="Arial" w:hAnsi="Arial" w:cs="Arial"/>
          <w:iCs/>
          <w:sz w:val="20"/>
          <w:szCs w:val="20"/>
        </w:rPr>
        <w:t>homegardens</w:t>
      </w:r>
      <w:proofErr w:type="spellEnd"/>
      <w:r w:rsidR="00503165" w:rsidRPr="00503165">
        <w:rPr>
          <w:rFonts w:ascii="Arial" w:hAnsi="Arial" w:cs="Arial"/>
          <w:iCs/>
          <w:sz w:val="20"/>
          <w:szCs w:val="20"/>
        </w:rPr>
        <w:t xml:space="preserve"> managed by immigrant households were found to produce higher yields per unit area (</w:t>
      </w:r>
      <w:proofErr w:type="spellStart"/>
      <w:r w:rsidR="00503165" w:rsidRPr="00503165">
        <w:rPr>
          <w:rFonts w:ascii="Arial" w:hAnsi="Arial" w:cs="Arial"/>
          <w:iCs/>
          <w:sz w:val="20"/>
          <w:szCs w:val="20"/>
        </w:rPr>
        <w:t>Pebam</w:t>
      </w:r>
      <w:proofErr w:type="spellEnd"/>
      <w:r w:rsidR="00503165" w:rsidRPr="00503165">
        <w:rPr>
          <w:rFonts w:ascii="Arial" w:hAnsi="Arial" w:cs="Arial"/>
          <w:iCs/>
          <w:sz w:val="20"/>
          <w:szCs w:val="20"/>
        </w:rPr>
        <w:t xml:space="preserve"> &amp; Sahoo, 2018).</w:t>
      </w:r>
    </w:p>
    <w:p w14:paraId="2678A199" w14:textId="77777777" w:rsidR="00754E12" w:rsidRPr="00EA7007" w:rsidRDefault="00754E12" w:rsidP="00E064AE">
      <w:pPr>
        <w:spacing w:after="0" w:line="240" w:lineRule="auto"/>
        <w:jc w:val="both"/>
        <w:rPr>
          <w:rFonts w:ascii="Arial" w:hAnsi="Arial" w:cs="Arial"/>
          <w:iCs/>
          <w:sz w:val="20"/>
          <w:szCs w:val="20"/>
        </w:rPr>
      </w:pPr>
      <w:r w:rsidRPr="00EA7007">
        <w:rPr>
          <w:rFonts w:ascii="Arial" w:hAnsi="Arial" w:cs="Arial"/>
          <w:iCs/>
          <w:sz w:val="20"/>
          <w:szCs w:val="20"/>
        </w:rPr>
        <w:t xml:space="preserve">In Upper Assam, </w:t>
      </w:r>
      <w:r w:rsidRPr="00EA7007">
        <w:rPr>
          <w:rFonts w:ascii="Arial" w:hAnsi="Arial" w:cs="Arial"/>
          <w:i/>
          <w:iCs/>
          <w:sz w:val="20"/>
          <w:szCs w:val="20"/>
        </w:rPr>
        <w:t xml:space="preserve">Aquilaria </w:t>
      </w:r>
      <w:proofErr w:type="spellStart"/>
      <w:r w:rsidRPr="00EA7007">
        <w:rPr>
          <w:rFonts w:ascii="Arial" w:hAnsi="Arial" w:cs="Arial"/>
          <w:i/>
          <w:iCs/>
          <w:sz w:val="20"/>
          <w:szCs w:val="20"/>
        </w:rPr>
        <w:t>malaccensis</w:t>
      </w:r>
      <w:proofErr w:type="spellEnd"/>
      <w:r w:rsidRPr="00EA7007">
        <w:rPr>
          <w:rFonts w:ascii="Arial" w:hAnsi="Arial" w:cs="Arial"/>
          <w:iCs/>
          <w:sz w:val="20"/>
          <w:szCs w:val="20"/>
        </w:rPr>
        <w:t xml:space="preserve"> is widely cultivated in </w:t>
      </w:r>
      <w:proofErr w:type="spellStart"/>
      <w:r w:rsidRPr="00EA7007">
        <w:rPr>
          <w:rFonts w:ascii="Arial" w:hAnsi="Arial" w:cs="Arial"/>
          <w:iCs/>
          <w:sz w:val="20"/>
          <w:szCs w:val="20"/>
        </w:rPr>
        <w:t>homegardens</w:t>
      </w:r>
      <w:proofErr w:type="spellEnd"/>
      <w:r w:rsidRPr="00EA7007">
        <w:rPr>
          <w:rFonts w:ascii="Arial" w:hAnsi="Arial" w:cs="Arial"/>
          <w:iCs/>
          <w:sz w:val="20"/>
          <w:szCs w:val="20"/>
        </w:rPr>
        <w:t>, offering significant economic benefits with an average annual income of ₹1,14,393 (</w:t>
      </w:r>
      <w:proofErr w:type="spellStart"/>
      <w:r w:rsidRPr="00EA7007">
        <w:rPr>
          <w:rFonts w:ascii="Arial" w:hAnsi="Arial" w:cs="Arial"/>
          <w:iCs/>
          <w:sz w:val="20"/>
          <w:szCs w:val="20"/>
        </w:rPr>
        <w:t>Saikia</w:t>
      </w:r>
      <w:proofErr w:type="spellEnd"/>
      <w:r w:rsidRPr="00EA7007">
        <w:rPr>
          <w:rFonts w:ascii="Arial" w:hAnsi="Arial" w:cs="Arial"/>
          <w:iCs/>
          <w:sz w:val="20"/>
          <w:szCs w:val="20"/>
        </w:rPr>
        <w:t xml:space="preserve"> and Khan, 2014). In Mizoram, eight local species grown in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were found to contribute over ₹10,000 annually each (Sahoo, 2009). Additionally, </w:t>
      </w:r>
      <w:proofErr w:type="spellStart"/>
      <w:r w:rsidRPr="00EA7007">
        <w:rPr>
          <w:rFonts w:ascii="Arial" w:hAnsi="Arial" w:cs="Arial"/>
          <w:i/>
          <w:sz w:val="20"/>
          <w:szCs w:val="20"/>
        </w:rPr>
        <w:t>Alnus</w:t>
      </w:r>
      <w:proofErr w:type="spellEnd"/>
      <w:r w:rsidRPr="00EA7007">
        <w:rPr>
          <w:rFonts w:ascii="Arial" w:hAnsi="Arial" w:cs="Arial"/>
          <w:iCs/>
          <w:sz w:val="20"/>
          <w:szCs w:val="20"/>
        </w:rPr>
        <w:t xml:space="preserve">–cardamom agroforestry systems in Sikkim yielded higher annual economic returns compared to other systems (Sharma et al., 2016a), highlighting the income-generating potential of diversified </w:t>
      </w:r>
      <w:proofErr w:type="spellStart"/>
      <w:r w:rsidRPr="00EA7007">
        <w:rPr>
          <w:rFonts w:ascii="Arial" w:hAnsi="Arial" w:cs="Arial"/>
          <w:iCs/>
          <w:sz w:val="20"/>
          <w:szCs w:val="20"/>
        </w:rPr>
        <w:t>homegarden</w:t>
      </w:r>
      <w:proofErr w:type="spellEnd"/>
      <w:r w:rsidRPr="00EA7007">
        <w:rPr>
          <w:rFonts w:ascii="Arial" w:hAnsi="Arial" w:cs="Arial"/>
          <w:iCs/>
          <w:sz w:val="20"/>
          <w:szCs w:val="20"/>
        </w:rPr>
        <w:t>-based agroforestry models.</w:t>
      </w:r>
    </w:p>
    <w:p w14:paraId="7CDC3847" w14:textId="77777777" w:rsidR="001E42C4" w:rsidRDefault="001E42C4" w:rsidP="00E064AE">
      <w:pPr>
        <w:spacing w:after="0" w:line="240" w:lineRule="auto"/>
        <w:jc w:val="both"/>
        <w:rPr>
          <w:rFonts w:ascii="Arial" w:hAnsi="Arial" w:cs="Arial"/>
          <w:iCs/>
          <w:sz w:val="20"/>
          <w:szCs w:val="20"/>
        </w:rPr>
      </w:pPr>
    </w:p>
    <w:p w14:paraId="276809DC" w14:textId="38EC159C" w:rsidR="00754E12" w:rsidRPr="00EA7007" w:rsidRDefault="00754E12" w:rsidP="00E064AE">
      <w:pPr>
        <w:spacing w:after="0" w:line="240" w:lineRule="auto"/>
        <w:jc w:val="both"/>
        <w:rPr>
          <w:rFonts w:ascii="Arial" w:hAnsi="Arial" w:cs="Arial"/>
          <w:iCs/>
          <w:sz w:val="20"/>
          <w:szCs w:val="20"/>
        </w:rPr>
      </w:pPr>
      <w:r w:rsidRPr="00EA7007">
        <w:rPr>
          <w:rFonts w:ascii="Arial" w:hAnsi="Arial" w:cs="Arial"/>
          <w:iCs/>
          <w:sz w:val="20"/>
          <w:szCs w:val="20"/>
        </w:rPr>
        <w:t xml:space="preserve">The selection of species in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is influenced by a variety of factors, including geographical conditions, garden size, traditional beliefs, financial status of the farmer, ethnicity, and economic needs (Singh and Sahoo, 2019). </w:t>
      </w:r>
      <w:r w:rsidR="00503165" w:rsidRPr="00503165">
        <w:rPr>
          <w:rFonts w:ascii="Arial" w:hAnsi="Arial" w:cs="Arial"/>
          <w:iCs/>
          <w:sz w:val="20"/>
          <w:szCs w:val="20"/>
        </w:rPr>
        <w:t>Women farmers in Mizoram play a crucial role in the domestication of wild plant species for both culinary and medicinal uses (Swain et al., 2020).</w:t>
      </w:r>
      <w:r w:rsidRPr="00EA7007">
        <w:rPr>
          <w:rFonts w:ascii="Arial" w:hAnsi="Arial" w:cs="Arial"/>
          <w:iCs/>
          <w:sz w:val="20"/>
          <w:szCs w:val="20"/>
        </w:rPr>
        <w:t xml:space="preserve"> Cultural preferences</w:t>
      </w:r>
      <w:r w:rsidR="005D6360">
        <w:rPr>
          <w:rFonts w:ascii="Arial" w:hAnsi="Arial" w:cs="Arial"/>
          <w:iCs/>
          <w:sz w:val="20"/>
          <w:szCs w:val="20"/>
        </w:rPr>
        <w:t xml:space="preserve"> also shape species composition-</w:t>
      </w:r>
      <w:r w:rsidRPr="00EA7007">
        <w:rPr>
          <w:rFonts w:ascii="Arial" w:hAnsi="Arial" w:cs="Arial"/>
          <w:iCs/>
          <w:sz w:val="20"/>
          <w:szCs w:val="20"/>
        </w:rPr>
        <w:t xml:space="preserve">for example, </w:t>
      </w:r>
      <w:proofErr w:type="spellStart"/>
      <w:r w:rsidRPr="00EA7007">
        <w:rPr>
          <w:rFonts w:ascii="Arial" w:hAnsi="Arial" w:cs="Arial"/>
          <w:i/>
          <w:iCs/>
          <w:sz w:val="20"/>
          <w:szCs w:val="20"/>
        </w:rPr>
        <w:t>Kalita</w:t>
      </w:r>
      <w:proofErr w:type="spellEnd"/>
      <w:r w:rsidRPr="00EA7007">
        <w:rPr>
          <w:rFonts w:ascii="Arial" w:hAnsi="Arial" w:cs="Arial"/>
          <w:iCs/>
          <w:sz w:val="20"/>
          <w:szCs w:val="20"/>
        </w:rPr>
        <w:t xml:space="preserve"> farmers in Assam prioritize cash crops like rice and areca nut, while farmers in Arunachal Pradesh show a preference for timber species (</w:t>
      </w:r>
      <w:proofErr w:type="spellStart"/>
      <w:r w:rsidRPr="00EA7007">
        <w:rPr>
          <w:rFonts w:ascii="Arial" w:hAnsi="Arial" w:cs="Arial"/>
          <w:iCs/>
          <w:sz w:val="20"/>
          <w:szCs w:val="20"/>
        </w:rPr>
        <w:t>Tangjang</w:t>
      </w:r>
      <w:proofErr w:type="spellEnd"/>
      <w:r w:rsidRPr="00EA7007">
        <w:rPr>
          <w:rFonts w:ascii="Arial" w:hAnsi="Arial" w:cs="Arial"/>
          <w:iCs/>
          <w:sz w:val="20"/>
          <w:szCs w:val="20"/>
        </w:rPr>
        <w:t xml:space="preserve"> and Arunachalam, 2017). In Mizoram, altitudinal variation was found to influence species dominance, with </w:t>
      </w:r>
      <w:proofErr w:type="spellStart"/>
      <w:r w:rsidRPr="00EA7007">
        <w:rPr>
          <w:rFonts w:ascii="Arial" w:hAnsi="Arial" w:cs="Arial"/>
          <w:i/>
          <w:iCs/>
          <w:sz w:val="20"/>
          <w:szCs w:val="20"/>
        </w:rPr>
        <w:t>Parkia</w:t>
      </w:r>
      <w:proofErr w:type="spellEnd"/>
      <w:r w:rsidRPr="00EA7007">
        <w:rPr>
          <w:rFonts w:ascii="Arial" w:hAnsi="Arial" w:cs="Arial"/>
          <w:i/>
          <w:iCs/>
          <w:sz w:val="20"/>
          <w:szCs w:val="20"/>
        </w:rPr>
        <w:t xml:space="preserve"> </w:t>
      </w:r>
      <w:proofErr w:type="spellStart"/>
      <w:r w:rsidRPr="00EA7007">
        <w:rPr>
          <w:rFonts w:ascii="Arial" w:hAnsi="Arial" w:cs="Arial"/>
          <w:i/>
          <w:iCs/>
          <w:sz w:val="20"/>
          <w:szCs w:val="20"/>
        </w:rPr>
        <w:t>timoriana</w:t>
      </w:r>
      <w:proofErr w:type="spellEnd"/>
      <w:r w:rsidRPr="00EA7007">
        <w:rPr>
          <w:rFonts w:ascii="Arial" w:hAnsi="Arial" w:cs="Arial"/>
          <w:iCs/>
          <w:sz w:val="20"/>
          <w:szCs w:val="20"/>
        </w:rPr>
        <w:t xml:space="preserve"> prevailing in higher altitudes and </w:t>
      </w:r>
      <w:r w:rsidRPr="00EA7007">
        <w:rPr>
          <w:rFonts w:ascii="Arial" w:hAnsi="Arial" w:cs="Arial"/>
          <w:i/>
          <w:iCs/>
          <w:sz w:val="20"/>
          <w:szCs w:val="20"/>
        </w:rPr>
        <w:t>Areca catechu</w:t>
      </w:r>
      <w:r w:rsidRPr="00EA7007">
        <w:rPr>
          <w:rFonts w:ascii="Arial" w:hAnsi="Arial" w:cs="Arial"/>
          <w:iCs/>
          <w:sz w:val="20"/>
          <w:szCs w:val="20"/>
        </w:rPr>
        <w:t xml:space="preserve"> more common in lower elevations (Sahoo and </w:t>
      </w:r>
      <w:proofErr w:type="spellStart"/>
      <w:r w:rsidRPr="00EA7007">
        <w:rPr>
          <w:rFonts w:ascii="Arial" w:hAnsi="Arial" w:cs="Arial"/>
          <w:iCs/>
          <w:sz w:val="20"/>
          <w:szCs w:val="20"/>
        </w:rPr>
        <w:t>Pebam</w:t>
      </w:r>
      <w:proofErr w:type="spellEnd"/>
      <w:r w:rsidRPr="00EA7007">
        <w:rPr>
          <w:rFonts w:ascii="Arial" w:hAnsi="Arial" w:cs="Arial"/>
          <w:iCs/>
          <w:sz w:val="20"/>
          <w:szCs w:val="20"/>
        </w:rPr>
        <w:t>, 2015).</w:t>
      </w:r>
    </w:p>
    <w:p w14:paraId="5D4EFF62" w14:textId="77777777" w:rsidR="001E42C4" w:rsidRDefault="001E42C4" w:rsidP="00E064AE">
      <w:pPr>
        <w:spacing w:after="0" w:line="240" w:lineRule="auto"/>
        <w:jc w:val="both"/>
        <w:rPr>
          <w:rFonts w:ascii="Arial" w:hAnsi="Arial" w:cs="Arial"/>
          <w:iCs/>
          <w:sz w:val="20"/>
          <w:szCs w:val="20"/>
        </w:rPr>
      </w:pPr>
    </w:p>
    <w:p w14:paraId="3AA830DD" w14:textId="30669059" w:rsidR="00A340CA" w:rsidRPr="00EA7007" w:rsidRDefault="00503165" w:rsidP="00E064AE">
      <w:pPr>
        <w:spacing w:after="0" w:line="240" w:lineRule="auto"/>
        <w:jc w:val="both"/>
        <w:rPr>
          <w:rFonts w:ascii="Arial" w:hAnsi="Arial" w:cs="Arial"/>
          <w:iCs/>
          <w:sz w:val="20"/>
          <w:szCs w:val="20"/>
        </w:rPr>
      </w:pPr>
      <w:r w:rsidRPr="00503165">
        <w:rPr>
          <w:rFonts w:ascii="Arial" w:hAnsi="Arial" w:cs="Arial"/>
          <w:iCs/>
          <w:sz w:val="20"/>
          <w:szCs w:val="20"/>
        </w:rPr>
        <w:t>In Assam, traditional agroforestry systems have been classified into ten distinct types, based on species composition as well as their cultural, regional, and economic significance.</w:t>
      </w:r>
      <w:r>
        <w:rPr>
          <w:rFonts w:ascii="Arial" w:hAnsi="Arial" w:cs="Arial"/>
          <w:iCs/>
          <w:sz w:val="20"/>
          <w:szCs w:val="20"/>
        </w:rPr>
        <w:t xml:space="preserve"> </w:t>
      </w:r>
      <w:r w:rsidR="00754E12" w:rsidRPr="00EA7007">
        <w:rPr>
          <w:rFonts w:ascii="Arial" w:hAnsi="Arial" w:cs="Arial"/>
          <w:iCs/>
          <w:sz w:val="20"/>
          <w:szCs w:val="20"/>
        </w:rPr>
        <w:t>These inc</w:t>
      </w:r>
      <w:r w:rsidR="001E42C4">
        <w:rPr>
          <w:rFonts w:ascii="Arial" w:hAnsi="Arial" w:cs="Arial"/>
          <w:iCs/>
          <w:sz w:val="20"/>
          <w:szCs w:val="20"/>
        </w:rPr>
        <w:t xml:space="preserve">lude systems based on areca nut - </w:t>
      </w:r>
      <w:r w:rsidR="00754E12" w:rsidRPr="00EA7007">
        <w:rPr>
          <w:rFonts w:ascii="Arial" w:hAnsi="Arial" w:cs="Arial"/>
          <w:iCs/>
          <w:sz w:val="20"/>
          <w:szCs w:val="20"/>
        </w:rPr>
        <w:t xml:space="preserve">coconut, </w:t>
      </w:r>
      <w:r w:rsidR="00754E12" w:rsidRPr="00EA7007">
        <w:rPr>
          <w:rFonts w:ascii="Arial" w:hAnsi="Arial" w:cs="Arial"/>
          <w:i/>
          <w:iCs/>
          <w:sz w:val="20"/>
          <w:szCs w:val="20"/>
        </w:rPr>
        <w:t>Aquilaria</w:t>
      </w:r>
      <w:r w:rsidR="00754E12" w:rsidRPr="00EA7007">
        <w:rPr>
          <w:rFonts w:ascii="Arial" w:hAnsi="Arial" w:cs="Arial"/>
          <w:iCs/>
          <w:sz w:val="20"/>
          <w:szCs w:val="20"/>
        </w:rPr>
        <w:t xml:space="preserve">, </w:t>
      </w:r>
      <w:proofErr w:type="spellStart"/>
      <w:r w:rsidR="00754E12" w:rsidRPr="00EA7007">
        <w:rPr>
          <w:rFonts w:ascii="Arial" w:hAnsi="Arial" w:cs="Arial"/>
          <w:i/>
          <w:iCs/>
          <w:sz w:val="20"/>
          <w:szCs w:val="20"/>
        </w:rPr>
        <w:t>Livistonia</w:t>
      </w:r>
      <w:proofErr w:type="spellEnd"/>
      <w:r w:rsidR="001E42C4">
        <w:rPr>
          <w:rFonts w:ascii="Arial" w:hAnsi="Arial" w:cs="Arial"/>
          <w:iCs/>
          <w:sz w:val="20"/>
          <w:szCs w:val="20"/>
        </w:rPr>
        <w:t xml:space="preserve">, orange - lemon, </w:t>
      </w:r>
      <w:proofErr w:type="spellStart"/>
      <w:r w:rsidR="001E42C4">
        <w:rPr>
          <w:rFonts w:ascii="Arial" w:hAnsi="Arial" w:cs="Arial"/>
          <w:iCs/>
          <w:sz w:val="20"/>
          <w:szCs w:val="20"/>
        </w:rPr>
        <w:t>eri-</w:t>
      </w:r>
      <w:r w:rsidR="00754E12" w:rsidRPr="00EA7007">
        <w:rPr>
          <w:rFonts w:ascii="Arial" w:hAnsi="Arial" w:cs="Arial"/>
          <w:iCs/>
          <w:sz w:val="20"/>
          <w:szCs w:val="20"/>
        </w:rPr>
        <w:t>muga</w:t>
      </w:r>
      <w:proofErr w:type="spellEnd"/>
      <w:r w:rsidR="00754E12" w:rsidRPr="00EA7007">
        <w:rPr>
          <w:rFonts w:ascii="Arial" w:hAnsi="Arial" w:cs="Arial"/>
          <w:iCs/>
          <w:sz w:val="20"/>
          <w:szCs w:val="20"/>
        </w:rPr>
        <w:t xml:space="preserve"> silkworm, multipurpose tr</w:t>
      </w:r>
      <w:r w:rsidR="001E42C4">
        <w:rPr>
          <w:rFonts w:ascii="Arial" w:hAnsi="Arial" w:cs="Arial"/>
          <w:iCs/>
          <w:sz w:val="20"/>
          <w:szCs w:val="20"/>
        </w:rPr>
        <w:t>ees and vegetables, tea, bamboo-areca-</w:t>
      </w:r>
      <w:r w:rsidR="00754E12" w:rsidRPr="00EA7007">
        <w:rPr>
          <w:rFonts w:ascii="Arial" w:hAnsi="Arial" w:cs="Arial"/>
          <w:iCs/>
          <w:sz w:val="20"/>
          <w:szCs w:val="20"/>
        </w:rPr>
        <w:t xml:space="preserve">betel, </w:t>
      </w:r>
      <w:proofErr w:type="spellStart"/>
      <w:r w:rsidR="00754E12" w:rsidRPr="00EA7007">
        <w:rPr>
          <w:rFonts w:ascii="Arial" w:hAnsi="Arial" w:cs="Arial"/>
          <w:iCs/>
          <w:sz w:val="20"/>
          <w:szCs w:val="20"/>
        </w:rPr>
        <w:t>taungya</w:t>
      </w:r>
      <w:proofErr w:type="spellEnd"/>
      <w:r w:rsidR="00754E12" w:rsidRPr="00EA7007">
        <w:rPr>
          <w:rFonts w:ascii="Arial" w:hAnsi="Arial" w:cs="Arial"/>
          <w:iCs/>
          <w:sz w:val="20"/>
          <w:szCs w:val="20"/>
        </w:rPr>
        <w:t xml:space="preserve">, and </w:t>
      </w:r>
      <w:r w:rsidR="00754E12" w:rsidRPr="00EA7007">
        <w:rPr>
          <w:rFonts w:ascii="Arial" w:hAnsi="Arial" w:cs="Arial"/>
          <w:i/>
          <w:iCs/>
          <w:sz w:val="20"/>
          <w:szCs w:val="20"/>
        </w:rPr>
        <w:t>Bombax</w:t>
      </w:r>
      <w:r w:rsidR="001E42C4">
        <w:rPr>
          <w:rFonts w:ascii="Arial" w:hAnsi="Arial" w:cs="Arial"/>
          <w:iCs/>
          <w:sz w:val="20"/>
          <w:szCs w:val="20"/>
        </w:rPr>
        <w:t>-</w:t>
      </w:r>
      <w:r w:rsidR="00754E12" w:rsidRPr="00EA7007">
        <w:rPr>
          <w:rFonts w:ascii="Arial" w:hAnsi="Arial" w:cs="Arial"/>
          <w:iCs/>
          <w:sz w:val="20"/>
          <w:szCs w:val="20"/>
        </w:rPr>
        <w:t>bamboo</w:t>
      </w:r>
      <w:r w:rsidR="001E42C4">
        <w:rPr>
          <w:rFonts w:ascii="Arial" w:hAnsi="Arial" w:cs="Arial"/>
          <w:iCs/>
          <w:sz w:val="20"/>
          <w:szCs w:val="20"/>
        </w:rPr>
        <w:t>-</w:t>
      </w:r>
      <w:proofErr w:type="spellStart"/>
      <w:r w:rsidR="00754E12" w:rsidRPr="00EA7007">
        <w:rPr>
          <w:rFonts w:ascii="Arial" w:hAnsi="Arial" w:cs="Arial"/>
          <w:i/>
          <w:iCs/>
          <w:sz w:val="20"/>
          <w:szCs w:val="20"/>
        </w:rPr>
        <w:t>Bridelia</w:t>
      </w:r>
      <w:proofErr w:type="spellEnd"/>
      <w:r w:rsidR="00754E12" w:rsidRPr="00EA7007">
        <w:rPr>
          <w:rFonts w:ascii="Arial" w:hAnsi="Arial" w:cs="Arial"/>
          <w:iCs/>
          <w:sz w:val="20"/>
          <w:szCs w:val="20"/>
        </w:rPr>
        <w:t xml:space="preserve"> (Hazarika et al., 2001).</w:t>
      </w:r>
    </w:p>
    <w:p w14:paraId="61675517" w14:textId="77777777" w:rsidR="001E42C4" w:rsidRDefault="001E42C4" w:rsidP="001E42C4">
      <w:pPr>
        <w:spacing w:after="0" w:line="360" w:lineRule="auto"/>
        <w:jc w:val="both"/>
        <w:rPr>
          <w:rFonts w:ascii="Arial" w:hAnsi="Arial" w:cs="Arial"/>
          <w:iCs/>
          <w:sz w:val="20"/>
          <w:szCs w:val="20"/>
        </w:rPr>
      </w:pPr>
    </w:p>
    <w:p w14:paraId="0DE7DDC6" w14:textId="4F6A09D7" w:rsidR="00E719F0" w:rsidRDefault="00754E12" w:rsidP="003F07BF">
      <w:pPr>
        <w:spacing w:after="0" w:line="240" w:lineRule="auto"/>
        <w:jc w:val="both"/>
        <w:rPr>
          <w:rFonts w:ascii="Arial" w:hAnsi="Arial" w:cs="Arial"/>
          <w:iCs/>
          <w:sz w:val="20"/>
          <w:szCs w:val="20"/>
        </w:rPr>
      </w:pP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also serve as repositories of ethnobotanical knowledge. In Western Assam, Talukdar and Gupta (2018) recorded 70 ethno-pharmacological plant species from the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of the Garo community. In Mizoram, 54 ethno-medicinal plants were identified from agroforestry systems and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(Rai and </w:t>
      </w:r>
      <w:proofErr w:type="spellStart"/>
      <w:r w:rsidRPr="00EA7007">
        <w:rPr>
          <w:rFonts w:ascii="Arial" w:hAnsi="Arial" w:cs="Arial"/>
          <w:iCs/>
          <w:sz w:val="20"/>
          <w:szCs w:val="20"/>
        </w:rPr>
        <w:t>Lalramnghinglova</w:t>
      </w:r>
      <w:proofErr w:type="spellEnd"/>
      <w:r w:rsidRPr="00EA7007">
        <w:rPr>
          <w:rFonts w:ascii="Arial" w:hAnsi="Arial" w:cs="Arial"/>
          <w:iCs/>
          <w:sz w:val="20"/>
          <w:szCs w:val="20"/>
        </w:rPr>
        <w:t xml:space="preserve">, 2010). Similarly, in Nagaland, </w:t>
      </w:r>
      <w:proofErr w:type="spellStart"/>
      <w:r w:rsidRPr="00EA7007">
        <w:rPr>
          <w:rFonts w:ascii="Arial" w:hAnsi="Arial" w:cs="Arial"/>
          <w:iCs/>
          <w:sz w:val="20"/>
          <w:szCs w:val="20"/>
        </w:rPr>
        <w:t>homegardens</w:t>
      </w:r>
      <w:proofErr w:type="spellEnd"/>
      <w:r w:rsidRPr="00EA7007">
        <w:rPr>
          <w:rFonts w:ascii="Arial" w:hAnsi="Arial" w:cs="Arial"/>
          <w:iCs/>
          <w:sz w:val="20"/>
          <w:szCs w:val="20"/>
        </w:rPr>
        <w:t xml:space="preserve"> of the </w:t>
      </w:r>
      <w:proofErr w:type="spellStart"/>
      <w:r w:rsidRPr="00EA7007">
        <w:rPr>
          <w:rFonts w:ascii="Arial" w:hAnsi="Arial" w:cs="Arial"/>
          <w:iCs/>
          <w:sz w:val="20"/>
          <w:szCs w:val="20"/>
        </w:rPr>
        <w:t>Angami</w:t>
      </w:r>
      <w:proofErr w:type="spellEnd"/>
      <w:r w:rsidRPr="00EA7007">
        <w:rPr>
          <w:rFonts w:ascii="Arial" w:hAnsi="Arial" w:cs="Arial"/>
          <w:iCs/>
          <w:sz w:val="20"/>
          <w:szCs w:val="20"/>
        </w:rPr>
        <w:t xml:space="preserve"> tribe were found to host 84 wild edible plants with ethnobotanical significance (Singh and </w:t>
      </w:r>
      <w:proofErr w:type="spellStart"/>
      <w:r w:rsidRPr="00EA7007">
        <w:rPr>
          <w:rFonts w:ascii="Arial" w:hAnsi="Arial" w:cs="Arial"/>
          <w:iCs/>
          <w:sz w:val="20"/>
          <w:szCs w:val="20"/>
        </w:rPr>
        <w:t>Teron</w:t>
      </w:r>
      <w:proofErr w:type="spellEnd"/>
      <w:r w:rsidRPr="00EA7007">
        <w:rPr>
          <w:rFonts w:ascii="Arial" w:hAnsi="Arial" w:cs="Arial"/>
          <w:iCs/>
          <w:sz w:val="20"/>
          <w:szCs w:val="20"/>
        </w:rPr>
        <w:t>, 2015).</w:t>
      </w:r>
    </w:p>
    <w:p w14:paraId="0743D956" w14:textId="77777777" w:rsidR="003F07BF" w:rsidRPr="003F07BF" w:rsidRDefault="003F07BF" w:rsidP="003F07BF">
      <w:pPr>
        <w:spacing w:after="0" w:line="240" w:lineRule="auto"/>
        <w:jc w:val="both"/>
        <w:rPr>
          <w:rStyle w:val="Strong"/>
          <w:rFonts w:ascii="Arial" w:hAnsi="Arial" w:cs="Arial"/>
          <w:b w:val="0"/>
          <w:bCs w:val="0"/>
          <w:iCs/>
          <w:sz w:val="20"/>
          <w:szCs w:val="20"/>
        </w:rPr>
      </w:pPr>
    </w:p>
    <w:p w14:paraId="246EF06E" w14:textId="77777777" w:rsidR="003F07BF" w:rsidRDefault="003F07BF" w:rsidP="003F07BF">
      <w:pPr>
        <w:pStyle w:val="NormalWeb"/>
        <w:spacing w:before="0" w:beforeAutospacing="0" w:after="0" w:afterAutospacing="0"/>
        <w:rPr>
          <w:rStyle w:val="Strong"/>
          <w:rFonts w:ascii="Arial" w:hAnsi="Arial" w:cs="Arial"/>
          <w:sz w:val="22"/>
          <w:szCs w:val="22"/>
        </w:rPr>
      </w:pPr>
    </w:p>
    <w:p w14:paraId="42813934" w14:textId="727C44F9" w:rsidR="003F07BF" w:rsidRDefault="008E47E4" w:rsidP="003F07BF">
      <w:pPr>
        <w:pStyle w:val="NormalWeb"/>
        <w:spacing w:before="0" w:beforeAutospacing="0" w:after="0" w:afterAutospacing="0"/>
        <w:rPr>
          <w:rStyle w:val="Strong"/>
          <w:rFonts w:ascii="Arial" w:hAnsi="Arial" w:cs="Arial"/>
          <w:sz w:val="22"/>
          <w:szCs w:val="22"/>
        </w:rPr>
      </w:pPr>
      <w:r w:rsidRPr="0020269D">
        <w:rPr>
          <w:rStyle w:val="Strong"/>
          <w:rFonts w:ascii="Arial" w:hAnsi="Arial" w:cs="Arial"/>
          <w:sz w:val="22"/>
          <w:szCs w:val="22"/>
        </w:rPr>
        <w:t>Sacred Groves</w:t>
      </w:r>
    </w:p>
    <w:p w14:paraId="60462BF5" w14:textId="77777777" w:rsidR="003F07BF" w:rsidRDefault="003F07BF" w:rsidP="003F07BF">
      <w:pPr>
        <w:pStyle w:val="NormalWeb"/>
        <w:spacing w:before="0" w:beforeAutospacing="0" w:after="0" w:afterAutospacing="0"/>
        <w:rPr>
          <w:rStyle w:val="Strong"/>
          <w:rFonts w:ascii="Arial" w:hAnsi="Arial" w:cs="Arial"/>
          <w:sz w:val="22"/>
          <w:szCs w:val="22"/>
        </w:rPr>
      </w:pPr>
    </w:p>
    <w:p w14:paraId="3EB2E97F" w14:textId="1CE9702D" w:rsidR="00387384" w:rsidRPr="000B7446" w:rsidRDefault="00E57088" w:rsidP="003F07BF">
      <w:pPr>
        <w:pStyle w:val="NormalWeb"/>
        <w:spacing w:before="0" w:beforeAutospacing="0" w:after="0" w:afterAutospacing="0"/>
        <w:jc w:val="both"/>
        <w:rPr>
          <w:rFonts w:ascii="Arial" w:hAnsi="Arial" w:cs="Arial"/>
          <w:sz w:val="20"/>
          <w:szCs w:val="20"/>
        </w:rPr>
      </w:pPr>
      <w:r w:rsidRPr="000B7446">
        <w:rPr>
          <w:rFonts w:ascii="Arial" w:hAnsi="Arial" w:cs="Arial"/>
          <w:sz w:val="20"/>
          <w:szCs w:val="20"/>
        </w:rPr>
        <w:t xml:space="preserve">Sacred groves are traditionally protected forest patches dedicated to local deities, ancestral spirits or other spiritual entities </w:t>
      </w:r>
      <w:r w:rsidR="00654987" w:rsidRPr="000B7446">
        <w:rPr>
          <w:rFonts w:ascii="Arial" w:hAnsi="Arial" w:cs="Arial"/>
          <w:sz w:val="20"/>
          <w:szCs w:val="20"/>
        </w:rPr>
        <w:t xml:space="preserve">(Figure 2) </w:t>
      </w:r>
      <w:r w:rsidRPr="000B7446">
        <w:rPr>
          <w:rFonts w:ascii="Arial" w:hAnsi="Arial" w:cs="Arial"/>
          <w:sz w:val="20"/>
          <w:szCs w:val="20"/>
        </w:rPr>
        <w:t>and are safeguarded by indigenous communities owing to their deep religious, cultural</w:t>
      </w:r>
      <w:r w:rsidR="00654987" w:rsidRPr="000B7446">
        <w:rPr>
          <w:rFonts w:ascii="Arial" w:hAnsi="Arial" w:cs="Arial"/>
          <w:sz w:val="20"/>
          <w:szCs w:val="20"/>
        </w:rPr>
        <w:t xml:space="preserve"> </w:t>
      </w:r>
      <w:r w:rsidRPr="000B7446">
        <w:rPr>
          <w:rFonts w:ascii="Arial" w:hAnsi="Arial" w:cs="Arial"/>
          <w:sz w:val="20"/>
          <w:szCs w:val="20"/>
        </w:rPr>
        <w:t xml:space="preserve">and ecological significance (Malhotra et al., 2001). These groves are often regarded as tracts of near-virgin forest ecosystems (Khan et al., 2008), representing one of the oldest forms of </w:t>
      </w:r>
      <w:r w:rsidRPr="000B7446">
        <w:rPr>
          <w:rFonts w:ascii="Arial" w:hAnsi="Arial" w:cs="Arial"/>
          <w:sz w:val="20"/>
          <w:szCs w:val="20"/>
        </w:rPr>
        <w:lastRenderedPageBreak/>
        <w:t xml:space="preserve">community-based conservation in India. They not only embody spiritual reverence but also serve as repositories of biodiversity, </w:t>
      </w:r>
      <w:r w:rsidR="004300CB" w:rsidRPr="004300CB">
        <w:rPr>
          <w:rFonts w:ascii="Arial" w:hAnsi="Arial" w:cs="Arial"/>
          <w:sz w:val="20"/>
          <w:szCs w:val="20"/>
        </w:rPr>
        <w:t>supporting a wide array of endemic and threatened species.</w:t>
      </w:r>
      <w:r w:rsidR="004300CB">
        <w:rPr>
          <w:rFonts w:ascii="Arial" w:hAnsi="Arial" w:cs="Arial"/>
          <w:sz w:val="20"/>
          <w:szCs w:val="20"/>
        </w:rPr>
        <w:t xml:space="preserve"> </w:t>
      </w:r>
      <w:r w:rsidRPr="000B7446">
        <w:rPr>
          <w:rFonts w:ascii="Arial" w:hAnsi="Arial" w:cs="Arial"/>
          <w:sz w:val="20"/>
          <w:szCs w:val="20"/>
        </w:rPr>
        <w:t>The size of sacred groves varies considerably, from as small as 0.01 hectares to as extensive as 900 hectares (Swamy et al., 1998)</w:t>
      </w:r>
      <w:r w:rsidR="000B7446" w:rsidRPr="000B7446">
        <w:rPr>
          <w:rFonts w:ascii="Arial" w:hAnsi="Arial" w:cs="Arial"/>
          <w:sz w:val="20"/>
          <w:szCs w:val="20"/>
        </w:rPr>
        <w:t>, reflecting the heterogeneity of both ecological settings and cultural traditions that govern their protection.</w:t>
      </w:r>
      <w:r w:rsidR="00387384">
        <w:rPr>
          <w:rFonts w:ascii="Arial" w:hAnsi="Arial" w:cs="Arial"/>
          <w:sz w:val="20"/>
          <w:szCs w:val="20"/>
        </w:rPr>
        <w:t xml:space="preserve"> </w:t>
      </w:r>
      <w:r w:rsidR="00387384" w:rsidRPr="000B7446">
        <w:rPr>
          <w:rFonts w:ascii="Arial" w:hAnsi="Arial" w:cs="Arial"/>
          <w:sz w:val="20"/>
          <w:szCs w:val="20"/>
        </w:rPr>
        <w:t>Functioning as living symbols of the interdependence between nature and culture, sacred groves provide insights into traditional ecological knowledge systems and highlight the role of cultural values in sustaining natural landscapes across generations.</w:t>
      </w:r>
      <w:r w:rsidR="00387384">
        <w:rPr>
          <w:rFonts w:ascii="Arial" w:hAnsi="Arial" w:cs="Arial"/>
          <w:sz w:val="20"/>
          <w:szCs w:val="20"/>
        </w:rPr>
        <w:t xml:space="preserve"> </w:t>
      </w:r>
      <w:r w:rsidR="00387384" w:rsidRPr="00387384">
        <w:rPr>
          <w:rFonts w:ascii="Arial" w:hAnsi="Arial" w:cs="Arial"/>
          <w:sz w:val="20"/>
          <w:szCs w:val="20"/>
          <w:lang w:val="en-US"/>
        </w:rPr>
        <w:t xml:space="preserve">In many communities, restrictions on extraction, hunting, or tree felling within these groves ensure their continuity as reservoirs of biological diversity. </w:t>
      </w:r>
      <w:r w:rsidR="004300CB" w:rsidRPr="004300CB">
        <w:rPr>
          <w:rFonts w:ascii="Arial" w:hAnsi="Arial" w:cs="Arial"/>
          <w:sz w:val="20"/>
          <w:szCs w:val="20"/>
          <w:lang w:val="en-US"/>
        </w:rPr>
        <w:t>Simultaneously, these groves function as cultural landmarks, reinforcing social identity and fostering collective responsibility for conservation.</w:t>
      </w:r>
      <w:r w:rsidR="00387384" w:rsidRPr="00387384">
        <w:rPr>
          <w:rFonts w:ascii="Arial" w:hAnsi="Arial" w:cs="Arial"/>
          <w:sz w:val="20"/>
          <w:szCs w:val="20"/>
          <w:lang w:val="en-US"/>
        </w:rPr>
        <w:t xml:space="preserve"> Given their dual role as ecological havens and cultural institutions, understanding their present status becomes essential</w:t>
      </w:r>
      <w:r w:rsidR="00387384">
        <w:rPr>
          <w:rFonts w:ascii="Arial" w:hAnsi="Arial" w:cs="Arial"/>
          <w:sz w:val="20"/>
          <w:szCs w:val="20"/>
          <w:lang w:val="en-US"/>
        </w:rPr>
        <w:t>.</w:t>
      </w:r>
      <w:r w:rsidR="00387384" w:rsidRPr="00387384">
        <w:rPr>
          <w:rFonts w:ascii="Arial" w:hAnsi="Arial" w:cs="Arial"/>
          <w:sz w:val="20"/>
          <w:szCs w:val="20"/>
        </w:rPr>
        <w:t xml:space="preserve"> </w:t>
      </w:r>
    </w:p>
    <w:p w14:paraId="7692C2ED" w14:textId="77777777" w:rsidR="00E57088" w:rsidRPr="000B7446" w:rsidRDefault="00E57088" w:rsidP="00226CEA">
      <w:pPr>
        <w:pStyle w:val="NormalWeb"/>
        <w:spacing w:before="0" w:beforeAutospacing="0" w:after="0" w:afterAutospacing="0" w:line="360" w:lineRule="auto"/>
        <w:jc w:val="both"/>
        <w:rPr>
          <w:rFonts w:ascii="Arial" w:hAnsi="Arial" w:cs="Arial"/>
          <w:snapToGrid w:val="0"/>
          <w:color w:val="000000"/>
          <w:w w:val="0"/>
          <w:sz w:val="20"/>
          <w:szCs w:val="20"/>
          <w:u w:color="000000"/>
          <w:bdr w:val="none" w:sz="0" w:space="0" w:color="000000"/>
          <w:shd w:val="clear" w:color="000000" w:fill="000000"/>
          <w:lang w:val="en-US"/>
        </w:rPr>
      </w:pPr>
    </w:p>
    <w:p w14:paraId="0AD87866" w14:textId="77777777" w:rsidR="00712455" w:rsidRPr="000B7446" w:rsidRDefault="00712455" w:rsidP="00226CEA">
      <w:pPr>
        <w:pStyle w:val="NormalWeb"/>
        <w:spacing w:before="0" w:beforeAutospacing="0" w:after="0" w:afterAutospacing="0" w:line="360" w:lineRule="auto"/>
        <w:jc w:val="both"/>
        <w:rPr>
          <w:rFonts w:ascii="Arial" w:hAnsi="Arial" w:cs="Arial"/>
          <w:snapToGrid w:val="0"/>
          <w:color w:val="000000"/>
          <w:w w:val="0"/>
          <w:sz w:val="20"/>
          <w:szCs w:val="20"/>
          <w:u w:color="000000"/>
          <w:bdr w:val="none" w:sz="0" w:space="0" w:color="000000"/>
          <w:shd w:val="clear" w:color="000000" w:fill="000000"/>
          <w:lang w:val="en-US"/>
        </w:rPr>
      </w:pPr>
    </w:p>
    <w:p w14:paraId="2D8F8C24" w14:textId="77777777" w:rsidR="00226CEA" w:rsidRDefault="00EB435C" w:rsidP="00EB435C">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lang w:val="en-US" w:eastAsia="en-US"/>
        </w:rPr>
        <w:drawing>
          <wp:inline distT="0" distB="0" distL="0" distR="0" wp14:anchorId="34A4EB14" wp14:editId="5791CCB2">
            <wp:extent cx="4837176" cy="3346704"/>
            <wp:effectExtent l="0" t="0" r="0" b="0"/>
            <wp:docPr id="1" name="Picture 1" descr="H:\Dirgheswari SG, Kam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gheswari SG, Kamrup.png"/>
                    <pic:cNvPicPr>
                      <a:picLocks noChangeAspect="1" noChangeArrowheads="1"/>
                    </pic:cNvPicPr>
                  </pic:nvPicPr>
                  <pic:blipFill>
                    <a:blip r:embed="rId9" cstate="print"/>
                    <a:srcRect/>
                    <a:stretch>
                      <a:fillRect/>
                    </a:stretch>
                  </pic:blipFill>
                  <pic:spPr bwMode="auto">
                    <a:xfrm>
                      <a:off x="0" y="0"/>
                      <a:ext cx="4837176" cy="3346704"/>
                    </a:xfrm>
                    <a:prstGeom prst="rect">
                      <a:avLst/>
                    </a:prstGeom>
                    <a:noFill/>
                    <a:ln w="9525">
                      <a:noFill/>
                      <a:miter lim="800000"/>
                      <a:headEnd/>
                      <a:tailEnd/>
                    </a:ln>
                  </pic:spPr>
                </pic:pic>
              </a:graphicData>
            </a:graphic>
          </wp:inline>
        </w:drawing>
      </w:r>
    </w:p>
    <w:p w14:paraId="7700058F" w14:textId="77777777" w:rsidR="00712455" w:rsidRPr="002C35F4" w:rsidRDefault="00712455" w:rsidP="00712455">
      <w:pPr>
        <w:spacing w:after="0" w:line="360" w:lineRule="auto"/>
        <w:jc w:val="center"/>
        <w:rPr>
          <w:rFonts w:ascii="Arial" w:hAnsi="Arial" w:cs="Arial"/>
          <w:sz w:val="20"/>
          <w:szCs w:val="20"/>
        </w:rPr>
      </w:pPr>
      <w:r w:rsidRPr="002C35F4">
        <w:rPr>
          <w:rFonts w:ascii="Arial" w:hAnsi="Arial" w:cs="Arial"/>
          <w:b/>
          <w:iCs/>
          <w:sz w:val="20"/>
          <w:szCs w:val="20"/>
          <w:lang w:val="en-IN"/>
        </w:rPr>
        <w:t>Figure 2:</w:t>
      </w:r>
      <w:r w:rsidRPr="002C35F4">
        <w:rPr>
          <w:rFonts w:ascii="Arial" w:hAnsi="Arial" w:cs="Arial"/>
          <w:bCs/>
          <w:iCs/>
          <w:sz w:val="20"/>
          <w:szCs w:val="20"/>
          <w:lang w:val="en-IN"/>
        </w:rPr>
        <w:t xml:space="preserve"> Traditional sacred grove landscape in Assam (</w:t>
      </w:r>
      <w:proofErr w:type="spellStart"/>
      <w:r w:rsidRPr="002C35F4">
        <w:rPr>
          <w:rFonts w:ascii="Arial" w:hAnsi="Arial" w:cs="Arial"/>
          <w:bCs/>
          <w:iCs/>
          <w:sz w:val="20"/>
          <w:szCs w:val="20"/>
          <w:lang w:val="en-IN"/>
        </w:rPr>
        <w:t>Dirgheshwari</w:t>
      </w:r>
      <w:proofErr w:type="spellEnd"/>
      <w:r w:rsidRPr="002C35F4">
        <w:rPr>
          <w:rFonts w:ascii="Arial" w:hAnsi="Arial" w:cs="Arial"/>
          <w:bCs/>
          <w:iCs/>
          <w:sz w:val="20"/>
          <w:szCs w:val="20"/>
          <w:lang w:val="en-IN"/>
        </w:rPr>
        <w:t xml:space="preserve">, </w:t>
      </w:r>
      <w:proofErr w:type="spellStart"/>
      <w:r w:rsidRPr="002C35F4">
        <w:rPr>
          <w:rFonts w:ascii="Arial" w:hAnsi="Arial" w:cs="Arial"/>
          <w:bCs/>
          <w:iCs/>
          <w:sz w:val="20"/>
          <w:szCs w:val="20"/>
          <w:lang w:val="en-IN"/>
        </w:rPr>
        <w:t>Kamrup</w:t>
      </w:r>
      <w:proofErr w:type="spellEnd"/>
      <w:r w:rsidRPr="002C35F4">
        <w:rPr>
          <w:rFonts w:ascii="Arial" w:hAnsi="Arial" w:cs="Arial"/>
          <w:bCs/>
          <w:iCs/>
          <w:sz w:val="20"/>
          <w:szCs w:val="20"/>
          <w:lang w:val="en-IN"/>
        </w:rPr>
        <w:t xml:space="preserve"> M </w:t>
      </w:r>
      <w:r w:rsidRPr="002C35F4">
        <w:rPr>
          <w:rFonts w:ascii="Arial" w:hAnsi="Arial" w:cs="Arial"/>
          <w:sz w:val="20"/>
          <w:szCs w:val="20"/>
        </w:rPr>
        <w:t>district)</w:t>
      </w:r>
    </w:p>
    <w:p w14:paraId="56E23FE6" w14:textId="77777777" w:rsidR="00712455" w:rsidRDefault="00712455" w:rsidP="00712455">
      <w:pPr>
        <w:spacing w:after="0" w:line="360" w:lineRule="auto"/>
        <w:jc w:val="center"/>
        <w:rPr>
          <w:rFonts w:ascii="Arial" w:hAnsi="Arial" w:cs="Arial"/>
          <w:bCs/>
          <w:iCs/>
          <w:sz w:val="20"/>
          <w:szCs w:val="20"/>
          <w:lang w:val="en-IN"/>
        </w:rPr>
      </w:pPr>
    </w:p>
    <w:p w14:paraId="40BA4B9F" w14:textId="13856362" w:rsidR="00712455" w:rsidRPr="000B7446" w:rsidRDefault="000B7446" w:rsidP="00E064AE">
      <w:pPr>
        <w:pStyle w:val="NormalWeb"/>
        <w:spacing w:before="0" w:beforeAutospacing="0" w:after="0" w:afterAutospacing="0"/>
        <w:jc w:val="both"/>
        <w:rPr>
          <w:rFonts w:ascii="Arial" w:hAnsi="Arial" w:cs="Arial"/>
          <w:snapToGrid w:val="0"/>
          <w:color w:val="000000"/>
          <w:w w:val="0"/>
          <w:sz w:val="20"/>
          <w:szCs w:val="20"/>
          <w:u w:color="000000"/>
          <w:bdr w:val="none" w:sz="0" w:space="0" w:color="000000"/>
          <w:shd w:val="clear" w:color="000000" w:fill="000000"/>
          <w:lang w:val="en-US"/>
        </w:rPr>
      </w:pPr>
      <w:r w:rsidRPr="000B7446">
        <w:rPr>
          <w:rFonts w:ascii="Arial" w:hAnsi="Arial" w:cs="Arial"/>
          <w:sz w:val="20"/>
          <w:szCs w:val="20"/>
        </w:rPr>
        <w:t xml:space="preserve">The documentation of sacred groves, including their distribution, number, and local nomenclature </w:t>
      </w:r>
      <w:r w:rsidR="00712455" w:rsidRPr="000B7446">
        <w:rPr>
          <w:rFonts w:ascii="Arial" w:hAnsi="Arial" w:cs="Arial"/>
          <w:sz w:val="20"/>
          <w:szCs w:val="20"/>
        </w:rPr>
        <w:t>is summarized in Table 2 and Table 3.</w:t>
      </w:r>
      <w:r w:rsidR="00712455" w:rsidRPr="000B7446">
        <w:rPr>
          <w:rFonts w:ascii="Arial" w:hAnsi="Arial" w:cs="Arial"/>
          <w:snapToGrid w:val="0"/>
          <w:color w:val="000000"/>
          <w:w w:val="0"/>
          <w:sz w:val="20"/>
          <w:szCs w:val="20"/>
          <w:u w:color="000000"/>
          <w:bdr w:val="none" w:sz="0" w:space="0" w:color="000000"/>
          <w:shd w:val="clear" w:color="000000" w:fill="000000"/>
        </w:rPr>
        <w:t xml:space="preserve"> </w:t>
      </w:r>
    </w:p>
    <w:p w14:paraId="45F3F046" w14:textId="77777777" w:rsidR="00226CEA" w:rsidRPr="00226CEA" w:rsidRDefault="00226CEA" w:rsidP="00E064AE">
      <w:pPr>
        <w:pStyle w:val="NormalWeb"/>
        <w:spacing w:before="0" w:beforeAutospacing="0" w:after="0" w:afterAutospacing="0"/>
        <w:jc w:val="both"/>
        <w:rPr>
          <w:rFonts w:ascii="Arial" w:hAnsi="Arial" w:cs="Arial"/>
          <w:sz w:val="18"/>
          <w:szCs w:val="18"/>
        </w:rPr>
      </w:pPr>
    </w:p>
    <w:p w14:paraId="3EF3293C" w14:textId="77777777" w:rsidR="003F07BF" w:rsidRDefault="003F07BF" w:rsidP="00E064AE">
      <w:pPr>
        <w:spacing w:after="0" w:line="240" w:lineRule="auto"/>
        <w:jc w:val="center"/>
        <w:rPr>
          <w:rFonts w:ascii="Arial" w:eastAsia="Times New Roman" w:hAnsi="Arial" w:cs="Arial"/>
          <w:b/>
          <w:bCs/>
          <w:sz w:val="20"/>
          <w:szCs w:val="20"/>
        </w:rPr>
      </w:pPr>
    </w:p>
    <w:p w14:paraId="369968A2" w14:textId="77777777" w:rsidR="003F07BF" w:rsidRDefault="003F07BF" w:rsidP="00E064AE">
      <w:pPr>
        <w:spacing w:after="0" w:line="240" w:lineRule="auto"/>
        <w:jc w:val="center"/>
        <w:rPr>
          <w:rFonts w:ascii="Arial" w:eastAsia="Times New Roman" w:hAnsi="Arial" w:cs="Arial"/>
          <w:b/>
          <w:bCs/>
          <w:sz w:val="20"/>
          <w:szCs w:val="20"/>
        </w:rPr>
      </w:pPr>
    </w:p>
    <w:p w14:paraId="30DE3426" w14:textId="77777777" w:rsidR="003F07BF" w:rsidRDefault="003F07BF" w:rsidP="00E064AE">
      <w:pPr>
        <w:spacing w:after="0" w:line="240" w:lineRule="auto"/>
        <w:jc w:val="center"/>
        <w:rPr>
          <w:rFonts w:ascii="Arial" w:eastAsia="Times New Roman" w:hAnsi="Arial" w:cs="Arial"/>
          <w:b/>
          <w:bCs/>
          <w:sz w:val="20"/>
          <w:szCs w:val="20"/>
        </w:rPr>
      </w:pPr>
    </w:p>
    <w:p w14:paraId="66E92F6C" w14:textId="77777777" w:rsidR="003F07BF" w:rsidRDefault="003F07BF" w:rsidP="00E064AE">
      <w:pPr>
        <w:spacing w:after="0" w:line="240" w:lineRule="auto"/>
        <w:jc w:val="center"/>
        <w:rPr>
          <w:rFonts w:ascii="Arial" w:eastAsia="Times New Roman" w:hAnsi="Arial" w:cs="Arial"/>
          <w:b/>
          <w:bCs/>
          <w:sz w:val="20"/>
          <w:szCs w:val="20"/>
        </w:rPr>
      </w:pPr>
    </w:p>
    <w:p w14:paraId="4F359776" w14:textId="77777777" w:rsidR="003F07BF" w:rsidRDefault="003F07BF" w:rsidP="00E064AE">
      <w:pPr>
        <w:spacing w:after="0" w:line="240" w:lineRule="auto"/>
        <w:jc w:val="center"/>
        <w:rPr>
          <w:rFonts w:ascii="Arial" w:eastAsia="Times New Roman" w:hAnsi="Arial" w:cs="Arial"/>
          <w:b/>
          <w:bCs/>
          <w:sz w:val="20"/>
          <w:szCs w:val="20"/>
        </w:rPr>
      </w:pPr>
    </w:p>
    <w:p w14:paraId="6B3F82EB" w14:textId="77777777" w:rsidR="003F07BF" w:rsidRDefault="003F07BF" w:rsidP="00E064AE">
      <w:pPr>
        <w:spacing w:after="0" w:line="240" w:lineRule="auto"/>
        <w:jc w:val="center"/>
        <w:rPr>
          <w:rFonts w:ascii="Arial" w:eastAsia="Times New Roman" w:hAnsi="Arial" w:cs="Arial"/>
          <w:b/>
          <w:bCs/>
          <w:sz w:val="20"/>
          <w:szCs w:val="20"/>
        </w:rPr>
      </w:pPr>
    </w:p>
    <w:p w14:paraId="3A557B48" w14:textId="5600796F" w:rsidR="00226CEA" w:rsidRDefault="00226CEA" w:rsidP="00E064AE">
      <w:pPr>
        <w:spacing w:after="0" w:line="240" w:lineRule="auto"/>
        <w:jc w:val="center"/>
        <w:rPr>
          <w:rFonts w:ascii="Arial" w:eastAsia="Times New Roman" w:hAnsi="Arial" w:cs="Arial"/>
          <w:sz w:val="20"/>
          <w:szCs w:val="20"/>
        </w:rPr>
      </w:pPr>
      <w:r w:rsidRPr="002C35F4">
        <w:rPr>
          <w:rFonts w:ascii="Arial" w:eastAsia="Times New Roman" w:hAnsi="Arial" w:cs="Arial"/>
          <w:b/>
          <w:bCs/>
          <w:sz w:val="20"/>
          <w:szCs w:val="20"/>
        </w:rPr>
        <w:t>Table</w:t>
      </w:r>
      <w:r w:rsidR="002C35F4">
        <w:rPr>
          <w:rFonts w:ascii="Arial" w:eastAsia="Times New Roman" w:hAnsi="Arial" w:cs="Arial"/>
          <w:b/>
          <w:bCs/>
          <w:sz w:val="20"/>
          <w:szCs w:val="20"/>
        </w:rPr>
        <w:t xml:space="preserve"> </w:t>
      </w:r>
      <w:r w:rsidRPr="002C35F4">
        <w:rPr>
          <w:rFonts w:ascii="Arial" w:eastAsia="Times New Roman" w:hAnsi="Arial" w:cs="Arial"/>
          <w:b/>
          <w:bCs/>
          <w:sz w:val="20"/>
          <w:szCs w:val="20"/>
        </w:rPr>
        <w:t>2:</w:t>
      </w:r>
      <w:r w:rsidRPr="002C35F4">
        <w:rPr>
          <w:rFonts w:ascii="Arial" w:eastAsia="Times New Roman" w:hAnsi="Arial" w:cs="Arial"/>
          <w:sz w:val="20"/>
          <w:szCs w:val="20"/>
        </w:rPr>
        <w:t xml:space="preserve"> Documentation of number of sacred groves </w:t>
      </w:r>
    </w:p>
    <w:p w14:paraId="383E6EA8" w14:textId="77777777" w:rsidR="002C35F4" w:rsidRPr="002C35F4" w:rsidRDefault="002C35F4" w:rsidP="00226CEA">
      <w:pPr>
        <w:spacing w:after="0" w:line="240" w:lineRule="auto"/>
        <w:jc w:val="center"/>
        <w:rPr>
          <w:rFonts w:ascii="Arial" w:hAnsi="Arial" w:cs="Arial"/>
          <w:iCs/>
          <w:sz w:val="20"/>
          <w:szCs w:val="20"/>
        </w:rPr>
      </w:pPr>
    </w:p>
    <w:tbl>
      <w:tblPr>
        <w:tblStyle w:val="TableGrid"/>
        <w:tblW w:w="4881" w:type="pct"/>
        <w:jc w:val="center"/>
        <w:tblBorders>
          <w:top w:val="single" w:sz="6" w:space="0" w:color="000000" w:themeColor="text1"/>
          <w:left w:val="none" w:sz="0" w:space="0" w:color="auto"/>
          <w:bottom w:val="single" w:sz="6" w:space="0" w:color="000000" w:themeColor="text1"/>
          <w:right w:val="none" w:sz="0" w:space="0" w:color="auto"/>
          <w:insideH w:val="single" w:sz="6" w:space="0" w:color="000000" w:themeColor="text1"/>
          <w:insideV w:val="none" w:sz="0" w:space="0" w:color="auto"/>
        </w:tblBorders>
        <w:tblLayout w:type="fixed"/>
        <w:tblLook w:val="04A0" w:firstRow="1" w:lastRow="0" w:firstColumn="1" w:lastColumn="0" w:noHBand="0" w:noVBand="1"/>
      </w:tblPr>
      <w:tblGrid>
        <w:gridCol w:w="2053"/>
        <w:gridCol w:w="1991"/>
        <w:gridCol w:w="1890"/>
        <w:gridCol w:w="3414"/>
      </w:tblGrid>
      <w:tr w:rsidR="00226CEA" w:rsidRPr="002C35F4" w14:paraId="522374BE" w14:textId="77777777" w:rsidTr="00DA6368">
        <w:trPr>
          <w:trHeight w:hRule="exact" w:val="288"/>
          <w:jc w:val="center"/>
        </w:trPr>
        <w:tc>
          <w:tcPr>
            <w:tcW w:w="1098" w:type="pct"/>
            <w:noWrap/>
            <w:vAlign w:val="center"/>
            <w:hideMark/>
          </w:tcPr>
          <w:p w14:paraId="7C67486D" w14:textId="77777777" w:rsidR="00226CEA" w:rsidRPr="002C35F4" w:rsidRDefault="00226CEA" w:rsidP="00A71EEC">
            <w:pPr>
              <w:rPr>
                <w:rFonts w:ascii="Arial" w:hAnsi="Arial" w:cs="Arial"/>
                <w:b/>
                <w:iCs/>
                <w:sz w:val="20"/>
                <w:szCs w:val="20"/>
              </w:rPr>
            </w:pPr>
            <w:r w:rsidRPr="002C35F4">
              <w:rPr>
                <w:rFonts w:ascii="Arial" w:hAnsi="Arial" w:cs="Arial"/>
                <w:b/>
                <w:iCs/>
                <w:sz w:val="20"/>
                <w:szCs w:val="20"/>
              </w:rPr>
              <w:t>State</w:t>
            </w:r>
          </w:p>
        </w:tc>
        <w:tc>
          <w:tcPr>
            <w:tcW w:w="1065" w:type="pct"/>
            <w:noWrap/>
            <w:vAlign w:val="center"/>
            <w:hideMark/>
          </w:tcPr>
          <w:p w14:paraId="2152848C" w14:textId="77777777" w:rsidR="00226CEA" w:rsidRPr="002C35F4" w:rsidRDefault="00226CEA" w:rsidP="00DE3E35">
            <w:pPr>
              <w:rPr>
                <w:rFonts w:ascii="Arial" w:hAnsi="Arial" w:cs="Arial"/>
                <w:b/>
                <w:iCs/>
                <w:sz w:val="20"/>
                <w:szCs w:val="20"/>
              </w:rPr>
            </w:pPr>
            <w:r w:rsidRPr="002C35F4">
              <w:rPr>
                <w:rFonts w:ascii="Arial" w:hAnsi="Arial" w:cs="Arial"/>
                <w:b/>
                <w:iCs/>
                <w:sz w:val="20"/>
                <w:szCs w:val="20"/>
              </w:rPr>
              <w:t>Number of Sacred groves/ places</w:t>
            </w:r>
          </w:p>
        </w:tc>
        <w:tc>
          <w:tcPr>
            <w:tcW w:w="1011" w:type="pct"/>
            <w:noWrap/>
            <w:vAlign w:val="center"/>
            <w:hideMark/>
          </w:tcPr>
          <w:p w14:paraId="75B3A794" w14:textId="77777777" w:rsidR="00226CEA" w:rsidRPr="002C35F4" w:rsidRDefault="00226CEA" w:rsidP="00DE3E35">
            <w:pPr>
              <w:rPr>
                <w:rFonts w:ascii="Arial" w:hAnsi="Arial" w:cs="Arial"/>
                <w:b/>
                <w:iCs/>
                <w:sz w:val="20"/>
                <w:szCs w:val="20"/>
              </w:rPr>
            </w:pPr>
            <w:r w:rsidRPr="002C35F4">
              <w:rPr>
                <w:rFonts w:ascii="Arial" w:hAnsi="Arial" w:cs="Arial"/>
                <w:b/>
                <w:iCs/>
                <w:sz w:val="20"/>
                <w:szCs w:val="20"/>
              </w:rPr>
              <w:t>Number of Districts covered</w:t>
            </w:r>
          </w:p>
        </w:tc>
        <w:tc>
          <w:tcPr>
            <w:tcW w:w="1826" w:type="pct"/>
            <w:noWrap/>
            <w:vAlign w:val="center"/>
            <w:hideMark/>
          </w:tcPr>
          <w:p w14:paraId="0830C5DD" w14:textId="77777777" w:rsidR="00226CEA" w:rsidRPr="002C35F4" w:rsidRDefault="00226CEA" w:rsidP="00A71EEC">
            <w:pPr>
              <w:rPr>
                <w:rFonts w:ascii="Arial" w:hAnsi="Arial" w:cs="Arial"/>
                <w:b/>
                <w:iCs/>
                <w:sz w:val="20"/>
                <w:szCs w:val="20"/>
              </w:rPr>
            </w:pPr>
            <w:r w:rsidRPr="002C35F4">
              <w:rPr>
                <w:rFonts w:ascii="Arial" w:hAnsi="Arial" w:cs="Arial"/>
                <w:b/>
                <w:iCs/>
                <w:sz w:val="20"/>
                <w:szCs w:val="20"/>
              </w:rPr>
              <w:t>References</w:t>
            </w:r>
          </w:p>
        </w:tc>
      </w:tr>
      <w:tr w:rsidR="00226CEA" w:rsidRPr="002C35F4" w14:paraId="680E5113" w14:textId="77777777" w:rsidTr="00DA6368">
        <w:trPr>
          <w:trHeight w:hRule="exact" w:val="288"/>
          <w:jc w:val="center"/>
        </w:trPr>
        <w:tc>
          <w:tcPr>
            <w:tcW w:w="1098" w:type="pct"/>
            <w:vMerge w:val="restart"/>
            <w:noWrap/>
            <w:vAlign w:val="center"/>
            <w:hideMark/>
          </w:tcPr>
          <w:p w14:paraId="35428579"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Arunachal Pradesh</w:t>
            </w:r>
          </w:p>
        </w:tc>
        <w:tc>
          <w:tcPr>
            <w:tcW w:w="1065" w:type="pct"/>
            <w:noWrap/>
            <w:vAlign w:val="center"/>
            <w:hideMark/>
          </w:tcPr>
          <w:p w14:paraId="540754BD"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101</w:t>
            </w:r>
          </w:p>
        </w:tc>
        <w:tc>
          <w:tcPr>
            <w:tcW w:w="1011" w:type="pct"/>
            <w:noWrap/>
            <w:vAlign w:val="center"/>
            <w:hideMark/>
          </w:tcPr>
          <w:p w14:paraId="384AB213"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4</w:t>
            </w:r>
          </w:p>
        </w:tc>
        <w:tc>
          <w:tcPr>
            <w:tcW w:w="1826" w:type="pct"/>
            <w:noWrap/>
            <w:vAlign w:val="center"/>
            <w:hideMark/>
          </w:tcPr>
          <w:p w14:paraId="249E4D75"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Khan</w:t>
            </w:r>
            <w:r w:rsidR="00A71EEC" w:rsidRPr="002C35F4">
              <w:rPr>
                <w:rFonts w:ascii="Arial" w:hAnsi="Arial" w:cs="Arial"/>
                <w:iCs/>
                <w:sz w:val="20"/>
                <w:szCs w:val="20"/>
              </w:rPr>
              <w:t xml:space="preserve"> </w:t>
            </w:r>
            <w:proofErr w:type="gramStart"/>
            <w:r w:rsidRPr="002C35F4">
              <w:rPr>
                <w:rFonts w:ascii="Arial" w:hAnsi="Arial" w:cs="Arial"/>
                <w:sz w:val="20"/>
                <w:szCs w:val="20"/>
              </w:rPr>
              <w:t>et</w:t>
            </w:r>
            <w:r w:rsidR="00A71EEC" w:rsidRPr="002C35F4">
              <w:rPr>
                <w:rFonts w:ascii="Arial" w:hAnsi="Arial" w:cs="Arial"/>
                <w:sz w:val="20"/>
                <w:szCs w:val="20"/>
              </w:rPr>
              <w:t xml:space="preserve"> </w:t>
            </w:r>
            <w:r w:rsidRPr="002C35F4">
              <w:rPr>
                <w:rFonts w:ascii="Arial" w:hAnsi="Arial" w:cs="Arial"/>
                <w:sz w:val="20"/>
                <w:szCs w:val="20"/>
              </w:rPr>
              <w:t>al.</w:t>
            </w:r>
            <w:r w:rsidRPr="002C35F4">
              <w:rPr>
                <w:rFonts w:ascii="Arial" w:hAnsi="Arial" w:cs="Arial"/>
                <w:iCs/>
                <w:sz w:val="20"/>
                <w:szCs w:val="20"/>
              </w:rPr>
              <w:t>(</w:t>
            </w:r>
            <w:proofErr w:type="gramEnd"/>
            <w:r w:rsidRPr="002C35F4">
              <w:rPr>
                <w:rFonts w:ascii="Arial" w:hAnsi="Arial" w:cs="Arial"/>
                <w:iCs/>
                <w:sz w:val="20"/>
                <w:szCs w:val="20"/>
              </w:rPr>
              <w:t>2008)</w:t>
            </w:r>
          </w:p>
        </w:tc>
      </w:tr>
      <w:tr w:rsidR="00226CEA" w:rsidRPr="002C35F4" w14:paraId="6CD43729" w14:textId="77777777" w:rsidTr="00DA6368">
        <w:trPr>
          <w:trHeight w:hRule="exact" w:val="288"/>
          <w:jc w:val="center"/>
        </w:trPr>
        <w:tc>
          <w:tcPr>
            <w:tcW w:w="1098" w:type="pct"/>
            <w:vMerge/>
            <w:noWrap/>
            <w:vAlign w:val="center"/>
            <w:hideMark/>
          </w:tcPr>
          <w:p w14:paraId="0849425D" w14:textId="77777777" w:rsidR="00226CEA" w:rsidRPr="002C35F4" w:rsidRDefault="00226CEA" w:rsidP="00A71EEC">
            <w:pPr>
              <w:rPr>
                <w:rFonts w:ascii="Arial" w:hAnsi="Arial" w:cs="Arial"/>
                <w:iCs/>
                <w:sz w:val="20"/>
                <w:szCs w:val="20"/>
              </w:rPr>
            </w:pPr>
          </w:p>
        </w:tc>
        <w:tc>
          <w:tcPr>
            <w:tcW w:w="1065" w:type="pct"/>
            <w:noWrap/>
            <w:vAlign w:val="center"/>
            <w:hideMark/>
          </w:tcPr>
          <w:p w14:paraId="7D8391F1"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58</w:t>
            </w:r>
          </w:p>
        </w:tc>
        <w:tc>
          <w:tcPr>
            <w:tcW w:w="1011" w:type="pct"/>
            <w:noWrap/>
            <w:vAlign w:val="center"/>
            <w:hideMark/>
          </w:tcPr>
          <w:p w14:paraId="3B82D88A"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2</w:t>
            </w:r>
          </w:p>
        </w:tc>
        <w:tc>
          <w:tcPr>
            <w:tcW w:w="1826" w:type="pct"/>
            <w:noWrap/>
            <w:vAlign w:val="center"/>
            <w:hideMark/>
          </w:tcPr>
          <w:p w14:paraId="25BA0811"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Malhotra</w:t>
            </w:r>
            <w:r w:rsidR="00A71EEC" w:rsidRPr="002C35F4">
              <w:rPr>
                <w:rFonts w:ascii="Arial" w:hAnsi="Arial" w:cs="Arial"/>
                <w:iCs/>
                <w:sz w:val="20"/>
                <w:szCs w:val="20"/>
              </w:rPr>
              <w:t xml:space="preserve"> </w:t>
            </w:r>
            <w:proofErr w:type="gramStart"/>
            <w:r w:rsidRPr="002C35F4">
              <w:rPr>
                <w:rFonts w:ascii="Arial" w:hAnsi="Arial" w:cs="Arial"/>
                <w:sz w:val="20"/>
                <w:szCs w:val="20"/>
              </w:rPr>
              <w:t>et</w:t>
            </w:r>
            <w:r w:rsidR="00A71EEC" w:rsidRPr="002C35F4">
              <w:rPr>
                <w:rFonts w:ascii="Arial" w:hAnsi="Arial" w:cs="Arial"/>
                <w:sz w:val="20"/>
                <w:szCs w:val="20"/>
              </w:rPr>
              <w:t xml:space="preserve"> </w:t>
            </w:r>
            <w:r w:rsidRPr="002C35F4">
              <w:rPr>
                <w:rFonts w:ascii="Arial" w:hAnsi="Arial" w:cs="Arial"/>
                <w:sz w:val="20"/>
                <w:szCs w:val="20"/>
              </w:rPr>
              <w:t>al.</w:t>
            </w:r>
            <w:r w:rsidRPr="002C35F4">
              <w:rPr>
                <w:rFonts w:ascii="Arial" w:hAnsi="Arial" w:cs="Arial"/>
                <w:iCs/>
                <w:sz w:val="20"/>
                <w:szCs w:val="20"/>
              </w:rPr>
              <w:t>(</w:t>
            </w:r>
            <w:proofErr w:type="gramEnd"/>
            <w:r w:rsidRPr="002C35F4">
              <w:rPr>
                <w:rFonts w:ascii="Arial" w:hAnsi="Arial" w:cs="Arial"/>
                <w:iCs/>
                <w:sz w:val="20"/>
                <w:szCs w:val="20"/>
              </w:rPr>
              <w:t>2001)</w:t>
            </w:r>
          </w:p>
        </w:tc>
      </w:tr>
      <w:tr w:rsidR="00226CEA" w:rsidRPr="002C35F4" w14:paraId="5361B872" w14:textId="77777777" w:rsidTr="00DA6368">
        <w:trPr>
          <w:trHeight w:hRule="exact" w:val="288"/>
          <w:jc w:val="center"/>
        </w:trPr>
        <w:tc>
          <w:tcPr>
            <w:tcW w:w="1098" w:type="pct"/>
            <w:vMerge/>
            <w:noWrap/>
            <w:vAlign w:val="center"/>
            <w:hideMark/>
          </w:tcPr>
          <w:p w14:paraId="24550892" w14:textId="77777777" w:rsidR="00226CEA" w:rsidRPr="002C35F4" w:rsidRDefault="00226CEA" w:rsidP="00A71EEC">
            <w:pPr>
              <w:rPr>
                <w:rFonts w:ascii="Arial" w:hAnsi="Arial" w:cs="Arial"/>
                <w:iCs/>
                <w:sz w:val="20"/>
                <w:szCs w:val="20"/>
              </w:rPr>
            </w:pPr>
          </w:p>
        </w:tc>
        <w:tc>
          <w:tcPr>
            <w:tcW w:w="1065" w:type="pct"/>
            <w:noWrap/>
            <w:vAlign w:val="center"/>
            <w:hideMark/>
          </w:tcPr>
          <w:p w14:paraId="6D36996F"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29</w:t>
            </w:r>
          </w:p>
        </w:tc>
        <w:tc>
          <w:tcPr>
            <w:tcW w:w="1011" w:type="pct"/>
            <w:noWrap/>
            <w:vAlign w:val="center"/>
            <w:hideMark/>
          </w:tcPr>
          <w:p w14:paraId="62A933B4"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2</w:t>
            </w:r>
          </w:p>
        </w:tc>
        <w:tc>
          <w:tcPr>
            <w:tcW w:w="1826" w:type="pct"/>
            <w:noWrap/>
            <w:vAlign w:val="center"/>
            <w:hideMark/>
          </w:tcPr>
          <w:p w14:paraId="10316E50"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Hui</w:t>
            </w:r>
            <w:r w:rsidR="00A71EEC" w:rsidRPr="002C35F4">
              <w:rPr>
                <w:rFonts w:ascii="Arial" w:hAnsi="Arial" w:cs="Arial"/>
                <w:iCs/>
                <w:sz w:val="20"/>
                <w:szCs w:val="20"/>
              </w:rPr>
              <w:t xml:space="preserve"> </w:t>
            </w:r>
            <w:proofErr w:type="gramStart"/>
            <w:r w:rsidRPr="002C35F4">
              <w:rPr>
                <w:rFonts w:ascii="Arial" w:hAnsi="Arial" w:cs="Arial"/>
                <w:sz w:val="20"/>
                <w:szCs w:val="20"/>
              </w:rPr>
              <w:t>et al.</w:t>
            </w:r>
            <w:r w:rsidRPr="002C35F4">
              <w:rPr>
                <w:rFonts w:ascii="Arial" w:hAnsi="Arial" w:cs="Arial"/>
                <w:iCs/>
                <w:sz w:val="20"/>
                <w:szCs w:val="20"/>
              </w:rPr>
              <w:t>(</w:t>
            </w:r>
            <w:proofErr w:type="gramEnd"/>
            <w:r w:rsidRPr="002C35F4">
              <w:rPr>
                <w:rFonts w:ascii="Arial" w:hAnsi="Arial" w:cs="Arial"/>
                <w:iCs/>
                <w:sz w:val="20"/>
                <w:szCs w:val="20"/>
              </w:rPr>
              <w:t>2016)</w:t>
            </w:r>
          </w:p>
        </w:tc>
      </w:tr>
      <w:tr w:rsidR="00226CEA" w:rsidRPr="002C35F4" w14:paraId="1854F168" w14:textId="77777777" w:rsidTr="00DA6368">
        <w:trPr>
          <w:trHeight w:hRule="exact" w:val="288"/>
          <w:jc w:val="center"/>
        </w:trPr>
        <w:tc>
          <w:tcPr>
            <w:tcW w:w="1098" w:type="pct"/>
            <w:vMerge w:val="restart"/>
            <w:noWrap/>
            <w:vAlign w:val="center"/>
            <w:hideMark/>
          </w:tcPr>
          <w:p w14:paraId="66EDCEE5"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Assam</w:t>
            </w:r>
          </w:p>
        </w:tc>
        <w:tc>
          <w:tcPr>
            <w:tcW w:w="1065" w:type="pct"/>
            <w:noWrap/>
            <w:vAlign w:val="center"/>
            <w:hideMark/>
          </w:tcPr>
          <w:p w14:paraId="4C270D18"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12</w:t>
            </w:r>
          </w:p>
        </w:tc>
        <w:tc>
          <w:tcPr>
            <w:tcW w:w="1011" w:type="pct"/>
            <w:noWrap/>
            <w:vAlign w:val="center"/>
            <w:hideMark/>
          </w:tcPr>
          <w:p w14:paraId="112E2CC3"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w:t>
            </w:r>
          </w:p>
        </w:tc>
        <w:tc>
          <w:tcPr>
            <w:tcW w:w="1826" w:type="pct"/>
            <w:noWrap/>
            <w:vAlign w:val="center"/>
            <w:hideMark/>
          </w:tcPr>
          <w:p w14:paraId="3377DC8E" w14:textId="77777777" w:rsidR="00226CEA" w:rsidRPr="002C35F4" w:rsidRDefault="00226CEA" w:rsidP="00A71EEC">
            <w:pPr>
              <w:rPr>
                <w:rFonts w:ascii="Arial" w:hAnsi="Arial" w:cs="Arial"/>
                <w:iCs/>
                <w:sz w:val="20"/>
                <w:szCs w:val="20"/>
              </w:rPr>
            </w:pPr>
            <w:proofErr w:type="spellStart"/>
            <w:r w:rsidRPr="002C35F4">
              <w:rPr>
                <w:rFonts w:ascii="Arial" w:hAnsi="Arial" w:cs="Arial"/>
                <w:iCs/>
                <w:sz w:val="20"/>
                <w:szCs w:val="20"/>
              </w:rPr>
              <w:t>Medhi</w:t>
            </w:r>
            <w:proofErr w:type="spellEnd"/>
            <w:r w:rsidRPr="002C35F4">
              <w:rPr>
                <w:rFonts w:ascii="Arial" w:hAnsi="Arial" w:cs="Arial"/>
                <w:iCs/>
                <w:sz w:val="20"/>
                <w:szCs w:val="20"/>
              </w:rPr>
              <w:t xml:space="preserve"> and </w:t>
            </w:r>
            <w:proofErr w:type="spellStart"/>
            <w:r w:rsidRPr="002C35F4">
              <w:rPr>
                <w:rFonts w:ascii="Arial" w:hAnsi="Arial" w:cs="Arial"/>
                <w:iCs/>
                <w:sz w:val="20"/>
                <w:szCs w:val="20"/>
              </w:rPr>
              <w:t>Borthakur</w:t>
            </w:r>
            <w:proofErr w:type="spellEnd"/>
            <w:r w:rsidRPr="002C35F4">
              <w:rPr>
                <w:rFonts w:ascii="Arial" w:hAnsi="Arial" w:cs="Arial"/>
                <w:iCs/>
                <w:sz w:val="20"/>
                <w:szCs w:val="20"/>
              </w:rPr>
              <w:t xml:space="preserve"> (2013)</w:t>
            </w:r>
          </w:p>
        </w:tc>
      </w:tr>
      <w:tr w:rsidR="00226CEA" w:rsidRPr="002C35F4" w14:paraId="61A5AFE7" w14:textId="77777777" w:rsidTr="00DA6368">
        <w:trPr>
          <w:trHeight w:hRule="exact" w:val="288"/>
          <w:jc w:val="center"/>
        </w:trPr>
        <w:tc>
          <w:tcPr>
            <w:tcW w:w="1098" w:type="pct"/>
            <w:vMerge/>
            <w:noWrap/>
            <w:vAlign w:val="center"/>
            <w:hideMark/>
          </w:tcPr>
          <w:p w14:paraId="0DBDD0A4" w14:textId="77777777" w:rsidR="00226CEA" w:rsidRPr="002C35F4" w:rsidRDefault="00226CEA" w:rsidP="00A71EEC">
            <w:pPr>
              <w:rPr>
                <w:rFonts w:ascii="Arial" w:hAnsi="Arial" w:cs="Arial"/>
                <w:iCs/>
                <w:sz w:val="20"/>
                <w:szCs w:val="20"/>
              </w:rPr>
            </w:pPr>
          </w:p>
        </w:tc>
        <w:tc>
          <w:tcPr>
            <w:tcW w:w="1065" w:type="pct"/>
            <w:noWrap/>
            <w:vAlign w:val="center"/>
            <w:hideMark/>
          </w:tcPr>
          <w:p w14:paraId="45F9DD59"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17</w:t>
            </w:r>
          </w:p>
        </w:tc>
        <w:tc>
          <w:tcPr>
            <w:tcW w:w="1011" w:type="pct"/>
            <w:noWrap/>
            <w:vAlign w:val="center"/>
            <w:hideMark/>
          </w:tcPr>
          <w:p w14:paraId="1DAD7AE6"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w:t>
            </w:r>
          </w:p>
        </w:tc>
        <w:tc>
          <w:tcPr>
            <w:tcW w:w="1826" w:type="pct"/>
            <w:noWrap/>
            <w:vAlign w:val="center"/>
            <w:hideMark/>
          </w:tcPr>
          <w:p w14:paraId="23507BAF" w14:textId="278A4814" w:rsidR="00226CEA" w:rsidRPr="002C35F4" w:rsidRDefault="00226CEA" w:rsidP="00A71EEC">
            <w:pPr>
              <w:rPr>
                <w:rFonts w:ascii="Arial" w:hAnsi="Arial" w:cs="Arial"/>
                <w:iCs/>
                <w:sz w:val="20"/>
                <w:szCs w:val="20"/>
                <w:lang w:val="en-IN"/>
              </w:rPr>
            </w:pPr>
            <w:r w:rsidRPr="002C35F4">
              <w:rPr>
                <w:rFonts w:ascii="Arial" w:hAnsi="Arial" w:cs="Arial"/>
                <w:iCs/>
                <w:sz w:val="20"/>
                <w:szCs w:val="20"/>
              </w:rPr>
              <w:t>http</w:t>
            </w:r>
            <w:r w:rsidR="00D9549B">
              <w:rPr>
                <w:rFonts w:ascii="Arial" w:hAnsi="Arial" w:cs="Arial"/>
                <w:iCs/>
                <w:sz w:val="20"/>
                <w:szCs w:val="20"/>
              </w:rPr>
              <w:t>s</w:t>
            </w:r>
            <w:r w:rsidRPr="002C35F4">
              <w:rPr>
                <w:rFonts w:ascii="Arial" w:hAnsi="Arial" w:cs="Arial"/>
                <w:iCs/>
                <w:sz w:val="20"/>
                <w:szCs w:val="20"/>
              </w:rPr>
              <w:t>://www.cpreecenvis.nic.in</w:t>
            </w:r>
          </w:p>
        </w:tc>
      </w:tr>
      <w:tr w:rsidR="00226CEA" w:rsidRPr="002C35F4" w14:paraId="31F83B3F" w14:textId="77777777" w:rsidTr="00DA6368">
        <w:trPr>
          <w:trHeight w:hRule="exact" w:val="288"/>
          <w:jc w:val="center"/>
        </w:trPr>
        <w:tc>
          <w:tcPr>
            <w:tcW w:w="1098" w:type="pct"/>
            <w:vMerge/>
            <w:noWrap/>
            <w:vAlign w:val="center"/>
            <w:hideMark/>
          </w:tcPr>
          <w:p w14:paraId="2C5A2E20" w14:textId="77777777" w:rsidR="00226CEA" w:rsidRPr="002C35F4" w:rsidRDefault="00226CEA" w:rsidP="00A71EEC">
            <w:pPr>
              <w:rPr>
                <w:rFonts w:ascii="Arial" w:hAnsi="Arial" w:cs="Arial"/>
                <w:iCs/>
                <w:sz w:val="20"/>
                <w:szCs w:val="20"/>
              </w:rPr>
            </w:pPr>
          </w:p>
        </w:tc>
        <w:tc>
          <w:tcPr>
            <w:tcW w:w="1065" w:type="pct"/>
            <w:noWrap/>
            <w:vAlign w:val="center"/>
            <w:hideMark/>
          </w:tcPr>
          <w:p w14:paraId="1AA8491C"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40</w:t>
            </w:r>
          </w:p>
        </w:tc>
        <w:tc>
          <w:tcPr>
            <w:tcW w:w="1011" w:type="pct"/>
            <w:noWrap/>
            <w:vAlign w:val="center"/>
            <w:hideMark/>
          </w:tcPr>
          <w:p w14:paraId="45097596"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16F0E119" w14:textId="77777777" w:rsidR="00226CEA" w:rsidRPr="002C35F4" w:rsidRDefault="00226CEA" w:rsidP="00A71EEC">
            <w:pPr>
              <w:rPr>
                <w:rFonts w:ascii="Arial" w:hAnsi="Arial" w:cs="Arial"/>
                <w:iCs/>
                <w:sz w:val="20"/>
                <w:szCs w:val="20"/>
                <w:highlight w:val="yellow"/>
                <w:lang w:val="en-IN"/>
              </w:rPr>
            </w:pPr>
            <w:r w:rsidRPr="002C35F4">
              <w:rPr>
                <w:rFonts w:ascii="Arial" w:hAnsi="Arial" w:cs="Arial"/>
                <w:iCs/>
                <w:sz w:val="20"/>
                <w:szCs w:val="20"/>
              </w:rPr>
              <w:t>https://www.thenortheasttoday.com</w:t>
            </w:r>
          </w:p>
        </w:tc>
      </w:tr>
      <w:tr w:rsidR="00226CEA" w:rsidRPr="002C35F4" w14:paraId="238FC5CC" w14:textId="77777777" w:rsidTr="00DA6368">
        <w:trPr>
          <w:trHeight w:hRule="exact" w:val="288"/>
          <w:jc w:val="center"/>
        </w:trPr>
        <w:tc>
          <w:tcPr>
            <w:tcW w:w="1098" w:type="pct"/>
            <w:vMerge w:val="restart"/>
            <w:noWrap/>
            <w:vAlign w:val="center"/>
            <w:hideMark/>
          </w:tcPr>
          <w:p w14:paraId="1B05BE73"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Manipur</w:t>
            </w:r>
          </w:p>
        </w:tc>
        <w:tc>
          <w:tcPr>
            <w:tcW w:w="1065" w:type="pct"/>
            <w:noWrap/>
            <w:vAlign w:val="center"/>
            <w:hideMark/>
          </w:tcPr>
          <w:p w14:paraId="4667FE18"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365</w:t>
            </w:r>
          </w:p>
        </w:tc>
        <w:tc>
          <w:tcPr>
            <w:tcW w:w="1011" w:type="pct"/>
            <w:noWrap/>
            <w:vAlign w:val="center"/>
            <w:hideMark/>
          </w:tcPr>
          <w:p w14:paraId="1E8BC107"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7278E901"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Devi (2000)</w:t>
            </w:r>
          </w:p>
        </w:tc>
      </w:tr>
      <w:tr w:rsidR="00226CEA" w:rsidRPr="002C35F4" w14:paraId="570A550E" w14:textId="77777777" w:rsidTr="00DA6368">
        <w:trPr>
          <w:trHeight w:hRule="exact" w:val="288"/>
          <w:jc w:val="center"/>
        </w:trPr>
        <w:tc>
          <w:tcPr>
            <w:tcW w:w="1098" w:type="pct"/>
            <w:vMerge/>
            <w:noWrap/>
            <w:vAlign w:val="center"/>
            <w:hideMark/>
          </w:tcPr>
          <w:p w14:paraId="5DA3F574" w14:textId="77777777" w:rsidR="00226CEA" w:rsidRPr="002C35F4" w:rsidRDefault="00226CEA" w:rsidP="00A71EEC">
            <w:pPr>
              <w:rPr>
                <w:rFonts w:ascii="Arial" w:hAnsi="Arial" w:cs="Arial"/>
                <w:iCs/>
                <w:sz w:val="20"/>
                <w:szCs w:val="20"/>
              </w:rPr>
            </w:pPr>
          </w:p>
        </w:tc>
        <w:tc>
          <w:tcPr>
            <w:tcW w:w="1065" w:type="pct"/>
            <w:noWrap/>
            <w:vAlign w:val="center"/>
            <w:hideMark/>
          </w:tcPr>
          <w:p w14:paraId="760C54E1"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166</w:t>
            </w:r>
          </w:p>
        </w:tc>
        <w:tc>
          <w:tcPr>
            <w:tcW w:w="1011" w:type="pct"/>
            <w:noWrap/>
            <w:vAlign w:val="center"/>
            <w:hideMark/>
          </w:tcPr>
          <w:p w14:paraId="5221319A"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4</w:t>
            </w:r>
          </w:p>
        </w:tc>
        <w:tc>
          <w:tcPr>
            <w:tcW w:w="1826" w:type="pct"/>
            <w:noWrap/>
            <w:vAlign w:val="center"/>
            <w:hideMark/>
          </w:tcPr>
          <w:p w14:paraId="5E78B025" w14:textId="77777777" w:rsidR="00226CEA" w:rsidRPr="002C35F4" w:rsidRDefault="00226CEA" w:rsidP="00A71EEC">
            <w:pPr>
              <w:rPr>
                <w:rFonts w:ascii="Arial" w:hAnsi="Arial" w:cs="Arial"/>
                <w:bCs/>
                <w:iCs/>
                <w:sz w:val="20"/>
                <w:szCs w:val="20"/>
              </w:rPr>
            </w:pPr>
            <w:proofErr w:type="spellStart"/>
            <w:r w:rsidRPr="002C35F4">
              <w:rPr>
                <w:rFonts w:ascii="Arial" w:hAnsi="Arial" w:cs="Arial"/>
                <w:bCs/>
                <w:iCs/>
                <w:sz w:val="20"/>
                <w:szCs w:val="20"/>
              </w:rPr>
              <w:t>Khumbongmayum</w:t>
            </w:r>
            <w:proofErr w:type="spellEnd"/>
            <w:r w:rsidR="00A71EEC" w:rsidRPr="002C35F4">
              <w:rPr>
                <w:rFonts w:ascii="Arial" w:hAnsi="Arial" w:cs="Arial"/>
                <w:bCs/>
                <w:iCs/>
                <w:sz w:val="20"/>
                <w:szCs w:val="20"/>
              </w:rPr>
              <w:t xml:space="preserve"> </w:t>
            </w:r>
            <w:proofErr w:type="gramStart"/>
            <w:r w:rsidRPr="002C35F4">
              <w:rPr>
                <w:rFonts w:ascii="Arial" w:hAnsi="Arial" w:cs="Arial"/>
                <w:bCs/>
                <w:sz w:val="20"/>
                <w:szCs w:val="20"/>
              </w:rPr>
              <w:t>et</w:t>
            </w:r>
            <w:r w:rsidR="00A71EEC" w:rsidRPr="002C35F4">
              <w:rPr>
                <w:rFonts w:ascii="Arial" w:hAnsi="Arial" w:cs="Arial"/>
                <w:bCs/>
                <w:sz w:val="20"/>
                <w:szCs w:val="20"/>
              </w:rPr>
              <w:t xml:space="preserve"> </w:t>
            </w:r>
            <w:r w:rsidRPr="002C35F4">
              <w:rPr>
                <w:rFonts w:ascii="Arial" w:hAnsi="Arial" w:cs="Arial"/>
                <w:bCs/>
                <w:sz w:val="20"/>
                <w:szCs w:val="20"/>
              </w:rPr>
              <w:t>al.</w:t>
            </w:r>
            <w:r w:rsidRPr="002C35F4">
              <w:rPr>
                <w:rFonts w:ascii="Arial" w:hAnsi="Arial" w:cs="Arial"/>
                <w:bCs/>
                <w:iCs/>
                <w:sz w:val="20"/>
                <w:szCs w:val="20"/>
              </w:rPr>
              <w:t>(</w:t>
            </w:r>
            <w:proofErr w:type="gramEnd"/>
            <w:r w:rsidRPr="002C35F4">
              <w:rPr>
                <w:rFonts w:ascii="Arial" w:hAnsi="Arial" w:cs="Arial"/>
                <w:bCs/>
                <w:iCs/>
                <w:sz w:val="20"/>
                <w:szCs w:val="20"/>
              </w:rPr>
              <w:t>2004)</w:t>
            </w:r>
          </w:p>
        </w:tc>
      </w:tr>
      <w:tr w:rsidR="00226CEA" w:rsidRPr="002C35F4" w14:paraId="6E4AFFF0" w14:textId="77777777" w:rsidTr="00DA6368">
        <w:trPr>
          <w:trHeight w:hRule="exact" w:val="288"/>
          <w:jc w:val="center"/>
        </w:trPr>
        <w:tc>
          <w:tcPr>
            <w:tcW w:w="1098" w:type="pct"/>
            <w:vMerge w:val="restart"/>
            <w:noWrap/>
            <w:vAlign w:val="center"/>
            <w:hideMark/>
          </w:tcPr>
          <w:p w14:paraId="426DDD37"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Meghalaya</w:t>
            </w:r>
          </w:p>
        </w:tc>
        <w:tc>
          <w:tcPr>
            <w:tcW w:w="1065" w:type="pct"/>
            <w:noWrap/>
            <w:vAlign w:val="center"/>
            <w:hideMark/>
          </w:tcPr>
          <w:p w14:paraId="0BCC6CBD"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79</w:t>
            </w:r>
          </w:p>
        </w:tc>
        <w:tc>
          <w:tcPr>
            <w:tcW w:w="1011" w:type="pct"/>
            <w:noWrap/>
            <w:vAlign w:val="center"/>
            <w:hideMark/>
          </w:tcPr>
          <w:p w14:paraId="3C743566"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5131605F"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Tiwari</w:t>
            </w:r>
            <w:r w:rsidR="00A71EEC" w:rsidRPr="002C35F4">
              <w:rPr>
                <w:rFonts w:ascii="Arial" w:hAnsi="Arial" w:cs="Arial"/>
                <w:iCs/>
                <w:sz w:val="20"/>
                <w:szCs w:val="20"/>
              </w:rPr>
              <w:t xml:space="preserve"> </w:t>
            </w:r>
            <w:proofErr w:type="gramStart"/>
            <w:r w:rsidRPr="002C35F4">
              <w:rPr>
                <w:rFonts w:ascii="Arial" w:hAnsi="Arial" w:cs="Arial"/>
                <w:sz w:val="20"/>
                <w:szCs w:val="20"/>
              </w:rPr>
              <w:t>et</w:t>
            </w:r>
            <w:r w:rsidR="00A71EEC" w:rsidRPr="002C35F4">
              <w:rPr>
                <w:rFonts w:ascii="Arial" w:hAnsi="Arial" w:cs="Arial"/>
                <w:sz w:val="20"/>
                <w:szCs w:val="20"/>
              </w:rPr>
              <w:t xml:space="preserve"> </w:t>
            </w:r>
            <w:r w:rsidRPr="002C35F4">
              <w:rPr>
                <w:rFonts w:ascii="Arial" w:hAnsi="Arial" w:cs="Arial"/>
                <w:sz w:val="20"/>
                <w:szCs w:val="20"/>
              </w:rPr>
              <w:t>al.</w:t>
            </w:r>
            <w:r w:rsidRPr="002C35F4">
              <w:rPr>
                <w:rFonts w:ascii="Arial" w:hAnsi="Arial" w:cs="Arial"/>
                <w:iCs/>
                <w:sz w:val="20"/>
                <w:szCs w:val="20"/>
              </w:rPr>
              <w:t>(</w:t>
            </w:r>
            <w:proofErr w:type="gramEnd"/>
            <w:r w:rsidRPr="002C35F4">
              <w:rPr>
                <w:rFonts w:ascii="Arial" w:hAnsi="Arial" w:cs="Arial"/>
                <w:iCs/>
                <w:sz w:val="20"/>
                <w:szCs w:val="20"/>
              </w:rPr>
              <w:t>2008)</w:t>
            </w:r>
          </w:p>
        </w:tc>
      </w:tr>
      <w:tr w:rsidR="00226CEA" w:rsidRPr="002C35F4" w14:paraId="0A97F293" w14:textId="77777777" w:rsidTr="00DA6368">
        <w:trPr>
          <w:trHeight w:hRule="exact" w:val="288"/>
          <w:jc w:val="center"/>
        </w:trPr>
        <w:tc>
          <w:tcPr>
            <w:tcW w:w="1098" w:type="pct"/>
            <w:vMerge/>
            <w:noWrap/>
            <w:vAlign w:val="center"/>
            <w:hideMark/>
          </w:tcPr>
          <w:p w14:paraId="4E499BD0" w14:textId="77777777" w:rsidR="00226CEA" w:rsidRPr="002C35F4" w:rsidRDefault="00226CEA" w:rsidP="00A71EEC">
            <w:pPr>
              <w:rPr>
                <w:rFonts w:ascii="Arial" w:hAnsi="Arial" w:cs="Arial"/>
                <w:iCs/>
                <w:sz w:val="20"/>
                <w:szCs w:val="20"/>
              </w:rPr>
            </w:pPr>
          </w:p>
        </w:tc>
        <w:tc>
          <w:tcPr>
            <w:tcW w:w="1065" w:type="pct"/>
            <w:noWrap/>
            <w:vAlign w:val="center"/>
            <w:hideMark/>
          </w:tcPr>
          <w:p w14:paraId="78EB5DB1"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101</w:t>
            </w:r>
          </w:p>
        </w:tc>
        <w:tc>
          <w:tcPr>
            <w:tcW w:w="1011" w:type="pct"/>
            <w:noWrap/>
            <w:vAlign w:val="center"/>
            <w:hideMark/>
          </w:tcPr>
          <w:p w14:paraId="7876350D"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69DE2756" w14:textId="5B70736F" w:rsidR="00226CEA" w:rsidRPr="002C35F4" w:rsidRDefault="00226CEA" w:rsidP="00A71EEC">
            <w:pPr>
              <w:rPr>
                <w:rFonts w:ascii="Arial" w:hAnsi="Arial" w:cs="Arial"/>
                <w:iCs/>
                <w:sz w:val="20"/>
                <w:szCs w:val="20"/>
              </w:rPr>
            </w:pPr>
            <w:r w:rsidRPr="002C35F4">
              <w:rPr>
                <w:rFonts w:ascii="Arial" w:hAnsi="Arial" w:cs="Arial"/>
                <w:iCs/>
                <w:sz w:val="20"/>
                <w:szCs w:val="20"/>
              </w:rPr>
              <w:t>http</w:t>
            </w:r>
            <w:r w:rsidR="00785CE4">
              <w:rPr>
                <w:rFonts w:ascii="Arial" w:hAnsi="Arial" w:cs="Arial"/>
                <w:iCs/>
                <w:sz w:val="20"/>
                <w:szCs w:val="20"/>
              </w:rPr>
              <w:t>s</w:t>
            </w:r>
            <w:r w:rsidRPr="002C35F4">
              <w:rPr>
                <w:rFonts w:ascii="Arial" w:hAnsi="Arial" w:cs="Arial"/>
                <w:iCs/>
                <w:sz w:val="20"/>
                <w:szCs w:val="20"/>
              </w:rPr>
              <w:t>://www.cpreecenvis.nic.in</w:t>
            </w:r>
          </w:p>
        </w:tc>
      </w:tr>
      <w:tr w:rsidR="00226CEA" w:rsidRPr="002C35F4" w14:paraId="69124BA4" w14:textId="77777777" w:rsidTr="00DA6368">
        <w:trPr>
          <w:trHeight w:hRule="exact" w:val="288"/>
          <w:jc w:val="center"/>
        </w:trPr>
        <w:tc>
          <w:tcPr>
            <w:tcW w:w="1098" w:type="pct"/>
            <w:vMerge/>
            <w:noWrap/>
            <w:vAlign w:val="center"/>
            <w:hideMark/>
          </w:tcPr>
          <w:p w14:paraId="0241AD33" w14:textId="77777777" w:rsidR="00226CEA" w:rsidRPr="002C35F4" w:rsidRDefault="00226CEA" w:rsidP="00A71EEC">
            <w:pPr>
              <w:rPr>
                <w:rFonts w:ascii="Arial" w:hAnsi="Arial" w:cs="Arial"/>
                <w:iCs/>
                <w:sz w:val="20"/>
                <w:szCs w:val="20"/>
              </w:rPr>
            </w:pPr>
          </w:p>
        </w:tc>
        <w:tc>
          <w:tcPr>
            <w:tcW w:w="1065" w:type="pct"/>
            <w:noWrap/>
            <w:vAlign w:val="center"/>
            <w:hideMark/>
          </w:tcPr>
          <w:p w14:paraId="2C9E2F0E"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56</w:t>
            </w:r>
          </w:p>
        </w:tc>
        <w:tc>
          <w:tcPr>
            <w:tcW w:w="1011" w:type="pct"/>
            <w:noWrap/>
            <w:vAlign w:val="center"/>
            <w:hideMark/>
          </w:tcPr>
          <w:p w14:paraId="4B800866"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w:t>
            </w:r>
          </w:p>
        </w:tc>
        <w:tc>
          <w:tcPr>
            <w:tcW w:w="1826" w:type="pct"/>
            <w:noWrap/>
            <w:vAlign w:val="center"/>
            <w:hideMark/>
          </w:tcPr>
          <w:p w14:paraId="09CF1982" w14:textId="77777777" w:rsidR="00226CEA" w:rsidRPr="002C35F4" w:rsidRDefault="00226CEA" w:rsidP="00A71EEC">
            <w:pPr>
              <w:rPr>
                <w:rFonts w:ascii="Arial" w:hAnsi="Arial" w:cs="Arial"/>
                <w:iCs/>
                <w:sz w:val="20"/>
                <w:szCs w:val="20"/>
              </w:rPr>
            </w:pPr>
            <w:proofErr w:type="spellStart"/>
            <w:r w:rsidRPr="002C35F4">
              <w:rPr>
                <w:rFonts w:ascii="Arial" w:hAnsi="Arial" w:cs="Arial"/>
                <w:iCs/>
                <w:sz w:val="20"/>
                <w:szCs w:val="20"/>
              </w:rPr>
              <w:t>Mohanta</w:t>
            </w:r>
            <w:proofErr w:type="spellEnd"/>
            <w:r w:rsidR="00A71EEC" w:rsidRPr="002C35F4">
              <w:rPr>
                <w:rFonts w:ascii="Arial" w:hAnsi="Arial" w:cs="Arial"/>
                <w:iCs/>
                <w:sz w:val="20"/>
                <w:szCs w:val="20"/>
              </w:rPr>
              <w:t xml:space="preserve"> </w:t>
            </w:r>
            <w:proofErr w:type="gramStart"/>
            <w:r w:rsidRPr="002C35F4">
              <w:rPr>
                <w:rFonts w:ascii="Arial" w:hAnsi="Arial" w:cs="Arial"/>
                <w:sz w:val="20"/>
                <w:szCs w:val="20"/>
              </w:rPr>
              <w:t>et</w:t>
            </w:r>
            <w:r w:rsidR="00A71EEC" w:rsidRPr="002C35F4">
              <w:rPr>
                <w:rFonts w:ascii="Arial" w:hAnsi="Arial" w:cs="Arial"/>
                <w:sz w:val="20"/>
                <w:szCs w:val="20"/>
              </w:rPr>
              <w:t xml:space="preserve"> </w:t>
            </w:r>
            <w:r w:rsidRPr="002C35F4">
              <w:rPr>
                <w:rFonts w:ascii="Arial" w:hAnsi="Arial" w:cs="Arial"/>
                <w:sz w:val="20"/>
                <w:szCs w:val="20"/>
              </w:rPr>
              <w:t>al.</w:t>
            </w:r>
            <w:r w:rsidRPr="002C35F4">
              <w:rPr>
                <w:rFonts w:ascii="Arial" w:hAnsi="Arial" w:cs="Arial"/>
                <w:iCs/>
                <w:sz w:val="20"/>
                <w:szCs w:val="20"/>
              </w:rPr>
              <w:t>(</w:t>
            </w:r>
            <w:proofErr w:type="gramEnd"/>
            <w:r w:rsidRPr="002C35F4">
              <w:rPr>
                <w:rFonts w:ascii="Arial" w:hAnsi="Arial" w:cs="Arial"/>
                <w:iCs/>
                <w:sz w:val="20"/>
                <w:szCs w:val="20"/>
              </w:rPr>
              <w:t>2009)</w:t>
            </w:r>
          </w:p>
        </w:tc>
      </w:tr>
      <w:tr w:rsidR="00226CEA" w:rsidRPr="002C35F4" w14:paraId="2DF2FC16" w14:textId="77777777" w:rsidTr="00DA6368">
        <w:trPr>
          <w:trHeight w:hRule="exact" w:val="288"/>
          <w:jc w:val="center"/>
        </w:trPr>
        <w:tc>
          <w:tcPr>
            <w:tcW w:w="1098" w:type="pct"/>
            <w:noWrap/>
            <w:vAlign w:val="center"/>
            <w:hideMark/>
          </w:tcPr>
          <w:p w14:paraId="7DECD45A"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Nagaland</w:t>
            </w:r>
          </w:p>
        </w:tc>
        <w:tc>
          <w:tcPr>
            <w:tcW w:w="1065" w:type="pct"/>
            <w:noWrap/>
            <w:vAlign w:val="center"/>
            <w:hideMark/>
          </w:tcPr>
          <w:p w14:paraId="019B719E"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27</w:t>
            </w:r>
          </w:p>
        </w:tc>
        <w:tc>
          <w:tcPr>
            <w:tcW w:w="1011" w:type="pct"/>
            <w:noWrap/>
            <w:vAlign w:val="center"/>
            <w:hideMark/>
          </w:tcPr>
          <w:p w14:paraId="436263AF"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30970DA3" w14:textId="77777777" w:rsidR="00226CEA" w:rsidRPr="002C35F4" w:rsidRDefault="00226CEA" w:rsidP="00A71EEC">
            <w:pPr>
              <w:rPr>
                <w:rFonts w:ascii="Arial" w:hAnsi="Arial" w:cs="Arial"/>
                <w:iCs/>
                <w:sz w:val="20"/>
                <w:szCs w:val="20"/>
              </w:rPr>
            </w:pPr>
            <w:proofErr w:type="spellStart"/>
            <w:r w:rsidRPr="002C35F4">
              <w:rPr>
                <w:rFonts w:ascii="Arial" w:hAnsi="Arial" w:cs="Arial"/>
                <w:iCs/>
                <w:sz w:val="20"/>
                <w:szCs w:val="20"/>
              </w:rPr>
              <w:t>Ao</w:t>
            </w:r>
            <w:proofErr w:type="spellEnd"/>
            <w:r w:rsidRPr="002C35F4">
              <w:rPr>
                <w:rFonts w:ascii="Arial" w:hAnsi="Arial" w:cs="Arial"/>
                <w:iCs/>
                <w:sz w:val="20"/>
                <w:szCs w:val="20"/>
              </w:rPr>
              <w:t xml:space="preserve"> (2014)</w:t>
            </w:r>
          </w:p>
        </w:tc>
      </w:tr>
      <w:tr w:rsidR="00226CEA" w:rsidRPr="002C35F4" w14:paraId="75B56FEC" w14:textId="77777777" w:rsidTr="00DA6368">
        <w:trPr>
          <w:trHeight w:hRule="exact" w:val="288"/>
          <w:jc w:val="center"/>
        </w:trPr>
        <w:tc>
          <w:tcPr>
            <w:tcW w:w="1098" w:type="pct"/>
            <w:noWrap/>
            <w:vAlign w:val="center"/>
            <w:hideMark/>
          </w:tcPr>
          <w:p w14:paraId="5DBD919C"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Sikkim</w:t>
            </w:r>
          </w:p>
        </w:tc>
        <w:tc>
          <w:tcPr>
            <w:tcW w:w="1065" w:type="pct"/>
            <w:noWrap/>
            <w:vAlign w:val="center"/>
            <w:hideMark/>
          </w:tcPr>
          <w:p w14:paraId="4C8801A9"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19</w:t>
            </w:r>
          </w:p>
        </w:tc>
        <w:tc>
          <w:tcPr>
            <w:tcW w:w="1011" w:type="pct"/>
            <w:noWrap/>
            <w:vAlign w:val="center"/>
            <w:hideMark/>
          </w:tcPr>
          <w:p w14:paraId="18B49121" w14:textId="77777777" w:rsidR="00226CEA" w:rsidRPr="002C35F4" w:rsidRDefault="00226CEA" w:rsidP="00DE3E35">
            <w:pPr>
              <w:rPr>
                <w:rFonts w:ascii="Arial" w:hAnsi="Arial" w:cs="Arial"/>
                <w:iCs/>
                <w:sz w:val="20"/>
                <w:szCs w:val="20"/>
              </w:rPr>
            </w:pPr>
            <w:r w:rsidRPr="002C35F4">
              <w:rPr>
                <w:rFonts w:ascii="Arial" w:hAnsi="Arial" w:cs="Arial"/>
                <w:iCs/>
                <w:sz w:val="20"/>
                <w:szCs w:val="20"/>
              </w:rPr>
              <w:t>all</w:t>
            </w:r>
          </w:p>
        </w:tc>
        <w:tc>
          <w:tcPr>
            <w:tcW w:w="1826" w:type="pct"/>
            <w:noWrap/>
            <w:vAlign w:val="center"/>
            <w:hideMark/>
          </w:tcPr>
          <w:p w14:paraId="62306592"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FEWMD (2011)</w:t>
            </w:r>
          </w:p>
        </w:tc>
      </w:tr>
      <w:tr w:rsidR="00226CEA" w:rsidRPr="002C35F4" w14:paraId="078C09F3" w14:textId="77777777" w:rsidTr="00DA6368">
        <w:trPr>
          <w:trHeight w:hRule="exact" w:val="288"/>
          <w:jc w:val="center"/>
        </w:trPr>
        <w:tc>
          <w:tcPr>
            <w:tcW w:w="1098" w:type="pct"/>
            <w:noWrap/>
            <w:vAlign w:val="center"/>
            <w:hideMark/>
          </w:tcPr>
          <w:p w14:paraId="4C93A16D"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Mizoram</w:t>
            </w:r>
          </w:p>
        </w:tc>
        <w:tc>
          <w:tcPr>
            <w:tcW w:w="3902" w:type="pct"/>
            <w:gridSpan w:val="3"/>
            <w:vMerge w:val="restart"/>
            <w:noWrap/>
            <w:vAlign w:val="center"/>
            <w:hideMark/>
          </w:tcPr>
          <w:p w14:paraId="56A4B3A1" w14:textId="2AD177E8" w:rsidR="00226CEA" w:rsidRPr="002C35F4" w:rsidRDefault="00226CEA" w:rsidP="00A71EEC">
            <w:pPr>
              <w:jc w:val="center"/>
              <w:rPr>
                <w:rFonts w:ascii="Arial" w:hAnsi="Arial" w:cs="Arial"/>
                <w:b/>
                <w:iCs/>
                <w:sz w:val="20"/>
                <w:szCs w:val="20"/>
              </w:rPr>
            </w:pPr>
            <w:r w:rsidRPr="002C35F4">
              <w:rPr>
                <w:rFonts w:ascii="Arial" w:eastAsia="Times New Roman" w:hAnsi="Arial" w:cs="Arial"/>
                <w:sz w:val="20"/>
                <w:szCs w:val="20"/>
              </w:rPr>
              <w:t xml:space="preserve">No documentation on number of </w:t>
            </w:r>
            <w:r w:rsidR="00DA6368">
              <w:rPr>
                <w:rFonts w:ascii="Arial" w:eastAsia="Times New Roman" w:hAnsi="Arial" w:cs="Arial"/>
                <w:sz w:val="20"/>
                <w:szCs w:val="20"/>
              </w:rPr>
              <w:t>s</w:t>
            </w:r>
            <w:r w:rsidRPr="002C35F4">
              <w:rPr>
                <w:rFonts w:ascii="Arial" w:eastAsia="Times New Roman" w:hAnsi="Arial" w:cs="Arial"/>
                <w:sz w:val="20"/>
                <w:szCs w:val="20"/>
              </w:rPr>
              <w:t>acred groves was found</w:t>
            </w:r>
          </w:p>
        </w:tc>
      </w:tr>
      <w:tr w:rsidR="00226CEA" w:rsidRPr="002C35F4" w14:paraId="6076E98F" w14:textId="77777777" w:rsidTr="00DA6368">
        <w:trPr>
          <w:trHeight w:hRule="exact" w:val="288"/>
          <w:jc w:val="center"/>
        </w:trPr>
        <w:tc>
          <w:tcPr>
            <w:tcW w:w="1098" w:type="pct"/>
            <w:noWrap/>
            <w:vAlign w:val="center"/>
            <w:hideMark/>
          </w:tcPr>
          <w:p w14:paraId="22665651" w14:textId="77777777" w:rsidR="00226CEA" w:rsidRPr="002C35F4" w:rsidRDefault="00226CEA" w:rsidP="00A71EEC">
            <w:pPr>
              <w:rPr>
                <w:rFonts w:ascii="Arial" w:hAnsi="Arial" w:cs="Arial"/>
                <w:iCs/>
                <w:sz w:val="20"/>
                <w:szCs w:val="20"/>
              </w:rPr>
            </w:pPr>
            <w:r w:rsidRPr="002C35F4">
              <w:rPr>
                <w:rFonts w:ascii="Arial" w:hAnsi="Arial" w:cs="Arial"/>
                <w:iCs/>
                <w:sz w:val="20"/>
                <w:szCs w:val="20"/>
              </w:rPr>
              <w:t>Tripura</w:t>
            </w:r>
          </w:p>
        </w:tc>
        <w:tc>
          <w:tcPr>
            <w:tcW w:w="3902" w:type="pct"/>
            <w:gridSpan w:val="3"/>
            <w:vMerge/>
            <w:noWrap/>
            <w:vAlign w:val="center"/>
            <w:hideMark/>
          </w:tcPr>
          <w:p w14:paraId="4B0A2D41" w14:textId="77777777" w:rsidR="00226CEA" w:rsidRPr="002C35F4" w:rsidRDefault="00226CEA" w:rsidP="00A71EEC">
            <w:pPr>
              <w:jc w:val="center"/>
              <w:rPr>
                <w:rFonts w:ascii="Arial" w:eastAsia="Times New Roman" w:hAnsi="Arial" w:cs="Arial"/>
                <w:sz w:val="20"/>
                <w:szCs w:val="20"/>
              </w:rPr>
            </w:pPr>
          </w:p>
        </w:tc>
      </w:tr>
    </w:tbl>
    <w:p w14:paraId="4CEAEFB6" w14:textId="77777777" w:rsidR="00226CEA" w:rsidRDefault="00226CEA" w:rsidP="001E42C4">
      <w:pPr>
        <w:pStyle w:val="NormalWeb"/>
        <w:spacing w:before="0" w:beforeAutospacing="0" w:after="0" w:afterAutospacing="0" w:line="360" w:lineRule="auto"/>
        <w:jc w:val="both"/>
        <w:rPr>
          <w:rFonts w:ascii="Arial" w:hAnsi="Arial" w:cs="Arial"/>
          <w:sz w:val="20"/>
          <w:szCs w:val="20"/>
        </w:rPr>
      </w:pPr>
    </w:p>
    <w:p w14:paraId="253D6ECC" w14:textId="77777777" w:rsidR="00DE3E35" w:rsidRDefault="00DE3E35" w:rsidP="00226CEA">
      <w:pPr>
        <w:pStyle w:val="ListParagraph"/>
        <w:spacing w:after="0" w:line="240" w:lineRule="auto"/>
        <w:ind w:left="0"/>
        <w:jc w:val="center"/>
        <w:rPr>
          <w:rFonts w:ascii="Arial" w:eastAsia="Times New Roman" w:hAnsi="Arial" w:cs="Arial"/>
          <w:b/>
          <w:bCs/>
          <w:sz w:val="18"/>
          <w:szCs w:val="18"/>
        </w:rPr>
      </w:pPr>
    </w:p>
    <w:p w14:paraId="6BFAEE02" w14:textId="5F3A8410" w:rsidR="00226CEA" w:rsidRPr="001E1590" w:rsidRDefault="00226CEA" w:rsidP="00226CEA">
      <w:pPr>
        <w:pStyle w:val="ListParagraph"/>
        <w:spacing w:after="0" w:line="240" w:lineRule="auto"/>
        <w:ind w:left="0"/>
        <w:jc w:val="center"/>
        <w:rPr>
          <w:rFonts w:ascii="Arial" w:eastAsia="Times New Roman" w:hAnsi="Arial" w:cs="Arial"/>
          <w:sz w:val="20"/>
          <w:szCs w:val="20"/>
        </w:rPr>
      </w:pPr>
      <w:r w:rsidRPr="001E1590">
        <w:rPr>
          <w:rFonts w:ascii="Arial" w:eastAsia="Times New Roman" w:hAnsi="Arial" w:cs="Arial"/>
          <w:b/>
          <w:bCs/>
          <w:sz w:val="20"/>
          <w:szCs w:val="20"/>
        </w:rPr>
        <w:t>Table</w:t>
      </w:r>
      <w:r w:rsidR="00DE3E35" w:rsidRPr="001E1590">
        <w:rPr>
          <w:rFonts w:ascii="Arial" w:eastAsia="Times New Roman" w:hAnsi="Arial" w:cs="Arial"/>
          <w:b/>
          <w:bCs/>
          <w:sz w:val="20"/>
          <w:szCs w:val="20"/>
        </w:rPr>
        <w:t xml:space="preserve"> </w:t>
      </w:r>
      <w:r w:rsidRPr="001E1590">
        <w:rPr>
          <w:rFonts w:ascii="Arial" w:eastAsia="Times New Roman" w:hAnsi="Arial" w:cs="Arial"/>
          <w:b/>
          <w:bCs/>
          <w:sz w:val="20"/>
          <w:szCs w:val="20"/>
        </w:rPr>
        <w:t>3:</w:t>
      </w:r>
      <w:r w:rsidRPr="001E1590">
        <w:rPr>
          <w:rFonts w:ascii="Arial" w:eastAsia="Times New Roman" w:hAnsi="Arial" w:cs="Arial"/>
          <w:sz w:val="20"/>
          <w:szCs w:val="20"/>
        </w:rPr>
        <w:t xml:space="preserve"> Nomenclature of sacred groves</w:t>
      </w:r>
    </w:p>
    <w:p w14:paraId="33348DB1" w14:textId="77777777" w:rsidR="00DE3E35" w:rsidRPr="001E1590" w:rsidRDefault="00DE3E35" w:rsidP="00226CEA">
      <w:pPr>
        <w:pStyle w:val="ListParagraph"/>
        <w:spacing w:after="0" w:line="240" w:lineRule="auto"/>
        <w:ind w:left="0"/>
        <w:jc w:val="center"/>
        <w:rPr>
          <w:rFonts w:ascii="Arial" w:hAnsi="Arial" w:cs="Arial"/>
          <w:iCs/>
          <w:sz w:val="20"/>
          <w:szCs w:val="20"/>
        </w:rPr>
      </w:pPr>
    </w:p>
    <w:tbl>
      <w:tblPr>
        <w:tblStyle w:val="TableGrid"/>
        <w:tblW w:w="5016"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20"/>
        <w:gridCol w:w="3524"/>
        <w:gridCol w:w="4663"/>
      </w:tblGrid>
      <w:tr w:rsidR="00226CEA" w:rsidRPr="001E1590" w14:paraId="5B9DB55D" w14:textId="77777777" w:rsidTr="00DE3E35">
        <w:trPr>
          <w:trHeight w:hRule="exact" w:val="288"/>
          <w:jc w:val="center"/>
        </w:trPr>
        <w:tc>
          <w:tcPr>
            <w:tcW w:w="739" w:type="pct"/>
            <w:noWrap/>
            <w:vAlign w:val="center"/>
            <w:hideMark/>
          </w:tcPr>
          <w:p w14:paraId="1489BB37" w14:textId="77777777" w:rsidR="00226CEA" w:rsidRPr="001E1590" w:rsidRDefault="00226CEA" w:rsidP="00226CEA">
            <w:pPr>
              <w:rPr>
                <w:rFonts w:ascii="Arial" w:hAnsi="Arial" w:cs="Arial"/>
                <w:b/>
                <w:iCs/>
                <w:sz w:val="20"/>
                <w:szCs w:val="20"/>
              </w:rPr>
            </w:pPr>
            <w:r w:rsidRPr="001E1590">
              <w:rPr>
                <w:rFonts w:ascii="Arial" w:hAnsi="Arial" w:cs="Arial"/>
                <w:b/>
                <w:iCs/>
                <w:sz w:val="20"/>
                <w:szCs w:val="20"/>
              </w:rPr>
              <w:t>State</w:t>
            </w:r>
          </w:p>
        </w:tc>
        <w:tc>
          <w:tcPr>
            <w:tcW w:w="1834" w:type="pct"/>
            <w:noWrap/>
            <w:vAlign w:val="center"/>
            <w:hideMark/>
          </w:tcPr>
          <w:p w14:paraId="02DFE375" w14:textId="77777777" w:rsidR="00226CEA" w:rsidRPr="001E1590" w:rsidRDefault="00226CEA" w:rsidP="00226CEA">
            <w:pPr>
              <w:rPr>
                <w:rFonts w:ascii="Arial" w:hAnsi="Arial" w:cs="Arial"/>
                <w:b/>
                <w:iCs/>
                <w:sz w:val="20"/>
                <w:szCs w:val="20"/>
              </w:rPr>
            </w:pPr>
            <w:r w:rsidRPr="001E1590">
              <w:rPr>
                <w:rFonts w:ascii="Arial" w:hAnsi="Arial" w:cs="Arial"/>
                <w:b/>
                <w:iCs/>
                <w:sz w:val="20"/>
                <w:szCs w:val="20"/>
              </w:rPr>
              <w:t>Name of Sacred groves/ places</w:t>
            </w:r>
          </w:p>
        </w:tc>
        <w:tc>
          <w:tcPr>
            <w:tcW w:w="2427" w:type="pct"/>
            <w:noWrap/>
            <w:vAlign w:val="center"/>
            <w:hideMark/>
          </w:tcPr>
          <w:p w14:paraId="6225B500" w14:textId="77777777" w:rsidR="00226CEA" w:rsidRPr="001E1590" w:rsidRDefault="00226CEA" w:rsidP="00226CEA">
            <w:pPr>
              <w:rPr>
                <w:rFonts w:ascii="Arial" w:hAnsi="Arial" w:cs="Arial"/>
                <w:b/>
                <w:iCs/>
                <w:sz w:val="20"/>
                <w:szCs w:val="20"/>
              </w:rPr>
            </w:pPr>
            <w:r w:rsidRPr="001E1590">
              <w:rPr>
                <w:rFonts w:ascii="Arial" w:hAnsi="Arial" w:cs="Arial"/>
                <w:b/>
                <w:iCs/>
                <w:sz w:val="20"/>
                <w:szCs w:val="20"/>
              </w:rPr>
              <w:t>References</w:t>
            </w:r>
          </w:p>
        </w:tc>
      </w:tr>
      <w:tr w:rsidR="00226CEA" w:rsidRPr="001E1590" w14:paraId="629A3819" w14:textId="77777777" w:rsidTr="00DE3E35">
        <w:trPr>
          <w:trHeight w:hRule="exact" w:val="288"/>
          <w:jc w:val="center"/>
        </w:trPr>
        <w:tc>
          <w:tcPr>
            <w:tcW w:w="739" w:type="pct"/>
            <w:vMerge w:val="restart"/>
            <w:noWrap/>
            <w:vAlign w:val="center"/>
            <w:hideMark/>
          </w:tcPr>
          <w:p w14:paraId="4C43A500"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Arunachal Pradesh</w:t>
            </w:r>
          </w:p>
        </w:tc>
        <w:tc>
          <w:tcPr>
            <w:tcW w:w="1834" w:type="pct"/>
            <w:noWrap/>
            <w:vAlign w:val="center"/>
            <w:hideMark/>
          </w:tcPr>
          <w:p w14:paraId="5A1DC046" w14:textId="77777777" w:rsidR="00226CEA" w:rsidRPr="001E1590" w:rsidRDefault="00226CEA" w:rsidP="00226CEA">
            <w:pPr>
              <w:rPr>
                <w:rFonts w:ascii="Arial" w:hAnsi="Arial" w:cs="Arial"/>
                <w:i/>
                <w:iCs/>
                <w:sz w:val="20"/>
                <w:szCs w:val="20"/>
              </w:rPr>
            </w:pPr>
            <w:proofErr w:type="spellStart"/>
            <w:r w:rsidRPr="001E1590">
              <w:rPr>
                <w:rFonts w:ascii="Arial" w:hAnsi="Arial" w:cs="Arial"/>
                <w:i/>
                <w:iCs/>
                <w:sz w:val="20"/>
                <w:szCs w:val="20"/>
              </w:rPr>
              <w:t>Gumpa</w:t>
            </w:r>
            <w:proofErr w:type="spellEnd"/>
            <w:r w:rsidRPr="001E1590">
              <w:rPr>
                <w:rFonts w:ascii="Arial" w:hAnsi="Arial" w:cs="Arial"/>
                <w:i/>
                <w:iCs/>
                <w:sz w:val="20"/>
                <w:szCs w:val="20"/>
              </w:rPr>
              <w:t> Forest Area (GFA)</w:t>
            </w:r>
          </w:p>
        </w:tc>
        <w:tc>
          <w:tcPr>
            <w:tcW w:w="2427" w:type="pct"/>
            <w:noWrap/>
            <w:vAlign w:val="center"/>
            <w:hideMark/>
          </w:tcPr>
          <w:p w14:paraId="42661E03"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 xml:space="preserve">Malhotra </w:t>
            </w:r>
            <w:proofErr w:type="gramStart"/>
            <w:r w:rsidRPr="001E1590">
              <w:rPr>
                <w:rFonts w:ascii="Arial" w:hAnsi="Arial" w:cs="Arial"/>
                <w:sz w:val="20"/>
                <w:szCs w:val="20"/>
              </w:rPr>
              <w:t>et</w:t>
            </w:r>
            <w:r w:rsidR="00A71EEC" w:rsidRPr="001E1590">
              <w:rPr>
                <w:rFonts w:ascii="Arial" w:hAnsi="Arial" w:cs="Arial"/>
                <w:sz w:val="20"/>
                <w:szCs w:val="20"/>
              </w:rPr>
              <w:t xml:space="preserve"> </w:t>
            </w:r>
            <w:r w:rsidRPr="001E1590">
              <w:rPr>
                <w:rFonts w:ascii="Arial" w:hAnsi="Arial" w:cs="Arial"/>
                <w:sz w:val="20"/>
                <w:szCs w:val="20"/>
              </w:rPr>
              <w:t>al.</w:t>
            </w:r>
            <w:r w:rsidRPr="001E1590">
              <w:rPr>
                <w:rFonts w:ascii="Arial" w:hAnsi="Arial" w:cs="Arial"/>
                <w:iCs/>
                <w:sz w:val="20"/>
                <w:szCs w:val="20"/>
              </w:rPr>
              <w:t>(</w:t>
            </w:r>
            <w:proofErr w:type="gramEnd"/>
            <w:r w:rsidRPr="001E1590">
              <w:rPr>
                <w:rFonts w:ascii="Arial" w:hAnsi="Arial" w:cs="Arial"/>
                <w:iCs/>
                <w:sz w:val="20"/>
                <w:szCs w:val="20"/>
              </w:rPr>
              <w:t>2001)</w:t>
            </w:r>
          </w:p>
        </w:tc>
      </w:tr>
      <w:tr w:rsidR="00226CEA" w:rsidRPr="001E1590" w14:paraId="18CFB18A" w14:textId="77777777" w:rsidTr="001E1590">
        <w:trPr>
          <w:trHeight w:hRule="exact" w:val="595"/>
          <w:jc w:val="center"/>
        </w:trPr>
        <w:tc>
          <w:tcPr>
            <w:tcW w:w="739" w:type="pct"/>
            <w:vMerge/>
            <w:noWrap/>
            <w:vAlign w:val="center"/>
            <w:hideMark/>
          </w:tcPr>
          <w:p w14:paraId="5166FD35" w14:textId="77777777" w:rsidR="00226CEA" w:rsidRPr="001E1590" w:rsidRDefault="00226CEA" w:rsidP="00226CEA">
            <w:pPr>
              <w:rPr>
                <w:rFonts w:ascii="Arial" w:hAnsi="Arial" w:cs="Arial"/>
                <w:iCs/>
                <w:sz w:val="20"/>
                <w:szCs w:val="20"/>
              </w:rPr>
            </w:pPr>
          </w:p>
        </w:tc>
        <w:tc>
          <w:tcPr>
            <w:tcW w:w="1834" w:type="pct"/>
            <w:noWrap/>
            <w:vAlign w:val="center"/>
            <w:hideMark/>
          </w:tcPr>
          <w:p w14:paraId="770CCA32" w14:textId="77777777" w:rsidR="00226CEA" w:rsidRPr="001E1590" w:rsidRDefault="00226CEA" w:rsidP="00226CEA">
            <w:pPr>
              <w:rPr>
                <w:rFonts w:ascii="Arial" w:hAnsi="Arial" w:cs="Arial"/>
                <w:iCs/>
                <w:sz w:val="20"/>
                <w:szCs w:val="20"/>
              </w:rPr>
            </w:pPr>
            <w:proofErr w:type="spellStart"/>
            <w:r w:rsidRPr="001E1590">
              <w:rPr>
                <w:rFonts w:ascii="Arial" w:hAnsi="Arial" w:cs="Arial"/>
                <w:i/>
                <w:iCs/>
                <w:sz w:val="20"/>
                <w:szCs w:val="20"/>
              </w:rPr>
              <w:t>Thaan</w:t>
            </w:r>
            <w:proofErr w:type="spellEnd"/>
          </w:p>
        </w:tc>
        <w:tc>
          <w:tcPr>
            <w:tcW w:w="2427" w:type="pct"/>
            <w:noWrap/>
            <w:vAlign w:val="center"/>
            <w:hideMark/>
          </w:tcPr>
          <w:p w14:paraId="40B5C83D" w14:textId="77777777" w:rsidR="00226CEA" w:rsidRPr="001E1590" w:rsidRDefault="00226CEA" w:rsidP="00226CEA">
            <w:pPr>
              <w:rPr>
                <w:rFonts w:ascii="Arial" w:hAnsi="Arial" w:cs="Arial"/>
                <w:iCs/>
                <w:color w:val="FF0000"/>
                <w:sz w:val="20"/>
                <w:szCs w:val="20"/>
              </w:rPr>
            </w:pPr>
            <w:proofErr w:type="spellStart"/>
            <w:r w:rsidRPr="001E1590">
              <w:rPr>
                <w:rFonts w:ascii="Arial" w:hAnsi="Arial" w:cs="Arial"/>
                <w:iCs/>
                <w:sz w:val="20"/>
                <w:szCs w:val="20"/>
              </w:rPr>
              <w:t>Barua</w:t>
            </w:r>
            <w:proofErr w:type="spellEnd"/>
            <w:r w:rsidRPr="001E1590">
              <w:rPr>
                <w:rFonts w:ascii="Arial" w:hAnsi="Arial" w:cs="Arial"/>
                <w:iCs/>
                <w:sz w:val="20"/>
                <w:szCs w:val="20"/>
              </w:rPr>
              <w:t xml:space="preserve"> (2009</w:t>
            </w:r>
            <w:proofErr w:type="gramStart"/>
            <w:r w:rsidRPr="001E1590">
              <w:rPr>
                <w:rFonts w:ascii="Arial" w:hAnsi="Arial" w:cs="Arial"/>
                <w:iCs/>
                <w:sz w:val="20"/>
                <w:szCs w:val="20"/>
              </w:rPr>
              <w:t>),</w:t>
            </w:r>
            <w:proofErr w:type="spellStart"/>
            <w:r w:rsidRPr="001E1590">
              <w:rPr>
                <w:rFonts w:ascii="Arial" w:hAnsi="Arial" w:cs="Arial"/>
                <w:iCs/>
                <w:sz w:val="20"/>
                <w:szCs w:val="20"/>
              </w:rPr>
              <w:t>Murtem</w:t>
            </w:r>
            <w:proofErr w:type="spellEnd"/>
            <w:proofErr w:type="gramEnd"/>
            <w:r w:rsidRPr="001E1590">
              <w:rPr>
                <w:rFonts w:ascii="Arial" w:hAnsi="Arial" w:cs="Arial"/>
                <w:iCs/>
                <w:sz w:val="20"/>
                <w:szCs w:val="20"/>
              </w:rPr>
              <w:t xml:space="preserve"> and Chaudhry (2014), Chaudhry and </w:t>
            </w:r>
            <w:proofErr w:type="spellStart"/>
            <w:r w:rsidRPr="001E1590">
              <w:rPr>
                <w:rFonts w:ascii="Arial" w:hAnsi="Arial" w:cs="Arial"/>
                <w:iCs/>
                <w:sz w:val="20"/>
                <w:szCs w:val="20"/>
              </w:rPr>
              <w:t>Murtem</w:t>
            </w:r>
            <w:proofErr w:type="spellEnd"/>
            <w:r w:rsidRPr="001E1590">
              <w:rPr>
                <w:rFonts w:ascii="Arial" w:hAnsi="Arial" w:cs="Arial"/>
                <w:iCs/>
                <w:sz w:val="20"/>
                <w:szCs w:val="20"/>
              </w:rPr>
              <w:t xml:space="preserve"> (2015)</w:t>
            </w:r>
          </w:p>
        </w:tc>
      </w:tr>
      <w:tr w:rsidR="00226CEA" w:rsidRPr="001E1590" w14:paraId="2A694365" w14:textId="77777777" w:rsidTr="00DE3E35">
        <w:trPr>
          <w:trHeight w:hRule="exact" w:val="288"/>
          <w:jc w:val="center"/>
        </w:trPr>
        <w:tc>
          <w:tcPr>
            <w:tcW w:w="739" w:type="pct"/>
            <w:vMerge/>
            <w:noWrap/>
            <w:vAlign w:val="center"/>
            <w:hideMark/>
          </w:tcPr>
          <w:p w14:paraId="72DACBC1" w14:textId="77777777" w:rsidR="00226CEA" w:rsidRPr="001E1590" w:rsidRDefault="00226CEA" w:rsidP="00226CEA">
            <w:pPr>
              <w:rPr>
                <w:rFonts w:ascii="Arial" w:hAnsi="Arial" w:cs="Arial"/>
                <w:iCs/>
                <w:sz w:val="20"/>
                <w:szCs w:val="20"/>
              </w:rPr>
            </w:pPr>
          </w:p>
        </w:tc>
        <w:tc>
          <w:tcPr>
            <w:tcW w:w="1834" w:type="pct"/>
            <w:noWrap/>
            <w:vAlign w:val="center"/>
            <w:hideMark/>
          </w:tcPr>
          <w:p w14:paraId="4EC79609" w14:textId="77777777" w:rsidR="00226CEA" w:rsidRPr="001E1590" w:rsidRDefault="00226CEA" w:rsidP="00226CEA">
            <w:pPr>
              <w:rPr>
                <w:rFonts w:ascii="Arial" w:hAnsi="Arial" w:cs="Arial"/>
                <w:iCs/>
                <w:sz w:val="20"/>
                <w:szCs w:val="20"/>
              </w:rPr>
            </w:pPr>
            <w:proofErr w:type="spellStart"/>
            <w:r w:rsidRPr="001E1590">
              <w:rPr>
                <w:rFonts w:ascii="Arial" w:hAnsi="Arial" w:cs="Arial"/>
                <w:i/>
                <w:iCs/>
                <w:sz w:val="20"/>
                <w:szCs w:val="20"/>
              </w:rPr>
              <w:t>Ranthii</w:t>
            </w:r>
            <w:proofErr w:type="spellEnd"/>
          </w:p>
        </w:tc>
        <w:tc>
          <w:tcPr>
            <w:tcW w:w="2427" w:type="pct"/>
            <w:noWrap/>
            <w:vAlign w:val="center"/>
            <w:hideMark/>
          </w:tcPr>
          <w:p w14:paraId="59D3B8E6"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Dutta</w:t>
            </w:r>
            <w:r w:rsidR="00A71EEC" w:rsidRPr="001E1590">
              <w:rPr>
                <w:rFonts w:ascii="Arial" w:hAnsi="Arial" w:cs="Arial"/>
                <w:iCs/>
                <w:sz w:val="20"/>
                <w:szCs w:val="20"/>
              </w:rPr>
              <w:t xml:space="preserve"> </w:t>
            </w:r>
            <w:r w:rsidRPr="001E1590">
              <w:rPr>
                <w:rFonts w:ascii="Arial" w:hAnsi="Arial" w:cs="Arial"/>
                <w:sz w:val="20"/>
                <w:szCs w:val="20"/>
              </w:rPr>
              <w:t>et</w:t>
            </w:r>
            <w:r w:rsidR="00A71EEC" w:rsidRPr="001E1590">
              <w:rPr>
                <w:rFonts w:ascii="Arial" w:hAnsi="Arial" w:cs="Arial"/>
                <w:sz w:val="20"/>
                <w:szCs w:val="20"/>
              </w:rPr>
              <w:t xml:space="preserve"> </w:t>
            </w:r>
            <w:r w:rsidRPr="001E1590">
              <w:rPr>
                <w:rFonts w:ascii="Arial" w:hAnsi="Arial" w:cs="Arial"/>
                <w:sz w:val="20"/>
                <w:szCs w:val="20"/>
              </w:rPr>
              <w:t>al.</w:t>
            </w:r>
            <w:r w:rsidR="00A71EEC" w:rsidRPr="001E1590">
              <w:rPr>
                <w:rFonts w:ascii="Arial" w:hAnsi="Arial" w:cs="Arial"/>
                <w:sz w:val="20"/>
                <w:szCs w:val="20"/>
              </w:rPr>
              <w:t xml:space="preserve"> </w:t>
            </w:r>
            <w:proofErr w:type="gramStart"/>
            <w:r w:rsidRPr="001E1590">
              <w:rPr>
                <w:rFonts w:ascii="Arial" w:hAnsi="Arial" w:cs="Arial"/>
                <w:iCs/>
                <w:sz w:val="20"/>
                <w:szCs w:val="20"/>
              </w:rPr>
              <w:t>b(</w:t>
            </w:r>
            <w:proofErr w:type="gramEnd"/>
            <w:r w:rsidRPr="001E1590">
              <w:rPr>
                <w:rFonts w:ascii="Arial" w:hAnsi="Arial" w:cs="Arial"/>
                <w:iCs/>
                <w:sz w:val="20"/>
                <w:szCs w:val="20"/>
              </w:rPr>
              <w:t>2017)</w:t>
            </w:r>
          </w:p>
        </w:tc>
      </w:tr>
      <w:tr w:rsidR="00226CEA" w:rsidRPr="001E1590" w14:paraId="62FAAA32" w14:textId="77777777" w:rsidTr="00DE3E35">
        <w:trPr>
          <w:trHeight w:hRule="exact" w:val="288"/>
          <w:jc w:val="center"/>
        </w:trPr>
        <w:tc>
          <w:tcPr>
            <w:tcW w:w="739" w:type="pct"/>
            <w:vMerge/>
            <w:noWrap/>
            <w:vAlign w:val="center"/>
            <w:hideMark/>
          </w:tcPr>
          <w:p w14:paraId="234B4C7D" w14:textId="77777777" w:rsidR="00226CEA" w:rsidRPr="001E1590" w:rsidRDefault="00226CEA" w:rsidP="00226CEA">
            <w:pPr>
              <w:rPr>
                <w:rFonts w:ascii="Arial" w:hAnsi="Arial" w:cs="Arial"/>
                <w:iCs/>
                <w:sz w:val="20"/>
                <w:szCs w:val="20"/>
              </w:rPr>
            </w:pPr>
          </w:p>
        </w:tc>
        <w:tc>
          <w:tcPr>
            <w:tcW w:w="1834" w:type="pct"/>
            <w:noWrap/>
            <w:vAlign w:val="center"/>
            <w:hideMark/>
          </w:tcPr>
          <w:p w14:paraId="1AC2263D" w14:textId="77777777" w:rsidR="00226CEA" w:rsidRPr="001E1590" w:rsidRDefault="00226CEA" w:rsidP="00226CEA">
            <w:pPr>
              <w:rPr>
                <w:rFonts w:ascii="Arial" w:hAnsi="Arial" w:cs="Arial"/>
                <w:i/>
                <w:iCs/>
                <w:sz w:val="20"/>
                <w:szCs w:val="20"/>
              </w:rPr>
            </w:pPr>
            <w:proofErr w:type="spellStart"/>
            <w:r w:rsidRPr="001E1590">
              <w:rPr>
                <w:rFonts w:ascii="Arial" w:hAnsi="Arial" w:cs="Arial"/>
                <w:i/>
                <w:iCs/>
                <w:sz w:val="20"/>
                <w:szCs w:val="20"/>
              </w:rPr>
              <w:t>Phu</w:t>
            </w:r>
            <w:proofErr w:type="spellEnd"/>
          </w:p>
        </w:tc>
        <w:tc>
          <w:tcPr>
            <w:tcW w:w="2427" w:type="pct"/>
            <w:noWrap/>
            <w:vAlign w:val="center"/>
            <w:hideMark/>
          </w:tcPr>
          <w:p w14:paraId="2541A8EF"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Hui</w:t>
            </w:r>
            <w:r w:rsidR="00A71EEC" w:rsidRPr="001E1590">
              <w:rPr>
                <w:rFonts w:ascii="Arial" w:hAnsi="Arial" w:cs="Arial"/>
                <w:iCs/>
                <w:sz w:val="20"/>
                <w:szCs w:val="20"/>
              </w:rPr>
              <w:t xml:space="preserve"> </w:t>
            </w:r>
            <w:proofErr w:type="gramStart"/>
            <w:r w:rsidRPr="001E1590">
              <w:rPr>
                <w:rFonts w:ascii="Arial" w:hAnsi="Arial" w:cs="Arial"/>
                <w:sz w:val="20"/>
                <w:szCs w:val="20"/>
              </w:rPr>
              <w:t>et al.</w:t>
            </w:r>
            <w:r w:rsidRPr="001E1590">
              <w:rPr>
                <w:rFonts w:ascii="Arial" w:hAnsi="Arial" w:cs="Arial"/>
                <w:iCs/>
                <w:sz w:val="20"/>
                <w:szCs w:val="20"/>
              </w:rPr>
              <w:t>(</w:t>
            </w:r>
            <w:proofErr w:type="gramEnd"/>
            <w:r w:rsidRPr="001E1590">
              <w:rPr>
                <w:rFonts w:ascii="Arial" w:hAnsi="Arial" w:cs="Arial"/>
                <w:iCs/>
                <w:sz w:val="20"/>
                <w:szCs w:val="20"/>
              </w:rPr>
              <w:t>2016)</w:t>
            </w:r>
          </w:p>
        </w:tc>
      </w:tr>
      <w:tr w:rsidR="00226CEA" w:rsidRPr="001E1590" w14:paraId="7A2380CA" w14:textId="77777777" w:rsidTr="00DE3E35">
        <w:trPr>
          <w:trHeight w:hRule="exact" w:val="288"/>
          <w:jc w:val="center"/>
        </w:trPr>
        <w:tc>
          <w:tcPr>
            <w:tcW w:w="739" w:type="pct"/>
            <w:vMerge w:val="restart"/>
            <w:noWrap/>
            <w:vAlign w:val="center"/>
            <w:hideMark/>
          </w:tcPr>
          <w:p w14:paraId="4560240B"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Assam</w:t>
            </w:r>
          </w:p>
        </w:tc>
        <w:tc>
          <w:tcPr>
            <w:tcW w:w="1834" w:type="pct"/>
            <w:noWrap/>
            <w:vAlign w:val="center"/>
            <w:hideMark/>
          </w:tcPr>
          <w:p w14:paraId="145398B5" w14:textId="77777777" w:rsidR="00226CEA" w:rsidRPr="001E1590" w:rsidRDefault="00226CEA" w:rsidP="00226CEA">
            <w:pPr>
              <w:rPr>
                <w:rFonts w:ascii="Arial" w:hAnsi="Arial" w:cs="Arial"/>
                <w:i/>
                <w:iCs/>
                <w:sz w:val="20"/>
                <w:szCs w:val="20"/>
              </w:rPr>
            </w:pPr>
            <w:proofErr w:type="spellStart"/>
            <w:r w:rsidRPr="001E1590">
              <w:rPr>
                <w:rFonts w:ascii="Arial" w:hAnsi="Arial" w:cs="Arial"/>
                <w:i/>
                <w:iCs/>
                <w:sz w:val="20"/>
                <w:szCs w:val="20"/>
              </w:rPr>
              <w:t>Thaan</w:t>
            </w:r>
            <w:proofErr w:type="spellEnd"/>
          </w:p>
        </w:tc>
        <w:tc>
          <w:tcPr>
            <w:tcW w:w="2427" w:type="pct"/>
            <w:noWrap/>
            <w:vAlign w:val="center"/>
            <w:hideMark/>
          </w:tcPr>
          <w:p w14:paraId="66162201" w14:textId="77777777" w:rsidR="00226CEA" w:rsidRPr="001E1590" w:rsidRDefault="00226CEA" w:rsidP="00226CEA">
            <w:pPr>
              <w:rPr>
                <w:rFonts w:ascii="Arial" w:hAnsi="Arial" w:cs="Arial"/>
                <w:iCs/>
                <w:sz w:val="20"/>
                <w:szCs w:val="20"/>
              </w:rPr>
            </w:pPr>
            <w:proofErr w:type="spellStart"/>
            <w:r w:rsidRPr="001E1590">
              <w:rPr>
                <w:rFonts w:ascii="Arial" w:hAnsi="Arial" w:cs="Arial"/>
                <w:iCs/>
                <w:sz w:val="20"/>
                <w:szCs w:val="20"/>
              </w:rPr>
              <w:t>Barua</w:t>
            </w:r>
            <w:proofErr w:type="spellEnd"/>
            <w:r w:rsidRPr="001E1590">
              <w:rPr>
                <w:rFonts w:ascii="Arial" w:hAnsi="Arial" w:cs="Arial"/>
                <w:iCs/>
                <w:sz w:val="20"/>
                <w:szCs w:val="20"/>
              </w:rPr>
              <w:t xml:space="preserve"> (2009)</w:t>
            </w:r>
          </w:p>
        </w:tc>
      </w:tr>
      <w:tr w:rsidR="00226CEA" w:rsidRPr="001E1590" w14:paraId="14D38C14" w14:textId="77777777" w:rsidTr="001E1590">
        <w:trPr>
          <w:trHeight w:hRule="exact" w:val="487"/>
          <w:jc w:val="center"/>
        </w:trPr>
        <w:tc>
          <w:tcPr>
            <w:tcW w:w="739" w:type="pct"/>
            <w:vMerge/>
            <w:noWrap/>
            <w:vAlign w:val="center"/>
            <w:hideMark/>
          </w:tcPr>
          <w:p w14:paraId="3F10ABF6" w14:textId="77777777" w:rsidR="00226CEA" w:rsidRPr="001E1590" w:rsidRDefault="00226CEA" w:rsidP="00226CEA">
            <w:pPr>
              <w:rPr>
                <w:rFonts w:ascii="Arial" w:hAnsi="Arial" w:cs="Arial"/>
                <w:iCs/>
                <w:sz w:val="20"/>
                <w:szCs w:val="20"/>
              </w:rPr>
            </w:pPr>
          </w:p>
        </w:tc>
        <w:tc>
          <w:tcPr>
            <w:tcW w:w="1834" w:type="pct"/>
            <w:noWrap/>
            <w:vAlign w:val="center"/>
            <w:hideMark/>
          </w:tcPr>
          <w:p w14:paraId="7DA1C977" w14:textId="77777777" w:rsidR="00226CEA" w:rsidRPr="001E1590" w:rsidRDefault="00226CEA" w:rsidP="00226CEA">
            <w:pPr>
              <w:rPr>
                <w:rFonts w:ascii="Arial" w:hAnsi="Arial" w:cs="Arial"/>
                <w:i/>
                <w:iCs/>
                <w:sz w:val="20"/>
                <w:szCs w:val="20"/>
              </w:rPr>
            </w:pPr>
            <w:proofErr w:type="spellStart"/>
            <w:r w:rsidRPr="001E1590">
              <w:rPr>
                <w:rFonts w:ascii="Arial" w:hAnsi="Arial" w:cs="Arial"/>
                <w:i/>
                <w:iCs/>
                <w:sz w:val="20"/>
                <w:szCs w:val="20"/>
              </w:rPr>
              <w:t>Dikhos</w:t>
            </w:r>
            <w:proofErr w:type="spellEnd"/>
            <w:r w:rsidRPr="001E1590">
              <w:rPr>
                <w:rFonts w:ascii="Arial" w:hAnsi="Arial" w:cs="Arial"/>
                <w:i/>
                <w:iCs/>
                <w:sz w:val="20"/>
                <w:szCs w:val="20"/>
              </w:rPr>
              <w:t xml:space="preserve">, </w:t>
            </w:r>
            <w:proofErr w:type="spellStart"/>
            <w:r w:rsidRPr="001E1590">
              <w:rPr>
                <w:rFonts w:ascii="Arial" w:hAnsi="Arial" w:cs="Arial"/>
                <w:i/>
                <w:iCs/>
                <w:sz w:val="20"/>
                <w:szCs w:val="20"/>
              </w:rPr>
              <w:t>Daikhos</w:t>
            </w:r>
            <w:proofErr w:type="spellEnd"/>
          </w:p>
        </w:tc>
        <w:tc>
          <w:tcPr>
            <w:tcW w:w="2427" w:type="pct"/>
            <w:noWrap/>
            <w:vAlign w:val="center"/>
            <w:hideMark/>
          </w:tcPr>
          <w:p w14:paraId="42BAD6E9" w14:textId="77777777" w:rsidR="00226CEA" w:rsidRPr="001E1590" w:rsidRDefault="00226CEA" w:rsidP="00226CEA">
            <w:pPr>
              <w:rPr>
                <w:rFonts w:ascii="Arial" w:hAnsi="Arial" w:cs="Arial"/>
                <w:iCs/>
                <w:sz w:val="20"/>
                <w:szCs w:val="20"/>
              </w:rPr>
            </w:pPr>
            <w:proofErr w:type="spellStart"/>
            <w:r w:rsidRPr="001E1590">
              <w:rPr>
                <w:rFonts w:ascii="Arial" w:hAnsi="Arial" w:cs="Arial"/>
                <w:iCs/>
                <w:sz w:val="20"/>
                <w:szCs w:val="20"/>
              </w:rPr>
              <w:t>Medhi</w:t>
            </w:r>
            <w:proofErr w:type="spellEnd"/>
            <w:r w:rsidRPr="001E1590">
              <w:rPr>
                <w:rFonts w:ascii="Arial" w:hAnsi="Arial" w:cs="Arial"/>
                <w:iCs/>
                <w:sz w:val="20"/>
                <w:szCs w:val="20"/>
              </w:rPr>
              <w:t xml:space="preserve"> and </w:t>
            </w:r>
            <w:proofErr w:type="spellStart"/>
            <w:r w:rsidRPr="001E1590">
              <w:rPr>
                <w:rFonts w:ascii="Arial" w:hAnsi="Arial" w:cs="Arial"/>
                <w:iCs/>
                <w:sz w:val="20"/>
                <w:szCs w:val="20"/>
              </w:rPr>
              <w:t>Borthakur</w:t>
            </w:r>
            <w:proofErr w:type="spellEnd"/>
            <w:r w:rsidRPr="001E1590">
              <w:rPr>
                <w:rFonts w:ascii="Arial" w:hAnsi="Arial" w:cs="Arial"/>
                <w:iCs/>
                <w:sz w:val="20"/>
                <w:szCs w:val="20"/>
              </w:rPr>
              <w:t xml:space="preserve"> (2013</w:t>
            </w:r>
            <w:proofErr w:type="gramStart"/>
            <w:r w:rsidRPr="001E1590">
              <w:rPr>
                <w:rFonts w:ascii="Arial" w:hAnsi="Arial" w:cs="Arial"/>
                <w:iCs/>
                <w:sz w:val="20"/>
                <w:szCs w:val="20"/>
              </w:rPr>
              <w:t>),</w:t>
            </w:r>
            <w:proofErr w:type="spellStart"/>
            <w:r w:rsidRPr="001E1590">
              <w:rPr>
                <w:rFonts w:ascii="Arial" w:hAnsi="Arial" w:cs="Arial"/>
                <w:iCs/>
                <w:sz w:val="20"/>
                <w:szCs w:val="20"/>
              </w:rPr>
              <w:t>Gogoi</w:t>
            </w:r>
            <w:proofErr w:type="spellEnd"/>
            <w:proofErr w:type="gramEnd"/>
            <w:r w:rsidRPr="001E1590">
              <w:rPr>
                <w:rFonts w:ascii="Arial" w:hAnsi="Arial" w:cs="Arial"/>
                <w:iCs/>
                <w:sz w:val="20"/>
                <w:szCs w:val="20"/>
              </w:rPr>
              <w:t xml:space="preserve"> and </w:t>
            </w:r>
            <w:proofErr w:type="spellStart"/>
            <w:r w:rsidRPr="001E1590">
              <w:rPr>
                <w:rFonts w:ascii="Arial" w:hAnsi="Arial" w:cs="Arial"/>
                <w:iCs/>
                <w:sz w:val="20"/>
                <w:szCs w:val="20"/>
              </w:rPr>
              <w:t>Kikhi</w:t>
            </w:r>
            <w:proofErr w:type="spellEnd"/>
            <w:r w:rsidRPr="001E1590">
              <w:rPr>
                <w:rFonts w:ascii="Arial" w:hAnsi="Arial" w:cs="Arial"/>
                <w:iCs/>
                <w:sz w:val="20"/>
                <w:szCs w:val="20"/>
              </w:rPr>
              <w:t>(2023)</w:t>
            </w:r>
          </w:p>
        </w:tc>
      </w:tr>
      <w:tr w:rsidR="00226CEA" w:rsidRPr="001E1590" w14:paraId="386D692A" w14:textId="77777777" w:rsidTr="00DE3E35">
        <w:trPr>
          <w:trHeight w:hRule="exact" w:val="288"/>
          <w:jc w:val="center"/>
        </w:trPr>
        <w:tc>
          <w:tcPr>
            <w:tcW w:w="739" w:type="pct"/>
            <w:vMerge/>
            <w:noWrap/>
            <w:vAlign w:val="center"/>
            <w:hideMark/>
          </w:tcPr>
          <w:p w14:paraId="12B1902B" w14:textId="77777777" w:rsidR="00226CEA" w:rsidRPr="001E1590" w:rsidRDefault="00226CEA" w:rsidP="00226CEA">
            <w:pPr>
              <w:rPr>
                <w:rFonts w:ascii="Arial" w:hAnsi="Arial" w:cs="Arial"/>
                <w:iCs/>
                <w:sz w:val="20"/>
                <w:szCs w:val="20"/>
              </w:rPr>
            </w:pPr>
          </w:p>
        </w:tc>
        <w:tc>
          <w:tcPr>
            <w:tcW w:w="1834" w:type="pct"/>
            <w:noWrap/>
            <w:vAlign w:val="center"/>
            <w:hideMark/>
          </w:tcPr>
          <w:p w14:paraId="40F47E3D" w14:textId="77777777" w:rsidR="00226CEA" w:rsidRPr="001E1590" w:rsidRDefault="00226CEA" w:rsidP="00226CEA">
            <w:pPr>
              <w:rPr>
                <w:rFonts w:ascii="Arial" w:hAnsi="Arial" w:cs="Arial"/>
                <w:i/>
                <w:iCs/>
                <w:sz w:val="20"/>
                <w:szCs w:val="20"/>
              </w:rPr>
            </w:pPr>
            <w:proofErr w:type="spellStart"/>
            <w:r w:rsidRPr="001E1590">
              <w:rPr>
                <w:rStyle w:val="Emphasis"/>
                <w:rFonts w:ascii="Arial" w:hAnsi="Arial" w:cs="Arial"/>
                <w:sz w:val="20"/>
                <w:szCs w:val="20"/>
                <w:shd w:val="clear" w:color="auto" w:fill="FFFFFF"/>
              </w:rPr>
              <w:t>Madaico</w:t>
            </w:r>
            <w:proofErr w:type="spellEnd"/>
          </w:p>
        </w:tc>
        <w:tc>
          <w:tcPr>
            <w:tcW w:w="2427" w:type="pct"/>
            <w:noWrap/>
            <w:vAlign w:val="center"/>
            <w:hideMark/>
          </w:tcPr>
          <w:p w14:paraId="7E9BC1F9"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http://www.cpreecenvis.nic.in</w:t>
            </w:r>
          </w:p>
        </w:tc>
      </w:tr>
      <w:tr w:rsidR="00226CEA" w:rsidRPr="001E1590" w14:paraId="1003AABD" w14:textId="77777777" w:rsidTr="00DE3E35">
        <w:trPr>
          <w:trHeight w:hRule="exact" w:val="288"/>
          <w:jc w:val="center"/>
        </w:trPr>
        <w:tc>
          <w:tcPr>
            <w:tcW w:w="739" w:type="pct"/>
            <w:vMerge w:val="restart"/>
            <w:noWrap/>
            <w:vAlign w:val="center"/>
            <w:hideMark/>
          </w:tcPr>
          <w:p w14:paraId="586845E6"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Manipur</w:t>
            </w:r>
          </w:p>
        </w:tc>
        <w:tc>
          <w:tcPr>
            <w:tcW w:w="1834" w:type="pct"/>
            <w:noWrap/>
            <w:vAlign w:val="center"/>
            <w:hideMark/>
          </w:tcPr>
          <w:p w14:paraId="334E79FF" w14:textId="77777777" w:rsidR="00226CEA" w:rsidRPr="001E1590" w:rsidRDefault="00226CEA" w:rsidP="00226CEA">
            <w:pPr>
              <w:rPr>
                <w:rFonts w:ascii="Arial" w:hAnsi="Arial" w:cs="Arial"/>
                <w:iCs/>
                <w:sz w:val="20"/>
                <w:szCs w:val="20"/>
              </w:rPr>
            </w:pPr>
            <w:r w:rsidRPr="001E1590">
              <w:rPr>
                <w:rFonts w:ascii="Arial" w:hAnsi="Arial" w:cs="Arial"/>
                <w:i/>
                <w:iCs/>
                <w:sz w:val="20"/>
                <w:szCs w:val="20"/>
              </w:rPr>
              <w:t>Lai Umang</w:t>
            </w:r>
          </w:p>
        </w:tc>
        <w:tc>
          <w:tcPr>
            <w:tcW w:w="2427" w:type="pct"/>
            <w:noWrap/>
            <w:vAlign w:val="center"/>
            <w:hideMark/>
          </w:tcPr>
          <w:p w14:paraId="64AB05A0" w14:textId="77777777" w:rsidR="00226CEA" w:rsidRPr="001E1590" w:rsidRDefault="00226CEA" w:rsidP="00226CEA">
            <w:pPr>
              <w:rPr>
                <w:rFonts w:ascii="Arial" w:hAnsi="Arial" w:cs="Arial"/>
                <w:iCs/>
                <w:sz w:val="20"/>
                <w:szCs w:val="20"/>
              </w:rPr>
            </w:pPr>
            <w:proofErr w:type="spellStart"/>
            <w:r w:rsidRPr="001E1590">
              <w:rPr>
                <w:rFonts w:ascii="Arial" w:hAnsi="Arial" w:cs="Arial"/>
                <w:iCs/>
                <w:sz w:val="20"/>
                <w:szCs w:val="20"/>
              </w:rPr>
              <w:t>Khumbongmayum</w:t>
            </w:r>
            <w:proofErr w:type="spellEnd"/>
            <w:r w:rsidR="00327E80" w:rsidRPr="001E1590">
              <w:rPr>
                <w:rFonts w:ascii="Arial" w:hAnsi="Arial" w:cs="Arial"/>
                <w:iCs/>
                <w:sz w:val="20"/>
                <w:szCs w:val="20"/>
              </w:rPr>
              <w:t xml:space="preserve"> </w:t>
            </w:r>
            <w:proofErr w:type="gramStart"/>
            <w:r w:rsidRPr="001E1590">
              <w:rPr>
                <w:rFonts w:ascii="Arial" w:hAnsi="Arial" w:cs="Arial"/>
                <w:sz w:val="20"/>
                <w:szCs w:val="20"/>
              </w:rPr>
              <w:t>et</w:t>
            </w:r>
            <w:r w:rsidR="00327E80" w:rsidRPr="001E1590">
              <w:rPr>
                <w:rFonts w:ascii="Arial" w:hAnsi="Arial" w:cs="Arial"/>
                <w:sz w:val="20"/>
                <w:szCs w:val="20"/>
              </w:rPr>
              <w:t xml:space="preserve"> </w:t>
            </w:r>
            <w:r w:rsidRPr="001E1590">
              <w:rPr>
                <w:rFonts w:ascii="Arial" w:hAnsi="Arial" w:cs="Arial"/>
                <w:sz w:val="20"/>
                <w:szCs w:val="20"/>
              </w:rPr>
              <w:t>al.</w:t>
            </w:r>
            <w:r w:rsidRPr="001E1590">
              <w:rPr>
                <w:rFonts w:ascii="Arial" w:hAnsi="Arial" w:cs="Arial"/>
                <w:iCs/>
                <w:sz w:val="20"/>
                <w:szCs w:val="20"/>
              </w:rPr>
              <w:t>(</w:t>
            </w:r>
            <w:proofErr w:type="gramEnd"/>
            <w:r w:rsidRPr="001E1590">
              <w:rPr>
                <w:rFonts w:ascii="Arial" w:hAnsi="Arial" w:cs="Arial"/>
                <w:iCs/>
                <w:sz w:val="20"/>
                <w:szCs w:val="20"/>
              </w:rPr>
              <w:t>2004)</w:t>
            </w:r>
          </w:p>
        </w:tc>
      </w:tr>
      <w:tr w:rsidR="00226CEA" w:rsidRPr="001E1590" w14:paraId="6B73E480" w14:textId="77777777" w:rsidTr="00DE3E35">
        <w:trPr>
          <w:trHeight w:hRule="exact" w:val="288"/>
          <w:jc w:val="center"/>
        </w:trPr>
        <w:tc>
          <w:tcPr>
            <w:tcW w:w="739" w:type="pct"/>
            <w:vMerge/>
            <w:noWrap/>
            <w:vAlign w:val="center"/>
            <w:hideMark/>
          </w:tcPr>
          <w:p w14:paraId="77B9BF71" w14:textId="77777777" w:rsidR="00226CEA" w:rsidRPr="001E1590" w:rsidRDefault="00226CEA" w:rsidP="00226CEA">
            <w:pPr>
              <w:rPr>
                <w:rFonts w:ascii="Arial" w:hAnsi="Arial" w:cs="Arial"/>
                <w:iCs/>
                <w:sz w:val="20"/>
                <w:szCs w:val="20"/>
              </w:rPr>
            </w:pPr>
          </w:p>
        </w:tc>
        <w:tc>
          <w:tcPr>
            <w:tcW w:w="1834" w:type="pct"/>
            <w:noWrap/>
            <w:vAlign w:val="center"/>
            <w:hideMark/>
          </w:tcPr>
          <w:p w14:paraId="2BF24764" w14:textId="77777777" w:rsidR="00226CEA" w:rsidRPr="001E1590" w:rsidRDefault="00226CEA" w:rsidP="00226CEA">
            <w:pPr>
              <w:rPr>
                <w:rFonts w:ascii="Arial" w:hAnsi="Arial" w:cs="Arial"/>
                <w:i/>
                <w:iCs/>
                <w:sz w:val="20"/>
                <w:szCs w:val="20"/>
              </w:rPr>
            </w:pPr>
            <w:proofErr w:type="spellStart"/>
            <w:r w:rsidRPr="001E1590">
              <w:rPr>
                <w:rStyle w:val="Emphasis"/>
                <w:rFonts w:ascii="Arial" w:hAnsi="Arial" w:cs="Arial"/>
                <w:sz w:val="20"/>
                <w:szCs w:val="20"/>
                <w:shd w:val="clear" w:color="auto" w:fill="FFFFFF"/>
              </w:rPr>
              <w:t>Gamkhap</w:t>
            </w:r>
            <w:proofErr w:type="spellEnd"/>
            <w:r w:rsidRPr="001E1590">
              <w:rPr>
                <w:rStyle w:val="Emphasis"/>
                <w:rFonts w:ascii="Arial" w:hAnsi="Arial" w:cs="Arial"/>
                <w:sz w:val="20"/>
                <w:szCs w:val="20"/>
                <w:shd w:val="clear" w:color="auto" w:fill="FFFFFF"/>
              </w:rPr>
              <w:t xml:space="preserve">, </w:t>
            </w:r>
            <w:proofErr w:type="spellStart"/>
            <w:r w:rsidRPr="001E1590">
              <w:rPr>
                <w:rStyle w:val="Emphasis"/>
                <w:rFonts w:ascii="Arial" w:hAnsi="Arial" w:cs="Arial"/>
                <w:sz w:val="20"/>
                <w:szCs w:val="20"/>
                <w:shd w:val="clear" w:color="auto" w:fill="FFFFFF"/>
              </w:rPr>
              <w:t>Mauhak</w:t>
            </w:r>
            <w:proofErr w:type="spellEnd"/>
            <w:r w:rsidRPr="001E1590">
              <w:rPr>
                <w:rStyle w:val="Emphasis"/>
                <w:rFonts w:ascii="Arial" w:hAnsi="Arial" w:cs="Arial"/>
                <w:sz w:val="20"/>
                <w:szCs w:val="20"/>
                <w:shd w:val="clear" w:color="auto" w:fill="FFFFFF"/>
              </w:rPr>
              <w:t xml:space="preserve"> (sacred bamboo reserves)</w:t>
            </w:r>
          </w:p>
        </w:tc>
        <w:tc>
          <w:tcPr>
            <w:tcW w:w="2427" w:type="pct"/>
            <w:noWrap/>
            <w:vAlign w:val="center"/>
            <w:hideMark/>
          </w:tcPr>
          <w:p w14:paraId="08A98C31"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https://www.thenortheasttoday.com</w:t>
            </w:r>
          </w:p>
        </w:tc>
      </w:tr>
      <w:tr w:rsidR="00226CEA" w:rsidRPr="001E1590" w14:paraId="2968F9E7" w14:textId="77777777" w:rsidTr="00DE3E35">
        <w:trPr>
          <w:trHeight w:hRule="exact" w:val="288"/>
          <w:jc w:val="center"/>
        </w:trPr>
        <w:tc>
          <w:tcPr>
            <w:tcW w:w="739" w:type="pct"/>
            <w:vMerge w:val="restart"/>
            <w:noWrap/>
            <w:vAlign w:val="center"/>
            <w:hideMark/>
          </w:tcPr>
          <w:p w14:paraId="58120540"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Meghalaya</w:t>
            </w:r>
          </w:p>
        </w:tc>
        <w:tc>
          <w:tcPr>
            <w:tcW w:w="1834" w:type="pct"/>
            <w:noWrap/>
            <w:vAlign w:val="center"/>
            <w:hideMark/>
          </w:tcPr>
          <w:p w14:paraId="466040BE" w14:textId="77777777" w:rsidR="00226CEA" w:rsidRPr="001E1590" w:rsidRDefault="00226CEA" w:rsidP="00226CEA">
            <w:pPr>
              <w:rPr>
                <w:rFonts w:ascii="Arial" w:hAnsi="Arial" w:cs="Arial"/>
                <w:iCs/>
                <w:sz w:val="20"/>
                <w:szCs w:val="20"/>
              </w:rPr>
            </w:pPr>
            <w:r w:rsidRPr="001E1590">
              <w:rPr>
                <w:rFonts w:ascii="Arial" w:hAnsi="Arial" w:cs="Arial"/>
                <w:i/>
                <w:iCs/>
                <w:sz w:val="20"/>
                <w:szCs w:val="20"/>
              </w:rPr>
              <w:t xml:space="preserve">Lao </w:t>
            </w:r>
            <w:proofErr w:type="spellStart"/>
            <w:r w:rsidRPr="001E1590">
              <w:rPr>
                <w:rFonts w:ascii="Arial" w:hAnsi="Arial" w:cs="Arial"/>
                <w:i/>
                <w:iCs/>
                <w:sz w:val="20"/>
                <w:szCs w:val="20"/>
              </w:rPr>
              <w:t>Lyngdoh</w:t>
            </w:r>
            <w:proofErr w:type="spellEnd"/>
            <w:r w:rsidRPr="001E1590">
              <w:rPr>
                <w:rFonts w:ascii="Arial" w:hAnsi="Arial" w:cs="Arial"/>
                <w:iCs/>
                <w:sz w:val="20"/>
                <w:szCs w:val="20"/>
              </w:rPr>
              <w:t xml:space="preserve">, </w:t>
            </w:r>
            <w:r w:rsidRPr="001E1590">
              <w:rPr>
                <w:rFonts w:ascii="Arial" w:hAnsi="Arial" w:cs="Arial"/>
                <w:i/>
                <w:iCs/>
                <w:sz w:val="20"/>
                <w:szCs w:val="20"/>
              </w:rPr>
              <w:t xml:space="preserve">Lao </w:t>
            </w:r>
            <w:proofErr w:type="spellStart"/>
            <w:r w:rsidRPr="001E1590">
              <w:rPr>
                <w:rFonts w:ascii="Arial" w:hAnsi="Arial" w:cs="Arial"/>
                <w:i/>
                <w:iCs/>
                <w:sz w:val="20"/>
                <w:szCs w:val="20"/>
              </w:rPr>
              <w:t>Niam</w:t>
            </w:r>
            <w:proofErr w:type="spellEnd"/>
            <w:r w:rsidRPr="001E1590">
              <w:rPr>
                <w:rFonts w:ascii="Arial" w:hAnsi="Arial" w:cs="Arial"/>
                <w:iCs/>
                <w:sz w:val="20"/>
                <w:szCs w:val="20"/>
              </w:rPr>
              <w:t>, </w:t>
            </w:r>
            <w:r w:rsidRPr="001E1590">
              <w:rPr>
                <w:rFonts w:ascii="Arial" w:hAnsi="Arial" w:cs="Arial"/>
                <w:i/>
                <w:iCs/>
                <w:sz w:val="20"/>
                <w:szCs w:val="20"/>
              </w:rPr>
              <w:t xml:space="preserve">Lao </w:t>
            </w:r>
            <w:proofErr w:type="spellStart"/>
            <w:r w:rsidRPr="001E1590">
              <w:rPr>
                <w:rFonts w:ascii="Arial" w:hAnsi="Arial" w:cs="Arial"/>
                <w:i/>
                <w:iCs/>
                <w:sz w:val="20"/>
                <w:szCs w:val="20"/>
              </w:rPr>
              <w:t>Kyntang</w:t>
            </w:r>
            <w:proofErr w:type="spellEnd"/>
          </w:p>
        </w:tc>
        <w:tc>
          <w:tcPr>
            <w:tcW w:w="2427" w:type="pct"/>
            <w:noWrap/>
            <w:vAlign w:val="center"/>
            <w:hideMark/>
          </w:tcPr>
          <w:p w14:paraId="75A0805A" w14:textId="77777777" w:rsidR="00226CEA" w:rsidRPr="001E1590" w:rsidRDefault="00226CEA" w:rsidP="00226CEA">
            <w:pPr>
              <w:rPr>
                <w:rFonts w:ascii="Arial" w:hAnsi="Arial" w:cs="Arial"/>
                <w:bCs/>
                <w:iCs/>
                <w:color w:val="FF0000"/>
                <w:sz w:val="20"/>
                <w:szCs w:val="20"/>
              </w:rPr>
            </w:pPr>
            <w:proofErr w:type="spellStart"/>
            <w:r w:rsidRPr="001E1590">
              <w:rPr>
                <w:rFonts w:ascii="Arial" w:hAnsi="Arial" w:cs="Arial"/>
                <w:iCs/>
                <w:sz w:val="20"/>
                <w:szCs w:val="20"/>
              </w:rPr>
              <w:t>Syngai</w:t>
            </w:r>
            <w:proofErr w:type="spellEnd"/>
            <w:r w:rsidRPr="001E1590">
              <w:rPr>
                <w:rFonts w:ascii="Arial" w:hAnsi="Arial" w:cs="Arial"/>
                <w:iCs/>
                <w:sz w:val="20"/>
                <w:szCs w:val="20"/>
              </w:rPr>
              <w:t xml:space="preserve"> (1999</w:t>
            </w:r>
            <w:proofErr w:type="gramStart"/>
            <w:r w:rsidRPr="001E1590">
              <w:rPr>
                <w:rFonts w:ascii="Arial" w:hAnsi="Arial" w:cs="Arial"/>
                <w:iCs/>
                <w:sz w:val="20"/>
                <w:szCs w:val="20"/>
              </w:rPr>
              <w:t>),</w:t>
            </w:r>
            <w:proofErr w:type="spellStart"/>
            <w:r w:rsidRPr="001E1590">
              <w:rPr>
                <w:rFonts w:ascii="Arial" w:hAnsi="Arial" w:cs="Arial"/>
                <w:iCs/>
                <w:sz w:val="20"/>
                <w:szCs w:val="20"/>
              </w:rPr>
              <w:t>Khargongor</w:t>
            </w:r>
            <w:proofErr w:type="spellEnd"/>
            <w:proofErr w:type="gramEnd"/>
            <w:r w:rsidRPr="001E1590">
              <w:rPr>
                <w:rFonts w:ascii="Arial" w:hAnsi="Arial" w:cs="Arial"/>
                <w:iCs/>
                <w:sz w:val="20"/>
                <w:szCs w:val="20"/>
              </w:rPr>
              <w:t xml:space="preserve"> and Tiwari (2017)</w:t>
            </w:r>
          </w:p>
        </w:tc>
      </w:tr>
      <w:tr w:rsidR="00226CEA" w:rsidRPr="001E1590" w14:paraId="46B5F9EA" w14:textId="77777777" w:rsidTr="00DE3E35">
        <w:trPr>
          <w:trHeight w:hRule="exact" w:val="288"/>
          <w:jc w:val="center"/>
        </w:trPr>
        <w:tc>
          <w:tcPr>
            <w:tcW w:w="739" w:type="pct"/>
            <w:vMerge/>
            <w:noWrap/>
            <w:vAlign w:val="center"/>
            <w:hideMark/>
          </w:tcPr>
          <w:p w14:paraId="3B47DA7A" w14:textId="77777777" w:rsidR="00226CEA" w:rsidRPr="001E1590" w:rsidRDefault="00226CEA" w:rsidP="00226CEA">
            <w:pPr>
              <w:rPr>
                <w:rFonts w:ascii="Arial" w:hAnsi="Arial" w:cs="Arial"/>
                <w:iCs/>
                <w:sz w:val="20"/>
                <w:szCs w:val="20"/>
              </w:rPr>
            </w:pPr>
          </w:p>
        </w:tc>
        <w:tc>
          <w:tcPr>
            <w:tcW w:w="1834" w:type="pct"/>
            <w:noWrap/>
            <w:vAlign w:val="center"/>
            <w:hideMark/>
          </w:tcPr>
          <w:p w14:paraId="4E953FB4" w14:textId="77777777" w:rsidR="00226CEA" w:rsidRPr="001E1590" w:rsidRDefault="00226CEA" w:rsidP="00226CEA">
            <w:pPr>
              <w:rPr>
                <w:rFonts w:ascii="Arial" w:hAnsi="Arial" w:cs="Arial"/>
                <w:sz w:val="20"/>
                <w:szCs w:val="20"/>
              </w:rPr>
            </w:pPr>
            <w:proofErr w:type="spellStart"/>
            <w:r w:rsidRPr="001E1590">
              <w:rPr>
                <w:rFonts w:ascii="Arial" w:hAnsi="Arial" w:cs="Arial"/>
                <w:i/>
                <w:sz w:val="20"/>
                <w:szCs w:val="20"/>
              </w:rPr>
              <w:t>KhlooBlai</w:t>
            </w:r>
            <w:proofErr w:type="spellEnd"/>
          </w:p>
        </w:tc>
        <w:tc>
          <w:tcPr>
            <w:tcW w:w="2427" w:type="pct"/>
            <w:noWrap/>
            <w:vAlign w:val="center"/>
            <w:hideMark/>
          </w:tcPr>
          <w:p w14:paraId="4EB9BDDF" w14:textId="77777777" w:rsidR="00226CEA" w:rsidRPr="001E1590" w:rsidRDefault="00226CEA" w:rsidP="00226CEA">
            <w:pPr>
              <w:rPr>
                <w:rFonts w:ascii="Arial" w:hAnsi="Arial" w:cs="Arial"/>
                <w:iCs/>
                <w:sz w:val="20"/>
                <w:szCs w:val="20"/>
              </w:rPr>
            </w:pPr>
            <w:proofErr w:type="spellStart"/>
            <w:r w:rsidRPr="001E1590">
              <w:rPr>
                <w:rFonts w:ascii="Arial" w:hAnsi="Arial" w:cs="Arial"/>
                <w:iCs/>
                <w:sz w:val="20"/>
                <w:szCs w:val="20"/>
              </w:rPr>
              <w:t>Khargongor</w:t>
            </w:r>
            <w:proofErr w:type="spellEnd"/>
            <w:r w:rsidRPr="001E1590">
              <w:rPr>
                <w:rFonts w:ascii="Arial" w:hAnsi="Arial" w:cs="Arial"/>
                <w:iCs/>
                <w:sz w:val="20"/>
                <w:szCs w:val="20"/>
              </w:rPr>
              <w:t xml:space="preserve"> and Tiwari (2017)</w:t>
            </w:r>
          </w:p>
        </w:tc>
      </w:tr>
      <w:tr w:rsidR="00226CEA" w:rsidRPr="001E1590" w14:paraId="50F5A615" w14:textId="77777777" w:rsidTr="00DE3E35">
        <w:trPr>
          <w:trHeight w:hRule="exact" w:val="288"/>
          <w:jc w:val="center"/>
        </w:trPr>
        <w:tc>
          <w:tcPr>
            <w:tcW w:w="739" w:type="pct"/>
            <w:vMerge/>
            <w:noWrap/>
            <w:vAlign w:val="center"/>
            <w:hideMark/>
          </w:tcPr>
          <w:p w14:paraId="4E41610C" w14:textId="77777777" w:rsidR="00226CEA" w:rsidRPr="001E1590" w:rsidRDefault="00226CEA" w:rsidP="00226CEA">
            <w:pPr>
              <w:rPr>
                <w:rFonts w:ascii="Arial" w:hAnsi="Arial" w:cs="Arial"/>
                <w:iCs/>
                <w:sz w:val="20"/>
                <w:szCs w:val="20"/>
              </w:rPr>
            </w:pPr>
          </w:p>
        </w:tc>
        <w:tc>
          <w:tcPr>
            <w:tcW w:w="1834" w:type="pct"/>
            <w:noWrap/>
            <w:vAlign w:val="center"/>
            <w:hideMark/>
          </w:tcPr>
          <w:p w14:paraId="3D34D76F" w14:textId="77777777" w:rsidR="00226CEA" w:rsidRPr="001E1590" w:rsidRDefault="00226CEA" w:rsidP="00226CEA">
            <w:pPr>
              <w:rPr>
                <w:rFonts w:ascii="Arial" w:hAnsi="Arial" w:cs="Arial"/>
                <w:i/>
                <w:sz w:val="20"/>
                <w:szCs w:val="20"/>
              </w:rPr>
            </w:pPr>
            <w:proofErr w:type="spellStart"/>
            <w:r w:rsidRPr="001E1590">
              <w:rPr>
                <w:rFonts w:ascii="Arial" w:hAnsi="Arial" w:cs="Arial"/>
                <w:i/>
                <w:sz w:val="20"/>
                <w:szCs w:val="20"/>
              </w:rPr>
              <w:t>Asheng</w:t>
            </w:r>
            <w:proofErr w:type="spellEnd"/>
            <w:r w:rsidRPr="001E1590">
              <w:rPr>
                <w:rFonts w:ascii="Arial" w:hAnsi="Arial" w:cs="Arial"/>
                <w:i/>
                <w:sz w:val="20"/>
                <w:szCs w:val="20"/>
              </w:rPr>
              <w:t xml:space="preserve"> Khosi</w:t>
            </w:r>
          </w:p>
        </w:tc>
        <w:tc>
          <w:tcPr>
            <w:tcW w:w="2427" w:type="pct"/>
            <w:noWrap/>
            <w:vAlign w:val="center"/>
            <w:hideMark/>
          </w:tcPr>
          <w:p w14:paraId="2F39A181" w14:textId="77777777" w:rsidR="00226CEA" w:rsidRPr="001E1590" w:rsidRDefault="00226CEA" w:rsidP="00226CEA">
            <w:pPr>
              <w:rPr>
                <w:rFonts w:ascii="Arial" w:hAnsi="Arial" w:cs="Arial"/>
                <w:iCs/>
                <w:sz w:val="20"/>
                <w:szCs w:val="20"/>
              </w:rPr>
            </w:pPr>
            <w:proofErr w:type="spellStart"/>
            <w:r w:rsidRPr="001E1590">
              <w:rPr>
                <w:rFonts w:ascii="Arial" w:hAnsi="Arial" w:cs="Arial"/>
                <w:iCs/>
                <w:sz w:val="20"/>
                <w:szCs w:val="20"/>
              </w:rPr>
              <w:t>Khargongor</w:t>
            </w:r>
            <w:proofErr w:type="spellEnd"/>
            <w:r w:rsidRPr="001E1590">
              <w:rPr>
                <w:rFonts w:ascii="Arial" w:hAnsi="Arial" w:cs="Arial"/>
                <w:iCs/>
                <w:sz w:val="20"/>
                <w:szCs w:val="20"/>
              </w:rPr>
              <w:t xml:space="preserve"> and Tiwari (2017)</w:t>
            </w:r>
          </w:p>
        </w:tc>
      </w:tr>
      <w:tr w:rsidR="00226CEA" w:rsidRPr="001E1590" w14:paraId="50618FB8" w14:textId="77777777" w:rsidTr="00DE3E35">
        <w:trPr>
          <w:trHeight w:hRule="exact" w:val="288"/>
          <w:jc w:val="center"/>
        </w:trPr>
        <w:tc>
          <w:tcPr>
            <w:tcW w:w="739" w:type="pct"/>
            <w:vMerge w:val="restart"/>
            <w:noWrap/>
            <w:vAlign w:val="center"/>
            <w:hideMark/>
          </w:tcPr>
          <w:p w14:paraId="7AF153C2"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Mizoram</w:t>
            </w:r>
          </w:p>
        </w:tc>
        <w:tc>
          <w:tcPr>
            <w:tcW w:w="1834" w:type="pct"/>
            <w:noWrap/>
            <w:vAlign w:val="center"/>
            <w:hideMark/>
          </w:tcPr>
          <w:p w14:paraId="17273B68" w14:textId="77777777" w:rsidR="00226CEA" w:rsidRPr="001E1590" w:rsidRDefault="00226CEA" w:rsidP="00226CEA">
            <w:pPr>
              <w:rPr>
                <w:rFonts w:ascii="Arial" w:hAnsi="Arial" w:cs="Arial"/>
                <w:iCs/>
                <w:sz w:val="20"/>
                <w:szCs w:val="20"/>
              </w:rPr>
            </w:pPr>
            <w:proofErr w:type="spellStart"/>
            <w:r w:rsidRPr="001E1590">
              <w:rPr>
                <w:rFonts w:ascii="Arial" w:hAnsi="Arial" w:cs="Arial"/>
                <w:i/>
                <w:sz w:val="20"/>
                <w:szCs w:val="20"/>
              </w:rPr>
              <w:t>Ngawpui</w:t>
            </w:r>
            <w:proofErr w:type="spellEnd"/>
          </w:p>
        </w:tc>
        <w:tc>
          <w:tcPr>
            <w:tcW w:w="2427" w:type="pct"/>
            <w:noWrap/>
            <w:vAlign w:val="center"/>
            <w:hideMark/>
          </w:tcPr>
          <w:p w14:paraId="571EB70F" w14:textId="77777777" w:rsidR="00226CEA" w:rsidRPr="001E1590" w:rsidRDefault="00226CEA" w:rsidP="00226CEA">
            <w:pPr>
              <w:rPr>
                <w:rFonts w:ascii="Arial" w:hAnsi="Arial" w:cs="Arial"/>
                <w:iCs/>
                <w:sz w:val="20"/>
                <w:szCs w:val="20"/>
              </w:rPr>
            </w:pPr>
            <w:r w:rsidRPr="001E1590">
              <w:rPr>
                <w:rFonts w:ascii="Arial" w:hAnsi="Arial" w:cs="Arial"/>
                <w:sz w:val="20"/>
                <w:szCs w:val="20"/>
              </w:rPr>
              <w:t>Amirthalingam (2014)</w:t>
            </w:r>
          </w:p>
        </w:tc>
      </w:tr>
      <w:tr w:rsidR="00226CEA" w:rsidRPr="001E1590" w14:paraId="0C94D39B" w14:textId="77777777" w:rsidTr="00DE3E35">
        <w:trPr>
          <w:trHeight w:hRule="exact" w:val="288"/>
          <w:jc w:val="center"/>
        </w:trPr>
        <w:tc>
          <w:tcPr>
            <w:tcW w:w="739" w:type="pct"/>
            <w:vMerge/>
            <w:noWrap/>
            <w:vAlign w:val="center"/>
            <w:hideMark/>
          </w:tcPr>
          <w:p w14:paraId="49D35471" w14:textId="77777777" w:rsidR="00226CEA" w:rsidRPr="001E1590" w:rsidRDefault="00226CEA" w:rsidP="00226CEA">
            <w:pPr>
              <w:rPr>
                <w:rFonts w:ascii="Arial" w:hAnsi="Arial" w:cs="Arial"/>
                <w:iCs/>
                <w:sz w:val="20"/>
                <w:szCs w:val="20"/>
              </w:rPr>
            </w:pPr>
          </w:p>
        </w:tc>
        <w:tc>
          <w:tcPr>
            <w:tcW w:w="1834" w:type="pct"/>
            <w:noWrap/>
            <w:vAlign w:val="center"/>
            <w:hideMark/>
          </w:tcPr>
          <w:p w14:paraId="4B5B61A5" w14:textId="77777777" w:rsidR="00226CEA" w:rsidRPr="001E1590" w:rsidRDefault="00226CEA" w:rsidP="00226CEA">
            <w:pPr>
              <w:rPr>
                <w:rFonts w:ascii="Arial" w:hAnsi="Arial" w:cs="Arial"/>
                <w:i/>
                <w:iCs/>
                <w:sz w:val="20"/>
                <w:szCs w:val="20"/>
              </w:rPr>
            </w:pPr>
            <w:proofErr w:type="spellStart"/>
            <w:r w:rsidRPr="001E1590">
              <w:rPr>
                <w:rFonts w:ascii="Arial" w:hAnsi="Arial" w:cs="Arial"/>
                <w:i/>
                <w:iCs/>
                <w:sz w:val="20"/>
                <w:szCs w:val="20"/>
              </w:rPr>
              <w:t>Mawmund</w:t>
            </w:r>
            <w:proofErr w:type="spellEnd"/>
          </w:p>
        </w:tc>
        <w:tc>
          <w:tcPr>
            <w:tcW w:w="2427" w:type="pct"/>
            <w:noWrap/>
            <w:vAlign w:val="center"/>
            <w:hideMark/>
          </w:tcPr>
          <w:p w14:paraId="0BBDD4AE" w14:textId="77777777" w:rsidR="00226CEA" w:rsidRPr="001E1590" w:rsidRDefault="00226CEA" w:rsidP="00226CEA">
            <w:pPr>
              <w:rPr>
                <w:rFonts w:ascii="Arial" w:eastAsia="Times New Roman" w:hAnsi="Arial" w:cs="Arial"/>
                <w:color w:val="FF0000"/>
                <w:sz w:val="20"/>
                <w:szCs w:val="20"/>
              </w:rPr>
            </w:pPr>
            <w:r w:rsidRPr="001E1590">
              <w:rPr>
                <w:rFonts w:ascii="Arial" w:eastAsia="Times New Roman" w:hAnsi="Arial" w:cs="Arial"/>
                <w:sz w:val="20"/>
                <w:szCs w:val="20"/>
              </w:rPr>
              <w:t>Malhotra (1990), Gokhale</w:t>
            </w:r>
            <w:r w:rsidR="00327E80" w:rsidRPr="001E1590">
              <w:rPr>
                <w:rFonts w:ascii="Arial" w:eastAsia="Times New Roman" w:hAnsi="Arial" w:cs="Arial"/>
                <w:sz w:val="20"/>
                <w:szCs w:val="20"/>
              </w:rPr>
              <w:t xml:space="preserve"> </w:t>
            </w:r>
            <w:proofErr w:type="gramStart"/>
            <w:r w:rsidRPr="001E1590">
              <w:rPr>
                <w:rFonts w:ascii="Arial" w:eastAsia="Times New Roman" w:hAnsi="Arial" w:cs="Arial"/>
                <w:iCs/>
                <w:sz w:val="20"/>
                <w:szCs w:val="20"/>
              </w:rPr>
              <w:t>et</w:t>
            </w:r>
            <w:r w:rsidR="00327E80" w:rsidRPr="001E1590">
              <w:rPr>
                <w:rFonts w:ascii="Arial" w:eastAsia="Times New Roman" w:hAnsi="Arial" w:cs="Arial"/>
                <w:iCs/>
                <w:sz w:val="20"/>
                <w:szCs w:val="20"/>
              </w:rPr>
              <w:t xml:space="preserve"> </w:t>
            </w:r>
            <w:r w:rsidRPr="001E1590">
              <w:rPr>
                <w:rFonts w:ascii="Arial" w:eastAsia="Times New Roman" w:hAnsi="Arial" w:cs="Arial"/>
                <w:iCs/>
                <w:sz w:val="20"/>
                <w:szCs w:val="20"/>
              </w:rPr>
              <w:t>al.</w:t>
            </w:r>
            <w:r w:rsidRPr="001E1590">
              <w:rPr>
                <w:rFonts w:ascii="Arial" w:eastAsia="Times New Roman" w:hAnsi="Arial" w:cs="Arial"/>
                <w:sz w:val="20"/>
                <w:szCs w:val="20"/>
              </w:rPr>
              <w:t>(</w:t>
            </w:r>
            <w:proofErr w:type="gramEnd"/>
            <w:r w:rsidRPr="001E1590">
              <w:rPr>
                <w:rFonts w:ascii="Arial" w:eastAsia="Times New Roman" w:hAnsi="Arial" w:cs="Arial"/>
                <w:sz w:val="20"/>
                <w:szCs w:val="20"/>
              </w:rPr>
              <w:t>1998)</w:t>
            </w:r>
          </w:p>
        </w:tc>
      </w:tr>
      <w:tr w:rsidR="00226CEA" w:rsidRPr="001E1590" w14:paraId="061EB560" w14:textId="77777777" w:rsidTr="00DE3E35">
        <w:trPr>
          <w:trHeight w:hRule="exact" w:val="288"/>
          <w:jc w:val="center"/>
        </w:trPr>
        <w:tc>
          <w:tcPr>
            <w:tcW w:w="739" w:type="pct"/>
            <w:noWrap/>
            <w:vAlign w:val="center"/>
            <w:hideMark/>
          </w:tcPr>
          <w:p w14:paraId="4486A438"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Sikkim</w:t>
            </w:r>
          </w:p>
        </w:tc>
        <w:tc>
          <w:tcPr>
            <w:tcW w:w="1834" w:type="pct"/>
            <w:noWrap/>
            <w:vAlign w:val="center"/>
            <w:hideMark/>
          </w:tcPr>
          <w:p w14:paraId="7C56DA0C" w14:textId="77777777" w:rsidR="00226CEA" w:rsidRPr="001E1590" w:rsidRDefault="00226CEA" w:rsidP="00226CEA">
            <w:pPr>
              <w:rPr>
                <w:rFonts w:ascii="Arial" w:hAnsi="Arial" w:cs="Arial"/>
                <w:iCs/>
                <w:sz w:val="20"/>
                <w:szCs w:val="20"/>
              </w:rPr>
            </w:pPr>
            <w:proofErr w:type="spellStart"/>
            <w:r w:rsidRPr="001E1590">
              <w:rPr>
                <w:rFonts w:ascii="Arial" w:hAnsi="Arial" w:cs="Arial"/>
                <w:i/>
                <w:iCs/>
                <w:sz w:val="20"/>
                <w:szCs w:val="20"/>
              </w:rPr>
              <w:t>Devithans</w:t>
            </w:r>
            <w:proofErr w:type="spellEnd"/>
          </w:p>
        </w:tc>
        <w:tc>
          <w:tcPr>
            <w:tcW w:w="2427" w:type="pct"/>
            <w:noWrap/>
            <w:vAlign w:val="center"/>
            <w:hideMark/>
          </w:tcPr>
          <w:p w14:paraId="2AF7F92B"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Acharya and Ormsby (2017)</w:t>
            </w:r>
          </w:p>
        </w:tc>
      </w:tr>
      <w:tr w:rsidR="00226CEA" w:rsidRPr="001E1590" w14:paraId="03A2666D" w14:textId="77777777" w:rsidTr="00DE3E35">
        <w:trPr>
          <w:trHeight w:hRule="exact" w:val="288"/>
          <w:jc w:val="center"/>
        </w:trPr>
        <w:tc>
          <w:tcPr>
            <w:tcW w:w="739" w:type="pct"/>
            <w:vMerge w:val="restart"/>
            <w:noWrap/>
            <w:vAlign w:val="center"/>
            <w:hideMark/>
          </w:tcPr>
          <w:p w14:paraId="6320D3AD" w14:textId="77777777" w:rsidR="00226CEA" w:rsidRPr="001E1590" w:rsidRDefault="00226CEA" w:rsidP="00226CEA">
            <w:pPr>
              <w:rPr>
                <w:rFonts w:ascii="Arial" w:hAnsi="Arial" w:cs="Arial"/>
                <w:iCs/>
                <w:sz w:val="20"/>
                <w:szCs w:val="20"/>
              </w:rPr>
            </w:pPr>
          </w:p>
        </w:tc>
        <w:tc>
          <w:tcPr>
            <w:tcW w:w="1834" w:type="pct"/>
            <w:noWrap/>
            <w:vAlign w:val="center"/>
            <w:hideMark/>
          </w:tcPr>
          <w:p w14:paraId="7D658FB3" w14:textId="77777777" w:rsidR="00226CEA" w:rsidRPr="001E1590" w:rsidRDefault="00226CEA" w:rsidP="00226CEA">
            <w:pPr>
              <w:rPr>
                <w:rFonts w:ascii="Arial" w:hAnsi="Arial" w:cs="Arial"/>
                <w:i/>
                <w:iCs/>
                <w:sz w:val="20"/>
                <w:szCs w:val="20"/>
              </w:rPr>
            </w:pPr>
            <w:proofErr w:type="spellStart"/>
            <w:r w:rsidRPr="001E1590">
              <w:rPr>
                <w:rFonts w:ascii="Arial" w:hAnsi="Arial" w:cs="Arial"/>
                <w:i/>
                <w:sz w:val="20"/>
                <w:szCs w:val="20"/>
                <w:shd w:val="clear" w:color="auto" w:fill="FFFFFF"/>
              </w:rPr>
              <w:t>Pandam</w:t>
            </w:r>
            <w:proofErr w:type="spellEnd"/>
          </w:p>
        </w:tc>
        <w:tc>
          <w:tcPr>
            <w:tcW w:w="2427" w:type="pct"/>
            <w:noWrap/>
            <w:vAlign w:val="center"/>
            <w:hideMark/>
          </w:tcPr>
          <w:p w14:paraId="3C46CFE5"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https://www.thenortheasttoday.com</w:t>
            </w:r>
          </w:p>
        </w:tc>
      </w:tr>
      <w:tr w:rsidR="00226CEA" w:rsidRPr="001E1590" w14:paraId="5716848E" w14:textId="77777777" w:rsidTr="00DE3E35">
        <w:trPr>
          <w:trHeight w:hRule="exact" w:val="288"/>
          <w:jc w:val="center"/>
        </w:trPr>
        <w:tc>
          <w:tcPr>
            <w:tcW w:w="739" w:type="pct"/>
            <w:vMerge/>
            <w:noWrap/>
            <w:vAlign w:val="center"/>
            <w:hideMark/>
          </w:tcPr>
          <w:p w14:paraId="08401C19" w14:textId="77777777" w:rsidR="00226CEA" w:rsidRPr="001E1590" w:rsidRDefault="00226CEA" w:rsidP="00226CEA">
            <w:pPr>
              <w:rPr>
                <w:rFonts w:ascii="Arial" w:hAnsi="Arial" w:cs="Arial"/>
                <w:iCs/>
                <w:sz w:val="20"/>
                <w:szCs w:val="20"/>
              </w:rPr>
            </w:pPr>
          </w:p>
        </w:tc>
        <w:tc>
          <w:tcPr>
            <w:tcW w:w="1834" w:type="pct"/>
            <w:noWrap/>
            <w:vAlign w:val="center"/>
            <w:hideMark/>
          </w:tcPr>
          <w:p w14:paraId="1E829CE9" w14:textId="77777777" w:rsidR="00226CEA" w:rsidRPr="001E1590" w:rsidRDefault="00226CEA" w:rsidP="00226CEA">
            <w:pPr>
              <w:rPr>
                <w:rFonts w:ascii="Arial" w:hAnsi="Arial" w:cs="Arial"/>
                <w:i/>
                <w:sz w:val="20"/>
                <w:szCs w:val="20"/>
                <w:shd w:val="clear" w:color="auto" w:fill="FFFFFF"/>
              </w:rPr>
            </w:pPr>
            <w:proofErr w:type="spellStart"/>
            <w:r w:rsidRPr="001E1590">
              <w:rPr>
                <w:rFonts w:ascii="Arial" w:hAnsi="Arial" w:cs="Arial"/>
                <w:i/>
                <w:sz w:val="20"/>
                <w:szCs w:val="20"/>
                <w:shd w:val="clear" w:color="auto" w:fill="FFFFFF"/>
              </w:rPr>
              <w:t>Gumpa</w:t>
            </w:r>
            <w:proofErr w:type="spellEnd"/>
            <w:r w:rsidRPr="001E1590">
              <w:rPr>
                <w:rFonts w:ascii="Arial" w:hAnsi="Arial" w:cs="Arial"/>
                <w:i/>
                <w:sz w:val="20"/>
                <w:szCs w:val="20"/>
                <w:shd w:val="clear" w:color="auto" w:fill="FFFFFF"/>
              </w:rPr>
              <w:t xml:space="preserve"> forests</w:t>
            </w:r>
          </w:p>
        </w:tc>
        <w:tc>
          <w:tcPr>
            <w:tcW w:w="2427" w:type="pct"/>
            <w:noWrap/>
            <w:vAlign w:val="center"/>
            <w:hideMark/>
          </w:tcPr>
          <w:p w14:paraId="13CA6878"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https://www.thenortheasttoday.com, Dash (2005)</w:t>
            </w:r>
          </w:p>
        </w:tc>
      </w:tr>
      <w:tr w:rsidR="00226CEA" w:rsidRPr="001E1590" w14:paraId="07EB30D1" w14:textId="77777777" w:rsidTr="00DE3E35">
        <w:trPr>
          <w:trHeight w:hRule="exact" w:val="288"/>
          <w:jc w:val="center"/>
        </w:trPr>
        <w:tc>
          <w:tcPr>
            <w:tcW w:w="739" w:type="pct"/>
            <w:noWrap/>
            <w:vAlign w:val="center"/>
            <w:hideMark/>
          </w:tcPr>
          <w:p w14:paraId="15E827EF"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Tripura</w:t>
            </w:r>
          </w:p>
        </w:tc>
        <w:tc>
          <w:tcPr>
            <w:tcW w:w="1834" w:type="pct"/>
            <w:noWrap/>
            <w:vAlign w:val="center"/>
            <w:hideMark/>
          </w:tcPr>
          <w:p w14:paraId="0650C854" w14:textId="77777777" w:rsidR="00226CEA" w:rsidRPr="001E1590" w:rsidRDefault="00226CEA" w:rsidP="00226CEA">
            <w:pPr>
              <w:rPr>
                <w:rFonts w:ascii="Arial" w:hAnsi="Arial" w:cs="Arial"/>
                <w:iCs/>
                <w:sz w:val="20"/>
                <w:szCs w:val="20"/>
              </w:rPr>
            </w:pPr>
            <w:r w:rsidRPr="001E1590">
              <w:rPr>
                <w:rFonts w:ascii="Arial" w:hAnsi="Arial" w:cs="Arial"/>
                <w:iCs/>
                <w:sz w:val="20"/>
                <w:szCs w:val="20"/>
              </w:rPr>
              <w:t xml:space="preserve">Groves of </w:t>
            </w:r>
            <w:proofErr w:type="spellStart"/>
            <w:r w:rsidRPr="001E1590">
              <w:rPr>
                <w:rFonts w:ascii="Arial" w:hAnsi="Arial" w:cs="Arial"/>
                <w:iCs/>
                <w:sz w:val="20"/>
                <w:szCs w:val="20"/>
              </w:rPr>
              <w:t>Darlong</w:t>
            </w:r>
            <w:proofErr w:type="spellEnd"/>
            <w:r w:rsidRPr="001E1590">
              <w:rPr>
                <w:rFonts w:ascii="Arial" w:hAnsi="Arial" w:cs="Arial"/>
                <w:iCs/>
                <w:sz w:val="20"/>
                <w:szCs w:val="20"/>
              </w:rPr>
              <w:t xml:space="preserve"> community</w:t>
            </w:r>
          </w:p>
        </w:tc>
        <w:tc>
          <w:tcPr>
            <w:tcW w:w="2427" w:type="pct"/>
            <w:noWrap/>
            <w:vAlign w:val="center"/>
            <w:hideMark/>
          </w:tcPr>
          <w:p w14:paraId="64220373" w14:textId="77777777" w:rsidR="00226CEA" w:rsidRPr="001E1590" w:rsidRDefault="00226CEA" w:rsidP="00226CEA">
            <w:pPr>
              <w:rPr>
                <w:rFonts w:ascii="Arial" w:hAnsi="Arial" w:cs="Arial"/>
                <w:b/>
                <w:iCs/>
                <w:sz w:val="20"/>
                <w:szCs w:val="20"/>
              </w:rPr>
            </w:pPr>
            <w:proofErr w:type="spellStart"/>
            <w:r w:rsidRPr="001E1590">
              <w:rPr>
                <w:rFonts w:ascii="Arial" w:hAnsi="Arial" w:cs="Arial"/>
                <w:iCs/>
                <w:sz w:val="20"/>
                <w:szCs w:val="20"/>
              </w:rPr>
              <w:t>Darlong</w:t>
            </w:r>
            <w:proofErr w:type="spellEnd"/>
            <w:r w:rsidRPr="001E1590">
              <w:rPr>
                <w:rFonts w:ascii="Arial" w:hAnsi="Arial" w:cs="Arial"/>
                <w:iCs/>
                <w:sz w:val="20"/>
                <w:szCs w:val="20"/>
              </w:rPr>
              <w:t xml:space="preserve"> (2015)</w:t>
            </w:r>
          </w:p>
        </w:tc>
      </w:tr>
    </w:tbl>
    <w:p w14:paraId="2CB464CF" w14:textId="77777777" w:rsidR="00226CEA" w:rsidRDefault="00226CEA" w:rsidP="001E42C4">
      <w:pPr>
        <w:pStyle w:val="NormalWeb"/>
        <w:spacing w:before="0" w:beforeAutospacing="0" w:after="0" w:afterAutospacing="0" w:line="360" w:lineRule="auto"/>
        <w:jc w:val="both"/>
        <w:rPr>
          <w:rFonts w:ascii="Arial" w:hAnsi="Arial" w:cs="Arial"/>
          <w:iCs/>
          <w:sz w:val="20"/>
          <w:szCs w:val="20"/>
        </w:rPr>
      </w:pPr>
    </w:p>
    <w:p w14:paraId="38B67103" w14:textId="77777777" w:rsidR="003F07BF" w:rsidRDefault="003F07BF" w:rsidP="00E064AE">
      <w:pPr>
        <w:pStyle w:val="NormalWeb"/>
        <w:spacing w:before="0" w:beforeAutospacing="0" w:after="0" w:afterAutospacing="0"/>
        <w:jc w:val="both"/>
        <w:rPr>
          <w:rFonts w:ascii="Arial" w:hAnsi="Arial" w:cs="Arial"/>
          <w:iCs/>
          <w:sz w:val="20"/>
          <w:szCs w:val="20"/>
        </w:rPr>
      </w:pPr>
    </w:p>
    <w:p w14:paraId="1F8C160B" w14:textId="7E8E6B47" w:rsidR="00940E2B" w:rsidRDefault="004300CB" w:rsidP="00E064AE">
      <w:pPr>
        <w:pStyle w:val="NormalWeb"/>
        <w:spacing w:before="0" w:beforeAutospacing="0" w:after="0" w:afterAutospacing="0"/>
        <w:jc w:val="both"/>
        <w:rPr>
          <w:rFonts w:ascii="Arial" w:hAnsi="Arial" w:cs="Arial"/>
          <w:iCs/>
          <w:sz w:val="20"/>
          <w:szCs w:val="20"/>
        </w:rPr>
      </w:pPr>
      <w:r w:rsidRPr="004300CB">
        <w:rPr>
          <w:rFonts w:ascii="Arial" w:hAnsi="Arial" w:cs="Arial"/>
          <w:iCs/>
          <w:sz w:val="20"/>
          <w:szCs w:val="20"/>
        </w:rPr>
        <w:t>Sacred groves play a vital role in maintaining the biodiversity of ecosystems (Amirthalingam, 2014).</w:t>
      </w:r>
      <w:r>
        <w:rPr>
          <w:rFonts w:ascii="Arial" w:hAnsi="Arial" w:cs="Arial"/>
          <w:iCs/>
          <w:sz w:val="20"/>
          <w:szCs w:val="20"/>
        </w:rPr>
        <w:t xml:space="preserve"> </w:t>
      </w:r>
      <w:r w:rsidR="00940E2B" w:rsidRPr="00EA7007">
        <w:rPr>
          <w:rFonts w:ascii="Arial" w:hAnsi="Arial" w:cs="Arial"/>
          <w:iCs/>
          <w:sz w:val="20"/>
          <w:szCs w:val="20"/>
        </w:rPr>
        <w:t xml:space="preserve">In the West </w:t>
      </w:r>
      <w:proofErr w:type="spellStart"/>
      <w:r w:rsidR="00940E2B" w:rsidRPr="00EA7007">
        <w:rPr>
          <w:rFonts w:ascii="Arial" w:hAnsi="Arial" w:cs="Arial"/>
          <w:iCs/>
          <w:sz w:val="20"/>
          <w:szCs w:val="20"/>
        </w:rPr>
        <w:t>Karbi</w:t>
      </w:r>
      <w:proofErr w:type="spellEnd"/>
      <w:r w:rsidR="00940E2B" w:rsidRPr="00EA7007">
        <w:rPr>
          <w:rFonts w:ascii="Arial" w:hAnsi="Arial" w:cs="Arial"/>
          <w:iCs/>
          <w:sz w:val="20"/>
          <w:szCs w:val="20"/>
        </w:rPr>
        <w:t xml:space="preserve"> </w:t>
      </w:r>
      <w:proofErr w:type="spellStart"/>
      <w:r w:rsidR="00940E2B" w:rsidRPr="00EA7007">
        <w:rPr>
          <w:rFonts w:ascii="Arial" w:hAnsi="Arial" w:cs="Arial"/>
          <w:iCs/>
          <w:sz w:val="20"/>
          <w:szCs w:val="20"/>
        </w:rPr>
        <w:t>Anglong</w:t>
      </w:r>
      <w:proofErr w:type="spellEnd"/>
      <w:r w:rsidR="00940E2B" w:rsidRPr="00EA7007">
        <w:rPr>
          <w:rFonts w:ascii="Arial" w:hAnsi="Arial" w:cs="Arial"/>
          <w:iCs/>
          <w:sz w:val="20"/>
          <w:szCs w:val="20"/>
        </w:rPr>
        <w:t xml:space="preserve"> district of Assam, 116 plant species were recorded from two sacred groves (Baidya et al., 2020a). In Manipur, </w:t>
      </w:r>
      <w:proofErr w:type="spellStart"/>
      <w:r w:rsidR="00940E2B" w:rsidRPr="00EA7007">
        <w:rPr>
          <w:rFonts w:ascii="Arial" w:hAnsi="Arial" w:cs="Arial"/>
          <w:iCs/>
          <w:sz w:val="20"/>
          <w:szCs w:val="20"/>
        </w:rPr>
        <w:t>Khumbongmayum</w:t>
      </w:r>
      <w:proofErr w:type="spellEnd"/>
      <w:r w:rsidR="00940E2B" w:rsidRPr="00EA7007">
        <w:rPr>
          <w:rFonts w:ascii="Arial" w:hAnsi="Arial" w:cs="Arial"/>
          <w:iCs/>
          <w:sz w:val="20"/>
          <w:szCs w:val="20"/>
        </w:rPr>
        <w:t xml:space="preserve"> et al. (2005a) documented 173 plant species, including 96 woody species, from four sacred groves. </w:t>
      </w:r>
      <w:r w:rsidR="00F2598A" w:rsidRPr="00F2598A">
        <w:rPr>
          <w:rFonts w:ascii="Arial" w:hAnsi="Arial" w:cs="Arial"/>
          <w:iCs/>
          <w:sz w:val="20"/>
          <w:szCs w:val="20"/>
        </w:rPr>
        <w:t xml:space="preserve">The </w:t>
      </w:r>
      <w:proofErr w:type="spellStart"/>
      <w:r w:rsidR="00F2598A" w:rsidRPr="00F2598A">
        <w:rPr>
          <w:rFonts w:ascii="Arial" w:hAnsi="Arial" w:cs="Arial"/>
          <w:iCs/>
          <w:sz w:val="20"/>
          <w:szCs w:val="20"/>
        </w:rPr>
        <w:t>Kabi</w:t>
      </w:r>
      <w:proofErr w:type="spellEnd"/>
      <w:r w:rsidR="00F2598A" w:rsidRPr="00F2598A">
        <w:rPr>
          <w:rFonts w:ascii="Arial" w:hAnsi="Arial" w:cs="Arial"/>
          <w:iCs/>
          <w:sz w:val="20"/>
          <w:szCs w:val="20"/>
        </w:rPr>
        <w:t xml:space="preserve"> sacred grove in Sikkim was reported to harbo</w:t>
      </w:r>
      <w:r w:rsidR="00F2598A">
        <w:rPr>
          <w:rFonts w:ascii="Arial" w:hAnsi="Arial" w:cs="Arial"/>
          <w:iCs/>
          <w:sz w:val="20"/>
          <w:szCs w:val="20"/>
        </w:rPr>
        <w:t>u</w:t>
      </w:r>
      <w:r w:rsidR="00F2598A" w:rsidRPr="00F2598A">
        <w:rPr>
          <w:rFonts w:ascii="Arial" w:hAnsi="Arial" w:cs="Arial"/>
          <w:iCs/>
          <w:sz w:val="20"/>
          <w:szCs w:val="20"/>
        </w:rPr>
        <w:t xml:space="preserve">r 214 plant species (Dash, 2005), whereas 47 tree species were documented in the </w:t>
      </w:r>
      <w:proofErr w:type="spellStart"/>
      <w:r w:rsidR="00F2598A" w:rsidRPr="00F2598A">
        <w:rPr>
          <w:rFonts w:ascii="Arial" w:hAnsi="Arial" w:cs="Arial"/>
          <w:iCs/>
          <w:sz w:val="20"/>
          <w:szCs w:val="20"/>
        </w:rPr>
        <w:t>Unakoti</w:t>
      </w:r>
      <w:proofErr w:type="spellEnd"/>
      <w:r w:rsidR="00F2598A" w:rsidRPr="00F2598A">
        <w:rPr>
          <w:rFonts w:ascii="Arial" w:hAnsi="Arial" w:cs="Arial"/>
          <w:iCs/>
          <w:sz w:val="20"/>
          <w:szCs w:val="20"/>
        </w:rPr>
        <w:t xml:space="preserve"> sacred grove in Tripura (</w:t>
      </w:r>
      <w:proofErr w:type="spellStart"/>
      <w:r w:rsidR="00F2598A" w:rsidRPr="00F2598A">
        <w:rPr>
          <w:rFonts w:ascii="Arial" w:hAnsi="Arial" w:cs="Arial"/>
          <w:iCs/>
          <w:sz w:val="20"/>
          <w:szCs w:val="20"/>
        </w:rPr>
        <w:t>Banik</w:t>
      </w:r>
      <w:proofErr w:type="spellEnd"/>
      <w:r w:rsidR="00F2598A" w:rsidRPr="00F2598A">
        <w:rPr>
          <w:rFonts w:ascii="Arial" w:hAnsi="Arial" w:cs="Arial"/>
          <w:iCs/>
          <w:sz w:val="20"/>
          <w:szCs w:val="20"/>
        </w:rPr>
        <w:t xml:space="preserve"> et al., 2018).</w:t>
      </w:r>
      <w:r w:rsidR="00F2598A">
        <w:rPr>
          <w:rFonts w:ascii="Arial" w:hAnsi="Arial" w:cs="Arial"/>
          <w:iCs/>
          <w:sz w:val="20"/>
          <w:szCs w:val="20"/>
        </w:rPr>
        <w:t xml:space="preserve"> </w:t>
      </w:r>
      <w:r w:rsidR="00940E2B" w:rsidRPr="00EA7007">
        <w:rPr>
          <w:rFonts w:ascii="Arial" w:hAnsi="Arial" w:cs="Arial"/>
          <w:iCs/>
          <w:sz w:val="20"/>
          <w:szCs w:val="20"/>
        </w:rPr>
        <w:t xml:space="preserve">A floristic survey conducted by Tiwari et al. (2008) across 79 sacred groves in Meghalaya reported a remarkable 514 plant species. Another study in three sacred groves of Meghalaya </w:t>
      </w:r>
      <w:r w:rsidR="00940E2B" w:rsidRPr="00EA7007">
        <w:rPr>
          <w:rFonts w:ascii="Arial" w:hAnsi="Arial" w:cs="Arial"/>
          <w:iCs/>
          <w:sz w:val="20"/>
          <w:szCs w:val="20"/>
        </w:rPr>
        <w:lastRenderedPageBreak/>
        <w:t>identified 114 woody species (</w:t>
      </w:r>
      <w:proofErr w:type="spellStart"/>
      <w:r w:rsidR="00940E2B" w:rsidRPr="00EA7007">
        <w:rPr>
          <w:rFonts w:ascii="Arial" w:hAnsi="Arial" w:cs="Arial"/>
          <w:iCs/>
          <w:sz w:val="20"/>
          <w:szCs w:val="20"/>
        </w:rPr>
        <w:t>Upadhaya</w:t>
      </w:r>
      <w:proofErr w:type="spellEnd"/>
      <w:r w:rsidR="00940E2B" w:rsidRPr="00EA7007">
        <w:rPr>
          <w:rFonts w:ascii="Arial" w:hAnsi="Arial" w:cs="Arial"/>
          <w:iCs/>
          <w:sz w:val="20"/>
          <w:szCs w:val="20"/>
        </w:rPr>
        <w:t xml:space="preserve"> et al., 2008). Of the total plant species found in Meghalaya, 133 species (4%) are confined exclusively to sacred forests, including 96 endemic species (Khan et al., 1997). A consolidated summary of plant species diversity recorded in sacred groves across various </w:t>
      </w:r>
      <w:proofErr w:type="spellStart"/>
      <w:r w:rsidR="00940E2B" w:rsidRPr="00EA7007">
        <w:rPr>
          <w:rFonts w:ascii="Arial" w:hAnsi="Arial" w:cs="Arial"/>
          <w:iCs/>
          <w:sz w:val="20"/>
          <w:szCs w:val="20"/>
        </w:rPr>
        <w:t>northeastern</w:t>
      </w:r>
      <w:proofErr w:type="spellEnd"/>
      <w:r w:rsidR="00940E2B" w:rsidRPr="00EA7007">
        <w:rPr>
          <w:rFonts w:ascii="Arial" w:hAnsi="Arial" w:cs="Arial"/>
          <w:iCs/>
          <w:sz w:val="20"/>
          <w:szCs w:val="20"/>
        </w:rPr>
        <w:t xml:space="preserve"> states is presented in Table 4.</w:t>
      </w:r>
    </w:p>
    <w:p w14:paraId="429EDB5C" w14:textId="77777777" w:rsidR="00DE3E35" w:rsidRDefault="00DE3E35" w:rsidP="00712455">
      <w:pPr>
        <w:spacing w:after="0" w:line="240" w:lineRule="auto"/>
        <w:ind w:firstLine="720"/>
        <w:jc w:val="center"/>
        <w:rPr>
          <w:rFonts w:ascii="Arial" w:eastAsia="Times New Roman" w:hAnsi="Arial" w:cs="Arial"/>
          <w:b/>
          <w:bCs/>
          <w:sz w:val="20"/>
          <w:szCs w:val="20"/>
        </w:rPr>
      </w:pPr>
    </w:p>
    <w:p w14:paraId="2E9AEE0A" w14:textId="00D691AA" w:rsidR="00712455" w:rsidRDefault="00712455" w:rsidP="00712455">
      <w:pPr>
        <w:spacing w:after="0" w:line="240" w:lineRule="auto"/>
        <w:ind w:firstLine="720"/>
        <w:jc w:val="center"/>
        <w:rPr>
          <w:rFonts w:ascii="Arial" w:eastAsia="Times New Roman" w:hAnsi="Arial" w:cs="Arial"/>
          <w:sz w:val="20"/>
          <w:szCs w:val="20"/>
        </w:rPr>
      </w:pPr>
      <w:r w:rsidRPr="00DE3E35">
        <w:rPr>
          <w:rFonts w:ascii="Arial" w:eastAsia="Times New Roman" w:hAnsi="Arial" w:cs="Arial"/>
          <w:b/>
          <w:bCs/>
          <w:sz w:val="20"/>
          <w:szCs w:val="20"/>
        </w:rPr>
        <w:t>Table 4:</w:t>
      </w:r>
      <w:r w:rsidRPr="00DE3E35">
        <w:rPr>
          <w:rFonts w:ascii="Arial" w:eastAsia="Times New Roman" w:hAnsi="Arial" w:cs="Arial"/>
          <w:sz w:val="20"/>
          <w:szCs w:val="20"/>
        </w:rPr>
        <w:t xml:space="preserve"> Number of plant species recorded</w:t>
      </w:r>
    </w:p>
    <w:p w14:paraId="098DB0EC" w14:textId="77777777" w:rsidR="00DE3E35" w:rsidRPr="00DE3E35" w:rsidRDefault="00DE3E35" w:rsidP="00712455">
      <w:pPr>
        <w:spacing w:after="0" w:line="240" w:lineRule="auto"/>
        <w:ind w:firstLine="720"/>
        <w:jc w:val="center"/>
        <w:rPr>
          <w:rFonts w:ascii="Arial" w:eastAsia="Times New Roman" w:hAnsi="Arial" w:cs="Arial"/>
          <w:sz w:val="20"/>
          <w:szCs w:val="20"/>
        </w:rPr>
      </w:pPr>
    </w:p>
    <w:tbl>
      <w:tblPr>
        <w:tblW w:w="4833"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27"/>
        <w:gridCol w:w="3062"/>
        <w:gridCol w:w="4267"/>
      </w:tblGrid>
      <w:tr w:rsidR="00712455" w:rsidRPr="00761F9B" w14:paraId="15CFA873" w14:textId="77777777" w:rsidTr="00DE3E35">
        <w:trPr>
          <w:trHeight w:hRule="exact" w:val="288"/>
          <w:jc w:val="center"/>
        </w:trPr>
        <w:tc>
          <w:tcPr>
            <w:tcW w:w="1041" w:type="pct"/>
            <w:vAlign w:val="center"/>
            <w:hideMark/>
          </w:tcPr>
          <w:p w14:paraId="08AACC54" w14:textId="77777777" w:rsidR="00712455" w:rsidRPr="00DE3E35" w:rsidRDefault="00712455" w:rsidP="00BC72D1">
            <w:pPr>
              <w:spacing w:after="0" w:line="240" w:lineRule="auto"/>
              <w:rPr>
                <w:rFonts w:ascii="Arial" w:eastAsia="Times New Roman" w:hAnsi="Arial" w:cs="Arial"/>
                <w:b/>
                <w:sz w:val="20"/>
                <w:szCs w:val="20"/>
              </w:rPr>
            </w:pPr>
            <w:r w:rsidRPr="00DE3E35">
              <w:rPr>
                <w:rFonts w:ascii="Arial" w:eastAsia="Times New Roman" w:hAnsi="Arial" w:cs="Arial"/>
                <w:b/>
                <w:sz w:val="20"/>
                <w:szCs w:val="20"/>
              </w:rPr>
              <w:t>States</w:t>
            </w:r>
          </w:p>
        </w:tc>
        <w:tc>
          <w:tcPr>
            <w:tcW w:w="1654" w:type="pct"/>
            <w:vAlign w:val="center"/>
            <w:hideMark/>
          </w:tcPr>
          <w:p w14:paraId="1B6D6C10" w14:textId="77777777" w:rsidR="00712455" w:rsidRPr="00DE3E35" w:rsidRDefault="00712455" w:rsidP="00BC72D1">
            <w:pPr>
              <w:spacing w:after="0" w:line="240" w:lineRule="auto"/>
              <w:rPr>
                <w:rFonts w:ascii="Arial" w:eastAsia="Times New Roman" w:hAnsi="Arial" w:cs="Arial"/>
                <w:b/>
                <w:sz w:val="20"/>
                <w:szCs w:val="20"/>
              </w:rPr>
            </w:pPr>
            <w:r w:rsidRPr="00DE3E35">
              <w:rPr>
                <w:rFonts w:ascii="Arial" w:eastAsia="Times New Roman" w:hAnsi="Arial" w:cs="Arial"/>
                <w:b/>
                <w:sz w:val="20"/>
                <w:szCs w:val="20"/>
              </w:rPr>
              <w:t>Number of plant species recorded</w:t>
            </w:r>
          </w:p>
        </w:tc>
        <w:tc>
          <w:tcPr>
            <w:tcW w:w="2306" w:type="pct"/>
            <w:vAlign w:val="center"/>
            <w:hideMark/>
          </w:tcPr>
          <w:p w14:paraId="4FD76878" w14:textId="77777777" w:rsidR="00712455" w:rsidRPr="00DE3E35" w:rsidRDefault="00712455" w:rsidP="00BC72D1">
            <w:pPr>
              <w:spacing w:after="0" w:line="240" w:lineRule="auto"/>
              <w:rPr>
                <w:rFonts w:ascii="Arial" w:eastAsia="Times New Roman" w:hAnsi="Arial" w:cs="Arial"/>
                <w:b/>
                <w:sz w:val="20"/>
                <w:szCs w:val="20"/>
              </w:rPr>
            </w:pPr>
            <w:r w:rsidRPr="00DE3E35">
              <w:rPr>
                <w:rFonts w:ascii="Arial" w:eastAsia="Times New Roman" w:hAnsi="Arial" w:cs="Arial"/>
                <w:b/>
                <w:sz w:val="20"/>
                <w:szCs w:val="20"/>
              </w:rPr>
              <w:t>References</w:t>
            </w:r>
          </w:p>
        </w:tc>
      </w:tr>
      <w:tr w:rsidR="00712455" w:rsidRPr="00761F9B" w14:paraId="12E72A90" w14:textId="77777777" w:rsidTr="00DE3E35">
        <w:trPr>
          <w:trHeight w:hRule="exact" w:val="288"/>
          <w:jc w:val="center"/>
        </w:trPr>
        <w:tc>
          <w:tcPr>
            <w:tcW w:w="1041" w:type="pct"/>
            <w:vAlign w:val="center"/>
            <w:hideMark/>
          </w:tcPr>
          <w:p w14:paraId="5A7E09FC"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Assam</w:t>
            </w:r>
          </w:p>
        </w:tc>
        <w:tc>
          <w:tcPr>
            <w:tcW w:w="1654" w:type="pct"/>
            <w:vAlign w:val="center"/>
            <w:hideMark/>
          </w:tcPr>
          <w:p w14:paraId="3051E9F4"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116</w:t>
            </w:r>
          </w:p>
        </w:tc>
        <w:tc>
          <w:tcPr>
            <w:tcW w:w="2306" w:type="pct"/>
            <w:vAlign w:val="center"/>
            <w:hideMark/>
          </w:tcPr>
          <w:p w14:paraId="51891493"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Baidya et al. (2020a)</w:t>
            </w:r>
          </w:p>
        </w:tc>
      </w:tr>
      <w:tr w:rsidR="00712455" w:rsidRPr="00761F9B" w14:paraId="7C616383" w14:textId="77777777" w:rsidTr="00DE3E35">
        <w:trPr>
          <w:trHeight w:hRule="exact" w:val="288"/>
          <w:jc w:val="center"/>
        </w:trPr>
        <w:tc>
          <w:tcPr>
            <w:tcW w:w="1041" w:type="pct"/>
            <w:vAlign w:val="center"/>
            <w:hideMark/>
          </w:tcPr>
          <w:p w14:paraId="4958A403"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Manipur</w:t>
            </w:r>
          </w:p>
        </w:tc>
        <w:tc>
          <w:tcPr>
            <w:tcW w:w="1654" w:type="pct"/>
            <w:vAlign w:val="center"/>
            <w:hideMark/>
          </w:tcPr>
          <w:p w14:paraId="6898EECA"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173</w:t>
            </w:r>
          </w:p>
        </w:tc>
        <w:tc>
          <w:tcPr>
            <w:tcW w:w="2306" w:type="pct"/>
            <w:vAlign w:val="center"/>
            <w:hideMark/>
          </w:tcPr>
          <w:p w14:paraId="4E0DA435" w14:textId="37A017EE" w:rsidR="00712455" w:rsidRPr="00DE3E35" w:rsidRDefault="00712455" w:rsidP="00BC72D1">
            <w:pPr>
              <w:spacing w:after="0" w:line="240" w:lineRule="auto"/>
              <w:rPr>
                <w:rFonts w:ascii="Arial" w:eastAsia="Times New Roman" w:hAnsi="Arial" w:cs="Arial"/>
                <w:sz w:val="20"/>
                <w:szCs w:val="20"/>
              </w:rPr>
            </w:pPr>
            <w:proofErr w:type="spellStart"/>
            <w:r w:rsidRPr="00DE3E35">
              <w:rPr>
                <w:rFonts w:ascii="Arial" w:eastAsia="Times New Roman" w:hAnsi="Arial" w:cs="Arial"/>
                <w:sz w:val="20"/>
                <w:szCs w:val="20"/>
              </w:rPr>
              <w:t>Khumbongmayum</w:t>
            </w:r>
            <w:proofErr w:type="spellEnd"/>
            <w:r w:rsidR="00DE3E35" w:rsidRPr="00DE3E35">
              <w:rPr>
                <w:rFonts w:ascii="Arial" w:eastAsia="Times New Roman" w:hAnsi="Arial" w:cs="Arial"/>
                <w:sz w:val="20"/>
                <w:szCs w:val="20"/>
              </w:rPr>
              <w:t xml:space="preserve"> </w:t>
            </w:r>
            <w:r w:rsidRPr="00DE3E35">
              <w:rPr>
                <w:rFonts w:ascii="Arial" w:eastAsia="Times New Roman" w:hAnsi="Arial" w:cs="Arial"/>
                <w:sz w:val="20"/>
                <w:szCs w:val="20"/>
              </w:rPr>
              <w:t>et al.</w:t>
            </w:r>
            <w:r w:rsidRPr="00DE3E35">
              <w:rPr>
                <w:rFonts w:ascii="Arial" w:eastAsia="Times New Roman" w:hAnsi="Arial" w:cs="Arial"/>
                <w:i/>
                <w:iCs/>
                <w:sz w:val="20"/>
                <w:szCs w:val="20"/>
              </w:rPr>
              <w:t xml:space="preserve"> (</w:t>
            </w:r>
            <w:r w:rsidRPr="00DE3E35">
              <w:rPr>
                <w:rFonts w:ascii="Arial" w:eastAsia="Times New Roman" w:hAnsi="Arial" w:cs="Arial"/>
                <w:sz w:val="20"/>
                <w:szCs w:val="20"/>
              </w:rPr>
              <w:t>2005a)</w:t>
            </w:r>
          </w:p>
        </w:tc>
      </w:tr>
      <w:tr w:rsidR="00712455" w:rsidRPr="00761F9B" w14:paraId="728459E7" w14:textId="77777777" w:rsidTr="00DE3E35">
        <w:trPr>
          <w:trHeight w:hRule="exact" w:val="1117"/>
          <w:jc w:val="center"/>
        </w:trPr>
        <w:tc>
          <w:tcPr>
            <w:tcW w:w="1041" w:type="pct"/>
            <w:vAlign w:val="center"/>
            <w:hideMark/>
          </w:tcPr>
          <w:p w14:paraId="3F3385C3"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Meghalaya</w:t>
            </w:r>
          </w:p>
        </w:tc>
        <w:tc>
          <w:tcPr>
            <w:tcW w:w="1654" w:type="pct"/>
            <w:vAlign w:val="center"/>
            <w:hideMark/>
          </w:tcPr>
          <w:p w14:paraId="369F5658"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210.95±118.35</w:t>
            </w:r>
          </w:p>
          <w:p w14:paraId="19C032E8"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(ranges from 63 to 738)</w:t>
            </w:r>
          </w:p>
        </w:tc>
        <w:tc>
          <w:tcPr>
            <w:tcW w:w="2306" w:type="pct"/>
            <w:vAlign w:val="center"/>
            <w:hideMark/>
          </w:tcPr>
          <w:p w14:paraId="7D6DA5F3" w14:textId="03B1B1D3" w:rsidR="00712455" w:rsidRPr="00DE3E35" w:rsidRDefault="00712455" w:rsidP="00BC72D1">
            <w:pPr>
              <w:spacing w:after="0" w:line="240" w:lineRule="auto"/>
              <w:rPr>
                <w:rFonts w:ascii="Arial" w:eastAsia="Times New Roman" w:hAnsi="Arial" w:cs="Arial"/>
                <w:color w:val="FF0000"/>
                <w:sz w:val="20"/>
                <w:szCs w:val="20"/>
              </w:rPr>
            </w:pPr>
            <w:r w:rsidRPr="00DE3E35">
              <w:rPr>
                <w:rFonts w:ascii="Arial" w:eastAsia="Times New Roman" w:hAnsi="Arial" w:cs="Arial"/>
                <w:sz w:val="20"/>
                <w:szCs w:val="20"/>
              </w:rPr>
              <w:t>Khan et al. (1997</w:t>
            </w:r>
            <w:proofErr w:type="gramStart"/>
            <w:r w:rsidRPr="00DE3E35">
              <w:rPr>
                <w:rFonts w:ascii="Arial" w:eastAsia="Times New Roman" w:hAnsi="Arial" w:cs="Arial"/>
                <w:sz w:val="20"/>
                <w:szCs w:val="20"/>
              </w:rPr>
              <w:t>),Jamir</w:t>
            </w:r>
            <w:proofErr w:type="gramEnd"/>
            <w:r w:rsidRPr="00DE3E35">
              <w:rPr>
                <w:rFonts w:ascii="Arial" w:eastAsia="Times New Roman" w:hAnsi="Arial" w:cs="Arial"/>
                <w:sz w:val="20"/>
                <w:szCs w:val="20"/>
              </w:rPr>
              <w:t xml:space="preserve"> and Pandey (2003), </w:t>
            </w:r>
            <w:proofErr w:type="spellStart"/>
            <w:r w:rsidRPr="00DE3E35">
              <w:rPr>
                <w:rFonts w:ascii="Arial" w:eastAsia="Times New Roman" w:hAnsi="Arial" w:cs="Arial"/>
                <w:sz w:val="20"/>
                <w:szCs w:val="20"/>
              </w:rPr>
              <w:t>Upadhaya</w:t>
            </w:r>
            <w:proofErr w:type="spellEnd"/>
            <w:r w:rsidR="00DE3E35" w:rsidRPr="00DE3E35">
              <w:rPr>
                <w:rFonts w:ascii="Arial" w:eastAsia="Times New Roman" w:hAnsi="Arial" w:cs="Arial"/>
                <w:sz w:val="20"/>
                <w:szCs w:val="20"/>
              </w:rPr>
              <w:t xml:space="preserve"> </w:t>
            </w:r>
            <w:proofErr w:type="spellStart"/>
            <w:r w:rsidRPr="00DE3E35">
              <w:rPr>
                <w:rFonts w:ascii="Arial" w:eastAsia="Times New Roman" w:hAnsi="Arial" w:cs="Arial"/>
                <w:sz w:val="20"/>
                <w:szCs w:val="20"/>
              </w:rPr>
              <w:t>etal</w:t>
            </w:r>
            <w:proofErr w:type="spellEnd"/>
            <w:r w:rsidRPr="00DE3E35">
              <w:rPr>
                <w:rFonts w:ascii="Arial" w:eastAsia="Times New Roman" w:hAnsi="Arial" w:cs="Arial"/>
                <w:sz w:val="20"/>
                <w:szCs w:val="20"/>
              </w:rPr>
              <w:t>.(2003),</w:t>
            </w:r>
            <w:proofErr w:type="spellStart"/>
            <w:r w:rsidRPr="00DE3E35">
              <w:rPr>
                <w:rFonts w:ascii="Arial" w:eastAsia="Times New Roman" w:hAnsi="Arial" w:cs="Arial"/>
                <w:sz w:val="20"/>
                <w:szCs w:val="20"/>
              </w:rPr>
              <w:t>Upadhaya</w:t>
            </w:r>
            <w:proofErr w:type="spellEnd"/>
            <w:r w:rsidRPr="00DE3E35">
              <w:rPr>
                <w:rFonts w:ascii="Arial" w:eastAsia="Times New Roman" w:hAnsi="Arial" w:cs="Arial"/>
                <w:sz w:val="20"/>
                <w:szCs w:val="20"/>
              </w:rPr>
              <w:t xml:space="preserve"> et al. (2008), Tiwari et al.(2008),</w:t>
            </w:r>
            <w:proofErr w:type="spellStart"/>
            <w:r w:rsidRPr="00DE3E35">
              <w:rPr>
                <w:rFonts w:ascii="Arial" w:eastAsia="Times New Roman" w:hAnsi="Arial" w:cs="Arial"/>
                <w:sz w:val="20"/>
                <w:szCs w:val="20"/>
              </w:rPr>
              <w:t>Mohanta</w:t>
            </w:r>
            <w:proofErr w:type="spellEnd"/>
            <w:r w:rsidRPr="00DE3E35">
              <w:rPr>
                <w:rFonts w:ascii="Arial" w:eastAsia="Times New Roman" w:hAnsi="Arial" w:cs="Arial"/>
                <w:sz w:val="20"/>
                <w:szCs w:val="20"/>
              </w:rPr>
              <w:t xml:space="preserve"> et al. (2009),</w:t>
            </w:r>
            <w:proofErr w:type="spellStart"/>
            <w:r w:rsidRPr="00DE3E35">
              <w:rPr>
                <w:rFonts w:ascii="Arial" w:eastAsia="Times New Roman" w:hAnsi="Arial" w:cs="Arial"/>
                <w:sz w:val="20"/>
                <w:szCs w:val="20"/>
              </w:rPr>
              <w:t>Marbaniang</w:t>
            </w:r>
            <w:proofErr w:type="spellEnd"/>
            <w:r w:rsidRPr="00DE3E35">
              <w:rPr>
                <w:rFonts w:ascii="Arial" w:eastAsia="Times New Roman" w:hAnsi="Arial" w:cs="Arial"/>
                <w:sz w:val="20"/>
                <w:szCs w:val="20"/>
              </w:rPr>
              <w:t xml:space="preserve"> et al. (2024)</w:t>
            </w:r>
          </w:p>
        </w:tc>
      </w:tr>
      <w:tr w:rsidR="00712455" w:rsidRPr="00761F9B" w14:paraId="7DBEDAA9" w14:textId="77777777" w:rsidTr="00DE3E35">
        <w:trPr>
          <w:trHeight w:hRule="exact" w:val="288"/>
          <w:jc w:val="center"/>
        </w:trPr>
        <w:tc>
          <w:tcPr>
            <w:tcW w:w="1041" w:type="pct"/>
            <w:vAlign w:val="center"/>
            <w:hideMark/>
          </w:tcPr>
          <w:p w14:paraId="5A79F238"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Sikkim</w:t>
            </w:r>
          </w:p>
        </w:tc>
        <w:tc>
          <w:tcPr>
            <w:tcW w:w="1654" w:type="pct"/>
            <w:vAlign w:val="center"/>
            <w:hideMark/>
          </w:tcPr>
          <w:p w14:paraId="134E3F90"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214</w:t>
            </w:r>
          </w:p>
        </w:tc>
        <w:tc>
          <w:tcPr>
            <w:tcW w:w="2306" w:type="pct"/>
            <w:vAlign w:val="center"/>
            <w:hideMark/>
          </w:tcPr>
          <w:p w14:paraId="3BE93C66"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Dash (2005)</w:t>
            </w:r>
          </w:p>
        </w:tc>
      </w:tr>
      <w:tr w:rsidR="00712455" w:rsidRPr="00761F9B" w14:paraId="64D0552D" w14:textId="77777777" w:rsidTr="00DE3E35">
        <w:trPr>
          <w:trHeight w:hRule="exact" w:val="288"/>
          <w:jc w:val="center"/>
        </w:trPr>
        <w:tc>
          <w:tcPr>
            <w:tcW w:w="1041" w:type="pct"/>
            <w:vAlign w:val="center"/>
            <w:hideMark/>
          </w:tcPr>
          <w:p w14:paraId="1DD77BC9"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Tripura</w:t>
            </w:r>
          </w:p>
        </w:tc>
        <w:tc>
          <w:tcPr>
            <w:tcW w:w="1654" w:type="pct"/>
            <w:vAlign w:val="center"/>
            <w:hideMark/>
          </w:tcPr>
          <w:p w14:paraId="6EB48131" w14:textId="77777777" w:rsidR="00712455" w:rsidRPr="00DE3E35" w:rsidRDefault="00712455" w:rsidP="00BC72D1">
            <w:pPr>
              <w:spacing w:after="0" w:line="240" w:lineRule="auto"/>
              <w:rPr>
                <w:rFonts w:ascii="Arial" w:eastAsia="Times New Roman" w:hAnsi="Arial" w:cs="Arial"/>
                <w:sz w:val="20"/>
                <w:szCs w:val="20"/>
              </w:rPr>
            </w:pPr>
            <w:r w:rsidRPr="00DE3E35">
              <w:rPr>
                <w:rFonts w:ascii="Arial" w:eastAsia="Times New Roman" w:hAnsi="Arial" w:cs="Arial"/>
                <w:sz w:val="20"/>
                <w:szCs w:val="20"/>
              </w:rPr>
              <w:t>47</w:t>
            </w:r>
          </w:p>
        </w:tc>
        <w:tc>
          <w:tcPr>
            <w:tcW w:w="2306" w:type="pct"/>
            <w:vAlign w:val="center"/>
            <w:hideMark/>
          </w:tcPr>
          <w:p w14:paraId="1DCD3754" w14:textId="77777777" w:rsidR="00712455" w:rsidRPr="00DE3E35" w:rsidRDefault="00712455" w:rsidP="00BC72D1">
            <w:pPr>
              <w:spacing w:after="0" w:line="240" w:lineRule="auto"/>
              <w:rPr>
                <w:rFonts w:ascii="Arial" w:eastAsia="Times New Roman" w:hAnsi="Arial" w:cs="Arial"/>
                <w:sz w:val="20"/>
                <w:szCs w:val="20"/>
              </w:rPr>
            </w:pPr>
            <w:proofErr w:type="spellStart"/>
            <w:r w:rsidRPr="00DE3E35">
              <w:rPr>
                <w:rFonts w:ascii="Arial" w:eastAsia="Times New Roman" w:hAnsi="Arial" w:cs="Arial"/>
                <w:sz w:val="20"/>
                <w:szCs w:val="20"/>
              </w:rPr>
              <w:t>Banik</w:t>
            </w:r>
            <w:proofErr w:type="spellEnd"/>
            <w:r w:rsidRPr="00DE3E35">
              <w:rPr>
                <w:rFonts w:ascii="Arial" w:eastAsia="Times New Roman" w:hAnsi="Arial" w:cs="Arial"/>
                <w:sz w:val="20"/>
                <w:szCs w:val="20"/>
              </w:rPr>
              <w:t xml:space="preserve"> et al. (2018)</w:t>
            </w:r>
          </w:p>
        </w:tc>
      </w:tr>
    </w:tbl>
    <w:p w14:paraId="27607A03" w14:textId="77777777" w:rsidR="001E42C4" w:rsidRDefault="001E42C4" w:rsidP="001E42C4">
      <w:pPr>
        <w:spacing w:after="0" w:line="360" w:lineRule="auto"/>
        <w:jc w:val="both"/>
        <w:rPr>
          <w:rFonts w:ascii="Arial" w:hAnsi="Arial" w:cs="Arial"/>
          <w:iCs/>
          <w:sz w:val="20"/>
          <w:szCs w:val="20"/>
        </w:rPr>
      </w:pPr>
    </w:p>
    <w:p w14:paraId="11E2B05D" w14:textId="27D9FFB9" w:rsidR="00CF5D03" w:rsidRDefault="00A340CA" w:rsidP="00E064AE">
      <w:pPr>
        <w:spacing w:after="0" w:line="240" w:lineRule="auto"/>
        <w:jc w:val="both"/>
        <w:rPr>
          <w:rFonts w:ascii="Arial" w:hAnsi="Arial" w:cs="Arial"/>
          <w:iCs/>
          <w:sz w:val="20"/>
          <w:szCs w:val="20"/>
        </w:rPr>
      </w:pPr>
      <w:r w:rsidRPr="00EA7007">
        <w:rPr>
          <w:rFonts w:ascii="Arial" w:hAnsi="Arial" w:cs="Arial"/>
          <w:iCs/>
          <w:sz w:val="20"/>
          <w:szCs w:val="20"/>
        </w:rPr>
        <w:t xml:space="preserve">The aboveground biomass carbon stock in the </w:t>
      </w:r>
      <w:proofErr w:type="spellStart"/>
      <w:r w:rsidRPr="00EA7007">
        <w:rPr>
          <w:rFonts w:ascii="Arial" w:hAnsi="Arial" w:cs="Arial"/>
          <w:iCs/>
          <w:sz w:val="20"/>
          <w:szCs w:val="20"/>
        </w:rPr>
        <w:t>Phayeng</w:t>
      </w:r>
      <w:proofErr w:type="spellEnd"/>
      <w:r w:rsidRPr="00EA7007">
        <w:rPr>
          <w:rFonts w:ascii="Arial" w:hAnsi="Arial" w:cs="Arial"/>
          <w:iCs/>
          <w:sz w:val="20"/>
          <w:szCs w:val="20"/>
        </w:rPr>
        <w:t xml:space="preserve"> sacred grove in Manipur was reported to range between 962.94 to 1130.79 Mg ha</w:t>
      </w:r>
      <w:r w:rsidRPr="00EA7007">
        <w:rPr>
          <w:rFonts w:ascii="Arial" w:hAnsi="Times New Roman" w:cs="Arial"/>
          <w:iCs/>
          <w:sz w:val="20"/>
          <w:szCs w:val="20"/>
        </w:rPr>
        <w:t>⁻</w:t>
      </w:r>
      <w:r w:rsidRPr="00EA7007">
        <w:rPr>
          <w:rFonts w:ascii="Arial" w:hAnsi="Arial" w:cs="Arial"/>
          <w:iCs/>
          <w:sz w:val="20"/>
          <w:szCs w:val="20"/>
        </w:rPr>
        <w:t>¹, indicating a remarkably high carbon storage potential (</w:t>
      </w:r>
      <w:proofErr w:type="spellStart"/>
      <w:r w:rsidRPr="00EA7007">
        <w:rPr>
          <w:rFonts w:ascii="Arial" w:hAnsi="Arial" w:cs="Arial"/>
          <w:iCs/>
          <w:sz w:val="20"/>
          <w:szCs w:val="20"/>
        </w:rPr>
        <w:t>Waikhom</w:t>
      </w:r>
      <w:proofErr w:type="spellEnd"/>
      <w:r w:rsidRPr="00EA7007">
        <w:rPr>
          <w:rFonts w:ascii="Arial" w:hAnsi="Arial" w:cs="Arial"/>
          <w:iCs/>
          <w:sz w:val="20"/>
          <w:szCs w:val="20"/>
        </w:rPr>
        <w:t xml:space="preserve"> et al., 2017). In comparison, carbon stock in three subtropical natural forests of Manipur ranged from 81.17 to 118.24 Mg ha</w:t>
      </w:r>
      <w:r w:rsidRPr="00EA7007">
        <w:rPr>
          <w:rFonts w:ascii="Arial" w:hAnsi="Times New Roman" w:cs="Arial"/>
          <w:iCs/>
          <w:sz w:val="20"/>
          <w:szCs w:val="20"/>
        </w:rPr>
        <w:t>⁻</w:t>
      </w:r>
      <w:r w:rsidRPr="00EA7007">
        <w:rPr>
          <w:rFonts w:ascii="Arial" w:hAnsi="Arial" w:cs="Arial"/>
          <w:iCs/>
          <w:sz w:val="20"/>
          <w:szCs w:val="20"/>
        </w:rPr>
        <w:t xml:space="preserve">¹ (Thokchom and Yadava, 2013). </w:t>
      </w:r>
      <w:r w:rsidR="00F2598A" w:rsidRPr="00F2598A">
        <w:rPr>
          <w:rFonts w:ascii="Arial" w:hAnsi="Arial" w:cs="Arial"/>
          <w:iCs/>
          <w:sz w:val="20"/>
          <w:szCs w:val="20"/>
        </w:rPr>
        <w:t>The markedly higher carbon stocks in sacred groves compared to unprotected natural forests highlight both the ecological significance of culturally protected forest patches and the effective conservation role played by local communities.</w:t>
      </w:r>
    </w:p>
    <w:p w14:paraId="75C8F88E" w14:textId="77777777" w:rsidR="00F2598A" w:rsidRDefault="00F2598A" w:rsidP="00E064AE">
      <w:pPr>
        <w:spacing w:after="0" w:line="240" w:lineRule="auto"/>
        <w:jc w:val="both"/>
        <w:rPr>
          <w:rFonts w:ascii="Arial" w:hAnsi="Arial" w:cs="Arial"/>
          <w:iCs/>
          <w:sz w:val="20"/>
          <w:szCs w:val="20"/>
        </w:rPr>
      </w:pPr>
    </w:p>
    <w:p w14:paraId="29CEC29E" w14:textId="77777777" w:rsidR="00F2598A" w:rsidRDefault="00F2598A" w:rsidP="00E064AE">
      <w:pPr>
        <w:spacing w:after="0" w:line="240" w:lineRule="auto"/>
        <w:jc w:val="both"/>
        <w:rPr>
          <w:rFonts w:ascii="Arial" w:hAnsi="Arial" w:cs="Arial"/>
          <w:iCs/>
          <w:sz w:val="20"/>
          <w:szCs w:val="20"/>
        </w:rPr>
      </w:pPr>
      <w:r w:rsidRPr="00F2598A">
        <w:rPr>
          <w:rFonts w:ascii="Arial" w:hAnsi="Arial" w:cs="Arial"/>
          <w:iCs/>
          <w:sz w:val="20"/>
          <w:szCs w:val="20"/>
        </w:rPr>
        <w:t>Sacred groves are widely recognized as a traditional, religiously rooted form of in situ conservation (Choudhury et al., 2007). However, in the absence of formal legal protection, they remain highly susceptible to anthropogenic pressures.</w:t>
      </w:r>
      <w:r>
        <w:rPr>
          <w:rFonts w:ascii="Arial" w:hAnsi="Arial" w:cs="Arial"/>
          <w:iCs/>
          <w:sz w:val="20"/>
          <w:szCs w:val="20"/>
        </w:rPr>
        <w:t xml:space="preserve"> </w:t>
      </w:r>
      <w:r w:rsidR="00A340CA" w:rsidRPr="00EA7007">
        <w:rPr>
          <w:rFonts w:ascii="Arial" w:hAnsi="Arial" w:cs="Arial"/>
          <w:iCs/>
          <w:sz w:val="20"/>
          <w:szCs w:val="20"/>
        </w:rPr>
        <w:t xml:space="preserve">Resource extraction and encroachment by local communities have been identified as major threats to the effective management of sacred forests, as highlighted by </w:t>
      </w:r>
      <w:proofErr w:type="spellStart"/>
      <w:r w:rsidR="00A340CA" w:rsidRPr="00EA7007">
        <w:rPr>
          <w:rFonts w:ascii="Arial" w:hAnsi="Arial" w:cs="Arial"/>
          <w:iCs/>
          <w:sz w:val="20"/>
          <w:szCs w:val="20"/>
        </w:rPr>
        <w:t>Banik</w:t>
      </w:r>
      <w:proofErr w:type="spellEnd"/>
      <w:r w:rsidR="00A340CA" w:rsidRPr="00EA7007">
        <w:rPr>
          <w:rFonts w:ascii="Arial" w:hAnsi="Arial" w:cs="Arial"/>
          <w:iCs/>
          <w:sz w:val="20"/>
          <w:szCs w:val="20"/>
        </w:rPr>
        <w:t xml:space="preserve"> et al. (2018). To address these challenges, Jeeva et al. (2006) recommended the establishment of a protected network of sacred groves in Meghalaya to ensure their long-term conservation.</w:t>
      </w:r>
      <w:r w:rsidR="00712455">
        <w:rPr>
          <w:rFonts w:ascii="Arial" w:hAnsi="Arial" w:cs="Arial"/>
          <w:iCs/>
          <w:sz w:val="20"/>
          <w:szCs w:val="20"/>
        </w:rPr>
        <w:t xml:space="preserve"> </w:t>
      </w:r>
      <w:r w:rsidRPr="00F2598A">
        <w:rPr>
          <w:rFonts w:ascii="Arial" w:hAnsi="Arial" w:cs="Arial"/>
          <w:iCs/>
          <w:sz w:val="20"/>
          <w:szCs w:val="20"/>
        </w:rPr>
        <w:t>Traditional ecological knowledge has been instrumental in shaping local strategies for natural resource use and management (Rai, 2007), as well as in broader environmental conservation efforts (</w:t>
      </w:r>
      <w:proofErr w:type="spellStart"/>
      <w:r w:rsidRPr="00F2598A">
        <w:rPr>
          <w:rFonts w:ascii="Arial" w:hAnsi="Arial" w:cs="Arial"/>
          <w:iCs/>
          <w:sz w:val="20"/>
          <w:szCs w:val="20"/>
        </w:rPr>
        <w:t>Barua</w:t>
      </w:r>
      <w:proofErr w:type="spellEnd"/>
      <w:r w:rsidRPr="00F2598A">
        <w:rPr>
          <w:rFonts w:ascii="Arial" w:hAnsi="Arial" w:cs="Arial"/>
          <w:iCs/>
          <w:sz w:val="20"/>
          <w:szCs w:val="20"/>
        </w:rPr>
        <w:t>, 2009).</w:t>
      </w:r>
    </w:p>
    <w:p w14:paraId="169139E4" w14:textId="77777777" w:rsidR="00F2598A" w:rsidRDefault="00F2598A" w:rsidP="00E064AE">
      <w:pPr>
        <w:spacing w:after="0" w:line="240" w:lineRule="auto"/>
        <w:jc w:val="both"/>
        <w:rPr>
          <w:rFonts w:ascii="Arial" w:hAnsi="Arial" w:cs="Arial"/>
          <w:iCs/>
          <w:sz w:val="20"/>
          <w:szCs w:val="20"/>
        </w:rPr>
      </w:pPr>
    </w:p>
    <w:p w14:paraId="3B41536B" w14:textId="3AEAC2FD" w:rsidR="00FA5F9E" w:rsidRPr="00FA5F9E" w:rsidRDefault="00FA5F9E" w:rsidP="00E064AE">
      <w:pPr>
        <w:spacing w:after="0" w:line="240" w:lineRule="auto"/>
        <w:jc w:val="both"/>
        <w:rPr>
          <w:rFonts w:ascii="Arial" w:hAnsi="Arial" w:cs="Arial"/>
          <w:iCs/>
          <w:sz w:val="20"/>
          <w:szCs w:val="20"/>
        </w:rPr>
      </w:pPr>
      <w:r w:rsidRPr="00FA5F9E">
        <w:rPr>
          <w:rFonts w:ascii="Arial" w:hAnsi="Arial" w:cs="Arial"/>
          <w:iCs/>
          <w:sz w:val="20"/>
          <w:szCs w:val="20"/>
        </w:rPr>
        <w:t xml:space="preserve">In Assam, 38 ethnomedicinal plant species have been documented from sacred groves (Baidya et al., 2020b). </w:t>
      </w:r>
      <w:r w:rsidR="00785CE4" w:rsidRPr="00785CE4">
        <w:rPr>
          <w:rFonts w:ascii="Arial" w:hAnsi="Arial" w:cs="Arial"/>
          <w:iCs/>
          <w:sz w:val="20"/>
          <w:szCs w:val="20"/>
        </w:rPr>
        <w:t xml:space="preserve">In Manipur, 120 medicinal plant species were recorded, predominantly from the families Asteraceae, </w:t>
      </w:r>
      <w:proofErr w:type="spellStart"/>
      <w:r w:rsidR="00785CE4" w:rsidRPr="00785CE4">
        <w:rPr>
          <w:rFonts w:ascii="Arial" w:hAnsi="Arial" w:cs="Arial"/>
          <w:iCs/>
          <w:sz w:val="20"/>
          <w:szCs w:val="20"/>
        </w:rPr>
        <w:t>Verbenaceae</w:t>
      </w:r>
      <w:proofErr w:type="spellEnd"/>
      <w:r w:rsidR="00785CE4" w:rsidRPr="00785CE4">
        <w:rPr>
          <w:rFonts w:ascii="Arial" w:hAnsi="Arial" w:cs="Arial"/>
          <w:iCs/>
          <w:sz w:val="20"/>
          <w:szCs w:val="20"/>
        </w:rPr>
        <w:t xml:space="preserve">, </w:t>
      </w:r>
      <w:proofErr w:type="spellStart"/>
      <w:r w:rsidR="00785CE4" w:rsidRPr="00785CE4">
        <w:rPr>
          <w:rFonts w:ascii="Arial" w:hAnsi="Arial" w:cs="Arial"/>
          <w:iCs/>
          <w:sz w:val="20"/>
          <w:szCs w:val="20"/>
        </w:rPr>
        <w:t>Moraceae</w:t>
      </w:r>
      <w:proofErr w:type="spellEnd"/>
      <w:r w:rsidR="00785CE4" w:rsidRPr="00785CE4">
        <w:rPr>
          <w:rFonts w:ascii="Arial" w:hAnsi="Arial" w:cs="Arial"/>
          <w:iCs/>
          <w:sz w:val="20"/>
          <w:szCs w:val="20"/>
        </w:rPr>
        <w:t xml:space="preserve">, Mimosaceae and </w:t>
      </w:r>
      <w:proofErr w:type="spellStart"/>
      <w:r w:rsidR="00785CE4" w:rsidRPr="00785CE4">
        <w:rPr>
          <w:rFonts w:ascii="Arial" w:hAnsi="Arial" w:cs="Arial"/>
          <w:iCs/>
          <w:sz w:val="20"/>
          <w:szCs w:val="20"/>
        </w:rPr>
        <w:t>Anacardiaceae</w:t>
      </w:r>
      <w:proofErr w:type="spellEnd"/>
      <w:r w:rsidR="00785CE4" w:rsidRPr="00785CE4">
        <w:rPr>
          <w:rFonts w:ascii="Arial" w:hAnsi="Arial" w:cs="Arial"/>
          <w:iCs/>
          <w:sz w:val="20"/>
          <w:szCs w:val="20"/>
        </w:rPr>
        <w:t xml:space="preserve"> (</w:t>
      </w:r>
      <w:proofErr w:type="spellStart"/>
      <w:r w:rsidR="00785CE4" w:rsidRPr="00785CE4">
        <w:rPr>
          <w:rFonts w:ascii="Arial" w:hAnsi="Arial" w:cs="Arial"/>
          <w:iCs/>
          <w:sz w:val="20"/>
          <w:szCs w:val="20"/>
        </w:rPr>
        <w:t>Khumbongmayum</w:t>
      </w:r>
      <w:proofErr w:type="spellEnd"/>
      <w:r w:rsidR="00785CE4" w:rsidRPr="00785CE4">
        <w:rPr>
          <w:rFonts w:ascii="Arial" w:hAnsi="Arial" w:cs="Arial"/>
          <w:iCs/>
          <w:sz w:val="20"/>
          <w:szCs w:val="20"/>
        </w:rPr>
        <w:t xml:space="preserve"> et al., 2005b). Among these, leaves were found to be the most commonly used plant part in traditional healing practices by </w:t>
      </w:r>
      <w:proofErr w:type="spellStart"/>
      <w:r w:rsidR="00785CE4" w:rsidRPr="00785CE4">
        <w:rPr>
          <w:rFonts w:ascii="Arial" w:hAnsi="Arial" w:cs="Arial"/>
          <w:iCs/>
          <w:sz w:val="20"/>
          <w:szCs w:val="20"/>
        </w:rPr>
        <w:t>Maibas</w:t>
      </w:r>
      <w:proofErr w:type="spellEnd"/>
      <w:r w:rsidR="00785CE4" w:rsidRPr="00785CE4">
        <w:rPr>
          <w:rFonts w:ascii="Arial" w:hAnsi="Arial" w:cs="Arial"/>
          <w:iCs/>
          <w:sz w:val="20"/>
          <w:szCs w:val="20"/>
        </w:rPr>
        <w:t xml:space="preserve"> and </w:t>
      </w:r>
      <w:proofErr w:type="spellStart"/>
      <w:r w:rsidR="00785CE4" w:rsidRPr="00785CE4">
        <w:rPr>
          <w:rFonts w:ascii="Arial" w:hAnsi="Arial" w:cs="Arial"/>
          <w:iCs/>
          <w:sz w:val="20"/>
          <w:szCs w:val="20"/>
        </w:rPr>
        <w:t>Maibis</w:t>
      </w:r>
      <w:proofErr w:type="spellEnd"/>
      <w:r w:rsidR="00785CE4" w:rsidRPr="00785CE4">
        <w:rPr>
          <w:rFonts w:ascii="Arial" w:hAnsi="Arial" w:cs="Arial"/>
          <w:iCs/>
          <w:sz w:val="20"/>
          <w:szCs w:val="20"/>
        </w:rPr>
        <w:t xml:space="preserve"> (traditional healers). </w:t>
      </w:r>
      <w:r w:rsidRPr="00FA5F9E">
        <w:rPr>
          <w:rFonts w:ascii="Arial" w:hAnsi="Arial" w:cs="Arial"/>
          <w:iCs/>
          <w:sz w:val="20"/>
          <w:szCs w:val="20"/>
        </w:rPr>
        <w:t>In Meghalaya, 80 ethnomedicinal species were recorded from the Khasi Hills and 25 from the Garo Hills (</w:t>
      </w:r>
      <w:proofErr w:type="spellStart"/>
      <w:r w:rsidRPr="00FA5F9E">
        <w:rPr>
          <w:rFonts w:ascii="Arial" w:hAnsi="Arial" w:cs="Arial"/>
          <w:iCs/>
          <w:sz w:val="20"/>
          <w:szCs w:val="20"/>
        </w:rPr>
        <w:t>Laloo</w:t>
      </w:r>
      <w:proofErr w:type="spellEnd"/>
      <w:r w:rsidRPr="00FA5F9E">
        <w:rPr>
          <w:rFonts w:ascii="Arial" w:hAnsi="Arial" w:cs="Arial"/>
          <w:iCs/>
          <w:sz w:val="20"/>
          <w:szCs w:val="20"/>
        </w:rPr>
        <w:t xml:space="preserve"> et al., 2006; </w:t>
      </w:r>
      <w:proofErr w:type="spellStart"/>
      <w:r w:rsidRPr="00FA5F9E">
        <w:rPr>
          <w:rFonts w:ascii="Arial" w:hAnsi="Arial" w:cs="Arial"/>
          <w:iCs/>
          <w:sz w:val="20"/>
          <w:szCs w:val="20"/>
        </w:rPr>
        <w:t>Mohanta</w:t>
      </w:r>
      <w:proofErr w:type="spellEnd"/>
      <w:r w:rsidRPr="00FA5F9E">
        <w:rPr>
          <w:rFonts w:ascii="Arial" w:hAnsi="Arial" w:cs="Arial"/>
          <w:iCs/>
          <w:sz w:val="20"/>
          <w:szCs w:val="20"/>
        </w:rPr>
        <w:t xml:space="preserve"> et al., 2009).</w:t>
      </w:r>
    </w:p>
    <w:p w14:paraId="6D7E08DF" w14:textId="72E743FA" w:rsidR="00FA5F9E" w:rsidRPr="00FA5F9E" w:rsidRDefault="00FA5F9E" w:rsidP="00E064AE">
      <w:pPr>
        <w:pStyle w:val="NormalWeb"/>
        <w:spacing w:after="0"/>
        <w:jc w:val="both"/>
        <w:rPr>
          <w:rFonts w:ascii="Arial" w:eastAsiaTheme="minorEastAsia" w:hAnsi="Arial" w:cs="Arial"/>
          <w:iCs/>
          <w:sz w:val="20"/>
          <w:szCs w:val="20"/>
          <w:lang w:val="en-US" w:eastAsia="en-US"/>
        </w:rPr>
      </w:pPr>
      <w:r w:rsidRPr="00FA5F9E">
        <w:rPr>
          <w:rFonts w:ascii="Arial" w:eastAsiaTheme="minorEastAsia" w:hAnsi="Arial" w:cs="Arial"/>
          <w:iCs/>
          <w:sz w:val="20"/>
          <w:szCs w:val="20"/>
          <w:lang w:val="en-US" w:eastAsia="en-US"/>
        </w:rPr>
        <w:t xml:space="preserve">Sacred groves represent an important in situ conservation strategy, safeguarding both biodiversity and cultural values ​​within the </w:t>
      </w:r>
      <w:proofErr w:type="spellStart"/>
      <w:r w:rsidRPr="00FA5F9E">
        <w:rPr>
          <w:rFonts w:ascii="Arial" w:eastAsiaTheme="minorEastAsia" w:hAnsi="Arial" w:cs="Arial"/>
          <w:iCs/>
          <w:sz w:val="20"/>
          <w:szCs w:val="20"/>
          <w:lang w:val="en-US" w:eastAsia="en-US"/>
        </w:rPr>
        <w:t>religio</w:t>
      </w:r>
      <w:proofErr w:type="spellEnd"/>
      <w:r w:rsidRPr="00FA5F9E">
        <w:rPr>
          <w:rFonts w:ascii="Arial" w:eastAsiaTheme="minorEastAsia" w:hAnsi="Arial" w:cs="Arial"/>
          <w:iCs/>
          <w:sz w:val="20"/>
          <w:szCs w:val="20"/>
          <w:lang w:val="en-US" w:eastAsia="en-US"/>
        </w:rPr>
        <w:t>-cultural frameworks of indigenous communities. However, these groves are increasingly threatened by anthropogenic pressures, including timber extraction, hunting, and resource exploitation driven by economic and commercial demands. Additionally, the rituals and cultural traditions associated with sacred groves are gradually eroding as communities shift from subsistence-based to urbanized and market-oriented economies.</w:t>
      </w:r>
    </w:p>
    <w:p w14:paraId="09F26298" w14:textId="17273DF0" w:rsidR="00E719F0" w:rsidRDefault="00FA5F9E" w:rsidP="00E064AE">
      <w:pPr>
        <w:pStyle w:val="NormalWeb"/>
        <w:spacing w:before="0" w:beforeAutospacing="0" w:after="0" w:afterAutospacing="0"/>
        <w:jc w:val="both"/>
        <w:rPr>
          <w:rFonts w:ascii="Arial" w:eastAsiaTheme="minorEastAsia" w:hAnsi="Arial" w:cs="Arial"/>
          <w:iCs/>
          <w:sz w:val="20"/>
          <w:szCs w:val="20"/>
          <w:lang w:val="en-US" w:eastAsia="en-US"/>
        </w:rPr>
      </w:pPr>
      <w:r w:rsidRPr="00FA5F9E">
        <w:rPr>
          <w:rFonts w:ascii="Arial" w:eastAsiaTheme="minorEastAsia" w:hAnsi="Arial" w:cs="Arial"/>
          <w:iCs/>
          <w:sz w:val="20"/>
          <w:szCs w:val="20"/>
          <w:lang w:val="en-US" w:eastAsia="en-US"/>
        </w:rPr>
        <w:t>Addressing these challenges necessitates socio-ecological system–specific approaches to the protection and management of sacred groves across all eight northeastern states. Such strategies are vital for maintaining both the ecological integrity and the cultural heritage embedded within these traditional conservation spaces.</w:t>
      </w:r>
    </w:p>
    <w:p w14:paraId="5F12E4FA" w14:textId="77777777" w:rsidR="00FA5F9E" w:rsidRPr="0020269D" w:rsidRDefault="00FA5F9E" w:rsidP="00E064AE">
      <w:pPr>
        <w:pStyle w:val="NormalWeb"/>
        <w:spacing w:before="0" w:beforeAutospacing="0" w:after="0" w:afterAutospacing="0"/>
        <w:jc w:val="both"/>
        <w:rPr>
          <w:rStyle w:val="Strong"/>
          <w:rFonts w:ascii="Arial" w:hAnsi="Arial" w:cs="Arial"/>
          <w:sz w:val="22"/>
          <w:szCs w:val="22"/>
        </w:rPr>
      </w:pPr>
    </w:p>
    <w:p w14:paraId="32BD25C7" w14:textId="49711598" w:rsidR="00576B26" w:rsidRDefault="00576B26" w:rsidP="00E064AE">
      <w:pPr>
        <w:pStyle w:val="NormalWeb"/>
        <w:spacing w:before="0" w:beforeAutospacing="0" w:after="0" w:afterAutospacing="0"/>
        <w:jc w:val="both"/>
        <w:rPr>
          <w:rStyle w:val="Strong"/>
          <w:rFonts w:ascii="Arial" w:hAnsi="Arial" w:cs="Arial"/>
          <w:sz w:val="22"/>
          <w:szCs w:val="22"/>
        </w:rPr>
      </w:pPr>
      <w:r w:rsidRPr="0020269D">
        <w:rPr>
          <w:rStyle w:val="Strong"/>
          <w:rFonts w:ascii="Arial" w:hAnsi="Arial" w:cs="Arial"/>
          <w:sz w:val="22"/>
          <w:szCs w:val="22"/>
        </w:rPr>
        <w:t>Village Community Forests</w:t>
      </w:r>
    </w:p>
    <w:p w14:paraId="3E57D94D" w14:textId="77777777" w:rsidR="00DE3E35" w:rsidRPr="0020269D" w:rsidRDefault="00DE3E35" w:rsidP="00E064AE">
      <w:pPr>
        <w:pStyle w:val="NormalWeb"/>
        <w:spacing w:before="0" w:beforeAutospacing="0" w:after="0" w:afterAutospacing="0"/>
        <w:jc w:val="both"/>
        <w:rPr>
          <w:rFonts w:ascii="Arial" w:hAnsi="Arial" w:cs="Arial"/>
          <w:sz w:val="22"/>
          <w:szCs w:val="22"/>
        </w:rPr>
      </w:pPr>
    </w:p>
    <w:p w14:paraId="1D5F24DA" w14:textId="77777777" w:rsidR="001E42C4" w:rsidRDefault="001F6527" w:rsidP="00E064AE">
      <w:pPr>
        <w:pStyle w:val="NormalWeb"/>
        <w:spacing w:before="0" w:beforeAutospacing="0" w:after="0" w:afterAutospacing="0"/>
        <w:jc w:val="both"/>
        <w:rPr>
          <w:rFonts w:ascii="Arial" w:hAnsi="Arial" w:cs="Arial"/>
          <w:sz w:val="20"/>
          <w:szCs w:val="20"/>
        </w:rPr>
      </w:pPr>
      <w:r w:rsidRPr="001F6527">
        <w:rPr>
          <w:rFonts w:ascii="Arial" w:hAnsi="Arial" w:cs="Arial"/>
          <w:sz w:val="20"/>
          <w:szCs w:val="20"/>
          <w:lang w:val="en-US"/>
        </w:rPr>
        <w:t>Village community forests are fragmented patches of natural forests that are conserved, protected, and collectively managed by local communities in rural areas to meet ecological and livelihood needs.</w:t>
      </w:r>
      <w:r w:rsidR="00576B26" w:rsidRPr="0020269D">
        <w:rPr>
          <w:rFonts w:ascii="Arial" w:hAnsi="Arial" w:cs="Arial"/>
          <w:sz w:val="20"/>
          <w:szCs w:val="20"/>
        </w:rPr>
        <w:t>These forests have been referred to by various names in literature, including ‘community forests’ (Tiwari et al., 2013), ‘patch vegetations’ (Dutta et al., 2017a), ‘village forests’, ‘family forests’ (Nath et al., 2018), ‘bamboo forests’ (Nath et al., 2018</w:t>
      </w:r>
      <w:r w:rsidR="001E42C4">
        <w:rPr>
          <w:rFonts w:ascii="Arial" w:hAnsi="Arial" w:cs="Arial"/>
          <w:sz w:val="20"/>
          <w:szCs w:val="20"/>
        </w:rPr>
        <w:t>)</w:t>
      </w:r>
      <w:r w:rsidR="00576B26" w:rsidRPr="0020269D">
        <w:rPr>
          <w:rFonts w:ascii="Arial" w:hAnsi="Arial" w:cs="Arial"/>
          <w:sz w:val="20"/>
          <w:szCs w:val="20"/>
        </w:rPr>
        <w:t xml:space="preserve"> and ‘floodplain forests’ (Nath et al., 2017). In Assam</w:t>
      </w:r>
      <w:r w:rsidR="001E42C4">
        <w:rPr>
          <w:rFonts w:ascii="Arial" w:hAnsi="Arial" w:cs="Arial"/>
          <w:sz w:val="20"/>
          <w:szCs w:val="20"/>
        </w:rPr>
        <w:t xml:space="preserve"> (Figure 3)</w:t>
      </w:r>
      <w:r w:rsidR="00576B26" w:rsidRPr="0020269D">
        <w:rPr>
          <w:rFonts w:ascii="Arial" w:hAnsi="Arial" w:cs="Arial"/>
          <w:sz w:val="20"/>
          <w:szCs w:val="20"/>
        </w:rPr>
        <w:t xml:space="preserve">, they are locally known as </w:t>
      </w:r>
      <w:proofErr w:type="spellStart"/>
      <w:r w:rsidR="00576B26" w:rsidRPr="0020269D">
        <w:rPr>
          <w:rStyle w:val="Emphasis"/>
          <w:rFonts w:ascii="Arial" w:eastAsiaTheme="minorHAnsi" w:hAnsi="Arial" w:cs="Arial"/>
          <w:sz w:val="20"/>
          <w:szCs w:val="20"/>
        </w:rPr>
        <w:t>Kathonibari</w:t>
      </w:r>
      <w:proofErr w:type="spellEnd"/>
      <w:r w:rsidR="00576B26" w:rsidRPr="0020269D">
        <w:rPr>
          <w:rFonts w:ascii="Arial" w:hAnsi="Arial" w:cs="Arial"/>
          <w:sz w:val="20"/>
          <w:szCs w:val="20"/>
        </w:rPr>
        <w:t xml:space="preserve"> (Dutta et al., 2017a).</w:t>
      </w:r>
    </w:p>
    <w:p w14:paraId="661585B3" w14:textId="77777777" w:rsidR="001E42C4" w:rsidRDefault="001E42C4" w:rsidP="001E42C4">
      <w:pPr>
        <w:pStyle w:val="NormalWeb"/>
        <w:spacing w:before="0" w:beforeAutospacing="0" w:after="0" w:afterAutospacing="0" w:line="360" w:lineRule="auto"/>
        <w:jc w:val="both"/>
        <w:rPr>
          <w:rFonts w:ascii="Arial" w:hAnsi="Arial" w:cs="Arial"/>
          <w:sz w:val="20"/>
          <w:szCs w:val="20"/>
        </w:rPr>
      </w:pPr>
    </w:p>
    <w:p w14:paraId="62B7214E" w14:textId="77777777" w:rsidR="001E42C4" w:rsidRDefault="00504757" w:rsidP="00B93282">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lang w:val="en-US" w:eastAsia="en-US"/>
        </w:rPr>
        <w:drawing>
          <wp:inline distT="0" distB="0" distL="0" distR="0" wp14:anchorId="324FA029" wp14:editId="6FEBDBB9">
            <wp:extent cx="4800600" cy="3319272"/>
            <wp:effectExtent l="0" t="0" r="0" b="0"/>
            <wp:docPr id="2" name="Picture 2" descr="H:\PV, Dibruga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V, Dibrugarh.png"/>
                    <pic:cNvPicPr>
                      <a:picLocks noChangeAspect="1" noChangeArrowheads="1"/>
                    </pic:cNvPicPr>
                  </pic:nvPicPr>
                  <pic:blipFill>
                    <a:blip r:embed="rId10"/>
                    <a:srcRect t="2199" b="29242"/>
                    <a:stretch>
                      <a:fillRect/>
                    </a:stretch>
                  </pic:blipFill>
                  <pic:spPr bwMode="auto">
                    <a:xfrm>
                      <a:off x="0" y="0"/>
                      <a:ext cx="4800600" cy="3319272"/>
                    </a:xfrm>
                    <a:prstGeom prst="rect">
                      <a:avLst/>
                    </a:prstGeom>
                    <a:noFill/>
                    <a:ln w="9525">
                      <a:noFill/>
                      <a:miter lim="800000"/>
                      <a:headEnd/>
                      <a:tailEnd/>
                    </a:ln>
                  </pic:spPr>
                </pic:pic>
              </a:graphicData>
            </a:graphic>
          </wp:inline>
        </w:drawing>
      </w:r>
    </w:p>
    <w:p w14:paraId="2685A227" w14:textId="77777777" w:rsidR="00B93282" w:rsidRPr="00DA6368" w:rsidRDefault="00B93282" w:rsidP="00B93282">
      <w:pPr>
        <w:spacing w:after="0" w:line="360" w:lineRule="auto"/>
        <w:jc w:val="center"/>
        <w:rPr>
          <w:rFonts w:ascii="Arial" w:hAnsi="Arial" w:cs="Arial"/>
          <w:sz w:val="20"/>
          <w:szCs w:val="20"/>
        </w:rPr>
      </w:pPr>
      <w:r w:rsidRPr="00DA6368">
        <w:rPr>
          <w:rFonts w:ascii="Arial" w:hAnsi="Arial" w:cs="Arial"/>
          <w:b/>
          <w:iCs/>
          <w:sz w:val="20"/>
          <w:szCs w:val="20"/>
          <w:lang w:val="en-IN"/>
        </w:rPr>
        <w:t>Figure 3:</w:t>
      </w:r>
      <w:r w:rsidRPr="00DA6368">
        <w:rPr>
          <w:rFonts w:ascii="Arial" w:hAnsi="Arial" w:cs="Arial"/>
          <w:bCs/>
          <w:iCs/>
          <w:sz w:val="20"/>
          <w:szCs w:val="20"/>
          <w:lang w:val="en-IN"/>
        </w:rPr>
        <w:t xml:space="preserve"> Patch vegetation in Assam (Dibrugarh </w:t>
      </w:r>
      <w:r w:rsidRPr="00DA6368">
        <w:rPr>
          <w:rFonts w:ascii="Arial" w:hAnsi="Arial" w:cs="Arial"/>
          <w:sz w:val="20"/>
          <w:szCs w:val="20"/>
        </w:rPr>
        <w:t>district)</w:t>
      </w:r>
    </w:p>
    <w:p w14:paraId="2C4E5888" w14:textId="77777777" w:rsidR="00DA6368" w:rsidRDefault="00DA6368" w:rsidP="00B93282">
      <w:pPr>
        <w:spacing w:after="0" w:line="360" w:lineRule="auto"/>
        <w:jc w:val="both"/>
        <w:rPr>
          <w:rFonts w:ascii="Arial" w:hAnsi="Arial" w:cs="Arial"/>
          <w:sz w:val="20"/>
          <w:szCs w:val="20"/>
        </w:rPr>
      </w:pPr>
    </w:p>
    <w:p w14:paraId="6FAA6C76" w14:textId="547875DC" w:rsidR="00576B26" w:rsidRPr="00B93282" w:rsidRDefault="00576B26" w:rsidP="00E064AE">
      <w:pPr>
        <w:spacing w:after="0" w:line="240" w:lineRule="auto"/>
        <w:jc w:val="both"/>
        <w:rPr>
          <w:rFonts w:ascii="Arial" w:hAnsi="Arial" w:cs="Arial"/>
          <w:sz w:val="18"/>
          <w:szCs w:val="18"/>
        </w:rPr>
      </w:pPr>
      <w:r w:rsidRPr="0020269D">
        <w:rPr>
          <w:rFonts w:ascii="Arial" w:hAnsi="Arial" w:cs="Arial"/>
          <w:sz w:val="20"/>
          <w:szCs w:val="20"/>
        </w:rPr>
        <w:t xml:space="preserve">In Jorhat district of Assam, a total of 432 plant species were recorded in these forests, including notable species such as </w:t>
      </w:r>
      <w:r w:rsidRPr="0020269D">
        <w:rPr>
          <w:rStyle w:val="Emphasis"/>
          <w:rFonts w:ascii="Arial" w:eastAsiaTheme="minorHAnsi" w:hAnsi="Arial" w:cs="Arial"/>
          <w:sz w:val="20"/>
          <w:szCs w:val="20"/>
        </w:rPr>
        <w:t xml:space="preserve">Terminalia </w:t>
      </w:r>
      <w:proofErr w:type="spellStart"/>
      <w:r w:rsidRPr="0020269D">
        <w:rPr>
          <w:rStyle w:val="Emphasis"/>
          <w:rFonts w:ascii="Arial" w:eastAsiaTheme="minorHAnsi" w:hAnsi="Arial" w:cs="Arial"/>
          <w:sz w:val="20"/>
          <w:szCs w:val="20"/>
        </w:rPr>
        <w:t>myriocarpa</w:t>
      </w:r>
      <w:proofErr w:type="spellEnd"/>
      <w:r w:rsidRPr="0020269D">
        <w:rPr>
          <w:rFonts w:ascii="Arial" w:hAnsi="Arial" w:cs="Arial"/>
          <w:sz w:val="20"/>
          <w:szCs w:val="20"/>
        </w:rPr>
        <w:t xml:space="preserve">, </w:t>
      </w:r>
      <w:r w:rsidR="005D6360">
        <w:rPr>
          <w:rStyle w:val="Emphasis"/>
          <w:rFonts w:ascii="Arial" w:eastAsiaTheme="minorHAnsi" w:hAnsi="Arial" w:cs="Arial"/>
          <w:sz w:val="20"/>
          <w:szCs w:val="20"/>
        </w:rPr>
        <w:t>Aquil</w:t>
      </w:r>
      <w:r w:rsidRPr="0020269D">
        <w:rPr>
          <w:rStyle w:val="Emphasis"/>
          <w:rFonts w:ascii="Arial" w:eastAsiaTheme="minorHAnsi" w:hAnsi="Arial" w:cs="Arial"/>
          <w:sz w:val="20"/>
          <w:szCs w:val="20"/>
        </w:rPr>
        <w:t xml:space="preserve">aria </w:t>
      </w:r>
      <w:proofErr w:type="spellStart"/>
      <w:r w:rsidRPr="0020269D">
        <w:rPr>
          <w:rStyle w:val="Emphasis"/>
          <w:rFonts w:ascii="Arial" w:eastAsiaTheme="minorHAnsi" w:hAnsi="Arial" w:cs="Arial"/>
          <w:sz w:val="20"/>
          <w:szCs w:val="20"/>
        </w:rPr>
        <w:t>malaccensis</w:t>
      </w:r>
      <w:proofErr w:type="spellEnd"/>
      <w:r w:rsidRPr="0020269D">
        <w:rPr>
          <w:rFonts w:ascii="Arial" w:hAnsi="Arial" w:cs="Arial"/>
          <w:sz w:val="20"/>
          <w:szCs w:val="20"/>
        </w:rPr>
        <w:t xml:space="preserve">, </w:t>
      </w:r>
      <w:proofErr w:type="spellStart"/>
      <w:r w:rsidRPr="0020269D">
        <w:rPr>
          <w:rStyle w:val="Emphasis"/>
          <w:rFonts w:ascii="Arial" w:eastAsiaTheme="minorHAnsi" w:hAnsi="Arial" w:cs="Arial"/>
          <w:sz w:val="20"/>
          <w:szCs w:val="20"/>
        </w:rPr>
        <w:t>Dillenia</w:t>
      </w:r>
      <w:proofErr w:type="spellEnd"/>
      <w:r w:rsidRPr="0020269D">
        <w:rPr>
          <w:rStyle w:val="Emphasis"/>
          <w:rFonts w:ascii="Arial" w:eastAsiaTheme="minorHAnsi" w:hAnsi="Arial" w:cs="Arial"/>
          <w:sz w:val="20"/>
          <w:szCs w:val="20"/>
        </w:rPr>
        <w:t xml:space="preserve"> </w:t>
      </w:r>
      <w:proofErr w:type="spellStart"/>
      <w:r w:rsidRPr="0020269D">
        <w:rPr>
          <w:rStyle w:val="Emphasis"/>
          <w:rFonts w:ascii="Arial" w:eastAsiaTheme="minorHAnsi" w:hAnsi="Arial" w:cs="Arial"/>
          <w:sz w:val="20"/>
          <w:szCs w:val="20"/>
        </w:rPr>
        <w:t>indica</w:t>
      </w:r>
      <w:proofErr w:type="spellEnd"/>
      <w:r w:rsidR="001E42C4">
        <w:rPr>
          <w:rFonts w:ascii="Arial" w:hAnsi="Arial" w:cs="Arial"/>
          <w:sz w:val="20"/>
          <w:szCs w:val="20"/>
        </w:rPr>
        <w:t xml:space="preserve"> </w:t>
      </w:r>
      <w:r w:rsidRPr="0020269D">
        <w:rPr>
          <w:rFonts w:ascii="Arial" w:hAnsi="Arial" w:cs="Arial"/>
          <w:sz w:val="20"/>
          <w:szCs w:val="20"/>
        </w:rPr>
        <w:t xml:space="preserve">and various bamboo species (Dutta, 2013). The biomass carbon stock in bamboo-dominated </w:t>
      </w:r>
      <w:r w:rsidR="00334EF9" w:rsidRPr="0020269D">
        <w:rPr>
          <w:rFonts w:ascii="Arial" w:hAnsi="Arial" w:cs="Arial"/>
          <w:sz w:val="20"/>
          <w:szCs w:val="20"/>
        </w:rPr>
        <w:t xml:space="preserve">patches </w:t>
      </w:r>
      <w:r w:rsidRPr="0020269D">
        <w:rPr>
          <w:rFonts w:ascii="Arial" w:hAnsi="Arial" w:cs="Arial"/>
          <w:sz w:val="20"/>
          <w:szCs w:val="20"/>
        </w:rPr>
        <w:t>of Barak Valley, Assam, was estimated to range between 16.38 to 38.42 Mg ha</w:t>
      </w:r>
      <w:r w:rsidRPr="0020269D">
        <w:rPr>
          <w:rFonts w:cs="Arial"/>
          <w:sz w:val="20"/>
          <w:szCs w:val="20"/>
        </w:rPr>
        <w:t>⁻</w:t>
      </w:r>
      <w:r w:rsidRPr="0020269D">
        <w:rPr>
          <w:rFonts w:ascii="Arial" w:hAnsi="Arial" w:cs="Arial"/>
          <w:sz w:val="20"/>
          <w:szCs w:val="20"/>
        </w:rPr>
        <w:t xml:space="preserve">¹ (Nath et al., 2018). These bamboo </w:t>
      </w:r>
      <w:r w:rsidR="00751848" w:rsidRPr="0020269D">
        <w:rPr>
          <w:rFonts w:ascii="Arial" w:hAnsi="Arial" w:cs="Arial"/>
          <w:sz w:val="20"/>
          <w:szCs w:val="20"/>
        </w:rPr>
        <w:t>patche</w:t>
      </w:r>
      <w:r w:rsidRPr="0020269D">
        <w:rPr>
          <w:rFonts w:ascii="Arial" w:hAnsi="Arial" w:cs="Arial"/>
          <w:sz w:val="20"/>
          <w:szCs w:val="20"/>
        </w:rPr>
        <w:t>s are traditionally managed by local communities due to their socio-economic significance in biomass production and their co-benefits for climate change mitigation (Nath et al., 2018).</w:t>
      </w:r>
    </w:p>
    <w:p w14:paraId="780FD0D7" w14:textId="77777777" w:rsidR="00226CEA" w:rsidRDefault="00226CEA" w:rsidP="00E064AE">
      <w:pPr>
        <w:pStyle w:val="NormalWeb"/>
        <w:spacing w:before="0" w:beforeAutospacing="0" w:after="0" w:afterAutospacing="0"/>
        <w:jc w:val="both"/>
        <w:rPr>
          <w:rFonts w:ascii="Arial" w:hAnsi="Arial" w:cs="Arial"/>
          <w:sz w:val="20"/>
          <w:szCs w:val="20"/>
        </w:rPr>
      </w:pPr>
    </w:p>
    <w:p w14:paraId="11CBD08E" w14:textId="77777777" w:rsidR="00576B26" w:rsidRPr="0020269D" w:rsidRDefault="00576B26" w:rsidP="00E064AE">
      <w:pPr>
        <w:pStyle w:val="NormalWeb"/>
        <w:spacing w:before="0" w:beforeAutospacing="0" w:after="0" w:afterAutospacing="0"/>
        <w:jc w:val="both"/>
        <w:rPr>
          <w:rFonts w:ascii="Arial" w:hAnsi="Arial" w:cs="Arial"/>
          <w:sz w:val="20"/>
          <w:szCs w:val="20"/>
        </w:rPr>
      </w:pPr>
      <w:r w:rsidRPr="0020269D">
        <w:rPr>
          <w:rFonts w:ascii="Arial" w:hAnsi="Arial" w:cs="Arial"/>
          <w:sz w:val="20"/>
          <w:szCs w:val="20"/>
        </w:rPr>
        <w:t>In Meghalaya, community forests have been effectively protected through traditional management systems, supported by hierarchical institutional arrangements within local tribal societies.</w:t>
      </w:r>
      <w:r w:rsidR="00751848" w:rsidRPr="0020269D">
        <w:rPr>
          <w:rFonts w:ascii="Arial" w:hAnsi="Arial" w:cs="Arial"/>
          <w:sz w:val="20"/>
          <w:szCs w:val="20"/>
        </w:rPr>
        <w:t xml:space="preserve"> However</w:t>
      </w:r>
      <w:r w:rsidRPr="0020269D">
        <w:rPr>
          <w:rFonts w:ascii="Arial" w:hAnsi="Arial" w:cs="Arial"/>
          <w:sz w:val="20"/>
          <w:szCs w:val="20"/>
        </w:rPr>
        <w:t>, in Mizoram, traditional institutions have largely been replaced by modern governance structures (Tiwari et al., 2013).</w:t>
      </w:r>
    </w:p>
    <w:p w14:paraId="530C8238" w14:textId="77777777" w:rsidR="00226CEA" w:rsidRDefault="00226CEA" w:rsidP="00E064AE">
      <w:pPr>
        <w:pStyle w:val="NormalWeb"/>
        <w:spacing w:before="0" w:beforeAutospacing="0" w:after="0" w:afterAutospacing="0"/>
        <w:jc w:val="both"/>
        <w:rPr>
          <w:rFonts w:ascii="Arial" w:hAnsi="Arial" w:cs="Arial"/>
          <w:sz w:val="20"/>
          <w:szCs w:val="20"/>
        </w:rPr>
      </w:pPr>
    </w:p>
    <w:p w14:paraId="21EC85BF" w14:textId="1D721DE8" w:rsidR="00560D65" w:rsidRPr="0020269D" w:rsidRDefault="00F2598A" w:rsidP="00E064AE">
      <w:pPr>
        <w:pStyle w:val="NormalWeb"/>
        <w:spacing w:before="0" w:beforeAutospacing="0" w:after="0" w:afterAutospacing="0"/>
        <w:jc w:val="both"/>
        <w:rPr>
          <w:rFonts w:ascii="Arial" w:hAnsi="Arial" w:cs="Arial"/>
          <w:sz w:val="20"/>
          <w:szCs w:val="20"/>
        </w:rPr>
      </w:pPr>
      <w:r w:rsidRPr="00F2598A">
        <w:rPr>
          <w:rFonts w:ascii="Arial" w:hAnsi="Arial" w:cs="Arial"/>
          <w:sz w:val="20"/>
          <w:szCs w:val="20"/>
        </w:rPr>
        <w:t>Additionally, community patch vegetation in Upper Assam, particularly around Jorhat, are noted for their rich ethnomedicinal diversity.</w:t>
      </w:r>
      <w:r>
        <w:rPr>
          <w:rFonts w:ascii="Arial" w:hAnsi="Arial" w:cs="Arial"/>
          <w:sz w:val="20"/>
          <w:szCs w:val="20"/>
        </w:rPr>
        <w:t xml:space="preserve"> </w:t>
      </w:r>
      <w:r w:rsidR="00576B26" w:rsidRPr="0020269D">
        <w:rPr>
          <w:rFonts w:ascii="Arial" w:hAnsi="Arial" w:cs="Arial"/>
          <w:sz w:val="20"/>
          <w:szCs w:val="20"/>
        </w:rPr>
        <w:t>About 84 medicinal plant species with preventive and curative properties</w:t>
      </w:r>
      <w:r w:rsidR="001F6527">
        <w:rPr>
          <w:rFonts w:ascii="Arial" w:hAnsi="Arial" w:cs="Arial"/>
          <w:sz w:val="20"/>
          <w:szCs w:val="20"/>
        </w:rPr>
        <w:t xml:space="preserve"> - </w:t>
      </w:r>
      <w:r w:rsidR="00576B26" w:rsidRPr="0020269D">
        <w:rPr>
          <w:rFonts w:ascii="Arial" w:hAnsi="Arial" w:cs="Arial"/>
          <w:sz w:val="20"/>
          <w:szCs w:val="20"/>
        </w:rPr>
        <w:t xml:space="preserve">including </w:t>
      </w:r>
      <w:proofErr w:type="spellStart"/>
      <w:r w:rsidR="00576B26" w:rsidRPr="0020269D">
        <w:rPr>
          <w:rStyle w:val="Emphasis"/>
          <w:rFonts w:ascii="Arial" w:eastAsiaTheme="minorHAnsi" w:hAnsi="Arial" w:cs="Arial"/>
          <w:sz w:val="20"/>
          <w:szCs w:val="20"/>
        </w:rPr>
        <w:t>Albizia</w:t>
      </w:r>
      <w:proofErr w:type="spellEnd"/>
      <w:r w:rsidR="00576B26" w:rsidRPr="0020269D">
        <w:rPr>
          <w:rStyle w:val="Emphasis"/>
          <w:rFonts w:ascii="Arial" w:eastAsiaTheme="minorHAnsi" w:hAnsi="Arial" w:cs="Arial"/>
          <w:sz w:val="20"/>
          <w:szCs w:val="20"/>
        </w:rPr>
        <w:t xml:space="preserve"> </w:t>
      </w:r>
      <w:proofErr w:type="spellStart"/>
      <w:r w:rsidR="00576B26" w:rsidRPr="0020269D">
        <w:rPr>
          <w:rStyle w:val="Emphasis"/>
          <w:rFonts w:ascii="Arial" w:eastAsiaTheme="minorHAnsi" w:hAnsi="Arial" w:cs="Arial"/>
          <w:sz w:val="20"/>
          <w:szCs w:val="20"/>
        </w:rPr>
        <w:t>lebbeck</w:t>
      </w:r>
      <w:proofErr w:type="spellEnd"/>
      <w:r w:rsidR="00576B26" w:rsidRPr="0020269D">
        <w:rPr>
          <w:rFonts w:ascii="Arial" w:hAnsi="Arial" w:cs="Arial"/>
          <w:sz w:val="20"/>
          <w:szCs w:val="20"/>
        </w:rPr>
        <w:t xml:space="preserve">, </w:t>
      </w:r>
      <w:proofErr w:type="spellStart"/>
      <w:r w:rsidR="00576B26" w:rsidRPr="0020269D">
        <w:rPr>
          <w:rStyle w:val="Emphasis"/>
          <w:rFonts w:ascii="Arial" w:eastAsiaTheme="minorHAnsi" w:hAnsi="Arial" w:cs="Arial"/>
          <w:sz w:val="20"/>
          <w:szCs w:val="20"/>
        </w:rPr>
        <w:t>Alstonia</w:t>
      </w:r>
      <w:proofErr w:type="spellEnd"/>
      <w:r w:rsidR="00EB565B">
        <w:rPr>
          <w:rStyle w:val="Emphasis"/>
          <w:rFonts w:ascii="Arial" w:eastAsiaTheme="minorHAnsi" w:hAnsi="Arial" w:cs="Arial"/>
          <w:sz w:val="20"/>
          <w:szCs w:val="20"/>
        </w:rPr>
        <w:t xml:space="preserve"> </w:t>
      </w:r>
      <w:proofErr w:type="spellStart"/>
      <w:r w:rsidR="00576B26" w:rsidRPr="0020269D">
        <w:rPr>
          <w:rStyle w:val="Emphasis"/>
          <w:rFonts w:ascii="Arial" w:eastAsiaTheme="minorHAnsi" w:hAnsi="Arial" w:cs="Arial"/>
          <w:sz w:val="20"/>
          <w:szCs w:val="20"/>
        </w:rPr>
        <w:t>scholaris</w:t>
      </w:r>
      <w:proofErr w:type="spellEnd"/>
      <w:r w:rsidR="00576B26" w:rsidRPr="0020269D">
        <w:rPr>
          <w:rFonts w:ascii="Arial" w:hAnsi="Arial" w:cs="Arial"/>
          <w:sz w:val="20"/>
          <w:szCs w:val="20"/>
        </w:rPr>
        <w:t xml:space="preserve">, </w:t>
      </w:r>
      <w:r w:rsidR="00576B26" w:rsidRPr="0020269D">
        <w:rPr>
          <w:rStyle w:val="Emphasis"/>
          <w:rFonts w:ascii="Arial" w:eastAsiaTheme="minorHAnsi" w:hAnsi="Arial" w:cs="Arial"/>
          <w:sz w:val="20"/>
          <w:szCs w:val="20"/>
        </w:rPr>
        <w:t xml:space="preserve">Aquilaria </w:t>
      </w:r>
      <w:proofErr w:type="spellStart"/>
      <w:r w:rsidR="00576B26" w:rsidRPr="0020269D">
        <w:rPr>
          <w:rStyle w:val="Emphasis"/>
          <w:rFonts w:ascii="Arial" w:eastAsiaTheme="minorHAnsi" w:hAnsi="Arial" w:cs="Arial"/>
          <w:sz w:val="20"/>
          <w:szCs w:val="20"/>
        </w:rPr>
        <w:t>malaccensis</w:t>
      </w:r>
      <w:proofErr w:type="spellEnd"/>
      <w:r w:rsidR="00576B26" w:rsidRPr="0020269D">
        <w:rPr>
          <w:rFonts w:ascii="Arial" w:hAnsi="Arial" w:cs="Arial"/>
          <w:sz w:val="20"/>
          <w:szCs w:val="20"/>
        </w:rPr>
        <w:t xml:space="preserve">, and </w:t>
      </w:r>
      <w:proofErr w:type="spellStart"/>
      <w:r w:rsidR="00576B26" w:rsidRPr="0020269D">
        <w:rPr>
          <w:rStyle w:val="Emphasis"/>
          <w:rFonts w:ascii="Arial" w:eastAsiaTheme="minorHAnsi" w:hAnsi="Arial" w:cs="Arial"/>
          <w:sz w:val="20"/>
          <w:szCs w:val="20"/>
        </w:rPr>
        <w:t>Paedaria</w:t>
      </w:r>
      <w:proofErr w:type="spellEnd"/>
      <w:r w:rsidR="00EB565B">
        <w:rPr>
          <w:rStyle w:val="Emphasis"/>
          <w:rFonts w:ascii="Arial" w:eastAsiaTheme="minorHAnsi" w:hAnsi="Arial" w:cs="Arial"/>
          <w:sz w:val="20"/>
          <w:szCs w:val="20"/>
        </w:rPr>
        <w:t xml:space="preserve"> </w:t>
      </w:r>
      <w:proofErr w:type="spellStart"/>
      <w:r w:rsidR="00576B26" w:rsidRPr="0020269D">
        <w:rPr>
          <w:rStyle w:val="Emphasis"/>
          <w:rFonts w:ascii="Arial" w:eastAsiaTheme="minorHAnsi" w:hAnsi="Arial" w:cs="Arial"/>
          <w:sz w:val="20"/>
          <w:szCs w:val="20"/>
        </w:rPr>
        <w:t>foetida</w:t>
      </w:r>
      <w:proofErr w:type="spellEnd"/>
      <w:r w:rsidR="001F6527">
        <w:rPr>
          <w:rStyle w:val="Emphasis"/>
          <w:rFonts w:ascii="Arial" w:eastAsiaTheme="minorHAnsi" w:hAnsi="Arial" w:cs="Arial"/>
          <w:sz w:val="20"/>
          <w:szCs w:val="20"/>
        </w:rPr>
        <w:t xml:space="preserve"> - </w:t>
      </w:r>
      <w:r w:rsidR="00576B26" w:rsidRPr="0020269D">
        <w:rPr>
          <w:rFonts w:ascii="Arial" w:hAnsi="Arial" w:cs="Arial"/>
          <w:sz w:val="20"/>
          <w:szCs w:val="20"/>
        </w:rPr>
        <w:t>were recorded in forest patches (Dutta, 2013). These systems also contribute to rural livelihoods, with an average annual income of ₹16,411 generated from the sale of fuelwood, bamboo, and cane (Dutta, 2013).</w:t>
      </w:r>
    </w:p>
    <w:p w14:paraId="09D3BD57" w14:textId="77777777" w:rsidR="00D353EE" w:rsidRDefault="00D353EE" w:rsidP="00E719F0">
      <w:pPr>
        <w:pStyle w:val="NormalWeb"/>
        <w:spacing w:before="0" w:beforeAutospacing="0" w:after="0" w:afterAutospacing="0" w:line="360" w:lineRule="auto"/>
        <w:ind w:firstLine="720"/>
        <w:jc w:val="both"/>
        <w:rPr>
          <w:rFonts w:ascii="Arial" w:hAnsi="Arial" w:cs="Arial"/>
          <w:sz w:val="20"/>
          <w:szCs w:val="20"/>
        </w:rPr>
      </w:pPr>
    </w:p>
    <w:p w14:paraId="1B137AFD" w14:textId="77777777" w:rsidR="00226CEA" w:rsidRPr="00EA7007" w:rsidRDefault="00226CEA" w:rsidP="00E719F0">
      <w:pPr>
        <w:pStyle w:val="NormalWeb"/>
        <w:spacing w:before="0" w:beforeAutospacing="0" w:after="0" w:afterAutospacing="0" w:line="360" w:lineRule="auto"/>
        <w:ind w:firstLine="720"/>
        <w:jc w:val="both"/>
        <w:rPr>
          <w:rFonts w:ascii="Arial" w:hAnsi="Arial" w:cs="Arial"/>
          <w:sz w:val="20"/>
          <w:szCs w:val="20"/>
        </w:rPr>
      </w:pPr>
    </w:p>
    <w:p w14:paraId="55620138" w14:textId="77777777" w:rsidR="00560D65" w:rsidRPr="0020269D" w:rsidRDefault="000D1B6D" w:rsidP="00E719F0">
      <w:pPr>
        <w:pStyle w:val="NormalWeb"/>
        <w:spacing w:before="0" w:beforeAutospacing="0" w:after="0" w:afterAutospacing="0" w:line="360" w:lineRule="auto"/>
        <w:rPr>
          <w:rFonts w:ascii="Arial" w:hAnsi="Arial" w:cs="Arial"/>
          <w:sz w:val="22"/>
          <w:szCs w:val="22"/>
        </w:rPr>
      </w:pPr>
      <w:r w:rsidRPr="001E1590">
        <w:rPr>
          <w:rStyle w:val="Strong"/>
          <w:rFonts w:ascii="Arial" w:hAnsi="Arial" w:cs="Arial"/>
          <w:sz w:val="22"/>
          <w:szCs w:val="22"/>
        </w:rPr>
        <w:t>3. BIBLIOMETRIC</w:t>
      </w:r>
      <w:r w:rsidRPr="0020269D">
        <w:rPr>
          <w:rStyle w:val="Strong"/>
          <w:rFonts w:ascii="Arial" w:hAnsi="Arial" w:cs="Arial"/>
          <w:sz w:val="22"/>
          <w:szCs w:val="22"/>
        </w:rPr>
        <w:t xml:space="preserve"> </w:t>
      </w:r>
      <w:r w:rsidRPr="001E1590">
        <w:rPr>
          <w:rStyle w:val="Strong"/>
          <w:rFonts w:ascii="Arial" w:hAnsi="Arial" w:cs="Arial"/>
          <w:sz w:val="22"/>
          <w:szCs w:val="22"/>
        </w:rPr>
        <w:t>ANALYSIS</w:t>
      </w:r>
    </w:p>
    <w:p w14:paraId="6BC74DEF" w14:textId="2BD5BD50" w:rsidR="008B2D50" w:rsidRPr="008B2D50" w:rsidRDefault="008B2D50" w:rsidP="00E064AE">
      <w:pPr>
        <w:pStyle w:val="NormalWeb"/>
        <w:jc w:val="both"/>
        <w:rPr>
          <w:rFonts w:ascii="Arial" w:hAnsi="Arial" w:cs="Arial"/>
          <w:sz w:val="20"/>
          <w:szCs w:val="20"/>
        </w:rPr>
      </w:pPr>
      <w:r w:rsidRPr="008B2D50">
        <w:rPr>
          <w:rFonts w:ascii="Arial" w:hAnsi="Arial" w:cs="Arial"/>
          <w:sz w:val="20"/>
          <w:szCs w:val="20"/>
        </w:rPr>
        <w:lastRenderedPageBreak/>
        <w:t>A total of 1</w:t>
      </w:r>
      <w:r w:rsidR="00E57088">
        <w:rPr>
          <w:rFonts w:ascii="Arial" w:hAnsi="Arial" w:cs="Arial"/>
          <w:sz w:val="20"/>
          <w:szCs w:val="20"/>
        </w:rPr>
        <w:t>4</w:t>
      </w:r>
      <w:r w:rsidRPr="008B2D50">
        <w:rPr>
          <w:rFonts w:ascii="Arial" w:hAnsi="Arial" w:cs="Arial"/>
          <w:sz w:val="20"/>
          <w:szCs w:val="20"/>
        </w:rPr>
        <w:t xml:space="preserve">2 research publications related to Trees Outside Forests (TOFs) in </w:t>
      </w:r>
      <w:r w:rsidR="00E57088">
        <w:rPr>
          <w:rFonts w:ascii="Arial" w:hAnsi="Arial" w:cs="Arial"/>
          <w:sz w:val="20"/>
          <w:szCs w:val="20"/>
        </w:rPr>
        <w:t xml:space="preserve">eight states of </w:t>
      </w:r>
      <w:r w:rsidRPr="008B2D50">
        <w:rPr>
          <w:rFonts w:ascii="Arial" w:hAnsi="Arial" w:cs="Arial"/>
          <w:sz w:val="20"/>
          <w:szCs w:val="20"/>
        </w:rPr>
        <w:t xml:space="preserve">Northeast India were identified during the review. The temporal distribution of publications indicates a steady upward trajectory from 1990 to 2025, suggesting a growing academic and policy interest in TOFs in the region (Figure </w:t>
      </w:r>
      <w:r>
        <w:rPr>
          <w:rFonts w:ascii="Arial" w:hAnsi="Arial" w:cs="Arial"/>
          <w:sz w:val="20"/>
          <w:szCs w:val="20"/>
        </w:rPr>
        <w:t>4</w:t>
      </w:r>
      <w:r w:rsidRPr="008B2D50">
        <w:rPr>
          <w:rFonts w:ascii="Arial" w:hAnsi="Arial" w:cs="Arial"/>
          <w:sz w:val="20"/>
          <w:szCs w:val="20"/>
        </w:rPr>
        <w:t xml:space="preserve">). Among the </w:t>
      </w:r>
      <w:proofErr w:type="spellStart"/>
      <w:r w:rsidRPr="008B2D50">
        <w:rPr>
          <w:rFonts w:ascii="Arial" w:hAnsi="Arial" w:cs="Arial"/>
          <w:sz w:val="20"/>
          <w:szCs w:val="20"/>
        </w:rPr>
        <w:t>northeastern</w:t>
      </w:r>
      <w:proofErr w:type="spellEnd"/>
      <w:r w:rsidRPr="008B2D50">
        <w:rPr>
          <w:rFonts w:ascii="Arial" w:hAnsi="Arial" w:cs="Arial"/>
          <w:sz w:val="20"/>
          <w:szCs w:val="20"/>
        </w:rPr>
        <w:t xml:space="preserve"> states, </w:t>
      </w:r>
      <w:r w:rsidR="00E57088" w:rsidRPr="00E57088">
        <w:rPr>
          <w:rFonts w:ascii="Arial" w:hAnsi="Arial" w:cs="Arial"/>
          <w:sz w:val="20"/>
          <w:szCs w:val="20"/>
        </w:rPr>
        <w:t xml:space="preserve">Among the </w:t>
      </w:r>
      <w:proofErr w:type="spellStart"/>
      <w:r w:rsidR="00E57088" w:rsidRPr="00E57088">
        <w:rPr>
          <w:rFonts w:ascii="Arial" w:hAnsi="Arial" w:cs="Arial"/>
          <w:sz w:val="20"/>
          <w:szCs w:val="20"/>
        </w:rPr>
        <w:t>northeastern</w:t>
      </w:r>
      <w:proofErr w:type="spellEnd"/>
      <w:r w:rsidR="00E57088" w:rsidRPr="00E57088">
        <w:rPr>
          <w:rFonts w:ascii="Arial" w:hAnsi="Arial" w:cs="Arial"/>
          <w:sz w:val="20"/>
          <w:szCs w:val="20"/>
        </w:rPr>
        <w:t xml:space="preserve"> states, Assam contributed the highest number of publications (43; 30.3%), followed by Meghalaya (30; 21.1%), Mizoram (17; 12.0%), Manipur (14; 9.9%), Tripura (13; 9.2%), Arunachal Pradesh (11; 7.7%), Sikkim (10; 7.0%)</w:t>
      </w:r>
      <w:r w:rsidR="00E57088">
        <w:rPr>
          <w:rFonts w:ascii="Arial" w:hAnsi="Arial" w:cs="Arial"/>
          <w:sz w:val="20"/>
          <w:szCs w:val="20"/>
        </w:rPr>
        <w:t xml:space="preserve"> </w:t>
      </w:r>
      <w:r w:rsidR="00E57088" w:rsidRPr="00E57088">
        <w:rPr>
          <w:rFonts w:ascii="Arial" w:hAnsi="Arial" w:cs="Arial"/>
          <w:sz w:val="20"/>
          <w:szCs w:val="20"/>
        </w:rPr>
        <w:t>and Nagaland (4; 2.8%).</w:t>
      </w:r>
      <w:r w:rsidRPr="008B2D50">
        <w:rPr>
          <w:rFonts w:ascii="Arial" w:hAnsi="Arial" w:cs="Arial"/>
          <w:sz w:val="20"/>
          <w:szCs w:val="20"/>
        </w:rPr>
        <w:t>This distribution highlights the uneven spatial focus of TOF-related research, with certain states such as Assam and Meghalaya being comparatively well-documented, while others such as Nagaland remain significantly underrepresented.</w:t>
      </w:r>
    </w:p>
    <w:p w14:paraId="5A26CE30" w14:textId="77777777" w:rsidR="0001490E" w:rsidRPr="0001490E" w:rsidRDefault="008B2D50" w:rsidP="00E064AE">
      <w:pPr>
        <w:pStyle w:val="NormalWeb"/>
        <w:jc w:val="both"/>
        <w:rPr>
          <w:rFonts w:ascii="Arial" w:hAnsi="Arial" w:cs="Arial"/>
          <w:sz w:val="20"/>
          <w:szCs w:val="20"/>
        </w:rPr>
      </w:pPr>
      <w:r w:rsidRPr="008B2D50">
        <w:rPr>
          <w:rFonts w:ascii="Arial" w:hAnsi="Arial" w:cs="Arial"/>
          <w:sz w:val="20"/>
          <w:szCs w:val="20"/>
        </w:rPr>
        <w:t xml:space="preserve">In terms of thematic focus, </w:t>
      </w:r>
      <w:proofErr w:type="spellStart"/>
      <w:r w:rsidRPr="008B2D50">
        <w:rPr>
          <w:rFonts w:ascii="Arial" w:hAnsi="Arial" w:cs="Arial"/>
          <w:sz w:val="20"/>
          <w:szCs w:val="20"/>
        </w:rPr>
        <w:t>homegardens</w:t>
      </w:r>
      <w:proofErr w:type="spellEnd"/>
      <w:r w:rsidRPr="008B2D50">
        <w:rPr>
          <w:rFonts w:ascii="Arial" w:hAnsi="Arial" w:cs="Arial"/>
          <w:sz w:val="20"/>
          <w:szCs w:val="20"/>
        </w:rPr>
        <w:t xml:space="preserve"> accounted for the largest share of publications (73; 48.0%), followed by sacred groves (62; 40.8%) and village community forests (VCFs) (6; 3.9%). </w:t>
      </w:r>
      <w:r w:rsidR="0001490E" w:rsidRPr="0001490E">
        <w:rPr>
          <w:rFonts w:ascii="Arial" w:hAnsi="Arial" w:cs="Arial"/>
          <w:sz w:val="20"/>
          <w:szCs w:val="20"/>
        </w:rPr>
        <w:t xml:space="preserve">This clearly indicates the predominant interest of researchers in traditional land-use systems, particularly </w:t>
      </w:r>
      <w:proofErr w:type="spellStart"/>
      <w:r w:rsidR="0001490E" w:rsidRPr="0001490E">
        <w:rPr>
          <w:rFonts w:ascii="Arial" w:hAnsi="Arial" w:cs="Arial"/>
          <w:sz w:val="20"/>
          <w:szCs w:val="20"/>
        </w:rPr>
        <w:t>homegardens</w:t>
      </w:r>
      <w:proofErr w:type="spellEnd"/>
      <w:r w:rsidR="0001490E" w:rsidRPr="0001490E">
        <w:rPr>
          <w:rFonts w:ascii="Arial" w:hAnsi="Arial" w:cs="Arial"/>
          <w:sz w:val="20"/>
          <w:szCs w:val="20"/>
        </w:rPr>
        <w:t xml:space="preserve"> and sacred groves, which are recognized as repositories of biodiversity, sources of household sustenance, and custodians of cultural-ecological values. In contrast, VCFs remain a relatively underexplored domain in the literature, despite their importance in community-based resource management and collective forest governance.</w:t>
      </w:r>
    </w:p>
    <w:p w14:paraId="07A7D0CC" w14:textId="1DC0E241" w:rsidR="00D23DC1" w:rsidRPr="0020269D" w:rsidRDefault="0001490E" w:rsidP="00E064AE">
      <w:pPr>
        <w:pStyle w:val="NormalWeb"/>
        <w:jc w:val="both"/>
        <w:rPr>
          <w:rFonts w:ascii="Arial" w:hAnsi="Arial" w:cs="Arial"/>
          <w:sz w:val="22"/>
          <w:szCs w:val="22"/>
        </w:rPr>
      </w:pPr>
      <w:r w:rsidRPr="0001490E">
        <w:rPr>
          <w:rFonts w:ascii="Arial" w:hAnsi="Arial" w:cs="Arial"/>
          <w:sz w:val="20"/>
          <w:szCs w:val="20"/>
        </w:rPr>
        <w:t xml:space="preserve">Overall, the bibliometric trends reflect an increasing recognition of TOFs as critical socio-ecological systems in Northeast India. However, the pronounced spatial and thematic disparities point to the need for future research in less-studied states and landscapes. In particular, systematic investigations into community-managed forests and comparative </w:t>
      </w:r>
      <w:proofErr w:type="spellStart"/>
      <w:r w:rsidRPr="0001490E">
        <w:rPr>
          <w:rFonts w:ascii="Arial" w:hAnsi="Arial" w:cs="Arial"/>
          <w:sz w:val="20"/>
          <w:szCs w:val="20"/>
        </w:rPr>
        <w:t>analyzes</w:t>
      </w:r>
      <w:proofErr w:type="spellEnd"/>
      <w:r w:rsidRPr="0001490E">
        <w:rPr>
          <w:rFonts w:ascii="Arial" w:hAnsi="Arial" w:cs="Arial"/>
          <w:sz w:val="20"/>
          <w:szCs w:val="20"/>
        </w:rPr>
        <w:t xml:space="preserve"> across states could provide a more balanced and comprehensive understanding of the ecological, cultural, and livelihood dimensions of TOFs in the region.</w:t>
      </w:r>
    </w:p>
    <w:p w14:paraId="7C2F7B63" w14:textId="77777777" w:rsidR="00226CEA" w:rsidRDefault="00D23DC1" w:rsidP="001E1590">
      <w:pPr>
        <w:pStyle w:val="NormalWeb"/>
        <w:spacing w:before="0" w:beforeAutospacing="0" w:after="0" w:afterAutospacing="0" w:line="360" w:lineRule="auto"/>
        <w:jc w:val="center"/>
        <w:rPr>
          <w:rFonts w:ascii="Arial" w:hAnsi="Arial" w:cs="Arial"/>
          <w:sz w:val="20"/>
          <w:szCs w:val="20"/>
        </w:rPr>
      </w:pPr>
      <w:r w:rsidRPr="00D23DC1">
        <w:rPr>
          <w:rFonts w:ascii="Arial" w:hAnsi="Arial" w:cs="Arial"/>
          <w:noProof/>
          <w:sz w:val="20"/>
          <w:szCs w:val="20"/>
          <w:lang w:val="en-US" w:eastAsia="en-US"/>
        </w:rPr>
        <w:drawing>
          <wp:inline distT="0" distB="0" distL="0" distR="0" wp14:anchorId="692C0936" wp14:editId="68D89F0E">
            <wp:extent cx="4595854" cy="3101009"/>
            <wp:effectExtent l="0" t="0" r="0" b="0"/>
            <wp:docPr id="3"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9D7DAD" w14:textId="77777777" w:rsidR="00BC72D1" w:rsidRPr="00DA6368" w:rsidRDefault="00BC72D1" w:rsidP="001E1590">
      <w:pPr>
        <w:spacing w:after="0" w:line="240" w:lineRule="auto"/>
        <w:jc w:val="center"/>
        <w:rPr>
          <w:rFonts w:ascii="Arial" w:hAnsi="Arial" w:cs="Arial"/>
          <w:iCs/>
          <w:sz w:val="20"/>
          <w:szCs w:val="20"/>
          <w:lang w:val="en-IN"/>
        </w:rPr>
      </w:pPr>
      <w:r w:rsidRPr="00DA6368">
        <w:rPr>
          <w:rFonts w:ascii="Arial" w:hAnsi="Arial" w:cs="Arial"/>
          <w:b/>
          <w:bCs/>
          <w:iCs/>
          <w:sz w:val="20"/>
          <w:szCs w:val="20"/>
          <w:lang w:val="en-IN"/>
        </w:rPr>
        <w:t>Figure 4:</w:t>
      </w:r>
      <w:r w:rsidRPr="00DA6368">
        <w:rPr>
          <w:rFonts w:ascii="Arial" w:hAnsi="Arial" w:cs="Arial"/>
          <w:iCs/>
          <w:sz w:val="20"/>
          <w:szCs w:val="20"/>
          <w:lang w:val="en-IN"/>
        </w:rPr>
        <w:t xml:space="preserve"> Year wise number of publications (1990-2025)</w:t>
      </w:r>
    </w:p>
    <w:p w14:paraId="0C187556" w14:textId="77777777" w:rsidR="003F07BF" w:rsidRDefault="003F07BF" w:rsidP="00E064AE">
      <w:pPr>
        <w:pStyle w:val="NormalWeb"/>
        <w:spacing w:before="0" w:beforeAutospacing="0" w:after="0" w:afterAutospacing="0"/>
        <w:rPr>
          <w:rStyle w:val="Strong"/>
          <w:rFonts w:ascii="Arial" w:hAnsi="Arial" w:cs="Arial"/>
          <w:sz w:val="22"/>
          <w:szCs w:val="22"/>
        </w:rPr>
      </w:pPr>
    </w:p>
    <w:p w14:paraId="2832830E" w14:textId="595AD133" w:rsidR="0020269D" w:rsidRDefault="000D1B6D" w:rsidP="00E064AE">
      <w:pPr>
        <w:pStyle w:val="NormalWeb"/>
        <w:spacing w:before="0" w:beforeAutospacing="0" w:after="0" w:afterAutospacing="0"/>
        <w:rPr>
          <w:rFonts w:ascii="Arial" w:hAnsi="Arial" w:cs="Arial"/>
          <w:sz w:val="22"/>
          <w:szCs w:val="22"/>
        </w:rPr>
      </w:pPr>
      <w:r>
        <w:rPr>
          <w:rStyle w:val="Strong"/>
          <w:rFonts w:ascii="Arial" w:hAnsi="Arial" w:cs="Arial"/>
          <w:sz w:val="22"/>
          <w:szCs w:val="22"/>
        </w:rPr>
        <w:t xml:space="preserve">4. </w:t>
      </w:r>
      <w:r w:rsidR="009677B5" w:rsidRPr="0020269D">
        <w:rPr>
          <w:rStyle w:val="Strong"/>
          <w:rFonts w:ascii="Arial" w:hAnsi="Arial" w:cs="Arial"/>
          <w:sz w:val="22"/>
          <w:szCs w:val="22"/>
        </w:rPr>
        <w:t>C</w:t>
      </w:r>
      <w:r w:rsidR="0020269D">
        <w:rPr>
          <w:rStyle w:val="Strong"/>
          <w:rFonts w:ascii="Arial" w:hAnsi="Arial" w:cs="Arial"/>
          <w:sz w:val="22"/>
          <w:szCs w:val="22"/>
        </w:rPr>
        <w:t>ONCLUSION</w:t>
      </w:r>
    </w:p>
    <w:p w14:paraId="34DA831C" w14:textId="77777777" w:rsidR="005D6360" w:rsidRDefault="005D6360" w:rsidP="00E064AE">
      <w:pPr>
        <w:pStyle w:val="NormalWeb"/>
        <w:spacing w:before="0" w:beforeAutospacing="0" w:after="0" w:afterAutospacing="0"/>
        <w:jc w:val="both"/>
        <w:rPr>
          <w:rFonts w:ascii="Arial" w:hAnsi="Arial" w:cs="Arial"/>
          <w:sz w:val="20"/>
          <w:szCs w:val="20"/>
        </w:rPr>
      </w:pPr>
    </w:p>
    <w:p w14:paraId="3DE4868A" w14:textId="4D81A07A" w:rsidR="009677B5" w:rsidRPr="0020269D" w:rsidRDefault="009677B5" w:rsidP="00E064AE">
      <w:pPr>
        <w:pStyle w:val="NormalWeb"/>
        <w:spacing w:before="0" w:beforeAutospacing="0" w:after="0" w:afterAutospacing="0"/>
        <w:jc w:val="both"/>
        <w:rPr>
          <w:rFonts w:ascii="Arial" w:hAnsi="Arial" w:cs="Arial"/>
          <w:sz w:val="22"/>
          <w:szCs w:val="22"/>
        </w:rPr>
      </w:pPr>
      <w:r w:rsidRPr="00EA7007">
        <w:rPr>
          <w:rFonts w:ascii="Arial" w:hAnsi="Arial" w:cs="Arial"/>
          <w:sz w:val="20"/>
          <w:szCs w:val="20"/>
        </w:rPr>
        <w:t xml:space="preserve">Trees Outside Forests (TOFs) in Northeast India hold immense ecological, socio-economic, and cultural significance and warrant comprehensive study in their entirety. </w:t>
      </w:r>
      <w:r w:rsidR="00F2598A" w:rsidRPr="00F2598A">
        <w:rPr>
          <w:rFonts w:ascii="Arial" w:hAnsi="Arial" w:cs="Arial"/>
          <w:sz w:val="20"/>
          <w:szCs w:val="20"/>
        </w:rPr>
        <w:t>This review of TOFs from both ecological and socio-economic perspectives provides valuable insights into their diversity, structure, and functionality across the region, while also identifying critical research gaps.</w:t>
      </w:r>
      <w:r w:rsidR="00F2598A">
        <w:rPr>
          <w:rFonts w:ascii="Arial" w:hAnsi="Arial" w:cs="Arial"/>
          <w:sz w:val="20"/>
          <w:szCs w:val="20"/>
        </w:rPr>
        <w:t xml:space="preserve"> </w:t>
      </w:r>
      <w:r w:rsidRPr="00EA7007">
        <w:rPr>
          <w:rFonts w:ascii="Arial" w:hAnsi="Arial" w:cs="Arial"/>
          <w:sz w:val="20"/>
          <w:szCs w:val="20"/>
        </w:rPr>
        <w:t xml:space="preserve">The variation in TOF </w:t>
      </w:r>
      <w:r w:rsidRPr="00EA7007">
        <w:rPr>
          <w:rFonts w:ascii="Arial" w:hAnsi="Arial" w:cs="Arial"/>
          <w:sz w:val="20"/>
          <w:szCs w:val="20"/>
        </w:rPr>
        <w:lastRenderedPageBreak/>
        <w:t>composition and species selection across different communities reflects the region’s diverse ecological settings and socio-cultural contexts.</w:t>
      </w:r>
    </w:p>
    <w:p w14:paraId="78FEDB81" w14:textId="69B3B841" w:rsidR="00F2598A" w:rsidRDefault="009677B5" w:rsidP="00E064AE">
      <w:pPr>
        <w:pStyle w:val="NormalWeb"/>
        <w:spacing w:before="0" w:beforeAutospacing="0" w:after="0" w:afterAutospacing="0"/>
        <w:jc w:val="both"/>
        <w:rPr>
          <w:rFonts w:ascii="Arial" w:hAnsi="Arial" w:cs="Arial"/>
          <w:sz w:val="20"/>
          <w:szCs w:val="20"/>
        </w:rPr>
      </w:pPr>
      <w:r w:rsidRPr="00EA7007">
        <w:rPr>
          <w:rFonts w:ascii="Arial" w:hAnsi="Arial" w:cs="Arial"/>
          <w:sz w:val="20"/>
          <w:szCs w:val="20"/>
        </w:rPr>
        <w:t xml:space="preserve">However, the biodiversity of natural TOFs is reported to be in decline (Upadhyay et al., 2019), primarily due to the increasing prevalence of introduced TOFs involving cash crops and monoculture plantations such as tea, areca nut, coffee, and rubber. </w:t>
      </w:r>
      <w:r w:rsidR="0001490E" w:rsidRPr="0001490E">
        <w:rPr>
          <w:rFonts w:ascii="Arial" w:hAnsi="Arial" w:cs="Arial"/>
          <w:sz w:val="20"/>
          <w:szCs w:val="20"/>
        </w:rPr>
        <w:t>This underscores the urgent need to conserve the native biodiversity associated with TOFs through a socio-ecological system-specific approach. TOFs act as reservoirs of endemic, rare and endangered species, playing a crucial role in maintaining the ecological balance of the region. A holistic approach that integrates ecological and socio-economic considerations, alongside community awareness and participation, is essential for the effective conservation and sustainable management of TOFs in Northeast India.</w:t>
      </w:r>
    </w:p>
    <w:p w14:paraId="4681AF55" w14:textId="77777777" w:rsidR="0001490E" w:rsidRDefault="0001490E" w:rsidP="00E064AE">
      <w:pPr>
        <w:pStyle w:val="NormalWeb"/>
        <w:spacing w:before="0" w:beforeAutospacing="0" w:after="0" w:afterAutospacing="0"/>
        <w:jc w:val="both"/>
        <w:rPr>
          <w:rFonts w:ascii="Arial" w:hAnsi="Arial" w:cs="Arial"/>
          <w:sz w:val="20"/>
          <w:szCs w:val="20"/>
        </w:rPr>
      </w:pPr>
    </w:p>
    <w:p w14:paraId="7F549DB4" w14:textId="77777777" w:rsidR="00815F06" w:rsidRDefault="00815F06" w:rsidP="00E064AE">
      <w:pPr>
        <w:pStyle w:val="Style"/>
        <w:jc w:val="both"/>
        <w:rPr>
          <w:rFonts w:ascii="Arial" w:eastAsiaTheme="minorEastAsia" w:hAnsi="Arial" w:cs="Arial"/>
          <w:b/>
          <w:sz w:val="22"/>
          <w:szCs w:val="22"/>
          <w:lang w:val="en-IN" w:eastAsia="en-IN" w:bidi="hi-IN"/>
        </w:rPr>
      </w:pPr>
    </w:p>
    <w:p w14:paraId="13E16EE5" w14:textId="029C255B" w:rsidR="00782185" w:rsidRPr="00030D4F" w:rsidRDefault="00782185" w:rsidP="00E064AE">
      <w:pPr>
        <w:spacing w:line="240" w:lineRule="auto"/>
        <w:rPr>
          <w:rFonts w:ascii="Arial" w:hAnsi="Arial" w:cs="Arial"/>
          <w:b/>
          <w:bCs/>
          <w:iCs/>
        </w:rPr>
      </w:pPr>
      <w:bookmarkStart w:id="0" w:name="_GoBack"/>
      <w:bookmarkEnd w:id="0"/>
      <w:r w:rsidRPr="00030D4F">
        <w:rPr>
          <w:rFonts w:ascii="Arial" w:hAnsi="Arial" w:cs="Arial"/>
          <w:b/>
          <w:bCs/>
          <w:iCs/>
        </w:rPr>
        <w:t>REFERENCES</w:t>
      </w:r>
    </w:p>
    <w:p w14:paraId="4A680741" w14:textId="3B51BA46"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Acharya, A., &amp; Ormsby, A. (2017). The cultural politics of sacred groves: A case study of </w:t>
      </w:r>
      <w:proofErr w:type="spellStart"/>
      <w:r w:rsidRPr="00782185">
        <w:rPr>
          <w:rFonts w:ascii="Arial" w:hAnsi="Arial" w:cs="Arial"/>
          <w:iCs/>
          <w:sz w:val="20"/>
          <w:szCs w:val="20"/>
        </w:rPr>
        <w:t>Devithans</w:t>
      </w:r>
      <w:proofErr w:type="spellEnd"/>
      <w:r w:rsidRPr="00782185">
        <w:rPr>
          <w:rFonts w:ascii="Arial" w:hAnsi="Arial" w:cs="Arial"/>
          <w:iCs/>
          <w:sz w:val="20"/>
          <w:szCs w:val="20"/>
        </w:rPr>
        <w:t xml:space="preserve"> in Sikkim, India. Conservation and Society, 15(2), 232–242. https://doi.org/10.4103/cs.cs_14_29</w:t>
      </w:r>
    </w:p>
    <w:p w14:paraId="13EB2E12"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Amirthalingam, M. (2014). Mizoram. In N. Krishna &amp; M. Amirthalingam (Eds.), Sacred groves of India: A compendium (pp. 323–326). C.P.R. Environmental Education Centre. https://doi.org/10.20546/ijcrbp.2016.304.011 </w:t>
      </w:r>
    </w:p>
    <w:p w14:paraId="405319C4"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Ao</w:t>
      </w:r>
      <w:proofErr w:type="spellEnd"/>
      <w:r w:rsidRPr="00782185">
        <w:rPr>
          <w:rFonts w:ascii="Arial" w:hAnsi="Arial" w:cs="Arial"/>
          <w:iCs/>
          <w:sz w:val="20"/>
          <w:szCs w:val="20"/>
        </w:rPr>
        <w:t xml:space="preserve">, L. (2014). Deforestation in Nagaland: A historical perspective (Ph.D. thesis). Nagaland University, </w:t>
      </w:r>
      <w:proofErr w:type="spellStart"/>
      <w:r w:rsidRPr="00782185">
        <w:rPr>
          <w:rFonts w:ascii="Arial" w:hAnsi="Arial" w:cs="Arial"/>
          <w:iCs/>
          <w:sz w:val="20"/>
          <w:szCs w:val="20"/>
        </w:rPr>
        <w:t>Lumami</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Zunheboto</w:t>
      </w:r>
      <w:proofErr w:type="spellEnd"/>
      <w:r w:rsidRPr="00782185">
        <w:rPr>
          <w:rFonts w:ascii="Arial" w:hAnsi="Arial" w:cs="Arial"/>
          <w:iCs/>
          <w:sz w:val="20"/>
          <w:szCs w:val="20"/>
        </w:rPr>
        <w:t>, 151 pp.</w:t>
      </w:r>
    </w:p>
    <w:p w14:paraId="4F105B0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Baidya, S., Thakur, B., </w:t>
      </w:r>
      <w:proofErr w:type="spellStart"/>
      <w:r w:rsidRPr="00782185">
        <w:rPr>
          <w:rFonts w:ascii="Arial" w:hAnsi="Arial" w:cs="Arial"/>
          <w:iCs/>
          <w:sz w:val="20"/>
          <w:szCs w:val="20"/>
        </w:rPr>
        <w:t>Malunguja</w:t>
      </w:r>
      <w:proofErr w:type="spellEnd"/>
      <w:r w:rsidRPr="00782185">
        <w:rPr>
          <w:rFonts w:ascii="Arial" w:hAnsi="Arial" w:cs="Arial"/>
          <w:iCs/>
          <w:sz w:val="20"/>
          <w:szCs w:val="20"/>
        </w:rPr>
        <w:t xml:space="preserve">, G., &amp; Devi, A. (2020a). Changes of land use land cover and floristic composition in sacred forests of West </w:t>
      </w:r>
      <w:proofErr w:type="spellStart"/>
      <w:r w:rsidRPr="00782185">
        <w:rPr>
          <w:rFonts w:ascii="Arial" w:hAnsi="Arial" w:cs="Arial"/>
          <w:iCs/>
          <w:sz w:val="20"/>
          <w:szCs w:val="20"/>
        </w:rPr>
        <w:t>Karbi</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Anglong</w:t>
      </w:r>
      <w:proofErr w:type="spellEnd"/>
      <w:r w:rsidRPr="00782185">
        <w:rPr>
          <w:rFonts w:ascii="Arial" w:hAnsi="Arial" w:cs="Arial"/>
          <w:iCs/>
          <w:sz w:val="20"/>
          <w:szCs w:val="20"/>
        </w:rPr>
        <w:t xml:space="preserve"> district, Assam, India. Tropical Plant Research, 7(2), 296–308. https://doi.org/10.22271/tpr.2020.v7.i2.035</w:t>
      </w:r>
    </w:p>
    <w:p w14:paraId="4180174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Baidya, S., Thakur, B., &amp; Devi, A. (2020b). Ethnomedicinal plants of the sacred groves and their uses by </w:t>
      </w:r>
      <w:proofErr w:type="spellStart"/>
      <w:r w:rsidRPr="00782185">
        <w:rPr>
          <w:rFonts w:ascii="Arial" w:hAnsi="Arial" w:cs="Arial"/>
          <w:iCs/>
          <w:sz w:val="20"/>
          <w:szCs w:val="20"/>
        </w:rPr>
        <w:t>Karbi</w:t>
      </w:r>
      <w:proofErr w:type="spellEnd"/>
      <w:r w:rsidRPr="00782185">
        <w:rPr>
          <w:rFonts w:ascii="Arial" w:hAnsi="Arial" w:cs="Arial"/>
          <w:iCs/>
          <w:sz w:val="20"/>
          <w:szCs w:val="20"/>
        </w:rPr>
        <w:t xml:space="preserve"> tribe in </w:t>
      </w:r>
      <w:proofErr w:type="spellStart"/>
      <w:r w:rsidRPr="00782185">
        <w:rPr>
          <w:rFonts w:ascii="Arial" w:hAnsi="Arial" w:cs="Arial"/>
          <w:iCs/>
          <w:sz w:val="20"/>
          <w:szCs w:val="20"/>
        </w:rPr>
        <w:t>Karbi</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Anglong</w:t>
      </w:r>
      <w:proofErr w:type="spellEnd"/>
      <w:r w:rsidRPr="00782185">
        <w:rPr>
          <w:rFonts w:ascii="Arial" w:hAnsi="Arial" w:cs="Arial"/>
          <w:iCs/>
          <w:sz w:val="20"/>
          <w:szCs w:val="20"/>
        </w:rPr>
        <w:t xml:space="preserve"> district of Assam, Northeast India. Indian Journal of Traditional Knowledge, 19(2), 277–287.</w:t>
      </w:r>
    </w:p>
    <w:p w14:paraId="6A0A8198"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Banik</w:t>
      </w:r>
      <w:proofErr w:type="spellEnd"/>
      <w:r w:rsidRPr="00782185">
        <w:rPr>
          <w:rFonts w:ascii="Arial" w:hAnsi="Arial" w:cs="Arial"/>
          <w:iCs/>
          <w:sz w:val="20"/>
          <w:szCs w:val="20"/>
        </w:rPr>
        <w:t xml:space="preserve">, B., Majumdar, K., </w:t>
      </w:r>
      <w:proofErr w:type="spellStart"/>
      <w:r w:rsidRPr="00782185">
        <w:rPr>
          <w:rFonts w:ascii="Arial" w:hAnsi="Arial" w:cs="Arial"/>
          <w:iCs/>
          <w:sz w:val="20"/>
          <w:szCs w:val="20"/>
        </w:rPr>
        <w:t>Baishnab</w:t>
      </w:r>
      <w:proofErr w:type="spellEnd"/>
      <w:r w:rsidRPr="00782185">
        <w:rPr>
          <w:rFonts w:ascii="Arial" w:hAnsi="Arial" w:cs="Arial"/>
          <w:iCs/>
          <w:sz w:val="20"/>
          <w:szCs w:val="20"/>
        </w:rPr>
        <w:t xml:space="preserve">, B., &amp; Datta, B.K. (2018). Impact of tourism on forest habitat surrounding in </w:t>
      </w:r>
      <w:proofErr w:type="spellStart"/>
      <w:r w:rsidRPr="00782185">
        <w:rPr>
          <w:rFonts w:ascii="Arial" w:hAnsi="Arial" w:cs="Arial"/>
          <w:iCs/>
          <w:sz w:val="20"/>
          <w:szCs w:val="20"/>
        </w:rPr>
        <w:t>Unakoti</w:t>
      </w:r>
      <w:proofErr w:type="spellEnd"/>
      <w:r w:rsidRPr="00782185">
        <w:rPr>
          <w:rFonts w:ascii="Arial" w:hAnsi="Arial" w:cs="Arial"/>
          <w:iCs/>
          <w:sz w:val="20"/>
          <w:szCs w:val="20"/>
        </w:rPr>
        <w:t>: An important archaeological site of Tripura, North-East India. Research &amp; Reviews: A Journal of Life Science, 8(3), 50–66.</w:t>
      </w:r>
    </w:p>
    <w:p w14:paraId="301A8CE5"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Barua</w:t>
      </w:r>
      <w:proofErr w:type="spellEnd"/>
      <w:r w:rsidRPr="00782185">
        <w:rPr>
          <w:rFonts w:ascii="Arial" w:hAnsi="Arial" w:cs="Arial"/>
          <w:iCs/>
          <w:sz w:val="20"/>
          <w:szCs w:val="20"/>
        </w:rPr>
        <w:t xml:space="preserve">, I. (2009). Conservation and management of community and natural resources: A case study from North East India. Studies of Tribes and </w:t>
      </w:r>
      <w:proofErr w:type="spellStart"/>
      <w:r w:rsidRPr="00782185">
        <w:rPr>
          <w:rFonts w:ascii="Arial" w:hAnsi="Arial" w:cs="Arial"/>
          <w:iCs/>
          <w:sz w:val="20"/>
          <w:szCs w:val="20"/>
        </w:rPr>
        <w:t>Tribals</w:t>
      </w:r>
      <w:proofErr w:type="spellEnd"/>
      <w:r w:rsidRPr="00782185">
        <w:rPr>
          <w:rFonts w:ascii="Arial" w:hAnsi="Arial" w:cs="Arial"/>
          <w:iCs/>
          <w:sz w:val="20"/>
          <w:szCs w:val="20"/>
        </w:rPr>
        <w:t>, 7(1), 39–46.</w:t>
      </w:r>
    </w:p>
    <w:p w14:paraId="059BFD85"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Barbhuiya</w:t>
      </w:r>
      <w:proofErr w:type="spellEnd"/>
      <w:r w:rsidRPr="00782185">
        <w:rPr>
          <w:rFonts w:ascii="Arial" w:hAnsi="Arial" w:cs="Arial"/>
          <w:iCs/>
          <w:sz w:val="20"/>
          <w:szCs w:val="20"/>
        </w:rPr>
        <w:t>, A.R., Sahoo, U.K., &amp; Upadhyaya, K. (2016). Plant diversity in the indigenous home gardens in the Eastern Himalayan region of Mizoram, Northeast India. Economic Botany, 70(2), 115–131. https://doi.org/10.1007/s12231-016-9349-8</w:t>
      </w:r>
    </w:p>
    <w:p w14:paraId="4C598001"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Bdoor</w:t>
      </w:r>
      <w:proofErr w:type="spellEnd"/>
      <w:r w:rsidRPr="00782185">
        <w:rPr>
          <w:rFonts w:ascii="Arial" w:hAnsi="Arial" w:cs="Arial"/>
          <w:iCs/>
          <w:sz w:val="20"/>
          <w:szCs w:val="20"/>
        </w:rPr>
        <w:t xml:space="preserve">, B.S. (2017). Tree diversity in </w:t>
      </w:r>
      <w:proofErr w:type="spellStart"/>
      <w:r w:rsidRPr="00782185">
        <w:rPr>
          <w:rFonts w:ascii="Arial" w:hAnsi="Arial" w:cs="Arial"/>
          <w:iCs/>
          <w:sz w:val="20"/>
          <w:szCs w:val="20"/>
        </w:rPr>
        <w:t>homegarden</w:t>
      </w:r>
      <w:proofErr w:type="spellEnd"/>
      <w:r w:rsidRPr="00782185">
        <w:rPr>
          <w:rFonts w:ascii="Arial" w:hAnsi="Arial" w:cs="Arial"/>
          <w:iCs/>
          <w:sz w:val="20"/>
          <w:szCs w:val="20"/>
        </w:rPr>
        <w:t xml:space="preserve"> land use of </w:t>
      </w:r>
      <w:proofErr w:type="spellStart"/>
      <w:r w:rsidRPr="00782185">
        <w:rPr>
          <w:rFonts w:ascii="Arial" w:hAnsi="Arial" w:cs="Arial"/>
          <w:iCs/>
          <w:sz w:val="20"/>
          <w:szCs w:val="20"/>
        </w:rPr>
        <w:t>Mawsmai</w:t>
      </w:r>
      <w:proofErr w:type="spellEnd"/>
      <w:r w:rsidRPr="00782185">
        <w:rPr>
          <w:rFonts w:ascii="Arial" w:hAnsi="Arial" w:cs="Arial"/>
          <w:iCs/>
          <w:sz w:val="20"/>
          <w:szCs w:val="20"/>
        </w:rPr>
        <w:t xml:space="preserve"> Village Karst Landscape, Meghalaya, Northeast India. International Journal of Environmental, Ecological, Family and Urban Studies, 7(3), 33–42.</w:t>
      </w:r>
    </w:p>
    <w:p w14:paraId="2090720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Chaudhry, P., &amp; </w:t>
      </w:r>
      <w:proofErr w:type="spellStart"/>
      <w:r w:rsidRPr="00782185">
        <w:rPr>
          <w:rFonts w:ascii="Arial" w:hAnsi="Arial" w:cs="Arial"/>
          <w:iCs/>
          <w:sz w:val="20"/>
          <w:szCs w:val="20"/>
        </w:rPr>
        <w:t>Murtem</w:t>
      </w:r>
      <w:proofErr w:type="spellEnd"/>
      <w:r w:rsidRPr="00782185">
        <w:rPr>
          <w:rFonts w:ascii="Arial" w:hAnsi="Arial" w:cs="Arial"/>
          <w:iCs/>
          <w:sz w:val="20"/>
          <w:szCs w:val="20"/>
        </w:rPr>
        <w:t>, G. (2015). Role of sacred groves, value education and spirituality in conserving biodiversity with special reference to Arunachal Pradesh state of India. International Journal of Society Systems Science, 7(2), 151. https://doi.org/10.1504/IJSSS.2015.069736</w:t>
      </w:r>
    </w:p>
    <w:p w14:paraId="6073D50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Choudhury, H., Goswami, S., &amp; </w:t>
      </w:r>
      <w:proofErr w:type="spellStart"/>
      <w:r w:rsidRPr="00782185">
        <w:rPr>
          <w:rFonts w:ascii="Arial" w:hAnsi="Arial" w:cs="Arial"/>
          <w:iCs/>
          <w:sz w:val="20"/>
          <w:szCs w:val="20"/>
        </w:rPr>
        <w:t>Kumaria</w:t>
      </w:r>
      <w:proofErr w:type="spellEnd"/>
      <w:r w:rsidRPr="00782185">
        <w:rPr>
          <w:rFonts w:ascii="Arial" w:hAnsi="Arial" w:cs="Arial"/>
          <w:iCs/>
          <w:sz w:val="20"/>
          <w:szCs w:val="20"/>
        </w:rPr>
        <w:t xml:space="preserve">, S. (2007). Sacred groves of Meghalaya: A religious way of in situ conservation. In P. Tandon, Y.P. </w:t>
      </w:r>
      <w:proofErr w:type="spellStart"/>
      <w:r w:rsidRPr="00782185">
        <w:rPr>
          <w:rFonts w:ascii="Arial" w:hAnsi="Arial" w:cs="Arial"/>
          <w:iCs/>
          <w:sz w:val="20"/>
          <w:szCs w:val="20"/>
        </w:rPr>
        <w:t>Abrol</w:t>
      </w:r>
      <w:proofErr w:type="spellEnd"/>
      <w:r w:rsidRPr="00782185">
        <w:rPr>
          <w:rFonts w:ascii="Arial" w:hAnsi="Arial" w:cs="Arial"/>
          <w:iCs/>
          <w:sz w:val="20"/>
          <w:szCs w:val="20"/>
        </w:rPr>
        <w:t xml:space="preserve">, &amp; S. </w:t>
      </w:r>
      <w:proofErr w:type="spellStart"/>
      <w:r w:rsidRPr="00782185">
        <w:rPr>
          <w:rFonts w:ascii="Arial" w:hAnsi="Arial" w:cs="Arial"/>
          <w:iCs/>
          <w:sz w:val="20"/>
          <w:szCs w:val="20"/>
        </w:rPr>
        <w:t>Kumaria</w:t>
      </w:r>
      <w:proofErr w:type="spellEnd"/>
      <w:r w:rsidRPr="00782185">
        <w:rPr>
          <w:rFonts w:ascii="Arial" w:hAnsi="Arial" w:cs="Arial"/>
          <w:iCs/>
          <w:sz w:val="20"/>
          <w:szCs w:val="20"/>
        </w:rPr>
        <w:t xml:space="preserve"> (Eds.), Biodiversity and its significance (pp. 218–232). I.K. International Publishers, New Delhi.</w:t>
      </w:r>
    </w:p>
    <w:p w14:paraId="56BF6C5E"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lastRenderedPageBreak/>
        <w:t>CPR Environmental Education Centre. (n.d.). CPREEC ENVIS Centre on conservation of ecological heritage and sacred sites of India. Retrieved September 18, 2025, from http://www.cpreecenvis.nic.in</w:t>
      </w:r>
    </w:p>
    <w:p w14:paraId="08AD264C"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Darlong</w:t>
      </w:r>
      <w:proofErr w:type="spellEnd"/>
      <w:r w:rsidRPr="00782185">
        <w:rPr>
          <w:rFonts w:ascii="Arial" w:hAnsi="Arial" w:cs="Arial"/>
          <w:iCs/>
          <w:sz w:val="20"/>
          <w:szCs w:val="20"/>
        </w:rPr>
        <w:t xml:space="preserve">, B. (2015). Sacred groves: A study of the religious beliefs of the </w:t>
      </w:r>
      <w:proofErr w:type="spellStart"/>
      <w:r w:rsidRPr="00782185">
        <w:rPr>
          <w:rFonts w:ascii="Arial" w:hAnsi="Arial" w:cs="Arial"/>
          <w:iCs/>
          <w:sz w:val="20"/>
          <w:szCs w:val="20"/>
        </w:rPr>
        <w:t>Darlong</w:t>
      </w:r>
      <w:proofErr w:type="spellEnd"/>
      <w:r w:rsidRPr="00782185">
        <w:rPr>
          <w:rFonts w:ascii="Arial" w:hAnsi="Arial" w:cs="Arial"/>
          <w:iCs/>
          <w:sz w:val="20"/>
          <w:szCs w:val="20"/>
        </w:rPr>
        <w:t xml:space="preserve"> community in Tripura. </w:t>
      </w:r>
      <w:proofErr w:type="spellStart"/>
      <w:r w:rsidRPr="00782185">
        <w:rPr>
          <w:rFonts w:ascii="Arial" w:hAnsi="Arial" w:cs="Arial"/>
          <w:iCs/>
          <w:sz w:val="20"/>
          <w:szCs w:val="20"/>
        </w:rPr>
        <w:t>Chitralekha</w:t>
      </w:r>
      <w:proofErr w:type="spellEnd"/>
      <w:r w:rsidRPr="00782185">
        <w:rPr>
          <w:rFonts w:ascii="Arial" w:hAnsi="Arial" w:cs="Arial"/>
          <w:iCs/>
          <w:sz w:val="20"/>
          <w:szCs w:val="20"/>
        </w:rPr>
        <w:t xml:space="preserve"> International Magazine on Art and Design, 5(1), 147–156.</w:t>
      </w:r>
    </w:p>
    <w:p w14:paraId="75A2E46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Das, D., &amp; Datta, B.K. (2018a). An assessment of plant diversity in home gardens of </w:t>
      </w:r>
      <w:proofErr w:type="spellStart"/>
      <w:r w:rsidRPr="00782185">
        <w:rPr>
          <w:rFonts w:ascii="Arial" w:hAnsi="Arial" w:cs="Arial"/>
          <w:iCs/>
          <w:sz w:val="20"/>
          <w:szCs w:val="20"/>
        </w:rPr>
        <w:t>Reang</w:t>
      </w:r>
      <w:proofErr w:type="spellEnd"/>
      <w:r w:rsidRPr="00782185">
        <w:rPr>
          <w:rFonts w:ascii="Arial" w:hAnsi="Arial" w:cs="Arial"/>
          <w:iCs/>
          <w:sz w:val="20"/>
          <w:szCs w:val="20"/>
        </w:rPr>
        <w:t xml:space="preserve"> community of Tripura. Pleione, 12(2), 208–222. https://doi.org/10.26679/Pleione.12.2.2018.208-222</w:t>
      </w:r>
    </w:p>
    <w:p w14:paraId="05216FD5"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Das, D., &amp; Datta, B.K. (2018b). New distributional record of Stephania glabra (</w:t>
      </w:r>
      <w:proofErr w:type="spellStart"/>
      <w:r w:rsidRPr="00782185">
        <w:rPr>
          <w:rFonts w:ascii="Arial" w:hAnsi="Arial" w:cs="Arial"/>
          <w:iCs/>
          <w:sz w:val="20"/>
          <w:szCs w:val="20"/>
        </w:rPr>
        <w:t>Roxb</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Miers</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Menispermaceae</w:t>
      </w:r>
      <w:proofErr w:type="spellEnd"/>
      <w:r w:rsidRPr="00782185">
        <w:rPr>
          <w:rFonts w:ascii="Arial" w:hAnsi="Arial" w:cs="Arial"/>
          <w:iCs/>
          <w:sz w:val="20"/>
          <w:szCs w:val="20"/>
        </w:rPr>
        <w:t xml:space="preserve">) in Tripura, India and its domestication in </w:t>
      </w:r>
      <w:proofErr w:type="spellStart"/>
      <w:r w:rsidRPr="00782185">
        <w:rPr>
          <w:rFonts w:ascii="Arial" w:hAnsi="Arial" w:cs="Arial"/>
          <w:iCs/>
          <w:sz w:val="20"/>
          <w:szCs w:val="20"/>
        </w:rPr>
        <w:t>Reang</w:t>
      </w:r>
      <w:proofErr w:type="spellEnd"/>
      <w:r w:rsidRPr="00782185">
        <w:rPr>
          <w:rFonts w:ascii="Arial" w:hAnsi="Arial" w:cs="Arial"/>
          <w:iCs/>
          <w:sz w:val="20"/>
          <w:szCs w:val="20"/>
        </w:rPr>
        <w:t xml:space="preserve"> home-gardens. Pleione, 12(2), 337–340. https://doi.org/10.26679/Pleione.12.2.2018.337-340</w:t>
      </w:r>
    </w:p>
    <w:p w14:paraId="6ECBF034"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Das, T., &amp; Das, A.K. (2005). Inventorying plant biodiversity in </w:t>
      </w:r>
      <w:proofErr w:type="spellStart"/>
      <w:r w:rsidRPr="00782185">
        <w:rPr>
          <w:rFonts w:ascii="Arial" w:hAnsi="Arial" w:cs="Arial"/>
          <w:iCs/>
          <w:sz w:val="20"/>
          <w:szCs w:val="20"/>
        </w:rPr>
        <w:t>homegardens</w:t>
      </w:r>
      <w:proofErr w:type="spellEnd"/>
      <w:r w:rsidRPr="00782185">
        <w:rPr>
          <w:rFonts w:ascii="Arial" w:hAnsi="Arial" w:cs="Arial"/>
          <w:iCs/>
          <w:sz w:val="20"/>
          <w:szCs w:val="20"/>
        </w:rPr>
        <w:t>: A case study in Barak Valley, Assam, North East India. Current Science, 89(1), 155–163.</w:t>
      </w:r>
    </w:p>
    <w:p w14:paraId="20CAF314"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Dash, S.S. (2005). </w:t>
      </w:r>
      <w:proofErr w:type="spellStart"/>
      <w:r w:rsidRPr="00782185">
        <w:rPr>
          <w:rFonts w:ascii="Arial" w:hAnsi="Arial" w:cs="Arial"/>
          <w:iCs/>
          <w:sz w:val="20"/>
          <w:szCs w:val="20"/>
        </w:rPr>
        <w:t>Kabi</w:t>
      </w:r>
      <w:proofErr w:type="spellEnd"/>
      <w:r w:rsidRPr="00782185">
        <w:rPr>
          <w:rFonts w:ascii="Arial" w:hAnsi="Arial" w:cs="Arial"/>
          <w:iCs/>
          <w:sz w:val="20"/>
          <w:szCs w:val="20"/>
        </w:rPr>
        <w:t xml:space="preserve"> sacred grove of North Sikkim. Current Science, 89(3), 427–428.</w:t>
      </w:r>
    </w:p>
    <w:p w14:paraId="24DC073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Das, T., &amp; Das, A.K. (2015). Conservation of plant diversity in rural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with cultural and geographical variation in three districts of Barak Valley, Northeast India. Economic Botany, 69(1), 57–71. https://doi.org/10.1007/s12231-015-9299-6</w:t>
      </w:r>
    </w:p>
    <w:p w14:paraId="280E286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Deb, S., Sarkar, A., Deb, D., &amp; Majumdar, K. (2014). Community structure, biodiversity value and management practices of traditional agroforestry systems in Tripura, North East India. Journal of Biodiversity Management and Forestry, 3(3), 1–6. http://dx.doi.org/10.4172/2327-4417.1000129</w:t>
      </w:r>
    </w:p>
    <w:p w14:paraId="42315D60"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Debbarma</w:t>
      </w:r>
      <w:proofErr w:type="spellEnd"/>
      <w:r w:rsidRPr="00782185">
        <w:rPr>
          <w:rFonts w:ascii="Arial" w:hAnsi="Arial" w:cs="Arial"/>
          <w:iCs/>
          <w:sz w:val="20"/>
          <w:szCs w:val="20"/>
        </w:rPr>
        <w:t xml:space="preserve">, J., Deb, D., &amp; Deb, S. (2015). Tree diversity and sociocultural significance of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in the </w:t>
      </w:r>
      <w:proofErr w:type="spellStart"/>
      <w:r w:rsidRPr="00782185">
        <w:rPr>
          <w:rFonts w:ascii="Arial" w:hAnsi="Arial" w:cs="Arial"/>
          <w:iCs/>
          <w:sz w:val="20"/>
          <w:szCs w:val="20"/>
        </w:rPr>
        <w:t>Baramura</w:t>
      </w:r>
      <w:proofErr w:type="spellEnd"/>
      <w:r w:rsidRPr="00782185">
        <w:rPr>
          <w:rFonts w:ascii="Arial" w:hAnsi="Arial" w:cs="Arial"/>
          <w:iCs/>
          <w:sz w:val="20"/>
          <w:szCs w:val="20"/>
        </w:rPr>
        <w:t xml:space="preserve"> range, Tripura, North-east India. Forest Trees and Livelihoods, 25(1), 33–40. https://doi.org/10.1080/14728028.2015.1076357</w:t>
      </w:r>
    </w:p>
    <w:p w14:paraId="7AD7F0CE"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Devi, N.L., &amp; Das, A.K. (2017). Plant biodiversity conservation through traditional use and cultivation in Meitei home-gardens in Barak Valley of Assam, India. Pleione, 11(2), 277–289. https://doi.org/10.26679/Pleione.11.2.2017.277-289</w:t>
      </w:r>
    </w:p>
    <w:p w14:paraId="493E133C"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Devi, N.L., &amp; Das, A.K. (2010). Plant species diversity in the traditional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of Meitei community: A case study from Barak Valley, Assam. Journal of Tropical Agriculture, 48(1-2), 45–48.</w:t>
      </w:r>
    </w:p>
    <w:p w14:paraId="6D74BD23"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Devi, S. (2000). Sacred groves of Manipur. In Proceedings of National Workshop on Community Strategies on the Management of Natural Resources. Indira Gandhi </w:t>
      </w:r>
      <w:proofErr w:type="spellStart"/>
      <w:r w:rsidRPr="00782185">
        <w:rPr>
          <w:rFonts w:ascii="Arial" w:hAnsi="Arial" w:cs="Arial"/>
          <w:iCs/>
          <w:sz w:val="20"/>
          <w:szCs w:val="20"/>
        </w:rPr>
        <w:t>Rashtriya</w:t>
      </w:r>
      <w:proofErr w:type="spellEnd"/>
      <w:r w:rsidRPr="00782185">
        <w:rPr>
          <w:rFonts w:ascii="Arial" w:hAnsi="Arial" w:cs="Arial"/>
          <w:iCs/>
          <w:sz w:val="20"/>
          <w:szCs w:val="20"/>
        </w:rPr>
        <w:t xml:space="preserve"> Manav </w:t>
      </w:r>
      <w:proofErr w:type="spellStart"/>
      <w:r w:rsidRPr="00782185">
        <w:rPr>
          <w:rFonts w:ascii="Arial" w:hAnsi="Arial" w:cs="Arial"/>
          <w:iCs/>
          <w:sz w:val="20"/>
          <w:szCs w:val="20"/>
        </w:rPr>
        <w:t>Sanghralaya</w:t>
      </w:r>
      <w:proofErr w:type="spellEnd"/>
      <w:r w:rsidRPr="00782185">
        <w:rPr>
          <w:rFonts w:ascii="Arial" w:hAnsi="Arial" w:cs="Arial"/>
          <w:iCs/>
          <w:sz w:val="20"/>
          <w:szCs w:val="20"/>
        </w:rPr>
        <w:t>, Bhopal.</w:t>
      </w:r>
    </w:p>
    <w:p w14:paraId="3288C779"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Dutta, D. (2013). A study on the biodiversity of the plant resources of the patch vegetations around rural homestead in Jorhat district, Assam and its role in socio-economy of the villagers. Project Completion Report, Rain Forest Research Institute, Jorhat, 53 pp.</w:t>
      </w:r>
    </w:p>
    <w:p w14:paraId="44594C3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Dutta, D., Hazarika, P., &amp; Hazarika, P. (2017a). Wild edible plant species in patch vegetations of Jorhat district, Assam, India. International Research Journal of Biological Sciences, 6(3), 14–25.</w:t>
      </w:r>
    </w:p>
    <w:p w14:paraId="30CCC879"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Dutta, J., Muang, O., Balasubramanian, D., </w:t>
      </w:r>
      <w:proofErr w:type="spellStart"/>
      <w:r w:rsidRPr="00782185">
        <w:rPr>
          <w:rFonts w:ascii="Arial" w:hAnsi="Arial" w:cs="Arial"/>
          <w:iCs/>
          <w:sz w:val="20"/>
          <w:szCs w:val="20"/>
        </w:rPr>
        <w:t>Pangging</w:t>
      </w:r>
      <w:proofErr w:type="spellEnd"/>
      <w:r w:rsidRPr="00782185">
        <w:rPr>
          <w:rFonts w:ascii="Arial" w:hAnsi="Arial" w:cs="Arial"/>
          <w:iCs/>
          <w:sz w:val="20"/>
          <w:szCs w:val="20"/>
        </w:rPr>
        <w:t xml:space="preserve">, G., &amp; Arunachalam, A. (2017b). Sacred groves of </w:t>
      </w:r>
      <w:proofErr w:type="spellStart"/>
      <w:r w:rsidRPr="00782185">
        <w:rPr>
          <w:rFonts w:ascii="Arial" w:hAnsi="Arial" w:cs="Arial"/>
          <w:iCs/>
          <w:sz w:val="20"/>
          <w:szCs w:val="20"/>
        </w:rPr>
        <w:t>Ziro</w:t>
      </w:r>
      <w:proofErr w:type="spellEnd"/>
      <w:r w:rsidRPr="00782185">
        <w:rPr>
          <w:rFonts w:ascii="Arial" w:hAnsi="Arial" w:cs="Arial"/>
          <w:iCs/>
          <w:sz w:val="20"/>
          <w:szCs w:val="20"/>
        </w:rPr>
        <w:t xml:space="preserve"> Valley dominated by </w:t>
      </w:r>
      <w:proofErr w:type="spellStart"/>
      <w:r w:rsidRPr="00782185">
        <w:rPr>
          <w:rFonts w:ascii="Arial" w:hAnsi="Arial" w:cs="Arial"/>
          <w:iCs/>
          <w:sz w:val="20"/>
          <w:szCs w:val="20"/>
        </w:rPr>
        <w:t>Apatani</w:t>
      </w:r>
      <w:proofErr w:type="spellEnd"/>
      <w:r w:rsidRPr="00782185">
        <w:rPr>
          <w:rFonts w:ascii="Arial" w:hAnsi="Arial" w:cs="Arial"/>
          <w:iCs/>
          <w:sz w:val="20"/>
          <w:szCs w:val="20"/>
        </w:rPr>
        <w:t xml:space="preserve"> tribes in Arunachal Pradesh. Indian Journal of Hill Farming, 30(1), 132–138.</w:t>
      </w:r>
    </w:p>
    <w:p w14:paraId="3B33872D"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Fernandes, E.C.M., &amp; Nair, P.K.R. (1986). An evaluation of the structure and function of tropical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Agricultural Systems, 21(4), 279–310. https://doi.org/10.1016/0308-521X(86)90104-6</w:t>
      </w:r>
    </w:p>
    <w:p w14:paraId="42D58C2F"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lastRenderedPageBreak/>
        <w:t xml:space="preserve">Forest, Environment and Wildlife Management Department (FEWMD), Government of Sikkim. (2011). Sacred groves of Sikkim. Government of Sikkim, </w:t>
      </w:r>
      <w:proofErr w:type="spellStart"/>
      <w:r w:rsidRPr="00782185">
        <w:rPr>
          <w:rFonts w:ascii="Arial" w:hAnsi="Arial" w:cs="Arial"/>
          <w:iCs/>
          <w:sz w:val="20"/>
          <w:szCs w:val="20"/>
        </w:rPr>
        <w:t>Gangtok</w:t>
      </w:r>
      <w:proofErr w:type="spellEnd"/>
      <w:r w:rsidRPr="00782185">
        <w:rPr>
          <w:rFonts w:ascii="Arial" w:hAnsi="Arial" w:cs="Arial"/>
          <w:iCs/>
          <w:sz w:val="20"/>
          <w:szCs w:val="20"/>
        </w:rPr>
        <w:t>.</w:t>
      </w:r>
    </w:p>
    <w:p w14:paraId="156FC1D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Food and Agriculture Organization of the United Nations. (1998). FRA 2000 terms and definitions, Forest Resources Assessment Working Paper 1. FAO Forestry Department.</w:t>
      </w:r>
    </w:p>
    <w:p w14:paraId="7B6B2120"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Forest Survey of India. (2019). State of Forest Report. Ministry of Environment and Forests, Government of India, Dehradun.</w:t>
      </w:r>
    </w:p>
    <w:p w14:paraId="57E2BD4A"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Forest Survey of India. (2021). State of Forest Report. Ministry of Environment and Forests, Government of India, Dehradun.</w:t>
      </w:r>
    </w:p>
    <w:p w14:paraId="308492AE"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Gogoi</w:t>
      </w:r>
      <w:proofErr w:type="spellEnd"/>
      <w:r w:rsidRPr="00782185">
        <w:rPr>
          <w:rFonts w:ascii="Arial" w:hAnsi="Arial" w:cs="Arial"/>
          <w:iCs/>
          <w:sz w:val="20"/>
          <w:szCs w:val="20"/>
        </w:rPr>
        <w:t>, P.P., &amp;</w:t>
      </w:r>
      <w:proofErr w:type="spellStart"/>
      <w:r w:rsidRPr="00782185">
        <w:rPr>
          <w:rFonts w:ascii="Arial" w:hAnsi="Arial" w:cs="Arial"/>
          <w:iCs/>
          <w:sz w:val="20"/>
          <w:szCs w:val="20"/>
        </w:rPr>
        <w:t>Kikhi</w:t>
      </w:r>
      <w:proofErr w:type="spellEnd"/>
      <w:r w:rsidRPr="00782185">
        <w:rPr>
          <w:rFonts w:ascii="Arial" w:hAnsi="Arial" w:cs="Arial"/>
          <w:iCs/>
          <w:sz w:val="20"/>
          <w:szCs w:val="20"/>
        </w:rPr>
        <w:t>, K. (2023). Conserving human-nature nexuses: Biodiversity, eco-ethics and sacred forests of Assam. Social Change and Development, 20(1), 1–16.</w:t>
      </w:r>
    </w:p>
    <w:p w14:paraId="68FBEC09"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Gokhale, Y., </w:t>
      </w:r>
      <w:proofErr w:type="spellStart"/>
      <w:r w:rsidRPr="00782185">
        <w:rPr>
          <w:rFonts w:ascii="Arial" w:hAnsi="Arial" w:cs="Arial"/>
          <w:iCs/>
          <w:sz w:val="20"/>
          <w:szCs w:val="20"/>
        </w:rPr>
        <w:t>Velankar</w:t>
      </w:r>
      <w:proofErr w:type="spellEnd"/>
      <w:r w:rsidRPr="00782185">
        <w:rPr>
          <w:rFonts w:ascii="Arial" w:hAnsi="Arial" w:cs="Arial"/>
          <w:iCs/>
          <w:sz w:val="20"/>
          <w:szCs w:val="20"/>
        </w:rPr>
        <w:t xml:space="preserve">, R., Subash Chandran, M.D., &amp; </w:t>
      </w:r>
      <w:proofErr w:type="spellStart"/>
      <w:r w:rsidRPr="00782185">
        <w:rPr>
          <w:rFonts w:ascii="Arial" w:hAnsi="Arial" w:cs="Arial"/>
          <w:iCs/>
          <w:sz w:val="20"/>
          <w:szCs w:val="20"/>
        </w:rPr>
        <w:t>Gadgil</w:t>
      </w:r>
      <w:proofErr w:type="spellEnd"/>
      <w:r w:rsidRPr="00782185">
        <w:rPr>
          <w:rFonts w:ascii="Arial" w:hAnsi="Arial" w:cs="Arial"/>
          <w:iCs/>
          <w:sz w:val="20"/>
          <w:szCs w:val="20"/>
        </w:rPr>
        <w:t xml:space="preserve">, M. (1998). Sacred woods, grasslands and waterbodies as self-organized systems of conservation. In P.S. Ramakrishnan, K.G. Saxena, &amp; U.M. </w:t>
      </w:r>
      <w:proofErr w:type="spellStart"/>
      <w:r w:rsidRPr="00782185">
        <w:rPr>
          <w:rFonts w:ascii="Arial" w:hAnsi="Arial" w:cs="Arial"/>
          <w:iCs/>
          <w:sz w:val="20"/>
          <w:szCs w:val="20"/>
        </w:rPr>
        <w:t>Chandrashekara</w:t>
      </w:r>
      <w:proofErr w:type="spellEnd"/>
      <w:r w:rsidRPr="00782185">
        <w:rPr>
          <w:rFonts w:ascii="Arial" w:hAnsi="Arial" w:cs="Arial"/>
          <w:iCs/>
          <w:sz w:val="20"/>
          <w:szCs w:val="20"/>
        </w:rPr>
        <w:t xml:space="preserve"> (Eds.), Conserving the sacred for biodiversity management (pp. 365–398). Oxford and IBH Publishing Co., New Delhi.</w:t>
      </w:r>
    </w:p>
    <w:p w14:paraId="239AF26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Goswami, N.K., </w:t>
      </w:r>
      <w:proofErr w:type="spellStart"/>
      <w:r w:rsidRPr="00782185">
        <w:rPr>
          <w:rFonts w:ascii="Arial" w:hAnsi="Arial" w:cs="Arial"/>
          <w:iCs/>
          <w:sz w:val="20"/>
          <w:szCs w:val="20"/>
        </w:rPr>
        <w:t>Saharia</w:t>
      </w:r>
      <w:proofErr w:type="spellEnd"/>
      <w:r w:rsidRPr="00782185">
        <w:rPr>
          <w:rFonts w:ascii="Arial" w:hAnsi="Arial" w:cs="Arial"/>
          <w:iCs/>
          <w:sz w:val="20"/>
          <w:szCs w:val="20"/>
        </w:rPr>
        <w:t xml:space="preserve">, D., &amp; Kar, A. (2011). Homestead gardens diversity of a watershed development project area in </w:t>
      </w:r>
      <w:proofErr w:type="spellStart"/>
      <w:r w:rsidRPr="00782185">
        <w:rPr>
          <w:rFonts w:ascii="Arial" w:hAnsi="Arial" w:cs="Arial"/>
          <w:iCs/>
          <w:sz w:val="20"/>
          <w:szCs w:val="20"/>
        </w:rPr>
        <w:t>Kamrup</w:t>
      </w:r>
      <w:proofErr w:type="spellEnd"/>
      <w:r w:rsidRPr="00782185">
        <w:rPr>
          <w:rFonts w:ascii="Arial" w:hAnsi="Arial" w:cs="Arial"/>
          <w:iCs/>
          <w:sz w:val="20"/>
          <w:szCs w:val="20"/>
        </w:rPr>
        <w:t xml:space="preserve"> District, Assam. Pleione, 5(1), 32–42.</w:t>
      </w:r>
    </w:p>
    <w:p w14:paraId="0A52512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Hazarika, P., Tripathi, Y.C., &amp;</w:t>
      </w:r>
      <w:proofErr w:type="spellStart"/>
      <w:r w:rsidRPr="00782185">
        <w:rPr>
          <w:rFonts w:ascii="Arial" w:hAnsi="Arial" w:cs="Arial"/>
          <w:iCs/>
          <w:sz w:val="20"/>
          <w:szCs w:val="20"/>
        </w:rPr>
        <w:t>Zhasa</w:t>
      </w:r>
      <w:proofErr w:type="spellEnd"/>
      <w:r w:rsidRPr="00782185">
        <w:rPr>
          <w:rFonts w:ascii="Arial" w:hAnsi="Arial" w:cs="Arial"/>
          <w:iCs/>
          <w:sz w:val="20"/>
          <w:szCs w:val="20"/>
        </w:rPr>
        <w:t xml:space="preserve">, N.N. (2001). Indigenous and traditional agroforestry in Assam. In B.P. Bhatt, K.M. </w:t>
      </w:r>
      <w:proofErr w:type="spellStart"/>
      <w:r w:rsidRPr="00782185">
        <w:rPr>
          <w:rFonts w:ascii="Arial" w:hAnsi="Arial" w:cs="Arial"/>
          <w:iCs/>
          <w:sz w:val="20"/>
          <w:szCs w:val="20"/>
        </w:rPr>
        <w:t>Bujarbaruah</w:t>
      </w:r>
      <w:proofErr w:type="spellEnd"/>
      <w:r w:rsidRPr="00782185">
        <w:rPr>
          <w:rFonts w:ascii="Arial" w:hAnsi="Arial" w:cs="Arial"/>
          <w:iCs/>
          <w:sz w:val="20"/>
          <w:szCs w:val="20"/>
        </w:rPr>
        <w:t>, Y.P. Sharma, &amp;</w:t>
      </w:r>
      <w:proofErr w:type="spellStart"/>
      <w:r w:rsidRPr="00782185">
        <w:rPr>
          <w:rFonts w:ascii="Arial" w:hAnsi="Arial" w:cs="Arial"/>
          <w:iCs/>
          <w:sz w:val="20"/>
          <w:szCs w:val="20"/>
        </w:rPr>
        <w:t>Patiram</w:t>
      </w:r>
      <w:proofErr w:type="spellEnd"/>
      <w:r w:rsidRPr="00782185">
        <w:rPr>
          <w:rFonts w:ascii="Arial" w:hAnsi="Arial" w:cs="Arial"/>
          <w:iCs/>
          <w:sz w:val="20"/>
          <w:szCs w:val="20"/>
        </w:rPr>
        <w:t xml:space="preserve"> (Eds.), Proceedings of the National Seminar on Approaches for Increasing Agricultural Productivity in Hill and Mountain Ecosystem (pp. 149–152). ICAR Research Complex for NEH Region, </w:t>
      </w:r>
      <w:proofErr w:type="spellStart"/>
      <w:r w:rsidRPr="00782185">
        <w:rPr>
          <w:rFonts w:ascii="Arial" w:hAnsi="Arial" w:cs="Arial"/>
          <w:iCs/>
          <w:sz w:val="20"/>
          <w:szCs w:val="20"/>
        </w:rPr>
        <w:t>Umiam</w:t>
      </w:r>
      <w:proofErr w:type="spellEnd"/>
      <w:r w:rsidRPr="00782185">
        <w:rPr>
          <w:rFonts w:ascii="Arial" w:hAnsi="Arial" w:cs="Arial"/>
          <w:iCs/>
          <w:sz w:val="20"/>
          <w:szCs w:val="20"/>
        </w:rPr>
        <w:t>, Meghalaya.</w:t>
      </w:r>
    </w:p>
    <w:p w14:paraId="1300290D"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Hui, T., Hui, P.K., </w:t>
      </w:r>
      <w:proofErr w:type="spellStart"/>
      <w:r w:rsidRPr="00782185">
        <w:rPr>
          <w:rFonts w:ascii="Arial" w:hAnsi="Arial" w:cs="Arial"/>
          <w:iCs/>
          <w:sz w:val="20"/>
          <w:szCs w:val="20"/>
        </w:rPr>
        <w:t>Gogoi</w:t>
      </w:r>
      <w:proofErr w:type="spellEnd"/>
      <w:r w:rsidRPr="00782185">
        <w:rPr>
          <w:rFonts w:ascii="Arial" w:hAnsi="Arial" w:cs="Arial"/>
          <w:iCs/>
          <w:sz w:val="20"/>
          <w:szCs w:val="20"/>
        </w:rPr>
        <w:t xml:space="preserve">, B.J., Tam, N., &amp; </w:t>
      </w:r>
      <w:proofErr w:type="spellStart"/>
      <w:r w:rsidRPr="00782185">
        <w:rPr>
          <w:rFonts w:ascii="Arial" w:hAnsi="Arial" w:cs="Arial"/>
          <w:iCs/>
          <w:sz w:val="20"/>
          <w:szCs w:val="20"/>
        </w:rPr>
        <w:t>Tsering</w:t>
      </w:r>
      <w:proofErr w:type="spellEnd"/>
      <w:r w:rsidRPr="00782185">
        <w:rPr>
          <w:rFonts w:ascii="Arial" w:hAnsi="Arial" w:cs="Arial"/>
          <w:iCs/>
          <w:sz w:val="20"/>
          <w:szCs w:val="20"/>
        </w:rPr>
        <w:t xml:space="preserve">, J. (2016). </w:t>
      </w:r>
      <w:proofErr w:type="spellStart"/>
      <w:r w:rsidRPr="00782185">
        <w:rPr>
          <w:rFonts w:ascii="Arial" w:hAnsi="Arial" w:cs="Arial"/>
          <w:iCs/>
          <w:sz w:val="20"/>
          <w:szCs w:val="20"/>
        </w:rPr>
        <w:t>Phu</w:t>
      </w:r>
      <w:proofErr w:type="spellEnd"/>
      <w:r w:rsidRPr="00782185">
        <w:rPr>
          <w:rFonts w:ascii="Arial" w:hAnsi="Arial" w:cs="Arial"/>
          <w:iCs/>
          <w:sz w:val="20"/>
          <w:szCs w:val="20"/>
        </w:rPr>
        <w:t xml:space="preserve">: High altitude sacred grove in the </w:t>
      </w:r>
      <w:proofErr w:type="spellStart"/>
      <w:r w:rsidRPr="00782185">
        <w:rPr>
          <w:rFonts w:ascii="Arial" w:hAnsi="Arial" w:cs="Arial"/>
          <w:iCs/>
          <w:sz w:val="20"/>
          <w:szCs w:val="20"/>
        </w:rPr>
        <w:t>Monpa</w:t>
      </w:r>
      <w:proofErr w:type="spellEnd"/>
      <w:r w:rsidRPr="00782185">
        <w:rPr>
          <w:rFonts w:ascii="Arial" w:hAnsi="Arial" w:cs="Arial"/>
          <w:iCs/>
          <w:sz w:val="20"/>
          <w:szCs w:val="20"/>
        </w:rPr>
        <w:t xml:space="preserve"> cultural landscape of West Arunachal Pradesh (Eastern Himalaya). Journal of Bioresources, 3(2), 28–32.</w:t>
      </w:r>
    </w:p>
    <w:p w14:paraId="08339013"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Jamir, S.A., &amp; Pandey, H.N. (2003). Vascular plant diversity in the sacred groves of </w:t>
      </w:r>
      <w:proofErr w:type="spellStart"/>
      <w:r w:rsidRPr="00782185">
        <w:rPr>
          <w:rFonts w:ascii="Arial" w:hAnsi="Arial" w:cs="Arial"/>
          <w:iCs/>
          <w:sz w:val="20"/>
          <w:szCs w:val="20"/>
        </w:rPr>
        <w:t>Jaintia</w:t>
      </w:r>
      <w:proofErr w:type="spellEnd"/>
      <w:r w:rsidRPr="00782185">
        <w:rPr>
          <w:rFonts w:ascii="Arial" w:hAnsi="Arial" w:cs="Arial"/>
          <w:iCs/>
          <w:sz w:val="20"/>
          <w:szCs w:val="20"/>
        </w:rPr>
        <w:t xml:space="preserve"> Hills in northeast India. Biodiversity and Conservation, 12(7), 1497–1510. https://doi.org/10.1023/A:1023682228549</w:t>
      </w:r>
    </w:p>
    <w:p w14:paraId="3D2ACCCB"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Jeeceelee</w:t>
      </w:r>
      <w:proofErr w:type="spellEnd"/>
      <w:r w:rsidRPr="00782185">
        <w:rPr>
          <w:rFonts w:ascii="Arial" w:hAnsi="Arial" w:cs="Arial"/>
          <w:iCs/>
          <w:sz w:val="20"/>
          <w:szCs w:val="20"/>
        </w:rPr>
        <w:t>, L., &amp; Sahoo, U.K. (2015). Plant diversity and vegetation structure in differently sized home gardens of Mizoram, India. International Journal of Research in Agricultural Sciences, 2(5), 229–235.</w:t>
      </w:r>
    </w:p>
    <w:p w14:paraId="2DFF61D0"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Jeeva, S., Mishra, B.P., Venugopal, N., &amp; </w:t>
      </w:r>
      <w:proofErr w:type="spellStart"/>
      <w:r w:rsidRPr="00782185">
        <w:rPr>
          <w:rFonts w:ascii="Arial" w:hAnsi="Arial" w:cs="Arial"/>
          <w:iCs/>
          <w:sz w:val="20"/>
          <w:szCs w:val="20"/>
        </w:rPr>
        <w:t>Laloo</w:t>
      </w:r>
      <w:proofErr w:type="spellEnd"/>
      <w:r w:rsidRPr="00782185">
        <w:rPr>
          <w:rFonts w:ascii="Arial" w:hAnsi="Arial" w:cs="Arial"/>
          <w:iCs/>
          <w:sz w:val="20"/>
          <w:szCs w:val="20"/>
        </w:rPr>
        <w:t>, R.C. (2006). Traditional knowledge and biodiversity conservation in the sacred groves of Meghalaya. Indian Journal of Traditional Knowledge, 5(4), 563–568.</w:t>
      </w:r>
    </w:p>
    <w:p w14:paraId="395828C7"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Kaushik, P.K., &amp; </w:t>
      </w:r>
      <w:proofErr w:type="spellStart"/>
      <w:r w:rsidRPr="00782185">
        <w:rPr>
          <w:rFonts w:ascii="Arial" w:hAnsi="Arial" w:cs="Arial"/>
          <w:iCs/>
          <w:sz w:val="20"/>
          <w:szCs w:val="20"/>
        </w:rPr>
        <w:t>Saha</w:t>
      </w:r>
      <w:proofErr w:type="spellEnd"/>
      <w:r w:rsidRPr="00782185">
        <w:rPr>
          <w:rFonts w:ascii="Arial" w:hAnsi="Arial" w:cs="Arial"/>
          <w:iCs/>
          <w:sz w:val="20"/>
          <w:szCs w:val="20"/>
        </w:rPr>
        <w:t>, P. (2020). Home herbal garden for promotion of herbal health care system in Tripura. In S. Sen &amp; R. Chakraborty (Eds.), Herbal medicine in India (pp. 89–100). Springer, Singapore. https://doi.org/10.1007/978-981-13-7248-3_7</w:t>
      </w:r>
    </w:p>
    <w:p w14:paraId="06212753"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Khan, M.L., </w:t>
      </w:r>
      <w:proofErr w:type="spellStart"/>
      <w:r w:rsidRPr="00782185">
        <w:rPr>
          <w:rFonts w:ascii="Arial" w:hAnsi="Arial" w:cs="Arial"/>
          <w:iCs/>
          <w:sz w:val="20"/>
          <w:szCs w:val="20"/>
        </w:rPr>
        <w:t>Khumbongmayum</w:t>
      </w:r>
      <w:proofErr w:type="spellEnd"/>
      <w:r w:rsidRPr="00782185">
        <w:rPr>
          <w:rFonts w:ascii="Arial" w:hAnsi="Arial" w:cs="Arial"/>
          <w:iCs/>
          <w:sz w:val="20"/>
          <w:szCs w:val="20"/>
        </w:rPr>
        <w:t>, A.D., &amp; Tripathi, R.S. (2008). The sacred groves and their significance in conserving biodiversity: An overview. International Journal of Ecology and Environmental Sciences, 34(3), 277–291.</w:t>
      </w:r>
    </w:p>
    <w:p w14:paraId="40EE4423"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Khan, M.L., Menon, S., &amp; </w:t>
      </w:r>
      <w:proofErr w:type="spellStart"/>
      <w:r w:rsidRPr="00782185">
        <w:rPr>
          <w:rFonts w:ascii="Arial" w:hAnsi="Arial" w:cs="Arial"/>
          <w:iCs/>
          <w:sz w:val="20"/>
          <w:szCs w:val="20"/>
        </w:rPr>
        <w:t>Bawa</w:t>
      </w:r>
      <w:proofErr w:type="spellEnd"/>
      <w:r w:rsidRPr="00782185">
        <w:rPr>
          <w:rFonts w:ascii="Arial" w:hAnsi="Arial" w:cs="Arial"/>
          <w:iCs/>
          <w:sz w:val="20"/>
          <w:szCs w:val="20"/>
        </w:rPr>
        <w:t>, K.S. (1997). Effectiveness of the protected area network in biodiversity conservation: A case-study of Meghalaya state. Biodiversity and Conservation, 6, 853–868. https://doi.org/10.1023/B:BIOC.0000010406.35667.c0</w:t>
      </w:r>
    </w:p>
    <w:p w14:paraId="0FB8DA45"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Kharkongor</w:t>
      </w:r>
      <w:proofErr w:type="spellEnd"/>
      <w:r w:rsidRPr="00782185">
        <w:rPr>
          <w:rFonts w:ascii="Arial" w:hAnsi="Arial" w:cs="Arial"/>
          <w:iCs/>
          <w:sz w:val="20"/>
          <w:szCs w:val="20"/>
        </w:rPr>
        <w:t>, B.M., &amp; Tiwari, B.K. (2017). Sacred groves of Meghalaya: A review. International Journal of Scientific Research, 6(3), 346–349.</w:t>
      </w:r>
    </w:p>
    <w:p w14:paraId="419A3D97"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lastRenderedPageBreak/>
        <w:t>Khumbongmayum</w:t>
      </w:r>
      <w:proofErr w:type="spellEnd"/>
      <w:r w:rsidRPr="00782185">
        <w:rPr>
          <w:rFonts w:ascii="Arial" w:hAnsi="Arial" w:cs="Arial"/>
          <w:iCs/>
          <w:sz w:val="20"/>
          <w:szCs w:val="20"/>
        </w:rPr>
        <w:t xml:space="preserve">, A.D., Khan, M.L., &amp; Tripathi, R.S. (2004). Sacred groves of Manipur—ideal </w:t>
      </w:r>
      <w:proofErr w:type="spellStart"/>
      <w:r w:rsidRPr="00782185">
        <w:rPr>
          <w:rFonts w:ascii="Arial" w:hAnsi="Arial" w:cs="Arial"/>
          <w:iCs/>
          <w:sz w:val="20"/>
          <w:szCs w:val="20"/>
        </w:rPr>
        <w:t>centres</w:t>
      </w:r>
      <w:proofErr w:type="spellEnd"/>
      <w:r w:rsidRPr="00782185">
        <w:rPr>
          <w:rFonts w:ascii="Arial" w:hAnsi="Arial" w:cs="Arial"/>
          <w:iCs/>
          <w:sz w:val="20"/>
          <w:szCs w:val="20"/>
        </w:rPr>
        <w:t xml:space="preserve"> for biodiversity conservation. Current Science, 87(4), 430–433.</w:t>
      </w:r>
    </w:p>
    <w:p w14:paraId="5539B05B"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Khumbongmayum</w:t>
      </w:r>
      <w:proofErr w:type="spellEnd"/>
      <w:r w:rsidRPr="00782185">
        <w:rPr>
          <w:rFonts w:ascii="Arial" w:hAnsi="Arial" w:cs="Arial"/>
          <w:iCs/>
          <w:sz w:val="20"/>
          <w:szCs w:val="20"/>
        </w:rPr>
        <w:t>, A.D., Khan, M.L., &amp; Tripathi, R.S. (2005a). Sacred groves of Manipur, northeast India: Biodiversity value, status and strategies for their conservation. Biodiversity and Conservation, 14, 1541–1582. https://doi.org/10.1007/s10531-004-0530-5</w:t>
      </w:r>
    </w:p>
    <w:p w14:paraId="212F7F7B"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Khumbongmayum</w:t>
      </w:r>
      <w:proofErr w:type="spellEnd"/>
      <w:r w:rsidRPr="00782185">
        <w:rPr>
          <w:rFonts w:ascii="Arial" w:hAnsi="Arial" w:cs="Arial"/>
          <w:iCs/>
          <w:sz w:val="20"/>
          <w:szCs w:val="20"/>
        </w:rPr>
        <w:t>, A.D., Khan, M.L., &amp; Tripathi, R.S. (2005b). Ethnomedicinal plants in the sacred groves of Manipur. Indian Journal of Traditional Knowledge, 4(1), 21–32.</w:t>
      </w:r>
    </w:p>
    <w:p w14:paraId="363A652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Kumar, B., &amp; Nair, P. (2004). The enigma of tropical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Agroforestry Systems, 61, 135–152. https://doi.org/10.1023/B:AGFO.0000028995.13227.ca</w:t>
      </w:r>
    </w:p>
    <w:p w14:paraId="79477057"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Laloo</w:t>
      </w:r>
      <w:proofErr w:type="spellEnd"/>
      <w:r w:rsidRPr="00782185">
        <w:rPr>
          <w:rFonts w:ascii="Arial" w:hAnsi="Arial" w:cs="Arial"/>
          <w:iCs/>
          <w:sz w:val="20"/>
          <w:szCs w:val="20"/>
        </w:rPr>
        <w:t xml:space="preserve">, R.C., </w:t>
      </w:r>
      <w:proofErr w:type="spellStart"/>
      <w:r w:rsidRPr="00782185">
        <w:rPr>
          <w:rFonts w:ascii="Arial" w:hAnsi="Arial" w:cs="Arial"/>
          <w:iCs/>
          <w:sz w:val="20"/>
          <w:szCs w:val="20"/>
        </w:rPr>
        <w:t>Kharlukhi</w:t>
      </w:r>
      <w:proofErr w:type="spellEnd"/>
      <w:r w:rsidRPr="00782185">
        <w:rPr>
          <w:rFonts w:ascii="Arial" w:hAnsi="Arial" w:cs="Arial"/>
          <w:iCs/>
          <w:sz w:val="20"/>
          <w:szCs w:val="20"/>
        </w:rPr>
        <w:t>, L., Jeeva, S., &amp; Mishra, B.P. (2006). Status of medicinal plants in the disturbed and the undisturbed sacred forest of Meghalaya, Northeast India: Population structure and regeneration efficacy of some important species. Current Science, 90(2), 225–231.</w:t>
      </w:r>
    </w:p>
    <w:p w14:paraId="44ADBE61"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Lepcha</w:t>
      </w:r>
      <w:proofErr w:type="spellEnd"/>
      <w:r w:rsidRPr="00782185">
        <w:rPr>
          <w:rFonts w:ascii="Arial" w:hAnsi="Arial" w:cs="Arial"/>
          <w:iCs/>
          <w:sz w:val="20"/>
          <w:szCs w:val="20"/>
        </w:rPr>
        <w:t xml:space="preserve">, D.L., Shukla, G., Chakravarty, S., </w:t>
      </w:r>
      <w:proofErr w:type="spellStart"/>
      <w:r w:rsidRPr="00782185">
        <w:rPr>
          <w:rFonts w:ascii="Arial" w:hAnsi="Arial" w:cs="Arial"/>
          <w:iCs/>
          <w:sz w:val="20"/>
          <w:szCs w:val="20"/>
        </w:rPr>
        <w:t>Vineeta</w:t>
      </w:r>
      <w:proofErr w:type="spellEnd"/>
      <w:r w:rsidRPr="00782185">
        <w:rPr>
          <w:rFonts w:ascii="Arial" w:hAnsi="Arial" w:cs="Arial"/>
          <w:iCs/>
          <w:sz w:val="20"/>
          <w:szCs w:val="20"/>
        </w:rPr>
        <w:t xml:space="preserve">, V., Sarkar, B.C., Manohar, K., Pala, N.A., Chettri, R., &amp; Tamang, M. (2019). Ethno-botanical plant diversity in home </w:t>
      </w:r>
      <w:proofErr w:type="gramStart"/>
      <w:r w:rsidRPr="00782185">
        <w:rPr>
          <w:rFonts w:ascii="Arial" w:hAnsi="Arial" w:cs="Arial"/>
          <w:iCs/>
          <w:sz w:val="20"/>
          <w:szCs w:val="20"/>
        </w:rPr>
        <w:t>gardens based</w:t>
      </w:r>
      <w:proofErr w:type="gramEnd"/>
      <w:r w:rsidRPr="00782185">
        <w:rPr>
          <w:rFonts w:ascii="Arial" w:hAnsi="Arial" w:cs="Arial"/>
          <w:iCs/>
          <w:sz w:val="20"/>
          <w:szCs w:val="20"/>
        </w:rPr>
        <w:t xml:space="preserve"> agroforestry system in </w:t>
      </w:r>
      <w:proofErr w:type="spellStart"/>
      <w:r w:rsidRPr="00782185">
        <w:rPr>
          <w:rFonts w:ascii="Arial" w:hAnsi="Arial" w:cs="Arial"/>
          <w:iCs/>
          <w:sz w:val="20"/>
          <w:szCs w:val="20"/>
        </w:rPr>
        <w:t>Kanchendzonga</w:t>
      </w:r>
      <w:proofErr w:type="spellEnd"/>
      <w:r w:rsidRPr="00782185">
        <w:rPr>
          <w:rFonts w:ascii="Arial" w:hAnsi="Arial" w:cs="Arial"/>
          <w:iCs/>
          <w:sz w:val="20"/>
          <w:szCs w:val="20"/>
        </w:rPr>
        <w:t xml:space="preserve"> Biosphere Reserve, Sikkim, India. Journal of Tree Sciences, 38(2), 59–69.</w:t>
      </w:r>
    </w:p>
    <w:p w14:paraId="586D63FB"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Maibam</w:t>
      </w:r>
      <w:proofErr w:type="spellEnd"/>
      <w:r w:rsidRPr="00782185">
        <w:rPr>
          <w:rFonts w:ascii="Arial" w:hAnsi="Arial" w:cs="Arial"/>
          <w:iCs/>
          <w:sz w:val="20"/>
          <w:szCs w:val="20"/>
        </w:rPr>
        <w:t xml:space="preserve">, R.S., &amp; Gupta, A. (2007). Home gardens of </w:t>
      </w:r>
      <w:proofErr w:type="spellStart"/>
      <w:r w:rsidRPr="00782185">
        <w:rPr>
          <w:rFonts w:ascii="Arial" w:hAnsi="Arial" w:cs="Arial"/>
          <w:iCs/>
          <w:sz w:val="20"/>
          <w:szCs w:val="20"/>
        </w:rPr>
        <w:t>Kakching</w:t>
      </w:r>
      <w:proofErr w:type="spellEnd"/>
      <w:r w:rsidRPr="00782185">
        <w:rPr>
          <w:rFonts w:ascii="Arial" w:hAnsi="Arial" w:cs="Arial"/>
          <w:iCs/>
          <w:sz w:val="20"/>
          <w:szCs w:val="20"/>
        </w:rPr>
        <w:t>, Manipur—A diverse and sustainable agroecosystem. Journal of Economic and Taxonomic Botany, 31(2), 402–410.</w:t>
      </w:r>
    </w:p>
    <w:p w14:paraId="77A17EB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Malhotra, K.C. (1990). Supply and safety forests in Mizoram. In Proceedings of the Vth International Conference on Ecological Sciences (p. 439). Yokohama.</w:t>
      </w:r>
    </w:p>
    <w:p w14:paraId="0987B104"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Malhotra, K.C., Gokhale, Y., Chatterjee, S., &amp; Srivastava, S. (2001). Cultural and ecological dimensions of sacred groves in India. Indian National Science Academy, New Delhi, and Indira Gandhi </w:t>
      </w:r>
      <w:proofErr w:type="spellStart"/>
      <w:r w:rsidRPr="00782185">
        <w:rPr>
          <w:rFonts w:ascii="Arial" w:hAnsi="Arial" w:cs="Arial"/>
          <w:iCs/>
          <w:sz w:val="20"/>
          <w:szCs w:val="20"/>
        </w:rPr>
        <w:t>Rashtriya</w:t>
      </w:r>
      <w:proofErr w:type="spellEnd"/>
      <w:r w:rsidRPr="00782185">
        <w:rPr>
          <w:rFonts w:ascii="Arial" w:hAnsi="Arial" w:cs="Arial"/>
          <w:iCs/>
          <w:sz w:val="20"/>
          <w:szCs w:val="20"/>
        </w:rPr>
        <w:t xml:space="preserve"> Manav </w:t>
      </w:r>
      <w:proofErr w:type="spellStart"/>
      <w:r w:rsidRPr="00782185">
        <w:rPr>
          <w:rFonts w:ascii="Arial" w:hAnsi="Arial" w:cs="Arial"/>
          <w:iCs/>
          <w:sz w:val="20"/>
          <w:szCs w:val="20"/>
        </w:rPr>
        <w:t>Sangrahalaya</w:t>
      </w:r>
      <w:proofErr w:type="spellEnd"/>
      <w:r w:rsidRPr="00782185">
        <w:rPr>
          <w:rFonts w:ascii="Arial" w:hAnsi="Arial" w:cs="Arial"/>
          <w:iCs/>
          <w:sz w:val="20"/>
          <w:szCs w:val="20"/>
        </w:rPr>
        <w:t>, Bhopal, 30 pp.</w:t>
      </w:r>
    </w:p>
    <w:p w14:paraId="359E9B47"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Marbaniang</w:t>
      </w:r>
      <w:proofErr w:type="spellEnd"/>
      <w:r w:rsidRPr="00782185">
        <w:rPr>
          <w:rFonts w:ascii="Arial" w:hAnsi="Arial" w:cs="Arial"/>
          <w:iCs/>
          <w:sz w:val="20"/>
          <w:szCs w:val="20"/>
        </w:rPr>
        <w:t xml:space="preserve">, K.W., </w:t>
      </w:r>
      <w:proofErr w:type="spellStart"/>
      <w:r w:rsidRPr="00782185">
        <w:rPr>
          <w:rFonts w:ascii="Arial" w:hAnsi="Arial" w:cs="Arial"/>
          <w:iCs/>
          <w:sz w:val="20"/>
          <w:szCs w:val="20"/>
        </w:rPr>
        <w:t>Narzary</w:t>
      </w:r>
      <w:proofErr w:type="spellEnd"/>
      <w:r w:rsidRPr="00782185">
        <w:rPr>
          <w:rFonts w:ascii="Arial" w:hAnsi="Arial" w:cs="Arial"/>
          <w:iCs/>
          <w:sz w:val="20"/>
          <w:szCs w:val="20"/>
        </w:rPr>
        <w:t>, D., &amp; Kumar, H. (2024). Ecological attributes of sacred groves in West Khasi Hills, Meghalaya, India. Current World Environment, 19(3), 1333–1344. https://dx.doi.org/10.12944/CWE.19.3.24</w:t>
      </w:r>
    </w:p>
    <w:p w14:paraId="20B7CECF"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Medhi</w:t>
      </w:r>
      <w:proofErr w:type="spellEnd"/>
      <w:r w:rsidRPr="00782185">
        <w:rPr>
          <w:rFonts w:ascii="Arial" w:hAnsi="Arial" w:cs="Arial"/>
          <w:iCs/>
          <w:sz w:val="20"/>
          <w:szCs w:val="20"/>
        </w:rPr>
        <w:t xml:space="preserve">, P., &amp; </w:t>
      </w:r>
      <w:proofErr w:type="spellStart"/>
      <w:r w:rsidRPr="00782185">
        <w:rPr>
          <w:rFonts w:ascii="Arial" w:hAnsi="Arial" w:cs="Arial"/>
          <w:iCs/>
          <w:sz w:val="20"/>
          <w:szCs w:val="20"/>
        </w:rPr>
        <w:t>Borthakur</w:t>
      </w:r>
      <w:proofErr w:type="spellEnd"/>
      <w:r w:rsidRPr="00782185">
        <w:rPr>
          <w:rFonts w:ascii="Arial" w:hAnsi="Arial" w:cs="Arial"/>
          <w:iCs/>
          <w:sz w:val="20"/>
          <w:szCs w:val="20"/>
        </w:rPr>
        <w:t xml:space="preserve">, S.K. (2013). Sacred groves and sacred plants of the </w:t>
      </w:r>
      <w:proofErr w:type="spellStart"/>
      <w:r w:rsidRPr="00782185">
        <w:rPr>
          <w:rFonts w:ascii="Arial" w:hAnsi="Arial" w:cs="Arial"/>
          <w:iCs/>
          <w:sz w:val="20"/>
          <w:szCs w:val="20"/>
        </w:rPr>
        <w:t>Dimasas</w:t>
      </w:r>
      <w:proofErr w:type="spellEnd"/>
      <w:r w:rsidRPr="00782185">
        <w:rPr>
          <w:rFonts w:ascii="Arial" w:hAnsi="Arial" w:cs="Arial"/>
          <w:iCs/>
          <w:sz w:val="20"/>
          <w:szCs w:val="20"/>
        </w:rPr>
        <w:t xml:space="preserve"> of North </w:t>
      </w:r>
      <w:proofErr w:type="spellStart"/>
      <w:r w:rsidRPr="00782185">
        <w:rPr>
          <w:rFonts w:ascii="Arial" w:hAnsi="Arial" w:cs="Arial"/>
          <w:iCs/>
          <w:sz w:val="20"/>
          <w:szCs w:val="20"/>
        </w:rPr>
        <w:t>Cachar</w:t>
      </w:r>
      <w:proofErr w:type="spellEnd"/>
      <w:r w:rsidRPr="00782185">
        <w:rPr>
          <w:rFonts w:ascii="Arial" w:hAnsi="Arial" w:cs="Arial"/>
          <w:iCs/>
          <w:sz w:val="20"/>
          <w:szCs w:val="20"/>
        </w:rPr>
        <w:t xml:space="preserve"> Hills of Northeast India. African Journal of Plant Science, 7(2), 67–77. https://dx.doi.org/10.5897/AJPS12.038</w:t>
      </w:r>
    </w:p>
    <w:p w14:paraId="468590C6"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Mohan, S., Nair, P.K.R., &amp; Long, A.J. (2007). An assessment of ecological diversity in </w:t>
      </w:r>
      <w:proofErr w:type="spellStart"/>
      <w:r w:rsidRPr="00782185">
        <w:rPr>
          <w:rFonts w:ascii="Arial" w:hAnsi="Arial" w:cs="Arial"/>
          <w:iCs/>
          <w:sz w:val="20"/>
          <w:szCs w:val="20"/>
        </w:rPr>
        <w:t>homegardens</w:t>
      </w:r>
      <w:proofErr w:type="spellEnd"/>
      <w:r w:rsidRPr="00782185">
        <w:rPr>
          <w:rFonts w:ascii="Arial" w:hAnsi="Arial" w:cs="Arial"/>
          <w:iCs/>
          <w:sz w:val="20"/>
          <w:szCs w:val="20"/>
        </w:rPr>
        <w:t>: A case study from Kerala State, India. Journal of Sustainable Agriculture, 29(4), 135–153. https://doi.org/10.1300/J064v29n04_10</w:t>
      </w:r>
    </w:p>
    <w:p w14:paraId="0D0FD0E7"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Mohanta</w:t>
      </w:r>
      <w:proofErr w:type="spellEnd"/>
      <w:r w:rsidRPr="00782185">
        <w:rPr>
          <w:rFonts w:ascii="Arial" w:hAnsi="Arial" w:cs="Arial"/>
          <w:iCs/>
          <w:sz w:val="20"/>
          <w:szCs w:val="20"/>
        </w:rPr>
        <w:t>, R.K., Bhardwaj, A.K., Adhikari, B.S., &amp; Mathur, P.K. (2009). Distribution and conservation status of sacred groves in Garo hills, Meghalaya. Indian Forester, 135(12), 1627–1649.</w:t>
      </w:r>
    </w:p>
    <w:p w14:paraId="32CDE0A5"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Murtem</w:t>
      </w:r>
      <w:proofErr w:type="spellEnd"/>
      <w:r w:rsidRPr="00782185">
        <w:rPr>
          <w:rFonts w:ascii="Arial" w:hAnsi="Arial" w:cs="Arial"/>
          <w:iCs/>
          <w:sz w:val="20"/>
          <w:szCs w:val="20"/>
        </w:rPr>
        <w:t>, G., &amp; Chaudhry, P. (2014). Sacred groves of Arunachal Pradesh: Traditional way of biodiversity conservation in Eastern Himalaya of India. Journal of Biodiversity Management and Forestry, 3(2), 1–14. https://doi.org 10.4172/2327-4417.1000125</w:t>
      </w:r>
    </w:p>
    <w:p w14:paraId="1F2FF2A9"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Nath, A.J., &amp; Das, A.K. (2012). Carbon pool and sequestration potential of village bamboos in the agroforestry system of northeast India. Tropical Ecology, 53(3), 287–293.</w:t>
      </w:r>
    </w:p>
    <w:p w14:paraId="0D7CF345"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Nath, A.J., Lal, R., &amp; Das, A.K. (2015). Ethnopedology and soil properties in bamboo (</w:t>
      </w:r>
      <w:proofErr w:type="spellStart"/>
      <w:r w:rsidRPr="00782185">
        <w:rPr>
          <w:rFonts w:ascii="Arial" w:hAnsi="Arial" w:cs="Arial"/>
          <w:iCs/>
          <w:sz w:val="20"/>
          <w:szCs w:val="20"/>
        </w:rPr>
        <w:t>Bambusa</w:t>
      </w:r>
      <w:proofErr w:type="spellEnd"/>
      <w:r w:rsidRPr="00782185">
        <w:rPr>
          <w:rFonts w:ascii="Arial" w:hAnsi="Arial" w:cs="Arial"/>
          <w:iCs/>
          <w:sz w:val="20"/>
          <w:szCs w:val="20"/>
        </w:rPr>
        <w:t xml:space="preserve"> sp.) based agroforestry system in North East India. Catena, 521–522, 372–379. https://doi.org/10.1016/j.catena.2015.07.001</w:t>
      </w:r>
    </w:p>
    <w:p w14:paraId="0D8D688C"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lastRenderedPageBreak/>
        <w:t xml:space="preserve">Nath, A.J., </w:t>
      </w:r>
      <w:proofErr w:type="spellStart"/>
      <w:r w:rsidRPr="00782185">
        <w:rPr>
          <w:rFonts w:ascii="Arial" w:hAnsi="Arial" w:cs="Arial"/>
          <w:iCs/>
          <w:sz w:val="20"/>
          <w:szCs w:val="20"/>
        </w:rPr>
        <w:t>Sileshi</w:t>
      </w:r>
      <w:proofErr w:type="spellEnd"/>
      <w:r w:rsidRPr="00782185">
        <w:rPr>
          <w:rFonts w:ascii="Arial" w:hAnsi="Arial" w:cs="Arial"/>
          <w:iCs/>
          <w:sz w:val="20"/>
          <w:szCs w:val="20"/>
        </w:rPr>
        <w:t>, G.W., &amp; Das, A.K. (2018). Bamboo based family forests offer opportunities for biomass production and carbon farming in North East India. Land Use Policy, 75(C), 191–200. https://doi.org/10.1016/j.landusepol.2018.03.041</w:t>
      </w:r>
    </w:p>
    <w:p w14:paraId="04F08B7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Nath, S., Nath, A.J., </w:t>
      </w:r>
      <w:proofErr w:type="spellStart"/>
      <w:r w:rsidRPr="00782185">
        <w:rPr>
          <w:rFonts w:ascii="Arial" w:hAnsi="Arial" w:cs="Arial"/>
          <w:iCs/>
          <w:sz w:val="20"/>
          <w:szCs w:val="20"/>
        </w:rPr>
        <w:t>Sileshi</w:t>
      </w:r>
      <w:proofErr w:type="spellEnd"/>
      <w:r w:rsidRPr="00782185">
        <w:rPr>
          <w:rFonts w:ascii="Arial" w:hAnsi="Arial" w:cs="Arial"/>
          <w:iCs/>
          <w:sz w:val="20"/>
          <w:szCs w:val="20"/>
        </w:rPr>
        <w:t xml:space="preserve">, G.W., &amp; Das, A.K. (2017). Biomass stocks and carbon storage in </w:t>
      </w:r>
      <w:proofErr w:type="spellStart"/>
      <w:r w:rsidRPr="00782185">
        <w:rPr>
          <w:rFonts w:ascii="Arial" w:hAnsi="Arial" w:cs="Arial"/>
          <w:iCs/>
          <w:sz w:val="20"/>
          <w:szCs w:val="20"/>
        </w:rPr>
        <w:t>Barringtonia</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acutangula</w:t>
      </w:r>
      <w:proofErr w:type="spellEnd"/>
      <w:r w:rsidRPr="00782185">
        <w:rPr>
          <w:rFonts w:ascii="Arial" w:hAnsi="Arial" w:cs="Arial"/>
          <w:iCs/>
          <w:sz w:val="20"/>
          <w:szCs w:val="20"/>
        </w:rPr>
        <w:t xml:space="preserve"> floodplain forests in North East India. Biomass and Bioenergy, 98, 37–42. https://doi.org/10.1016/j.biombioe.2017.01.014</w:t>
      </w:r>
    </w:p>
    <w:p w14:paraId="1B232E72"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Pebam</w:t>
      </w:r>
      <w:proofErr w:type="spellEnd"/>
      <w:r w:rsidRPr="00782185">
        <w:rPr>
          <w:rFonts w:ascii="Arial" w:hAnsi="Arial" w:cs="Arial"/>
          <w:iCs/>
          <w:sz w:val="20"/>
          <w:szCs w:val="20"/>
        </w:rPr>
        <w:t xml:space="preserve">, R., &amp; Sahoo, U.K. (2018). Traditional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of Mizoram and their socio-economic development. In K.K. </w:t>
      </w:r>
      <w:proofErr w:type="spellStart"/>
      <w:r w:rsidRPr="00782185">
        <w:rPr>
          <w:rFonts w:ascii="Arial" w:hAnsi="Arial" w:cs="Arial"/>
          <w:iCs/>
          <w:sz w:val="20"/>
          <w:szCs w:val="20"/>
        </w:rPr>
        <w:t>Sood</w:t>
      </w:r>
      <w:proofErr w:type="spellEnd"/>
      <w:r w:rsidRPr="00782185">
        <w:rPr>
          <w:rFonts w:ascii="Arial" w:hAnsi="Arial" w:cs="Arial"/>
          <w:iCs/>
          <w:sz w:val="20"/>
          <w:szCs w:val="20"/>
        </w:rPr>
        <w:t xml:space="preserve"> &amp; V. Mahajan (Eds.), Forests, climate change and biodiversity (pp. 102–126). Kalyani Publishers, New Delhi.</w:t>
      </w:r>
    </w:p>
    <w:p w14:paraId="2FB9999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Rai, S.C. (2007). Traditional ecological knowledge and community-based natural resource management in northeast India. Journal of Mountain Science, 4, 248–258. https://doi.org/10.1007/s11629-007-0248-4</w:t>
      </w:r>
    </w:p>
    <w:p w14:paraId="033CA74B" w14:textId="77777777" w:rsidR="00746BFC" w:rsidRDefault="00746BFC" w:rsidP="004E5851">
      <w:pPr>
        <w:spacing w:line="240" w:lineRule="auto"/>
        <w:ind w:left="810" w:hanging="720"/>
        <w:jc w:val="both"/>
        <w:rPr>
          <w:rFonts w:ascii="Arial" w:hAnsi="Arial" w:cs="Arial"/>
          <w:iCs/>
          <w:sz w:val="20"/>
          <w:szCs w:val="20"/>
        </w:rPr>
      </w:pPr>
      <w:r w:rsidRPr="00746BFC">
        <w:rPr>
          <w:rFonts w:ascii="Arial" w:hAnsi="Arial" w:cs="Arial"/>
          <w:iCs/>
          <w:sz w:val="20"/>
          <w:szCs w:val="20"/>
        </w:rPr>
        <w:t xml:space="preserve">Rai, P.K., &amp; </w:t>
      </w:r>
      <w:proofErr w:type="spellStart"/>
      <w:r w:rsidRPr="00746BFC">
        <w:rPr>
          <w:rFonts w:ascii="Arial" w:hAnsi="Arial" w:cs="Arial"/>
          <w:iCs/>
          <w:sz w:val="20"/>
          <w:szCs w:val="20"/>
        </w:rPr>
        <w:t>Lalramnghinglova</w:t>
      </w:r>
      <w:proofErr w:type="spellEnd"/>
      <w:r w:rsidRPr="00746BFC">
        <w:rPr>
          <w:rFonts w:ascii="Arial" w:hAnsi="Arial" w:cs="Arial"/>
          <w:iCs/>
          <w:sz w:val="20"/>
          <w:szCs w:val="20"/>
        </w:rPr>
        <w:t>, H. (2010). Ethnomedicinal plants from agroforestry systems and home gardens of Mizoram, North East India. School of Earth Sciences and Natural Resource Management, Mizoram University.</w:t>
      </w:r>
    </w:p>
    <w:p w14:paraId="3B2EC2F7" w14:textId="65B8F284"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Roy, P., &amp; Arunachalam, A. (2014). Socioeconomic relevance of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in the fringe villages of Clouded Leopard National Park. Journal of Environmental Biology-Sciences, 28(2), 311–314.</w:t>
      </w:r>
    </w:p>
    <w:p w14:paraId="0BFA5E5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Sahoo, U.K., &amp; </w:t>
      </w:r>
      <w:proofErr w:type="spellStart"/>
      <w:r w:rsidRPr="00782185">
        <w:rPr>
          <w:rFonts w:ascii="Arial" w:hAnsi="Arial" w:cs="Arial"/>
          <w:iCs/>
          <w:sz w:val="20"/>
          <w:szCs w:val="20"/>
        </w:rPr>
        <w:t>Pebam</w:t>
      </w:r>
      <w:proofErr w:type="spellEnd"/>
      <w:r w:rsidRPr="00782185">
        <w:rPr>
          <w:rFonts w:ascii="Arial" w:hAnsi="Arial" w:cs="Arial"/>
          <w:iCs/>
          <w:sz w:val="20"/>
          <w:szCs w:val="20"/>
        </w:rPr>
        <w:t xml:space="preserve">, R. (2015). Species composition and plant diversity as influenced by altitude and size of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in Mizoram, North-East India. International Journal of Ecology and Environmental Sciences, 41(3–4), 195–215.</w:t>
      </w:r>
    </w:p>
    <w:p w14:paraId="1F010213"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Sahoo, U.K. (2009). Traditional home gardens and livelihood security in North-East India. Journal of Food, Agriculture and Environment, 7(2), 665–670.</w:t>
      </w:r>
    </w:p>
    <w:p w14:paraId="04B952AC"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Sahoo, U.K., </w:t>
      </w:r>
      <w:proofErr w:type="spellStart"/>
      <w:r w:rsidRPr="00782185">
        <w:rPr>
          <w:rFonts w:ascii="Arial" w:hAnsi="Arial" w:cs="Arial"/>
          <w:iCs/>
          <w:sz w:val="20"/>
          <w:szCs w:val="20"/>
        </w:rPr>
        <w:t>Vanlalhluna</w:t>
      </w:r>
      <w:proofErr w:type="spellEnd"/>
      <w:r w:rsidRPr="00782185">
        <w:rPr>
          <w:rFonts w:ascii="Arial" w:hAnsi="Arial" w:cs="Arial"/>
          <w:iCs/>
          <w:sz w:val="20"/>
          <w:szCs w:val="20"/>
        </w:rPr>
        <w:t xml:space="preserve">, P.C., &amp; Singh, S. (2018). Indigenous technologies and local climate change adaptation practices around East </w:t>
      </w:r>
      <w:proofErr w:type="spellStart"/>
      <w:r w:rsidRPr="00782185">
        <w:rPr>
          <w:rFonts w:ascii="Arial" w:hAnsi="Arial" w:cs="Arial"/>
          <w:iCs/>
          <w:sz w:val="20"/>
          <w:szCs w:val="20"/>
        </w:rPr>
        <w:t>Kawlchaw</w:t>
      </w:r>
      <w:proofErr w:type="spellEnd"/>
      <w:r w:rsidRPr="00782185">
        <w:rPr>
          <w:rFonts w:ascii="Arial" w:hAnsi="Arial" w:cs="Arial"/>
          <w:iCs/>
          <w:sz w:val="20"/>
          <w:szCs w:val="20"/>
        </w:rPr>
        <w:t xml:space="preserve"> Watershed, </w:t>
      </w:r>
      <w:proofErr w:type="spellStart"/>
      <w:r w:rsidRPr="00782185">
        <w:rPr>
          <w:rFonts w:ascii="Arial" w:hAnsi="Arial" w:cs="Arial"/>
          <w:iCs/>
          <w:sz w:val="20"/>
          <w:szCs w:val="20"/>
        </w:rPr>
        <w:t>Saiha</w:t>
      </w:r>
      <w:proofErr w:type="spellEnd"/>
      <w:r w:rsidRPr="00782185">
        <w:rPr>
          <w:rFonts w:ascii="Arial" w:hAnsi="Arial" w:cs="Arial"/>
          <w:iCs/>
          <w:sz w:val="20"/>
          <w:szCs w:val="20"/>
        </w:rPr>
        <w:t xml:space="preserve">, Mizoram: A case study. In J. </w:t>
      </w:r>
      <w:proofErr w:type="spellStart"/>
      <w:r w:rsidRPr="00782185">
        <w:rPr>
          <w:rFonts w:ascii="Arial" w:hAnsi="Arial" w:cs="Arial"/>
          <w:iCs/>
          <w:sz w:val="20"/>
          <w:szCs w:val="20"/>
        </w:rPr>
        <w:t>Zothanzama</w:t>
      </w:r>
      <w:proofErr w:type="spellEnd"/>
      <w:r w:rsidRPr="00782185">
        <w:rPr>
          <w:rFonts w:ascii="Arial" w:hAnsi="Arial" w:cs="Arial"/>
          <w:iCs/>
          <w:sz w:val="20"/>
          <w:szCs w:val="20"/>
        </w:rPr>
        <w:t xml:space="preserve">, B.L. </w:t>
      </w:r>
      <w:proofErr w:type="spellStart"/>
      <w:r w:rsidRPr="00782185">
        <w:rPr>
          <w:rFonts w:ascii="Arial" w:hAnsi="Arial" w:cs="Arial"/>
          <w:iCs/>
          <w:sz w:val="20"/>
          <w:szCs w:val="20"/>
        </w:rPr>
        <w:t>Saitluanga</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Lalnuntluanga</w:t>
      </w:r>
      <w:proofErr w:type="spellEnd"/>
      <w:r w:rsidRPr="00782185">
        <w:rPr>
          <w:rFonts w:ascii="Arial" w:hAnsi="Arial" w:cs="Arial"/>
          <w:iCs/>
          <w:sz w:val="20"/>
          <w:szCs w:val="20"/>
        </w:rPr>
        <w:t xml:space="preserve">, S.T. </w:t>
      </w:r>
      <w:proofErr w:type="spellStart"/>
      <w:r w:rsidRPr="00782185">
        <w:rPr>
          <w:rFonts w:ascii="Arial" w:hAnsi="Arial" w:cs="Arial"/>
          <w:iCs/>
          <w:sz w:val="20"/>
          <w:szCs w:val="20"/>
        </w:rPr>
        <w:t>Lalzarzovi</w:t>
      </w:r>
      <w:proofErr w:type="spellEnd"/>
      <w:r w:rsidRPr="00782185">
        <w:rPr>
          <w:rFonts w:ascii="Arial" w:hAnsi="Arial" w:cs="Arial"/>
          <w:iCs/>
          <w:sz w:val="20"/>
          <w:szCs w:val="20"/>
        </w:rPr>
        <w:t xml:space="preserve">, &amp; R. </w:t>
      </w:r>
      <w:proofErr w:type="spellStart"/>
      <w:r w:rsidRPr="00782185">
        <w:rPr>
          <w:rFonts w:ascii="Arial" w:hAnsi="Arial" w:cs="Arial"/>
          <w:iCs/>
          <w:sz w:val="20"/>
          <w:szCs w:val="20"/>
        </w:rPr>
        <w:t>Zonunsanga</w:t>
      </w:r>
      <w:proofErr w:type="spellEnd"/>
      <w:r w:rsidRPr="00782185">
        <w:rPr>
          <w:rFonts w:ascii="Arial" w:hAnsi="Arial" w:cs="Arial"/>
          <w:iCs/>
          <w:sz w:val="20"/>
          <w:szCs w:val="20"/>
        </w:rPr>
        <w:t xml:space="preserve"> (Eds.), Climate change: Impact, adaptation &amp; response in the Eastern Himalayas (pp. 28–39). Excel India Publishers, New Delhi.</w:t>
      </w:r>
    </w:p>
    <w:p w14:paraId="54A533B3"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Saikia</w:t>
      </w:r>
      <w:proofErr w:type="spellEnd"/>
      <w:r w:rsidRPr="00782185">
        <w:rPr>
          <w:rFonts w:ascii="Arial" w:hAnsi="Arial" w:cs="Arial"/>
          <w:iCs/>
          <w:sz w:val="20"/>
          <w:szCs w:val="20"/>
        </w:rPr>
        <w:t xml:space="preserve">, P., &amp; Khan, M.L. (2014).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of upper Assam, northeast India: A typical example of on-farm conservation of Agarwood (Aquilaria </w:t>
      </w:r>
      <w:proofErr w:type="spellStart"/>
      <w:r w:rsidRPr="00782185">
        <w:rPr>
          <w:rFonts w:ascii="Arial" w:hAnsi="Arial" w:cs="Arial"/>
          <w:iCs/>
          <w:sz w:val="20"/>
          <w:szCs w:val="20"/>
        </w:rPr>
        <w:t>malaccensis</w:t>
      </w:r>
      <w:proofErr w:type="spellEnd"/>
      <w:r w:rsidRPr="00782185">
        <w:rPr>
          <w:rFonts w:ascii="Arial" w:hAnsi="Arial" w:cs="Arial"/>
          <w:iCs/>
          <w:sz w:val="20"/>
          <w:szCs w:val="20"/>
        </w:rPr>
        <w:t xml:space="preserve"> Lam.). International Journal of Biodiversity Science, Ecosystem Services and Management, 10(4), 262–269. https://doi.org/10.1080/21513732.2014.973449</w:t>
      </w:r>
    </w:p>
    <w:p w14:paraId="60BD421A"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Salam, S., Singh, P.K., &amp; Jamir, N.S. (2011). Kitchen garden plants of </w:t>
      </w:r>
      <w:proofErr w:type="spellStart"/>
      <w:r w:rsidRPr="00782185">
        <w:rPr>
          <w:rFonts w:ascii="Arial" w:hAnsi="Arial" w:cs="Arial"/>
          <w:iCs/>
          <w:sz w:val="20"/>
          <w:szCs w:val="20"/>
        </w:rPr>
        <w:t>Tangkhul</w:t>
      </w:r>
      <w:proofErr w:type="spellEnd"/>
      <w:r w:rsidRPr="00782185">
        <w:rPr>
          <w:rFonts w:ascii="Arial" w:hAnsi="Arial" w:cs="Arial"/>
          <w:iCs/>
          <w:sz w:val="20"/>
          <w:szCs w:val="20"/>
        </w:rPr>
        <w:t xml:space="preserve"> tribe in </w:t>
      </w:r>
      <w:proofErr w:type="spellStart"/>
      <w:r w:rsidRPr="00782185">
        <w:rPr>
          <w:rFonts w:ascii="Arial" w:hAnsi="Arial" w:cs="Arial"/>
          <w:iCs/>
          <w:sz w:val="20"/>
          <w:szCs w:val="20"/>
        </w:rPr>
        <w:t>Ukhrul</w:t>
      </w:r>
      <w:proofErr w:type="spellEnd"/>
      <w:r w:rsidRPr="00782185">
        <w:rPr>
          <w:rFonts w:ascii="Arial" w:hAnsi="Arial" w:cs="Arial"/>
          <w:iCs/>
          <w:sz w:val="20"/>
          <w:szCs w:val="20"/>
        </w:rPr>
        <w:t xml:space="preserve"> District, Manipur, India. Pleione, 5(2), 280–285.</w:t>
      </w:r>
    </w:p>
    <w:p w14:paraId="579DC4BF"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Sarma</w:t>
      </w:r>
      <w:proofErr w:type="spellEnd"/>
      <w:r w:rsidRPr="00782185">
        <w:rPr>
          <w:rFonts w:ascii="Arial" w:hAnsi="Arial" w:cs="Arial"/>
          <w:iCs/>
          <w:sz w:val="20"/>
          <w:szCs w:val="20"/>
        </w:rPr>
        <w:t>, J.K. (2015). The benefits of a ‘</w:t>
      </w:r>
      <w:proofErr w:type="spellStart"/>
      <w:r w:rsidRPr="00782185">
        <w:rPr>
          <w:rFonts w:ascii="Arial" w:hAnsi="Arial" w:cs="Arial"/>
          <w:iCs/>
          <w:sz w:val="20"/>
          <w:szCs w:val="20"/>
        </w:rPr>
        <w:t>bari</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Nezine</w:t>
      </w:r>
      <w:proofErr w:type="spellEnd"/>
      <w:r w:rsidRPr="00782185">
        <w:rPr>
          <w:rFonts w:ascii="Arial" w:hAnsi="Arial" w:cs="Arial"/>
          <w:iCs/>
          <w:sz w:val="20"/>
          <w:szCs w:val="20"/>
        </w:rPr>
        <w:t>, Issue 2, September.</w:t>
      </w:r>
    </w:p>
    <w:p w14:paraId="5A91C367"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Sharma, G. (2012). Climate change and sustainability of traditional farming systems in Sikkim Himalaya, India. In K.G. Saxena, L. </w:t>
      </w:r>
      <w:proofErr w:type="spellStart"/>
      <w:r w:rsidRPr="00782185">
        <w:rPr>
          <w:rFonts w:ascii="Arial" w:hAnsi="Arial" w:cs="Arial"/>
          <w:iCs/>
          <w:sz w:val="20"/>
          <w:szCs w:val="20"/>
        </w:rPr>
        <w:t>Luohui</w:t>
      </w:r>
      <w:proofErr w:type="spellEnd"/>
      <w:r w:rsidRPr="00782185">
        <w:rPr>
          <w:rFonts w:ascii="Arial" w:hAnsi="Arial" w:cs="Arial"/>
          <w:iCs/>
          <w:sz w:val="20"/>
          <w:szCs w:val="20"/>
        </w:rPr>
        <w:t>, K. Tanaka, &amp; S. Takahashi (Eds.), Land management in marginal mountain regions: Adaptation and vulnerability to global change (p. 349). United Nations University, Tokyo, Japan.</w:t>
      </w:r>
    </w:p>
    <w:p w14:paraId="25023577"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Sharma, G., </w:t>
      </w:r>
      <w:proofErr w:type="spellStart"/>
      <w:r w:rsidRPr="00782185">
        <w:rPr>
          <w:rFonts w:ascii="Arial" w:hAnsi="Arial" w:cs="Arial"/>
          <w:iCs/>
          <w:sz w:val="20"/>
          <w:szCs w:val="20"/>
        </w:rPr>
        <w:t>Hunsdorfer</w:t>
      </w:r>
      <w:proofErr w:type="spellEnd"/>
      <w:r w:rsidRPr="00782185">
        <w:rPr>
          <w:rFonts w:ascii="Arial" w:hAnsi="Arial" w:cs="Arial"/>
          <w:iCs/>
          <w:sz w:val="20"/>
          <w:szCs w:val="20"/>
        </w:rPr>
        <w:t>, B., &amp; Singh, K.K. (2016a). Comparative analysis on the socio-ecological and economic potentials of traditional agroforestry systems in the Sikkim Himalaya. Tropical Ecology, 57(4), 751–764.</w:t>
      </w:r>
    </w:p>
    <w:p w14:paraId="60C9D10C"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Sharma, G., </w:t>
      </w:r>
      <w:proofErr w:type="spellStart"/>
      <w:r w:rsidRPr="00782185">
        <w:rPr>
          <w:rFonts w:ascii="Arial" w:hAnsi="Arial" w:cs="Arial"/>
          <w:iCs/>
          <w:sz w:val="20"/>
          <w:szCs w:val="20"/>
        </w:rPr>
        <w:t>Partap</w:t>
      </w:r>
      <w:proofErr w:type="spellEnd"/>
      <w:r w:rsidRPr="00782185">
        <w:rPr>
          <w:rFonts w:ascii="Arial" w:hAnsi="Arial" w:cs="Arial"/>
          <w:iCs/>
          <w:sz w:val="20"/>
          <w:szCs w:val="20"/>
        </w:rPr>
        <w:t xml:space="preserve">, U., Sharma, E., Rasul, G., &amp; </w:t>
      </w:r>
      <w:proofErr w:type="spellStart"/>
      <w:r w:rsidRPr="00782185">
        <w:rPr>
          <w:rFonts w:ascii="Arial" w:hAnsi="Arial" w:cs="Arial"/>
          <w:iCs/>
          <w:sz w:val="20"/>
          <w:szCs w:val="20"/>
        </w:rPr>
        <w:t>Awasthe</w:t>
      </w:r>
      <w:proofErr w:type="spellEnd"/>
      <w:r w:rsidRPr="00782185">
        <w:rPr>
          <w:rFonts w:ascii="Arial" w:hAnsi="Arial" w:cs="Arial"/>
          <w:iCs/>
          <w:sz w:val="20"/>
          <w:szCs w:val="20"/>
        </w:rPr>
        <w:t xml:space="preserve">, R.K. (2016b). Agrobiodiversity in the Sikkim Himalaya: Sociocultural significance, status, practices, and challenges. ICIMOD Working Paper 2016/5. ICMOD, Kathmandu, Nepal, and The Mountain Institute, </w:t>
      </w:r>
      <w:proofErr w:type="spellStart"/>
      <w:r w:rsidRPr="00782185">
        <w:rPr>
          <w:rFonts w:ascii="Arial" w:hAnsi="Arial" w:cs="Arial"/>
          <w:iCs/>
          <w:sz w:val="20"/>
          <w:szCs w:val="20"/>
        </w:rPr>
        <w:t>Gangtok</w:t>
      </w:r>
      <w:proofErr w:type="spellEnd"/>
      <w:r w:rsidRPr="00782185">
        <w:rPr>
          <w:rFonts w:ascii="Arial" w:hAnsi="Arial" w:cs="Arial"/>
          <w:iCs/>
          <w:sz w:val="20"/>
          <w:szCs w:val="20"/>
        </w:rPr>
        <w:t>, India, 55 pp.</w:t>
      </w:r>
    </w:p>
    <w:p w14:paraId="3965A9C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lastRenderedPageBreak/>
        <w:t>Shrivastava, R.J., &amp; Heinen, J.T. (2005). Migration and home gardens in the Brahmaputra Valley, Assam, India. Journal of Ecological Anthropology, 9(1), 20–34.</w:t>
      </w:r>
    </w:p>
    <w:p w14:paraId="0C2E1647"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Singh, A.B., &amp; </w:t>
      </w:r>
      <w:proofErr w:type="spellStart"/>
      <w:r w:rsidRPr="00782185">
        <w:rPr>
          <w:rFonts w:ascii="Arial" w:hAnsi="Arial" w:cs="Arial"/>
          <w:iCs/>
          <w:sz w:val="20"/>
          <w:szCs w:val="20"/>
        </w:rPr>
        <w:t>Teron</w:t>
      </w:r>
      <w:proofErr w:type="spellEnd"/>
      <w:r w:rsidRPr="00782185">
        <w:rPr>
          <w:rFonts w:ascii="Arial" w:hAnsi="Arial" w:cs="Arial"/>
          <w:iCs/>
          <w:sz w:val="20"/>
          <w:szCs w:val="20"/>
        </w:rPr>
        <w:t xml:space="preserve">, R. (2015). Diversity of wild edible plants used by the </w:t>
      </w:r>
      <w:proofErr w:type="spellStart"/>
      <w:r w:rsidRPr="00782185">
        <w:rPr>
          <w:rFonts w:ascii="Arial" w:hAnsi="Arial" w:cs="Arial"/>
          <w:iCs/>
          <w:sz w:val="20"/>
          <w:szCs w:val="20"/>
        </w:rPr>
        <w:t>Angami-Nagas</w:t>
      </w:r>
      <w:proofErr w:type="spellEnd"/>
      <w:r w:rsidRPr="00782185">
        <w:rPr>
          <w:rFonts w:ascii="Arial" w:hAnsi="Arial" w:cs="Arial"/>
          <w:iCs/>
          <w:sz w:val="20"/>
          <w:szCs w:val="20"/>
        </w:rPr>
        <w:t xml:space="preserve"> in Kohima District of Nagaland, India. Pleione, 9(2), 311–324.</w:t>
      </w:r>
    </w:p>
    <w:p w14:paraId="5F19480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Singh, A.K., Arunachalam, A., </w:t>
      </w:r>
      <w:proofErr w:type="spellStart"/>
      <w:r w:rsidRPr="00782185">
        <w:rPr>
          <w:rFonts w:ascii="Arial" w:hAnsi="Arial" w:cs="Arial"/>
          <w:iCs/>
          <w:sz w:val="20"/>
          <w:szCs w:val="20"/>
        </w:rPr>
        <w:t>Ngachan</w:t>
      </w:r>
      <w:proofErr w:type="spellEnd"/>
      <w:r w:rsidRPr="00782185">
        <w:rPr>
          <w:rFonts w:ascii="Arial" w:hAnsi="Arial" w:cs="Arial"/>
          <w:iCs/>
          <w:sz w:val="20"/>
          <w:szCs w:val="20"/>
        </w:rPr>
        <w:t xml:space="preserve">, S.V., Mohapatra, K.P., &amp; </w:t>
      </w:r>
      <w:proofErr w:type="spellStart"/>
      <w:r w:rsidRPr="00782185">
        <w:rPr>
          <w:rFonts w:ascii="Arial" w:hAnsi="Arial" w:cs="Arial"/>
          <w:iCs/>
          <w:sz w:val="20"/>
          <w:szCs w:val="20"/>
        </w:rPr>
        <w:t>Dagar</w:t>
      </w:r>
      <w:proofErr w:type="spellEnd"/>
      <w:r w:rsidRPr="00782185">
        <w:rPr>
          <w:rFonts w:ascii="Arial" w:hAnsi="Arial" w:cs="Arial"/>
          <w:iCs/>
          <w:sz w:val="20"/>
          <w:szCs w:val="20"/>
        </w:rPr>
        <w:t xml:space="preserve">, J.C. (2014). From shifting cultivation to integrated farming: Experience of agroforestry development in the Northeastern Himalayan Region. In J.C. </w:t>
      </w:r>
      <w:proofErr w:type="spellStart"/>
      <w:r w:rsidRPr="00782185">
        <w:rPr>
          <w:rFonts w:ascii="Arial" w:hAnsi="Arial" w:cs="Arial"/>
          <w:iCs/>
          <w:sz w:val="20"/>
          <w:szCs w:val="20"/>
        </w:rPr>
        <w:t>Dagar</w:t>
      </w:r>
      <w:proofErr w:type="spellEnd"/>
      <w:r w:rsidRPr="00782185">
        <w:rPr>
          <w:rFonts w:ascii="Arial" w:hAnsi="Arial" w:cs="Arial"/>
          <w:iCs/>
          <w:sz w:val="20"/>
          <w:szCs w:val="20"/>
        </w:rPr>
        <w:t>, A.K. Singh, &amp; A. Arunachalam (Eds.), Agroforestry systems in India: Livelihood security and ecosystem services (pp. 70–78). Springer India. https://doi.org/10.1007/978-81-322-1662-9_3</w:t>
      </w:r>
    </w:p>
    <w:p w14:paraId="67EC40A0"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Singh, L.S., &amp; Sahoo, U.K. (2021). Tree species composition, diversity and soil organic carbon stock in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and shifting cultivation fallows of Mizoram, Northeast India. International Journal of Plant Research, 34, 220–228. https://doi.org/10.1007/s42535-021-00194-1</w:t>
      </w:r>
    </w:p>
    <w:p w14:paraId="6D783A66"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Singh, S., &amp; Sahoo, U.K. (2019). Socio-economic and demographic factors influencing farmers’ decision on </w:t>
      </w:r>
      <w:proofErr w:type="spellStart"/>
      <w:r w:rsidRPr="00782185">
        <w:rPr>
          <w:rFonts w:ascii="Arial" w:hAnsi="Arial" w:cs="Arial"/>
          <w:iCs/>
          <w:sz w:val="20"/>
          <w:szCs w:val="20"/>
        </w:rPr>
        <w:t>homegarden</w:t>
      </w:r>
      <w:proofErr w:type="spellEnd"/>
      <w:r w:rsidRPr="00782185">
        <w:rPr>
          <w:rFonts w:ascii="Arial" w:hAnsi="Arial" w:cs="Arial"/>
          <w:iCs/>
          <w:sz w:val="20"/>
          <w:szCs w:val="20"/>
        </w:rPr>
        <w:t xml:space="preserve"> management practices and carbon storage in Mizoram, Northeast India. International Journal of Ecology and Environmental Sciences, 45(1), 59–69.</w:t>
      </w:r>
    </w:p>
    <w:p w14:paraId="38655A0F"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Singnar</w:t>
      </w:r>
      <w:proofErr w:type="spellEnd"/>
      <w:r w:rsidRPr="00782185">
        <w:rPr>
          <w:rFonts w:ascii="Arial" w:hAnsi="Arial" w:cs="Arial"/>
          <w:iCs/>
          <w:sz w:val="20"/>
          <w:szCs w:val="20"/>
        </w:rPr>
        <w:t xml:space="preserve">, P., Das, M.C., </w:t>
      </w:r>
      <w:proofErr w:type="spellStart"/>
      <w:r w:rsidRPr="00782185">
        <w:rPr>
          <w:rFonts w:ascii="Arial" w:hAnsi="Arial" w:cs="Arial"/>
          <w:iCs/>
          <w:sz w:val="20"/>
          <w:szCs w:val="20"/>
        </w:rPr>
        <w:t>Sileshi</w:t>
      </w:r>
      <w:proofErr w:type="spellEnd"/>
      <w:r w:rsidRPr="00782185">
        <w:rPr>
          <w:rFonts w:ascii="Arial" w:hAnsi="Arial" w:cs="Arial"/>
          <w:iCs/>
          <w:sz w:val="20"/>
          <w:szCs w:val="20"/>
        </w:rPr>
        <w:t xml:space="preserve">, G.W., Brahma, B., Nath, A.J., &amp; Das, A.J. (2017). Allometric scaling, biomass accumulation and carbon stocks in different aged stands of thin-walled bamboos </w:t>
      </w:r>
      <w:proofErr w:type="spellStart"/>
      <w:r w:rsidRPr="00782185">
        <w:rPr>
          <w:rFonts w:ascii="Arial" w:hAnsi="Arial" w:cs="Arial"/>
          <w:iCs/>
          <w:sz w:val="20"/>
          <w:szCs w:val="20"/>
        </w:rPr>
        <w:t>Schizostachyum</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dullooa</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Pseudostachyum</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polymorphum</w:t>
      </w:r>
      <w:proofErr w:type="spellEnd"/>
      <w:r w:rsidRPr="00782185">
        <w:rPr>
          <w:rFonts w:ascii="Arial" w:hAnsi="Arial" w:cs="Arial"/>
          <w:iCs/>
          <w:sz w:val="20"/>
          <w:szCs w:val="20"/>
        </w:rPr>
        <w:t xml:space="preserve"> and </w:t>
      </w:r>
      <w:proofErr w:type="spellStart"/>
      <w:r w:rsidRPr="00782185">
        <w:rPr>
          <w:rFonts w:ascii="Arial" w:hAnsi="Arial" w:cs="Arial"/>
          <w:iCs/>
          <w:sz w:val="20"/>
          <w:szCs w:val="20"/>
        </w:rPr>
        <w:t>Melocanna</w:t>
      </w:r>
      <w:proofErr w:type="spellEnd"/>
      <w:r w:rsidRPr="00782185">
        <w:rPr>
          <w:rFonts w:ascii="Arial" w:hAnsi="Arial" w:cs="Arial"/>
          <w:iCs/>
          <w:sz w:val="20"/>
          <w:szCs w:val="20"/>
        </w:rPr>
        <w:t xml:space="preserve"> </w:t>
      </w:r>
      <w:proofErr w:type="spellStart"/>
      <w:r w:rsidRPr="00782185">
        <w:rPr>
          <w:rFonts w:ascii="Arial" w:hAnsi="Arial" w:cs="Arial"/>
          <w:iCs/>
          <w:sz w:val="20"/>
          <w:szCs w:val="20"/>
        </w:rPr>
        <w:t>baccifera</w:t>
      </w:r>
      <w:proofErr w:type="spellEnd"/>
      <w:r w:rsidRPr="00782185">
        <w:rPr>
          <w:rFonts w:ascii="Arial" w:hAnsi="Arial" w:cs="Arial"/>
          <w:iCs/>
          <w:sz w:val="20"/>
          <w:szCs w:val="20"/>
        </w:rPr>
        <w:t>. Forest Ecology and Management, 395, 81–91. https://doi.org/10.1016/j.foreco.2017.04.001</w:t>
      </w:r>
    </w:p>
    <w:p w14:paraId="233CC6CB"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Swain, S., Chakrabarty, S., </w:t>
      </w:r>
      <w:proofErr w:type="spellStart"/>
      <w:r w:rsidRPr="00782185">
        <w:rPr>
          <w:rFonts w:ascii="Arial" w:hAnsi="Arial" w:cs="Arial"/>
          <w:iCs/>
          <w:sz w:val="20"/>
          <w:szCs w:val="20"/>
        </w:rPr>
        <w:t>Zomuankima</w:t>
      </w:r>
      <w:proofErr w:type="spellEnd"/>
      <w:r w:rsidRPr="00782185">
        <w:rPr>
          <w:rFonts w:ascii="Arial" w:hAnsi="Arial" w:cs="Arial"/>
          <w:iCs/>
          <w:sz w:val="20"/>
          <w:szCs w:val="20"/>
        </w:rPr>
        <w:t xml:space="preserve">, &amp; </w:t>
      </w:r>
      <w:proofErr w:type="spellStart"/>
      <w:r w:rsidRPr="00782185">
        <w:rPr>
          <w:rFonts w:ascii="Arial" w:hAnsi="Arial" w:cs="Arial"/>
          <w:iCs/>
          <w:sz w:val="20"/>
          <w:szCs w:val="20"/>
        </w:rPr>
        <w:t>Vanlalhmangaia</w:t>
      </w:r>
      <w:proofErr w:type="spellEnd"/>
      <w:r w:rsidRPr="00782185">
        <w:rPr>
          <w:rFonts w:ascii="Arial" w:hAnsi="Arial" w:cs="Arial"/>
          <w:iCs/>
          <w:sz w:val="20"/>
          <w:szCs w:val="20"/>
        </w:rPr>
        <w:t>. (2020). Domestication of wild plant diversity in home gardens for culinary and curative use by the tribal women farmers in Mizoram, India. Biodiversity International Journal, 4(4), 155–159.</w:t>
      </w:r>
    </w:p>
    <w:p w14:paraId="6DA32F50"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Swamy, P.S., </w:t>
      </w:r>
      <w:proofErr w:type="spellStart"/>
      <w:r w:rsidRPr="00782185">
        <w:rPr>
          <w:rFonts w:ascii="Arial" w:hAnsi="Arial" w:cs="Arial"/>
          <w:iCs/>
          <w:sz w:val="20"/>
          <w:szCs w:val="20"/>
        </w:rPr>
        <w:t>Sundarpandian</w:t>
      </w:r>
      <w:proofErr w:type="spellEnd"/>
      <w:r w:rsidRPr="00782185">
        <w:rPr>
          <w:rFonts w:ascii="Arial" w:hAnsi="Arial" w:cs="Arial"/>
          <w:iCs/>
          <w:sz w:val="20"/>
          <w:szCs w:val="20"/>
        </w:rPr>
        <w:t xml:space="preserve">, S.M., &amp; </w:t>
      </w:r>
      <w:proofErr w:type="spellStart"/>
      <w:r w:rsidRPr="00782185">
        <w:rPr>
          <w:rFonts w:ascii="Arial" w:hAnsi="Arial" w:cs="Arial"/>
          <w:iCs/>
          <w:sz w:val="20"/>
          <w:szCs w:val="20"/>
        </w:rPr>
        <w:t>Chandrasekaharan</w:t>
      </w:r>
      <w:proofErr w:type="spellEnd"/>
      <w:r w:rsidRPr="00782185">
        <w:rPr>
          <w:rFonts w:ascii="Arial" w:hAnsi="Arial" w:cs="Arial"/>
          <w:iCs/>
          <w:sz w:val="20"/>
          <w:szCs w:val="20"/>
        </w:rPr>
        <w:t>, S. (1998). Sacred groves of Tamil Nadu. In P.S. Ramakrishnan, K.G. Saxena, &amp; U.M. Chandrasekhar (Eds.), Conserving the sacred for biodiversity management (pp. 357–361). UNESCO and Oxford-IBH Publishing, New Delhi.</w:t>
      </w:r>
    </w:p>
    <w:p w14:paraId="285AFA8A"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Syngai</w:t>
      </w:r>
      <w:proofErr w:type="spellEnd"/>
      <w:r w:rsidRPr="00782185">
        <w:rPr>
          <w:rFonts w:ascii="Arial" w:hAnsi="Arial" w:cs="Arial"/>
          <w:iCs/>
          <w:sz w:val="20"/>
          <w:szCs w:val="20"/>
        </w:rPr>
        <w:t xml:space="preserve">, D. (1999). Sacred groves of Meghalaya. In B. </w:t>
      </w:r>
      <w:proofErr w:type="spellStart"/>
      <w:r w:rsidRPr="00782185">
        <w:rPr>
          <w:rFonts w:ascii="Arial" w:hAnsi="Arial" w:cs="Arial"/>
          <w:iCs/>
          <w:sz w:val="20"/>
          <w:szCs w:val="20"/>
        </w:rPr>
        <w:t>Kharbuli</w:t>
      </w:r>
      <w:proofErr w:type="spellEnd"/>
      <w:r w:rsidRPr="00782185">
        <w:rPr>
          <w:rFonts w:ascii="Arial" w:hAnsi="Arial" w:cs="Arial"/>
          <w:iCs/>
          <w:sz w:val="20"/>
          <w:szCs w:val="20"/>
        </w:rPr>
        <w:t xml:space="preserve">, D. </w:t>
      </w:r>
      <w:proofErr w:type="spellStart"/>
      <w:r w:rsidRPr="00782185">
        <w:rPr>
          <w:rFonts w:ascii="Arial" w:hAnsi="Arial" w:cs="Arial"/>
          <w:iCs/>
          <w:sz w:val="20"/>
          <w:szCs w:val="20"/>
        </w:rPr>
        <w:t>Syiem</w:t>
      </w:r>
      <w:proofErr w:type="spellEnd"/>
      <w:r w:rsidRPr="00782185">
        <w:rPr>
          <w:rFonts w:ascii="Arial" w:hAnsi="Arial" w:cs="Arial"/>
          <w:iCs/>
          <w:sz w:val="20"/>
          <w:szCs w:val="20"/>
        </w:rPr>
        <w:t xml:space="preserve">, &amp; H. </w:t>
      </w:r>
      <w:proofErr w:type="spellStart"/>
      <w:r w:rsidRPr="00782185">
        <w:rPr>
          <w:rFonts w:ascii="Arial" w:hAnsi="Arial" w:cs="Arial"/>
          <w:iCs/>
          <w:sz w:val="20"/>
          <w:szCs w:val="20"/>
        </w:rPr>
        <w:t>Kayang</w:t>
      </w:r>
      <w:proofErr w:type="spellEnd"/>
      <w:r w:rsidRPr="00782185">
        <w:rPr>
          <w:rFonts w:ascii="Arial" w:hAnsi="Arial" w:cs="Arial"/>
          <w:iCs/>
          <w:sz w:val="20"/>
          <w:szCs w:val="20"/>
        </w:rPr>
        <w:t xml:space="preserve"> (Eds.), Biodiversity: Northeast India perspectives (pp. 70–76). North Eastern Biodiversity Research Cell, North–Eastern Hill University, </w:t>
      </w:r>
      <w:proofErr w:type="spellStart"/>
      <w:r w:rsidRPr="00782185">
        <w:rPr>
          <w:rFonts w:ascii="Arial" w:hAnsi="Arial" w:cs="Arial"/>
          <w:iCs/>
          <w:sz w:val="20"/>
          <w:szCs w:val="20"/>
        </w:rPr>
        <w:t>Shillong</w:t>
      </w:r>
      <w:proofErr w:type="spellEnd"/>
      <w:r w:rsidRPr="00782185">
        <w:rPr>
          <w:rFonts w:ascii="Arial" w:hAnsi="Arial" w:cs="Arial"/>
          <w:iCs/>
          <w:sz w:val="20"/>
          <w:szCs w:val="20"/>
        </w:rPr>
        <w:t>.</w:t>
      </w:r>
    </w:p>
    <w:p w14:paraId="454A37F4"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Talukdar, S., &amp; Gupta, A. (2018). Ethnomedicinal knowledge of the Garo community of two villages in western Assam, India. Journal of Herbal Medicine, 20, 100–229. https://doi.org/10.1016/j.hermed.2018.08.004</w:t>
      </w:r>
    </w:p>
    <w:p w14:paraId="4B5171D8"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Tangjang</w:t>
      </w:r>
      <w:proofErr w:type="spellEnd"/>
      <w:r w:rsidRPr="00782185">
        <w:rPr>
          <w:rFonts w:ascii="Arial" w:hAnsi="Arial" w:cs="Arial"/>
          <w:iCs/>
          <w:sz w:val="20"/>
          <w:szCs w:val="20"/>
        </w:rPr>
        <w:t xml:space="preserve">, S., &amp; Arunachalam, A. (2017). Traditional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in rural landscapes of Northeast India – A model for conserving plant species for sustainability. Indian Journal of Hill Farming, 30(2), 313–325.</w:t>
      </w:r>
    </w:p>
    <w:p w14:paraId="0E893C05"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The Northeast Today. (n.d.). Northeast Today. Retrieved September 18, 2025, from https://www.thenortheasttoday.com</w:t>
      </w:r>
    </w:p>
    <w:p w14:paraId="41D04968"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Thokchom, A., &amp; Yadava, P.S. (2013). Biomass and carbon stock assessment in the sub-tropical forests of Manipur, North East India. International Journal of Ecology and Environmental Sciences, 39(2), 107–113.</w:t>
      </w:r>
    </w:p>
    <w:p w14:paraId="6E9D0075"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Tiwari, B.K., Barik, S.K., &amp; Tripathi, R.S. (2008). Biodiversity value, status, and strategies for conservation of sacred groves of Meghalaya, India. Ecosystem Health, 4(1), 20–32. https://doi.org/10.1046/j.1526-0992.1998.00068.x</w:t>
      </w:r>
    </w:p>
    <w:p w14:paraId="18277501"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lastRenderedPageBreak/>
        <w:t xml:space="preserve">Tiwari, B.K., </w:t>
      </w:r>
      <w:proofErr w:type="spellStart"/>
      <w:r w:rsidRPr="00782185">
        <w:rPr>
          <w:rFonts w:ascii="Arial" w:hAnsi="Arial" w:cs="Arial"/>
          <w:iCs/>
          <w:sz w:val="20"/>
          <w:szCs w:val="20"/>
        </w:rPr>
        <w:t>Tynsong</w:t>
      </w:r>
      <w:proofErr w:type="spellEnd"/>
      <w:r w:rsidRPr="00782185">
        <w:rPr>
          <w:rFonts w:ascii="Arial" w:hAnsi="Arial" w:cs="Arial"/>
          <w:iCs/>
          <w:sz w:val="20"/>
          <w:szCs w:val="20"/>
        </w:rPr>
        <w:t xml:space="preserve">, H., </w:t>
      </w:r>
      <w:proofErr w:type="spellStart"/>
      <w:r w:rsidRPr="00782185">
        <w:rPr>
          <w:rFonts w:ascii="Arial" w:hAnsi="Arial" w:cs="Arial"/>
          <w:iCs/>
          <w:sz w:val="20"/>
          <w:szCs w:val="20"/>
        </w:rPr>
        <w:t>Lynrah</w:t>
      </w:r>
      <w:proofErr w:type="spellEnd"/>
      <w:r w:rsidRPr="00782185">
        <w:rPr>
          <w:rFonts w:ascii="Arial" w:hAnsi="Arial" w:cs="Arial"/>
          <w:iCs/>
          <w:sz w:val="20"/>
          <w:szCs w:val="20"/>
        </w:rPr>
        <w:t xml:space="preserve">, M.M., </w:t>
      </w:r>
      <w:proofErr w:type="spellStart"/>
      <w:r w:rsidRPr="00782185">
        <w:rPr>
          <w:rFonts w:ascii="Arial" w:hAnsi="Arial" w:cs="Arial"/>
          <w:iCs/>
          <w:sz w:val="20"/>
          <w:szCs w:val="20"/>
        </w:rPr>
        <w:t>Lapasam</w:t>
      </w:r>
      <w:proofErr w:type="spellEnd"/>
      <w:r w:rsidRPr="00782185">
        <w:rPr>
          <w:rFonts w:ascii="Arial" w:hAnsi="Arial" w:cs="Arial"/>
          <w:iCs/>
          <w:sz w:val="20"/>
          <w:szCs w:val="20"/>
        </w:rPr>
        <w:t>, E., Deb, S., &amp; Sharma, D. (2013). Institutional arrangement and typology of community forests of Meghalaya, Mizoram and Nagaland of North-East India. Journal of Forest Research, 24, 179–186. https://doi.org/10.1007/s11676-013-0337-x</w:t>
      </w:r>
    </w:p>
    <w:p w14:paraId="3CC05B70"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Tynsong</w:t>
      </w:r>
      <w:proofErr w:type="spellEnd"/>
      <w:r w:rsidRPr="00782185">
        <w:rPr>
          <w:rFonts w:ascii="Arial" w:hAnsi="Arial" w:cs="Arial"/>
          <w:iCs/>
          <w:sz w:val="20"/>
          <w:szCs w:val="20"/>
        </w:rPr>
        <w:t xml:space="preserve">, H., &amp; Tiwari, B.K. (2011). Diversity and population characteristics of woody species in natural forests and </w:t>
      </w:r>
      <w:proofErr w:type="spellStart"/>
      <w:r w:rsidRPr="00782185">
        <w:rPr>
          <w:rFonts w:ascii="Arial" w:hAnsi="Arial" w:cs="Arial"/>
          <w:iCs/>
          <w:sz w:val="20"/>
          <w:szCs w:val="20"/>
        </w:rPr>
        <w:t>arecanut</w:t>
      </w:r>
      <w:proofErr w:type="spellEnd"/>
      <w:r w:rsidRPr="00782185">
        <w:rPr>
          <w:rFonts w:ascii="Arial" w:hAnsi="Arial" w:cs="Arial"/>
          <w:iCs/>
          <w:sz w:val="20"/>
          <w:szCs w:val="20"/>
        </w:rPr>
        <w:t xml:space="preserve"> agroforests of south Meghalaya, Northeast India. Tropical Ecology, 52(3), 243–252.</w:t>
      </w:r>
    </w:p>
    <w:p w14:paraId="3A80BABE"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Tynsong</w:t>
      </w:r>
      <w:proofErr w:type="spellEnd"/>
      <w:r w:rsidRPr="00782185">
        <w:rPr>
          <w:rFonts w:ascii="Arial" w:hAnsi="Arial" w:cs="Arial"/>
          <w:iCs/>
          <w:sz w:val="20"/>
          <w:szCs w:val="20"/>
        </w:rPr>
        <w:t xml:space="preserve">, H., &amp; Tiwari, B.K. (2010a). Diversity of plant species in </w:t>
      </w:r>
      <w:proofErr w:type="spellStart"/>
      <w:r w:rsidRPr="00782185">
        <w:rPr>
          <w:rFonts w:ascii="Arial" w:hAnsi="Arial" w:cs="Arial"/>
          <w:iCs/>
          <w:sz w:val="20"/>
          <w:szCs w:val="20"/>
        </w:rPr>
        <w:t>arecanut</w:t>
      </w:r>
      <w:proofErr w:type="spellEnd"/>
      <w:r w:rsidRPr="00782185">
        <w:rPr>
          <w:rFonts w:ascii="Arial" w:hAnsi="Arial" w:cs="Arial"/>
          <w:iCs/>
          <w:sz w:val="20"/>
          <w:szCs w:val="20"/>
        </w:rPr>
        <w:t xml:space="preserve"> agroforests of south Meghalaya, north-east India. Journal of Forest Research, 21, 281–286. </w:t>
      </w:r>
      <w:proofErr w:type="spellStart"/>
      <w:r w:rsidRPr="00782185">
        <w:rPr>
          <w:rFonts w:ascii="Arial" w:hAnsi="Arial" w:cs="Arial"/>
          <w:iCs/>
          <w:sz w:val="20"/>
          <w:szCs w:val="20"/>
        </w:rPr>
        <w:t>Tynsong</w:t>
      </w:r>
      <w:proofErr w:type="spellEnd"/>
      <w:r w:rsidRPr="00782185">
        <w:rPr>
          <w:rFonts w:ascii="Arial" w:hAnsi="Arial" w:cs="Arial"/>
          <w:iCs/>
          <w:sz w:val="20"/>
          <w:szCs w:val="20"/>
        </w:rPr>
        <w:t xml:space="preserve">, H., Tiwari, B.K. Diversity of plant species in </w:t>
      </w:r>
      <w:proofErr w:type="spellStart"/>
      <w:r w:rsidRPr="00782185">
        <w:rPr>
          <w:rFonts w:ascii="Arial" w:hAnsi="Arial" w:cs="Arial"/>
          <w:iCs/>
          <w:sz w:val="20"/>
          <w:szCs w:val="20"/>
        </w:rPr>
        <w:t>arecanut</w:t>
      </w:r>
      <w:proofErr w:type="spellEnd"/>
      <w:r w:rsidRPr="00782185">
        <w:rPr>
          <w:rFonts w:ascii="Arial" w:hAnsi="Arial" w:cs="Arial"/>
          <w:iCs/>
          <w:sz w:val="20"/>
          <w:szCs w:val="20"/>
        </w:rPr>
        <w:t xml:space="preserve"> agroforests of south Meghalaya, north-east India. Journal of Forestry Research 21, 281–286 (2010). https://doi.org/10.1007/s11676-010-0072-5</w:t>
      </w:r>
    </w:p>
    <w:p w14:paraId="7788E9CE"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Tynsong</w:t>
      </w:r>
      <w:proofErr w:type="spellEnd"/>
      <w:r w:rsidRPr="00782185">
        <w:rPr>
          <w:rFonts w:ascii="Arial" w:hAnsi="Arial" w:cs="Arial"/>
          <w:iCs/>
          <w:sz w:val="20"/>
          <w:szCs w:val="20"/>
        </w:rPr>
        <w:t xml:space="preserve">, H., &amp; Tiwari, B.K. (2010b). Plant diversity in the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and their significance in the livelihoods of War Khasi community of Meghalaya, North-east India. Journal of Biodiversity, 1(1), 1–11.</w:t>
      </w:r>
    </w:p>
    <w:p w14:paraId="5A7E7B6C"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Upadhaya</w:t>
      </w:r>
      <w:proofErr w:type="spellEnd"/>
      <w:r w:rsidRPr="00782185">
        <w:rPr>
          <w:rFonts w:ascii="Arial" w:hAnsi="Arial" w:cs="Arial"/>
          <w:iCs/>
          <w:sz w:val="20"/>
          <w:szCs w:val="20"/>
        </w:rPr>
        <w:t>, K., Barik, S., Pandey, H.N., &amp; Tripathi, O.P. (2008). Response of woody species to anthropogenic disturbances in sacred forests of Northeast India. International Journal of Ecology and Environmental Sciences, 34(1), 1–13.</w:t>
      </w:r>
    </w:p>
    <w:p w14:paraId="4151B42D"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Upadhyaya, K., Pandey, H.N., Law, P.S., &amp; Tripathi, R.S. (2003). Tree diversity in sacred groves of the </w:t>
      </w:r>
      <w:proofErr w:type="spellStart"/>
      <w:r w:rsidRPr="00782185">
        <w:rPr>
          <w:rFonts w:ascii="Arial" w:hAnsi="Arial" w:cs="Arial"/>
          <w:iCs/>
          <w:sz w:val="20"/>
          <w:szCs w:val="20"/>
        </w:rPr>
        <w:t>Jaintia</w:t>
      </w:r>
      <w:proofErr w:type="spellEnd"/>
      <w:r w:rsidRPr="00782185">
        <w:rPr>
          <w:rFonts w:ascii="Arial" w:hAnsi="Arial" w:cs="Arial"/>
          <w:iCs/>
          <w:sz w:val="20"/>
          <w:szCs w:val="20"/>
        </w:rPr>
        <w:t xml:space="preserve"> Hills in Meghalaya, northeast India. Biodiversity and Conservation, 12(3), 583–597. https://doi.org/10.1023/A:1022401012824</w:t>
      </w:r>
    </w:p>
    <w:p w14:paraId="767A094C" w14:textId="77777777" w:rsidR="00782185" w:rsidRPr="00782185" w:rsidRDefault="00782185" w:rsidP="004E5851">
      <w:pPr>
        <w:spacing w:line="240" w:lineRule="auto"/>
        <w:ind w:left="810" w:hanging="720"/>
        <w:jc w:val="both"/>
        <w:rPr>
          <w:rFonts w:ascii="Arial" w:hAnsi="Arial" w:cs="Arial"/>
          <w:iCs/>
          <w:sz w:val="20"/>
          <w:szCs w:val="20"/>
        </w:rPr>
      </w:pPr>
      <w:r w:rsidRPr="00782185">
        <w:rPr>
          <w:rFonts w:ascii="Arial" w:hAnsi="Arial" w:cs="Arial"/>
          <w:iCs/>
          <w:sz w:val="20"/>
          <w:szCs w:val="20"/>
        </w:rPr>
        <w:t xml:space="preserve">Upadhyay, K.K., </w:t>
      </w:r>
      <w:proofErr w:type="spellStart"/>
      <w:r w:rsidRPr="00782185">
        <w:rPr>
          <w:rFonts w:ascii="Arial" w:hAnsi="Arial" w:cs="Arial"/>
          <w:iCs/>
          <w:sz w:val="20"/>
          <w:szCs w:val="20"/>
        </w:rPr>
        <w:t>Japang</w:t>
      </w:r>
      <w:proofErr w:type="spellEnd"/>
      <w:r w:rsidRPr="00782185">
        <w:rPr>
          <w:rFonts w:ascii="Arial" w:hAnsi="Arial" w:cs="Arial"/>
          <w:iCs/>
          <w:sz w:val="20"/>
          <w:szCs w:val="20"/>
        </w:rPr>
        <w:t>, B., Singh, N.S., &amp; Tripathi, S.K. (2019). Status and socio-ecological dimensions of sacred groves in North east India. Journal of Applied and Natural Science, 11(3), 590–596.</w:t>
      </w:r>
    </w:p>
    <w:p w14:paraId="42C3987A" w14:textId="77777777" w:rsidR="00782185" w:rsidRP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Waikhom</w:t>
      </w:r>
      <w:proofErr w:type="spellEnd"/>
      <w:r w:rsidRPr="00782185">
        <w:rPr>
          <w:rFonts w:ascii="Arial" w:hAnsi="Arial" w:cs="Arial"/>
          <w:iCs/>
          <w:sz w:val="20"/>
          <w:szCs w:val="20"/>
        </w:rPr>
        <w:t>, A.C., Nath, A.J., &amp; Yadava, P.S. (2017). Aboveground biomass and carbon stock in the largest sacred grove of Manipur, Northeast India. Journal of Forest Research, 29, 425–428. https://doi.org/10.1007/s11676-017-0439-y</w:t>
      </w:r>
    </w:p>
    <w:p w14:paraId="0F55FE7A" w14:textId="64BD6180" w:rsidR="00782185" w:rsidRDefault="00782185" w:rsidP="004E5851">
      <w:pPr>
        <w:spacing w:line="240" w:lineRule="auto"/>
        <w:ind w:left="810" w:hanging="720"/>
        <w:jc w:val="both"/>
        <w:rPr>
          <w:rFonts w:ascii="Arial" w:hAnsi="Arial" w:cs="Arial"/>
          <w:iCs/>
          <w:sz w:val="20"/>
          <w:szCs w:val="20"/>
        </w:rPr>
      </w:pPr>
      <w:proofErr w:type="spellStart"/>
      <w:r w:rsidRPr="00782185">
        <w:rPr>
          <w:rFonts w:ascii="Arial" w:hAnsi="Arial" w:cs="Arial"/>
          <w:iCs/>
          <w:sz w:val="20"/>
          <w:szCs w:val="20"/>
        </w:rPr>
        <w:t>Zimik</w:t>
      </w:r>
      <w:proofErr w:type="spellEnd"/>
      <w:r w:rsidRPr="00782185">
        <w:rPr>
          <w:rFonts w:ascii="Arial" w:hAnsi="Arial" w:cs="Arial"/>
          <w:iCs/>
          <w:sz w:val="20"/>
          <w:szCs w:val="20"/>
        </w:rPr>
        <w:t xml:space="preserve">, L., </w:t>
      </w:r>
      <w:proofErr w:type="spellStart"/>
      <w:r w:rsidRPr="00782185">
        <w:rPr>
          <w:rFonts w:ascii="Arial" w:hAnsi="Arial" w:cs="Arial"/>
          <w:iCs/>
          <w:sz w:val="20"/>
          <w:szCs w:val="20"/>
        </w:rPr>
        <w:t>Saikia</w:t>
      </w:r>
      <w:proofErr w:type="spellEnd"/>
      <w:r w:rsidRPr="00782185">
        <w:rPr>
          <w:rFonts w:ascii="Arial" w:hAnsi="Arial" w:cs="Arial"/>
          <w:iCs/>
          <w:sz w:val="20"/>
          <w:szCs w:val="20"/>
        </w:rPr>
        <w:t xml:space="preserve">, P., &amp; Khan, M.L. (2012). Comparative study on </w:t>
      </w:r>
      <w:proofErr w:type="spellStart"/>
      <w:r w:rsidRPr="00782185">
        <w:rPr>
          <w:rFonts w:ascii="Arial" w:hAnsi="Arial" w:cs="Arial"/>
          <w:iCs/>
          <w:sz w:val="20"/>
          <w:szCs w:val="20"/>
        </w:rPr>
        <w:t>homegardens</w:t>
      </w:r>
      <w:proofErr w:type="spellEnd"/>
      <w:r w:rsidRPr="00782185">
        <w:rPr>
          <w:rFonts w:ascii="Arial" w:hAnsi="Arial" w:cs="Arial"/>
          <w:iCs/>
          <w:sz w:val="20"/>
          <w:szCs w:val="20"/>
        </w:rPr>
        <w:t xml:space="preserve"> of Assam and Arunachal Pradesh in terms of species diversity and plant utilization pattern. Research Journal of Agricultural Sciences, 3(3), 611–618.</w:t>
      </w:r>
    </w:p>
    <w:p w14:paraId="7026A5E2" w14:textId="77777777" w:rsidR="00815F06" w:rsidRPr="00BC72D1" w:rsidRDefault="00815F06" w:rsidP="00E064AE">
      <w:pPr>
        <w:spacing w:line="240" w:lineRule="auto"/>
        <w:jc w:val="both"/>
        <w:rPr>
          <w:rFonts w:ascii="Arial" w:hAnsi="Arial" w:cs="Arial"/>
          <w:iCs/>
          <w:sz w:val="20"/>
          <w:szCs w:val="20"/>
        </w:rPr>
      </w:pPr>
    </w:p>
    <w:sectPr w:rsidR="00815F06" w:rsidRPr="00BC72D1" w:rsidSect="005C0EB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C5435" w14:textId="77777777" w:rsidR="006A688F" w:rsidRDefault="006A688F" w:rsidP="00084AF7">
      <w:pPr>
        <w:spacing w:after="0" w:line="240" w:lineRule="auto"/>
      </w:pPr>
      <w:r>
        <w:separator/>
      </w:r>
    </w:p>
  </w:endnote>
  <w:endnote w:type="continuationSeparator" w:id="0">
    <w:p w14:paraId="44A77BB6" w14:textId="77777777" w:rsidR="006A688F" w:rsidRDefault="006A688F" w:rsidP="00084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variable"/>
    <w:sig w:usb0="E10002FF" w:usb1="5000E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CE6" w14:textId="77777777" w:rsidR="008D213D" w:rsidRDefault="008D2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7529" w14:textId="77777777" w:rsidR="008D213D" w:rsidRDefault="008D21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20B9" w14:textId="77777777" w:rsidR="008D213D" w:rsidRDefault="008D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ED37E" w14:textId="77777777" w:rsidR="006A688F" w:rsidRDefault="006A688F" w:rsidP="00084AF7">
      <w:pPr>
        <w:spacing w:after="0" w:line="240" w:lineRule="auto"/>
      </w:pPr>
      <w:r>
        <w:separator/>
      </w:r>
    </w:p>
  </w:footnote>
  <w:footnote w:type="continuationSeparator" w:id="0">
    <w:p w14:paraId="232668C5" w14:textId="77777777" w:rsidR="006A688F" w:rsidRDefault="006A688F" w:rsidP="00084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D1C6B" w14:textId="779B7BCC" w:rsidR="008D213D" w:rsidRDefault="008D213D">
    <w:pPr>
      <w:pStyle w:val="Header"/>
    </w:pPr>
    <w:r>
      <w:rPr>
        <w:noProof/>
      </w:rPr>
      <w:pict w14:anchorId="760D4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C9472" w14:textId="39E1256E" w:rsidR="008D213D" w:rsidRDefault="008D213D">
    <w:pPr>
      <w:pStyle w:val="Header"/>
    </w:pPr>
    <w:r>
      <w:rPr>
        <w:noProof/>
      </w:rPr>
      <w:pict w14:anchorId="2417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F143" w14:textId="6CBBF78B" w:rsidR="008D213D" w:rsidRDefault="008D213D">
    <w:pPr>
      <w:pStyle w:val="Header"/>
    </w:pPr>
    <w:r>
      <w:rPr>
        <w:noProof/>
      </w:rPr>
      <w:pict w14:anchorId="243A5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0606B"/>
    <w:multiLevelType w:val="multilevel"/>
    <w:tmpl w:val="83AE4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965FD5"/>
    <w:multiLevelType w:val="hybridMultilevel"/>
    <w:tmpl w:val="E466A51E"/>
    <w:lvl w:ilvl="0" w:tplc="10E6BA60">
      <w:start w:val="1"/>
      <w:numFmt w:val="decimal"/>
      <w:lvlText w:val="%1."/>
      <w:lvlJc w:val="left"/>
      <w:pPr>
        <w:ind w:left="851" w:hanging="360"/>
      </w:pPr>
      <w:rPr>
        <w:b w:val="0"/>
      </w:rPr>
    </w:lvl>
    <w:lvl w:ilvl="1" w:tplc="40090019" w:tentative="1">
      <w:start w:val="1"/>
      <w:numFmt w:val="lowerLetter"/>
      <w:lvlText w:val="%2."/>
      <w:lvlJc w:val="left"/>
      <w:pPr>
        <w:ind w:left="1571" w:hanging="360"/>
      </w:pPr>
    </w:lvl>
    <w:lvl w:ilvl="2" w:tplc="4009001B" w:tentative="1">
      <w:start w:val="1"/>
      <w:numFmt w:val="lowerRoman"/>
      <w:lvlText w:val="%3."/>
      <w:lvlJc w:val="right"/>
      <w:pPr>
        <w:ind w:left="2291" w:hanging="180"/>
      </w:pPr>
    </w:lvl>
    <w:lvl w:ilvl="3" w:tplc="4009000F" w:tentative="1">
      <w:start w:val="1"/>
      <w:numFmt w:val="decimal"/>
      <w:lvlText w:val="%4."/>
      <w:lvlJc w:val="left"/>
      <w:pPr>
        <w:ind w:left="3011" w:hanging="360"/>
      </w:pPr>
    </w:lvl>
    <w:lvl w:ilvl="4" w:tplc="40090019" w:tentative="1">
      <w:start w:val="1"/>
      <w:numFmt w:val="lowerLetter"/>
      <w:lvlText w:val="%5."/>
      <w:lvlJc w:val="left"/>
      <w:pPr>
        <w:ind w:left="3731" w:hanging="360"/>
      </w:pPr>
    </w:lvl>
    <w:lvl w:ilvl="5" w:tplc="4009001B" w:tentative="1">
      <w:start w:val="1"/>
      <w:numFmt w:val="lowerRoman"/>
      <w:lvlText w:val="%6."/>
      <w:lvlJc w:val="right"/>
      <w:pPr>
        <w:ind w:left="4451" w:hanging="180"/>
      </w:pPr>
    </w:lvl>
    <w:lvl w:ilvl="6" w:tplc="4009000F" w:tentative="1">
      <w:start w:val="1"/>
      <w:numFmt w:val="decimal"/>
      <w:lvlText w:val="%7."/>
      <w:lvlJc w:val="left"/>
      <w:pPr>
        <w:ind w:left="5171" w:hanging="360"/>
      </w:pPr>
    </w:lvl>
    <w:lvl w:ilvl="7" w:tplc="40090019" w:tentative="1">
      <w:start w:val="1"/>
      <w:numFmt w:val="lowerLetter"/>
      <w:lvlText w:val="%8."/>
      <w:lvlJc w:val="left"/>
      <w:pPr>
        <w:ind w:left="5891" w:hanging="360"/>
      </w:pPr>
    </w:lvl>
    <w:lvl w:ilvl="8" w:tplc="4009001B" w:tentative="1">
      <w:start w:val="1"/>
      <w:numFmt w:val="lowerRoman"/>
      <w:lvlText w:val="%9."/>
      <w:lvlJc w:val="right"/>
      <w:pPr>
        <w:ind w:left="6611" w:hanging="180"/>
      </w:pPr>
    </w:lvl>
  </w:abstractNum>
  <w:abstractNum w:abstractNumId="2" w15:restartNumberingAfterBreak="0">
    <w:nsid w:val="282E286E"/>
    <w:multiLevelType w:val="hybridMultilevel"/>
    <w:tmpl w:val="714873BE"/>
    <w:lvl w:ilvl="0" w:tplc="A07AF8D4">
      <w:start w:val="495"/>
      <w:numFmt w:val="decimal"/>
      <w:lvlText w:val="%1"/>
      <w:lvlJc w:val="left"/>
      <w:pPr>
        <w:ind w:left="1428" w:hanging="687"/>
      </w:pPr>
      <w:rPr>
        <w:rFonts w:ascii="Carlito" w:eastAsia="Carlito" w:hAnsi="Carlito" w:cs="Carlito" w:hint="default"/>
        <w:w w:val="100"/>
        <w:sz w:val="22"/>
        <w:szCs w:val="22"/>
        <w:lang w:val="en-US" w:eastAsia="en-US" w:bidi="ar-SA"/>
      </w:rPr>
    </w:lvl>
    <w:lvl w:ilvl="1" w:tplc="6FD25C44">
      <w:numFmt w:val="bullet"/>
      <w:lvlText w:val="•"/>
      <w:lvlJc w:val="left"/>
      <w:pPr>
        <w:ind w:left="2462" w:hanging="687"/>
      </w:pPr>
      <w:rPr>
        <w:rFonts w:hint="default"/>
        <w:lang w:val="en-US" w:eastAsia="en-US" w:bidi="ar-SA"/>
      </w:rPr>
    </w:lvl>
    <w:lvl w:ilvl="2" w:tplc="187E0AC4">
      <w:numFmt w:val="bullet"/>
      <w:lvlText w:val="•"/>
      <w:lvlJc w:val="left"/>
      <w:pPr>
        <w:ind w:left="3505" w:hanging="687"/>
      </w:pPr>
      <w:rPr>
        <w:rFonts w:hint="default"/>
        <w:lang w:val="en-US" w:eastAsia="en-US" w:bidi="ar-SA"/>
      </w:rPr>
    </w:lvl>
    <w:lvl w:ilvl="3" w:tplc="6056170A">
      <w:numFmt w:val="bullet"/>
      <w:lvlText w:val="•"/>
      <w:lvlJc w:val="left"/>
      <w:pPr>
        <w:ind w:left="4547" w:hanging="687"/>
      </w:pPr>
      <w:rPr>
        <w:rFonts w:hint="default"/>
        <w:lang w:val="en-US" w:eastAsia="en-US" w:bidi="ar-SA"/>
      </w:rPr>
    </w:lvl>
    <w:lvl w:ilvl="4" w:tplc="5532C092">
      <w:numFmt w:val="bullet"/>
      <w:lvlText w:val="•"/>
      <w:lvlJc w:val="left"/>
      <w:pPr>
        <w:ind w:left="5590" w:hanging="687"/>
      </w:pPr>
      <w:rPr>
        <w:rFonts w:hint="default"/>
        <w:lang w:val="en-US" w:eastAsia="en-US" w:bidi="ar-SA"/>
      </w:rPr>
    </w:lvl>
    <w:lvl w:ilvl="5" w:tplc="3FFC1AF6">
      <w:numFmt w:val="bullet"/>
      <w:lvlText w:val="•"/>
      <w:lvlJc w:val="left"/>
      <w:pPr>
        <w:ind w:left="6633" w:hanging="687"/>
      </w:pPr>
      <w:rPr>
        <w:rFonts w:hint="default"/>
        <w:lang w:val="en-US" w:eastAsia="en-US" w:bidi="ar-SA"/>
      </w:rPr>
    </w:lvl>
    <w:lvl w:ilvl="6" w:tplc="BD62F3AE">
      <w:numFmt w:val="bullet"/>
      <w:lvlText w:val="•"/>
      <w:lvlJc w:val="left"/>
      <w:pPr>
        <w:ind w:left="7675" w:hanging="687"/>
      </w:pPr>
      <w:rPr>
        <w:rFonts w:hint="default"/>
        <w:lang w:val="en-US" w:eastAsia="en-US" w:bidi="ar-SA"/>
      </w:rPr>
    </w:lvl>
    <w:lvl w:ilvl="7" w:tplc="04C0A9B2">
      <w:numFmt w:val="bullet"/>
      <w:lvlText w:val="•"/>
      <w:lvlJc w:val="left"/>
      <w:pPr>
        <w:ind w:left="8718" w:hanging="687"/>
      </w:pPr>
      <w:rPr>
        <w:rFonts w:hint="default"/>
        <w:lang w:val="en-US" w:eastAsia="en-US" w:bidi="ar-SA"/>
      </w:rPr>
    </w:lvl>
    <w:lvl w:ilvl="8" w:tplc="90D480D0">
      <w:numFmt w:val="bullet"/>
      <w:lvlText w:val="•"/>
      <w:lvlJc w:val="left"/>
      <w:pPr>
        <w:ind w:left="9761" w:hanging="687"/>
      </w:pPr>
      <w:rPr>
        <w:rFonts w:hint="default"/>
        <w:lang w:val="en-US" w:eastAsia="en-US" w:bidi="ar-SA"/>
      </w:rPr>
    </w:lvl>
  </w:abstractNum>
  <w:abstractNum w:abstractNumId="3" w15:restartNumberingAfterBreak="0">
    <w:nsid w:val="2E4F5233"/>
    <w:multiLevelType w:val="hybridMultilevel"/>
    <w:tmpl w:val="7FBE2AA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 w15:restartNumberingAfterBreak="0">
    <w:nsid w:val="327916C0"/>
    <w:multiLevelType w:val="hybridMultilevel"/>
    <w:tmpl w:val="A2E8282E"/>
    <w:lvl w:ilvl="0" w:tplc="2A5C560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CC75E81"/>
    <w:multiLevelType w:val="hybridMultilevel"/>
    <w:tmpl w:val="7DDE39F8"/>
    <w:lvl w:ilvl="0" w:tplc="31B2CD7A">
      <w:start w:val="57"/>
      <w:numFmt w:val="decimal"/>
      <w:lvlText w:val="%1"/>
      <w:lvlJc w:val="left"/>
      <w:pPr>
        <w:ind w:left="1507" w:hanging="654"/>
        <w:jc w:val="right"/>
      </w:pPr>
      <w:rPr>
        <w:rFonts w:ascii="Carlito" w:eastAsia="Carlito" w:hAnsi="Carlito" w:cs="Carlito" w:hint="default"/>
        <w:w w:val="100"/>
        <w:sz w:val="22"/>
        <w:szCs w:val="22"/>
        <w:lang w:val="en-US" w:eastAsia="en-US" w:bidi="ar-SA"/>
      </w:rPr>
    </w:lvl>
    <w:lvl w:ilvl="1" w:tplc="751E8878">
      <w:numFmt w:val="bullet"/>
      <w:lvlText w:val="•"/>
      <w:lvlJc w:val="left"/>
      <w:pPr>
        <w:ind w:left="2534" w:hanging="654"/>
      </w:pPr>
      <w:rPr>
        <w:rFonts w:hint="default"/>
        <w:lang w:val="en-US" w:eastAsia="en-US" w:bidi="ar-SA"/>
      </w:rPr>
    </w:lvl>
    <w:lvl w:ilvl="2" w:tplc="ED9E524C">
      <w:numFmt w:val="bullet"/>
      <w:lvlText w:val="•"/>
      <w:lvlJc w:val="left"/>
      <w:pPr>
        <w:ind w:left="3569" w:hanging="654"/>
      </w:pPr>
      <w:rPr>
        <w:rFonts w:hint="default"/>
        <w:lang w:val="en-US" w:eastAsia="en-US" w:bidi="ar-SA"/>
      </w:rPr>
    </w:lvl>
    <w:lvl w:ilvl="3" w:tplc="96CEF934">
      <w:numFmt w:val="bullet"/>
      <w:lvlText w:val="•"/>
      <w:lvlJc w:val="left"/>
      <w:pPr>
        <w:ind w:left="4603" w:hanging="654"/>
      </w:pPr>
      <w:rPr>
        <w:rFonts w:hint="default"/>
        <w:lang w:val="en-US" w:eastAsia="en-US" w:bidi="ar-SA"/>
      </w:rPr>
    </w:lvl>
    <w:lvl w:ilvl="4" w:tplc="ED1E4352">
      <w:numFmt w:val="bullet"/>
      <w:lvlText w:val="•"/>
      <w:lvlJc w:val="left"/>
      <w:pPr>
        <w:ind w:left="5638" w:hanging="654"/>
      </w:pPr>
      <w:rPr>
        <w:rFonts w:hint="default"/>
        <w:lang w:val="en-US" w:eastAsia="en-US" w:bidi="ar-SA"/>
      </w:rPr>
    </w:lvl>
    <w:lvl w:ilvl="5" w:tplc="23668C1A">
      <w:numFmt w:val="bullet"/>
      <w:lvlText w:val="•"/>
      <w:lvlJc w:val="left"/>
      <w:pPr>
        <w:ind w:left="6673" w:hanging="654"/>
      </w:pPr>
      <w:rPr>
        <w:rFonts w:hint="default"/>
        <w:lang w:val="en-US" w:eastAsia="en-US" w:bidi="ar-SA"/>
      </w:rPr>
    </w:lvl>
    <w:lvl w:ilvl="6" w:tplc="44D2A1AE">
      <w:numFmt w:val="bullet"/>
      <w:lvlText w:val="•"/>
      <w:lvlJc w:val="left"/>
      <w:pPr>
        <w:ind w:left="7707" w:hanging="654"/>
      </w:pPr>
      <w:rPr>
        <w:rFonts w:hint="default"/>
        <w:lang w:val="en-US" w:eastAsia="en-US" w:bidi="ar-SA"/>
      </w:rPr>
    </w:lvl>
    <w:lvl w:ilvl="7" w:tplc="1C30CE72">
      <w:numFmt w:val="bullet"/>
      <w:lvlText w:val="•"/>
      <w:lvlJc w:val="left"/>
      <w:pPr>
        <w:ind w:left="8742" w:hanging="654"/>
      </w:pPr>
      <w:rPr>
        <w:rFonts w:hint="default"/>
        <w:lang w:val="en-US" w:eastAsia="en-US" w:bidi="ar-SA"/>
      </w:rPr>
    </w:lvl>
    <w:lvl w:ilvl="8" w:tplc="9FE0CECC">
      <w:numFmt w:val="bullet"/>
      <w:lvlText w:val="•"/>
      <w:lvlJc w:val="left"/>
      <w:pPr>
        <w:ind w:left="9777" w:hanging="654"/>
      </w:pPr>
      <w:rPr>
        <w:rFonts w:hint="default"/>
        <w:lang w:val="en-US" w:eastAsia="en-US" w:bidi="ar-SA"/>
      </w:rPr>
    </w:lvl>
  </w:abstractNum>
  <w:abstractNum w:abstractNumId="6" w15:restartNumberingAfterBreak="0">
    <w:nsid w:val="40484D1F"/>
    <w:multiLevelType w:val="hybridMultilevel"/>
    <w:tmpl w:val="613EDE1A"/>
    <w:lvl w:ilvl="0" w:tplc="4F3282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44AE9"/>
    <w:multiLevelType w:val="hybridMultilevel"/>
    <w:tmpl w:val="07188952"/>
    <w:lvl w:ilvl="0" w:tplc="AB648B62">
      <w:start w:val="1"/>
      <w:numFmt w:val="decimal"/>
      <w:lvlText w:val="%1."/>
      <w:lvlJc w:val="left"/>
      <w:pPr>
        <w:ind w:left="720" w:hanging="360"/>
      </w:pPr>
      <w:rPr>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5B15044"/>
    <w:multiLevelType w:val="hybridMultilevel"/>
    <w:tmpl w:val="B7E2FF98"/>
    <w:lvl w:ilvl="0" w:tplc="F522C86E">
      <w:start w:val="1"/>
      <w:numFmt w:val="decimal"/>
      <w:lvlText w:val="%1."/>
      <w:lvlJc w:val="left"/>
      <w:pPr>
        <w:ind w:left="720" w:hanging="360"/>
      </w:pPr>
      <w:rPr>
        <w:rFonts w:ascii="Arial" w:hAnsi="Arial" w:cs="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C61AE8"/>
    <w:multiLevelType w:val="hybridMultilevel"/>
    <w:tmpl w:val="167E51B0"/>
    <w:lvl w:ilvl="0" w:tplc="D9E02140">
      <w:start w:val="1"/>
      <w:numFmt w:val="decimal"/>
      <w:lvlText w:val="%1."/>
      <w:lvlJc w:val="left"/>
      <w:pPr>
        <w:ind w:left="720" w:hanging="360"/>
      </w:pPr>
      <w:rPr>
        <w:rFonts w:ascii="Arial" w:hAnsi="Arial" w:cs="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BE61D0"/>
    <w:multiLevelType w:val="hybridMultilevel"/>
    <w:tmpl w:val="AC3E684E"/>
    <w:lvl w:ilvl="0" w:tplc="D2CA143E">
      <w:start w:val="1"/>
      <w:numFmt w:val="decimal"/>
      <w:lvlText w:val="%1."/>
      <w:lvlJc w:val="left"/>
      <w:pPr>
        <w:ind w:left="644" w:hanging="360"/>
      </w:pPr>
      <w:rPr>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2E57199"/>
    <w:multiLevelType w:val="multilevel"/>
    <w:tmpl w:val="84A05C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12B97"/>
    <w:multiLevelType w:val="multilevel"/>
    <w:tmpl w:val="0904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48330D"/>
    <w:multiLevelType w:val="hybridMultilevel"/>
    <w:tmpl w:val="DE666B3A"/>
    <w:lvl w:ilvl="0" w:tplc="1AC8D9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953A99"/>
    <w:multiLevelType w:val="hybridMultilevel"/>
    <w:tmpl w:val="BDBA0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3B7DA5"/>
    <w:multiLevelType w:val="hybridMultilevel"/>
    <w:tmpl w:val="AC3E684E"/>
    <w:lvl w:ilvl="0" w:tplc="D2CA143E">
      <w:start w:val="1"/>
      <w:numFmt w:val="decimal"/>
      <w:lvlText w:val="%1."/>
      <w:lvlJc w:val="left"/>
      <w:pPr>
        <w:ind w:left="644" w:hanging="360"/>
      </w:pPr>
      <w:rPr>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9F07789"/>
    <w:multiLevelType w:val="hybridMultilevel"/>
    <w:tmpl w:val="4AD2C106"/>
    <w:lvl w:ilvl="0" w:tplc="4009000F">
      <w:start w:val="1"/>
      <w:numFmt w:val="decimal"/>
      <w:lvlText w:val="%1."/>
      <w:lvlJc w:val="left"/>
      <w:pPr>
        <w:ind w:left="851" w:hanging="360"/>
      </w:pPr>
    </w:lvl>
    <w:lvl w:ilvl="1" w:tplc="40090019" w:tentative="1">
      <w:start w:val="1"/>
      <w:numFmt w:val="lowerLetter"/>
      <w:lvlText w:val="%2."/>
      <w:lvlJc w:val="left"/>
      <w:pPr>
        <w:ind w:left="1571" w:hanging="360"/>
      </w:pPr>
    </w:lvl>
    <w:lvl w:ilvl="2" w:tplc="4009001B" w:tentative="1">
      <w:start w:val="1"/>
      <w:numFmt w:val="lowerRoman"/>
      <w:lvlText w:val="%3."/>
      <w:lvlJc w:val="right"/>
      <w:pPr>
        <w:ind w:left="2291" w:hanging="180"/>
      </w:pPr>
    </w:lvl>
    <w:lvl w:ilvl="3" w:tplc="4009000F" w:tentative="1">
      <w:start w:val="1"/>
      <w:numFmt w:val="decimal"/>
      <w:lvlText w:val="%4."/>
      <w:lvlJc w:val="left"/>
      <w:pPr>
        <w:ind w:left="3011" w:hanging="360"/>
      </w:pPr>
    </w:lvl>
    <w:lvl w:ilvl="4" w:tplc="40090019" w:tentative="1">
      <w:start w:val="1"/>
      <w:numFmt w:val="lowerLetter"/>
      <w:lvlText w:val="%5."/>
      <w:lvlJc w:val="left"/>
      <w:pPr>
        <w:ind w:left="3731" w:hanging="360"/>
      </w:pPr>
    </w:lvl>
    <w:lvl w:ilvl="5" w:tplc="4009001B" w:tentative="1">
      <w:start w:val="1"/>
      <w:numFmt w:val="lowerRoman"/>
      <w:lvlText w:val="%6."/>
      <w:lvlJc w:val="right"/>
      <w:pPr>
        <w:ind w:left="4451" w:hanging="180"/>
      </w:pPr>
    </w:lvl>
    <w:lvl w:ilvl="6" w:tplc="4009000F" w:tentative="1">
      <w:start w:val="1"/>
      <w:numFmt w:val="decimal"/>
      <w:lvlText w:val="%7."/>
      <w:lvlJc w:val="left"/>
      <w:pPr>
        <w:ind w:left="5171" w:hanging="360"/>
      </w:pPr>
    </w:lvl>
    <w:lvl w:ilvl="7" w:tplc="40090019" w:tentative="1">
      <w:start w:val="1"/>
      <w:numFmt w:val="lowerLetter"/>
      <w:lvlText w:val="%8."/>
      <w:lvlJc w:val="left"/>
      <w:pPr>
        <w:ind w:left="5891" w:hanging="360"/>
      </w:pPr>
    </w:lvl>
    <w:lvl w:ilvl="8" w:tplc="4009001B" w:tentative="1">
      <w:start w:val="1"/>
      <w:numFmt w:val="lowerRoman"/>
      <w:lvlText w:val="%9."/>
      <w:lvlJc w:val="right"/>
      <w:pPr>
        <w:ind w:left="6611" w:hanging="180"/>
      </w:pPr>
    </w:lvl>
  </w:abstractNum>
  <w:abstractNum w:abstractNumId="17" w15:restartNumberingAfterBreak="0">
    <w:nsid w:val="71FD59F6"/>
    <w:multiLevelType w:val="hybridMultilevel"/>
    <w:tmpl w:val="6AF8362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75C02185"/>
    <w:multiLevelType w:val="multilevel"/>
    <w:tmpl w:val="4C98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61F7D"/>
    <w:multiLevelType w:val="hybridMultilevel"/>
    <w:tmpl w:val="5916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6"/>
  </w:num>
  <w:num w:numId="4">
    <w:abstractNumId w:val="3"/>
  </w:num>
  <w:num w:numId="5">
    <w:abstractNumId w:val="4"/>
  </w:num>
  <w:num w:numId="6">
    <w:abstractNumId w:val="0"/>
  </w:num>
  <w:num w:numId="7">
    <w:abstractNumId w:val="1"/>
  </w:num>
  <w:num w:numId="8">
    <w:abstractNumId w:val="16"/>
  </w:num>
  <w:num w:numId="9">
    <w:abstractNumId w:val="5"/>
  </w:num>
  <w:num w:numId="10">
    <w:abstractNumId w:val="12"/>
  </w:num>
  <w:num w:numId="11">
    <w:abstractNumId w:val="15"/>
  </w:num>
  <w:num w:numId="12">
    <w:abstractNumId w:val="18"/>
  </w:num>
  <w:num w:numId="13">
    <w:abstractNumId w:val="2"/>
  </w:num>
  <w:num w:numId="14">
    <w:abstractNumId w:val="17"/>
  </w:num>
  <w:num w:numId="15">
    <w:abstractNumId w:val="7"/>
  </w:num>
  <w:num w:numId="16">
    <w:abstractNumId w:val="10"/>
  </w:num>
  <w:num w:numId="17">
    <w:abstractNumId w:val="8"/>
  </w:num>
  <w:num w:numId="18">
    <w:abstractNumId w:val="9"/>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4AF7"/>
    <w:rsid w:val="0001490E"/>
    <w:rsid w:val="00014F75"/>
    <w:rsid w:val="0001633E"/>
    <w:rsid w:val="0002410B"/>
    <w:rsid w:val="00030D4F"/>
    <w:rsid w:val="00033B2B"/>
    <w:rsid w:val="00043EFC"/>
    <w:rsid w:val="00084AF7"/>
    <w:rsid w:val="000A4801"/>
    <w:rsid w:val="000A4FDD"/>
    <w:rsid w:val="000A6536"/>
    <w:rsid w:val="000B567D"/>
    <w:rsid w:val="000B7446"/>
    <w:rsid w:val="000D1B6D"/>
    <w:rsid w:val="000E40D4"/>
    <w:rsid w:val="000F6DB2"/>
    <w:rsid w:val="00117BF1"/>
    <w:rsid w:val="001216FD"/>
    <w:rsid w:val="001219BD"/>
    <w:rsid w:val="00133EA3"/>
    <w:rsid w:val="00135983"/>
    <w:rsid w:val="00173D6A"/>
    <w:rsid w:val="001816D2"/>
    <w:rsid w:val="00183F88"/>
    <w:rsid w:val="001A79A8"/>
    <w:rsid w:val="001C1C19"/>
    <w:rsid w:val="001E1590"/>
    <w:rsid w:val="001E1AE5"/>
    <w:rsid w:val="001E42C4"/>
    <w:rsid w:val="001F2127"/>
    <w:rsid w:val="001F6527"/>
    <w:rsid w:val="0020269D"/>
    <w:rsid w:val="002068A3"/>
    <w:rsid w:val="002167D9"/>
    <w:rsid w:val="00223A0C"/>
    <w:rsid w:val="00226CEA"/>
    <w:rsid w:val="00256A42"/>
    <w:rsid w:val="0028710C"/>
    <w:rsid w:val="0029305E"/>
    <w:rsid w:val="00293CA5"/>
    <w:rsid w:val="002A5A5A"/>
    <w:rsid w:val="002B538A"/>
    <w:rsid w:val="002C35F4"/>
    <w:rsid w:val="002C5610"/>
    <w:rsid w:val="002D7DB3"/>
    <w:rsid w:val="002E2F8D"/>
    <w:rsid w:val="002F3FD4"/>
    <w:rsid w:val="002F6FA2"/>
    <w:rsid w:val="00304E18"/>
    <w:rsid w:val="00327E80"/>
    <w:rsid w:val="00334EF9"/>
    <w:rsid w:val="003424DE"/>
    <w:rsid w:val="00352CF3"/>
    <w:rsid w:val="003631A4"/>
    <w:rsid w:val="00365130"/>
    <w:rsid w:val="0036798C"/>
    <w:rsid w:val="00384066"/>
    <w:rsid w:val="00387384"/>
    <w:rsid w:val="003B24C5"/>
    <w:rsid w:val="003B471A"/>
    <w:rsid w:val="003C1D9C"/>
    <w:rsid w:val="003D0B3B"/>
    <w:rsid w:val="003D784A"/>
    <w:rsid w:val="003F07BF"/>
    <w:rsid w:val="003F7BB7"/>
    <w:rsid w:val="00403011"/>
    <w:rsid w:val="004134E1"/>
    <w:rsid w:val="0041352C"/>
    <w:rsid w:val="00422737"/>
    <w:rsid w:val="004300CB"/>
    <w:rsid w:val="00453EA8"/>
    <w:rsid w:val="00482F73"/>
    <w:rsid w:val="004B2C48"/>
    <w:rsid w:val="004B7819"/>
    <w:rsid w:val="004C6B63"/>
    <w:rsid w:val="004C761C"/>
    <w:rsid w:val="004E5851"/>
    <w:rsid w:val="004F31DD"/>
    <w:rsid w:val="004F4CE1"/>
    <w:rsid w:val="00503165"/>
    <w:rsid w:val="00504757"/>
    <w:rsid w:val="005203E4"/>
    <w:rsid w:val="00521545"/>
    <w:rsid w:val="005278B6"/>
    <w:rsid w:val="00545B8D"/>
    <w:rsid w:val="00553BC8"/>
    <w:rsid w:val="00560D65"/>
    <w:rsid w:val="005617B6"/>
    <w:rsid w:val="00575621"/>
    <w:rsid w:val="00576B26"/>
    <w:rsid w:val="0059778F"/>
    <w:rsid w:val="005A72E1"/>
    <w:rsid w:val="005B6B89"/>
    <w:rsid w:val="005C0EB5"/>
    <w:rsid w:val="005D6360"/>
    <w:rsid w:val="005F0B5F"/>
    <w:rsid w:val="006061CB"/>
    <w:rsid w:val="006143F1"/>
    <w:rsid w:val="00625303"/>
    <w:rsid w:val="00633EDB"/>
    <w:rsid w:val="006465C0"/>
    <w:rsid w:val="0065349F"/>
    <w:rsid w:val="00654987"/>
    <w:rsid w:val="0067236F"/>
    <w:rsid w:val="00673D26"/>
    <w:rsid w:val="00687D87"/>
    <w:rsid w:val="006956CD"/>
    <w:rsid w:val="006A3306"/>
    <w:rsid w:val="006A688F"/>
    <w:rsid w:val="006B0EDA"/>
    <w:rsid w:val="006D797B"/>
    <w:rsid w:val="006F6719"/>
    <w:rsid w:val="006F68FF"/>
    <w:rsid w:val="007028B8"/>
    <w:rsid w:val="00703A63"/>
    <w:rsid w:val="00712455"/>
    <w:rsid w:val="0071326F"/>
    <w:rsid w:val="007326D0"/>
    <w:rsid w:val="00745120"/>
    <w:rsid w:val="00745406"/>
    <w:rsid w:val="00746BFC"/>
    <w:rsid w:val="00751848"/>
    <w:rsid w:val="00754E12"/>
    <w:rsid w:val="00755E3E"/>
    <w:rsid w:val="00757B51"/>
    <w:rsid w:val="00761F9B"/>
    <w:rsid w:val="00777821"/>
    <w:rsid w:val="00782185"/>
    <w:rsid w:val="00785CE4"/>
    <w:rsid w:val="0079475D"/>
    <w:rsid w:val="00795938"/>
    <w:rsid w:val="007A16B9"/>
    <w:rsid w:val="007B68F6"/>
    <w:rsid w:val="007B738A"/>
    <w:rsid w:val="007B7544"/>
    <w:rsid w:val="007C594F"/>
    <w:rsid w:val="007E4593"/>
    <w:rsid w:val="007F0A67"/>
    <w:rsid w:val="007F0D61"/>
    <w:rsid w:val="007F6B1D"/>
    <w:rsid w:val="00815F06"/>
    <w:rsid w:val="00831937"/>
    <w:rsid w:val="00841493"/>
    <w:rsid w:val="00875FB0"/>
    <w:rsid w:val="008824BD"/>
    <w:rsid w:val="008A013D"/>
    <w:rsid w:val="008A7652"/>
    <w:rsid w:val="008B2D50"/>
    <w:rsid w:val="008D213D"/>
    <w:rsid w:val="008D623B"/>
    <w:rsid w:val="008D6A0B"/>
    <w:rsid w:val="008E47E4"/>
    <w:rsid w:val="008F2C2D"/>
    <w:rsid w:val="008F79D7"/>
    <w:rsid w:val="00907210"/>
    <w:rsid w:val="00931D6C"/>
    <w:rsid w:val="0093462B"/>
    <w:rsid w:val="00940E2B"/>
    <w:rsid w:val="009677B5"/>
    <w:rsid w:val="00967DE1"/>
    <w:rsid w:val="00973F7F"/>
    <w:rsid w:val="00990BB3"/>
    <w:rsid w:val="00994025"/>
    <w:rsid w:val="0099563C"/>
    <w:rsid w:val="00997121"/>
    <w:rsid w:val="009A0E23"/>
    <w:rsid w:val="009D38F8"/>
    <w:rsid w:val="00A11331"/>
    <w:rsid w:val="00A214CD"/>
    <w:rsid w:val="00A340CA"/>
    <w:rsid w:val="00A61E3D"/>
    <w:rsid w:val="00A71EEC"/>
    <w:rsid w:val="00AB29AD"/>
    <w:rsid w:val="00AC3FE8"/>
    <w:rsid w:val="00AD4E40"/>
    <w:rsid w:val="00AD6453"/>
    <w:rsid w:val="00B018EA"/>
    <w:rsid w:val="00B11421"/>
    <w:rsid w:val="00B141B6"/>
    <w:rsid w:val="00B14B67"/>
    <w:rsid w:val="00B5759F"/>
    <w:rsid w:val="00B7371C"/>
    <w:rsid w:val="00B76C43"/>
    <w:rsid w:val="00B93282"/>
    <w:rsid w:val="00BB66CB"/>
    <w:rsid w:val="00BB7899"/>
    <w:rsid w:val="00BC72D1"/>
    <w:rsid w:val="00C24DFA"/>
    <w:rsid w:val="00C26C08"/>
    <w:rsid w:val="00C36BCC"/>
    <w:rsid w:val="00C44630"/>
    <w:rsid w:val="00C44938"/>
    <w:rsid w:val="00C4609B"/>
    <w:rsid w:val="00C57009"/>
    <w:rsid w:val="00C638DC"/>
    <w:rsid w:val="00C641FB"/>
    <w:rsid w:val="00C97CE8"/>
    <w:rsid w:val="00CA00A7"/>
    <w:rsid w:val="00CD1C15"/>
    <w:rsid w:val="00CD57B0"/>
    <w:rsid w:val="00CF5D03"/>
    <w:rsid w:val="00D01CBE"/>
    <w:rsid w:val="00D05AF9"/>
    <w:rsid w:val="00D12610"/>
    <w:rsid w:val="00D13043"/>
    <w:rsid w:val="00D17348"/>
    <w:rsid w:val="00D23DC1"/>
    <w:rsid w:val="00D303A3"/>
    <w:rsid w:val="00D353EE"/>
    <w:rsid w:val="00D403DD"/>
    <w:rsid w:val="00D43BC3"/>
    <w:rsid w:val="00D459C5"/>
    <w:rsid w:val="00D610D9"/>
    <w:rsid w:val="00D6452E"/>
    <w:rsid w:val="00D9549B"/>
    <w:rsid w:val="00DA0B98"/>
    <w:rsid w:val="00DA6368"/>
    <w:rsid w:val="00DB192C"/>
    <w:rsid w:val="00DE3E35"/>
    <w:rsid w:val="00DF1242"/>
    <w:rsid w:val="00E02703"/>
    <w:rsid w:val="00E064AE"/>
    <w:rsid w:val="00E17B57"/>
    <w:rsid w:val="00E36449"/>
    <w:rsid w:val="00E57088"/>
    <w:rsid w:val="00E719F0"/>
    <w:rsid w:val="00E7450F"/>
    <w:rsid w:val="00E92E29"/>
    <w:rsid w:val="00EA1924"/>
    <w:rsid w:val="00EA7007"/>
    <w:rsid w:val="00EB435C"/>
    <w:rsid w:val="00EB565B"/>
    <w:rsid w:val="00ED1BB9"/>
    <w:rsid w:val="00EF42BD"/>
    <w:rsid w:val="00EF576D"/>
    <w:rsid w:val="00EF5916"/>
    <w:rsid w:val="00EF609F"/>
    <w:rsid w:val="00EF7A8D"/>
    <w:rsid w:val="00F15DDA"/>
    <w:rsid w:val="00F24097"/>
    <w:rsid w:val="00F2598A"/>
    <w:rsid w:val="00F35310"/>
    <w:rsid w:val="00F67F68"/>
    <w:rsid w:val="00F7265A"/>
    <w:rsid w:val="00F75847"/>
    <w:rsid w:val="00FA5F9E"/>
    <w:rsid w:val="00FD57A5"/>
    <w:rsid w:val="00FE024D"/>
    <w:rsid w:val="00FF12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365D8496"/>
  <w15:docId w15:val="{5D324310-1B9B-4697-BEE1-C5C4D330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71C"/>
  </w:style>
  <w:style w:type="paragraph" w:styleId="Heading1">
    <w:name w:val="heading 1"/>
    <w:basedOn w:val="Normal"/>
    <w:next w:val="Normal"/>
    <w:link w:val="Heading1Char"/>
    <w:uiPriority w:val="9"/>
    <w:qFormat/>
    <w:rsid w:val="00084A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4A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4AF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084AF7"/>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84AF7"/>
    <w:rPr>
      <w:rFonts w:eastAsiaTheme="minorHAnsi"/>
      <w:sz w:val="20"/>
      <w:szCs w:val="20"/>
    </w:rPr>
  </w:style>
  <w:style w:type="character" w:styleId="FootnoteReference">
    <w:name w:val="footnote reference"/>
    <w:basedOn w:val="DefaultParagraphFont"/>
    <w:uiPriority w:val="99"/>
    <w:semiHidden/>
    <w:unhideWhenUsed/>
    <w:rsid w:val="00084AF7"/>
    <w:rPr>
      <w:vertAlign w:val="superscript"/>
    </w:rPr>
  </w:style>
  <w:style w:type="character" w:customStyle="1" w:styleId="Heading1Char">
    <w:name w:val="Heading 1 Char"/>
    <w:basedOn w:val="DefaultParagraphFont"/>
    <w:link w:val="Heading1"/>
    <w:uiPriority w:val="9"/>
    <w:rsid w:val="00084AF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84AF7"/>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084AF7"/>
    <w:rPr>
      <w:i/>
      <w:iCs/>
    </w:rPr>
  </w:style>
  <w:style w:type="character" w:customStyle="1" w:styleId="ls24">
    <w:name w:val="ls24"/>
    <w:basedOn w:val="DefaultParagraphFont"/>
    <w:rsid w:val="00084AF7"/>
  </w:style>
  <w:style w:type="character" w:styleId="Hyperlink">
    <w:name w:val="Hyperlink"/>
    <w:basedOn w:val="DefaultParagraphFont"/>
    <w:uiPriority w:val="99"/>
    <w:unhideWhenUsed/>
    <w:rsid w:val="00084AF7"/>
    <w:rPr>
      <w:color w:val="0000FF" w:themeColor="hyperlink"/>
      <w:u w:val="single"/>
    </w:rPr>
  </w:style>
  <w:style w:type="paragraph" w:styleId="NormalWeb">
    <w:name w:val="Normal (Web)"/>
    <w:basedOn w:val="Normal"/>
    <w:uiPriority w:val="99"/>
    <w:unhideWhenUsed/>
    <w:rsid w:val="00084A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084AF7"/>
    <w:pPr>
      <w:ind w:left="720"/>
      <w:contextualSpacing/>
    </w:pPr>
    <w:rPr>
      <w:rFonts w:eastAsiaTheme="minorHAnsi"/>
    </w:rPr>
  </w:style>
  <w:style w:type="paragraph" w:styleId="BalloonText">
    <w:name w:val="Balloon Text"/>
    <w:basedOn w:val="Normal"/>
    <w:link w:val="BalloonTextChar"/>
    <w:uiPriority w:val="99"/>
    <w:semiHidden/>
    <w:unhideWhenUsed/>
    <w:rsid w:val="00084AF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84AF7"/>
    <w:rPr>
      <w:rFonts w:ascii="Tahoma" w:eastAsiaTheme="minorHAnsi" w:hAnsi="Tahoma" w:cs="Tahoma"/>
      <w:sz w:val="16"/>
      <w:szCs w:val="16"/>
    </w:rPr>
  </w:style>
  <w:style w:type="paragraph" w:styleId="Header">
    <w:name w:val="header"/>
    <w:basedOn w:val="Normal"/>
    <w:link w:val="HeaderChar"/>
    <w:uiPriority w:val="99"/>
    <w:unhideWhenUsed/>
    <w:rsid w:val="00084AF7"/>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84AF7"/>
    <w:rPr>
      <w:rFonts w:eastAsiaTheme="minorHAnsi"/>
    </w:rPr>
  </w:style>
  <w:style w:type="paragraph" w:styleId="Footer">
    <w:name w:val="footer"/>
    <w:basedOn w:val="Normal"/>
    <w:link w:val="FooterChar"/>
    <w:uiPriority w:val="99"/>
    <w:unhideWhenUsed/>
    <w:rsid w:val="00084AF7"/>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84AF7"/>
    <w:rPr>
      <w:rFonts w:eastAsiaTheme="minorHAnsi"/>
    </w:rPr>
  </w:style>
  <w:style w:type="paragraph" w:styleId="Caption">
    <w:name w:val="caption"/>
    <w:basedOn w:val="Normal"/>
    <w:next w:val="Normal"/>
    <w:uiPriority w:val="35"/>
    <w:unhideWhenUsed/>
    <w:qFormat/>
    <w:rsid w:val="00084AF7"/>
    <w:pPr>
      <w:spacing w:line="240" w:lineRule="auto"/>
    </w:pPr>
    <w:rPr>
      <w:rFonts w:eastAsiaTheme="minorHAnsi"/>
      <w:b/>
      <w:bCs/>
      <w:color w:val="4F81BD" w:themeColor="accent1"/>
      <w:sz w:val="18"/>
      <w:szCs w:val="18"/>
    </w:rPr>
  </w:style>
  <w:style w:type="character" w:styleId="FollowedHyperlink">
    <w:name w:val="FollowedHyperlink"/>
    <w:basedOn w:val="DefaultParagraphFont"/>
    <w:uiPriority w:val="99"/>
    <w:semiHidden/>
    <w:unhideWhenUsed/>
    <w:rsid w:val="00084AF7"/>
    <w:rPr>
      <w:color w:val="800080" w:themeColor="followedHyperlink"/>
      <w:u w:val="single"/>
    </w:rPr>
  </w:style>
  <w:style w:type="paragraph" w:customStyle="1" w:styleId="TableParagraph">
    <w:name w:val="Table Paragraph"/>
    <w:basedOn w:val="Normal"/>
    <w:uiPriority w:val="1"/>
    <w:qFormat/>
    <w:rsid w:val="00084AF7"/>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Style">
    <w:name w:val="Style"/>
    <w:uiPriority w:val="99"/>
    <w:rsid w:val="00084A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084AF7"/>
  </w:style>
  <w:style w:type="character" w:customStyle="1" w:styleId="a">
    <w:name w:val="a"/>
    <w:basedOn w:val="DefaultParagraphFont"/>
    <w:rsid w:val="00084AF7"/>
  </w:style>
  <w:style w:type="character" w:styleId="Strong">
    <w:name w:val="Strong"/>
    <w:basedOn w:val="DefaultParagraphFont"/>
    <w:uiPriority w:val="22"/>
    <w:qFormat/>
    <w:rsid w:val="00576B26"/>
    <w:rPr>
      <w:b/>
      <w:bCs/>
    </w:rPr>
  </w:style>
  <w:style w:type="character" w:styleId="UnresolvedMention">
    <w:name w:val="Unresolved Mention"/>
    <w:basedOn w:val="DefaultParagraphFont"/>
    <w:uiPriority w:val="99"/>
    <w:semiHidden/>
    <w:unhideWhenUsed/>
    <w:rsid w:val="00934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66362">
      <w:bodyDiv w:val="1"/>
      <w:marLeft w:val="0"/>
      <w:marRight w:val="0"/>
      <w:marTop w:val="0"/>
      <w:marBottom w:val="0"/>
      <w:divBdr>
        <w:top w:val="none" w:sz="0" w:space="0" w:color="auto"/>
        <w:left w:val="none" w:sz="0" w:space="0" w:color="auto"/>
        <w:bottom w:val="none" w:sz="0" w:space="0" w:color="auto"/>
        <w:right w:val="none" w:sz="0" w:space="0" w:color="auto"/>
      </w:divBdr>
    </w:div>
    <w:div w:id="148137022">
      <w:bodyDiv w:val="1"/>
      <w:marLeft w:val="0"/>
      <w:marRight w:val="0"/>
      <w:marTop w:val="0"/>
      <w:marBottom w:val="0"/>
      <w:divBdr>
        <w:top w:val="none" w:sz="0" w:space="0" w:color="auto"/>
        <w:left w:val="none" w:sz="0" w:space="0" w:color="auto"/>
        <w:bottom w:val="none" w:sz="0" w:space="0" w:color="auto"/>
        <w:right w:val="none" w:sz="0" w:space="0" w:color="auto"/>
      </w:divBdr>
    </w:div>
    <w:div w:id="599216782">
      <w:bodyDiv w:val="1"/>
      <w:marLeft w:val="0"/>
      <w:marRight w:val="0"/>
      <w:marTop w:val="0"/>
      <w:marBottom w:val="0"/>
      <w:divBdr>
        <w:top w:val="none" w:sz="0" w:space="0" w:color="auto"/>
        <w:left w:val="none" w:sz="0" w:space="0" w:color="auto"/>
        <w:bottom w:val="none" w:sz="0" w:space="0" w:color="auto"/>
        <w:right w:val="none" w:sz="0" w:space="0" w:color="auto"/>
      </w:divBdr>
    </w:div>
    <w:div w:id="758909268">
      <w:bodyDiv w:val="1"/>
      <w:marLeft w:val="0"/>
      <w:marRight w:val="0"/>
      <w:marTop w:val="0"/>
      <w:marBottom w:val="0"/>
      <w:divBdr>
        <w:top w:val="none" w:sz="0" w:space="0" w:color="auto"/>
        <w:left w:val="none" w:sz="0" w:space="0" w:color="auto"/>
        <w:bottom w:val="none" w:sz="0" w:space="0" w:color="auto"/>
        <w:right w:val="none" w:sz="0" w:space="0" w:color="auto"/>
      </w:divBdr>
    </w:div>
    <w:div w:id="816456371">
      <w:bodyDiv w:val="1"/>
      <w:marLeft w:val="0"/>
      <w:marRight w:val="0"/>
      <w:marTop w:val="0"/>
      <w:marBottom w:val="0"/>
      <w:divBdr>
        <w:top w:val="none" w:sz="0" w:space="0" w:color="auto"/>
        <w:left w:val="none" w:sz="0" w:space="0" w:color="auto"/>
        <w:bottom w:val="none" w:sz="0" w:space="0" w:color="auto"/>
        <w:right w:val="none" w:sz="0" w:space="0" w:color="auto"/>
      </w:divBdr>
    </w:div>
    <w:div w:id="885214521">
      <w:bodyDiv w:val="1"/>
      <w:marLeft w:val="0"/>
      <w:marRight w:val="0"/>
      <w:marTop w:val="0"/>
      <w:marBottom w:val="0"/>
      <w:divBdr>
        <w:top w:val="none" w:sz="0" w:space="0" w:color="auto"/>
        <w:left w:val="none" w:sz="0" w:space="0" w:color="auto"/>
        <w:bottom w:val="none" w:sz="0" w:space="0" w:color="auto"/>
        <w:right w:val="none" w:sz="0" w:space="0" w:color="auto"/>
      </w:divBdr>
    </w:div>
    <w:div w:id="1052996181">
      <w:bodyDiv w:val="1"/>
      <w:marLeft w:val="0"/>
      <w:marRight w:val="0"/>
      <w:marTop w:val="0"/>
      <w:marBottom w:val="0"/>
      <w:divBdr>
        <w:top w:val="none" w:sz="0" w:space="0" w:color="auto"/>
        <w:left w:val="none" w:sz="0" w:space="0" w:color="auto"/>
        <w:bottom w:val="none" w:sz="0" w:space="0" w:color="auto"/>
        <w:right w:val="none" w:sz="0" w:space="0" w:color="auto"/>
      </w:divBdr>
    </w:div>
    <w:div w:id="1168449523">
      <w:bodyDiv w:val="1"/>
      <w:marLeft w:val="0"/>
      <w:marRight w:val="0"/>
      <w:marTop w:val="0"/>
      <w:marBottom w:val="0"/>
      <w:divBdr>
        <w:top w:val="none" w:sz="0" w:space="0" w:color="auto"/>
        <w:left w:val="none" w:sz="0" w:space="0" w:color="auto"/>
        <w:bottom w:val="none" w:sz="0" w:space="0" w:color="auto"/>
        <w:right w:val="none" w:sz="0" w:space="0" w:color="auto"/>
      </w:divBdr>
    </w:div>
    <w:div w:id="1450395028">
      <w:bodyDiv w:val="1"/>
      <w:marLeft w:val="0"/>
      <w:marRight w:val="0"/>
      <w:marTop w:val="0"/>
      <w:marBottom w:val="0"/>
      <w:divBdr>
        <w:top w:val="none" w:sz="0" w:space="0" w:color="auto"/>
        <w:left w:val="none" w:sz="0" w:space="0" w:color="auto"/>
        <w:bottom w:val="none" w:sz="0" w:space="0" w:color="auto"/>
        <w:right w:val="none" w:sz="0" w:space="0" w:color="auto"/>
      </w:divBdr>
    </w:div>
    <w:div w:id="1482767812">
      <w:bodyDiv w:val="1"/>
      <w:marLeft w:val="0"/>
      <w:marRight w:val="0"/>
      <w:marTop w:val="0"/>
      <w:marBottom w:val="0"/>
      <w:divBdr>
        <w:top w:val="none" w:sz="0" w:space="0" w:color="auto"/>
        <w:left w:val="none" w:sz="0" w:space="0" w:color="auto"/>
        <w:bottom w:val="none" w:sz="0" w:space="0" w:color="auto"/>
        <w:right w:val="none" w:sz="0" w:space="0" w:color="auto"/>
      </w:divBdr>
    </w:div>
    <w:div w:id="1536505709">
      <w:bodyDiv w:val="1"/>
      <w:marLeft w:val="0"/>
      <w:marRight w:val="0"/>
      <w:marTop w:val="0"/>
      <w:marBottom w:val="0"/>
      <w:divBdr>
        <w:top w:val="none" w:sz="0" w:space="0" w:color="auto"/>
        <w:left w:val="none" w:sz="0" w:space="0" w:color="auto"/>
        <w:bottom w:val="none" w:sz="0" w:space="0" w:color="auto"/>
        <w:right w:val="none" w:sz="0" w:space="0" w:color="auto"/>
      </w:divBdr>
    </w:div>
    <w:div w:id="1563370070">
      <w:bodyDiv w:val="1"/>
      <w:marLeft w:val="0"/>
      <w:marRight w:val="0"/>
      <w:marTop w:val="0"/>
      <w:marBottom w:val="0"/>
      <w:divBdr>
        <w:top w:val="none" w:sz="0" w:space="0" w:color="auto"/>
        <w:left w:val="none" w:sz="0" w:space="0" w:color="auto"/>
        <w:bottom w:val="none" w:sz="0" w:space="0" w:color="auto"/>
        <w:right w:val="none" w:sz="0" w:space="0" w:color="auto"/>
      </w:divBdr>
    </w:div>
    <w:div w:id="1582790418">
      <w:bodyDiv w:val="1"/>
      <w:marLeft w:val="0"/>
      <w:marRight w:val="0"/>
      <w:marTop w:val="0"/>
      <w:marBottom w:val="0"/>
      <w:divBdr>
        <w:top w:val="none" w:sz="0" w:space="0" w:color="auto"/>
        <w:left w:val="none" w:sz="0" w:space="0" w:color="auto"/>
        <w:bottom w:val="none" w:sz="0" w:space="0" w:color="auto"/>
        <w:right w:val="none" w:sz="0" w:space="0" w:color="auto"/>
      </w:divBdr>
    </w:div>
    <w:div w:id="1826781866">
      <w:bodyDiv w:val="1"/>
      <w:marLeft w:val="0"/>
      <w:marRight w:val="0"/>
      <w:marTop w:val="0"/>
      <w:marBottom w:val="0"/>
      <w:divBdr>
        <w:top w:val="none" w:sz="0" w:space="0" w:color="auto"/>
        <w:left w:val="none" w:sz="0" w:space="0" w:color="auto"/>
        <w:bottom w:val="none" w:sz="0" w:space="0" w:color="auto"/>
        <w:right w:val="none" w:sz="0" w:space="0" w:color="auto"/>
      </w:divBdr>
    </w:div>
    <w:div w:id="1892957926">
      <w:bodyDiv w:val="1"/>
      <w:marLeft w:val="0"/>
      <w:marRight w:val="0"/>
      <w:marTop w:val="0"/>
      <w:marBottom w:val="0"/>
      <w:divBdr>
        <w:top w:val="none" w:sz="0" w:space="0" w:color="auto"/>
        <w:left w:val="none" w:sz="0" w:space="0" w:color="auto"/>
        <w:bottom w:val="none" w:sz="0" w:space="0" w:color="auto"/>
        <w:right w:val="none" w:sz="0" w:space="0" w:color="auto"/>
      </w:divBdr>
    </w:div>
    <w:div w:id="1952663531">
      <w:bodyDiv w:val="1"/>
      <w:marLeft w:val="0"/>
      <w:marRight w:val="0"/>
      <w:marTop w:val="0"/>
      <w:marBottom w:val="0"/>
      <w:divBdr>
        <w:top w:val="none" w:sz="0" w:space="0" w:color="auto"/>
        <w:left w:val="none" w:sz="0" w:space="0" w:color="auto"/>
        <w:bottom w:val="none" w:sz="0" w:space="0" w:color="auto"/>
        <w:right w:val="none" w:sz="0" w:space="0" w:color="auto"/>
      </w:divBdr>
    </w:div>
    <w:div w:id="2067753215">
      <w:bodyDiv w:val="1"/>
      <w:marLeft w:val="0"/>
      <w:marRight w:val="0"/>
      <w:marTop w:val="0"/>
      <w:marBottom w:val="0"/>
      <w:divBdr>
        <w:top w:val="none" w:sz="0" w:space="0" w:color="auto"/>
        <w:left w:val="none" w:sz="0" w:space="0" w:color="auto"/>
        <w:bottom w:val="none" w:sz="0" w:space="0" w:color="auto"/>
        <w:right w:val="none" w:sz="0" w:space="0" w:color="auto"/>
      </w:divBdr>
    </w:div>
    <w:div w:id="2085175910">
      <w:bodyDiv w:val="1"/>
      <w:marLeft w:val="0"/>
      <w:marRight w:val="0"/>
      <w:marTop w:val="0"/>
      <w:marBottom w:val="0"/>
      <w:divBdr>
        <w:top w:val="none" w:sz="0" w:space="0" w:color="auto"/>
        <w:left w:val="none" w:sz="0" w:space="0" w:color="auto"/>
        <w:bottom w:val="none" w:sz="0" w:space="0" w:color="auto"/>
        <w:right w:val="none" w:sz="0" w:space="0" w:color="auto"/>
      </w:divBdr>
    </w:div>
    <w:div w:id="213236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TOF%20Bibl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2544732057549E-2"/>
          <c:y val="2.6217425974243886E-2"/>
          <c:w val="0.91253925516172985"/>
          <c:h val="0.81002722892486667"/>
        </c:manualLayout>
      </c:layout>
      <c:barChart>
        <c:barDir val="col"/>
        <c:grouping val="clustered"/>
        <c:varyColors val="1"/>
        <c:ser>
          <c:idx val="1"/>
          <c:order val="0"/>
          <c:tx>
            <c:strRef>
              <c:f>Sheet1!$B$1</c:f>
              <c:strCache>
                <c:ptCount val="1"/>
                <c:pt idx="0">
                  <c:v>Number of Publications</c:v>
                </c:pt>
              </c:strCache>
            </c:strRef>
          </c:tx>
          <c:spPr>
            <a:ln>
              <a:solidFill>
                <a:sysClr val="windowText" lastClr="000000"/>
              </a:solidFill>
            </a:ln>
          </c:spPr>
          <c:invertIfNegative val="0"/>
          <c:dPt>
            <c:idx val="0"/>
            <c:invertIfNegative val="0"/>
            <c:bubble3D val="0"/>
            <c:spPr>
              <a:solidFill>
                <a:schemeClr val="accent1"/>
              </a:solidFill>
              <a:ln>
                <a:solidFill>
                  <a:sysClr val="windowText" lastClr="000000"/>
                </a:solidFill>
              </a:ln>
              <a:effectLst/>
            </c:spPr>
            <c:extLst>
              <c:ext xmlns:c16="http://schemas.microsoft.com/office/drawing/2014/chart" uri="{C3380CC4-5D6E-409C-BE32-E72D297353CC}">
                <c16:uniqueId val="{00000000-4022-4413-8043-CC2FD02E39AA}"/>
              </c:ext>
            </c:extLst>
          </c:dPt>
          <c:dPt>
            <c:idx val="1"/>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1-4022-4413-8043-CC2FD02E39AA}"/>
              </c:ext>
            </c:extLst>
          </c:dPt>
          <c:dPt>
            <c:idx val="2"/>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2-4022-4413-8043-CC2FD02E39AA}"/>
              </c:ext>
            </c:extLst>
          </c:dPt>
          <c:dPt>
            <c:idx val="3"/>
            <c:invertIfNegative val="0"/>
            <c:bubble3D val="0"/>
            <c:spPr>
              <a:solidFill>
                <a:schemeClr val="accent4"/>
              </a:solidFill>
              <a:ln>
                <a:solidFill>
                  <a:sysClr val="windowText" lastClr="000000"/>
                </a:solidFill>
              </a:ln>
              <a:effectLst/>
            </c:spPr>
            <c:extLst>
              <c:ext xmlns:c16="http://schemas.microsoft.com/office/drawing/2014/chart" uri="{C3380CC4-5D6E-409C-BE32-E72D297353CC}">
                <c16:uniqueId val="{00000003-4022-4413-8043-CC2FD02E39AA}"/>
              </c:ext>
            </c:extLst>
          </c:dPt>
          <c:dPt>
            <c:idx val="4"/>
            <c:invertIfNegative val="0"/>
            <c:bubble3D val="0"/>
            <c:spPr>
              <a:solidFill>
                <a:schemeClr val="accent5"/>
              </a:solidFill>
              <a:ln>
                <a:solidFill>
                  <a:sysClr val="windowText" lastClr="000000"/>
                </a:solidFill>
              </a:ln>
              <a:effectLst/>
            </c:spPr>
            <c:extLst>
              <c:ext xmlns:c16="http://schemas.microsoft.com/office/drawing/2014/chart" uri="{C3380CC4-5D6E-409C-BE32-E72D297353CC}">
                <c16:uniqueId val="{00000004-4022-4413-8043-CC2FD02E39AA}"/>
              </c:ext>
            </c:extLst>
          </c:dPt>
          <c:dPt>
            <c:idx val="5"/>
            <c:invertIfNegative val="0"/>
            <c:bubble3D val="0"/>
            <c:spPr>
              <a:solidFill>
                <a:schemeClr val="accent6"/>
              </a:solidFill>
              <a:ln>
                <a:solidFill>
                  <a:sysClr val="windowText" lastClr="000000"/>
                </a:solidFill>
              </a:ln>
              <a:effectLst/>
            </c:spPr>
            <c:extLst>
              <c:ext xmlns:c16="http://schemas.microsoft.com/office/drawing/2014/chart" uri="{C3380CC4-5D6E-409C-BE32-E72D297353CC}">
                <c16:uniqueId val="{00000005-4022-4413-8043-CC2FD02E39AA}"/>
              </c:ext>
            </c:extLst>
          </c:dPt>
          <c:dPt>
            <c:idx val="6"/>
            <c:invertIfNegative val="0"/>
            <c:bubble3D val="0"/>
            <c:spPr>
              <a:solidFill>
                <a:schemeClr val="accent1">
                  <a:lumMod val="60000"/>
                </a:schemeClr>
              </a:solidFill>
              <a:ln>
                <a:solidFill>
                  <a:sysClr val="windowText" lastClr="000000"/>
                </a:solidFill>
              </a:ln>
              <a:effectLst/>
            </c:spPr>
            <c:extLst>
              <c:ext xmlns:c16="http://schemas.microsoft.com/office/drawing/2014/chart" uri="{C3380CC4-5D6E-409C-BE32-E72D297353CC}">
                <c16:uniqueId val="{00000006-4022-4413-8043-CC2FD02E39AA}"/>
              </c:ext>
            </c:extLst>
          </c:dPt>
          <c:dPt>
            <c:idx val="7"/>
            <c:invertIfNegative val="0"/>
            <c:bubble3D val="0"/>
            <c:spPr>
              <a:solidFill>
                <a:schemeClr val="accent2">
                  <a:lumMod val="60000"/>
                </a:schemeClr>
              </a:solidFill>
              <a:ln>
                <a:solidFill>
                  <a:sysClr val="windowText" lastClr="000000"/>
                </a:solidFill>
              </a:ln>
              <a:effectLst/>
            </c:spPr>
            <c:extLst>
              <c:ext xmlns:c16="http://schemas.microsoft.com/office/drawing/2014/chart" uri="{C3380CC4-5D6E-409C-BE32-E72D297353CC}">
                <c16:uniqueId val="{00000007-4022-4413-8043-CC2FD02E39AA}"/>
              </c:ext>
            </c:extLst>
          </c:dPt>
          <c:dPt>
            <c:idx val="8"/>
            <c:invertIfNegative val="0"/>
            <c:bubble3D val="0"/>
            <c:spPr>
              <a:solidFill>
                <a:schemeClr val="accent3">
                  <a:lumMod val="60000"/>
                </a:schemeClr>
              </a:solidFill>
              <a:ln>
                <a:solidFill>
                  <a:sysClr val="windowText" lastClr="000000"/>
                </a:solidFill>
              </a:ln>
              <a:effectLst/>
            </c:spPr>
            <c:extLst>
              <c:ext xmlns:c16="http://schemas.microsoft.com/office/drawing/2014/chart" uri="{C3380CC4-5D6E-409C-BE32-E72D297353CC}">
                <c16:uniqueId val="{00000008-4022-4413-8043-CC2FD02E39AA}"/>
              </c:ext>
            </c:extLst>
          </c:dPt>
          <c:dPt>
            <c:idx val="9"/>
            <c:invertIfNegative val="0"/>
            <c:bubble3D val="0"/>
            <c:spPr>
              <a:solidFill>
                <a:schemeClr val="accent4">
                  <a:lumMod val="60000"/>
                </a:schemeClr>
              </a:solidFill>
              <a:ln>
                <a:solidFill>
                  <a:sysClr val="windowText" lastClr="000000"/>
                </a:solidFill>
              </a:ln>
              <a:effectLst/>
            </c:spPr>
            <c:extLst>
              <c:ext xmlns:c16="http://schemas.microsoft.com/office/drawing/2014/chart" uri="{C3380CC4-5D6E-409C-BE32-E72D297353CC}">
                <c16:uniqueId val="{00000009-4022-4413-8043-CC2FD02E39AA}"/>
              </c:ext>
            </c:extLst>
          </c:dPt>
          <c:dPt>
            <c:idx val="10"/>
            <c:invertIfNegative val="0"/>
            <c:bubble3D val="0"/>
            <c:spPr>
              <a:solidFill>
                <a:schemeClr val="accent5">
                  <a:lumMod val="60000"/>
                </a:schemeClr>
              </a:solidFill>
              <a:ln>
                <a:solidFill>
                  <a:sysClr val="windowText" lastClr="000000"/>
                </a:solidFill>
              </a:ln>
              <a:effectLst/>
            </c:spPr>
            <c:extLst>
              <c:ext xmlns:c16="http://schemas.microsoft.com/office/drawing/2014/chart" uri="{C3380CC4-5D6E-409C-BE32-E72D297353CC}">
                <c16:uniqueId val="{0000000A-4022-4413-8043-CC2FD02E39AA}"/>
              </c:ext>
            </c:extLst>
          </c:dPt>
          <c:dPt>
            <c:idx val="11"/>
            <c:invertIfNegative val="0"/>
            <c:bubble3D val="0"/>
            <c:spPr>
              <a:solidFill>
                <a:schemeClr val="accent6">
                  <a:lumMod val="60000"/>
                </a:schemeClr>
              </a:solidFill>
              <a:ln>
                <a:solidFill>
                  <a:sysClr val="windowText" lastClr="000000"/>
                </a:solidFill>
              </a:ln>
              <a:effectLst/>
            </c:spPr>
            <c:extLst>
              <c:ext xmlns:c16="http://schemas.microsoft.com/office/drawing/2014/chart" uri="{C3380CC4-5D6E-409C-BE32-E72D297353CC}">
                <c16:uniqueId val="{0000000B-4022-4413-8043-CC2FD02E39AA}"/>
              </c:ext>
            </c:extLst>
          </c:dPt>
          <c:dPt>
            <c:idx val="12"/>
            <c:invertIfNegative val="0"/>
            <c:bubble3D val="0"/>
            <c:spPr>
              <a:solidFill>
                <a:schemeClr val="accent1">
                  <a:lumMod val="80000"/>
                  <a:lumOff val="20000"/>
                </a:schemeClr>
              </a:solidFill>
              <a:ln>
                <a:solidFill>
                  <a:sysClr val="windowText" lastClr="000000"/>
                </a:solidFill>
              </a:ln>
              <a:effectLst/>
            </c:spPr>
            <c:extLst>
              <c:ext xmlns:c16="http://schemas.microsoft.com/office/drawing/2014/chart" uri="{C3380CC4-5D6E-409C-BE32-E72D297353CC}">
                <c16:uniqueId val="{0000000C-4022-4413-8043-CC2FD02E39AA}"/>
              </c:ext>
            </c:extLst>
          </c:dPt>
          <c:dPt>
            <c:idx val="13"/>
            <c:invertIfNegative val="0"/>
            <c:bubble3D val="0"/>
            <c:spPr>
              <a:solidFill>
                <a:schemeClr val="accent2">
                  <a:lumMod val="80000"/>
                  <a:lumOff val="20000"/>
                </a:schemeClr>
              </a:solidFill>
              <a:ln>
                <a:solidFill>
                  <a:sysClr val="windowText" lastClr="000000"/>
                </a:solidFill>
              </a:ln>
              <a:effectLst/>
            </c:spPr>
            <c:extLst>
              <c:ext xmlns:c16="http://schemas.microsoft.com/office/drawing/2014/chart" uri="{C3380CC4-5D6E-409C-BE32-E72D297353CC}">
                <c16:uniqueId val="{0000000D-4022-4413-8043-CC2FD02E39AA}"/>
              </c:ext>
            </c:extLst>
          </c:dPt>
          <c:dPt>
            <c:idx val="14"/>
            <c:invertIfNegative val="0"/>
            <c:bubble3D val="0"/>
            <c:spPr>
              <a:solidFill>
                <a:schemeClr val="accent3">
                  <a:lumMod val="80000"/>
                  <a:lumOff val="20000"/>
                </a:schemeClr>
              </a:solidFill>
              <a:ln>
                <a:solidFill>
                  <a:sysClr val="windowText" lastClr="000000"/>
                </a:solidFill>
              </a:ln>
              <a:effectLst/>
            </c:spPr>
            <c:extLst>
              <c:ext xmlns:c16="http://schemas.microsoft.com/office/drawing/2014/chart" uri="{C3380CC4-5D6E-409C-BE32-E72D297353CC}">
                <c16:uniqueId val="{0000000E-4022-4413-8043-CC2FD02E39AA}"/>
              </c:ext>
            </c:extLst>
          </c:dPt>
          <c:dPt>
            <c:idx val="15"/>
            <c:invertIfNegative val="0"/>
            <c:bubble3D val="0"/>
            <c:spPr>
              <a:solidFill>
                <a:schemeClr val="accent4">
                  <a:lumMod val="80000"/>
                  <a:lumOff val="20000"/>
                </a:schemeClr>
              </a:solidFill>
              <a:ln>
                <a:solidFill>
                  <a:sysClr val="windowText" lastClr="000000"/>
                </a:solidFill>
              </a:ln>
              <a:effectLst/>
            </c:spPr>
            <c:extLst>
              <c:ext xmlns:c16="http://schemas.microsoft.com/office/drawing/2014/chart" uri="{C3380CC4-5D6E-409C-BE32-E72D297353CC}">
                <c16:uniqueId val="{0000000F-4022-4413-8043-CC2FD02E39AA}"/>
              </c:ext>
            </c:extLst>
          </c:dPt>
          <c:dPt>
            <c:idx val="16"/>
            <c:invertIfNegative val="0"/>
            <c:bubble3D val="0"/>
            <c:spPr>
              <a:solidFill>
                <a:schemeClr val="accent5">
                  <a:lumMod val="80000"/>
                  <a:lumOff val="20000"/>
                </a:schemeClr>
              </a:solidFill>
              <a:ln>
                <a:solidFill>
                  <a:sysClr val="windowText" lastClr="000000"/>
                </a:solidFill>
              </a:ln>
              <a:effectLst/>
            </c:spPr>
            <c:extLst>
              <c:ext xmlns:c16="http://schemas.microsoft.com/office/drawing/2014/chart" uri="{C3380CC4-5D6E-409C-BE32-E72D297353CC}">
                <c16:uniqueId val="{00000010-4022-4413-8043-CC2FD02E39AA}"/>
              </c:ext>
            </c:extLst>
          </c:dPt>
          <c:dPt>
            <c:idx val="17"/>
            <c:invertIfNegative val="0"/>
            <c:bubble3D val="0"/>
            <c:spPr>
              <a:solidFill>
                <a:schemeClr val="accent6">
                  <a:lumMod val="80000"/>
                  <a:lumOff val="20000"/>
                </a:schemeClr>
              </a:solidFill>
              <a:ln>
                <a:solidFill>
                  <a:sysClr val="windowText" lastClr="000000"/>
                </a:solidFill>
              </a:ln>
              <a:effectLst/>
            </c:spPr>
            <c:extLst>
              <c:ext xmlns:c16="http://schemas.microsoft.com/office/drawing/2014/chart" uri="{C3380CC4-5D6E-409C-BE32-E72D297353CC}">
                <c16:uniqueId val="{00000011-4022-4413-8043-CC2FD02E39AA}"/>
              </c:ext>
            </c:extLst>
          </c:dPt>
          <c:dPt>
            <c:idx val="18"/>
            <c:invertIfNegative val="0"/>
            <c:bubble3D val="0"/>
            <c:spPr>
              <a:solidFill>
                <a:schemeClr val="accent1">
                  <a:lumMod val="80000"/>
                </a:schemeClr>
              </a:solidFill>
              <a:ln>
                <a:solidFill>
                  <a:sysClr val="windowText" lastClr="000000"/>
                </a:solidFill>
              </a:ln>
              <a:effectLst/>
            </c:spPr>
            <c:extLst>
              <c:ext xmlns:c16="http://schemas.microsoft.com/office/drawing/2014/chart" uri="{C3380CC4-5D6E-409C-BE32-E72D297353CC}">
                <c16:uniqueId val="{00000012-4022-4413-8043-CC2FD02E39AA}"/>
              </c:ext>
            </c:extLst>
          </c:dPt>
          <c:dPt>
            <c:idx val="19"/>
            <c:invertIfNegative val="0"/>
            <c:bubble3D val="0"/>
            <c:spPr>
              <a:solidFill>
                <a:schemeClr val="accent2">
                  <a:lumMod val="80000"/>
                </a:schemeClr>
              </a:solidFill>
              <a:ln>
                <a:solidFill>
                  <a:sysClr val="windowText" lastClr="000000"/>
                </a:solidFill>
              </a:ln>
              <a:effectLst/>
            </c:spPr>
            <c:extLst>
              <c:ext xmlns:c16="http://schemas.microsoft.com/office/drawing/2014/chart" uri="{C3380CC4-5D6E-409C-BE32-E72D297353CC}">
                <c16:uniqueId val="{00000013-4022-4413-8043-CC2FD02E39AA}"/>
              </c:ext>
            </c:extLst>
          </c:dPt>
          <c:dPt>
            <c:idx val="20"/>
            <c:invertIfNegative val="0"/>
            <c:bubble3D val="0"/>
            <c:spPr>
              <a:solidFill>
                <a:schemeClr val="accent3">
                  <a:lumMod val="80000"/>
                </a:schemeClr>
              </a:solidFill>
              <a:ln>
                <a:solidFill>
                  <a:sysClr val="windowText" lastClr="000000"/>
                </a:solidFill>
              </a:ln>
              <a:effectLst/>
            </c:spPr>
            <c:extLst>
              <c:ext xmlns:c16="http://schemas.microsoft.com/office/drawing/2014/chart" uri="{C3380CC4-5D6E-409C-BE32-E72D297353CC}">
                <c16:uniqueId val="{00000014-4022-4413-8043-CC2FD02E39AA}"/>
              </c:ext>
            </c:extLst>
          </c:dPt>
          <c:dPt>
            <c:idx val="21"/>
            <c:invertIfNegative val="0"/>
            <c:bubble3D val="0"/>
            <c:spPr>
              <a:solidFill>
                <a:schemeClr val="accent4">
                  <a:lumMod val="80000"/>
                </a:schemeClr>
              </a:solidFill>
              <a:ln>
                <a:solidFill>
                  <a:sysClr val="windowText" lastClr="000000"/>
                </a:solidFill>
              </a:ln>
              <a:effectLst/>
            </c:spPr>
            <c:extLst>
              <c:ext xmlns:c16="http://schemas.microsoft.com/office/drawing/2014/chart" uri="{C3380CC4-5D6E-409C-BE32-E72D297353CC}">
                <c16:uniqueId val="{00000015-4022-4413-8043-CC2FD02E39AA}"/>
              </c:ext>
            </c:extLst>
          </c:dPt>
          <c:dPt>
            <c:idx val="22"/>
            <c:invertIfNegative val="0"/>
            <c:bubble3D val="0"/>
            <c:spPr>
              <a:solidFill>
                <a:schemeClr val="accent5">
                  <a:lumMod val="80000"/>
                </a:schemeClr>
              </a:solidFill>
              <a:ln>
                <a:solidFill>
                  <a:sysClr val="windowText" lastClr="000000"/>
                </a:solidFill>
              </a:ln>
              <a:effectLst/>
            </c:spPr>
            <c:extLst>
              <c:ext xmlns:c16="http://schemas.microsoft.com/office/drawing/2014/chart" uri="{C3380CC4-5D6E-409C-BE32-E72D297353CC}">
                <c16:uniqueId val="{00000016-4022-4413-8043-CC2FD02E39AA}"/>
              </c:ext>
            </c:extLst>
          </c:dPt>
          <c:dPt>
            <c:idx val="23"/>
            <c:invertIfNegative val="0"/>
            <c:bubble3D val="0"/>
            <c:spPr>
              <a:solidFill>
                <a:schemeClr val="accent6">
                  <a:lumMod val="80000"/>
                </a:schemeClr>
              </a:solidFill>
              <a:ln>
                <a:solidFill>
                  <a:sysClr val="windowText" lastClr="000000"/>
                </a:solidFill>
              </a:ln>
              <a:effectLst/>
            </c:spPr>
            <c:extLst>
              <c:ext xmlns:c16="http://schemas.microsoft.com/office/drawing/2014/chart" uri="{C3380CC4-5D6E-409C-BE32-E72D297353CC}">
                <c16:uniqueId val="{00000017-4022-4413-8043-CC2FD02E39AA}"/>
              </c:ext>
            </c:extLst>
          </c:dPt>
          <c:dPt>
            <c:idx val="24"/>
            <c:invertIfNegative val="0"/>
            <c:bubble3D val="0"/>
            <c:spPr>
              <a:solidFill>
                <a:schemeClr val="accent1">
                  <a:lumMod val="60000"/>
                  <a:lumOff val="40000"/>
                </a:schemeClr>
              </a:solidFill>
              <a:ln>
                <a:solidFill>
                  <a:sysClr val="windowText" lastClr="000000"/>
                </a:solidFill>
              </a:ln>
              <a:effectLst/>
            </c:spPr>
            <c:extLst>
              <c:ext xmlns:c16="http://schemas.microsoft.com/office/drawing/2014/chart" uri="{C3380CC4-5D6E-409C-BE32-E72D297353CC}">
                <c16:uniqueId val="{00000018-4022-4413-8043-CC2FD02E39AA}"/>
              </c:ext>
            </c:extLst>
          </c:dPt>
          <c:dPt>
            <c:idx val="25"/>
            <c:invertIfNegative val="0"/>
            <c:bubble3D val="0"/>
            <c:spPr>
              <a:solidFill>
                <a:schemeClr val="accent2">
                  <a:lumMod val="60000"/>
                  <a:lumOff val="40000"/>
                </a:schemeClr>
              </a:solidFill>
              <a:ln>
                <a:solidFill>
                  <a:sysClr val="windowText" lastClr="000000"/>
                </a:solidFill>
              </a:ln>
              <a:effectLst/>
            </c:spPr>
            <c:extLst>
              <c:ext xmlns:c16="http://schemas.microsoft.com/office/drawing/2014/chart" uri="{C3380CC4-5D6E-409C-BE32-E72D297353CC}">
                <c16:uniqueId val="{00000019-4022-4413-8043-CC2FD02E39AA}"/>
              </c:ext>
            </c:extLst>
          </c:dPt>
          <c:dPt>
            <c:idx val="26"/>
            <c:invertIfNegative val="0"/>
            <c:bubble3D val="0"/>
            <c:spPr>
              <a:solidFill>
                <a:schemeClr val="accent3">
                  <a:lumMod val="60000"/>
                  <a:lumOff val="40000"/>
                </a:schemeClr>
              </a:solidFill>
              <a:ln>
                <a:solidFill>
                  <a:sysClr val="windowText" lastClr="000000"/>
                </a:solidFill>
              </a:ln>
              <a:effectLst/>
            </c:spPr>
            <c:extLst>
              <c:ext xmlns:c16="http://schemas.microsoft.com/office/drawing/2014/chart" uri="{C3380CC4-5D6E-409C-BE32-E72D297353CC}">
                <c16:uniqueId val="{0000001A-4022-4413-8043-CC2FD02E39AA}"/>
              </c:ext>
            </c:extLst>
          </c:dPt>
          <c:dPt>
            <c:idx val="27"/>
            <c:invertIfNegative val="0"/>
            <c:bubble3D val="0"/>
            <c:spPr>
              <a:solidFill>
                <a:schemeClr val="accent4">
                  <a:lumMod val="60000"/>
                  <a:lumOff val="40000"/>
                </a:schemeClr>
              </a:solidFill>
              <a:ln>
                <a:solidFill>
                  <a:sysClr val="windowText" lastClr="000000"/>
                </a:solidFill>
              </a:ln>
              <a:effectLst/>
            </c:spPr>
            <c:extLst>
              <c:ext xmlns:c16="http://schemas.microsoft.com/office/drawing/2014/chart" uri="{C3380CC4-5D6E-409C-BE32-E72D297353CC}">
                <c16:uniqueId val="{0000001B-4022-4413-8043-CC2FD02E39AA}"/>
              </c:ext>
            </c:extLst>
          </c:dPt>
          <c:dPt>
            <c:idx val="28"/>
            <c:invertIfNegative val="0"/>
            <c:bubble3D val="0"/>
            <c:spPr>
              <a:solidFill>
                <a:schemeClr val="accent5">
                  <a:lumMod val="60000"/>
                  <a:lumOff val="40000"/>
                </a:schemeClr>
              </a:solidFill>
              <a:ln>
                <a:solidFill>
                  <a:sysClr val="windowText" lastClr="000000"/>
                </a:solidFill>
              </a:ln>
              <a:effectLst/>
            </c:spPr>
            <c:extLst>
              <c:ext xmlns:c16="http://schemas.microsoft.com/office/drawing/2014/chart" uri="{C3380CC4-5D6E-409C-BE32-E72D297353CC}">
                <c16:uniqueId val="{0000001C-4022-4413-8043-CC2FD02E39AA}"/>
              </c:ext>
            </c:extLst>
          </c:dPt>
          <c:dPt>
            <c:idx val="29"/>
            <c:invertIfNegative val="0"/>
            <c:bubble3D val="0"/>
            <c:spPr>
              <a:solidFill>
                <a:schemeClr val="accent6">
                  <a:lumMod val="60000"/>
                  <a:lumOff val="40000"/>
                </a:schemeClr>
              </a:solidFill>
              <a:ln>
                <a:solidFill>
                  <a:sysClr val="windowText" lastClr="000000"/>
                </a:solidFill>
              </a:ln>
              <a:effectLst/>
            </c:spPr>
            <c:extLst>
              <c:ext xmlns:c16="http://schemas.microsoft.com/office/drawing/2014/chart" uri="{C3380CC4-5D6E-409C-BE32-E72D297353CC}">
                <c16:uniqueId val="{0000001D-4022-4413-8043-CC2FD02E39AA}"/>
              </c:ext>
            </c:extLst>
          </c:dPt>
          <c:dPt>
            <c:idx val="30"/>
            <c:invertIfNegative val="0"/>
            <c:bubble3D val="0"/>
            <c:spPr>
              <a:solidFill>
                <a:schemeClr val="accent1">
                  <a:lumMod val="50000"/>
                </a:schemeClr>
              </a:solidFill>
              <a:ln>
                <a:solidFill>
                  <a:sysClr val="windowText" lastClr="000000"/>
                </a:solidFill>
              </a:ln>
              <a:effectLst/>
            </c:spPr>
            <c:extLst>
              <c:ext xmlns:c16="http://schemas.microsoft.com/office/drawing/2014/chart" uri="{C3380CC4-5D6E-409C-BE32-E72D297353CC}">
                <c16:uniqueId val="{0000001E-4022-4413-8043-CC2FD02E39AA}"/>
              </c:ext>
            </c:extLst>
          </c:dPt>
          <c:dPt>
            <c:idx val="31"/>
            <c:invertIfNegative val="0"/>
            <c:bubble3D val="0"/>
            <c:spPr>
              <a:solidFill>
                <a:schemeClr val="accent2">
                  <a:lumMod val="50000"/>
                </a:schemeClr>
              </a:solidFill>
              <a:ln>
                <a:solidFill>
                  <a:sysClr val="windowText" lastClr="000000"/>
                </a:solidFill>
              </a:ln>
              <a:effectLst/>
            </c:spPr>
            <c:extLst>
              <c:ext xmlns:c16="http://schemas.microsoft.com/office/drawing/2014/chart" uri="{C3380CC4-5D6E-409C-BE32-E72D297353CC}">
                <c16:uniqueId val="{0000001F-4022-4413-8043-CC2FD02E39AA}"/>
              </c:ext>
            </c:extLst>
          </c:dPt>
          <c:dPt>
            <c:idx val="32"/>
            <c:invertIfNegative val="0"/>
            <c:bubble3D val="0"/>
            <c:spPr>
              <a:solidFill>
                <a:schemeClr val="accent3">
                  <a:lumMod val="50000"/>
                </a:schemeClr>
              </a:solidFill>
              <a:ln>
                <a:solidFill>
                  <a:sysClr val="windowText" lastClr="000000"/>
                </a:solidFill>
              </a:ln>
              <a:effectLst/>
            </c:spPr>
            <c:extLst>
              <c:ext xmlns:c16="http://schemas.microsoft.com/office/drawing/2014/chart" uri="{C3380CC4-5D6E-409C-BE32-E72D297353CC}">
                <c16:uniqueId val="{00000020-4022-4413-8043-CC2FD02E39AA}"/>
              </c:ext>
            </c:extLst>
          </c:dPt>
          <c:dPt>
            <c:idx val="33"/>
            <c:invertIfNegative val="0"/>
            <c:bubble3D val="0"/>
            <c:spPr>
              <a:solidFill>
                <a:schemeClr val="accent4">
                  <a:lumMod val="50000"/>
                </a:schemeClr>
              </a:solidFill>
              <a:ln>
                <a:solidFill>
                  <a:sysClr val="windowText" lastClr="000000"/>
                </a:solidFill>
              </a:ln>
              <a:effectLst/>
            </c:spPr>
            <c:extLst>
              <c:ext xmlns:c16="http://schemas.microsoft.com/office/drawing/2014/chart" uri="{C3380CC4-5D6E-409C-BE32-E72D297353CC}">
                <c16:uniqueId val="{00000021-4022-4413-8043-CC2FD02E39AA}"/>
              </c:ext>
            </c:extLst>
          </c:dPt>
          <c:dPt>
            <c:idx val="34"/>
            <c:invertIfNegative val="0"/>
            <c:bubble3D val="0"/>
            <c:spPr>
              <a:solidFill>
                <a:schemeClr val="accent5">
                  <a:lumMod val="50000"/>
                </a:schemeClr>
              </a:solidFill>
              <a:ln>
                <a:solidFill>
                  <a:sysClr val="windowText" lastClr="000000"/>
                </a:solidFill>
              </a:ln>
              <a:effectLst/>
            </c:spPr>
            <c:extLst>
              <c:ext xmlns:c16="http://schemas.microsoft.com/office/drawing/2014/chart" uri="{C3380CC4-5D6E-409C-BE32-E72D297353CC}">
                <c16:uniqueId val="{00000022-4022-4413-8043-CC2FD02E39AA}"/>
              </c:ext>
            </c:extLst>
          </c:dPt>
          <c:dPt>
            <c:idx val="35"/>
            <c:invertIfNegative val="0"/>
            <c:bubble3D val="0"/>
            <c:spPr>
              <a:solidFill>
                <a:schemeClr val="accent6">
                  <a:lumMod val="50000"/>
                </a:schemeClr>
              </a:solidFill>
              <a:ln>
                <a:solidFill>
                  <a:sysClr val="windowText" lastClr="000000"/>
                </a:solidFill>
              </a:ln>
              <a:effectLst/>
            </c:spPr>
            <c:extLst>
              <c:ext xmlns:c16="http://schemas.microsoft.com/office/drawing/2014/chart" uri="{C3380CC4-5D6E-409C-BE32-E72D297353CC}">
                <c16:uniqueId val="{00000023-4022-4413-8043-CC2FD02E39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cat>
            <c:numRef>
              <c:f>Sheet1!$A$2:$A$37</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Sheet1!$B$2:$B$37</c:f>
              <c:numCache>
                <c:formatCode>General</c:formatCode>
                <c:ptCount val="36"/>
                <c:pt idx="0">
                  <c:v>1</c:v>
                </c:pt>
                <c:pt idx="1">
                  <c:v>0</c:v>
                </c:pt>
                <c:pt idx="2">
                  <c:v>0</c:v>
                </c:pt>
                <c:pt idx="3">
                  <c:v>1</c:v>
                </c:pt>
                <c:pt idx="4">
                  <c:v>0</c:v>
                </c:pt>
                <c:pt idx="5">
                  <c:v>0</c:v>
                </c:pt>
                <c:pt idx="6">
                  <c:v>1</c:v>
                </c:pt>
                <c:pt idx="7">
                  <c:v>1</c:v>
                </c:pt>
                <c:pt idx="8">
                  <c:v>4</c:v>
                </c:pt>
                <c:pt idx="9">
                  <c:v>1</c:v>
                </c:pt>
                <c:pt idx="10">
                  <c:v>1</c:v>
                </c:pt>
                <c:pt idx="11">
                  <c:v>2</c:v>
                </c:pt>
                <c:pt idx="12">
                  <c:v>0</c:v>
                </c:pt>
                <c:pt idx="13">
                  <c:v>4</c:v>
                </c:pt>
                <c:pt idx="14">
                  <c:v>2</c:v>
                </c:pt>
                <c:pt idx="15">
                  <c:v>6</c:v>
                </c:pt>
                <c:pt idx="16">
                  <c:v>6</c:v>
                </c:pt>
                <c:pt idx="17">
                  <c:v>4</c:v>
                </c:pt>
                <c:pt idx="18">
                  <c:v>4</c:v>
                </c:pt>
                <c:pt idx="19">
                  <c:v>6</c:v>
                </c:pt>
                <c:pt idx="20">
                  <c:v>6</c:v>
                </c:pt>
                <c:pt idx="21">
                  <c:v>5</c:v>
                </c:pt>
                <c:pt idx="22">
                  <c:v>8</c:v>
                </c:pt>
                <c:pt idx="23">
                  <c:v>7</c:v>
                </c:pt>
                <c:pt idx="24">
                  <c:v>10</c:v>
                </c:pt>
                <c:pt idx="25">
                  <c:v>10</c:v>
                </c:pt>
                <c:pt idx="26">
                  <c:v>9</c:v>
                </c:pt>
                <c:pt idx="27">
                  <c:v>12</c:v>
                </c:pt>
                <c:pt idx="28">
                  <c:v>10</c:v>
                </c:pt>
                <c:pt idx="29">
                  <c:v>6</c:v>
                </c:pt>
                <c:pt idx="30">
                  <c:v>5</c:v>
                </c:pt>
                <c:pt idx="31">
                  <c:v>10</c:v>
                </c:pt>
                <c:pt idx="32">
                  <c:v>0</c:v>
                </c:pt>
                <c:pt idx="33">
                  <c:v>1</c:v>
                </c:pt>
                <c:pt idx="34">
                  <c:v>4</c:v>
                </c:pt>
                <c:pt idx="35">
                  <c:v>1</c:v>
                </c:pt>
              </c:numCache>
            </c:numRef>
          </c:val>
          <c:extLst>
            <c:ext xmlns:c16="http://schemas.microsoft.com/office/drawing/2014/chart" uri="{C3380CC4-5D6E-409C-BE32-E72D297353CC}">
              <c16:uniqueId val="{00000002-364E-461D-AB31-9B31A9DDB083}"/>
            </c:ext>
          </c:extLst>
        </c:ser>
        <c:dLbls>
          <c:showLegendKey val="0"/>
          <c:showVal val="0"/>
          <c:showCatName val="0"/>
          <c:showSerName val="0"/>
          <c:showPercent val="0"/>
          <c:showBubbleSize val="0"/>
        </c:dLbls>
        <c:gapWidth val="50"/>
        <c:overlap val="-27"/>
        <c:axId val="115519872"/>
        <c:axId val="115521792"/>
      </c:barChart>
      <c:catAx>
        <c:axId val="1155198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r>
                  <a:rPr lang="en-US" sz="900">
                    <a:solidFill>
                      <a:schemeClr val="tx1"/>
                    </a:solidFill>
                    <a:latin typeface="Arial" pitchFamily="34" charset="0"/>
                    <a:cs typeface="Arial" pitchFamily="34" charset="0"/>
                  </a:rPr>
                  <a:t>Year</a:t>
                </a:r>
              </a:p>
            </c:rich>
          </c:tx>
          <c:layout>
            <c:manualLayout>
              <c:xMode val="edge"/>
              <c:yMode val="edge"/>
              <c:x val="0.4782443028058333"/>
              <c:y val="0.933091874430457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5521792"/>
        <c:crosses val="autoZero"/>
        <c:auto val="1"/>
        <c:lblAlgn val="ctr"/>
        <c:lblOffset val="100"/>
        <c:noMultiLvlLbl val="0"/>
      </c:catAx>
      <c:valAx>
        <c:axId val="11552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Number of publications</a:t>
                </a:r>
              </a:p>
            </c:rich>
          </c:tx>
          <c:layout>
            <c:manualLayout>
              <c:xMode val="edge"/>
              <c:yMode val="edge"/>
              <c:x val="0"/>
              <c:y val="0.3549317639868820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551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E611A-A61B-413B-9DC5-1E83F2A6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16</Pages>
  <Words>6940</Words>
  <Characters>39564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27</cp:revision>
  <dcterms:created xsi:type="dcterms:W3CDTF">2025-09-25T10:26:00Z</dcterms:created>
  <dcterms:modified xsi:type="dcterms:W3CDTF">2025-09-27T08:02:00Z</dcterms:modified>
</cp:coreProperties>
</file>