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C1075" w14:textId="65012218" w:rsidR="00754C9A" w:rsidRDefault="003C50B0" w:rsidP="00441B6F">
      <w:pPr>
        <w:pStyle w:val="Title"/>
        <w:spacing w:after="0"/>
        <w:jc w:val="both"/>
        <w:rPr>
          <w:rFonts w:ascii="Arial" w:hAnsi="Arial" w:cs="Arial"/>
          <w:color w:val="000000" w:themeColor="text1"/>
        </w:rPr>
      </w:pPr>
      <w:r w:rsidRPr="003C50B0">
        <w:rPr>
          <w:rFonts w:ascii="Arial" w:hAnsi="Arial" w:cs="Arial"/>
          <w:color w:val="000000" w:themeColor="text1"/>
        </w:rPr>
        <w:t>Original Research Article</w:t>
      </w:r>
    </w:p>
    <w:p w14:paraId="0C1C2A5C" w14:textId="77777777" w:rsidR="003C50B0" w:rsidRDefault="003C50B0" w:rsidP="00441B6F">
      <w:pPr>
        <w:pStyle w:val="Title"/>
        <w:spacing w:after="0"/>
        <w:jc w:val="both"/>
        <w:rPr>
          <w:rFonts w:ascii="Arial" w:hAnsi="Arial" w:cs="Arial"/>
          <w:color w:val="000000" w:themeColor="text1"/>
        </w:rPr>
      </w:pPr>
    </w:p>
    <w:p w14:paraId="080226A5" w14:textId="77777777" w:rsidR="003C50B0" w:rsidRPr="00D73189" w:rsidRDefault="003C50B0" w:rsidP="00441B6F">
      <w:pPr>
        <w:pStyle w:val="Title"/>
        <w:spacing w:after="0"/>
        <w:jc w:val="both"/>
        <w:rPr>
          <w:rFonts w:ascii="Arial" w:hAnsi="Arial" w:cs="Arial"/>
          <w:color w:val="000000" w:themeColor="text1"/>
        </w:rPr>
      </w:pPr>
    </w:p>
    <w:p w14:paraId="1F503B1D" w14:textId="77777777" w:rsidR="00001652" w:rsidRDefault="00001652" w:rsidP="00441B6F">
      <w:pPr>
        <w:pStyle w:val="Author"/>
        <w:spacing w:line="240" w:lineRule="auto"/>
        <w:rPr>
          <w:rFonts w:ascii="Arial" w:hAnsi="Arial" w:cs="Arial"/>
          <w:bCs/>
          <w:iCs/>
          <w:color w:val="000000" w:themeColor="text1"/>
          <w:kern w:val="28"/>
          <w:sz w:val="36"/>
        </w:rPr>
      </w:pPr>
      <w:r w:rsidRPr="00D73189">
        <w:rPr>
          <w:rFonts w:ascii="Arial" w:hAnsi="Arial" w:cs="Arial"/>
          <w:bCs/>
          <w:iCs/>
          <w:color w:val="000000" w:themeColor="text1"/>
          <w:kern w:val="28"/>
          <w:sz w:val="36"/>
        </w:rPr>
        <w:t>Development of an IoT based automated aeroponic system in Kerala (Southern India)</w:t>
      </w:r>
    </w:p>
    <w:p w14:paraId="5C1976C5" w14:textId="77777777" w:rsidR="00DD2159" w:rsidRPr="00D73189" w:rsidRDefault="00DD2159" w:rsidP="00441B6F">
      <w:pPr>
        <w:pStyle w:val="Author"/>
        <w:spacing w:line="240" w:lineRule="auto"/>
        <w:rPr>
          <w:rFonts w:ascii="Arial" w:hAnsi="Arial" w:cs="Arial"/>
          <w:bCs/>
          <w:iCs/>
          <w:color w:val="000000" w:themeColor="text1"/>
          <w:kern w:val="28"/>
          <w:sz w:val="36"/>
        </w:rPr>
      </w:pPr>
    </w:p>
    <w:p w14:paraId="248A774F" w14:textId="77777777" w:rsidR="003A315A" w:rsidRPr="00D73189" w:rsidRDefault="003A315A" w:rsidP="00001652">
      <w:pPr>
        <w:pStyle w:val="Affiliation"/>
        <w:spacing w:after="0" w:line="240" w:lineRule="auto"/>
        <w:rPr>
          <w:rFonts w:ascii="Arial" w:hAnsi="Arial" w:cs="Arial"/>
          <w:color w:val="000000" w:themeColor="text1"/>
        </w:rPr>
      </w:pPr>
    </w:p>
    <w:p w14:paraId="3D377EA1" w14:textId="77777777" w:rsidR="002C57D2" w:rsidRPr="00D73189" w:rsidRDefault="002C57D2" w:rsidP="00441B6F">
      <w:pPr>
        <w:pStyle w:val="Affiliation"/>
        <w:spacing w:after="0" w:line="240" w:lineRule="auto"/>
        <w:jc w:val="both"/>
        <w:rPr>
          <w:rFonts w:ascii="Arial" w:hAnsi="Arial" w:cs="Arial"/>
          <w:color w:val="000000" w:themeColor="text1"/>
        </w:rPr>
      </w:pPr>
    </w:p>
    <w:p w14:paraId="1501B431" w14:textId="77777777" w:rsidR="00B01FCD" w:rsidRPr="00D73189" w:rsidRDefault="00413C81" w:rsidP="00441B6F">
      <w:pPr>
        <w:pStyle w:val="Copyright"/>
        <w:spacing w:after="0" w:line="240" w:lineRule="auto"/>
        <w:jc w:val="both"/>
        <w:rPr>
          <w:rFonts w:ascii="Arial" w:hAnsi="Arial" w:cs="Arial"/>
          <w:color w:val="000000" w:themeColor="text1"/>
        </w:rPr>
        <w:sectPr w:rsidR="00B01FCD" w:rsidRPr="00D73189" w:rsidSect="00E9299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000000" w:themeColor="text1"/>
        </w:rPr>
      </w:r>
      <w:r>
        <w:rPr>
          <w:rFonts w:ascii="Arial" w:hAnsi="Arial" w:cs="Arial"/>
          <w:color w:val="000000" w:themeColor="text1"/>
        </w:rPr>
        <w:pict w14:anchorId="4E0973E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D73189">
        <w:rPr>
          <w:rFonts w:ascii="Arial" w:hAnsi="Arial" w:cs="Arial"/>
          <w:color w:val="000000" w:themeColor="text1"/>
        </w:rPr>
        <w:t>.</w:t>
      </w:r>
    </w:p>
    <w:p w14:paraId="7D6A7D23" w14:textId="77777777" w:rsidR="00790ADA" w:rsidRPr="00D73189" w:rsidRDefault="00B01FCD" w:rsidP="00001652">
      <w:pPr>
        <w:pStyle w:val="AbstHead"/>
        <w:spacing w:after="120"/>
        <w:jc w:val="both"/>
        <w:rPr>
          <w:rFonts w:ascii="Arial" w:hAnsi="Arial" w:cs="Arial"/>
          <w:color w:val="000000" w:themeColor="text1"/>
        </w:rPr>
      </w:pPr>
      <w:r w:rsidRPr="00D73189">
        <w:rPr>
          <w:rFonts w:ascii="Arial" w:hAnsi="Arial" w:cs="Arial"/>
          <w:color w:val="000000" w:themeColor="text1"/>
        </w:rPr>
        <w:t>ABSTRACT</w:t>
      </w:r>
      <w:r w:rsidR="0066510A" w:rsidRPr="00D73189">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D73189" w:rsidRPr="00D73189" w14:paraId="5DDEB571" w14:textId="77777777" w:rsidTr="001E44FE">
        <w:tc>
          <w:tcPr>
            <w:tcW w:w="9576" w:type="dxa"/>
            <w:shd w:val="clear" w:color="auto" w:fill="F2F2F2"/>
          </w:tcPr>
          <w:p w14:paraId="794F9089" w14:textId="77777777" w:rsidR="00E3114E" w:rsidRPr="00D73189" w:rsidRDefault="00001652" w:rsidP="00441B6F">
            <w:pPr>
              <w:pStyle w:val="Body"/>
              <w:spacing w:after="0"/>
              <w:rPr>
                <w:rFonts w:ascii="Arial" w:eastAsia="Calibri" w:hAnsi="Arial" w:cs="Arial"/>
                <w:color w:val="000000" w:themeColor="text1"/>
                <w:szCs w:val="22"/>
              </w:rPr>
            </w:pPr>
            <w:r w:rsidRPr="00D73189">
              <w:rPr>
                <w:rFonts w:ascii="Arial" w:eastAsia="Calibri" w:hAnsi="Arial" w:cs="Arial"/>
                <w:color w:val="000000" w:themeColor="text1"/>
                <w:szCs w:val="22"/>
              </w:rPr>
              <w:t xml:space="preserve">Aeroponics, a soilless cultivation technique that delivers nutrient-rich mist to plant roots, offers a viable solution to increasing food production sustainably while conserving water, reducing land use, and enabling agriculture in urban and resource-scarce environments. This research investigates the development and assessment of an IoT-enabled automated aeroponic system for Palak cultivation at the KCAEFT Campus in </w:t>
            </w:r>
            <w:proofErr w:type="spellStart"/>
            <w:r w:rsidRPr="00D73189">
              <w:rPr>
                <w:rFonts w:ascii="Arial" w:eastAsia="Calibri" w:hAnsi="Arial" w:cs="Arial"/>
                <w:color w:val="000000" w:themeColor="text1"/>
                <w:szCs w:val="22"/>
              </w:rPr>
              <w:t>Tavanur</w:t>
            </w:r>
            <w:proofErr w:type="spellEnd"/>
            <w:r w:rsidRPr="00D73189">
              <w:rPr>
                <w:rFonts w:ascii="Arial" w:eastAsia="Calibri" w:hAnsi="Arial" w:cs="Arial"/>
                <w:color w:val="000000" w:themeColor="text1"/>
                <w:szCs w:val="22"/>
              </w:rPr>
              <w:t xml:space="preserve">, Kerala. The system includes essential components such as a growth chamber, misting units, PVC fittings, and storage tanks for water and nutrients. A microcontroller-based control unit, integrated with a GSM module and various sensors viz. pH, EC, TDS, temperature, humidity, and level sensors facilitates real-time data transmission to the </w:t>
            </w:r>
            <w:proofErr w:type="spellStart"/>
            <w:r w:rsidRPr="00D73189">
              <w:rPr>
                <w:rFonts w:ascii="Arial" w:eastAsia="Calibri" w:hAnsi="Arial" w:cs="Arial"/>
                <w:color w:val="000000" w:themeColor="text1"/>
                <w:szCs w:val="22"/>
              </w:rPr>
              <w:t>ThingSpeak</w:t>
            </w:r>
            <w:proofErr w:type="spellEnd"/>
            <w:r w:rsidRPr="00D73189">
              <w:rPr>
                <w:rFonts w:ascii="Arial" w:eastAsia="Calibri" w:hAnsi="Arial" w:cs="Arial"/>
                <w:color w:val="000000" w:themeColor="text1"/>
                <w:szCs w:val="22"/>
              </w:rPr>
              <w:t xml:space="preserve"> IoT platform for monitoring and automation. The system maintains optimal conditions, with temperatures ranging from 23°C to 27°C and humidity levels between 75% and 95%. Performance evaluation revealed a yield of 9.29 kg over 80 days, with a water use efficiency of 66.88 kg/m³ and nutrient use efficiency of 2.86 kg per kg of nutrients. The benefit-cost ratio was recorded as 1.19. Integrating IoT with aeroponics enhances precision agriculture by automating irrigation and nutrient management, addressing challenges such as water scarcity and food security. Expanding the system to larger greenhouse setups can further optimize resource utilization, while small-scale urban applications enable local food production. Despite implementation challenges, aeroponics remains a promising approach to sustainable farming.</w:t>
            </w:r>
          </w:p>
          <w:p w14:paraId="7C68DC77" w14:textId="77777777" w:rsidR="00505F06" w:rsidRPr="00D73189" w:rsidRDefault="00505F06" w:rsidP="00441B6F">
            <w:pPr>
              <w:pStyle w:val="Body"/>
              <w:spacing w:after="0"/>
              <w:rPr>
                <w:rFonts w:ascii="Arial" w:eastAsia="Calibri" w:hAnsi="Arial" w:cs="Arial"/>
                <w:color w:val="000000" w:themeColor="text1"/>
                <w:szCs w:val="22"/>
              </w:rPr>
            </w:pPr>
          </w:p>
        </w:tc>
      </w:tr>
    </w:tbl>
    <w:p w14:paraId="43E3A5C3" w14:textId="77777777" w:rsidR="00636EB2" w:rsidRPr="00D73189" w:rsidRDefault="00636EB2" w:rsidP="00441B6F">
      <w:pPr>
        <w:pStyle w:val="Body"/>
        <w:spacing w:after="0"/>
        <w:rPr>
          <w:rFonts w:ascii="Arial" w:hAnsi="Arial" w:cs="Arial"/>
          <w:i/>
          <w:color w:val="000000" w:themeColor="text1"/>
        </w:rPr>
      </w:pPr>
    </w:p>
    <w:p w14:paraId="0F5B1165" w14:textId="77777777" w:rsidR="00790ADA" w:rsidRPr="00D73189" w:rsidRDefault="00001652" w:rsidP="00441B6F">
      <w:pPr>
        <w:pStyle w:val="Body"/>
        <w:spacing w:after="0"/>
        <w:rPr>
          <w:rFonts w:ascii="Arial" w:hAnsi="Arial" w:cs="Arial"/>
          <w:i/>
          <w:color w:val="000000" w:themeColor="text1"/>
        </w:rPr>
      </w:pPr>
      <w:r w:rsidRPr="00D73189">
        <w:rPr>
          <w:rFonts w:ascii="Arial" w:hAnsi="Arial" w:cs="Arial"/>
          <w:i/>
          <w:color w:val="000000" w:themeColor="text1"/>
        </w:rPr>
        <w:t>Key words: Aeroponics, soil less cultivation, IoT, Palak</w:t>
      </w:r>
    </w:p>
    <w:p w14:paraId="33B70438" w14:textId="77777777" w:rsidR="00505F06" w:rsidRPr="00D73189" w:rsidRDefault="00505F06" w:rsidP="00441B6F">
      <w:pPr>
        <w:pStyle w:val="Body"/>
        <w:spacing w:after="0"/>
        <w:rPr>
          <w:rFonts w:ascii="Arial" w:hAnsi="Arial" w:cs="Arial"/>
          <w:i/>
          <w:color w:val="000000" w:themeColor="text1"/>
        </w:rPr>
      </w:pPr>
    </w:p>
    <w:p w14:paraId="0F29987C" w14:textId="77777777" w:rsidR="007F7B32" w:rsidRPr="00D73189" w:rsidRDefault="00B01FCD" w:rsidP="00115C6F">
      <w:pPr>
        <w:pStyle w:val="AbstHead"/>
        <w:numPr>
          <w:ilvl w:val="0"/>
          <w:numId w:val="31"/>
        </w:numPr>
        <w:spacing w:after="0"/>
        <w:ind w:left="426" w:hanging="426"/>
        <w:jc w:val="both"/>
        <w:rPr>
          <w:rFonts w:ascii="Arial" w:hAnsi="Arial" w:cs="Arial"/>
          <w:color w:val="000000" w:themeColor="text1"/>
        </w:rPr>
      </w:pPr>
      <w:r w:rsidRPr="00D73189">
        <w:rPr>
          <w:rFonts w:ascii="Arial" w:hAnsi="Arial" w:cs="Arial"/>
          <w:color w:val="000000" w:themeColor="text1"/>
        </w:rPr>
        <w:t>INTRODUCTION</w:t>
      </w:r>
      <w:r w:rsidR="007F7B32" w:rsidRPr="00D73189">
        <w:rPr>
          <w:rFonts w:ascii="Arial" w:hAnsi="Arial" w:cs="Arial"/>
          <w:color w:val="000000" w:themeColor="text1"/>
        </w:rPr>
        <w:t xml:space="preserve"> </w:t>
      </w:r>
    </w:p>
    <w:p w14:paraId="49CB931B" w14:textId="77777777" w:rsidR="00115C6F" w:rsidRPr="00D73189" w:rsidRDefault="00115C6F" w:rsidP="00115C6F">
      <w:pPr>
        <w:spacing w:before="120"/>
        <w:ind w:left="426"/>
        <w:jc w:val="both"/>
        <w:rPr>
          <w:rFonts w:ascii="Arial" w:hAnsi="Arial" w:cs="Arial"/>
          <w:color w:val="000000" w:themeColor="text1"/>
          <w:szCs w:val="24"/>
        </w:rPr>
      </w:pPr>
      <w:r w:rsidRPr="00D73189">
        <w:rPr>
          <w:rFonts w:ascii="Arial" w:hAnsi="Arial" w:cs="Arial"/>
          <w:color w:val="000000" w:themeColor="text1"/>
          <w:szCs w:val="24"/>
        </w:rPr>
        <w:t xml:space="preserve">The rapid growth of the global population, projected to reach 9.73 billion by 2050 (FAO, 2017), presents significant challenges for food production, necessitating innovative and sustainable agricultural solutions. Food insecurity, structural changes in the economy, climate change, hunger and poverty, more capital-intensive food systems, and conflicts/crises/natural disasters are other challenges in our society. Traditional farming faces issues such as inefficient water use, land scarcity, and soil degradation, which are further exacerbated by urbanization. The emerging trends put forward new challenges, while global policies aim to achieve the zero-hunger goal by 2030 (UNCSD, 2012). Consequently, innovative solutions are essential to ensure food security and optimal space utilization within urban environments. </w:t>
      </w:r>
    </w:p>
    <w:p w14:paraId="21D74648" w14:textId="77777777" w:rsidR="00115C6F" w:rsidRPr="00D73189" w:rsidRDefault="00115C6F" w:rsidP="00115C6F">
      <w:pPr>
        <w:ind w:left="426"/>
        <w:jc w:val="both"/>
        <w:rPr>
          <w:rFonts w:ascii="Arial" w:hAnsi="Arial" w:cs="Arial"/>
          <w:color w:val="000000" w:themeColor="text1"/>
          <w:szCs w:val="24"/>
        </w:rPr>
      </w:pPr>
      <w:r w:rsidRPr="00D73189">
        <w:rPr>
          <w:rFonts w:ascii="Arial" w:hAnsi="Arial" w:cs="Arial"/>
          <w:color w:val="000000" w:themeColor="text1"/>
          <w:szCs w:val="24"/>
        </w:rPr>
        <w:t>In horticulture, soilless cultivation refers to the systems that grow plants without soil, relying on nutrient solutions to provide water and minerals. These systems can be categorized into three types: (</w:t>
      </w:r>
      <w:proofErr w:type="spellStart"/>
      <w:r w:rsidRPr="00D73189">
        <w:rPr>
          <w:rFonts w:ascii="Arial" w:hAnsi="Arial" w:cs="Arial"/>
          <w:color w:val="000000" w:themeColor="text1"/>
          <w:szCs w:val="24"/>
        </w:rPr>
        <w:t>i</w:t>
      </w:r>
      <w:proofErr w:type="spellEnd"/>
      <w:r w:rsidRPr="00D73189">
        <w:rPr>
          <w:rFonts w:ascii="Arial" w:hAnsi="Arial" w:cs="Arial"/>
          <w:color w:val="000000" w:themeColor="text1"/>
          <w:szCs w:val="24"/>
        </w:rPr>
        <w:t xml:space="preserve">) solid medium systems, which uses substrates like </w:t>
      </w:r>
      <w:r w:rsidRPr="00D73189">
        <w:rPr>
          <w:rFonts w:ascii="Arial" w:hAnsi="Arial" w:cs="Arial"/>
          <w:color w:val="000000" w:themeColor="text1"/>
          <w:szCs w:val="24"/>
        </w:rPr>
        <w:lastRenderedPageBreak/>
        <w:t xml:space="preserve">rockwool, peat, or perlite to support plants, (ii) liquid medium systems, where plant roots are immersed in nutrient solutions without additional support, and (iii) aerated medium systems, where plant roots are suspended in a chamber and sprayed with nutrient solution from below (Winsor and Schwarz, 1990). The different soilless farming methods includes a) hydroponics, where plants grow in nutrient-dense water; b) aeroponics, where plant roots are suspended in the air and sprayed with nutrients for accelerated growth; and c) aquaponics, which integrates hydroponics with aquaculture, utilizing fish waste to nourish the plants. Among alternative farming methods, soilless cultivation techniques hydroponics, aquaponics, and aeroponics provide effective solutions by eliminating the need for soil and improving resource utilization. Aeroponics, a high-tech soilless farming method, suspends plant roots in the air and delivers nutrients through a fine mist, promoting faster growth while reducing water and space requirements (Gopinath </w:t>
      </w:r>
      <w:r w:rsidRPr="00D73189">
        <w:rPr>
          <w:rFonts w:ascii="Arial" w:hAnsi="Arial" w:cs="Arial"/>
          <w:i/>
          <w:color w:val="000000" w:themeColor="text1"/>
          <w:szCs w:val="24"/>
        </w:rPr>
        <w:t xml:space="preserve">et al., </w:t>
      </w:r>
      <w:r w:rsidRPr="00D73189">
        <w:rPr>
          <w:rFonts w:ascii="Arial" w:hAnsi="Arial" w:cs="Arial"/>
          <w:color w:val="000000" w:themeColor="text1"/>
          <w:szCs w:val="24"/>
        </w:rPr>
        <w:t xml:space="preserve">2017). This approach is particularly beneficial for urban environments with limited arable land. In this regard, the Internet of Things (IoT) has revolutionized various industries by enabling real-time data collection, remote monitoring, and automation. IoT allows for precise control of environmental conditions, which is critical for optimizing plant growth. </w:t>
      </w:r>
    </w:p>
    <w:p w14:paraId="5AAFF8F8" w14:textId="77777777" w:rsidR="00115C6F" w:rsidRPr="00D73189" w:rsidRDefault="00115C6F" w:rsidP="00115C6F">
      <w:pPr>
        <w:ind w:left="426"/>
        <w:jc w:val="both"/>
        <w:rPr>
          <w:rFonts w:ascii="Arial" w:hAnsi="Arial" w:cs="Arial"/>
          <w:color w:val="000000" w:themeColor="text1"/>
          <w:szCs w:val="24"/>
        </w:rPr>
      </w:pPr>
      <w:r w:rsidRPr="00D73189">
        <w:rPr>
          <w:rFonts w:ascii="Arial" w:hAnsi="Arial" w:cs="Arial"/>
          <w:color w:val="000000" w:themeColor="text1"/>
          <w:szCs w:val="24"/>
        </w:rPr>
        <w:t>This approach is particularly beneficial for urban environments with limited arable land. However, manual management of aeroponic systems can be labor-intensive and prone to inefficiencies. Integrating the Internet of Things (IoT) with aeroponics enables real-time monitoring, automation, and precision control of environmental parameters such as humidity, temperature, pH, and nutrient levels. The agricultural sector has been revolutionized by IoT, enabling data-driven approaches through sensors and connected devices. IoT enhances productivity, reduces risks, and supports applications like crop monitoring, greenhouse automation, and livestock management.  IoT-driven aeroponics optimizes resource use, enhances crop productivity, and minimizes human intervention, making it a viable solution for modern agriculture (Priya and Sudha,</w:t>
      </w:r>
      <w:r w:rsidRPr="00D73189">
        <w:rPr>
          <w:rFonts w:ascii="Arial" w:hAnsi="Arial" w:cs="Arial"/>
          <w:i/>
          <w:iCs/>
          <w:color w:val="000000" w:themeColor="text1"/>
          <w:szCs w:val="24"/>
        </w:rPr>
        <w:t xml:space="preserve"> </w:t>
      </w:r>
      <w:r w:rsidRPr="00D73189">
        <w:rPr>
          <w:rFonts w:ascii="Arial" w:hAnsi="Arial" w:cs="Arial"/>
          <w:color w:val="000000" w:themeColor="text1"/>
          <w:szCs w:val="24"/>
        </w:rPr>
        <w:t>2021). Despite its advantages, aeroponic farming remains underutilized in regions like Kerala. This study focuses on developing an IoT-based automated aeroponic system to improve efficiency, reduce resource consumption, and enable remote monitoring and control. The research evaluates the system’s technical and economic feasibility, demonstrating its potential for wider adoption. By integrating IoT technology, aeroponics can revolutionize precision farming, offering a sustainable and scalable solution to address food security and agricultural challenges.</w:t>
      </w:r>
    </w:p>
    <w:p w14:paraId="2BEF2081" w14:textId="77777777" w:rsidR="00115C6F" w:rsidRPr="00D73189" w:rsidRDefault="00115C6F" w:rsidP="00115C6F">
      <w:pPr>
        <w:pStyle w:val="AbstHead"/>
        <w:spacing w:after="0"/>
        <w:jc w:val="both"/>
        <w:rPr>
          <w:rFonts w:ascii="Arial" w:hAnsi="Arial" w:cs="Arial"/>
          <w:color w:val="000000" w:themeColor="text1"/>
          <w:sz w:val="20"/>
        </w:rPr>
      </w:pPr>
    </w:p>
    <w:p w14:paraId="0FBEC99C" w14:textId="77777777" w:rsidR="00790ADA" w:rsidRPr="00D73189" w:rsidRDefault="00790ADA" w:rsidP="00441B6F">
      <w:pPr>
        <w:pStyle w:val="AbstHead"/>
        <w:spacing w:after="0"/>
        <w:jc w:val="both"/>
        <w:rPr>
          <w:rFonts w:ascii="Arial" w:hAnsi="Arial" w:cs="Arial"/>
          <w:color w:val="000000" w:themeColor="text1"/>
        </w:rPr>
      </w:pPr>
    </w:p>
    <w:p w14:paraId="254929DC" w14:textId="77777777" w:rsidR="00790ADA" w:rsidRPr="00D73189" w:rsidRDefault="00902823" w:rsidP="00115C6F">
      <w:pPr>
        <w:pStyle w:val="AbstHead"/>
        <w:numPr>
          <w:ilvl w:val="0"/>
          <w:numId w:val="31"/>
        </w:numPr>
        <w:spacing w:after="120"/>
        <w:jc w:val="both"/>
        <w:rPr>
          <w:rFonts w:ascii="Arial" w:hAnsi="Arial" w:cs="Arial"/>
          <w:color w:val="000000" w:themeColor="text1"/>
        </w:rPr>
      </w:pPr>
      <w:r w:rsidRPr="00D73189">
        <w:rPr>
          <w:rFonts w:ascii="Arial" w:hAnsi="Arial" w:cs="Arial"/>
          <w:color w:val="000000" w:themeColor="text1"/>
        </w:rPr>
        <w:t>material and method</w:t>
      </w:r>
      <w:r w:rsidR="00000F8F" w:rsidRPr="00D73189">
        <w:rPr>
          <w:rFonts w:ascii="Arial" w:hAnsi="Arial" w:cs="Arial"/>
          <w:color w:val="000000" w:themeColor="text1"/>
        </w:rPr>
        <w:t xml:space="preserve">s </w:t>
      </w:r>
    </w:p>
    <w:p w14:paraId="02D79BA4" w14:textId="77777777" w:rsidR="00115C6F" w:rsidRPr="00D73189" w:rsidRDefault="00115C6F" w:rsidP="00115C6F">
      <w:pPr>
        <w:pStyle w:val="ListParagraph"/>
        <w:numPr>
          <w:ilvl w:val="1"/>
          <w:numId w:val="31"/>
        </w:numPr>
        <w:spacing w:afterLines="80" w:after="192"/>
        <w:jc w:val="both"/>
        <w:rPr>
          <w:rFonts w:ascii="Arial" w:hAnsi="Arial" w:cs="Arial"/>
          <w:color w:val="000000" w:themeColor="text1"/>
          <w:sz w:val="22"/>
          <w:szCs w:val="24"/>
          <w:lang w:val="en-IN"/>
        </w:rPr>
      </w:pPr>
      <w:r w:rsidRPr="00D73189">
        <w:rPr>
          <w:rFonts w:ascii="Arial" w:hAnsi="Arial" w:cs="Arial"/>
          <w:b/>
          <w:bCs/>
          <w:color w:val="000000" w:themeColor="text1"/>
          <w:sz w:val="22"/>
          <w:szCs w:val="24"/>
          <w:lang w:val="en-IN"/>
        </w:rPr>
        <w:t xml:space="preserve">Study area </w:t>
      </w:r>
    </w:p>
    <w:p w14:paraId="247A9754" w14:textId="77777777" w:rsidR="008F6C52" w:rsidRPr="00D73189" w:rsidRDefault="008F6C52" w:rsidP="008F6C52">
      <w:pPr>
        <w:pStyle w:val="NormalWeb"/>
        <w:spacing w:before="0" w:beforeAutospacing="0" w:afterLines="80" w:after="192" w:afterAutospacing="0"/>
        <w:ind w:left="720"/>
        <w:jc w:val="both"/>
        <w:rPr>
          <w:rFonts w:ascii="Arial" w:hAnsi="Arial" w:cs="Arial"/>
          <w:color w:val="000000" w:themeColor="text1"/>
          <w:sz w:val="20"/>
        </w:rPr>
      </w:pPr>
      <w:r w:rsidRPr="00D73189">
        <w:rPr>
          <w:rFonts w:ascii="Arial" w:hAnsi="Arial" w:cs="Arial"/>
          <w:color w:val="000000" w:themeColor="text1"/>
          <w:sz w:val="20"/>
        </w:rPr>
        <w:t xml:space="preserve">The study was carried out at the KCAEFT </w:t>
      </w:r>
      <w:proofErr w:type="spellStart"/>
      <w:r w:rsidRPr="00D73189">
        <w:rPr>
          <w:rFonts w:ascii="Arial" w:hAnsi="Arial" w:cs="Arial"/>
          <w:color w:val="000000" w:themeColor="text1"/>
          <w:sz w:val="20"/>
        </w:rPr>
        <w:t>Tavanur</w:t>
      </w:r>
      <w:proofErr w:type="spellEnd"/>
      <w:r w:rsidRPr="00D73189">
        <w:rPr>
          <w:rFonts w:ascii="Arial" w:hAnsi="Arial" w:cs="Arial"/>
          <w:color w:val="000000" w:themeColor="text1"/>
          <w:sz w:val="20"/>
        </w:rPr>
        <w:t xml:space="preserve"> campus, situated at 10° 51' 13" N latitude and 75° 59' 06" E longitude, with an elevation of 25 meters above sea level. The field experiment took place in a naturally ventilated polyhouse within the research plot of the Department of Irrigation and Drainage Engineering. The polyhouse, covering an area of 213 m², measures 26 meters in length, 8 meters in width, with a center height of 6 meters and a gutter height of 3 meters. </w:t>
      </w:r>
    </w:p>
    <w:p w14:paraId="0E0C4691" w14:textId="77777777" w:rsidR="00790ADA" w:rsidRPr="00D73189" w:rsidRDefault="008F6C52" w:rsidP="008F6C52">
      <w:pPr>
        <w:pStyle w:val="ListParagraph"/>
        <w:numPr>
          <w:ilvl w:val="1"/>
          <w:numId w:val="31"/>
        </w:numPr>
        <w:tabs>
          <w:tab w:val="left" w:pos="0"/>
        </w:tabs>
        <w:spacing w:before="120" w:after="120"/>
        <w:jc w:val="both"/>
        <w:rPr>
          <w:rFonts w:ascii="Arial" w:hAnsi="Arial" w:cs="Arial"/>
          <w:b/>
          <w:color w:val="000000" w:themeColor="text1"/>
          <w:sz w:val="24"/>
          <w:szCs w:val="24"/>
          <w:lang w:val="en-IN"/>
        </w:rPr>
      </w:pPr>
      <w:r w:rsidRPr="00D73189">
        <w:rPr>
          <w:rFonts w:ascii="Arial" w:hAnsi="Arial" w:cs="Arial"/>
          <w:b/>
          <w:color w:val="000000" w:themeColor="text1"/>
          <w:sz w:val="24"/>
          <w:szCs w:val="24"/>
          <w:lang w:val="en-IN"/>
        </w:rPr>
        <w:t>Methodology</w:t>
      </w:r>
    </w:p>
    <w:p w14:paraId="07FBD304" w14:textId="6DCE94F4" w:rsidR="00E66E10" w:rsidRPr="00D73189" w:rsidRDefault="008F6C52" w:rsidP="008F6C52">
      <w:pPr>
        <w:pStyle w:val="Body"/>
        <w:spacing w:after="0"/>
        <w:ind w:left="709"/>
        <w:rPr>
          <w:rFonts w:ascii="Arial" w:hAnsi="Arial" w:cs="Arial"/>
          <w:color w:val="000000" w:themeColor="text1"/>
        </w:rPr>
      </w:pPr>
      <w:r w:rsidRPr="00D73189">
        <w:rPr>
          <w:color w:val="000000" w:themeColor="text1"/>
        </w:rPr>
        <w:t xml:space="preserve">The study focuses on development of an aeroponics system to provide a soil-less growth environment where plant roots are suspended and misted with nutrient-rich water. Aeroponic system were placed securely on a raised platform to allow free movement of misting devices underneath. High-pressure misting nozzles were connected to a pump and nutrient solution reservoir, ensuring fine and uniform mist </w:t>
      </w:r>
      <w:r w:rsidRPr="00D73189">
        <w:rPr>
          <w:color w:val="000000" w:themeColor="text1"/>
        </w:rPr>
        <w:lastRenderedPageBreak/>
        <w:t xml:space="preserve">delivery to the roots. A drainage and recirculation mechanism were set up to minimize water wastage and maintain nutrient levels. Aeroponic system were installed properly to support plant growth. IoT integration added real-time monitoring and automation capabilities to the aeroponic system. Sensors were placed for monitoring environmental parameters. Sensors for measuring pH, temperature, humidity, nutrient concentration (TDS, EC), and water levels were strategically installed in the system. A microcontroller PIC was programmed to collect sensor data and send it to the cloud for analysis. Actuators for controlling misting, valves and ventilation systems were connected to the microcontroller, enabling automatic adjustments based on sensor feedback. IoT-enabled modules ensured seamless data transmission between the system and user interfaces such as mobile apps and web dashboards. </w:t>
      </w:r>
      <w:r w:rsidR="009624FF">
        <w:rPr>
          <w:color w:val="000000" w:themeColor="text1"/>
        </w:rPr>
        <w:t>Chart</w:t>
      </w:r>
      <w:r w:rsidRPr="00D73189">
        <w:rPr>
          <w:color w:val="000000" w:themeColor="text1"/>
        </w:rPr>
        <w:t xml:space="preserve"> 1 represents the overall frame work of the study.</w:t>
      </w:r>
    </w:p>
    <w:p w14:paraId="62DAE59E" w14:textId="77777777" w:rsidR="00790ADA" w:rsidRPr="00D73189" w:rsidRDefault="00790ADA" w:rsidP="00441B6F">
      <w:pPr>
        <w:pStyle w:val="Body"/>
        <w:spacing w:after="0"/>
        <w:rPr>
          <w:rFonts w:ascii="Arial" w:hAnsi="Arial" w:cs="Arial"/>
          <w:color w:val="000000" w:themeColor="text1"/>
        </w:rPr>
      </w:pPr>
    </w:p>
    <w:p w14:paraId="02A7BBD7" w14:textId="77777777" w:rsidR="008F6C52" w:rsidRPr="00D73189" w:rsidRDefault="008F6C52" w:rsidP="00441B6F">
      <w:pPr>
        <w:pStyle w:val="Body"/>
        <w:spacing w:after="0"/>
        <w:rPr>
          <w:rFonts w:ascii="Arial" w:hAnsi="Arial" w:cs="Arial"/>
          <w:color w:val="000000" w:themeColor="text1"/>
        </w:rPr>
      </w:pPr>
      <w:r w:rsidRPr="00D73189">
        <w:rPr>
          <w:noProof/>
          <w:color w:val="000000" w:themeColor="text1"/>
        </w:rPr>
        <w:drawing>
          <wp:inline distT="0" distB="0" distL="0" distR="0" wp14:anchorId="5BAF8648" wp14:editId="77BF688C">
            <wp:extent cx="5334000" cy="394398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7DDC79F" w14:textId="2DE83D7D" w:rsidR="008F6C52" w:rsidRPr="00D73189" w:rsidRDefault="009624FF" w:rsidP="008F6C52">
      <w:pPr>
        <w:pStyle w:val="Body"/>
        <w:spacing w:before="120" w:after="0"/>
        <w:jc w:val="center"/>
        <w:rPr>
          <w:rFonts w:ascii="Arial" w:hAnsi="Arial" w:cs="Arial"/>
          <w:b/>
          <w:color w:val="000000" w:themeColor="text1"/>
        </w:rPr>
      </w:pPr>
      <w:r>
        <w:rPr>
          <w:rFonts w:ascii="Arial" w:hAnsi="Arial" w:cs="Arial"/>
          <w:b/>
          <w:color w:val="000000" w:themeColor="text1"/>
        </w:rPr>
        <w:t>Chart</w:t>
      </w:r>
      <w:r w:rsidR="008F6C52" w:rsidRPr="00D73189">
        <w:rPr>
          <w:rFonts w:ascii="Arial" w:hAnsi="Arial" w:cs="Arial"/>
          <w:b/>
          <w:color w:val="000000" w:themeColor="text1"/>
        </w:rPr>
        <w:t>.1 Overall framework of the study</w:t>
      </w:r>
    </w:p>
    <w:p w14:paraId="12401887" w14:textId="77777777" w:rsidR="007C7BD3" w:rsidRPr="00D73189" w:rsidRDefault="007C7BD3" w:rsidP="008F6C52">
      <w:pPr>
        <w:pStyle w:val="Body"/>
        <w:spacing w:before="120" w:after="0"/>
        <w:jc w:val="center"/>
        <w:rPr>
          <w:rFonts w:ascii="Arial" w:hAnsi="Arial" w:cs="Arial"/>
          <w:b/>
          <w:color w:val="000000" w:themeColor="text1"/>
        </w:rPr>
      </w:pPr>
    </w:p>
    <w:p w14:paraId="3FF99D87" w14:textId="77777777" w:rsidR="007C7BD3" w:rsidRPr="00D73189" w:rsidRDefault="007C7BD3" w:rsidP="007C7BD3">
      <w:pPr>
        <w:spacing w:after="120"/>
        <w:jc w:val="both"/>
        <w:rPr>
          <w:rFonts w:ascii="Arial" w:hAnsi="Arial" w:cs="Arial"/>
          <w:b/>
          <w:bCs/>
          <w:color w:val="000000" w:themeColor="text1"/>
          <w:sz w:val="22"/>
          <w:szCs w:val="24"/>
          <w:lang w:val="en-IN"/>
        </w:rPr>
      </w:pPr>
      <w:r w:rsidRPr="00D73189">
        <w:rPr>
          <w:rFonts w:ascii="Arial" w:hAnsi="Arial" w:cs="Arial"/>
          <w:b/>
          <w:bCs/>
          <w:color w:val="000000" w:themeColor="text1"/>
          <w:sz w:val="22"/>
          <w:szCs w:val="24"/>
          <w:lang w:val="en-IN"/>
        </w:rPr>
        <w:t xml:space="preserve">2.1 Development of an aeroponic system </w:t>
      </w:r>
    </w:p>
    <w:p w14:paraId="661D1D81" w14:textId="77777777" w:rsidR="007C7BD3" w:rsidRPr="00D73189" w:rsidRDefault="007C7BD3" w:rsidP="007C7BD3">
      <w:pPr>
        <w:ind w:firstLine="720"/>
        <w:jc w:val="both"/>
        <w:rPr>
          <w:rFonts w:ascii="Arial" w:hAnsi="Arial" w:cs="Arial"/>
          <w:color w:val="000000" w:themeColor="text1"/>
          <w:szCs w:val="24"/>
          <w:lang w:val="en-IN"/>
        </w:rPr>
      </w:pPr>
      <w:r w:rsidRPr="00D73189">
        <w:rPr>
          <w:rFonts w:ascii="Arial" w:hAnsi="Arial" w:cs="Arial"/>
          <w:color w:val="000000" w:themeColor="text1"/>
          <w:szCs w:val="24"/>
          <w:lang w:val="en-IN"/>
        </w:rPr>
        <w:t xml:space="preserve">The system consists of a growth chamber along with its piping connections. The aeroponic setup includes a growth chamber constructed from galvanized iron (GI) sheets, measuring 2.4 m × 1.2 m × 0.75 m (L × W × H), and elevated 0.25 m above the ground. To facilitate efficient water and nutrient management, a drainage outlet is placed at the edge, allowing excess spray to flow back into the nutrient solution tank. The top of the growth chamber is covered with a forex sheet, which supports seedlings placed in 3-inch diameter net pots. Inside the chamber, misters with a capacity of 6 </w:t>
      </w:r>
      <w:proofErr w:type="spellStart"/>
      <w:r w:rsidRPr="00D73189">
        <w:rPr>
          <w:rFonts w:ascii="Arial" w:hAnsi="Arial" w:cs="Arial"/>
          <w:color w:val="000000" w:themeColor="text1"/>
          <w:szCs w:val="24"/>
          <w:lang w:val="en-IN"/>
        </w:rPr>
        <w:t>liters</w:t>
      </w:r>
      <w:proofErr w:type="spellEnd"/>
      <w:r w:rsidRPr="00D73189">
        <w:rPr>
          <w:rFonts w:ascii="Arial" w:hAnsi="Arial" w:cs="Arial"/>
          <w:color w:val="000000" w:themeColor="text1"/>
          <w:szCs w:val="24"/>
          <w:lang w:val="en-IN"/>
        </w:rPr>
        <w:t xml:space="preserve"> per hour (L·h</w:t>
      </w:r>
      <w:r w:rsidRPr="00D73189">
        <w:rPr>
          <w:rFonts w:ascii="Cambria Math" w:hAnsi="Cambria Math" w:cs="Cambria Math"/>
          <w:color w:val="000000" w:themeColor="text1"/>
          <w:szCs w:val="24"/>
          <w:lang w:val="en-IN"/>
        </w:rPr>
        <w:t>⁻</w:t>
      </w:r>
      <w:r w:rsidRPr="00D73189">
        <w:rPr>
          <w:rFonts w:ascii="Arial" w:hAnsi="Arial" w:cs="Arial"/>
          <w:color w:val="000000" w:themeColor="text1"/>
          <w:szCs w:val="24"/>
          <w:lang w:val="en-IN"/>
        </w:rPr>
        <w:t xml:space="preserve">¹) are installed to supply water and nutrients directly to the seedlings. The nutrient tank functions as both a reservoir and a collection unit, where the drained solution is returned via gravity for </w:t>
      </w:r>
      <w:r w:rsidRPr="00D73189">
        <w:rPr>
          <w:rFonts w:ascii="Arial" w:hAnsi="Arial" w:cs="Arial"/>
          <w:color w:val="000000" w:themeColor="text1"/>
          <w:szCs w:val="24"/>
          <w:lang w:val="en-IN"/>
        </w:rPr>
        <w:lastRenderedPageBreak/>
        <w:t>recirculation. Table1 represents the components of the aeroponic system. Figure 2 and Figure 3 represents the overall sketch up of the study. Table 1 represents the components used in the study.</w:t>
      </w:r>
    </w:p>
    <w:tbl>
      <w:tblPr>
        <w:tblStyle w:val="TableGrid"/>
        <w:tblpPr w:leftFromText="180" w:rightFromText="180" w:vertAnchor="text" w:horzAnchor="margin" w:tblpXSpec="center" w:tblpY="196"/>
        <w:tblW w:w="81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2802"/>
        <w:gridCol w:w="5386"/>
      </w:tblGrid>
      <w:tr w:rsidR="00D73189" w:rsidRPr="00D73189" w14:paraId="3CDFD000" w14:textId="77777777" w:rsidTr="007C7BD3">
        <w:trPr>
          <w:trHeight w:val="340"/>
        </w:trPr>
        <w:tc>
          <w:tcPr>
            <w:tcW w:w="2802" w:type="dxa"/>
            <w:tcBorders>
              <w:top w:val="single" w:sz="4" w:space="0" w:color="auto"/>
              <w:bottom w:val="single" w:sz="4" w:space="0" w:color="auto"/>
            </w:tcBorders>
            <w:vAlign w:val="center"/>
            <w:hideMark/>
          </w:tcPr>
          <w:p w14:paraId="0601D96D" w14:textId="77777777" w:rsidR="007C7BD3" w:rsidRPr="00D73189" w:rsidRDefault="007C7BD3" w:rsidP="007C7BD3">
            <w:pPr>
              <w:ind w:firstLine="720"/>
              <w:rPr>
                <w:rFonts w:ascii="Arial" w:hAnsi="Arial" w:cs="Arial"/>
                <w:color w:val="000000" w:themeColor="text1"/>
                <w:sz w:val="18"/>
                <w:szCs w:val="24"/>
              </w:rPr>
            </w:pPr>
            <w:r w:rsidRPr="00D73189">
              <w:rPr>
                <w:rFonts w:ascii="Arial" w:hAnsi="Arial" w:cs="Arial"/>
                <w:b/>
                <w:bCs/>
                <w:color w:val="000000" w:themeColor="text1"/>
                <w:sz w:val="18"/>
                <w:szCs w:val="24"/>
              </w:rPr>
              <w:t>Components</w:t>
            </w:r>
          </w:p>
        </w:tc>
        <w:tc>
          <w:tcPr>
            <w:tcW w:w="5386" w:type="dxa"/>
            <w:tcBorders>
              <w:top w:val="single" w:sz="4" w:space="0" w:color="auto"/>
              <w:bottom w:val="single" w:sz="4" w:space="0" w:color="auto"/>
            </w:tcBorders>
            <w:vAlign w:val="center"/>
            <w:hideMark/>
          </w:tcPr>
          <w:p w14:paraId="0FFECBDE" w14:textId="77777777" w:rsidR="007C7BD3" w:rsidRPr="00D73189" w:rsidRDefault="007C7BD3" w:rsidP="007C7BD3">
            <w:pPr>
              <w:ind w:firstLine="720"/>
              <w:rPr>
                <w:rFonts w:ascii="Arial" w:hAnsi="Arial" w:cs="Arial"/>
                <w:color w:val="000000" w:themeColor="text1"/>
                <w:sz w:val="18"/>
                <w:szCs w:val="24"/>
              </w:rPr>
            </w:pPr>
            <w:r w:rsidRPr="00D73189">
              <w:rPr>
                <w:rFonts w:ascii="Arial" w:hAnsi="Arial" w:cs="Arial"/>
                <w:b/>
                <w:bCs/>
                <w:color w:val="000000" w:themeColor="text1"/>
                <w:sz w:val="18"/>
                <w:szCs w:val="24"/>
              </w:rPr>
              <w:t>Specifications</w:t>
            </w:r>
          </w:p>
        </w:tc>
      </w:tr>
      <w:tr w:rsidR="00D73189" w:rsidRPr="00D73189" w14:paraId="6B248138" w14:textId="77777777" w:rsidTr="007C7BD3">
        <w:trPr>
          <w:trHeight w:val="2261"/>
        </w:trPr>
        <w:tc>
          <w:tcPr>
            <w:tcW w:w="2802" w:type="dxa"/>
            <w:tcBorders>
              <w:top w:val="single" w:sz="4" w:space="0" w:color="auto"/>
            </w:tcBorders>
            <w:vAlign w:val="center"/>
            <w:hideMark/>
          </w:tcPr>
          <w:p w14:paraId="713B6D5C"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sz w:val="18"/>
                <w:szCs w:val="24"/>
              </w:rPr>
              <w:t>Growth chamber</w:t>
            </w:r>
          </w:p>
        </w:tc>
        <w:tc>
          <w:tcPr>
            <w:tcW w:w="5386" w:type="dxa"/>
            <w:tcBorders>
              <w:top w:val="single" w:sz="4" w:space="0" w:color="auto"/>
            </w:tcBorders>
            <w:vAlign w:val="center"/>
            <w:hideMark/>
          </w:tcPr>
          <w:p w14:paraId="0FDF48B4"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45 plants (9 rows x 5 columns)</w:t>
            </w:r>
          </w:p>
          <w:p w14:paraId="03F4D29F"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Plant spacing 25*25 cm</w:t>
            </w:r>
          </w:p>
          <w:p w14:paraId="6240DE33"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Width of chamber = 4*25 = 100 cm and free board on both sides 10 cm each = 120 cm</w:t>
            </w:r>
          </w:p>
          <w:p w14:paraId="6D992C75"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Length of chamber = 8*25 = 200 cm and free board on both sides 20 cm each = 240 cm</w:t>
            </w:r>
          </w:p>
          <w:p w14:paraId="284B6DDB"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Height of the chamber = 0.5 to 1 meter</w:t>
            </w:r>
          </w:p>
          <w:p w14:paraId="70C22D04"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 xml:space="preserve">Inspection </w:t>
            </w:r>
            <w:proofErr w:type="gramStart"/>
            <w:r w:rsidRPr="00D73189">
              <w:rPr>
                <w:rFonts w:ascii="Arial" w:hAnsi="Arial" w:cs="Arial"/>
                <w:color w:val="000000" w:themeColor="text1"/>
                <w:sz w:val="18"/>
                <w:szCs w:val="24"/>
              </w:rPr>
              <w:t>window :</w:t>
            </w:r>
            <w:proofErr w:type="gramEnd"/>
            <w:r w:rsidRPr="00D73189">
              <w:rPr>
                <w:rFonts w:ascii="Arial" w:hAnsi="Arial" w:cs="Arial"/>
                <w:color w:val="000000" w:themeColor="text1"/>
                <w:sz w:val="18"/>
                <w:szCs w:val="24"/>
              </w:rPr>
              <w:t xml:space="preserve"> Inspection window made at one side of the chamber as two compartments</w:t>
            </w:r>
          </w:p>
          <w:p w14:paraId="6445F713" w14:textId="77777777" w:rsidR="007C7BD3" w:rsidRPr="00D73189" w:rsidRDefault="007C7BD3" w:rsidP="007C7BD3">
            <w:pPr>
              <w:numPr>
                <w:ilvl w:val="0"/>
                <w:numId w:val="33"/>
              </w:numPr>
              <w:tabs>
                <w:tab w:val="clear" w:pos="720"/>
                <w:tab w:val="num" w:pos="436"/>
              </w:tabs>
              <w:ind w:left="256" w:hanging="256"/>
              <w:rPr>
                <w:rFonts w:ascii="Arial" w:hAnsi="Arial" w:cs="Arial"/>
                <w:color w:val="000000" w:themeColor="text1"/>
                <w:sz w:val="18"/>
                <w:szCs w:val="24"/>
              </w:rPr>
            </w:pPr>
            <w:proofErr w:type="gramStart"/>
            <w:r w:rsidRPr="00D73189">
              <w:rPr>
                <w:rFonts w:ascii="Arial" w:hAnsi="Arial" w:cs="Arial"/>
                <w:color w:val="000000" w:themeColor="text1"/>
                <w:sz w:val="18"/>
                <w:szCs w:val="24"/>
              </w:rPr>
              <w:t>Dimensions :</w:t>
            </w:r>
            <w:proofErr w:type="gramEnd"/>
            <w:r w:rsidRPr="00D73189">
              <w:rPr>
                <w:rFonts w:ascii="Arial" w:hAnsi="Arial" w:cs="Arial"/>
                <w:color w:val="000000" w:themeColor="text1"/>
                <w:sz w:val="18"/>
                <w:szCs w:val="24"/>
              </w:rPr>
              <w:t xml:space="preserve"> 1.2 m * 0.5 m (2)</w:t>
            </w:r>
          </w:p>
        </w:tc>
      </w:tr>
      <w:tr w:rsidR="00D73189" w:rsidRPr="00D73189" w14:paraId="392416F0" w14:textId="77777777" w:rsidTr="007C7BD3">
        <w:trPr>
          <w:trHeight w:val="567"/>
        </w:trPr>
        <w:tc>
          <w:tcPr>
            <w:tcW w:w="2802" w:type="dxa"/>
            <w:vAlign w:val="center"/>
          </w:tcPr>
          <w:p w14:paraId="727E4211"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sz w:val="18"/>
                <w:szCs w:val="24"/>
              </w:rPr>
              <w:t>Nozzle unit</w:t>
            </w:r>
          </w:p>
        </w:tc>
        <w:tc>
          <w:tcPr>
            <w:tcW w:w="5386" w:type="dxa"/>
            <w:vAlign w:val="center"/>
          </w:tcPr>
          <w:p w14:paraId="70B988C6" w14:textId="77777777" w:rsidR="007C7BD3" w:rsidRPr="00D73189" w:rsidRDefault="007C7BD3" w:rsidP="007C7BD3">
            <w:pPr>
              <w:numPr>
                <w:ilvl w:val="1"/>
                <w:numId w:val="38"/>
              </w:numPr>
              <w:tabs>
                <w:tab w:val="clear" w:pos="1440"/>
                <w:tab w:val="num" w:pos="886"/>
              </w:tabs>
              <w:ind w:left="259" w:hanging="259"/>
              <w:rPr>
                <w:rFonts w:ascii="Arial" w:hAnsi="Arial" w:cs="Arial"/>
                <w:color w:val="000000" w:themeColor="text1"/>
                <w:sz w:val="18"/>
                <w:szCs w:val="24"/>
              </w:rPr>
            </w:pPr>
            <w:r w:rsidRPr="00D73189">
              <w:rPr>
                <w:rFonts w:ascii="Arial" w:hAnsi="Arial" w:cs="Arial"/>
                <w:color w:val="000000" w:themeColor="text1"/>
                <w:sz w:val="18"/>
                <w:szCs w:val="24"/>
              </w:rPr>
              <w:t>Requirement - irrigating/fertigating the roots - a single nozzle micro mister was selected</w:t>
            </w:r>
          </w:p>
          <w:p w14:paraId="18C104D9"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 xml:space="preserve">F7GSSH single </w:t>
            </w:r>
            <w:proofErr w:type="gramStart"/>
            <w:r w:rsidRPr="00D73189">
              <w:rPr>
                <w:rFonts w:ascii="Arial" w:hAnsi="Arial" w:cs="Arial"/>
                <w:color w:val="000000" w:themeColor="text1"/>
                <w:sz w:val="18"/>
                <w:szCs w:val="24"/>
              </w:rPr>
              <w:t>high pressure</w:t>
            </w:r>
            <w:proofErr w:type="gramEnd"/>
            <w:r w:rsidRPr="00D73189">
              <w:rPr>
                <w:rFonts w:ascii="Arial" w:hAnsi="Arial" w:cs="Arial"/>
                <w:color w:val="000000" w:themeColor="text1"/>
                <w:sz w:val="18"/>
                <w:szCs w:val="24"/>
              </w:rPr>
              <w:t xml:space="preserve"> nozzle</w:t>
            </w:r>
          </w:p>
          <w:p w14:paraId="3FE3C87B"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Range of Pressure – 3-5 kg/cm</w:t>
            </w:r>
            <w:r w:rsidRPr="00D73189">
              <w:rPr>
                <w:rFonts w:ascii="Arial" w:hAnsi="Arial" w:cs="Arial"/>
                <w:color w:val="000000" w:themeColor="text1"/>
                <w:sz w:val="18"/>
                <w:szCs w:val="24"/>
                <w:vertAlign w:val="superscript"/>
              </w:rPr>
              <w:t>2</w:t>
            </w:r>
          </w:p>
          <w:p w14:paraId="208EF3BF"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3 number of laterals were selected and 13 number of misters were selected in this study.</w:t>
            </w:r>
          </w:p>
          <w:p w14:paraId="2729B0CB"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Overlapping percentage 40-65%</w:t>
            </w:r>
          </w:p>
          <w:p w14:paraId="05701D63" w14:textId="77777777" w:rsidR="007C7BD3" w:rsidRPr="00D73189" w:rsidRDefault="007C7BD3" w:rsidP="007C7BD3">
            <w:pPr>
              <w:numPr>
                <w:ilvl w:val="1"/>
                <w:numId w:val="38"/>
              </w:numPr>
              <w:tabs>
                <w:tab w:val="clear" w:pos="1440"/>
                <w:tab w:val="num" w:pos="886"/>
              </w:tabs>
              <w:ind w:left="256" w:hanging="256"/>
              <w:rPr>
                <w:rFonts w:ascii="Arial" w:hAnsi="Arial" w:cs="Arial"/>
                <w:color w:val="000000" w:themeColor="text1"/>
                <w:sz w:val="18"/>
                <w:szCs w:val="24"/>
              </w:rPr>
            </w:pPr>
            <w:r w:rsidRPr="00D73189">
              <w:rPr>
                <w:rFonts w:ascii="Arial" w:hAnsi="Arial" w:cs="Arial"/>
                <w:color w:val="000000" w:themeColor="text1"/>
                <w:sz w:val="18"/>
                <w:szCs w:val="24"/>
              </w:rPr>
              <w:t>A fixed duration of 10 seconds ON and 5 minutes OFF for spraying nutrient to the plant was scheduled</w:t>
            </w:r>
          </w:p>
        </w:tc>
      </w:tr>
      <w:tr w:rsidR="00D73189" w:rsidRPr="00D73189" w14:paraId="76854E17" w14:textId="77777777" w:rsidTr="007C7BD3">
        <w:trPr>
          <w:trHeight w:val="567"/>
        </w:trPr>
        <w:tc>
          <w:tcPr>
            <w:tcW w:w="2802" w:type="dxa"/>
            <w:vAlign w:val="center"/>
          </w:tcPr>
          <w:p w14:paraId="3890C2F7"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Nutrient solution tank</w:t>
            </w:r>
          </w:p>
        </w:tc>
        <w:tc>
          <w:tcPr>
            <w:tcW w:w="5386" w:type="dxa"/>
            <w:vAlign w:val="center"/>
          </w:tcPr>
          <w:p w14:paraId="2494460A" w14:textId="77777777" w:rsidR="007C7BD3" w:rsidRPr="00D73189" w:rsidRDefault="007C7BD3" w:rsidP="007C7BD3">
            <w:pPr>
              <w:numPr>
                <w:ilvl w:val="0"/>
                <w:numId w:val="34"/>
              </w:numPr>
              <w:tabs>
                <w:tab w:val="clear" w:pos="720"/>
                <w:tab w:val="num" w:pos="346"/>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The nutrient mixing tank has 75 L capacity</w:t>
            </w:r>
          </w:p>
          <w:p w14:paraId="674FABF9" w14:textId="77777777" w:rsidR="007C7BD3" w:rsidRPr="00D73189" w:rsidRDefault="007C7BD3" w:rsidP="007C7BD3">
            <w:pPr>
              <w:numPr>
                <w:ilvl w:val="0"/>
                <w:numId w:val="34"/>
              </w:numPr>
              <w:tabs>
                <w:tab w:val="clear" w:pos="720"/>
                <w:tab w:val="num" w:pos="346"/>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To make appropriate concentrations of nutrient solution of plant growth.</w:t>
            </w:r>
          </w:p>
        </w:tc>
      </w:tr>
      <w:tr w:rsidR="00D73189" w:rsidRPr="00D73189" w14:paraId="77E84502" w14:textId="77777777" w:rsidTr="007C7BD3">
        <w:trPr>
          <w:trHeight w:val="567"/>
        </w:trPr>
        <w:tc>
          <w:tcPr>
            <w:tcW w:w="2802" w:type="dxa"/>
            <w:vAlign w:val="center"/>
          </w:tcPr>
          <w:p w14:paraId="7311B200"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Concentrated nutrient tank</w:t>
            </w:r>
          </w:p>
        </w:tc>
        <w:tc>
          <w:tcPr>
            <w:tcW w:w="5386" w:type="dxa"/>
            <w:vAlign w:val="center"/>
          </w:tcPr>
          <w:p w14:paraId="08E6AEB4" w14:textId="77777777" w:rsidR="007C7BD3" w:rsidRPr="00D73189" w:rsidRDefault="007C7BD3" w:rsidP="007C7BD3">
            <w:pPr>
              <w:numPr>
                <w:ilvl w:val="0"/>
                <w:numId w:val="35"/>
              </w:numPr>
              <w:tabs>
                <w:tab w:val="clear" w:pos="720"/>
                <w:tab w:val="num" w:pos="360"/>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The nutrient mixing tank has 20 L capacity</w:t>
            </w:r>
          </w:p>
          <w:p w14:paraId="14C8D6E1" w14:textId="77777777" w:rsidR="007C7BD3" w:rsidRPr="00D73189" w:rsidRDefault="007C7BD3" w:rsidP="007C7BD3">
            <w:pPr>
              <w:numPr>
                <w:ilvl w:val="0"/>
                <w:numId w:val="35"/>
              </w:numPr>
              <w:tabs>
                <w:tab w:val="clear" w:pos="720"/>
                <w:tab w:val="num" w:pos="360"/>
              </w:tabs>
              <w:ind w:left="211" w:hanging="270"/>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It is used to add concentrated nutrients to nutrient solution tank</w:t>
            </w:r>
          </w:p>
        </w:tc>
      </w:tr>
      <w:tr w:rsidR="00D73189" w:rsidRPr="00D73189" w14:paraId="61D91CC5" w14:textId="77777777" w:rsidTr="007C7BD3">
        <w:trPr>
          <w:trHeight w:val="567"/>
        </w:trPr>
        <w:tc>
          <w:tcPr>
            <w:tcW w:w="2802" w:type="dxa"/>
            <w:vAlign w:val="center"/>
          </w:tcPr>
          <w:p w14:paraId="24AC64AD"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Water storage tank</w:t>
            </w:r>
          </w:p>
        </w:tc>
        <w:tc>
          <w:tcPr>
            <w:tcW w:w="5386" w:type="dxa"/>
            <w:vAlign w:val="center"/>
          </w:tcPr>
          <w:p w14:paraId="049EF993" w14:textId="77777777" w:rsidR="007C7BD3" w:rsidRPr="00D73189" w:rsidRDefault="007C7BD3" w:rsidP="007C7BD3">
            <w:pPr>
              <w:numPr>
                <w:ilvl w:val="0"/>
                <w:numId w:val="39"/>
              </w:numPr>
              <w:ind w:left="211" w:hanging="270"/>
              <w:rPr>
                <w:rFonts w:ascii="Arial" w:hAnsi="Arial" w:cs="Arial"/>
                <w:color w:val="000000" w:themeColor="text1"/>
                <w:sz w:val="18"/>
                <w:szCs w:val="24"/>
              </w:rPr>
            </w:pPr>
            <w:r w:rsidRPr="00D73189">
              <w:rPr>
                <w:rFonts w:ascii="Arial" w:hAnsi="Arial" w:cs="Arial"/>
                <w:color w:val="000000" w:themeColor="text1"/>
                <w:kern w:val="24"/>
                <w:sz w:val="18"/>
                <w:szCs w:val="24"/>
              </w:rPr>
              <w:t>Water storage tank for supplying water to the nutrient solution tank and growth chamber (temperature maintenance).</w:t>
            </w:r>
          </w:p>
        </w:tc>
      </w:tr>
      <w:tr w:rsidR="00D73189" w:rsidRPr="00D73189" w14:paraId="4F51654B" w14:textId="77777777" w:rsidTr="007C7BD3">
        <w:trPr>
          <w:trHeight w:val="567"/>
        </w:trPr>
        <w:tc>
          <w:tcPr>
            <w:tcW w:w="2802" w:type="dxa"/>
            <w:vAlign w:val="center"/>
          </w:tcPr>
          <w:p w14:paraId="61319D63"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Solenoid valves</w:t>
            </w:r>
          </w:p>
        </w:tc>
        <w:tc>
          <w:tcPr>
            <w:tcW w:w="5386" w:type="dxa"/>
            <w:vAlign w:val="center"/>
          </w:tcPr>
          <w:p w14:paraId="476FC76A" w14:textId="77777777" w:rsidR="007C7BD3" w:rsidRPr="00D73189" w:rsidRDefault="007C7BD3" w:rsidP="007C7BD3">
            <w:pPr>
              <w:numPr>
                <w:ilvl w:val="0"/>
                <w:numId w:val="40"/>
              </w:numPr>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The solenoid valve only works when it is supplied with 12 VDC voltage.</w:t>
            </w:r>
          </w:p>
          <w:p w14:paraId="26420F4B" w14:textId="77777777" w:rsidR="007C7BD3" w:rsidRPr="00D73189" w:rsidRDefault="007C7BD3" w:rsidP="007C7BD3">
            <w:pPr>
              <w:numPr>
                <w:ilvl w:val="0"/>
                <w:numId w:val="40"/>
              </w:numPr>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It contains two connections: an exit and an inlet for liquid.</w:t>
            </w:r>
          </w:p>
        </w:tc>
      </w:tr>
      <w:tr w:rsidR="00D73189" w:rsidRPr="00D73189" w14:paraId="1B6A4A7A" w14:textId="77777777" w:rsidTr="007C7BD3">
        <w:trPr>
          <w:trHeight w:val="567"/>
        </w:trPr>
        <w:tc>
          <w:tcPr>
            <w:tcW w:w="2802" w:type="dxa"/>
            <w:vAlign w:val="center"/>
          </w:tcPr>
          <w:p w14:paraId="00A7DF2B"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Overhead tank</w:t>
            </w:r>
          </w:p>
        </w:tc>
        <w:tc>
          <w:tcPr>
            <w:tcW w:w="5386" w:type="dxa"/>
            <w:vAlign w:val="center"/>
          </w:tcPr>
          <w:p w14:paraId="43291DD5" w14:textId="77777777" w:rsidR="007C7BD3" w:rsidRPr="00D73189" w:rsidRDefault="007C7BD3" w:rsidP="007C7BD3">
            <w:pPr>
              <w:numPr>
                <w:ilvl w:val="0"/>
                <w:numId w:val="41"/>
              </w:numPr>
              <w:spacing w:line="256" w:lineRule="auto"/>
              <w:ind w:left="346" w:hanging="270"/>
              <w:rPr>
                <w:rFonts w:ascii="Arial" w:hAnsi="Arial" w:cs="Arial"/>
                <w:color w:val="000000" w:themeColor="text1"/>
                <w:sz w:val="18"/>
                <w:szCs w:val="24"/>
              </w:rPr>
            </w:pPr>
            <w:r w:rsidRPr="00D73189">
              <w:rPr>
                <w:rFonts w:ascii="Arial" w:hAnsi="Arial" w:cs="Arial"/>
                <w:color w:val="000000" w:themeColor="text1"/>
                <w:kern w:val="24"/>
                <w:sz w:val="18"/>
                <w:szCs w:val="24"/>
              </w:rPr>
              <w:t>The overhead water tank will supply sufficient amount of water to the water storage tank.</w:t>
            </w:r>
          </w:p>
        </w:tc>
      </w:tr>
      <w:tr w:rsidR="00D73189" w:rsidRPr="00D73189" w14:paraId="36EAA0AE" w14:textId="77777777" w:rsidTr="007C7BD3">
        <w:trPr>
          <w:trHeight w:val="567"/>
        </w:trPr>
        <w:tc>
          <w:tcPr>
            <w:tcW w:w="2802" w:type="dxa"/>
            <w:vAlign w:val="center"/>
          </w:tcPr>
          <w:p w14:paraId="57B7DDF2" w14:textId="77777777" w:rsidR="007C7BD3" w:rsidRPr="00D73189" w:rsidRDefault="007C7BD3" w:rsidP="007C7BD3">
            <w:pPr>
              <w:rPr>
                <w:rFonts w:ascii="Arial" w:hAnsi="Arial" w:cs="Arial"/>
                <w:color w:val="000000" w:themeColor="text1"/>
                <w:sz w:val="18"/>
                <w:szCs w:val="24"/>
              </w:rPr>
            </w:pPr>
            <w:r w:rsidRPr="00D73189">
              <w:rPr>
                <w:rFonts w:ascii="Arial" w:hAnsi="Arial" w:cs="Arial"/>
                <w:b/>
                <w:bCs/>
                <w:color w:val="000000" w:themeColor="text1"/>
                <w:kern w:val="24"/>
                <w:sz w:val="18"/>
                <w:szCs w:val="24"/>
              </w:rPr>
              <w:t>Pump</w:t>
            </w:r>
          </w:p>
        </w:tc>
        <w:tc>
          <w:tcPr>
            <w:tcW w:w="5386" w:type="dxa"/>
            <w:vAlign w:val="center"/>
          </w:tcPr>
          <w:p w14:paraId="43CA6C86"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Field star double diaphragm pump MODEL SL-DP16</w:t>
            </w:r>
          </w:p>
          <w:p w14:paraId="47B221D4"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 xml:space="preserve">Maximum Pressure: up to 0.85 </w:t>
            </w:r>
            <w:proofErr w:type="gramStart"/>
            <w:r w:rsidRPr="00D73189">
              <w:rPr>
                <w:rFonts w:ascii="Arial" w:hAnsi="Arial" w:cs="Arial"/>
                <w:color w:val="000000" w:themeColor="text1"/>
                <w:kern w:val="24"/>
                <w:sz w:val="18"/>
                <w:szCs w:val="24"/>
                <w:lang w:val="en-IN"/>
              </w:rPr>
              <w:t>MPa .</w:t>
            </w:r>
            <w:proofErr w:type="gramEnd"/>
          </w:p>
          <w:p w14:paraId="17C890FE"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Volts – 12V DC</w:t>
            </w:r>
          </w:p>
          <w:p w14:paraId="046F24FD" w14:textId="77777777" w:rsidR="007C7BD3" w:rsidRPr="00D73189" w:rsidRDefault="007C7BD3" w:rsidP="007C7BD3">
            <w:pPr>
              <w:numPr>
                <w:ilvl w:val="0"/>
                <w:numId w:val="36"/>
              </w:numPr>
              <w:tabs>
                <w:tab w:val="clear" w:pos="720"/>
                <w:tab w:val="num" w:pos="436"/>
              </w:tabs>
              <w:spacing w:line="256" w:lineRule="auto"/>
              <w:ind w:left="391"/>
              <w:contextualSpacing/>
              <w:rPr>
                <w:rFonts w:ascii="Arial" w:hAnsi="Arial" w:cs="Arial"/>
                <w:color w:val="000000" w:themeColor="text1"/>
                <w:sz w:val="18"/>
                <w:szCs w:val="24"/>
                <w:lang w:val="en-IN"/>
              </w:rPr>
            </w:pPr>
            <w:r w:rsidRPr="00D73189">
              <w:rPr>
                <w:rFonts w:ascii="Arial" w:hAnsi="Arial" w:cs="Arial"/>
                <w:color w:val="000000" w:themeColor="text1"/>
                <w:kern w:val="24"/>
                <w:sz w:val="18"/>
                <w:szCs w:val="24"/>
                <w:lang w:val="en-IN"/>
              </w:rPr>
              <w:t>AMPS – 4-6.5 A</w:t>
            </w:r>
          </w:p>
        </w:tc>
      </w:tr>
      <w:tr w:rsidR="00D73189" w:rsidRPr="00D73189" w14:paraId="43125A50" w14:textId="77777777" w:rsidTr="007C7BD3">
        <w:trPr>
          <w:trHeight w:val="567"/>
        </w:trPr>
        <w:tc>
          <w:tcPr>
            <w:tcW w:w="2802" w:type="dxa"/>
            <w:vAlign w:val="center"/>
          </w:tcPr>
          <w:p w14:paraId="6222F179"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t>Fogger</w:t>
            </w:r>
          </w:p>
        </w:tc>
        <w:tc>
          <w:tcPr>
            <w:tcW w:w="5386" w:type="dxa"/>
            <w:vAlign w:val="center"/>
          </w:tcPr>
          <w:p w14:paraId="7196ACFC" w14:textId="77777777" w:rsidR="007C7BD3" w:rsidRPr="00D73189" w:rsidRDefault="007C7BD3" w:rsidP="007C7BD3">
            <w:pPr>
              <w:numPr>
                <w:ilvl w:val="0"/>
                <w:numId w:val="43"/>
              </w:numPr>
              <w:ind w:left="391" w:hanging="391"/>
              <w:rPr>
                <w:rFonts w:ascii="Arial" w:hAnsi="Arial" w:cs="Arial"/>
                <w:color w:val="000000" w:themeColor="text1"/>
                <w:sz w:val="18"/>
                <w:szCs w:val="24"/>
              </w:rPr>
            </w:pPr>
            <w:proofErr w:type="gramStart"/>
            <w:r w:rsidRPr="00D73189">
              <w:rPr>
                <w:rFonts w:ascii="Arial" w:hAnsi="Arial" w:cs="Arial"/>
                <w:color w:val="000000" w:themeColor="text1"/>
                <w:kern w:val="24"/>
                <w:sz w:val="18"/>
                <w:szCs w:val="24"/>
              </w:rPr>
              <w:t>Four way</w:t>
            </w:r>
            <w:proofErr w:type="gramEnd"/>
            <w:r w:rsidRPr="00D73189">
              <w:rPr>
                <w:rFonts w:ascii="Arial" w:hAnsi="Arial" w:cs="Arial"/>
                <w:color w:val="000000" w:themeColor="text1"/>
                <w:kern w:val="24"/>
                <w:sz w:val="18"/>
                <w:szCs w:val="24"/>
              </w:rPr>
              <w:t xml:space="preserve"> foggers of flowrate pressure of 4 kg cm-2 were used for evaporative cooling inside the greenhouse.</w:t>
            </w:r>
          </w:p>
          <w:p w14:paraId="3C772D51" w14:textId="77777777" w:rsidR="007C7BD3" w:rsidRPr="00D73189" w:rsidRDefault="007C7BD3" w:rsidP="007C7BD3">
            <w:pPr>
              <w:numPr>
                <w:ilvl w:val="0"/>
                <w:numId w:val="43"/>
              </w:numPr>
              <w:ind w:left="391" w:hanging="391"/>
              <w:rPr>
                <w:rFonts w:ascii="Arial" w:hAnsi="Arial" w:cs="Arial"/>
                <w:color w:val="000000" w:themeColor="text1"/>
                <w:sz w:val="18"/>
                <w:szCs w:val="24"/>
              </w:rPr>
            </w:pPr>
            <w:r w:rsidRPr="00D73189">
              <w:rPr>
                <w:rFonts w:ascii="Arial" w:hAnsi="Arial" w:cs="Arial"/>
                <w:color w:val="000000" w:themeColor="text1"/>
                <w:kern w:val="24"/>
                <w:sz w:val="18"/>
                <w:szCs w:val="24"/>
              </w:rPr>
              <w:t>They were fitted at 1.5 m x 1.5 m spacing inside the greenhouse.</w:t>
            </w:r>
          </w:p>
        </w:tc>
      </w:tr>
      <w:tr w:rsidR="00D73189" w:rsidRPr="00D73189" w14:paraId="7512F5E0" w14:textId="77777777" w:rsidTr="007C7BD3">
        <w:trPr>
          <w:trHeight w:val="567"/>
        </w:trPr>
        <w:tc>
          <w:tcPr>
            <w:tcW w:w="2802" w:type="dxa"/>
            <w:vAlign w:val="center"/>
          </w:tcPr>
          <w:p w14:paraId="321F7964"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t>Ultrasonic atomizer</w:t>
            </w:r>
          </w:p>
        </w:tc>
        <w:tc>
          <w:tcPr>
            <w:tcW w:w="5386" w:type="dxa"/>
            <w:vAlign w:val="center"/>
          </w:tcPr>
          <w:p w14:paraId="7C80D25B" w14:textId="77777777" w:rsidR="007C7BD3" w:rsidRPr="00D73189" w:rsidRDefault="007C7BD3" w:rsidP="007C7BD3">
            <w:pPr>
              <w:numPr>
                <w:ilvl w:val="0"/>
                <w:numId w:val="42"/>
              </w:numPr>
              <w:spacing w:line="288" w:lineRule="auto"/>
              <w:ind w:left="256" w:hanging="256"/>
              <w:rPr>
                <w:rFonts w:ascii="Arial" w:hAnsi="Arial" w:cs="Arial"/>
                <w:color w:val="000000" w:themeColor="text1"/>
                <w:sz w:val="18"/>
                <w:szCs w:val="24"/>
              </w:rPr>
            </w:pPr>
            <w:r w:rsidRPr="00D73189">
              <w:rPr>
                <w:rFonts w:ascii="Arial" w:hAnsi="Arial" w:cs="Arial"/>
                <w:color w:val="000000" w:themeColor="text1"/>
                <w:kern w:val="24"/>
                <w:sz w:val="18"/>
                <w:szCs w:val="24"/>
              </w:rPr>
              <w:t xml:space="preserve">Very small respirable droplet sizes can be achieved, less than 4 </w:t>
            </w:r>
            <w:proofErr w:type="gramStart"/>
            <w:r w:rsidRPr="00D73189">
              <w:rPr>
                <w:rFonts w:ascii="Arial" w:hAnsi="Arial" w:cs="Arial"/>
                <w:color w:val="000000" w:themeColor="text1"/>
                <w:kern w:val="24"/>
                <w:sz w:val="18"/>
                <w:szCs w:val="24"/>
              </w:rPr>
              <w:t>microns ,</w:t>
            </w:r>
            <w:proofErr w:type="gramEnd"/>
            <w:r w:rsidRPr="00D73189">
              <w:rPr>
                <w:rFonts w:ascii="Arial" w:hAnsi="Arial" w:cs="Arial"/>
                <w:color w:val="000000" w:themeColor="text1"/>
                <w:kern w:val="24"/>
                <w:sz w:val="18"/>
                <w:szCs w:val="24"/>
              </w:rPr>
              <w:t xml:space="preserve"> used for temperature control in chamber</w:t>
            </w:r>
          </w:p>
        </w:tc>
      </w:tr>
      <w:tr w:rsidR="00D73189" w:rsidRPr="00D73189" w14:paraId="5340A0FF" w14:textId="77777777" w:rsidTr="007C7BD3">
        <w:trPr>
          <w:trHeight w:val="567"/>
        </w:trPr>
        <w:tc>
          <w:tcPr>
            <w:tcW w:w="2802" w:type="dxa"/>
            <w:vAlign w:val="center"/>
          </w:tcPr>
          <w:p w14:paraId="736F8649" w14:textId="77777777" w:rsidR="007C7BD3" w:rsidRPr="00D73189" w:rsidRDefault="007C7BD3" w:rsidP="007C7BD3">
            <w:pPr>
              <w:rPr>
                <w:rFonts w:ascii="Arial" w:hAnsi="Arial" w:cs="Arial"/>
                <w:b/>
                <w:bCs/>
                <w:color w:val="000000" w:themeColor="text1"/>
                <w:sz w:val="18"/>
                <w:szCs w:val="24"/>
              </w:rPr>
            </w:pPr>
            <w:r w:rsidRPr="00D73189">
              <w:rPr>
                <w:rFonts w:ascii="Arial" w:hAnsi="Arial" w:cs="Arial"/>
                <w:b/>
                <w:bCs/>
                <w:color w:val="000000" w:themeColor="text1"/>
                <w:kern w:val="24"/>
                <w:sz w:val="18"/>
                <w:szCs w:val="24"/>
              </w:rPr>
              <w:t>Exhaust fan</w:t>
            </w:r>
          </w:p>
        </w:tc>
        <w:tc>
          <w:tcPr>
            <w:tcW w:w="5386" w:type="dxa"/>
            <w:vAlign w:val="center"/>
          </w:tcPr>
          <w:p w14:paraId="187F9EB9" w14:textId="77777777" w:rsidR="007C7BD3" w:rsidRPr="00D73189" w:rsidRDefault="007C7BD3" w:rsidP="007C7BD3">
            <w:pPr>
              <w:numPr>
                <w:ilvl w:val="0"/>
                <w:numId w:val="41"/>
              </w:numPr>
              <w:spacing w:line="288" w:lineRule="auto"/>
              <w:ind w:left="256" w:hanging="256"/>
              <w:rPr>
                <w:rFonts w:ascii="Arial" w:hAnsi="Arial" w:cs="Arial"/>
                <w:color w:val="000000" w:themeColor="text1"/>
                <w:sz w:val="18"/>
                <w:szCs w:val="24"/>
              </w:rPr>
            </w:pPr>
            <w:r w:rsidRPr="00D73189">
              <w:rPr>
                <w:rFonts w:ascii="Arial" w:hAnsi="Arial" w:cs="Arial"/>
                <w:color w:val="000000" w:themeColor="text1"/>
                <w:kern w:val="24"/>
                <w:sz w:val="18"/>
                <w:szCs w:val="24"/>
              </w:rPr>
              <w:t>Ultra Gold Hi-Speed Reversible, 1 Unit, 230 V, 50 Hz</w:t>
            </w:r>
          </w:p>
          <w:p w14:paraId="72F8F0F3" w14:textId="77777777" w:rsidR="007C7BD3" w:rsidRPr="00D73189" w:rsidRDefault="007C7BD3" w:rsidP="007C7BD3">
            <w:pPr>
              <w:numPr>
                <w:ilvl w:val="0"/>
                <w:numId w:val="41"/>
              </w:numPr>
              <w:spacing w:line="288" w:lineRule="auto"/>
              <w:ind w:left="256" w:hanging="256"/>
              <w:rPr>
                <w:rFonts w:ascii="Arial" w:hAnsi="Arial" w:cs="Arial"/>
                <w:color w:val="000000" w:themeColor="text1"/>
                <w:sz w:val="18"/>
                <w:szCs w:val="24"/>
              </w:rPr>
            </w:pPr>
            <w:r w:rsidRPr="00D73189">
              <w:rPr>
                <w:rFonts w:ascii="Arial" w:hAnsi="Arial" w:cs="Arial"/>
                <w:color w:val="000000" w:themeColor="text1"/>
                <w:kern w:val="24"/>
                <w:sz w:val="18"/>
                <w:szCs w:val="24"/>
              </w:rPr>
              <w:t>Two exhaust fans were used for the air exchange of greenhouse with that of outside.</w:t>
            </w:r>
          </w:p>
        </w:tc>
      </w:tr>
      <w:tr w:rsidR="00D73189" w:rsidRPr="00D73189" w14:paraId="12B5A870" w14:textId="77777777" w:rsidTr="007C7BD3">
        <w:trPr>
          <w:trHeight w:val="567"/>
        </w:trPr>
        <w:tc>
          <w:tcPr>
            <w:tcW w:w="2802" w:type="dxa"/>
            <w:vAlign w:val="center"/>
          </w:tcPr>
          <w:p w14:paraId="716D4740" w14:textId="77777777" w:rsidR="007C7BD3" w:rsidRPr="00D73189" w:rsidRDefault="007C7BD3" w:rsidP="007C7BD3">
            <w:pPr>
              <w:rPr>
                <w:rFonts w:ascii="Arial" w:hAnsi="Arial" w:cs="Arial"/>
                <w:b/>
                <w:bCs/>
                <w:color w:val="000000" w:themeColor="text1"/>
                <w:kern w:val="24"/>
                <w:sz w:val="18"/>
                <w:szCs w:val="24"/>
              </w:rPr>
            </w:pPr>
            <w:proofErr w:type="spellStart"/>
            <w:r w:rsidRPr="00D73189">
              <w:rPr>
                <w:rFonts w:ascii="Arial" w:hAnsi="Arial" w:cs="Arial"/>
                <w:b/>
                <w:bCs/>
                <w:color w:val="000000" w:themeColor="text1"/>
                <w:kern w:val="24"/>
                <w:sz w:val="18"/>
                <w:szCs w:val="24"/>
              </w:rPr>
              <w:t>Tubings</w:t>
            </w:r>
            <w:proofErr w:type="spellEnd"/>
            <w:r w:rsidRPr="00D73189">
              <w:rPr>
                <w:rFonts w:ascii="Arial" w:hAnsi="Arial" w:cs="Arial"/>
                <w:b/>
                <w:bCs/>
                <w:color w:val="000000" w:themeColor="text1"/>
                <w:kern w:val="24"/>
                <w:sz w:val="18"/>
                <w:szCs w:val="24"/>
              </w:rPr>
              <w:t xml:space="preserve"> and connections</w:t>
            </w:r>
          </w:p>
        </w:tc>
        <w:tc>
          <w:tcPr>
            <w:tcW w:w="5386" w:type="dxa"/>
            <w:vAlign w:val="center"/>
          </w:tcPr>
          <w:p w14:paraId="085362AE"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PVC Piping</w:t>
            </w:r>
          </w:p>
          <w:p w14:paraId="01FD6D94"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Endcaps</w:t>
            </w:r>
          </w:p>
          <w:p w14:paraId="72617B5D"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Bends</w:t>
            </w:r>
          </w:p>
          <w:p w14:paraId="20C68C43"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lastRenderedPageBreak/>
              <w:t>Valves</w:t>
            </w:r>
          </w:p>
          <w:p w14:paraId="7BFF98EA"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Connectors</w:t>
            </w:r>
          </w:p>
          <w:p w14:paraId="179A3A27" w14:textId="77777777" w:rsidR="007C7BD3" w:rsidRPr="00D73189" w:rsidRDefault="007C7BD3" w:rsidP="007C7BD3">
            <w:pPr>
              <w:numPr>
                <w:ilvl w:val="0"/>
                <w:numId w:val="37"/>
              </w:numPr>
              <w:tabs>
                <w:tab w:val="clear" w:pos="720"/>
                <w:tab w:val="num" w:pos="436"/>
              </w:tabs>
              <w:spacing w:line="288" w:lineRule="auto"/>
              <w:ind w:left="346" w:hanging="346"/>
              <w:rPr>
                <w:rFonts w:ascii="Arial" w:hAnsi="Arial" w:cs="Arial"/>
                <w:color w:val="000000" w:themeColor="text1"/>
                <w:kern w:val="24"/>
                <w:sz w:val="18"/>
                <w:szCs w:val="24"/>
              </w:rPr>
            </w:pPr>
            <w:r w:rsidRPr="00D73189">
              <w:rPr>
                <w:rFonts w:ascii="Arial" w:hAnsi="Arial" w:cs="Arial"/>
                <w:color w:val="000000" w:themeColor="text1"/>
                <w:kern w:val="24"/>
                <w:sz w:val="18"/>
                <w:szCs w:val="24"/>
              </w:rPr>
              <w:t>Screens</w:t>
            </w:r>
          </w:p>
        </w:tc>
      </w:tr>
    </w:tbl>
    <w:p w14:paraId="5E0B81FD" w14:textId="77777777" w:rsidR="007C7BD3" w:rsidRDefault="007C7BD3" w:rsidP="007C7BD3">
      <w:pPr>
        <w:ind w:firstLine="720"/>
        <w:jc w:val="both"/>
        <w:rPr>
          <w:rFonts w:ascii="Times New Roman" w:hAnsi="Times New Roman"/>
          <w:color w:val="000000" w:themeColor="text1"/>
          <w:sz w:val="24"/>
          <w:szCs w:val="24"/>
        </w:rPr>
      </w:pPr>
    </w:p>
    <w:p w14:paraId="043E9A2C" w14:textId="2A76539C" w:rsidR="00D24A43" w:rsidRPr="009C24D0" w:rsidRDefault="00D24A43" w:rsidP="007C7BD3">
      <w:pPr>
        <w:ind w:firstLine="720"/>
        <w:jc w:val="both"/>
        <w:rPr>
          <w:rFonts w:ascii="Times New Roman" w:hAnsi="Times New Roman"/>
          <w:b/>
          <w:bCs/>
          <w:color w:val="000000" w:themeColor="text1"/>
          <w:sz w:val="24"/>
          <w:szCs w:val="24"/>
        </w:rPr>
      </w:pPr>
      <w:r>
        <w:rPr>
          <w:rFonts w:ascii="Times New Roman" w:hAnsi="Times New Roman"/>
          <w:color w:val="000000" w:themeColor="text1"/>
          <w:sz w:val="24"/>
          <w:szCs w:val="24"/>
        </w:rPr>
        <w:t>Table 1-</w:t>
      </w:r>
      <w:r w:rsidR="009C24D0">
        <w:rPr>
          <w:rFonts w:ascii="Times New Roman" w:hAnsi="Times New Roman"/>
          <w:color w:val="000000" w:themeColor="text1"/>
          <w:sz w:val="24"/>
          <w:szCs w:val="24"/>
        </w:rPr>
        <w:t xml:space="preserve"> </w:t>
      </w:r>
      <w:r w:rsidR="009C24D0" w:rsidRPr="009C24D0">
        <w:rPr>
          <w:rFonts w:ascii="Times New Roman" w:hAnsi="Times New Roman"/>
          <w:b/>
          <w:bCs/>
          <w:color w:val="000000" w:themeColor="text1"/>
          <w:sz w:val="24"/>
          <w:szCs w:val="24"/>
        </w:rPr>
        <w:t>Schematic of the plant growth chamber system with 45-plant layout, micro-misters, nutrient delivery, cooling units, and environmental control components</w:t>
      </w:r>
    </w:p>
    <w:p w14:paraId="01A10A70" w14:textId="77777777" w:rsidR="00D24A43" w:rsidRDefault="00D24A43" w:rsidP="007C7BD3">
      <w:pPr>
        <w:ind w:firstLine="720"/>
        <w:jc w:val="both"/>
        <w:rPr>
          <w:rFonts w:ascii="Times New Roman" w:hAnsi="Times New Roman"/>
          <w:color w:val="000000" w:themeColor="text1"/>
          <w:sz w:val="24"/>
          <w:szCs w:val="24"/>
        </w:rPr>
      </w:pPr>
    </w:p>
    <w:p w14:paraId="1BFFE7C1" w14:textId="77777777" w:rsidR="00D24A43" w:rsidRPr="00D73189" w:rsidRDefault="00D24A43" w:rsidP="007C7BD3">
      <w:pPr>
        <w:ind w:firstLine="720"/>
        <w:jc w:val="both"/>
        <w:rPr>
          <w:rFonts w:ascii="Times New Roman" w:hAnsi="Times New Roman"/>
          <w:color w:val="000000" w:themeColor="text1"/>
          <w:sz w:val="24"/>
          <w:szCs w:val="24"/>
        </w:rPr>
      </w:pPr>
    </w:p>
    <w:p w14:paraId="7A86B4AD" w14:textId="77777777" w:rsidR="00893588" w:rsidRPr="00D73189" w:rsidRDefault="00893588" w:rsidP="00893588">
      <w:pPr>
        <w:spacing w:afterLines="80" w:after="192"/>
        <w:jc w:val="center"/>
        <w:rPr>
          <w:rFonts w:ascii="Arial" w:hAnsi="Arial" w:cs="Arial"/>
          <w:color w:val="000000" w:themeColor="text1"/>
        </w:rPr>
      </w:pPr>
      <w:bookmarkStart w:id="1" w:name="_Hlk206196004"/>
      <w:r w:rsidRPr="00D73189">
        <w:rPr>
          <w:rFonts w:ascii="Arial" w:hAnsi="Arial" w:cs="Arial"/>
          <w:noProof/>
          <w:color w:val="000000" w:themeColor="text1"/>
        </w:rPr>
        <w:drawing>
          <wp:inline distT="0" distB="0" distL="0" distR="0" wp14:anchorId="051AAE63" wp14:editId="7386A039">
            <wp:extent cx="2314575"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3"/>
                    <pic:cNvPicPr>
                      <a:picLocks noChangeAspect="1" noChangeArrowheads="1"/>
                    </pic:cNvPicPr>
                  </pic:nvPicPr>
                  <pic:blipFill>
                    <a:blip r:embed="rId19" cstate="print">
                      <a:extLst>
                        <a:ext uri="{28A0092B-C50C-407E-A947-70E740481C1C}">
                          <a14:useLocalDpi xmlns:a14="http://schemas.microsoft.com/office/drawing/2010/main" val="0"/>
                        </a:ext>
                      </a:extLst>
                    </a:blip>
                    <a:srcRect l="4478" t="6465" r="3882" b="-5170"/>
                    <a:stretch>
                      <a:fillRect/>
                    </a:stretch>
                  </pic:blipFill>
                  <pic:spPr bwMode="auto">
                    <a:xfrm>
                      <a:off x="0" y="0"/>
                      <a:ext cx="2314575" cy="1733550"/>
                    </a:xfrm>
                    <a:prstGeom prst="rect">
                      <a:avLst/>
                    </a:prstGeom>
                    <a:noFill/>
                    <a:ln>
                      <a:noFill/>
                    </a:ln>
                  </pic:spPr>
                </pic:pic>
              </a:graphicData>
            </a:graphic>
          </wp:inline>
        </w:drawing>
      </w:r>
      <w:r w:rsidRPr="00D73189">
        <w:rPr>
          <w:rFonts w:ascii="Arial" w:hAnsi="Arial" w:cs="Arial"/>
          <w:b/>
          <w:noProof/>
          <w:color w:val="000000" w:themeColor="text1"/>
          <w:lang w:val="en-IN" w:eastAsia="en-IN"/>
        </w:rPr>
        <w:drawing>
          <wp:inline distT="0" distB="0" distL="0" distR="0" wp14:anchorId="0EE33A7D" wp14:editId="3E477CFD">
            <wp:extent cx="2524125"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10353" t="10939" r="14331" b="8293"/>
                    <a:stretch>
                      <a:fillRect/>
                    </a:stretch>
                  </pic:blipFill>
                  <pic:spPr bwMode="auto">
                    <a:xfrm>
                      <a:off x="0" y="0"/>
                      <a:ext cx="2524125" cy="1695450"/>
                    </a:xfrm>
                    <a:prstGeom prst="rect">
                      <a:avLst/>
                    </a:prstGeom>
                    <a:noFill/>
                    <a:ln>
                      <a:noFill/>
                    </a:ln>
                  </pic:spPr>
                </pic:pic>
              </a:graphicData>
            </a:graphic>
          </wp:inline>
        </w:drawing>
      </w:r>
    </w:p>
    <w:p w14:paraId="1CCE5506" w14:textId="77777777" w:rsidR="00893588" w:rsidRPr="00D73189" w:rsidRDefault="00893588" w:rsidP="00893588">
      <w:pPr>
        <w:spacing w:afterLines="80" w:after="192"/>
        <w:ind w:firstLine="720"/>
        <w:jc w:val="center"/>
        <w:rPr>
          <w:rFonts w:ascii="Arial" w:hAnsi="Arial" w:cs="Arial"/>
          <w:b/>
          <w:bCs/>
          <w:color w:val="000000" w:themeColor="text1"/>
        </w:rPr>
      </w:pPr>
      <w:bookmarkStart w:id="2" w:name="_Toc185650768"/>
      <w:bookmarkStart w:id="3" w:name="_Toc185650935"/>
      <w:bookmarkStart w:id="4" w:name="_Toc185653263"/>
      <w:bookmarkStart w:id="5" w:name="_Toc188713892"/>
      <w:r w:rsidRPr="00D73189">
        <w:rPr>
          <w:rFonts w:ascii="Arial" w:hAnsi="Arial" w:cs="Arial"/>
          <w:b/>
          <w:bCs/>
          <w:color w:val="000000" w:themeColor="text1"/>
        </w:rPr>
        <w:t xml:space="preserve">Fig. 1   Top view of the experimental set up drawn in </w:t>
      </w:r>
      <w:bookmarkEnd w:id="2"/>
      <w:bookmarkEnd w:id="3"/>
      <w:bookmarkEnd w:id="4"/>
      <w:r w:rsidRPr="00D73189">
        <w:rPr>
          <w:rFonts w:ascii="Arial" w:hAnsi="Arial" w:cs="Arial"/>
          <w:b/>
          <w:bCs/>
          <w:color w:val="000000" w:themeColor="text1"/>
        </w:rPr>
        <w:t>AutoCAD and Lumion</w:t>
      </w:r>
      <w:bookmarkEnd w:id="5"/>
      <w:r w:rsidRPr="00D73189">
        <w:rPr>
          <w:rFonts w:ascii="Arial" w:hAnsi="Arial" w:cs="Arial"/>
          <w:b/>
          <w:bCs/>
          <w:color w:val="000000" w:themeColor="text1"/>
        </w:rPr>
        <w:t xml:space="preserve"> </w:t>
      </w:r>
    </w:p>
    <w:p w14:paraId="32A08A8B" w14:textId="77777777" w:rsidR="00893588" w:rsidRPr="00D73189" w:rsidRDefault="00893588" w:rsidP="00893588">
      <w:pPr>
        <w:tabs>
          <w:tab w:val="right" w:pos="8266"/>
        </w:tabs>
        <w:spacing w:afterLines="80" w:after="192"/>
        <w:jc w:val="center"/>
        <w:rPr>
          <w:rFonts w:ascii="Arial" w:hAnsi="Arial" w:cs="Arial"/>
          <w:b/>
          <w:bCs/>
          <w:color w:val="000000" w:themeColor="text1"/>
        </w:rPr>
      </w:pPr>
      <w:r w:rsidRPr="00D73189">
        <w:rPr>
          <w:rFonts w:ascii="Arial" w:hAnsi="Arial" w:cs="Arial"/>
          <w:b/>
          <w:noProof/>
          <w:color w:val="000000" w:themeColor="text1"/>
        </w:rPr>
        <w:drawing>
          <wp:inline distT="0" distB="0" distL="0" distR="0" wp14:anchorId="5792DCDC" wp14:editId="382FD3CA">
            <wp:extent cx="2733675" cy="1804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804226"/>
                    </a:xfrm>
                    <a:prstGeom prst="rect">
                      <a:avLst/>
                    </a:prstGeom>
                    <a:noFill/>
                    <a:ln>
                      <a:noFill/>
                    </a:ln>
                  </pic:spPr>
                </pic:pic>
              </a:graphicData>
            </a:graphic>
          </wp:inline>
        </w:drawing>
      </w:r>
      <w:r w:rsidRPr="00D73189">
        <w:rPr>
          <w:rFonts w:ascii="Arial" w:hAnsi="Arial" w:cs="Arial"/>
          <w:b/>
          <w:noProof/>
          <w:color w:val="000000" w:themeColor="text1"/>
        </w:rPr>
        <w:drawing>
          <wp:inline distT="0" distB="0" distL="0" distR="0" wp14:anchorId="1DDCCD7E" wp14:editId="3AC41DD6">
            <wp:extent cx="1891351" cy="178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351" cy="1781175"/>
                    </a:xfrm>
                    <a:prstGeom prst="rect">
                      <a:avLst/>
                    </a:prstGeom>
                    <a:noFill/>
                    <a:ln>
                      <a:noFill/>
                    </a:ln>
                  </pic:spPr>
                </pic:pic>
              </a:graphicData>
            </a:graphic>
          </wp:inline>
        </w:drawing>
      </w:r>
    </w:p>
    <w:p w14:paraId="53EFB549" w14:textId="77777777" w:rsidR="00893588" w:rsidRPr="00D73189" w:rsidRDefault="00893588" w:rsidP="00893588">
      <w:pPr>
        <w:spacing w:afterLines="80" w:after="192"/>
        <w:ind w:firstLine="720"/>
        <w:jc w:val="center"/>
        <w:rPr>
          <w:rFonts w:ascii="Arial" w:hAnsi="Arial" w:cs="Arial"/>
          <w:b/>
          <w:bCs/>
          <w:color w:val="000000" w:themeColor="text1"/>
        </w:rPr>
      </w:pPr>
      <w:r w:rsidRPr="00D73189">
        <w:rPr>
          <w:rFonts w:ascii="Arial" w:hAnsi="Arial" w:cs="Arial"/>
          <w:b/>
          <w:bCs/>
          <w:color w:val="000000" w:themeColor="text1"/>
        </w:rPr>
        <w:t>(a)</w:t>
      </w:r>
    </w:p>
    <w:p w14:paraId="2E0A939A" w14:textId="77777777" w:rsidR="00893588" w:rsidRPr="00D73189" w:rsidRDefault="00893588" w:rsidP="00893588">
      <w:pPr>
        <w:tabs>
          <w:tab w:val="left" w:pos="8100"/>
        </w:tabs>
        <w:spacing w:afterLines="80" w:after="192"/>
        <w:jc w:val="center"/>
        <w:rPr>
          <w:rFonts w:ascii="Arial" w:hAnsi="Arial" w:cs="Arial"/>
          <w:b/>
          <w:bCs/>
          <w:color w:val="000000" w:themeColor="text1"/>
        </w:rPr>
      </w:pPr>
      <w:r w:rsidRPr="00D73189">
        <w:rPr>
          <w:rFonts w:ascii="Arial" w:hAnsi="Arial" w:cs="Arial"/>
          <w:noProof/>
          <w:color w:val="000000" w:themeColor="text1"/>
        </w:rPr>
        <w:drawing>
          <wp:inline distT="0" distB="0" distL="0" distR="0" wp14:anchorId="10B96406" wp14:editId="333F0662">
            <wp:extent cx="3419475" cy="1974500"/>
            <wp:effectExtent l="0" t="0" r="0" b="0"/>
            <wp:docPr id="4" name="Picture 4" descr="C:\Users\Admin\Downloads\IMG-2024122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 descr="C:\Users\Admin\Downloads\IMG-20241229-WA0061.jpg"/>
                    <pic:cNvPicPr>
                      <a:picLocks noChangeAspect="1" noChangeArrowheads="1"/>
                    </pic:cNvPicPr>
                  </pic:nvPicPr>
                  <pic:blipFill>
                    <a:blip r:embed="rId23">
                      <a:extLst>
                        <a:ext uri="{28A0092B-C50C-407E-A947-70E740481C1C}">
                          <a14:useLocalDpi xmlns:a14="http://schemas.microsoft.com/office/drawing/2010/main" val="0"/>
                        </a:ext>
                      </a:extLst>
                    </a:blip>
                    <a:srcRect l="2980" t="12166" r="7730" b="19629"/>
                    <a:stretch>
                      <a:fillRect/>
                    </a:stretch>
                  </pic:blipFill>
                  <pic:spPr bwMode="auto">
                    <a:xfrm>
                      <a:off x="0" y="0"/>
                      <a:ext cx="3419569" cy="1974554"/>
                    </a:xfrm>
                    <a:prstGeom prst="rect">
                      <a:avLst/>
                    </a:prstGeom>
                    <a:noFill/>
                    <a:ln>
                      <a:noFill/>
                    </a:ln>
                  </pic:spPr>
                </pic:pic>
              </a:graphicData>
            </a:graphic>
          </wp:inline>
        </w:drawing>
      </w:r>
    </w:p>
    <w:p w14:paraId="66CD4BDE" w14:textId="77777777" w:rsidR="00893588" w:rsidRPr="00D73189" w:rsidRDefault="00893588" w:rsidP="00893588">
      <w:pPr>
        <w:spacing w:afterLines="80" w:after="192"/>
        <w:ind w:firstLine="720"/>
        <w:jc w:val="center"/>
        <w:rPr>
          <w:rFonts w:ascii="Arial" w:hAnsi="Arial" w:cs="Arial"/>
          <w:b/>
          <w:bCs/>
          <w:color w:val="000000" w:themeColor="text1"/>
        </w:rPr>
      </w:pPr>
      <w:r w:rsidRPr="00D73189">
        <w:rPr>
          <w:rFonts w:ascii="Arial" w:hAnsi="Arial" w:cs="Arial"/>
          <w:b/>
          <w:bCs/>
          <w:color w:val="000000" w:themeColor="text1"/>
        </w:rPr>
        <w:lastRenderedPageBreak/>
        <w:t>(b)</w:t>
      </w:r>
    </w:p>
    <w:p w14:paraId="6CE46414" w14:textId="77777777" w:rsidR="00893588" w:rsidRPr="00D73189" w:rsidRDefault="00893588" w:rsidP="00893588">
      <w:pPr>
        <w:spacing w:afterLines="80" w:after="192"/>
        <w:ind w:firstLine="720"/>
        <w:jc w:val="center"/>
        <w:rPr>
          <w:rFonts w:ascii="Arial" w:hAnsi="Arial" w:cs="Arial"/>
          <w:b/>
          <w:bCs/>
          <w:color w:val="000000" w:themeColor="text1"/>
        </w:rPr>
      </w:pPr>
      <w:bookmarkStart w:id="6" w:name="_Toc185650769"/>
      <w:bookmarkStart w:id="7" w:name="_Toc185650936"/>
      <w:bookmarkStart w:id="8" w:name="_Toc185653264"/>
      <w:bookmarkStart w:id="9" w:name="_Toc188713893"/>
      <w:r w:rsidRPr="00D73189">
        <w:rPr>
          <w:rFonts w:ascii="Arial" w:hAnsi="Arial" w:cs="Arial"/>
          <w:b/>
          <w:bCs/>
          <w:color w:val="000000" w:themeColor="text1"/>
        </w:rPr>
        <w:t>Fig. 2 (a) Drawing of aeroponic system in different angle (b) Overall view of aeroponic system</w:t>
      </w:r>
      <w:bookmarkEnd w:id="6"/>
      <w:bookmarkEnd w:id="7"/>
      <w:bookmarkEnd w:id="8"/>
      <w:r w:rsidRPr="00D73189">
        <w:rPr>
          <w:rFonts w:ascii="Arial" w:hAnsi="Arial" w:cs="Arial"/>
          <w:b/>
          <w:bCs/>
          <w:color w:val="000000" w:themeColor="text1"/>
        </w:rPr>
        <w:t xml:space="preserve"> drawn in sketch up</w:t>
      </w:r>
      <w:bookmarkEnd w:id="9"/>
    </w:p>
    <w:p w14:paraId="10E04AB4"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13E4AD07" wp14:editId="46CEADB3">
            <wp:extent cx="4837113"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113" cy="2638425"/>
                    </a:xfrm>
                    <a:prstGeom prst="rect">
                      <a:avLst/>
                    </a:prstGeom>
                    <a:noFill/>
                    <a:ln>
                      <a:noFill/>
                    </a:ln>
                  </pic:spPr>
                </pic:pic>
              </a:graphicData>
            </a:graphic>
          </wp:inline>
        </w:drawing>
      </w:r>
    </w:p>
    <w:p w14:paraId="079EA38D" w14:textId="77777777" w:rsidR="00893588" w:rsidRPr="00D73189" w:rsidRDefault="00893588" w:rsidP="00893588">
      <w:pPr>
        <w:spacing w:afterLines="80" w:after="192"/>
        <w:jc w:val="center"/>
        <w:rPr>
          <w:rFonts w:ascii="Arial" w:hAnsi="Arial" w:cs="Arial"/>
          <w:b/>
          <w:bCs/>
          <w:color w:val="000000" w:themeColor="text1"/>
        </w:rPr>
      </w:pPr>
      <w:r w:rsidRPr="00D73189">
        <w:rPr>
          <w:rFonts w:ascii="Arial" w:hAnsi="Arial" w:cs="Arial"/>
          <w:b/>
          <w:bCs/>
          <w:color w:val="000000" w:themeColor="text1"/>
        </w:rPr>
        <w:t>Fig. 3 Flowchart of the process</w:t>
      </w:r>
    </w:p>
    <w:p w14:paraId="6BF508A0"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The process starts with an overhead water tank supplying water to a storage tank that regulates availability. Water is then directed to the nutrient solution tank, where it is precisely mixed with concentrated nutrients. A double diaphragm pump pressurizes the nutrient solution and delivers it to the spraying system inside the growth chamber. This system consists of three parallel microtubes with misters spaced 0.40 m apart, which spray atomized nutrients onto the plant roots in controlled cycle 10 seconds of spraying followed by a 5-minute pause. The automated system, powered by a 12V, 6Amp DC motor pump, ensures precise nutrient delivery and efficient operation. Excess nutrient solution is collected and recirculated back into the nutrient tank, creating a closed-loop system that enhances sustainability. This setup maintains a continuous supply of water and nutrients, optimizing plant growth in the aeroponic system.</w:t>
      </w:r>
      <w:bookmarkEnd w:id="1"/>
    </w:p>
    <w:p w14:paraId="3258C901" w14:textId="77777777" w:rsidR="00893588" w:rsidRPr="00D73189" w:rsidRDefault="00893588" w:rsidP="00893588">
      <w:pPr>
        <w:jc w:val="both"/>
        <w:rPr>
          <w:rFonts w:ascii="Arial" w:hAnsi="Arial" w:cs="Arial"/>
          <w:b/>
          <w:bCs/>
          <w:color w:val="000000" w:themeColor="text1"/>
        </w:rPr>
      </w:pPr>
      <w:r w:rsidRPr="00D73189">
        <w:rPr>
          <w:rFonts w:ascii="Arial" w:hAnsi="Arial" w:cs="Arial"/>
          <w:b/>
          <w:bCs/>
          <w:color w:val="000000" w:themeColor="text1"/>
        </w:rPr>
        <w:t>2.1 Development of an automation system</w:t>
      </w:r>
    </w:p>
    <w:p w14:paraId="1323EDFA" w14:textId="77777777" w:rsidR="00893588" w:rsidRPr="00D73189" w:rsidRDefault="00893588" w:rsidP="00893588">
      <w:pPr>
        <w:spacing w:before="120" w:afterLines="80" w:after="192"/>
        <w:ind w:firstLine="720"/>
        <w:jc w:val="both"/>
        <w:rPr>
          <w:rFonts w:ascii="Arial" w:hAnsi="Arial" w:cs="Arial"/>
          <w:color w:val="000000" w:themeColor="text1"/>
        </w:rPr>
      </w:pPr>
      <w:r w:rsidRPr="00D73189">
        <w:rPr>
          <w:rFonts w:ascii="Arial" w:hAnsi="Arial" w:cs="Arial"/>
          <w:color w:val="000000" w:themeColor="text1"/>
        </w:rPr>
        <w:t xml:space="preserve">The automation system combines hardware and software components to enhance efficiency and streamline operations. The hardware includes sensors for monitoring environmental conditions, actuators for executing control actions, and a microcontroller for data processing. Additional components, such as communication modules, power supplies, display units, and support system functionality. On the software side, embedded programming, control algorithms, and IoT platforms enable real-time data analysis, remote monitoring, and automation. IoT integration enhances the aeroponic system by enabling continuous monitoring and automated adjustments. Sensors for pH, temperature, humidity, nutrient concentration (TDS, EC), and water levels were strategically placed. A PIC microcontroller collects and processes this data, transmitting it to the cloud for analysis. Actuators controlling misting, valves, and ventilation respond to sensor feedback, ensuring optimal growing conditions. IoT modules facilitate seamless data transmission to user interfaces, such as mobile apps and web dashboards, allowing remote monitoring and control. Table 2 represents the components of automation system. Figure 4 steps provide a detailed overview of the process. </w:t>
      </w:r>
    </w:p>
    <w:p w14:paraId="646D55A7" w14:textId="77777777" w:rsidR="00034C4F" w:rsidRPr="00D73189" w:rsidRDefault="00034C4F" w:rsidP="00893588">
      <w:pPr>
        <w:spacing w:before="120" w:afterLines="80" w:after="192"/>
        <w:ind w:firstLine="720"/>
        <w:jc w:val="both"/>
        <w:rPr>
          <w:rFonts w:ascii="Arial" w:hAnsi="Arial" w:cs="Arial"/>
          <w:color w:val="000000" w:themeColor="text1"/>
        </w:rPr>
      </w:pPr>
    </w:p>
    <w:p w14:paraId="517BCC98" w14:textId="77777777" w:rsidR="00034C4F" w:rsidRPr="00D73189" w:rsidRDefault="00034C4F" w:rsidP="00893588">
      <w:pPr>
        <w:spacing w:before="120" w:afterLines="80" w:after="192"/>
        <w:ind w:firstLine="720"/>
        <w:jc w:val="both"/>
        <w:rPr>
          <w:rFonts w:ascii="Arial" w:hAnsi="Arial" w:cs="Arial"/>
          <w:color w:val="000000" w:themeColor="text1"/>
        </w:rPr>
      </w:pPr>
    </w:p>
    <w:p w14:paraId="1564D6C3" w14:textId="77777777" w:rsidR="00893588" w:rsidRPr="00D73189" w:rsidRDefault="00893588" w:rsidP="00893588">
      <w:pPr>
        <w:spacing w:before="120" w:after="120"/>
        <w:jc w:val="both"/>
        <w:rPr>
          <w:rFonts w:ascii="Arial" w:hAnsi="Arial" w:cs="Arial"/>
          <w:b/>
          <w:bCs/>
          <w:color w:val="000000" w:themeColor="text1"/>
        </w:rPr>
      </w:pPr>
      <w:r w:rsidRPr="00D73189">
        <w:rPr>
          <w:rFonts w:ascii="Arial" w:hAnsi="Arial" w:cs="Arial"/>
          <w:b/>
          <w:bCs/>
          <w:color w:val="000000" w:themeColor="text1"/>
        </w:rPr>
        <w:t>Table 2 Components of automation system</w:t>
      </w:r>
    </w:p>
    <w:tbl>
      <w:tblPr>
        <w:tblStyle w:val="TableGrid"/>
        <w:tblpPr w:leftFromText="180" w:rightFromText="180" w:vertAnchor="text" w:tblpXSpec="center" w:tblpY="1"/>
        <w:tblOverlap w:val="never"/>
        <w:tblW w:w="8155" w:type="dxa"/>
        <w:tblLook w:val="0420" w:firstRow="1" w:lastRow="0" w:firstColumn="0" w:lastColumn="0" w:noHBand="0" w:noVBand="1"/>
      </w:tblPr>
      <w:tblGrid>
        <w:gridCol w:w="1609"/>
        <w:gridCol w:w="1439"/>
        <w:gridCol w:w="5107"/>
      </w:tblGrid>
      <w:tr w:rsidR="00D73189" w:rsidRPr="00D73189" w14:paraId="67751A71" w14:textId="77777777" w:rsidTr="007D1109">
        <w:trPr>
          <w:trHeight w:val="276"/>
        </w:trPr>
        <w:tc>
          <w:tcPr>
            <w:tcW w:w="1609" w:type="dxa"/>
            <w:noWrap/>
            <w:hideMark/>
          </w:tcPr>
          <w:p w14:paraId="588FADC3" w14:textId="77777777" w:rsidR="00893588" w:rsidRPr="00D73189" w:rsidRDefault="00893588" w:rsidP="00893588">
            <w:pPr>
              <w:spacing w:after="160" w:line="259" w:lineRule="auto"/>
              <w:rPr>
                <w:rFonts w:ascii="Arial" w:hAnsi="Arial" w:cs="Arial"/>
                <w:b/>
                <w:bCs/>
                <w:color w:val="000000" w:themeColor="text1"/>
                <w:sz w:val="20"/>
                <w:szCs w:val="20"/>
              </w:rPr>
            </w:pPr>
            <w:r w:rsidRPr="00D73189">
              <w:rPr>
                <w:rFonts w:ascii="Arial" w:hAnsi="Arial" w:cs="Arial"/>
                <w:b/>
                <w:bCs/>
                <w:color w:val="000000" w:themeColor="text1"/>
                <w:sz w:val="20"/>
                <w:szCs w:val="20"/>
              </w:rPr>
              <w:t>Components</w:t>
            </w:r>
          </w:p>
        </w:tc>
        <w:tc>
          <w:tcPr>
            <w:tcW w:w="6546" w:type="dxa"/>
            <w:gridSpan w:val="2"/>
            <w:noWrap/>
            <w:hideMark/>
          </w:tcPr>
          <w:p w14:paraId="1B09F127" w14:textId="77777777" w:rsidR="00893588" w:rsidRPr="00D73189" w:rsidRDefault="00893588" w:rsidP="00893588">
            <w:pPr>
              <w:spacing w:after="160" w:line="259" w:lineRule="auto"/>
              <w:jc w:val="center"/>
              <w:rPr>
                <w:rFonts w:ascii="Arial" w:hAnsi="Arial" w:cs="Arial"/>
                <w:b/>
                <w:bCs/>
                <w:color w:val="000000" w:themeColor="text1"/>
                <w:sz w:val="20"/>
                <w:szCs w:val="20"/>
              </w:rPr>
            </w:pPr>
            <w:r w:rsidRPr="00D73189">
              <w:rPr>
                <w:rFonts w:ascii="Arial" w:hAnsi="Arial" w:cs="Arial"/>
                <w:b/>
                <w:bCs/>
                <w:color w:val="000000" w:themeColor="text1"/>
                <w:sz w:val="20"/>
                <w:szCs w:val="20"/>
              </w:rPr>
              <w:t>Specifications</w:t>
            </w:r>
          </w:p>
        </w:tc>
      </w:tr>
      <w:tr w:rsidR="00D73189" w:rsidRPr="00D73189" w14:paraId="320C0143" w14:textId="77777777" w:rsidTr="007D1109">
        <w:trPr>
          <w:trHeight w:val="276"/>
        </w:trPr>
        <w:tc>
          <w:tcPr>
            <w:tcW w:w="1609" w:type="dxa"/>
            <w:noWrap/>
            <w:hideMark/>
          </w:tcPr>
          <w:p w14:paraId="1284408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Microcontroller</w:t>
            </w:r>
          </w:p>
        </w:tc>
        <w:tc>
          <w:tcPr>
            <w:tcW w:w="1439" w:type="dxa"/>
            <w:noWrap/>
            <w:hideMark/>
          </w:tcPr>
          <w:p w14:paraId="76ABA4C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PIC18F4520 from MICROCHIP </w:t>
            </w:r>
          </w:p>
        </w:tc>
        <w:tc>
          <w:tcPr>
            <w:tcW w:w="5107" w:type="dxa"/>
            <w:noWrap/>
            <w:hideMark/>
          </w:tcPr>
          <w:p w14:paraId="31DE23B1"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Programmed according to the requirements of the designer </w:t>
            </w:r>
          </w:p>
        </w:tc>
      </w:tr>
      <w:tr w:rsidR="00D73189" w:rsidRPr="00D73189" w14:paraId="5D5F80A7" w14:textId="77777777" w:rsidTr="007D1109">
        <w:trPr>
          <w:trHeight w:val="276"/>
        </w:trPr>
        <w:tc>
          <w:tcPr>
            <w:tcW w:w="1609" w:type="dxa"/>
            <w:vMerge w:val="restart"/>
            <w:noWrap/>
            <w:hideMark/>
          </w:tcPr>
          <w:p w14:paraId="11993784"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Sensors</w:t>
            </w:r>
          </w:p>
          <w:p w14:paraId="3DF38411"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421E541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Humidity and Temperature Sensor</w:t>
            </w:r>
          </w:p>
        </w:tc>
        <w:tc>
          <w:tcPr>
            <w:tcW w:w="5107" w:type="dxa"/>
            <w:noWrap/>
            <w:hideMark/>
          </w:tcPr>
          <w:p w14:paraId="208D075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DHT22</w:t>
            </w:r>
          </w:p>
        </w:tc>
      </w:tr>
      <w:tr w:rsidR="00D73189" w:rsidRPr="00D73189" w14:paraId="4299C66F" w14:textId="77777777" w:rsidTr="007D1109">
        <w:trPr>
          <w:trHeight w:val="276"/>
        </w:trPr>
        <w:tc>
          <w:tcPr>
            <w:tcW w:w="1609" w:type="dxa"/>
            <w:vMerge/>
            <w:noWrap/>
            <w:hideMark/>
          </w:tcPr>
          <w:p w14:paraId="33D75DA9"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830F1D0"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Liquid temperature sensor</w:t>
            </w:r>
          </w:p>
        </w:tc>
        <w:tc>
          <w:tcPr>
            <w:tcW w:w="5107" w:type="dxa"/>
            <w:noWrap/>
            <w:hideMark/>
          </w:tcPr>
          <w:p w14:paraId="38B9951A"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DS18B20</w:t>
            </w:r>
          </w:p>
        </w:tc>
      </w:tr>
      <w:tr w:rsidR="00D73189" w:rsidRPr="00D73189" w14:paraId="000F8AFF" w14:textId="77777777" w:rsidTr="007D1109">
        <w:trPr>
          <w:trHeight w:val="276"/>
        </w:trPr>
        <w:tc>
          <w:tcPr>
            <w:tcW w:w="1609" w:type="dxa"/>
            <w:vMerge/>
            <w:noWrap/>
            <w:hideMark/>
          </w:tcPr>
          <w:p w14:paraId="205E6ED0"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1CDD6E9"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Electrical conductivity</w:t>
            </w:r>
          </w:p>
        </w:tc>
        <w:tc>
          <w:tcPr>
            <w:tcW w:w="5107" w:type="dxa"/>
            <w:noWrap/>
            <w:hideMark/>
          </w:tcPr>
          <w:p w14:paraId="30BA8F1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It has </w:t>
            </w:r>
            <w:proofErr w:type="spellStart"/>
            <w:proofErr w:type="gramStart"/>
            <w:r w:rsidRPr="00D73189">
              <w:rPr>
                <w:rFonts w:ascii="Arial" w:hAnsi="Arial" w:cs="Arial"/>
                <w:color w:val="000000" w:themeColor="text1"/>
                <w:sz w:val="20"/>
                <w:szCs w:val="20"/>
              </w:rPr>
              <w:t>a</w:t>
            </w:r>
            <w:proofErr w:type="spellEnd"/>
            <w:proofErr w:type="gramEnd"/>
            <w:r w:rsidRPr="00D73189">
              <w:rPr>
                <w:rFonts w:ascii="Arial" w:hAnsi="Arial" w:cs="Arial"/>
                <w:color w:val="000000" w:themeColor="text1"/>
                <w:sz w:val="20"/>
                <w:szCs w:val="20"/>
              </w:rPr>
              <w:t xml:space="preserve"> operating voltage DC3-5V and Operating current less than 20mA. </w:t>
            </w:r>
          </w:p>
        </w:tc>
      </w:tr>
      <w:tr w:rsidR="00D73189" w:rsidRPr="00D73189" w14:paraId="6FA9E21E" w14:textId="77777777" w:rsidTr="007D1109">
        <w:trPr>
          <w:trHeight w:val="1158"/>
        </w:trPr>
        <w:tc>
          <w:tcPr>
            <w:tcW w:w="1609" w:type="dxa"/>
            <w:vMerge/>
            <w:tcBorders>
              <w:bottom w:val="single" w:sz="4" w:space="0" w:color="auto"/>
            </w:tcBorders>
            <w:noWrap/>
            <w:hideMark/>
          </w:tcPr>
          <w:p w14:paraId="6F5409DD"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tcBorders>
              <w:bottom w:val="single" w:sz="4" w:space="0" w:color="auto"/>
            </w:tcBorders>
            <w:noWrap/>
            <w:hideMark/>
          </w:tcPr>
          <w:p w14:paraId="060B4A18"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pH</w:t>
            </w:r>
          </w:p>
        </w:tc>
        <w:tc>
          <w:tcPr>
            <w:tcW w:w="5107" w:type="dxa"/>
            <w:tcBorders>
              <w:bottom w:val="single" w:sz="4" w:space="0" w:color="auto"/>
            </w:tcBorders>
            <w:noWrap/>
            <w:hideMark/>
          </w:tcPr>
          <w:p w14:paraId="7A261DB5"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Operating voltage 5 ± 0.2 (DC)</w:t>
            </w:r>
          </w:p>
          <w:p w14:paraId="234EA24A"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Working current 5-10mA</w:t>
            </w:r>
          </w:p>
          <w:p w14:paraId="1AB4BC57"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Detection range 0-14 pH</w:t>
            </w:r>
          </w:p>
          <w:p w14:paraId="22AA05B6"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Operating temperature 0-60°C</w:t>
            </w:r>
          </w:p>
        </w:tc>
      </w:tr>
      <w:tr w:rsidR="00D73189" w:rsidRPr="00D73189" w14:paraId="1ABE06A9" w14:textId="77777777" w:rsidTr="007D1109">
        <w:trPr>
          <w:trHeight w:val="276"/>
        </w:trPr>
        <w:tc>
          <w:tcPr>
            <w:tcW w:w="1609" w:type="dxa"/>
            <w:vMerge/>
            <w:noWrap/>
            <w:hideMark/>
          </w:tcPr>
          <w:p w14:paraId="63549248"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3E7CB7E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Level sensor</w:t>
            </w:r>
          </w:p>
        </w:tc>
        <w:tc>
          <w:tcPr>
            <w:tcW w:w="5107" w:type="dxa"/>
            <w:noWrap/>
            <w:hideMark/>
          </w:tcPr>
          <w:p w14:paraId="51A7503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IR Sensor - A beam of infrared light is reflected off an object to measure its distance. </w:t>
            </w:r>
          </w:p>
        </w:tc>
      </w:tr>
      <w:tr w:rsidR="00D73189" w:rsidRPr="00D73189" w14:paraId="238D4A8A" w14:textId="77777777" w:rsidTr="007D1109">
        <w:trPr>
          <w:trHeight w:val="276"/>
        </w:trPr>
        <w:tc>
          <w:tcPr>
            <w:tcW w:w="1609" w:type="dxa"/>
            <w:vMerge/>
            <w:noWrap/>
            <w:hideMark/>
          </w:tcPr>
          <w:p w14:paraId="07123459"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noWrap/>
            <w:hideMark/>
          </w:tcPr>
          <w:p w14:paraId="606F0196"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Flow sensor</w:t>
            </w:r>
          </w:p>
        </w:tc>
        <w:tc>
          <w:tcPr>
            <w:tcW w:w="5107" w:type="dxa"/>
            <w:noWrap/>
            <w:hideMark/>
          </w:tcPr>
          <w:p w14:paraId="1D9CCDB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YF-S201 - Water flow sensors are installed at the water source or pipes to measure the rate of flow of water</w:t>
            </w:r>
          </w:p>
        </w:tc>
      </w:tr>
      <w:tr w:rsidR="00D73189" w:rsidRPr="00D73189" w14:paraId="635D4E20" w14:textId="77777777" w:rsidTr="007D1109">
        <w:trPr>
          <w:trHeight w:val="563"/>
        </w:trPr>
        <w:tc>
          <w:tcPr>
            <w:tcW w:w="1609" w:type="dxa"/>
            <w:vMerge/>
            <w:tcBorders>
              <w:bottom w:val="single" w:sz="4" w:space="0" w:color="auto"/>
            </w:tcBorders>
            <w:noWrap/>
            <w:hideMark/>
          </w:tcPr>
          <w:p w14:paraId="7E714E2C" w14:textId="77777777" w:rsidR="00893588" w:rsidRPr="00D73189" w:rsidRDefault="00893588" w:rsidP="00893588">
            <w:pPr>
              <w:spacing w:after="160" w:line="259" w:lineRule="auto"/>
              <w:rPr>
                <w:rFonts w:ascii="Arial" w:hAnsi="Arial" w:cs="Arial"/>
                <w:color w:val="000000" w:themeColor="text1"/>
                <w:sz w:val="20"/>
                <w:szCs w:val="20"/>
              </w:rPr>
            </w:pPr>
          </w:p>
        </w:tc>
        <w:tc>
          <w:tcPr>
            <w:tcW w:w="1439" w:type="dxa"/>
            <w:tcBorders>
              <w:bottom w:val="single" w:sz="4" w:space="0" w:color="auto"/>
            </w:tcBorders>
            <w:noWrap/>
            <w:hideMark/>
          </w:tcPr>
          <w:p w14:paraId="5BD0D71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TDS sensor</w:t>
            </w:r>
          </w:p>
        </w:tc>
        <w:tc>
          <w:tcPr>
            <w:tcW w:w="5107" w:type="dxa"/>
            <w:tcBorders>
              <w:bottom w:val="single" w:sz="4" w:space="0" w:color="auto"/>
            </w:tcBorders>
            <w:noWrap/>
            <w:hideMark/>
          </w:tcPr>
          <w:p w14:paraId="75D92104"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TDS Measurement Range 0 ~ 1000ppm</w:t>
            </w:r>
          </w:p>
          <w:p w14:paraId="25D47A1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TDS Measurement Accuracy ± 10% F.S. (25 </w:t>
            </w:r>
            <w:r w:rsidRPr="00D73189">
              <w:rPr>
                <w:rFonts w:ascii="Cambria Math" w:hAnsi="Cambria Math" w:cs="Cambria Math"/>
                <w:color w:val="000000" w:themeColor="text1"/>
                <w:sz w:val="20"/>
                <w:szCs w:val="20"/>
              </w:rPr>
              <w:t>℃</w:t>
            </w:r>
            <w:r w:rsidRPr="00D73189">
              <w:rPr>
                <w:rFonts w:ascii="Arial" w:hAnsi="Arial" w:cs="Arial"/>
                <w:color w:val="000000" w:themeColor="text1"/>
                <w:sz w:val="20"/>
                <w:szCs w:val="20"/>
              </w:rPr>
              <w:t>)</w:t>
            </w:r>
          </w:p>
        </w:tc>
      </w:tr>
      <w:tr w:rsidR="00D73189" w:rsidRPr="00D73189" w14:paraId="1DB8FEAD" w14:textId="77777777" w:rsidTr="007D1109">
        <w:trPr>
          <w:trHeight w:val="276"/>
        </w:trPr>
        <w:tc>
          <w:tcPr>
            <w:tcW w:w="1609" w:type="dxa"/>
            <w:noWrap/>
            <w:hideMark/>
          </w:tcPr>
          <w:p w14:paraId="0D8B062F"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Power supply</w:t>
            </w:r>
          </w:p>
        </w:tc>
        <w:tc>
          <w:tcPr>
            <w:tcW w:w="6546" w:type="dxa"/>
            <w:gridSpan w:val="2"/>
            <w:noWrap/>
            <w:hideMark/>
          </w:tcPr>
          <w:p w14:paraId="2978E369"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It consists of a 12 V battery, voltage regulator IC 7805 and capacitors as filters. This circuit can provide fixed +5V.</w:t>
            </w:r>
          </w:p>
        </w:tc>
      </w:tr>
      <w:tr w:rsidR="00D73189" w:rsidRPr="00D73189" w14:paraId="0AB385CC" w14:textId="77777777" w:rsidTr="007D1109">
        <w:trPr>
          <w:trHeight w:val="276"/>
        </w:trPr>
        <w:tc>
          <w:tcPr>
            <w:tcW w:w="1609" w:type="dxa"/>
            <w:noWrap/>
            <w:hideMark/>
          </w:tcPr>
          <w:p w14:paraId="5D0EE9E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GSM Module</w:t>
            </w:r>
          </w:p>
        </w:tc>
        <w:tc>
          <w:tcPr>
            <w:tcW w:w="6546" w:type="dxa"/>
            <w:gridSpan w:val="2"/>
            <w:noWrap/>
            <w:hideMark/>
          </w:tcPr>
          <w:p w14:paraId="2030C99E"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For sending the information of the system to an authorized mobile phone as SMS. </w:t>
            </w:r>
          </w:p>
        </w:tc>
      </w:tr>
      <w:tr w:rsidR="00D73189" w:rsidRPr="00D73189" w14:paraId="3E6DFDC4" w14:textId="77777777" w:rsidTr="007D1109">
        <w:trPr>
          <w:trHeight w:val="276"/>
        </w:trPr>
        <w:tc>
          <w:tcPr>
            <w:tcW w:w="1609" w:type="dxa"/>
            <w:noWrap/>
            <w:hideMark/>
          </w:tcPr>
          <w:p w14:paraId="24209CF5"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LCD display</w:t>
            </w:r>
          </w:p>
        </w:tc>
        <w:tc>
          <w:tcPr>
            <w:tcW w:w="1439" w:type="dxa"/>
            <w:noWrap/>
            <w:hideMark/>
          </w:tcPr>
          <w:p w14:paraId="12321F2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Model HD 44780 </w:t>
            </w:r>
          </w:p>
        </w:tc>
        <w:tc>
          <w:tcPr>
            <w:tcW w:w="5107" w:type="dxa"/>
            <w:noWrap/>
            <w:hideMark/>
          </w:tcPr>
          <w:p w14:paraId="27E2AF5B"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For displaying key parameters</w:t>
            </w:r>
          </w:p>
        </w:tc>
      </w:tr>
      <w:tr w:rsidR="00D73189" w:rsidRPr="00D73189" w14:paraId="4F2D6A06" w14:textId="77777777" w:rsidTr="007D1109">
        <w:trPr>
          <w:trHeight w:val="276"/>
        </w:trPr>
        <w:tc>
          <w:tcPr>
            <w:tcW w:w="1609" w:type="dxa"/>
            <w:noWrap/>
            <w:hideMark/>
          </w:tcPr>
          <w:p w14:paraId="1CAD1B87"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ALARM</w:t>
            </w:r>
          </w:p>
        </w:tc>
        <w:tc>
          <w:tcPr>
            <w:tcW w:w="6546" w:type="dxa"/>
            <w:gridSpan w:val="2"/>
            <w:noWrap/>
            <w:hideMark/>
          </w:tcPr>
          <w:p w14:paraId="3805BCEC"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A buzzer is used here as an audio alarm </w:t>
            </w:r>
          </w:p>
        </w:tc>
      </w:tr>
      <w:tr w:rsidR="00D73189" w:rsidRPr="00D73189" w14:paraId="625DD053" w14:textId="77777777" w:rsidTr="007D1109">
        <w:trPr>
          <w:trHeight w:val="276"/>
        </w:trPr>
        <w:tc>
          <w:tcPr>
            <w:tcW w:w="1609" w:type="dxa"/>
            <w:noWrap/>
            <w:hideMark/>
          </w:tcPr>
          <w:p w14:paraId="1C493C2D"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LED</w:t>
            </w:r>
          </w:p>
        </w:tc>
        <w:tc>
          <w:tcPr>
            <w:tcW w:w="6546" w:type="dxa"/>
            <w:gridSpan w:val="2"/>
            <w:noWrap/>
            <w:hideMark/>
          </w:tcPr>
          <w:p w14:paraId="40965593"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A light-emitting diode (LED) is an electronic light source</w:t>
            </w:r>
          </w:p>
        </w:tc>
      </w:tr>
      <w:tr w:rsidR="00D73189" w:rsidRPr="00D73189" w14:paraId="6EE75CEE" w14:textId="77777777" w:rsidTr="007D1109">
        <w:trPr>
          <w:trHeight w:val="276"/>
        </w:trPr>
        <w:tc>
          <w:tcPr>
            <w:tcW w:w="1609" w:type="dxa"/>
            <w:noWrap/>
            <w:hideMark/>
          </w:tcPr>
          <w:p w14:paraId="440DFDE2"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t xml:space="preserve">ELECTRICAL </w:t>
            </w:r>
            <w:r w:rsidRPr="00D73189">
              <w:rPr>
                <w:rFonts w:ascii="Arial" w:hAnsi="Arial" w:cs="Arial"/>
                <w:color w:val="000000" w:themeColor="text1"/>
                <w:sz w:val="20"/>
                <w:szCs w:val="20"/>
              </w:rPr>
              <w:lastRenderedPageBreak/>
              <w:t>RELAYS</w:t>
            </w:r>
          </w:p>
        </w:tc>
        <w:tc>
          <w:tcPr>
            <w:tcW w:w="6546" w:type="dxa"/>
            <w:gridSpan w:val="2"/>
            <w:noWrap/>
            <w:hideMark/>
          </w:tcPr>
          <w:p w14:paraId="67D198FF" w14:textId="77777777" w:rsidR="00893588" w:rsidRPr="00D73189" w:rsidRDefault="00893588" w:rsidP="00893588">
            <w:pPr>
              <w:spacing w:after="160" w:line="259" w:lineRule="auto"/>
              <w:rPr>
                <w:rFonts w:ascii="Arial" w:hAnsi="Arial" w:cs="Arial"/>
                <w:color w:val="000000" w:themeColor="text1"/>
                <w:sz w:val="20"/>
                <w:szCs w:val="20"/>
              </w:rPr>
            </w:pPr>
            <w:r w:rsidRPr="00D73189">
              <w:rPr>
                <w:rFonts w:ascii="Arial" w:hAnsi="Arial" w:cs="Arial"/>
                <w:color w:val="000000" w:themeColor="text1"/>
                <w:sz w:val="20"/>
                <w:szCs w:val="20"/>
              </w:rPr>
              <w:lastRenderedPageBreak/>
              <w:t xml:space="preserve">A relay is an electrical switch that opens and closes under the control </w:t>
            </w:r>
            <w:r w:rsidRPr="00D73189">
              <w:rPr>
                <w:rFonts w:ascii="Arial" w:hAnsi="Arial" w:cs="Arial"/>
                <w:color w:val="000000" w:themeColor="text1"/>
                <w:sz w:val="20"/>
                <w:szCs w:val="20"/>
              </w:rPr>
              <w:lastRenderedPageBreak/>
              <w:t>of another electrical circuit.</w:t>
            </w:r>
          </w:p>
        </w:tc>
      </w:tr>
    </w:tbl>
    <w:p w14:paraId="3CE4FEB0" w14:textId="77777777" w:rsidR="00893588" w:rsidRPr="00D73189" w:rsidRDefault="00893588" w:rsidP="00893588">
      <w:pPr>
        <w:spacing w:before="240" w:afterLines="80" w:after="192"/>
        <w:jc w:val="center"/>
        <w:rPr>
          <w:rFonts w:ascii="Arial" w:hAnsi="Arial" w:cs="Arial"/>
          <w:color w:val="000000" w:themeColor="text1"/>
        </w:rPr>
      </w:pPr>
      <w:r w:rsidRPr="00D73189">
        <w:rPr>
          <w:rFonts w:ascii="Arial" w:hAnsi="Arial" w:cs="Arial"/>
          <w:noProof/>
          <w:color w:val="000000" w:themeColor="text1"/>
        </w:rPr>
        <w:lastRenderedPageBreak/>
        <w:br w:type="textWrapping" w:clear="all"/>
      </w:r>
    </w:p>
    <w:p w14:paraId="380B72E4" w14:textId="77777777" w:rsidR="00893588" w:rsidRPr="00D73189" w:rsidRDefault="00893588" w:rsidP="00893588">
      <w:pPr>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01EA82CC" wp14:editId="1CA88CA0">
            <wp:extent cx="3590925" cy="2057400"/>
            <wp:effectExtent l="0" t="0" r="0" b="0"/>
            <wp:docPr id="1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A435D36" w14:textId="77777777" w:rsidR="00893588" w:rsidRPr="00D73189" w:rsidRDefault="00893588" w:rsidP="00893588">
      <w:pPr>
        <w:spacing w:after="120"/>
        <w:jc w:val="center"/>
        <w:rPr>
          <w:rFonts w:ascii="Arial" w:hAnsi="Arial" w:cs="Arial"/>
          <w:b/>
          <w:bCs/>
          <w:color w:val="000000" w:themeColor="text1"/>
        </w:rPr>
      </w:pPr>
      <w:r w:rsidRPr="00D73189">
        <w:rPr>
          <w:rFonts w:ascii="Arial" w:hAnsi="Arial" w:cs="Arial"/>
          <w:b/>
          <w:bCs/>
          <w:color w:val="000000" w:themeColor="text1"/>
        </w:rPr>
        <w:t>Fig.4 Flow chart of automation process</w:t>
      </w:r>
    </w:p>
    <w:p w14:paraId="755BA5EC"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092798AB" wp14:editId="4F1887A0">
            <wp:extent cx="1847850" cy="1600200"/>
            <wp:effectExtent l="0" t="0" r="0" b="0"/>
            <wp:docPr id="12" name="Picture 12" descr="E:\New folder\Documents\new photo project\IMG-20241213-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ew folder\Documents\new photo project\IMG-20241213-WA02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600200"/>
                    </a:xfrm>
                    <a:prstGeom prst="rect">
                      <a:avLst/>
                    </a:prstGeom>
                    <a:noFill/>
                    <a:ln>
                      <a:noFill/>
                    </a:ln>
                  </pic:spPr>
                </pic:pic>
              </a:graphicData>
            </a:graphic>
          </wp:inline>
        </w:drawing>
      </w:r>
      <w:r w:rsidRPr="00D73189">
        <w:rPr>
          <w:rFonts w:ascii="Arial" w:hAnsi="Arial" w:cs="Arial"/>
          <w:noProof/>
          <w:color w:val="000000" w:themeColor="text1"/>
        </w:rPr>
        <w:drawing>
          <wp:inline distT="0" distB="0" distL="0" distR="0" wp14:anchorId="7B17E51B" wp14:editId="5EBD30CC">
            <wp:extent cx="1619250" cy="1209675"/>
            <wp:effectExtent l="0" t="209550" r="0" b="180975"/>
            <wp:docPr id="11" name="Picture 11" descr="E:\New folder\Documents\newww aerioo\20240905_15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ew folder\Documents\newww aerioo\20240905_1506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19250" cy="1209675"/>
                    </a:xfrm>
                    <a:prstGeom prst="rect">
                      <a:avLst/>
                    </a:prstGeom>
                    <a:noFill/>
                    <a:ln>
                      <a:noFill/>
                    </a:ln>
                  </pic:spPr>
                </pic:pic>
              </a:graphicData>
            </a:graphic>
          </wp:inline>
        </w:drawing>
      </w:r>
      <w:r w:rsidRPr="00D73189">
        <w:rPr>
          <w:rFonts w:ascii="Arial" w:hAnsi="Arial" w:cs="Arial"/>
          <w:noProof/>
          <w:color w:val="000000" w:themeColor="text1"/>
        </w:rPr>
        <w:drawing>
          <wp:inline distT="0" distB="0" distL="0" distR="0" wp14:anchorId="1B05E2D8" wp14:editId="4BDC3F0D">
            <wp:extent cx="1638300" cy="1038225"/>
            <wp:effectExtent l="0" t="304800" r="0" b="276225"/>
            <wp:docPr id="10" name="Picture 10" descr="E:\New folder\Documents\newww aerioo\20240905_15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ew folder\Documents\newww aerioo\20240905_1508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38300" cy="1038225"/>
                    </a:xfrm>
                    <a:prstGeom prst="rect">
                      <a:avLst/>
                    </a:prstGeom>
                    <a:noFill/>
                    <a:ln>
                      <a:noFill/>
                    </a:ln>
                  </pic:spPr>
                </pic:pic>
              </a:graphicData>
            </a:graphic>
          </wp:inline>
        </w:drawing>
      </w:r>
    </w:p>
    <w:p w14:paraId="57F94F9C" w14:textId="77777777" w:rsidR="00893588" w:rsidRPr="00D73189" w:rsidRDefault="00893588" w:rsidP="00893588">
      <w:pPr>
        <w:spacing w:afterLines="80" w:after="192"/>
        <w:jc w:val="center"/>
        <w:rPr>
          <w:rFonts w:ascii="Arial" w:hAnsi="Arial" w:cs="Arial"/>
          <w:b/>
          <w:bCs/>
          <w:color w:val="000000" w:themeColor="text1"/>
        </w:rPr>
      </w:pPr>
      <w:bookmarkStart w:id="10" w:name="_Toc185659229"/>
      <w:r w:rsidRPr="00D73189">
        <w:rPr>
          <w:rFonts w:ascii="Arial" w:hAnsi="Arial" w:cs="Arial"/>
          <w:b/>
          <w:bCs/>
          <w:color w:val="000000" w:themeColor="text1"/>
        </w:rPr>
        <w:t>Fig. 5 Hard ware components of the automation system</w:t>
      </w:r>
      <w:bookmarkStart w:id="11" w:name="_Toc185659230"/>
      <w:bookmarkEnd w:id="10"/>
      <w:r w:rsidRPr="00D73189">
        <w:rPr>
          <w:rFonts w:ascii="Arial" w:hAnsi="Arial" w:cs="Arial"/>
          <w:b/>
          <w:bCs/>
          <w:color w:val="000000" w:themeColor="text1"/>
        </w:rPr>
        <w:t xml:space="preserve"> and </w:t>
      </w:r>
      <w:r w:rsidRPr="00D73189">
        <w:rPr>
          <w:rFonts w:ascii="Arial" w:hAnsi="Arial" w:cs="Arial"/>
          <w:b/>
          <w:noProof/>
          <w:color w:val="000000" w:themeColor="text1"/>
        </w:rPr>
        <w:t>Placement of sensors in nutrient solution</w:t>
      </w:r>
      <w:bookmarkEnd w:id="11"/>
    </w:p>
    <w:p w14:paraId="126FFDB3"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5B6BB39B" wp14:editId="4DD63200">
            <wp:extent cx="2524125" cy="1438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14:paraId="6D647053" w14:textId="77777777" w:rsidR="00893588" w:rsidRPr="00D73189" w:rsidRDefault="00893588" w:rsidP="00893588">
      <w:pPr>
        <w:spacing w:afterLines="80" w:after="192"/>
        <w:jc w:val="center"/>
        <w:rPr>
          <w:rFonts w:ascii="Arial" w:hAnsi="Arial" w:cs="Arial"/>
          <w:b/>
          <w:bCs/>
          <w:color w:val="000000" w:themeColor="text1"/>
        </w:rPr>
      </w:pPr>
      <w:bookmarkStart w:id="12" w:name="_Toc188693271"/>
      <w:r w:rsidRPr="00D73189">
        <w:rPr>
          <w:rFonts w:ascii="Arial" w:hAnsi="Arial" w:cs="Arial"/>
          <w:b/>
          <w:bCs/>
          <w:color w:val="000000" w:themeColor="text1"/>
        </w:rPr>
        <w:t xml:space="preserve">Fig. </w:t>
      </w:r>
      <w:bookmarkEnd w:id="12"/>
      <w:r w:rsidRPr="00D73189">
        <w:rPr>
          <w:rFonts w:ascii="Arial" w:hAnsi="Arial" w:cs="Arial"/>
          <w:b/>
          <w:bCs/>
          <w:color w:val="000000" w:themeColor="text1"/>
        </w:rPr>
        <w:t xml:space="preserve">6 Representation of installed automation </w:t>
      </w:r>
    </w:p>
    <w:p w14:paraId="4136181D" w14:textId="77777777" w:rsidR="00893588" w:rsidRPr="00D73189" w:rsidRDefault="00893588" w:rsidP="00893588">
      <w:pPr>
        <w:spacing w:afterLines="80" w:after="192"/>
        <w:jc w:val="both"/>
        <w:rPr>
          <w:rFonts w:ascii="Arial" w:hAnsi="Arial" w:cs="Arial"/>
          <w:b/>
          <w:bCs/>
          <w:color w:val="000000" w:themeColor="text1"/>
        </w:rPr>
      </w:pPr>
      <w:r w:rsidRPr="00D73189">
        <w:rPr>
          <w:rFonts w:ascii="Arial" w:hAnsi="Arial" w:cs="Arial"/>
          <w:b/>
          <w:bCs/>
          <w:color w:val="000000" w:themeColor="text1"/>
        </w:rPr>
        <w:t>2.3 Installation and evaluation of the system</w:t>
      </w:r>
    </w:p>
    <w:p w14:paraId="5347E308"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IoT enabled aeroponic system was developed. The performance of developed aeroponic system was evaluated with palak. The Palak variety selected for the study was Arka Anupama. In order to evaluate the system, the specified crop was raised in aeroponics </w:t>
      </w:r>
      <w:r w:rsidRPr="00D73189">
        <w:rPr>
          <w:rFonts w:ascii="Arial" w:hAnsi="Arial" w:cs="Arial"/>
          <w:color w:val="000000" w:themeColor="text1"/>
        </w:rPr>
        <w:lastRenderedPageBreak/>
        <w:t xml:space="preserve">inside the greenhouse. The developed system with its proper coding maintains the optimum range of parameters. Whenever the parameter varies from the optimum value, the actuators turn ON/OFF automatically to adjust to the required microclimate condition as well as nutrient parameters. The system shows the graphical representation of parameters with respect to date and time by the help of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Time interval for the misting given on time step given in coding. Monitoring the growth and yield parameters of test crop was done manually. </w:t>
      </w:r>
    </w:p>
    <w:p w14:paraId="07DD8339" w14:textId="77777777" w:rsidR="00893588" w:rsidRPr="00D73189" w:rsidRDefault="00893588" w:rsidP="00893588">
      <w:pPr>
        <w:spacing w:afterLines="80" w:after="192"/>
        <w:rPr>
          <w:rFonts w:ascii="Arial" w:hAnsi="Arial" w:cs="Arial"/>
          <w:b/>
          <w:color w:val="000000" w:themeColor="text1"/>
        </w:rPr>
      </w:pPr>
      <w:r w:rsidRPr="00D73189">
        <w:rPr>
          <w:rFonts w:ascii="Arial" w:hAnsi="Arial" w:cs="Arial"/>
          <w:b/>
          <w:color w:val="000000" w:themeColor="text1"/>
        </w:rPr>
        <w:t>2.4 System parameters</w:t>
      </w:r>
      <w:bookmarkStart w:id="13" w:name="_Hlk185323386"/>
      <w:bookmarkStart w:id="14" w:name="_Hlk185323403"/>
    </w:p>
    <w:p w14:paraId="57FFE8F6" w14:textId="77777777" w:rsidR="00893588" w:rsidRPr="00D73189" w:rsidRDefault="00893588" w:rsidP="00893588">
      <w:pPr>
        <w:spacing w:afterLines="80" w:after="192"/>
        <w:rPr>
          <w:rFonts w:ascii="Arial" w:hAnsi="Arial" w:cs="Arial"/>
          <w:b/>
          <w:color w:val="000000" w:themeColor="text1"/>
        </w:rPr>
      </w:pPr>
      <w:r w:rsidRPr="00D73189">
        <w:rPr>
          <w:rFonts w:ascii="Arial" w:eastAsiaTheme="majorEastAsia" w:hAnsi="Arial" w:cs="Arial"/>
          <w:i/>
          <w:color w:val="000000" w:themeColor="text1"/>
        </w:rPr>
        <w:t>2.4.1 Pump operating pressure</w:t>
      </w:r>
      <w:bookmarkEnd w:id="13"/>
      <w:r w:rsidRPr="00D73189">
        <w:rPr>
          <w:rFonts w:ascii="Arial" w:eastAsiaTheme="majorEastAsia" w:hAnsi="Arial" w:cs="Arial"/>
          <w:i/>
          <w:color w:val="000000" w:themeColor="text1"/>
        </w:rPr>
        <w:t>.</w:t>
      </w:r>
    </w:p>
    <w:p w14:paraId="0F991B9B"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The pump operating pressure was measured using a pressure gauge and expressed in 3 to 5 kg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7FC4D4E8"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2.4.2 Pump discharge  </w:t>
      </w:r>
    </w:p>
    <w:p w14:paraId="3D28D30D"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one </w:t>
      </w:r>
      <w:proofErr w:type="spellStart"/>
      <w:r w:rsidRPr="00D73189">
        <w:rPr>
          <w:rFonts w:ascii="Arial" w:hAnsi="Arial" w:cs="Arial"/>
          <w:color w:val="000000" w:themeColor="text1"/>
        </w:rPr>
        <w:t>metre</w:t>
      </w:r>
      <w:proofErr w:type="spellEnd"/>
      <w:r w:rsidRPr="00D73189">
        <w:rPr>
          <w:rFonts w:ascii="Arial" w:hAnsi="Arial" w:cs="Arial"/>
          <w:color w:val="000000" w:themeColor="text1"/>
        </w:rPr>
        <w:t xml:space="preserve"> length of pipe was coupled to the pump outlet, the pump discharge was collected into a bucket over a three-minute period. The volume collected into the bucket was measured with a measuring cylinder and recorded. This was repeated three times. The mean volume was found by dividing the sum of all the volumes taken by three. Discharge was calculated by dividing the mean volume by the time taken to accumulate the recorded volume and expressed in L·h</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62355C7B"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2.4.3 Meteorological indicators of temperature and relative humidity </w:t>
      </w:r>
    </w:p>
    <w:p w14:paraId="3429D4D1"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The daily day time temperature and relative humidity inside and outside growth chamber data was recorded Days After Transplanting (DAT) by using a sensor during the study period.</w:t>
      </w:r>
    </w:p>
    <w:p w14:paraId="43D6329D" w14:textId="77777777" w:rsidR="00893588" w:rsidRPr="00D73189" w:rsidRDefault="00893588" w:rsidP="00893588">
      <w:pPr>
        <w:keepNext/>
        <w:keepLines/>
        <w:spacing w:afterLines="80" w:after="192"/>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2.4.4 Chemical characterization of nutrient solution </w:t>
      </w:r>
    </w:p>
    <w:p w14:paraId="0B607EF7" w14:textId="77777777" w:rsidR="00893588" w:rsidRPr="00D73189" w:rsidRDefault="00893588" w:rsidP="00893588">
      <w:pPr>
        <w:spacing w:afterLines="80" w:after="192"/>
        <w:jc w:val="both"/>
        <w:rPr>
          <w:rFonts w:ascii="Arial" w:hAnsi="Arial" w:cs="Arial"/>
          <w:color w:val="000000" w:themeColor="text1"/>
        </w:rPr>
      </w:pPr>
      <w:r w:rsidRPr="00D73189">
        <w:rPr>
          <w:rFonts w:ascii="Arial" w:hAnsi="Arial" w:cs="Arial"/>
          <w:color w:val="000000" w:themeColor="text1"/>
        </w:rPr>
        <w:tab/>
        <w:t xml:space="preserve">The nutrient solution was characterized by measuring parameters such as pH, electrical conductivity (EC), total dissolved solids (TDS), and levels. These parameters were measured using sensors and recorded in real-time on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w:t>
      </w:r>
    </w:p>
    <w:p w14:paraId="0FF3799D" w14:textId="77777777" w:rsidR="00893588" w:rsidRPr="00D73189" w:rsidRDefault="00893588" w:rsidP="00893588">
      <w:pPr>
        <w:keepNext/>
        <w:keepLines/>
        <w:spacing w:afterLines="80" w:after="192"/>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2.4.5 Crop water use in aeroponic system </w:t>
      </w:r>
    </w:p>
    <w:p w14:paraId="0A8D3223"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seasonal crop water use was calculated by using water balance equation (Grewal </w:t>
      </w:r>
      <w:r w:rsidRPr="00D73189">
        <w:rPr>
          <w:rFonts w:ascii="Arial" w:hAnsi="Arial" w:cs="Arial"/>
          <w:i/>
          <w:iCs/>
          <w:color w:val="000000" w:themeColor="text1"/>
        </w:rPr>
        <w:t>et al.,</w:t>
      </w:r>
      <w:r w:rsidRPr="00D73189">
        <w:rPr>
          <w:rFonts w:ascii="Arial" w:hAnsi="Arial" w:cs="Arial"/>
          <w:color w:val="000000" w:themeColor="text1"/>
        </w:rPr>
        <w:t xml:space="preserve"> 2011).</w:t>
      </w:r>
    </w:p>
    <w:p w14:paraId="65C921BC"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CWU = (Q</w:t>
      </w:r>
      <w:r w:rsidRPr="00D73189">
        <w:rPr>
          <w:rFonts w:ascii="Arial" w:hAnsi="Arial" w:cs="Arial"/>
          <w:color w:val="000000" w:themeColor="text1"/>
          <w:vertAlign w:val="subscript"/>
        </w:rPr>
        <w:t>1</w:t>
      </w:r>
      <w:r w:rsidRPr="00D73189">
        <w:rPr>
          <w:rFonts w:ascii="Arial" w:hAnsi="Arial" w:cs="Arial"/>
          <w:color w:val="000000" w:themeColor="text1"/>
        </w:rPr>
        <w:t>-Q</w:t>
      </w:r>
      <w:r w:rsidRPr="00D73189">
        <w:rPr>
          <w:rFonts w:ascii="Arial" w:hAnsi="Arial" w:cs="Arial"/>
          <w:color w:val="000000" w:themeColor="text1"/>
          <w:vertAlign w:val="subscript"/>
        </w:rPr>
        <w:t>2</w:t>
      </w:r>
      <w:r w:rsidRPr="00D73189">
        <w:rPr>
          <w:rFonts w:ascii="Arial" w:hAnsi="Arial" w:cs="Arial"/>
          <w:color w:val="000000" w:themeColor="text1"/>
        </w:rPr>
        <w:t>)/A</w:t>
      </w:r>
    </w:p>
    <w:p w14:paraId="70200BE6"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 xml:space="preserve">Where,     </w:t>
      </w:r>
    </w:p>
    <w:p w14:paraId="18757842"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CWU = Seasonally crop water use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6D933FA2"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Q</w:t>
      </w:r>
      <w:r w:rsidRPr="00D73189">
        <w:rPr>
          <w:rFonts w:ascii="Arial" w:hAnsi="Arial" w:cs="Arial"/>
          <w:color w:val="000000" w:themeColor="text1"/>
          <w:vertAlign w:val="subscript"/>
        </w:rPr>
        <w:t>1</w:t>
      </w:r>
      <w:r w:rsidRPr="00D73189">
        <w:rPr>
          <w:rFonts w:ascii="Arial" w:hAnsi="Arial" w:cs="Arial"/>
          <w:color w:val="000000" w:themeColor="text1"/>
        </w:rPr>
        <w:t xml:space="preserve"> = The seasonally inflow volume to the aeroponic system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44FD2AE1"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Q</w:t>
      </w:r>
      <w:r w:rsidRPr="00D73189">
        <w:rPr>
          <w:rFonts w:ascii="Arial" w:hAnsi="Arial" w:cs="Arial"/>
          <w:color w:val="000000" w:themeColor="text1"/>
          <w:vertAlign w:val="subscript"/>
        </w:rPr>
        <w:t>2</w:t>
      </w:r>
      <w:r w:rsidRPr="00D73189">
        <w:rPr>
          <w:rFonts w:ascii="Arial" w:hAnsi="Arial" w:cs="Arial"/>
          <w:color w:val="000000" w:themeColor="text1"/>
        </w:rPr>
        <w:t xml:space="preserve"> = The seasonally outflow volume to the aeroponic system (m</w:t>
      </w:r>
      <w:r w:rsidRPr="00D73189">
        <w:rPr>
          <w:rFonts w:ascii="Arial" w:hAnsi="Arial" w:cs="Arial"/>
          <w:color w:val="000000" w:themeColor="text1"/>
          <w:vertAlign w:val="superscript"/>
        </w:rPr>
        <w:t>3</w:t>
      </w:r>
      <w:r w:rsidRPr="00D73189">
        <w:rPr>
          <w:rFonts w:ascii="Arial" w:hAnsi="Arial" w:cs="Arial"/>
          <w:color w:val="000000" w:themeColor="text1"/>
        </w:rPr>
        <w:t xml:space="preserve">) </w:t>
      </w:r>
    </w:p>
    <w:p w14:paraId="3F62CB7C" w14:textId="77777777" w:rsidR="00893588" w:rsidRPr="00D73189" w:rsidRDefault="00893588" w:rsidP="00893588">
      <w:pPr>
        <w:spacing w:afterLines="80" w:after="192"/>
        <w:ind w:left="720"/>
        <w:jc w:val="both"/>
        <w:rPr>
          <w:rFonts w:ascii="Arial" w:hAnsi="Arial" w:cs="Arial"/>
          <w:color w:val="000000" w:themeColor="text1"/>
        </w:rPr>
      </w:pPr>
      <w:r w:rsidRPr="00D73189">
        <w:rPr>
          <w:rFonts w:ascii="Arial" w:hAnsi="Arial" w:cs="Arial"/>
          <w:color w:val="000000" w:themeColor="text1"/>
        </w:rPr>
        <w:t>A = The floor area of the aeroponics system (m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4C253467"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lastRenderedPageBreak/>
        <w:t>2.4.6 Mister droplet size</w:t>
      </w:r>
    </w:p>
    <w:p w14:paraId="4A5843E3" w14:textId="77777777" w:rsidR="00893588" w:rsidRPr="00D73189" w:rsidRDefault="00893588" w:rsidP="00893588">
      <w:pPr>
        <w:spacing w:afterLines="80" w:after="192"/>
        <w:ind w:firstLine="720"/>
        <w:jc w:val="both"/>
        <w:rPr>
          <w:rFonts w:ascii="Arial" w:hAnsi="Arial" w:cs="Arial"/>
          <w:bCs/>
          <w:color w:val="000000" w:themeColor="text1"/>
        </w:rPr>
      </w:pPr>
      <w:r w:rsidRPr="00D73189">
        <w:rPr>
          <w:rFonts w:ascii="Arial" w:hAnsi="Arial" w:cs="Arial"/>
          <w:color w:val="000000" w:themeColor="text1"/>
        </w:rPr>
        <w:t>The mister droplet size measured using water sensitivity paper. The droplet size of the mist was measured using Water Sensitive Papers (WSPs), which are yellow-colored rectangular strips with dimensions of 76 × 26 mm. The WSPs were exposed to the spray droplet spectrum, and they changed to blue upon contact with water droplets. After exposure, the WSPs were scanned at a minimum resolution of 600 dpi in grayscale (EPSON M200). The resulting images were then analyzed using Droplet scan, an image analysis software developed by the United States Department of Agriculture (USDA). The average droplet size at mister operating pressure of 5 kg·cm</w:t>
      </w:r>
      <w:r w:rsidRPr="00D73189">
        <w:rPr>
          <w:rFonts w:ascii="Arial" w:hAnsi="Arial" w:cs="Arial"/>
          <w:color w:val="000000" w:themeColor="text1"/>
          <w:vertAlign w:val="superscript"/>
        </w:rPr>
        <w:t>-2</w:t>
      </w:r>
      <w:r w:rsidRPr="00D73189">
        <w:rPr>
          <w:rFonts w:ascii="Arial" w:hAnsi="Arial" w:cs="Arial"/>
          <w:color w:val="000000" w:themeColor="text1"/>
        </w:rPr>
        <w:t xml:space="preserve"> was observed as 80 µm</w:t>
      </w:r>
      <w:r w:rsidRPr="00D73189">
        <w:rPr>
          <w:rFonts w:ascii="Arial" w:hAnsi="Arial" w:cs="Arial"/>
          <w:bCs/>
          <w:color w:val="000000" w:themeColor="text1"/>
        </w:rPr>
        <w:t>.</w:t>
      </w:r>
    </w:p>
    <w:p w14:paraId="37312798" w14:textId="77777777" w:rsidR="00893588" w:rsidRPr="00D73189" w:rsidRDefault="00893588" w:rsidP="00893588">
      <w:pPr>
        <w:spacing w:afterLines="80" w:after="192"/>
        <w:jc w:val="center"/>
        <w:rPr>
          <w:rFonts w:ascii="Arial" w:hAnsi="Arial" w:cs="Arial"/>
          <w:bCs/>
          <w:color w:val="000000" w:themeColor="text1"/>
          <w:highlight w:val="yellow"/>
        </w:rPr>
      </w:pPr>
      <w:r w:rsidRPr="00D73189">
        <w:rPr>
          <w:rFonts w:ascii="Arial" w:hAnsi="Arial" w:cs="Arial"/>
          <w:noProof/>
          <w:color w:val="000000" w:themeColor="text1"/>
        </w:rPr>
        <w:drawing>
          <wp:inline distT="0" distB="0" distL="0" distR="0" wp14:anchorId="2D490B09" wp14:editId="6639145C">
            <wp:extent cx="2676525" cy="828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l="2661" t="6638" r="4610" b="45955"/>
                    <a:stretch>
                      <a:fillRect/>
                    </a:stretch>
                  </pic:blipFill>
                  <pic:spPr bwMode="auto">
                    <a:xfrm>
                      <a:off x="0" y="0"/>
                      <a:ext cx="2676525" cy="828675"/>
                    </a:xfrm>
                    <a:prstGeom prst="rect">
                      <a:avLst/>
                    </a:prstGeom>
                    <a:noFill/>
                    <a:ln>
                      <a:noFill/>
                    </a:ln>
                  </pic:spPr>
                </pic:pic>
              </a:graphicData>
            </a:graphic>
          </wp:inline>
        </w:drawing>
      </w:r>
    </w:p>
    <w:p w14:paraId="73C8BAAC" w14:textId="77777777" w:rsidR="00893588" w:rsidRPr="00D73189" w:rsidRDefault="00893588" w:rsidP="00893588">
      <w:pPr>
        <w:spacing w:afterLines="80" w:after="192"/>
        <w:jc w:val="center"/>
        <w:rPr>
          <w:rFonts w:ascii="Arial" w:hAnsi="Arial" w:cs="Arial"/>
          <w:color w:val="000000" w:themeColor="text1"/>
        </w:rPr>
      </w:pPr>
      <w:r w:rsidRPr="00D73189">
        <w:rPr>
          <w:rFonts w:ascii="Arial" w:hAnsi="Arial" w:cs="Arial"/>
          <w:b/>
          <w:bCs/>
          <w:color w:val="000000" w:themeColor="text1"/>
        </w:rPr>
        <w:t xml:space="preserve">Fig.7 </w:t>
      </w:r>
      <w:r w:rsidRPr="00D73189">
        <w:rPr>
          <w:rFonts w:ascii="Arial" w:hAnsi="Arial" w:cs="Arial"/>
          <w:b/>
          <w:noProof/>
          <w:color w:val="000000" w:themeColor="text1"/>
        </w:rPr>
        <w:t>View of droplet size in sensitivity paper</w:t>
      </w:r>
    </w:p>
    <w:p w14:paraId="76AE4B1F"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2.4.7 Mister spray radius  </w:t>
      </w:r>
    </w:p>
    <w:p w14:paraId="1784E12C"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Each mister was allowed to operate without being restricted by the growth chamber to determine the through radius. The radius was calculated as the distance from the </w:t>
      </w:r>
      <w:proofErr w:type="spellStart"/>
      <w:r w:rsidRPr="00D73189">
        <w:rPr>
          <w:rFonts w:ascii="Arial" w:hAnsi="Arial" w:cs="Arial"/>
          <w:color w:val="000000" w:themeColor="text1"/>
        </w:rPr>
        <w:t>centre</w:t>
      </w:r>
      <w:proofErr w:type="spellEnd"/>
      <w:r w:rsidRPr="00D73189">
        <w:rPr>
          <w:rFonts w:ascii="Arial" w:hAnsi="Arial" w:cs="Arial"/>
          <w:color w:val="000000" w:themeColor="text1"/>
        </w:rPr>
        <w:t xml:space="preserve"> of the mister to the end of the wetted perimeter using scale and it was expressed in m. </w:t>
      </w:r>
    </w:p>
    <w:p w14:paraId="5FBF00AA"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2.4.8 Electricity utilized</w:t>
      </w:r>
    </w:p>
    <w:p w14:paraId="3D8975FD"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Energy meter was used to measure the electricity utilized during the misting procedure in the aeroponic system and expressed in unit of current (kilo watt hour). </w:t>
      </w:r>
    </w:p>
    <w:bookmarkEnd w:id="14"/>
    <w:p w14:paraId="5D804AE4" w14:textId="77777777" w:rsidR="00893588" w:rsidRPr="00D73189" w:rsidRDefault="00893588" w:rsidP="00893588">
      <w:pPr>
        <w:keepNext/>
        <w:keepLines/>
        <w:spacing w:afterLines="80" w:after="192"/>
        <w:jc w:val="both"/>
        <w:outlineLvl w:val="3"/>
        <w:rPr>
          <w:rFonts w:ascii="Arial" w:eastAsiaTheme="majorEastAsia" w:hAnsi="Arial" w:cs="Arial"/>
          <w:b/>
          <w:color w:val="000000" w:themeColor="text1"/>
        </w:rPr>
      </w:pPr>
      <w:r w:rsidRPr="00D73189">
        <w:rPr>
          <w:rFonts w:ascii="Arial" w:eastAsiaTheme="majorEastAsia" w:hAnsi="Arial" w:cs="Arial"/>
          <w:b/>
          <w:bCs/>
          <w:color w:val="000000" w:themeColor="text1"/>
        </w:rPr>
        <w:t xml:space="preserve">2.5 Observations on crop growth and yield parameters </w:t>
      </w:r>
    </w:p>
    <w:p w14:paraId="1DC600D2" w14:textId="77777777" w:rsidR="00893588" w:rsidRPr="00D73189" w:rsidRDefault="00893588" w:rsidP="00893588">
      <w:pPr>
        <w:spacing w:afterLines="80" w:after="192"/>
        <w:jc w:val="both"/>
        <w:rPr>
          <w:rFonts w:ascii="Arial" w:hAnsi="Arial" w:cs="Arial"/>
          <w:color w:val="000000" w:themeColor="text1"/>
        </w:rPr>
      </w:pPr>
      <w:r w:rsidRPr="00D73189">
        <w:rPr>
          <w:rFonts w:ascii="Arial" w:hAnsi="Arial" w:cs="Arial"/>
          <w:color w:val="000000" w:themeColor="text1"/>
        </w:rPr>
        <w:t xml:space="preserve">Sixteen plants were selected randomly and tagged for observations.   </w:t>
      </w:r>
    </w:p>
    <w:p w14:paraId="501A32A8"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2.5.1 Growth parameters </w:t>
      </w:r>
    </w:p>
    <w:p w14:paraId="181643FB" w14:textId="77777777" w:rsidR="00893588" w:rsidRPr="00D73189" w:rsidRDefault="00893588" w:rsidP="00893588">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Various growth parameters such as plant height, number of leaves per plant, leaf length, leaf width, stem girth and number of primary branches per plant of the crop inside the polyhouse were noted at a duration of 1-week days after transplanting. </w:t>
      </w:r>
    </w:p>
    <w:p w14:paraId="293AABB5" w14:textId="77777777" w:rsidR="00893588" w:rsidRPr="00D73189" w:rsidRDefault="00893588" w:rsidP="00893588">
      <w:pPr>
        <w:keepNext/>
        <w:keepLines/>
        <w:spacing w:afterLines="80" w:after="192"/>
        <w:jc w:val="both"/>
        <w:outlineLvl w:val="4"/>
        <w:rPr>
          <w:rFonts w:ascii="Arial" w:eastAsiaTheme="majorEastAsia" w:hAnsi="Arial" w:cs="Arial"/>
          <w:i/>
          <w:color w:val="000000" w:themeColor="text1"/>
        </w:rPr>
      </w:pPr>
      <w:r w:rsidRPr="00D73189">
        <w:rPr>
          <w:rFonts w:ascii="Arial" w:eastAsiaTheme="majorEastAsia" w:hAnsi="Arial" w:cs="Arial"/>
          <w:i/>
          <w:color w:val="000000" w:themeColor="text1"/>
        </w:rPr>
        <w:t xml:space="preserve">2.5.2 Yield parameters </w:t>
      </w:r>
    </w:p>
    <w:p w14:paraId="4ADA0915" w14:textId="77777777" w:rsidR="00893588" w:rsidRPr="00D73189" w:rsidRDefault="00893588" w:rsidP="00893588">
      <w:pPr>
        <w:spacing w:afterLines="80" w:after="192"/>
        <w:jc w:val="both"/>
        <w:rPr>
          <w:rFonts w:ascii="Arial" w:hAnsi="Arial" w:cs="Arial"/>
          <w:color w:val="000000" w:themeColor="text1"/>
          <w:highlight w:val="yellow"/>
        </w:rPr>
      </w:pPr>
      <w:r w:rsidRPr="00D73189">
        <w:rPr>
          <w:rFonts w:ascii="Arial" w:hAnsi="Arial" w:cs="Arial"/>
          <w:color w:val="000000" w:themeColor="text1"/>
        </w:rPr>
        <w:tab/>
        <w:t>Harvesting was started 35 days after planting and continued regularly at alternate days. The yield per plant and yield per ha were noted from the 16 tagged plants for each harvest and average was taken. The biometric parameters of palak were measured and recorded at intervals of 7,14,21,28,35,42 up to 80 days after transplanting (DAT) from five randomly tagged competitive plants from each of the aeroponic and existing system for studying various characters i.e., shoot length, number of leaves, root length SPAD reading, leaf area and leaf thickness these biometric parameters further described below, and general view of palak grown in aeroponic system.</w:t>
      </w:r>
    </w:p>
    <w:p w14:paraId="299B4BAA" w14:textId="77777777" w:rsidR="00893588" w:rsidRPr="00D73189" w:rsidRDefault="00893588" w:rsidP="004B339C">
      <w:pPr>
        <w:pStyle w:val="ListParagraph"/>
        <w:numPr>
          <w:ilvl w:val="0"/>
          <w:numId w:val="45"/>
        </w:numPr>
        <w:tabs>
          <w:tab w:val="left" w:pos="142"/>
          <w:tab w:val="left" w:pos="284"/>
        </w:tabs>
        <w:spacing w:afterLines="80" w:after="192"/>
        <w:ind w:left="0" w:firstLine="0"/>
        <w:jc w:val="both"/>
        <w:rPr>
          <w:rFonts w:ascii="Arial" w:hAnsi="Arial" w:cs="Arial"/>
          <w:color w:val="000000" w:themeColor="text1"/>
        </w:rPr>
      </w:pPr>
      <w:r w:rsidRPr="00D73189">
        <w:rPr>
          <w:rFonts w:ascii="Arial" w:hAnsi="Arial" w:cs="Arial"/>
          <w:color w:val="000000" w:themeColor="text1"/>
        </w:rPr>
        <w:t xml:space="preserve">Shoot length  </w:t>
      </w:r>
    </w:p>
    <w:p w14:paraId="45B274DA"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shoot length was measured from observational plants at 7, 14, 28, 35 and 42 up to 80 days DAT by using meter scale and recorded in </w:t>
      </w:r>
      <w:proofErr w:type="spellStart"/>
      <w:r w:rsidRPr="00D73189">
        <w:rPr>
          <w:rFonts w:ascii="Arial" w:hAnsi="Arial" w:cs="Arial"/>
          <w:color w:val="000000" w:themeColor="text1"/>
        </w:rPr>
        <w:t>centimetre</w:t>
      </w:r>
      <w:proofErr w:type="spellEnd"/>
      <w:r w:rsidRPr="00D73189">
        <w:rPr>
          <w:rFonts w:ascii="Arial" w:hAnsi="Arial" w:cs="Arial"/>
          <w:color w:val="000000" w:themeColor="text1"/>
        </w:rPr>
        <w:t xml:space="preserve"> (cm). It was measured from the </w:t>
      </w:r>
      <w:r w:rsidRPr="00D73189">
        <w:rPr>
          <w:rFonts w:ascii="Arial" w:hAnsi="Arial" w:cs="Arial"/>
          <w:color w:val="000000" w:themeColor="text1"/>
        </w:rPr>
        <w:lastRenderedPageBreak/>
        <w:t xml:space="preserve">attachment of the net pot level up to the tip of the growing point and average plant height was calculated. </w:t>
      </w:r>
    </w:p>
    <w:p w14:paraId="6A399C98"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Number of leaves </w:t>
      </w:r>
    </w:p>
    <w:p w14:paraId="3F396569"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total number of leaves per plant were counted from the observational plants starting from 7 to 80 DAT at 7 days interval and mean number of leaves was calculated.  </w:t>
      </w:r>
    </w:p>
    <w:p w14:paraId="17F44018"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Leaf length </w:t>
      </w:r>
    </w:p>
    <w:p w14:paraId="104B8F1F"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leaf length was measured by using a meter scale. The measurement was taken from base to tip of the leaf. The average leaf length was taken from ten selected plants. Data were recorded at a 7 days interval from 7 to 80 DAT. Mean leaf length was expressed in </w:t>
      </w:r>
      <w:proofErr w:type="spellStart"/>
      <w:r w:rsidRPr="00D73189">
        <w:rPr>
          <w:rFonts w:ascii="Arial" w:hAnsi="Arial" w:cs="Arial"/>
          <w:color w:val="000000" w:themeColor="text1"/>
        </w:rPr>
        <w:t>centimetre</w:t>
      </w:r>
      <w:proofErr w:type="spellEnd"/>
      <w:r w:rsidRPr="00D73189">
        <w:rPr>
          <w:rFonts w:ascii="Arial" w:hAnsi="Arial" w:cs="Arial"/>
          <w:color w:val="000000" w:themeColor="text1"/>
        </w:rPr>
        <w:t xml:space="preserve"> (cm).  </w:t>
      </w:r>
    </w:p>
    <w:p w14:paraId="3DBE46CB"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Leaf breadth </w:t>
      </w:r>
    </w:p>
    <w:p w14:paraId="47AEABDE"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The leaf breadth was recorded as the average of observational plant from 7 to 80 DAT at 7 days interval. Thus, mean breadth was recorded and expressed in cm.</w:t>
      </w:r>
    </w:p>
    <w:p w14:paraId="1304407D"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 xml:space="preserve">Root length  </w:t>
      </w:r>
    </w:p>
    <w:p w14:paraId="252AB0E9"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After the harvest root length was measured with the help of meter scale from the root shoot junction to root tip and was expressed in </w:t>
      </w:r>
      <w:proofErr w:type="spellStart"/>
      <w:r w:rsidRPr="00D73189">
        <w:rPr>
          <w:rFonts w:ascii="Arial" w:hAnsi="Arial" w:cs="Arial"/>
          <w:color w:val="000000" w:themeColor="text1"/>
        </w:rPr>
        <w:t>centimetre</w:t>
      </w:r>
      <w:proofErr w:type="spellEnd"/>
      <w:r w:rsidRPr="00D73189">
        <w:rPr>
          <w:rFonts w:ascii="Arial" w:hAnsi="Arial" w:cs="Arial"/>
          <w:color w:val="000000" w:themeColor="text1"/>
        </w:rPr>
        <w:t xml:space="preserve">. The average plant root length was calculated.   </w:t>
      </w:r>
    </w:p>
    <w:p w14:paraId="71D1A8A4" w14:textId="77777777" w:rsidR="00893588" w:rsidRPr="00D73189" w:rsidRDefault="00893588" w:rsidP="004B339C">
      <w:pPr>
        <w:pStyle w:val="ListParagraph"/>
        <w:numPr>
          <w:ilvl w:val="0"/>
          <w:numId w:val="45"/>
        </w:numPr>
        <w:tabs>
          <w:tab w:val="left" w:pos="0"/>
          <w:tab w:val="left" w:pos="284"/>
        </w:tabs>
        <w:spacing w:afterLines="80" w:after="192"/>
        <w:ind w:left="2127" w:hanging="2127"/>
        <w:jc w:val="both"/>
        <w:rPr>
          <w:rFonts w:ascii="Arial" w:hAnsi="Arial" w:cs="Arial"/>
          <w:color w:val="000000" w:themeColor="text1"/>
        </w:rPr>
      </w:pPr>
      <w:r w:rsidRPr="00D73189">
        <w:rPr>
          <w:rFonts w:ascii="Arial" w:hAnsi="Arial" w:cs="Arial"/>
          <w:color w:val="000000" w:themeColor="text1"/>
        </w:rPr>
        <w:t xml:space="preserve">Leaf area estimation  </w:t>
      </w:r>
    </w:p>
    <w:p w14:paraId="133F9F28"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Leaf area was calculated by following formula suggested by Rao (1978), expressed in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0AC97383" w14:textId="77777777" w:rsidR="00893588" w:rsidRPr="00D73189" w:rsidRDefault="00893588" w:rsidP="004B339C">
      <w:pPr>
        <w:tabs>
          <w:tab w:val="left" w:pos="0"/>
          <w:tab w:val="left" w:pos="142"/>
        </w:tabs>
        <w:spacing w:afterLines="80" w:after="192"/>
        <w:ind w:left="142"/>
        <w:jc w:val="both"/>
        <w:rPr>
          <w:rFonts w:ascii="Arial" w:hAnsi="Arial" w:cs="Arial"/>
          <w:b/>
          <w:bCs/>
          <w:color w:val="000000" w:themeColor="text1"/>
        </w:rPr>
      </w:pPr>
      <w:r w:rsidRPr="00D73189">
        <w:rPr>
          <w:rFonts w:ascii="Arial" w:hAnsi="Arial" w:cs="Arial"/>
          <w:b/>
          <w:bCs/>
          <w:color w:val="000000" w:themeColor="text1"/>
        </w:rPr>
        <w:t>A = 0.9817</w:t>
      </w:r>
      <w:r w:rsidR="004B339C" w:rsidRPr="00D73189">
        <w:rPr>
          <w:rFonts w:ascii="Arial" w:hAnsi="Arial" w:cs="Arial"/>
          <w:b/>
          <w:bCs/>
          <w:color w:val="000000" w:themeColor="text1"/>
        </w:rPr>
        <w:t xml:space="preserve"> </w:t>
      </w:r>
      <w:r w:rsidRPr="00D73189">
        <w:rPr>
          <w:rFonts w:ascii="Arial" w:hAnsi="Arial" w:cs="Arial"/>
          <w:b/>
          <w:bCs/>
          <w:color w:val="000000" w:themeColor="text1"/>
        </w:rPr>
        <w:t>×</w:t>
      </w:r>
      <w:r w:rsidR="004B339C" w:rsidRPr="00D73189">
        <w:rPr>
          <w:rFonts w:ascii="Arial" w:hAnsi="Arial" w:cs="Arial"/>
          <w:b/>
          <w:bCs/>
          <w:color w:val="000000" w:themeColor="text1"/>
        </w:rPr>
        <w:t xml:space="preserve"> </w:t>
      </w:r>
      <w:r w:rsidRPr="00D73189">
        <w:rPr>
          <w:rFonts w:ascii="Arial" w:hAnsi="Arial" w:cs="Arial"/>
          <w:b/>
          <w:bCs/>
          <w:color w:val="000000" w:themeColor="text1"/>
        </w:rPr>
        <w:t>B</w:t>
      </w:r>
      <w:r w:rsidRPr="00D73189">
        <w:rPr>
          <w:rFonts w:ascii="Arial" w:hAnsi="Arial" w:cs="Arial"/>
          <w:b/>
          <w:bCs/>
          <w:color w:val="000000" w:themeColor="text1"/>
          <w:vertAlign w:val="superscript"/>
        </w:rPr>
        <w:t>1.1270</w:t>
      </w:r>
      <w:r w:rsidR="004B339C" w:rsidRPr="00D73189">
        <w:rPr>
          <w:rFonts w:ascii="Arial" w:hAnsi="Arial" w:cs="Arial"/>
          <w:b/>
          <w:bCs/>
          <w:color w:val="000000" w:themeColor="text1"/>
          <w:vertAlign w:val="superscript"/>
        </w:rPr>
        <w:t xml:space="preserve"> </w:t>
      </w:r>
      <w:r w:rsidRPr="00D73189">
        <w:rPr>
          <w:rFonts w:ascii="Arial" w:hAnsi="Arial" w:cs="Arial"/>
          <w:b/>
          <w:bCs/>
          <w:color w:val="000000" w:themeColor="text1"/>
        </w:rPr>
        <w:t>×</w:t>
      </w:r>
      <w:r w:rsidR="004B339C" w:rsidRPr="00D73189">
        <w:rPr>
          <w:rFonts w:ascii="Arial" w:hAnsi="Arial" w:cs="Arial"/>
          <w:b/>
          <w:bCs/>
          <w:color w:val="000000" w:themeColor="text1"/>
        </w:rPr>
        <w:t xml:space="preserve"> </w:t>
      </w:r>
      <w:r w:rsidRPr="00D73189">
        <w:rPr>
          <w:rFonts w:ascii="Arial" w:hAnsi="Arial" w:cs="Arial"/>
          <w:b/>
          <w:bCs/>
          <w:color w:val="000000" w:themeColor="text1"/>
        </w:rPr>
        <w:t>L</w:t>
      </w:r>
      <w:r w:rsidRPr="00D73189">
        <w:rPr>
          <w:rFonts w:ascii="Arial" w:hAnsi="Arial" w:cs="Arial"/>
          <w:b/>
          <w:bCs/>
          <w:color w:val="000000" w:themeColor="text1"/>
          <w:vertAlign w:val="superscript"/>
        </w:rPr>
        <w:t>0.7503</w:t>
      </w:r>
    </w:p>
    <w:p w14:paraId="6D6121FC"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Where,  </w:t>
      </w:r>
    </w:p>
    <w:p w14:paraId="42619FA2"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A = Actual area, (cm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3635D0A9"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B = Maximum breadth, (cm) </w:t>
      </w:r>
    </w:p>
    <w:p w14:paraId="4992AFD2"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L = Length of leaf, (cm) </w:t>
      </w:r>
    </w:p>
    <w:p w14:paraId="1B6FEF9F"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Crop yield (kg)</w:t>
      </w:r>
    </w:p>
    <w:p w14:paraId="3048628E"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yield per plant, total yield and yield per hectare were recorded and the average was worked out. </w:t>
      </w:r>
    </w:p>
    <w:p w14:paraId="63F9B97A" w14:textId="77777777" w:rsidR="00893588" w:rsidRPr="00D73189" w:rsidRDefault="00893588" w:rsidP="004B339C">
      <w:pPr>
        <w:pStyle w:val="ListParagraph"/>
        <w:numPr>
          <w:ilvl w:val="0"/>
          <w:numId w:val="45"/>
        </w:numPr>
        <w:tabs>
          <w:tab w:val="left" w:pos="0"/>
          <w:tab w:val="left" w:pos="142"/>
        </w:tabs>
        <w:spacing w:afterLines="80" w:after="192"/>
        <w:ind w:left="284" w:hanging="284"/>
        <w:jc w:val="both"/>
        <w:rPr>
          <w:rFonts w:ascii="Arial" w:hAnsi="Arial" w:cs="Arial"/>
          <w:color w:val="000000" w:themeColor="text1"/>
        </w:rPr>
      </w:pPr>
      <w:r w:rsidRPr="00D73189">
        <w:rPr>
          <w:rFonts w:ascii="Arial" w:hAnsi="Arial" w:cs="Arial"/>
          <w:color w:val="000000" w:themeColor="text1"/>
        </w:rPr>
        <w:t>Yield per plant (g)</w:t>
      </w:r>
    </w:p>
    <w:p w14:paraId="7E4D59A1" w14:textId="77777777" w:rsidR="00893588" w:rsidRPr="00D73189" w:rsidRDefault="00893588" w:rsidP="004B339C">
      <w:pPr>
        <w:tabs>
          <w:tab w:val="left" w:pos="0"/>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crop yield obtained from the selected plants was weighed separately. The data from these plants was averaged to work out the yield per plant immediately after the harvest and expressed in g. </w:t>
      </w:r>
    </w:p>
    <w:p w14:paraId="78746D4C" w14:textId="77777777" w:rsidR="00893588" w:rsidRPr="00D73189" w:rsidRDefault="00893588" w:rsidP="004B339C">
      <w:pPr>
        <w:pStyle w:val="ListParagraph"/>
        <w:numPr>
          <w:ilvl w:val="0"/>
          <w:numId w:val="45"/>
        </w:numPr>
        <w:tabs>
          <w:tab w:val="left" w:pos="142"/>
          <w:tab w:val="left" w:pos="426"/>
        </w:tabs>
        <w:spacing w:afterLines="80" w:after="192"/>
        <w:ind w:left="1134" w:hanging="992"/>
        <w:jc w:val="both"/>
        <w:rPr>
          <w:rFonts w:ascii="Arial" w:hAnsi="Arial" w:cs="Arial"/>
          <w:color w:val="000000" w:themeColor="text1"/>
        </w:rPr>
      </w:pPr>
      <w:r w:rsidRPr="00D73189">
        <w:rPr>
          <w:rFonts w:ascii="Arial" w:hAnsi="Arial" w:cs="Arial"/>
          <w:color w:val="000000" w:themeColor="text1"/>
        </w:rPr>
        <w:t>Yield per m</w:t>
      </w:r>
      <w:r w:rsidRPr="00D73189">
        <w:rPr>
          <w:rFonts w:ascii="Arial" w:hAnsi="Arial" w:cs="Arial"/>
          <w:color w:val="000000" w:themeColor="text1"/>
          <w:vertAlign w:val="superscript"/>
        </w:rPr>
        <w:t>2</w:t>
      </w:r>
      <w:r w:rsidRPr="00D73189">
        <w:rPr>
          <w:rFonts w:ascii="Arial" w:hAnsi="Arial" w:cs="Arial"/>
          <w:color w:val="000000" w:themeColor="text1"/>
        </w:rPr>
        <w:t xml:space="preserve"> (kg m</w:t>
      </w:r>
      <w:r w:rsidRPr="00D73189">
        <w:rPr>
          <w:rFonts w:ascii="Arial" w:hAnsi="Arial" w:cs="Arial"/>
          <w:color w:val="000000" w:themeColor="text1"/>
          <w:vertAlign w:val="superscript"/>
        </w:rPr>
        <w:t>-2</w:t>
      </w:r>
      <w:r w:rsidRPr="00D73189">
        <w:rPr>
          <w:rFonts w:ascii="Arial" w:hAnsi="Arial" w:cs="Arial"/>
          <w:color w:val="000000" w:themeColor="text1"/>
        </w:rPr>
        <w:t xml:space="preserve">) </w:t>
      </w:r>
    </w:p>
    <w:p w14:paraId="2591E789" w14:textId="77777777" w:rsidR="00893588" w:rsidRPr="00D73189" w:rsidRDefault="00893588" w:rsidP="004B339C">
      <w:pPr>
        <w:tabs>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t xml:space="preserve">The yield was harvested from aeroponic system then weighed and expressed in kg. </w:t>
      </w:r>
    </w:p>
    <w:p w14:paraId="696C2E09" w14:textId="77777777" w:rsidR="00893588" w:rsidRPr="00D73189" w:rsidRDefault="00893588" w:rsidP="004B339C">
      <w:pPr>
        <w:pStyle w:val="ListParagraph"/>
        <w:numPr>
          <w:ilvl w:val="0"/>
          <w:numId w:val="45"/>
        </w:numPr>
        <w:tabs>
          <w:tab w:val="left" w:pos="567"/>
        </w:tabs>
        <w:spacing w:afterLines="80" w:after="192"/>
        <w:ind w:left="567" w:hanging="425"/>
        <w:jc w:val="both"/>
        <w:rPr>
          <w:rFonts w:ascii="Arial" w:hAnsi="Arial" w:cs="Arial"/>
          <w:color w:val="000000" w:themeColor="text1"/>
        </w:rPr>
      </w:pPr>
      <w:r w:rsidRPr="00D73189">
        <w:rPr>
          <w:rFonts w:ascii="Arial" w:hAnsi="Arial" w:cs="Arial"/>
          <w:color w:val="000000" w:themeColor="text1"/>
        </w:rPr>
        <w:t>Yield per hectare (t ha</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762F031B" w14:textId="77777777" w:rsidR="00893588" w:rsidRPr="00D73189" w:rsidRDefault="00893588" w:rsidP="004B339C">
      <w:pPr>
        <w:tabs>
          <w:tab w:val="left" w:pos="142"/>
        </w:tabs>
        <w:spacing w:afterLines="80" w:after="192"/>
        <w:ind w:left="142"/>
        <w:jc w:val="both"/>
        <w:rPr>
          <w:rFonts w:ascii="Arial" w:hAnsi="Arial" w:cs="Arial"/>
          <w:color w:val="000000" w:themeColor="text1"/>
        </w:rPr>
      </w:pPr>
      <w:r w:rsidRPr="00D73189">
        <w:rPr>
          <w:rFonts w:ascii="Arial" w:hAnsi="Arial" w:cs="Arial"/>
          <w:color w:val="000000" w:themeColor="text1"/>
        </w:rPr>
        <w:lastRenderedPageBreak/>
        <w:t>Yield per hectare of palak was calculated by converting the total yield obtained from aeroponics in t ha</w:t>
      </w:r>
      <w:r w:rsidRPr="00D73189">
        <w:rPr>
          <w:rFonts w:ascii="Arial" w:hAnsi="Arial" w:cs="Arial"/>
          <w:color w:val="000000" w:themeColor="text1"/>
          <w:vertAlign w:val="superscript"/>
        </w:rPr>
        <w:t>-1</w:t>
      </w:r>
      <w:r w:rsidRPr="00D73189">
        <w:rPr>
          <w:rFonts w:ascii="Arial" w:hAnsi="Arial" w:cs="Arial"/>
          <w:color w:val="000000" w:themeColor="text1"/>
        </w:rPr>
        <w:t xml:space="preserve">. </w:t>
      </w:r>
    </w:p>
    <w:p w14:paraId="04971BF9" w14:textId="77777777" w:rsidR="00013361" w:rsidRPr="00D73189" w:rsidRDefault="00A33D0D" w:rsidP="00A33D0D">
      <w:pPr>
        <w:pStyle w:val="Heading6"/>
        <w:numPr>
          <w:ilvl w:val="0"/>
          <w:numId w:val="31"/>
        </w:numPr>
        <w:spacing w:before="120" w:after="120" w:line="240" w:lineRule="auto"/>
        <w:ind w:left="426"/>
        <w:rPr>
          <w:rFonts w:ascii="Arial" w:hAnsi="Arial" w:cs="Arial"/>
          <w:b/>
          <w:bCs/>
          <w:color w:val="000000" w:themeColor="text1"/>
          <w:sz w:val="20"/>
          <w:szCs w:val="20"/>
        </w:rPr>
      </w:pPr>
      <w:r w:rsidRPr="00D73189">
        <w:rPr>
          <w:rFonts w:ascii="Arial" w:hAnsi="Arial" w:cs="Arial"/>
          <w:b/>
          <w:bCs/>
          <w:color w:val="000000" w:themeColor="text1"/>
          <w:sz w:val="20"/>
          <w:szCs w:val="20"/>
        </w:rPr>
        <w:t>RESULTS AND DISCUSSION</w:t>
      </w:r>
    </w:p>
    <w:p w14:paraId="3418C7FF" w14:textId="77777777" w:rsidR="00013361" w:rsidRPr="00D73189" w:rsidRDefault="00013361" w:rsidP="00013361">
      <w:pPr>
        <w:tabs>
          <w:tab w:val="left" w:pos="2934"/>
        </w:tabs>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IoT-based automated aeroponic system was installed inside a naturally ventilated polyhouse with a total area of 213 m², located at KCAEFT, </w:t>
      </w:r>
      <w:proofErr w:type="spellStart"/>
      <w:r w:rsidRPr="00D73189">
        <w:rPr>
          <w:rFonts w:ascii="Arial" w:hAnsi="Arial" w:cs="Arial"/>
          <w:color w:val="000000" w:themeColor="text1"/>
        </w:rPr>
        <w:t>Tavanur</w:t>
      </w:r>
      <w:proofErr w:type="spellEnd"/>
      <w:r w:rsidRPr="00D73189">
        <w:rPr>
          <w:rFonts w:ascii="Arial" w:hAnsi="Arial" w:cs="Arial"/>
          <w:color w:val="000000" w:themeColor="text1"/>
        </w:rPr>
        <w:t>. A dedicated cultivation area of 2.88 m² was assigned for the experimental growth chamber, which served as the core of the aeroponic setup. The physical infrastructure included a growth chamber, nutrient and water storage tanks, piping system, misting units, solenoid valves, and control electronics. The primary aim of the installation was to establish an automated environment where key parameters microclimatic and nutritional could be monitored and regulated with minimal manual intervention. The plant-holding structure was positioned to ensure optimal root exposure to mist while avoiding excess contact with pooling solution. A diaphragm pump, connected to the nutrient tank, delivered the solution at a controlled pressure through a network of misting nozzles. The mist delivered nutrient-rich droplets directly to the plant root zone in a fine spray of &lt;100 µm particle size an essential feature for enhancing nutrient absorption efficiency. The misting interval was programmed based on established literature recommendations (Farran and Mingo, 2006), with an ON duration of 10 seconds followed by a 5-minute OFF cycle. This pulse schedule ensured sufficient moisture and nutrient availability without causing waterlogging or excessive nutrient wastage. The mist generated at a pressure of 5 kg·cm</w:t>
      </w:r>
      <w:r w:rsidRPr="00D73189">
        <w:rPr>
          <w:rFonts w:ascii="Cambria Math" w:hAnsi="Cambria Math" w:cs="Cambria Math"/>
          <w:color w:val="000000" w:themeColor="text1"/>
        </w:rPr>
        <w:t>⁻</w:t>
      </w:r>
      <w:r w:rsidRPr="00D73189">
        <w:rPr>
          <w:rFonts w:ascii="Arial" w:hAnsi="Arial" w:cs="Arial"/>
          <w:color w:val="000000" w:themeColor="text1"/>
        </w:rPr>
        <w:t xml:space="preserve">² was found to be optimal for forming droplets of approximately 80 µm, as verified using Water Sensitive Papers (WSP) and analyzed through USDA </w:t>
      </w:r>
      <w:proofErr w:type="spellStart"/>
      <w:r w:rsidRPr="00D73189">
        <w:rPr>
          <w:rFonts w:ascii="Arial" w:hAnsi="Arial" w:cs="Arial"/>
          <w:color w:val="000000" w:themeColor="text1"/>
        </w:rPr>
        <w:t>DropletScan</w:t>
      </w:r>
      <w:proofErr w:type="spellEnd"/>
      <w:r w:rsidRPr="00D73189">
        <w:rPr>
          <w:rFonts w:ascii="Arial" w:hAnsi="Arial" w:cs="Arial"/>
          <w:color w:val="000000" w:themeColor="text1"/>
        </w:rPr>
        <w:t xml:space="preserve"> software. The performance of the diaphragm pump was monitored continuously throughout the crop cycle. Weekly average pressure data indicated consistent operational efficiency during the mid-growth phase (Weeks 4 to 10), with a peak recorded at 5.2 kg·cm</w:t>
      </w:r>
      <w:r w:rsidRPr="00D73189">
        <w:rPr>
          <w:rFonts w:ascii="Cambria Math" w:hAnsi="Cambria Math" w:cs="Cambria Math"/>
          <w:color w:val="000000" w:themeColor="text1"/>
        </w:rPr>
        <w:t>⁻</w:t>
      </w:r>
      <w:r w:rsidRPr="00D73189">
        <w:rPr>
          <w:rFonts w:ascii="Arial" w:hAnsi="Arial" w:cs="Arial"/>
          <w:color w:val="000000" w:themeColor="text1"/>
        </w:rPr>
        <w:t>² in Week 5. A decline observed in later weeks suggested the onset of maintenance needs, such as filter clogging or nozzle wear, emphasizing the importance of periodic system inspection to maintain misting quality and flow rates. The discharge rate of the pump ranged between 7–8 L·min</w:t>
      </w:r>
      <w:r w:rsidRPr="00D73189">
        <w:rPr>
          <w:rFonts w:ascii="Cambria Math" w:hAnsi="Cambria Math" w:cs="Cambria Math"/>
          <w:color w:val="000000" w:themeColor="text1"/>
        </w:rPr>
        <w:t>⁻</w:t>
      </w:r>
      <w:r w:rsidRPr="00D73189">
        <w:rPr>
          <w:rFonts w:ascii="Arial" w:hAnsi="Arial" w:cs="Arial"/>
          <w:color w:val="000000" w:themeColor="text1"/>
        </w:rPr>
        <w:t>¹, and was directly influenced by the operating pressure. Thirteen misting nozzles were distributed across the chamber, each exhibiting a pressure-dependent flow rate between 7.2 and 14.4 L·h</w:t>
      </w:r>
      <w:r w:rsidRPr="00D73189">
        <w:rPr>
          <w:rFonts w:ascii="Cambria Math" w:hAnsi="Cambria Math" w:cs="Cambria Math"/>
          <w:color w:val="000000" w:themeColor="text1"/>
        </w:rPr>
        <w:t>⁻</w:t>
      </w:r>
      <w:r w:rsidRPr="00D73189">
        <w:rPr>
          <w:rFonts w:ascii="Arial" w:hAnsi="Arial" w:cs="Arial"/>
          <w:color w:val="000000" w:themeColor="text1"/>
        </w:rPr>
        <w:t xml:space="preserve">¹. Using the water balance equation proposed by Grewal </w:t>
      </w:r>
      <w:r w:rsidRPr="00D73189">
        <w:rPr>
          <w:rFonts w:ascii="Arial" w:hAnsi="Arial" w:cs="Arial"/>
          <w:i/>
          <w:iCs/>
          <w:color w:val="000000" w:themeColor="text1"/>
        </w:rPr>
        <w:t>et al.,</w:t>
      </w:r>
      <w:r w:rsidRPr="00D73189">
        <w:rPr>
          <w:rFonts w:ascii="Arial" w:hAnsi="Arial" w:cs="Arial"/>
          <w:color w:val="000000" w:themeColor="text1"/>
        </w:rPr>
        <w:t xml:space="preserve"> (2011), the seasonal CWU was calculated as 0.0657 m³ per m², confirming the water-saving potential of the system.</w:t>
      </w:r>
    </w:p>
    <w:p w14:paraId="35BD3F61"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The control and automation system were centered around a PIC18F4520 microcontroller, integrated with a GSM modem for remote SMS alerts and an LCD module for real-time parameter display. Sensors were strategically placed within the growth chamber and in nutrient tanks. Environmental sensors managed foggers and exhaust fans within the polyhouse to stabilize temperature and humidity, while solution-specific sensors governed the solenoid valves to regulate nutrient and water levels. The automation framework was designed to respond dynamically to real-time data inputs. For instance, if the nutrient solution temperature exceeded optimal thresholds, the system adjusted misting frequency and alerted the operator via GSM. Similarly, when pH or TDS values drifted beyond predefined setpoints, corrective actions such as diluting the nutrient solution or adding concentrates were automatically triggered. The LCD displayed live updates on air temperature, humidity, nutrient level, solution temperature, pH, EC, and TDS, while warning messages like “Temp High” or “Low Nutrient Level” were issued for quick user response. The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platform was employed for IoT integration, offering real-time remote visualization of environmental data and historical trend analysis through MATLAB-based tools. This platform enabled continuous observation of system performance, enhanced with alert-based decision support.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899"/>
      </w:tblGrid>
      <w:tr w:rsidR="00D73189" w:rsidRPr="00D73189" w14:paraId="1B1BD8F3" w14:textId="77777777" w:rsidTr="003A6EB2">
        <w:tc>
          <w:tcPr>
            <w:tcW w:w="4565" w:type="dxa"/>
            <w:vAlign w:val="center"/>
          </w:tcPr>
          <w:p w14:paraId="3835397D" w14:textId="77777777" w:rsidR="003A6EB2" w:rsidRPr="00D73189" w:rsidRDefault="003A6EB2" w:rsidP="003A6EB2">
            <w:pPr>
              <w:jc w:val="center"/>
              <w:rPr>
                <w:rFonts w:ascii="Arial" w:hAnsi="Arial" w:cs="Arial"/>
                <w:color w:val="000000" w:themeColor="text1"/>
              </w:rPr>
            </w:pPr>
            <w:r w:rsidRPr="00D73189">
              <w:rPr>
                <w:rFonts w:ascii="Arial" w:hAnsi="Arial" w:cs="Arial"/>
                <w:b/>
                <w:bCs/>
                <w:i/>
                <w:iCs/>
                <w:noProof/>
                <w:color w:val="000000" w:themeColor="text1"/>
              </w:rPr>
              <w:lastRenderedPageBreak/>
              <w:drawing>
                <wp:inline distT="0" distB="0" distL="0" distR="0" wp14:anchorId="36CF0130" wp14:editId="3E6D5A44">
                  <wp:extent cx="2761615" cy="1335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1615" cy="1335405"/>
                          </a:xfrm>
                          <a:prstGeom prst="rect">
                            <a:avLst/>
                          </a:prstGeom>
                          <a:noFill/>
                        </pic:spPr>
                      </pic:pic>
                    </a:graphicData>
                  </a:graphic>
                </wp:inline>
              </w:drawing>
            </w:r>
          </w:p>
        </w:tc>
        <w:tc>
          <w:tcPr>
            <w:tcW w:w="4899" w:type="dxa"/>
            <w:vAlign w:val="center"/>
          </w:tcPr>
          <w:p w14:paraId="6CEB54A9" w14:textId="77777777" w:rsidR="003A6EB2" w:rsidRPr="00D73189" w:rsidRDefault="003A6EB2" w:rsidP="003A6EB2">
            <w:pPr>
              <w:pStyle w:val="NormalWeb"/>
              <w:spacing w:before="0" w:beforeAutospacing="0" w:after="0" w:afterAutospacing="0" w:line="276" w:lineRule="auto"/>
              <w:jc w:val="center"/>
              <w:rPr>
                <w:rFonts w:ascii="Arial" w:hAnsi="Arial" w:cs="Arial"/>
                <w:color w:val="000000" w:themeColor="text1"/>
                <w:sz w:val="20"/>
                <w:szCs w:val="20"/>
              </w:rPr>
            </w:pPr>
            <w:r w:rsidRPr="00D73189">
              <w:rPr>
                <w:rFonts w:ascii="Arial" w:hAnsi="Arial" w:cs="Arial"/>
                <w:noProof/>
                <w:color w:val="000000" w:themeColor="text1"/>
                <w:sz w:val="20"/>
                <w:szCs w:val="20"/>
              </w:rPr>
              <w:drawing>
                <wp:inline distT="0" distB="0" distL="0" distR="0" wp14:anchorId="042CB5A7" wp14:editId="42417E11">
                  <wp:extent cx="1992827" cy="14857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006" cy="1485909"/>
                          </a:xfrm>
                          <a:prstGeom prst="rect">
                            <a:avLst/>
                          </a:prstGeom>
                          <a:noFill/>
                          <a:ln>
                            <a:noFill/>
                          </a:ln>
                        </pic:spPr>
                      </pic:pic>
                    </a:graphicData>
                  </a:graphic>
                </wp:inline>
              </w:drawing>
            </w:r>
            <w:r w:rsidRPr="00D73189">
              <w:rPr>
                <w:rFonts w:ascii="Arial" w:hAnsi="Arial" w:cs="Arial"/>
                <w:noProof/>
                <w:color w:val="000000" w:themeColor="text1"/>
                <w:sz w:val="20"/>
                <w:szCs w:val="20"/>
              </w:rPr>
              <w:drawing>
                <wp:inline distT="0" distB="0" distL="0" distR="0" wp14:anchorId="658E2711" wp14:editId="197DAFAA">
                  <wp:extent cx="981075" cy="14949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494971"/>
                          </a:xfrm>
                          <a:prstGeom prst="rect">
                            <a:avLst/>
                          </a:prstGeom>
                          <a:noFill/>
                          <a:ln>
                            <a:noFill/>
                          </a:ln>
                        </pic:spPr>
                      </pic:pic>
                    </a:graphicData>
                  </a:graphic>
                </wp:inline>
              </w:drawing>
            </w:r>
          </w:p>
        </w:tc>
      </w:tr>
      <w:tr w:rsidR="00D73189" w:rsidRPr="00D73189" w14:paraId="26E70721" w14:textId="77777777" w:rsidTr="003A6EB2">
        <w:tc>
          <w:tcPr>
            <w:tcW w:w="4565" w:type="dxa"/>
          </w:tcPr>
          <w:p w14:paraId="165E9801" w14:textId="77777777"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5" w:name="_Toc185659234"/>
            <w:r w:rsidRPr="00D73189">
              <w:rPr>
                <w:rFonts w:ascii="Arial" w:hAnsi="Arial" w:cs="Arial"/>
                <w:b/>
                <w:bCs/>
                <w:color w:val="000000" w:themeColor="text1"/>
                <w:sz w:val="20"/>
                <w:szCs w:val="20"/>
              </w:rPr>
              <w:t>Fig.8 Alarm message in the display</w:t>
            </w:r>
            <w:bookmarkEnd w:id="15"/>
            <w:r w:rsidRPr="00D73189">
              <w:rPr>
                <w:rFonts w:ascii="Arial" w:hAnsi="Arial" w:cs="Arial"/>
                <w:b/>
                <w:bCs/>
                <w:color w:val="000000" w:themeColor="text1"/>
                <w:sz w:val="20"/>
                <w:szCs w:val="20"/>
              </w:rPr>
              <w:t xml:space="preserve"> </w:t>
            </w:r>
          </w:p>
        </w:tc>
        <w:tc>
          <w:tcPr>
            <w:tcW w:w="4899" w:type="dxa"/>
          </w:tcPr>
          <w:p w14:paraId="45FA1AE8" w14:textId="77777777"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6" w:name="_Toc185659235"/>
            <w:r w:rsidRPr="00D73189">
              <w:rPr>
                <w:rFonts w:ascii="Arial" w:hAnsi="Arial" w:cs="Arial"/>
                <w:b/>
                <w:bCs/>
                <w:color w:val="000000" w:themeColor="text1"/>
                <w:sz w:val="20"/>
                <w:szCs w:val="20"/>
              </w:rPr>
              <w:t>Fig.9 Fan and fogger working status</w:t>
            </w:r>
            <w:bookmarkEnd w:id="16"/>
          </w:p>
        </w:tc>
      </w:tr>
      <w:tr w:rsidR="00D73189" w:rsidRPr="00D73189" w14:paraId="69467555" w14:textId="77777777" w:rsidTr="003A6EB2">
        <w:trPr>
          <w:trHeight w:val="70"/>
        </w:trPr>
        <w:tc>
          <w:tcPr>
            <w:tcW w:w="9464" w:type="dxa"/>
            <w:gridSpan w:val="2"/>
          </w:tcPr>
          <w:p w14:paraId="08095675" w14:textId="77777777" w:rsidR="003A6EB2" w:rsidRPr="00D73189" w:rsidRDefault="003A6EB2" w:rsidP="003A6EB2">
            <w:pPr>
              <w:pStyle w:val="NormalWeb"/>
              <w:spacing w:before="0" w:beforeAutospacing="0" w:after="0" w:afterAutospacing="0" w:line="276" w:lineRule="auto"/>
              <w:jc w:val="center"/>
              <w:rPr>
                <w:rFonts w:ascii="Arial" w:hAnsi="Arial" w:cs="Arial"/>
                <w:color w:val="000000" w:themeColor="text1"/>
                <w:sz w:val="20"/>
                <w:szCs w:val="20"/>
              </w:rPr>
            </w:pPr>
            <w:r w:rsidRPr="00D73189">
              <w:rPr>
                <w:rFonts w:ascii="Arial" w:hAnsi="Arial" w:cs="Arial"/>
                <w:noProof/>
                <w:color w:val="000000" w:themeColor="text1"/>
                <w:sz w:val="20"/>
                <w:szCs w:val="20"/>
              </w:rPr>
              <w:drawing>
                <wp:inline distT="0" distB="0" distL="0" distR="0" wp14:anchorId="05C8C33C" wp14:editId="01F68A4D">
                  <wp:extent cx="2255520" cy="1609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5520" cy="1609725"/>
                          </a:xfrm>
                          <a:prstGeom prst="rect">
                            <a:avLst/>
                          </a:prstGeom>
                          <a:noFill/>
                        </pic:spPr>
                      </pic:pic>
                    </a:graphicData>
                  </a:graphic>
                </wp:inline>
              </w:drawing>
            </w:r>
            <w:r w:rsidRPr="00D73189">
              <w:rPr>
                <w:rFonts w:ascii="Arial" w:hAnsi="Arial" w:cs="Arial"/>
                <w:noProof/>
                <w:color w:val="000000" w:themeColor="text1"/>
                <w:sz w:val="20"/>
                <w:szCs w:val="20"/>
              </w:rPr>
              <w:drawing>
                <wp:inline distT="0" distB="0" distL="0" distR="0" wp14:anchorId="6A24539C" wp14:editId="0EA864E3">
                  <wp:extent cx="278130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619250"/>
                          </a:xfrm>
                          <a:prstGeom prst="rect">
                            <a:avLst/>
                          </a:prstGeom>
                          <a:noFill/>
                          <a:ln>
                            <a:noFill/>
                          </a:ln>
                        </pic:spPr>
                      </pic:pic>
                    </a:graphicData>
                  </a:graphic>
                </wp:inline>
              </w:drawing>
            </w:r>
          </w:p>
        </w:tc>
      </w:tr>
      <w:tr w:rsidR="00D73189" w:rsidRPr="00D73189" w14:paraId="3A6FFCBA" w14:textId="77777777" w:rsidTr="003A6EB2">
        <w:trPr>
          <w:trHeight w:val="70"/>
        </w:trPr>
        <w:tc>
          <w:tcPr>
            <w:tcW w:w="9464" w:type="dxa"/>
            <w:gridSpan w:val="2"/>
          </w:tcPr>
          <w:p w14:paraId="4F102BDF" w14:textId="77777777" w:rsidR="003A6EB2" w:rsidRPr="00D73189" w:rsidRDefault="003A6EB2" w:rsidP="003A6EB2">
            <w:pPr>
              <w:pStyle w:val="NormalWeb"/>
              <w:spacing w:before="0" w:beforeAutospacing="0" w:after="120" w:afterAutospacing="0" w:line="276" w:lineRule="auto"/>
              <w:jc w:val="center"/>
              <w:rPr>
                <w:rFonts w:ascii="Arial" w:hAnsi="Arial" w:cs="Arial"/>
                <w:b/>
                <w:bCs/>
                <w:color w:val="000000" w:themeColor="text1"/>
                <w:sz w:val="20"/>
                <w:szCs w:val="20"/>
              </w:rPr>
            </w:pPr>
            <w:bookmarkStart w:id="17" w:name="_Toc185659236"/>
            <w:r w:rsidRPr="00D73189">
              <w:rPr>
                <w:rFonts w:ascii="Arial" w:hAnsi="Arial" w:cs="Arial"/>
                <w:b/>
                <w:bCs/>
                <w:color w:val="000000" w:themeColor="text1"/>
                <w:sz w:val="20"/>
                <w:szCs w:val="20"/>
              </w:rPr>
              <w:t>Fig.10 Display and working status of atomizer</w:t>
            </w:r>
            <w:bookmarkEnd w:id="17"/>
          </w:p>
        </w:tc>
      </w:tr>
    </w:tbl>
    <w:p w14:paraId="753F48EE" w14:textId="77777777" w:rsidR="00013361" w:rsidRPr="00D73189" w:rsidRDefault="00013361" w:rsidP="00013361">
      <w:pPr>
        <w:spacing w:afterLines="80" w:after="192"/>
        <w:jc w:val="both"/>
        <w:rPr>
          <w:rFonts w:ascii="Arial" w:hAnsi="Arial" w:cs="Arial"/>
          <w:b/>
          <w:bCs/>
          <w:color w:val="000000" w:themeColor="text1"/>
        </w:rPr>
      </w:pPr>
    </w:p>
    <w:p w14:paraId="17DDB8BE" w14:textId="77777777" w:rsidR="00013361" w:rsidRPr="00D73189" w:rsidRDefault="00D73189" w:rsidP="00013361">
      <w:pPr>
        <w:spacing w:afterLines="80" w:after="192"/>
        <w:jc w:val="both"/>
        <w:rPr>
          <w:rFonts w:ascii="Arial" w:hAnsi="Arial" w:cs="Arial"/>
          <w:b/>
          <w:bCs/>
          <w:color w:val="000000" w:themeColor="text1"/>
        </w:rPr>
      </w:pPr>
      <w:r w:rsidRPr="00D73189">
        <w:rPr>
          <w:rFonts w:ascii="Arial" w:hAnsi="Arial" w:cs="Arial"/>
          <w:b/>
          <w:bCs/>
          <w:color w:val="000000" w:themeColor="text1"/>
        </w:rPr>
        <w:t xml:space="preserve">3.1 </w:t>
      </w:r>
      <w:r w:rsidR="00013361" w:rsidRPr="00D73189">
        <w:rPr>
          <w:rFonts w:ascii="Arial" w:hAnsi="Arial" w:cs="Arial"/>
          <w:b/>
          <w:bCs/>
          <w:color w:val="000000" w:themeColor="text1"/>
        </w:rPr>
        <w:t>Evaluation of microclimatic conditions inside the growth chamber</w:t>
      </w:r>
    </w:p>
    <w:p w14:paraId="30050241"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Maintaining optimal microclimatic conditions is a cornerstone of aeroponic cultivation, particularly for leafy greens such as palak, which are highly sensitive to temperature and humidity fluctuations. In the present study, the IoT-enabled aeroponic system was continuously monitored to assess its ability to maintain suitable growth conditions. The real-time environmental control was achieved through calibrated sensors and automation logic, ensuring that the internal climate of the growth chamber remained within ideal thresholds throughout the crop cycle. The temperature inside the growth chamber was monitored using a DHT22 sensor and controlled by an ultrasonic atomizer. Over the 80-day growth period, the average recorded temperature within the chamber was 25.84°C, with a maximum of 26.9°C and a minimum of 24.8°C. These values fall well within the optimal range (22–28°C) for palak growth, as supported by existing literature. The stability in thermal conditions was attributed to the system’s responsive atomizer, which activated automatically when chamber temperatures exceeded 25°C, and deactivated once the desired range was restored. The atomizer was also conditioned to deactivate if relative humidity rose above 95%, thereby avoiding excess moisture and potential pathogen development.</w:t>
      </w:r>
    </w:p>
    <w:p w14:paraId="4B34380D"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6D332171" wp14:editId="5D96E91B">
            <wp:extent cx="3848100" cy="1781175"/>
            <wp:effectExtent l="0" t="0" r="0"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572CA8" w14:textId="77777777" w:rsidR="00013361" w:rsidRPr="00D73189" w:rsidRDefault="00013361" w:rsidP="00013361">
      <w:pPr>
        <w:spacing w:afterLines="80" w:after="192"/>
        <w:ind w:firstLine="720"/>
        <w:jc w:val="both"/>
        <w:rPr>
          <w:rFonts w:ascii="Arial" w:hAnsi="Arial" w:cs="Arial"/>
          <w:b/>
          <w:bCs/>
          <w:color w:val="000000" w:themeColor="text1"/>
        </w:rPr>
      </w:pPr>
      <w:bookmarkStart w:id="18" w:name="_Toc188598748"/>
      <w:bookmarkStart w:id="19" w:name="_Toc188693276"/>
      <w:r w:rsidRPr="00D73189">
        <w:rPr>
          <w:rFonts w:ascii="Arial" w:hAnsi="Arial" w:cs="Arial"/>
          <w:b/>
          <w:bCs/>
          <w:color w:val="000000" w:themeColor="text1"/>
        </w:rPr>
        <w:t>Fig.  11 Chamber temperature difference two distinct date (max temp day and min temp day)</w:t>
      </w:r>
      <w:bookmarkEnd w:id="18"/>
      <w:bookmarkEnd w:id="19"/>
    </w:p>
    <w:p w14:paraId="0458EC05" w14:textId="77777777" w:rsidR="00013361" w:rsidRPr="00D73189" w:rsidRDefault="00013361" w:rsidP="00013361">
      <w:pPr>
        <w:spacing w:afterLines="80" w:after="192"/>
        <w:rPr>
          <w:rFonts w:ascii="Arial" w:hAnsi="Arial" w:cs="Arial"/>
          <w:color w:val="000000" w:themeColor="text1"/>
        </w:rPr>
      </w:pPr>
      <w:r w:rsidRPr="00D73189">
        <w:rPr>
          <w:rFonts w:ascii="Arial" w:hAnsi="Arial" w:cs="Arial"/>
          <w:noProof/>
          <w:color w:val="000000" w:themeColor="text1"/>
        </w:rPr>
        <w:drawing>
          <wp:inline distT="0" distB="0" distL="0" distR="0" wp14:anchorId="017990CC" wp14:editId="2FB48960">
            <wp:extent cx="2486025" cy="1714500"/>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34C4F" w:rsidRPr="00D73189">
        <w:rPr>
          <w:rFonts w:ascii="Arial" w:hAnsi="Arial" w:cs="Arial"/>
          <w:noProof/>
          <w:color w:val="000000" w:themeColor="text1"/>
        </w:rPr>
        <w:t xml:space="preserve"> </w:t>
      </w:r>
      <w:r w:rsidR="00034C4F" w:rsidRPr="00D73189">
        <w:rPr>
          <w:rFonts w:ascii="Arial" w:hAnsi="Arial" w:cs="Arial"/>
          <w:noProof/>
          <w:color w:val="000000" w:themeColor="text1"/>
        </w:rPr>
        <w:drawing>
          <wp:inline distT="0" distB="0" distL="0" distR="0" wp14:anchorId="3C06E23F" wp14:editId="6F225CF8">
            <wp:extent cx="2390775" cy="1771650"/>
            <wp:effectExtent l="0" t="0" r="0" b="0"/>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633E20" w14:textId="77777777" w:rsidR="00013361" w:rsidRPr="00D73189" w:rsidRDefault="00013361" w:rsidP="00013361">
      <w:pPr>
        <w:spacing w:afterLines="80" w:after="192"/>
        <w:jc w:val="center"/>
        <w:rPr>
          <w:rFonts w:ascii="Arial" w:hAnsi="Arial" w:cs="Arial"/>
          <w:color w:val="000000" w:themeColor="text1"/>
        </w:rPr>
      </w:pPr>
      <w:bookmarkStart w:id="20" w:name="_Toc188598755"/>
      <w:bookmarkStart w:id="21" w:name="_Toc188693277"/>
      <w:r w:rsidRPr="00D73189">
        <w:rPr>
          <w:rFonts w:ascii="Arial" w:hAnsi="Arial" w:cs="Arial"/>
          <w:b/>
          <w:bCs/>
          <w:color w:val="000000" w:themeColor="text1"/>
        </w:rPr>
        <w:t>Fig. 12 Chamber temperature and chamber humidity on June 9</w:t>
      </w:r>
      <w:r w:rsidRPr="00D73189">
        <w:rPr>
          <w:rFonts w:ascii="Arial" w:hAnsi="Arial" w:cs="Arial"/>
          <w:b/>
          <w:bCs/>
          <w:color w:val="000000" w:themeColor="text1"/>
          <w:vertAlign w:val="superscript"/>
        </w:rPr>
        <w:t>th</w:t>
      </w:r>
      <w:bookmarkEnd w:id="20"/>
      <w:r w:rsidRPr="00D73189">
        <w:rPr>
          <w:rFonts w:ascii="Arial" w:hAnsi="Arial" w:cs="Arial"/>
          <w:b/>
          <w:bCs/>
          <w:color w:val="000000" w:themeColor="text1"/>
        </w:rPr>
        <w:t xml:space="preserve"> (09/06/2024)</w:t>
      </w:r>
      <w:bookmarkEnd w:id="21"/>
    </w:p>
    <w:p w14:paraId="14534850"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A detailed diurnal analysis on June 9th (Figure 12) revealed a typical temperature curve: starting at 24.5°C during early morning, peaking at 26.5°C in the afternoon (around 15:00), and tapering back to 24.5°C by midnight. The standard deviation of 0.6°C highlighted the minimal fluctuation, reflecting strong system control and insulation. Such thermal consistency is vital for physiological processes like photosynthesis and transpiration, contributing directly to enhanced biomass accumulation.</w:t>
      </w:r>
    </w:p>
    <w:p w14:paraId="5A09F41C"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14558298" wp14:editId="2F7FB54C">
            <wp:extent cx="4400550" cy="2038350"/>
            <wp:effectExtent l="0" t="0" r="0" b="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E6C836" w14:textId="77777777" w:rsidR="00013361" w:rsidRPr="00D73189" w:rsidRDefault="00013361" w:rsidP="00013361">
      <w:pPr>
        <w:spacing w:afterLines="80" w:after="192"/>
        <w:jc w:val="center"/>
        <w:rPr>
          <w:rFonts w:ascii="Arial" w:hAnsi="Arial" w:cs="Arial"/>
          <w:b/>
          <w:bCs/>
          <w:color w:val="000000" w:themeColor="text1"/>
        </w:rPr>
      </w:pPr>
      <w:bookmarkStart w:id="22" w:name="_Toc188598750"/>
      <w:bookmarkStart w:id="23" w:name="_Toc188693279"/>
      <w:r w:rsidRPr="00D73189">
        <w:rPr>
          <w:rFonts w:ascii="Arial" w:hAnsi="Arial" w:cs="Arial"/>
          <w:b/>
          <w:bCs/>
          <w:color w:val="000000" w:themeColor="text1"/>
        </w:rPr>
        <w:t>Fig. 13 Variation of Relative humidity and Temperature</w:t>
      </w:r>
      <w:bookmarkEnd w:id="22"/>
      <w:bookmarkEnd w:id="23"/>
    </w:p>
    <w:p w14:paraId="129BAAFE"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lastRenderedPageBreak/>
        <w:t>Relative humidity (RH) was another critical parameter regulated in the growth chamber. The system achieved an average RH of 89.18%, with observed values ranging from 84% (minimum) to 90% (maximum). Figure 12 shows the 24-hour RH trend for the same day (June 9th), where humidity peaked at 95% during the early morning hours and gradually declined to a minimum of 75–80% by mid-afternoon, followed by a resurgence in the evening. This cyclic variation is consistent with natural plant transpiration patterns and ambient temperature changes. The foggers and exhaust fans in the polyhouse were also programmed to activate based on these external temperature and humidity levels, helping to buffer against fluctuations. The chamber’s temperature and humidity showed a clear inverse relationship throughout the day, as shown in Figure 13. During peak daylight hours, when temperatures reached their maximum, RH declined due to increased evapotranspiration. Conversely, as temperatures dropped during the evening and night, RH naturally increased. This dynamic equilibrium mirrors outdoor diurnal cycles while remaining within target limits, providing the plants with a stable, stress-free microenvironment.</w:t>
      </w:r>
    </w:p>
    <w:p w14:paraId="78FB90E9" w14:textId="77777777" w:rsidR="00013361" w:rsidRPr="00D73189" w:rsidRDefault="00013361" w:rsidP="00013361">
      <w:pPr>
        <w:spacing w:afterLines="80" w:after="192"/>
        <w:rPr>
          <w:rFonts w:ascii="Arial" w:hAnsi="Arial" w:cs="Arial"/>
          <w:color w:val="000000" w:themeColor="text1"/>
        </w:rPr>
      </w:pPr>
      <w:r w:rsidRPr="00D73189">
        <w:rPr>
          <w:rFonts w:ascii="Arial" w:hAnsi="Arial" w:cs="Arial"/>
          <w:noProof/>
          <w:color w:val="000000" w:themeColor="text1"/>
        </w:rPr>
        <w:drawing>
          <wp:inline distT="0" distB="0" distL="0" distR="0" wp14:anchorId="515AE14D" wp14:editId="268225C2">
            <wp:extent cx="2638425" cy="1828800"/>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BB420E" w:rsidRPr="00D73189">
        <w:rPr>
          <w:rFonts w:ascii="Arial" w:hAnsi="Arial" w:cs="Arial"/>
          <w:noProof/>
          <w:color w:val="000000" w:themeColor="text1"/>
        </w:rPr>
        <w:t xml:space="preserve"> </w:t>
      </w:r>
      <w:r w:rsidR="00BB420E" w:rsidRPr="00D73189">
        <w:rPr>
          <w:rFonts w:ascii="Arial" w:hAnsi="Arial" w:cs="Arial"/>
          <w:noProof/>
          <w:color w:val="000000" w:themeColor="text1"/>
        </w:rPr>
        <w:drawing>
          <wp:inline distT="0" distB="0" distL="0" distR="0" wp14:anchorId="69EF54B2" wp14:editId="1D912CF9">
            <wp:extent cx="2495550" cy="182880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F33526" w14:textId="77777777" w:rsidR="00013361" w:rsidRPr="00D73189" w:rsidRDefault="00013361" w:rsidP="00013361">
      <w:pPr>
        <w:spacing w:afterLines="80" w:after="192"/>
        <w:jc w:val="center"/>
        <w:rPr>
          <w:rFonts w:ascii="Arial" w:hAnsi="Arial" w:cs="Arial"/>
          <w:b/>
          <w:bCs/>
          <w:color w:val="000000" w:themeColor="text1"/>
          <w:vertAlign w:val="superscript"/>
        </w:rPr>
      </w:pPr>
      <w:bookmarkStart w:id="24" w:name="_Toc188598753"/>
      <w:bookmarkStart w:id="25" w:name="_Toc188693280"/>
      <w:r w:rsidRPr="00D73189">
        <w:rPr>
          <w:rFonts w:ascii="Arial" w:hAnsi="Arial" w:cs="Arial"/>
          <w:b/>
          <w:bCs/>
          <w:color w:val="000000" w:themeColor="text1"/>
        </w:rPr>
        <w:t>Fig. 14 Air temperature and relative humidity inside the polyhouse on June 9</w:t>
      </w:r>
      <w:r w:rsidRPr="00D73189">
        <w:rPr>
          <w:rFonts w:ascii="Arial" w:hAnsi="Arial" w:cs="Arial"/>
          <w:b/>
          <w:bCs/>
          <w:color w:val="000000" w:themeColor="text1"/>
          <w:vertAlign w:val="superscript"/>
        </w:rPr>
        <w:t>th</w:t>
      </w:r>
      <w:bookmarkEnd w:id="24"/>
      <w:bookmarkEnd w:id="25"/>
    </w:p>
    <w:p w14:paraId="3E4AF268"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65770D0B" wp14:editId="233C4EDE">
            <wp:extent cx="3310255" cy="175641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42666E" w14:textId="77777777" w:rsidR="00013361" w:rsidRPr="00D73189" w:rsidRDefault="00013361" w:rsidP="00013361">
      <w:pPr>
        <w:spacing w:afterLines="80" w:after="192"/>
        <w:jc w:val="center"/>
        <w:rPr>
          <w:rFonts w:ascii="Arial" w:hAnsi="Arial" w:cs="Arial"/>
          <w:b/>
          <w:bCs/>
          <w:color w:val="000000" w:themeColor="text1"/>
        </w:rPr>
      </w:pPr>
      <w:bookmarkStart w:id="26" w:name="_Toc188598751"/>
      <w:bookmarkStart w:id="27" w:name="_Toc188693282"/>
      <w:r w:rsidRPr="00D73189">
        <w:rPr>
          <w:rFonts w:ascii="Arial" w:hAnsi="Arial" w:cs="Arial"/>
          <w:b/>
          <w:bCs/>
          <w:color w:val="000000" w:themeColor="text1"/>
        </w:rPr>
        <w:t>Fig. 15 Air temperature and humidity outside the growth chamber</w:t>
      </w:r>
      <w:bookmarkEnd w:id="26"/>
      <w:bookmarkEnd w:id="27"/>
    </w:p>
    <w:p w14:paraId="7A608451"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5BAA5564" wp14:editId="309AC6C1">
            <wp:extent cx="4391025" cy="24574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C10904" w14:textId="77777777" w:rsidR="00013361" w:rsidRPr="00D73189" w:rsidRDefault="00013361" w:rsidP="00013361">
      <w:pPr>
        <w:spacing w:afterLines="80" w:after="192"/>
        <w:jc w:val="center"/>
        <w:rPr>
          <w:rFonts w:ascii="Arial" w:hAnsi="Arial" w:cs="Arial"/>
          <w:b/>
          <w:bCs/>
          <w:color w:val="000000" w:themeColor="text1"/>
        </w:rPr>
      </w:pPr>
      <w:bookmarkStart w:id="28" w:name="_Toc185660300"/>
      <w:bookmarkStart w:id="29" w:name="_Toc188598749"/>
      <w:bookmarkStart w:id="30" w:name="_Toc188693283"/>
      <w:r w:rsidRPr="00D73189">
        <w:rPr>
          <w:rFonts w:ascii="Arial" w:hAnsi="Arial" w:cs="Arial"/>
          <w:b/>
          <w:bCs/>
          <w:color w:val="000000" w:themeColor="text1"/>
        </w:rPr>
        <w:t>Fig. 16 Variation of temperature inside and outside the growth chamber</w:t>
      </w:r>
      <w:bookmarkEnd w:id="28"/>
      <w:bookmarkEnd w:id="29"/>
      <w:bookmarkEnd w:id="30"/>
    </w:p>
    <w:p w14:paraId="7F83C660" w14:textId="7F963821"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External climatic conditions also played a role in shaping internal conditions, though the system proved effective in mitigating adverse impacts. Figure 16 compares temperature variations inside and outside the growth chamber, confirming that despite external peaks nearing 32°C, the internal environment remained largely unaffected. This demonstrated the system’s insulation capability and the effectiveness of automated responses in minimizing stress-induced deviations. Light intensity within the polyhouse ranged from 10,200 lux to 15,500 lux over different weeks, averaging 14,009 lux. While artificial lighting was not introduced, the naturally ventilated structure provided sufficient solar exposure for palak growth. Weekly light intensity data (Table 4) indicated stable levels during the active growth stages, especially between Weeks 5 and 9, corresponding with the highest observed biometric gains. </w:t>
      </w:r>
    </w:p>
    <w:p w14:paraId="7D5E4E9A"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Humidity and temperature control were further complemented by the system’s ability to respond to sensor feedback via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Trends from daily monitoring were visualized remotely, allowing for adjustments if anomalies or drift from optimal conditions were detected. The real-time nature of the IoT system also allowed for predictive interventions such as scheduling misting during anticipated high-temperature periods thereby minimizing environmental shock to the plants. These findings align with prior studies, such as Mohamed et al. (2022) and </w:t>
      </w:r>
      <w:proofErr w:type="spellStart"/>
      <w:r w:rsidRPr="00D73189">
        <w:rPr>
          <w:rFonts w:ascii="Arial" w:hAnsi="Arial" w:cs="Arial"/>
          <w:color w:val="000000" w:themeColor="text1"/>
        </w:rPr>
        <w:t>Jamhari</w:t>
      </w:r>
      <w:proofErr w:type="spellEnd"/>
      <w:r w:rsidRPr="00D73189">
        <w:rPr>
          <w:rFonts w:ascii="Arial" w:hAnsi="Arial" w:cs="Arial"/>
          <w:color w:val="000000" w:themeColor="text1"/>
        </w:rPr>
        <w:t xml:space="preserve"> et al. (2020), who highlighted the role of closed-loop feedback systems in regulating microenvironments in controlled agriculture. The current system’s ability to maintain stable internal conditions supports its use for cultivating high-value crops under Kerala’s humid subtropical climate.</w:t>
      </w:r>
    </w:p>
    <w:p w14:paraId="25FA625B"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The IoT-enabled aeroponic system demonstrated precise control over temperature and humidity inside the growth chamber. The automation framework ensured environmental consistency, minimized stress on the plants, and maximized growth potential. These observations validate the effectiveness of integrating real-time feedback and environmental control in modern aeroponic agriculture.</w:t>
      </w:r>
    </w:p>
    <w:p w14:paraId="119C1301" w14:textId="77777777" w:rsidR="00013361" w:rsidRPr="00D73189" w:rsidRDefault="00D73189" w:rsidP="00013361">
      <w:pPr>
        <w:pStyle w:val="Heading3"/>
        <w:spacing w:before="0" w:afterLines="80" w:after="192"/>
        <w:rPr>
          <w:rFonts w:ascii="Arial" w:hAnsi="Arial" w:cs="Arial"/>
          <w:color w:val="000000" w:themeColor="text1"/>
          <w:sz w:val="20"/>
          <w:szCs w:val="20"/>
        </w:rPr>
      </w:pPr>
      <w:r w:rsidRPr="00D73189">
        <w:rPr>
          <w:rStyle w:val="Strong"/>
          <w:rFonts w:ascii="Arial" w:hAnsi="Arial" w:cs="Arial"/>
          <w:color w:val="000000" w:themeColor="text1"/>
          <w:sz w:val="20"/>
          <w:szCs w:val="20"/>
        </w:rPr>
        <w:t xml:space="preserve">3.2 </w:t>
      </w:r>
      <w:r w:rsidR="00013361" w:rsidRPr="00D73189">
        <w:rPr>
          <w:rStyle w:val="Strong"/>
          <w:rFonts w:ascii="Arial" w:hAnsi="Arial" w:cs="Arial"/>
          <w:color w:val="000000" w:themeColor="text1"/>
          <w:sz w:val="20"/>
          <w:szCs w:val="20"/>
        </w:rPr>
        <w:t>Monitoring and Control of Nutrient Parameters</w:t>
      </w:r>
    </w:p>
    <w:p w14:paraId="2B91CDF4"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In aeroponic systems, nutrient solution parameters such as pH, electrical conductivity (EC), total dissolved solids (TDS), and temperature play a vital role in determining the efficiency of nutrient uptake and, consequently, plant growth. The current IoT-enabled system was designed to continuously monitor and regulate these parameters in </w:t>
      </w:r>
      <w:r w:rsidRPr="00D73189">
        <w:rPr>
          <w:rFonts w:ascii="Arial" w:hAnsi="Arial" w:cs="Arial"/>
          <w:color w:val="000000" w:themeColor="text1"/>
        </w:rPr>
        <w:lastRenderedPageBreak/>
        <w:t xml:space="preserve">real time through sensor feedback loops and automated actuators, including solenoid valves and alarms. The pH of the nutrient solution was maintained within the optimal range of 5.5 to 6.5, which is widely recognized as suitable for leafy vegetables such as </w:t>
      </w:r>
      <w:r w:rsidRPr="00D73189">
        <w:rPr>
          <w:rStyle w:val="Emphasis"/>
          <w:rFonts w:ascii="Arial" w:hAnsi="Arial" w:cs="Arial"/>
          <w:color w:val="000000" w:themeColor="text1"/>
        </w:rPr>
        <w:t>palak</w:t>
      </w:r>
      <w:r w:rsidRPr="00D73189">
        <w:rPr>
          <w:rFonts w:ascii="Arial" w:hAnsi="Arial" w:cs="Arial"/>
          <w:color w:val="000000" w:themeColor="text1"/>
        </w:rPr>
        <w:t>. pH was measured using a</w:t>
      </w:r>
      <w:r w:rsidR="001F5EAE">
        <w:rPr>
          <w:rFonts w:ascii="Arial" w:hAnsi="Arial" w:cs="Arial"/>
          <w:color w:val="000000" w:themeColor="text1"/>
        </w:rPr>
        <w:t>414</w:t>
      </w:r>
      <w:r w:rsidRPr="00D73189">
        <w:rPr>
          <w:rFonts w:ascii="Arial" w:hAnsi="Arial" w:cs="Arial"/>
          <w:color w:val="000000" w:themeColor="text1"/>
        </w:rPr>
        <w:t xml:space="preserve"> calibrated probe that interfaced with the microcontroller and LCD display. Over the cultivation period, the pH fluctuated slightly due to factors such as nutrient uptake, root exudates, and environmental temperature. However, automated alerts via the GSM module enabled corrective actions whenever deviations beyond set limits occurred.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746"/>
      </w:tblGrid>
      <w:tr w:rsidR="00D73189" w:rsidRPr="00D73189" w14:paraId="550DCB48" w14:textId="77777777" w:rsidTr="003A6EB2">
        <w:tc>
          <w:tcPr>
            <w:tcW w:w="5136" w:type="dxa"/>
          </w:tcPr>
          <w:p w14:paraId="1396D326" w14:textId="77777777" w:rsidR="003A6EB2" w:rsidRPr="00D73189" w:rsidRDefault="003A6EB2" w:rsidP="003A6EB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3CC7A365" wp14:editId="51D425E5">
                  <wp:extent cx="2828925" cy="2143125"/>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186" w:type="dxa"/>
          </w:tcPr>
          <w:p w14:paraId="1C2F138D" w14:textId="77777777" w:rsidR="003A6EB2" w:rsidRPr="00D73189" w:rsidRDefault="003A6EB2" w:rsidP="003A6EB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52BE919D" wp14:editId="73E5228D">
                  <wp:extent cx="2876550" cy="215265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D73189" w:rsidRPr="00D73189" w14:paraId="009FE847" w14:textId="77777777" w:rsidTr="003A6EB2">
        <w:tc>
          <w:tcPr>
            <w:tcW w:w="5136" w:type="dxa"/>
          </w:tcPr>
          <w:p w14:paraId="0D3C78CE" w14:textId="77777777" w:rsidR="003A6EB2" w:rsidRPr="00D73189" w:rsidRDefault="003A6EB2" w:rsidP="003A6EB2">
            <w:pPr>
              <w:spacing w:afterLines="80" w:after="192"/>
              <w:jc w:val="both"/>
              <w:rPr>
                <w:rFonts w:ascii="Arial" w:hAnsi="Arial" w:cs="Arial"/>
                <w:color w:val="000000" w:themeColor="text1"/>
                <w:sz w:val="20"/>
              </w:rPr>
            </w:pPr>
            <w:r w:rsidRPr="00D73189">
              <w:rPr>
                <w:rFonts w:ascii="Arial" w:hAnsi="Arial" w:cs="Arial"/>
                <w:color w:val="000000" w:themeColor="text1"/>
                <w:sz w:val="20"/>
              </w:rPr>
              <w:t>Fig. 17 Variation of TDS and EC</w:t>
            </w:r>
          </w:p>
        </w:tc>
        <w:tc>
          <w:tcPr>
            <w:tcW w:w="4186" w:type="dxa"/>
          </w:tcPr>
          <w:p w14:paraId="63F31CAC" w14:textId="77777777" w:rsidR="003A6EB2" w:rsidRPr="00D73189" w:rsidRDefault="003A6EB2" w:rsidP="003A6EB2">
            <w:pPr>
              <w:spacing w:afterLines="80" w:after="192"/>
              <w:jc w:val="both"/>
              <w:rPr>
                <w:rFonts w:ascii="Arial" w:hAnsi="Arial" w:cs="Arial"/>
                <w:color w:val="000000" w:themeColor="text1"/>
                <w:sz w:val="20"/>
              </w:rPr>
            </w:pPr>
            <w:r w:rsidRPr="00D73189">
              <w:rPr>
                <w:rFonts w:ascii="Arial" w:hAnsi="Arial" w:cs="Arial"/>
                <w:color w:val="000000" w:themeColor="text1"/>
                <w:sz w:val="20"/>
              </w:rPr>
              <w:t>Fig. 18 Nutrient solution temperature status</w:t>
            </w:r>
          </w:p>
        </w:tc>
      </w:tr>
    </w:tbl>
    <w:p w14:paraId="119E8D97" w14:textId="77777777" w:rsidR="00013361" w:rsidRPr="00D73189" w:rsidRDefault="00013361" w:rsidP="00CE0FE2">
      <w:pPr>
        <w:spacing w:afterLines="80" w:after="192"/>
        <w:ind w:firstLine="720"/>
        <w:jc w:val="both"/>
        <w:rPr>
          <w:rFonts w:ascii="Arial" w:hAnsi="Arial" w:cs="Arial"/>
          <w:b/>
          <w:bCs/>
          <w:color w:val="000000" w:themeColor="text1"/>
        </w:rPr>
      </w:pPr>
      <w:r w:rsidRPr="00D73189">
        <w:rPr>
          <w:rFonts w:ascii="Arial" w:hAnsi="Arial" w:cs="Arial"/>
          <w:color w:val="000000" w:themeColor="text1"/>
        </w:rPr>
        <w:t>Electrical conductivity (EC) and TDS were monitored using independently calibrated sensors with high correlation values (R² = 0.9816 and R² = 0.9984, respectively). These parameters reflect the ionic concentration of the nutrient solution, and maintaining their stability ensures proper nutrient availability. The EC value ranged from 1.2 to 1.8 mS·cm</w:t>
      </w:r>
      <w:r w:rsidRPr="00D73189">
        <w:rPr>
          <w:rFonts w:ascii="Cambria Math" w:hAnsi="Cambria Math" w:cs="Cambria Math"/>
          <w:color w:val="000000" w:themeColor="text1"/>
        </w:rPr>
        <w:t>⁻</w:t>
      </w:r>
      <w:r w:rsidRPr="00D73189">
        <w:rPr>
          <w:rFonts w:ascii="Arial" w:hAnsi="Arial" w:cs="Arial"/>
          <w:color w:val="000000" w:themeColor="text1"/>
        </w:rPr>
        <w:t xml:space="preserve">¹, while TDS varied from 250 to 750 ppm, adjusted based on plant growth stages. In early growth, nutrient concentrations were kept lower to avoid root burn, while mid-growth stages utilized more concentrated solutions to support biomass accumulation. The system employed a nutrient regulation mechanism where a solenoid valve, controlled by the microcontroller, was activated when the TDS dropped below a threshold (e.g., 250 ppm). Once the solution concentration reached the upper limit (e.g., 300 ppm or more), the valve automatically closed. Figure 19 shows this feedback loop in action, confirming the system’s ability to modulate nutrient concentration dynamically and autonomously. This ensured that </w:t>
      </w:r>
      <w:r w:rsidRPr="00D73189">
        <w:rPr>
          <w:rStyle w:val="Emphasis"/>
          <w:rFonts w:ascii="Arial" w:hAnsi="Arial" w:cs="Arial"/>
          <w:color w:val="000000" w:themeColor="text1"/>
        </w:rPr>
        <w:t>palak</w:t>
      </w:r>
      <w:r w:rsidRPr="00D73189">
        <w:rPr>
          <w:rFonts w:ascii="Arial" w:hAnsi="Arial" w:cs="Arial"/>
          <w:color w:val="000000" w:themeColor="text1"/>
        </w:rPr>
        <w:t xml:space="preserve"> plants consistently received optimal nutrition without manual input, reducing labor and error. Nutrient solution temperature was also carefully monitored, as it affects root respiration and nutrient solubility. The DS18B20 sensor installed in the nutrient tank maintained real-time readings throughout the day. Figure 18 shows that the solution temperature remained largely within the desirable range of 24–26°C, with a temporary midday increase to 27–28°C. </w:t>
      </w:r>
    </w:p>
    <w:p w14:paraId="0AAA8A44" w14:textId="77777777" w:rsidR="00013361" w:rsidRPr="00D73189" w:rsidRDefault="00013361" w:rsidP="00013361">
      <w:pPr>
        <w:spacing w:afterLines="80" w:after="192"/>
        <w:ind w:left="-180"/>
        <w:jc w:val="both"/>
        <w:rPr>
          <w:rFonts w:ascii="Arial" w:hAnsi="Arial" w:cs="Arial"/>
          <w:color w:val="000000" w:themeColor="text1"/>
        </w:rPr>
      </w:pPr>
      <w:r w:rsidRPr="00D73189">
        <w:rPr>
          <w:rFonts w:ascii="Arial" w:hAnsi="Arial" w:cs="Arial"/>
          <w:noProof/>
          <w:color w:val="000000" w:themeColor="text1"/>
        </w:rPr>
        <w:lastRenderedPageBreak/>
        <w:drawing>
          <wp:inline distT="0" distB="0" distL="0" distR="0" wp14:anchorId="386B785B" wp14:editId="0DF4FBBA">
            <wp:extent cx="2800350" cy="2409825"/>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D73189">
        <w:rPr>
          <w:rFonts w:ascii="Arial" w:hAnsi="Arial" w:cs="Arial"/>
          <w:noProof/>
          <w:color w:val="000000" w:themeColor="text1"/>
        </w:rPr>
        <w:drawing>
          <wp:inline distT="0" distB="0" distL="0" distR="0" wp14:anchorId="0A69B8AF" wp14:editId="14DEC833">
            <wp:extent cx="2505075" cy="2428875"/>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B86F85B" w14:textId="77777777" w:rsidR="00013361" w:rsidRPr="00D73189" w:rsidRDefault="00013361" w:rsidP="00013361">
      <w:pPr>
        <w:spacing w:afterLines="80" w:after="192"/>
        <w:jc w:val="both"/>
        <w:rPr>
          <w:rFonts w:ascii="Arial" w:hAnsi="Arial" w:cs="Arial"/>
          <w:b/>
          <w:bCs/>
          <w:color w:val="000000" w:themeColor="text1"/>
        </w:rPr>
      </w:pPr>
      <w:bookmarkStart w:id="31" w:name="_Toc188598759"/>
      <w:bookmarkStart w:id="32" w:name="_Toc188693286"/>
      <w:r w:rsidRPr="00D73189">
        <w:rPr>
          <w:rFonts w:ascii="Arial" w:hAnsi="Arial" w:cs="Arial"/>
          <w:b/>
          <w:bCs/>
          <w:color w:val="000000" w:themeColor="text1"/>
        </w:rPr>
        <w:t xml:space="preserve">Fig. </w:t>
      </w:r>
      <w:bookmarkEnd w:id="31"/>
      <w:r w:rsidRPr="00D73189">
        <w:rPr>
          <w:rFonts w:ascii="Arial" w:hAnsi="Arial" w:cs="Arial"/>
          <w:b/>
          <w:bCs/>
          <w:color w:val="000000" w:themeColor="text1"/>
        </w:rPr>
        <w:t>19 level sensor</w:t>
      </w:r>
      <w:bookmarkEnd w:id="32"/>
      <w:r w:rsidRPr="00D73189">
        <w:rPr>
          <w:rFonts w:ascii="Arial" w:hAnsi="Arial" w:cs="Arial"/>
          <w:b/>
          <w:bCs/>
          <w:color w:val="000000" w:themeColor="text1"/>
        </w:rPr>
        <w:t xml:space="preserve"> reading</w:t>
      </w:r>
      <w:bookmarkStart w:id="33" w:name="_Toc188598760"/>
      <w:bookmarkStart w:id="34" w:name="_Toc188693287"/>
      <w:r w:rsidRPr="00D73189">
        <w:rPr>
          <w:rFonts w:ascii="Arial" w:hAnsi="Arial" w:cs="Arial"/>
          <w:b/>
          <w:bCs/>
          <w:color w:val="000000" w:themeColor="text1"/>
        </w:rPr>
        <w:t xml:space="preserve">                                       Fig.20 pH variation on June 9th</w:t>
      </w:r>
      <w:bookmarkEnd w:id="33"/>
      <w:bookmarkEnd w:id="34"/>
    </w:p>
    <w:p w14:paraId="13F28C3F"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Nutrient and water levels in the storage tanks were managed using IR level sensors. These sensors operated solenoid valves to refill tanks when the level dropped below 15 cm and stopped inflow at the 10 cm mark, thus preventing overflow and conserving resources. When the nutrient level variation coincided with solenoid valve activation, confirming precise automation. This closed-loop system-maintained solution availability and minimized operator involvement. The nutrient solution quality and delivery efficiency were further supported by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-based monitoring.  EC and TDS values were particularly stable between Weeks 3 and 8 corresponding with the most vigorous vegetative growth. As shown in Figure 21 a slight rise in TDS during Week 5 matched with the period of maximum yield output (2.21 kg). This indicates a direct correlation between well-regulated nutrient delivery and biomass production.</w:t>
      </w:r>
    </w:p>
    <w:p w14:paraId="5AFB0C20"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noProof/>
          <w:color w:val="000000" w:themeColor="text1"/>
        </w:rPr>
        <w:drawing>
          <wp:inline distT="0" distB="0" distL="0" distR="0" wp14:anchorId="41B30FF7" wp14:editId="0D783C7E">
            <wp:extent cx="3846195" cy="2007870"/>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0D0D27" w14:textId="77777777" w:rsidR="00013361" w:rsidRPr="00D73189" w:rsidRDefault="00013361" w:rsidP="00013361">
      <w:pPr>
        <w:spacing w:afterLines="80" w:after="192"/>
        <w:jc w:val="center"/>
        <w:rPr>
          <w:rFonts w:ascii="Arial" w:hAnsi="Arial" w:cs="Arial"/>
          <w:color w:val="000000" w:themeColor="text1"/>
        </w:rPr>
      </w:pPr>
      <w:r w:rsidRPr="00D73189">
        <w:rPr>
          <w:rFonts w:ascii="Arial" w:hAnsi="Arial" w:cs="Arial"/>
          <w:b/>
          <w:bCs/>
          <w:color w:val="000000" w:themeColor="text1"/>
        </w:rPr>
        <w:t>Fig. 21 Variation of EC, pH and TDS in the growth period</w:t>
      </w:r>
    </w:p>
    <w:p w14:paraId="4BBE6FBA"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Remote access to real-time EC, TDS, pH, and level data allowed the user to make informed decisions and review historical trends for anomaly detection and system diagnostics. The nutrient monitoring and control subsystem of the IoT-based aeroponic system successfully achieved precision farming objectives. It maintained essential parameters within optimal ranges using real-time data acquisition and response, thereby </w:t>
      </w:r>
      <w:r w:rsidRPr="00D73189">
        <w:rPr>
          <w:rFonts w:ascii="Arial" w:hAnsi="Arial" w:cs="Arial"/>
          <w:color w:val="000000" w:themeColor="text1"/>
        </w:rPr>
        <w:lastRenderedPageBreak/>
        <w:t>enhancing nutrient uptake efficiency, reducing wastage, and ultimately contributing to high-yield outcomes.</w:t>
      </w:r>
    </w:p>
    <w:p w14:paraId="63D11566" w14:textId="77777777" w:rsidR="00013361" w:rsidRPr="00D73189" w:rsidRDefault="00D73189" w:rsidP="00013361">
      <w:pPr>
        <w:pStyle w:val="Heading3"/>
        <w:spacing w:before="0" w:afterLines="80" w:after="192"/>
        <w:jc w:val="both"/>
        <w:rPr>
          <w:rFonts w:ascii="Arial" w:hAnsi="Arial" w:cs="Arial"/>
          <w:color w:val="000000" w:themeColor="text1"/>
          <w:sz w:val="20"/>
          <w:szCs w:val="20"/>
        </w:rPr>
      </w:pPr>
      <w:r>
        <w:rPr>
          <w:rStyle w:val="Strong"/>
          <w:rFonts w:ascii="Arial" w:hAnsi="Arial" w:cs="Arial"/>
          <w:color w:val="000000" w:themeColor="text1"/>
          <w:sz w:val="20"/>
          <w:szCs w:val="20"/>
        </w:rPr>
        <w:t xml:space="preserve">3.3 </w:t>
      </w:r>
      <w:r w:rsidR="00013361" w:rsidRPr="00D73189">
        <w:rPr>
          <w:rStyle w:val="Strong"/>
          <w:rFonts w:ascii="Arial" w:hAnsi="Arial" w:cs="Arial"/>
          <w:color w:val="000000" w:themeColor="text1"/>
          <w:sz w:val="20"/>
          <w:szCs w:val="20"/>
        </w:rPr>
        <w:t>Plant Growth and Biometric Observations</w:t>
      </w:r>
    </w:p>
    <w:p w14:paraId="672EDA4C" w14:textId="77777777" w:rsidR="00013361" w:rsidRPr="00D73189" w:rsidRDefault="00013361" w:rsidP="00013361">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Plant growth response serves as a direct indicator of the overall performance and suitability of any controlled environment system. In this study, biometric observations were systematically recorded for </w:t>
      </w:r>
      <w:r w:rsidRPr="00D73189">
        <w:rPr>
          <w:rStyle w:val="Emphasis"/>
          <w:rFonts w:ascii="Arial" w:hAnsi="Arial" w:cs="Arial"/>
          <w:color w:val="000000" w:themeColor="text1"/>
        </w:rPr>
        <w:t>palak</w:t>
      </w:r>
      <w:r w:rsidRPr="00D73189">
        <w:rPr>
          <w:rFonts w:ascii="Arial" w:hAnsi="Arial" w:cs="Arial"/>
          <w:color w:val="000000" w:themeColor="text1"/>
        </w:rPr>
        <w:t xml:space="preserve"> (</w:t>
      </w:r>
      <w:r w:rsidRPr="00D73189">
        <w:rPr>
          <w:rStyle w:val="Emphasis"/>
          <w:rFonts w:ascii="Arial" w:hAnsi="Arial" w:cs="Arial"/>
          <w:color w:val="000000" w:themeColor="text1"/>
        </w:rPr>
        <w:t>Spinacia oleracea</w:t>
      </w:r>
      <w:r w:rsidRPr="00D73189">
        <w:rPr>
          <w:rFonts w:ascii="Arial" w:hAnsi="Arial" w:cs="Arial"/>
          <w:color w:val="000000" w:themeColor="text1"/>
        </w:rPr>
        <w:t xml:space="preserve">) to evaluate how effectively the developed IoT-based aeroponic system supported vegetative development under real-time automated </w:t>
      </w:r>
      <w:proofErr w:type="spellStart"/>
      <w:proofErr w:type="gramStart"/>
      <w:r w:rsidRPr="00D73189">
        <w:rPr>
          <w:rFonts w:ascii="Arial" w:hAnsi="Arial" w:cs="Arial"/>
          <w:color w:val="000000" w:themeColor="text1"/>
        </w:rPr>
        <w:t>control.Biometric</w:t>
      </w:r>
      <w:proofErr w:type="spellEnd"/>
      <w:proofErr w:type="gramEnd"/>
      <w:r w:rsidRPr="00D73189">
        <w:rPr>
          <w:rFonts w:ascii="Arial" w:hAnsi="Arial" w:cs="Arial"/>
          <w:color w:val="000000" w:themeColor="text1"/>
        </w:rPr>
        <w:t xml:space="preserve"> parameters observed included shoot length, leaf length, leaf width, number of leaves, root length, and estimated leaf area. Data were recorded weekly from transplantation through to the first harvest, with sixteen plants selected for observation across all growth stages to ensure consistency and statistical reliability.</w:t>
      </w:r>
    </w:p>
    <w:tbl>
      <w:tblPr>
        <w:tblStyle w:val="TableGrid"/>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776"/>
      </w:tblGrid>
      <w:tr w:rsidR="00D73189" w:rsidRPr="00D73189" w14:paraId="6F02A3B3" w14:textId="77777777" w:rsidTr="00CE0FE2">
        <w:tc>
          <w:tcPr>
            <w:tcW w:w="4549" w:type="dxa"/>
          </w:tcPr>
          <w:p w14:paraId="0B797333"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58B5655E" wp14:editId="41FEBECF">
                  <wp:extent cx="2619375" cy="20193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776" w:type="dxa"/>
          </w:tcPr>
          <w:p w14:paraId="4D4519FB"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b/>
                <w:noProof/>
                <w:color w:val="000000" w:themeColor="text1"/>
              </w:rPr>
              <w:drawing>
                <wp:inline distT="0" distB="0" distL="0" distR="0" wp14:anchorId="64EAE81C" wp14:editId="22D75D01">
                  <wp:extent cx="2895600" cy="213360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D73189" w:rsidRPr="00D73189" w14:paraId="41C96788" w14:textId="77777777" w:rsidTr="00CE0FE2">
        <w:tc>
          <w:tcPr>
            <w:tcW w:w="4549" w:type="dxa"/>
          </w:tcPr>
          <w:p w14:paraId="534EEAFC"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color w:val="000000" w:themeColor="text1"/>
              </w:rPr>
              <w:t>a)</w:t>
            </w:r>
          </w:p>
        </w:tc>
        <w:tc>
          <w:tcPr>
            <w:tcW w:w="4776" w:type="dxa"/>
          </w:tcPr>
          <w:p w14:paraId="1599A130"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color w:val="000000" w:themeColor="text1"/>
              </w:rPr>
              <w:t xml:space="preserve">b)  </w:t>
            </w:r>
          </w:p>
        </w:tc>
      </w:tr>
      <w:tr w:rsidR="00D73189" w:rsidRPr="00D73189" w14:paraId="16D47461" w14:textId="77777777" w:rsidTr="00CE0FE2">
        <w:tc>
          <w:tcPr>
            <w:tcW w:w="4549" w:type="dxa"/>
          </w:tcPr>
          <w:p w14:paraId="6695B5FA"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3B17B93E" wp14:editId="182A5D1D">
                  <wp:extent cx="2751455" cy="243776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776" w:type="dxa"/>
          </w:tcPr>
          <w:p w14:paraId="18733567" w14:textId="77777777" w:rsidR="00CE0FE2" w:rsidRPr="00D73189" w:rsidRDefault="00CE0FE2" w:rsidP="00CE0FE2">
            <w:pPr>
              <w:spacing w:afterLines="80" w:after="192"/>
              <w:jc w:val="both"/>
              <w:rPr>
                <w:rFonts w:ascii="Arial" w:hAnsi="Arial" w:cs="Arial"/>
                <w:color w:val="000000" w:themeColor="text1"/>
              </w:rPr>
            </w:pPr>
            <w:r w:rsidRPr="00D73189">
              <w:rPr>
                <w:rFonts w:ascii="Arial" w:hAnsi="Arial" w:cs="Arial"/>
                <w:noProof/>
                <w:color w:val="000000" w:themeColor="text1"/>
              </w:rPr>
              <w:drawing>
                <wp:inline distT="0" distB="0" distL="0" distR="0" wp14:anchorId="2C42CFFE" wp14:editId="1A320E6E">
                  <wp:extent cx="2846070" cy="2426970"/>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D73189" w:rsidRPr="00D73189" w14:paraId="1DB203C2" w14:textId="77777777" w:rsidTr="00CE0FE2">
        <w:tc>
          <w:tcPr>
            <w:tcW w:w="4549" w:type="dxa"/>
          </w:tcPr>
          <w:p w14:paraId="6F817D69"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color w:val="000000" w:themeColor="text1"/>
              </w:rPr>
              <w:t>c)</w:t>
            </w:r>
          </w:p>
        </w:tc>
        <w:tc>
          <w:tcPr>
            <w:tcW w:w="4776" w:type="dxa"/>
            <w:vAlign w:val="center"/>
          </w:tcPr>
          <w:p w14:paraId="55B50C9F"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color w:val="000000" w:themeColor="text1"/>
              </w:rPr>
              <w:t>d)</w:t>
            </w:r>
          </w:p>
        </w:tc>
      </w:tr>
      <w:tr w:rsidR="00D73189" w:rsidRPr="00D73189" w14:paraId="2A268551" w14:textId="77777777" w:rsidTr="00CE0FE2">
        <w:tc>
          <w:tcPr>
            <w:tcW w:w="9325" w:type="dxa"/>
            <w:gridSpan w:val="2"/>
            <w:vAlign w:val="center"/>
          </w:tcPr>
          <w:p w14:paraId="5146F4B4" w14:textId="77777777" w:rsidR="00CE0FE2" w:rsidRPr="00D73189" w:rsidRDefault="00CE0FE2" w:rsidP="00CE0FE2">
            <w:pPr>
              <w:spacing w:afterLines="80" w:after="192"/>
              <w:jc w:val="center"/>
              <w:rPr>
                <w:rFonts w:ascii="Arial" w:hAnsi="Arial" w:cs="Arial"/>
                <w:color w:val="000000" w:themeColor="text1"/>
              </w:rPr>
            </w:pPr>
            <w:r w:rsidRPr="00D73189">
              <w:rPr>
                <w:rFonts w:ascii="Arial" w:hAnsi="Arial" w:cs="Arial"/>
                <w:b/>
                <w:noProof/>
                <w:color w:val="000000" w:themeColor="text1"/>
              </w:rPr>
              <w:lastRenderedPageBreak/>
              <w:drawing>
                <wp:inline distT="0" distB="0" distL="0" distR="0" wp14:anchorId="0D604C8F" wp14:editId="4265BF13">
                  <wp:extent cx="3805555" cy="2073275"/>
                  <wp:effectExtent l="0" t="0" r="0" b="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73189" w:rsidRPr="00D73189" w14:paraId="6BC97CA4" w14:textId="77777777" w:rsidTr="00CE0FE2">
        <w:tc>
          <w:tcPr>
            <w:tcW w:w="9325" w:type="dxa"/>
            <w:gridSpan w:val="2"/>
            <w:vAlign w:val="center"/>
          </w:tcPr>
          <w:p w14:paraId="22D54BCB" w14:textId="77777777" w:rsidR="00CE0FE2" w:rsidRPr="00D73189" w:rsidRDefault="00CE0FE2" w:rsidP="00CE0FE2">
            <w:pPr>
              <w:spacing w:afterLines="80" w:after="192"/>
              <w:jc w:val="center"/>
              <w:rPr>
                <w:rFonts w:ascii="Arial" w:hAnsi="Arial" w:cs="Arial"/>
                <w:b/>
                <w:noProof/>
                <w:color w:val="000000" w:themeColor="text1"/>
              </w:rPr>
            </w:pPr>
            <w:r w:rsidRPr="00D73189">
              <w:rPr>
                <w:rFonts w:ascii="Arial" w:hAnsi="Arial" w:cs="Arial"/>
                <w:b/>
                <w:noProof/>
                <w:color w:val="000000" w:themeColor="text1"/>
              </w:rPr>
              <w:t>e)</w:t>
            </w:r>
          </w:p>
        </w:tc>
      </w:tr>
    </w:tbl>
    <w:p w14:paraId="2BBF8DE0" w14:textId="77777777" w:rsidR="00CE0FE2" w:rsidRPr="00D73189" w:rsidRDefault="00A33D0D" w:rsidP="00CE0FE2">
      <w:pPr>
        <w:spacing w:before="120" w:after="120"/>
        <w:jc w:val="center"/>
        <w:rPr>
          <w:rFonts w:ascii="Arial" w:hAnsi="Arial" w:cs="Arial"/>
          <w:b/>
          <w:bCs/>
          <w:color w:val="000000" w:themeColor="text1"/>
        </w:rPr>
      </w:pPr>
      <w:bookmarkStart w:id="35" w:name="_Toc185660305"/>
      <w:bookmarkStart w:id="36" w:name="_Toc188598763"/>
      <w:bookmarkStart w:id="37" w:name="_Toc188693290"/>
      <w:r w:rsidRPr="00D73189">
        <w:rPr>
          <w:rFonts w:ascii="Arial" w:hAnsi="Arial" w:cs="Arial"/>
          <w:b/>
          <w:bCs/>
          <w:color w:val="000000" w:themeColor="text1"/>
        </w:rPr>
        <w:t xml:space="preserve">Figure 22 </w:t>
      </w:r>
      <w:r w:rsidR="00CE0FE2" w:rsidRPr="00D73189">
        <w:rPr>
          <w:rFonts w:ascii="Arial" w:hAnsi="Arial" w:cs="Arial"/>
          <w:b/>
          <w:bCs/>
          <w:color w:val="000000" w:themeColor="text1"/>
        </w:rPr>
        <w:t xml:space="preserve">Weekly observation: a) Shoot length b) Root Length c) Leaf </w:t>
      </w:r>
      <w:bookmarkEnd w:id="35"/>
      <w:bookmarkEnd w:id="36"/>
      <w:bookmarkEnd w:id="37"/>
      <w:r w:rsidR="00CE0FE2" w:rsidRPr="00D73189">
        <w:rPr>
          <w:rFonts w:ascii="Arial" w:hAnsi="Arial" w:cs="Arial"/>
          <w:b/>
          <w:bCs/>
          <w:color w:val="000000" w:themeColor="text1"/>
        </w:rPr>
        <w:t>length d) Leaf Width e) Number of leaves</w:t>
      </w:r>
    </w:p>
    <w:p w14:paraId="6EB28C3C"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3.3.1 </w:t>
      </w:r>
      <w:r w:rsidR="00013361" w:rsidRPr="00D73189">
        <w:rPr>
          <w:rStyle w:val="Strong"/>
          <w:rFonts w:ascii="Arial" w:hAnsi="Arial" w:cs="Arial"/>
          <w:i/>
          <w:iCs/>
          <w:color w:val="000000" w:themeColor="text1"/>
        </w:rPr>
        <w:t>Shoot Length</w:t>
      </w:r>
    </w:p>
    <w:p w14:paraId="52BACD09"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Shoot length is a primary growth indicator in leafy vegetables and reflects the plant's overall vigor and response to the environment. As shown in Figure 22</w:t>
      </w:r>
      <w:r w:rsidR="00D73189">
        <w:rPr>
          <w:rFonts w:ascii="Arial" w:hAnsi="Arial" w:cs="Arial"/>
          <w:color w:val="000000" w:themeColor="text1"/>
        </w:rPr>
        <w:t>a</w:t>
      </w:r>
      <w:r w:rsidRPr="00D73189">
        <w:rPr>
          <w:rFonts w:ascii="Arial" w:hAnsi="Arial" w:cs="Arial"/>
          <w:color w:val="000000" w:themeColor="text1"/>
        </w:rPr>
        <w:t>, the shoot length increased steadily throughout the observation period. Initial measurements at the time of transplantation indicated an average shoot length of 4.1 cm. By the end of the first week, this had increased to 4.8 cm, indicating quick acclimatization to the aeroponic environment. This consistent upward trajectory suggests that the microclimatic conditions and nutrient management provided by the system were optimal for vegetative development.</w:t>
      </w:r>
    </w:p>
    <w:p w14:paraId="6358BA31"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3.3.2 </w:t>
      </w:r>
      <w:r w:rsidR="00013361" w:rsidRPr="00D73189">
        <w:rPr>
          <w:rStyle w:val="Strong"/>
          <w:rFonts w:ascii="Arial" w:hAnsi="Arial" w:cs="Arial"/>
          <w:i/>
          <w:iCs/>
          <w:color w:val="000000" w:themeColor="text1"/>
        </w:rPr>
        <w:t>Root Length</w:t>
      </w:r>
    </w:p>
    <w:p w14:paraId="5DEBE787"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One of the distinctive advantages of aeroponics is the visibility and free development of roots. Figure 22</w:t>
      </w:r>
      <w:r w:rsidR="00D73189">
        <w:rPr>
          <w:rFonts w:ascii="Arial" w:hAnsi="Arial" w:cs="Arial"/>
          <w:color w:val="000000" w:themeColor="text1"/>
        </w:rPr>
        <w:t>b</w:t>
      </w:r>
      <w:r w:rsidRPr="00D73189">
        <w:rPr>
          <w:rFonts w:ascii="Arial" w:hAnsi="Arial" w:cs="Arial"/>
          <w:color w:val="000000" w:themeColor="text1"/>
        </w:rPr>
        <w:t xml:space="preserve"> presents the root length progression over the 5-week observation period. At transplantation, roots were just 4.8 cm long. By Week 1, they had already reached 8.0 cm, and eventually 46.9 cm by the time of harvest was observed.</w:t>
      </w:r>
    </w:p>
    <w:p w14:paraId="3E1E1E4E"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3.3.3 </w:t>
      </w:r>
      <w:r w:rsidR="00013361" w:rsidRPr="00D73189">
        <w:rPr>
          <w:rStyle w:val="Strong"/>
          <w:rFonts w:ascii="Arial" w:hAnsi="Arial" w:cs="Arial"/>
          <w:i/>
          <w:iCs/>
          <w:color w:val="000000" w:themeColor="text1"/>
        </w:rPr>
        <w:t>Leaf Length and Width</w:t>
      </w:r>
    </w:p>
    <w:p w14:paraId="247D5E45"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Leaf length and width are critical biometric indicators for </w:t>
      </w:r>
      <w:r w:rsidRPr="00D73189">
        <w:rPr>
          <w:rStyle w:val="Emphasis"/>
          <w:rFonts w:ascii="Arial" w:hAnsi="Arial" w:cs="Arial"/>
          <w:color w:val="000000" w:themeColor="text1"/>
        </w:rPr>
        <w:t>palak</w:t>
      </w:r>
      <w:r w:rsidRPr="00D73189">
        <w:rPr>
          <w:rFonts w:ascii="Arial" w:hAnsi="Arial" w:cs="Arial"/>
          <w:color w:val="000000" w:themeColor="text1"/>
        </w:rPr>
        <w:t>, as the foliage represents the primary economic yield. Figure 2</w:t>
      </w:r>
      <w:r w:rsidR="00D73189">
        <w:rPr>
          <w:rFonts w:ascii="Arial" w:hAnsi="Arial" w:cs="Arial"/>
          <w:color w:val="000000" w:themeColor="text1"/>
        </w:rPr>
        <w:t>2c and 22d</w:t>
      </w:r>
      <w:r w:rsidRPr="00D73189">
        <w:rPr>
          <w:rFonts w:ascii="Arial" w:hAnsi="Arial" w:cs="Arial"/>
          <w:color w:val="000000" w:themeColor="text1"/>
        </w:rPr>
        <w:t xml:space="preserve"> illustrates the weekly progression in leaf length. Starting from 3.6 cm at transplantation, leaf length increased to 4.3 cm in Week 1, and subsequently to 6.2 cm, 7.5 cm, and 9.2 cm over the following weeks. At harvest, leaf length averaged 11.0 cm, reflecting robust lamina expansion under the controlled system.</w:t>
      </w:r>
    </w:p>
    <w:p w14:paraId="78963EED" w14:textId="77777777" w:rsidR="00013361" w:rsidRPr="00D73189" w:rsidRDefault="00D73189" w:rsidP="00013361">
      <w:pPr>
        <w:spacing w:afterLines="80" w:after="192"/>
        <w:jc w:val="both"/>
        <w:rPr>
          <w:rFonts w:ascii="Arial" w:hAnsi="Arial" w:cs="Arial"/>
          <w:i/>
          <w:iCs/>
          <w:color w:val="000000" w:themeColor="text1"/>
        </w:rPr>
      </w:pPr>
      <w:r>
        <w:rPr>
          <w:rStyle w:val="Strong"/>
          <w:rFonts w:ascii="Arial" w:hAnsi="Arial" w:cs="Arial"/>
          <w:i/>
          <w:iCs/>
          <w:color w:val="000000" w:themeColor="text1"/>
        </w:rPr>
        <w:t xml:space="preserve">3.3.4 </w:t>
      </w:r>
      <w:r w:rsidR="00013361" w:rsidRPr="00D73189">
        <w:rPr>
          <w:rStyle w:val="Strong"/>
          <w:rFonts w:ascii="Arial" w:hAnsi="Arial" w:cs="Arial"/>
          <w:i/>
          <w:iCs/>
          <w:color w:val="000000" w:themeColor="text1"/>
        </w:rPr>
        <w:t>Number of Leaves</w:t>
      </w:r>
    </w:p>
    <w:p w14:paraId="36F8FD57"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The number of leaves per plant was another critical indicator of vegetative proliferation. Figure 2</w:t>
      </w:r>
      <w:r w:rsidR="00D73189">
        <w:rPr>
          <w:rFonts w:ascii="Arial" w:hAnsi="Arial" w:cs="Arial"/>
          <w:color w:val="000000" w:themeColor="text1"/>
        </w:rPr>
        <w:t>2e</w:t>
      </w:r>
      <w:r w:rsidRPr="00D73189">
        <w:rPr>
          <w:rFonts w:ascii="Arial" w:hAnsi="Arial" w:cs="Arial"/>
          <w:color w:val="000000" w:themeColor="text1"/>
        </w:rPr>
        <w:t xml:space="preserve"> shows that leaf production steadily increased from an average of 3.6 leaves at transplanting to over 11 leaves by the time of the first harvest. Significant leaf emergence was noted from Week 2 onward, where the number of leaves grew from 6.2 to 9.2 between Weeks 2 and 4. This trend underscores the positive impact of controlled environmental factors on photosynthetic tissue generation.</w:t>
      </w:r>
    </w:p>
    <w:p w14:paraId="091BB42C"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increase in leaf number aligns with the observed stability in nutrient solution pH, EC, and temperature during the same period. These findings further validate the correlation between precise environmental regulation and enhanced foliage development. This pattern </w:t>
      </w:r>
      <w:r w:rsidRPr="00D73189">
        <w:rPr>
          <w:rFonts w:ascii="Arial" w:hAnsi="Arial" w:cs="Arial"/>
          <w:color w:val="000000" w:themeColor="text1"/>
        </w:rPr>
        <w:lastRenderedPageBreak/>
        <w:t xml:space="preserve">of exponential root elongation highlights the benefits of high oxygen availability and precise misting. The fine droplet size (&lt;100 µm) ensured adequate aeration and rapid nutrient absorption, promoting healthy root expansion. Unlike soil-based systems, there was no compaction resistance, allowing roots to grow freely in all directions. </w:t>
      </w:r>
    </w:p>
    <w:p w14:paraId="06DBACFE" w14:textId="77777777" w:rsidR="00013361" w:rsidRPr="00D73189" w:rsidRDefault="00D73189" w:rsidP="00013361">
      <w:pPr>
        <w:rPr>
          <w:rFonts w:ascii="Arial" w:hAnsi="Arial" w:cs="Arial"/>
          <w:i/>
          <w:iCs/>
          <w:color w:val="000000" w:themeColor="text1"/>
        </w:rPr>
      </w:pPr>
      <w:r>
        <w:rPr>
          <w:rStyle w:val="Strong"/>
          <w:rFonts w:ascii="Arial" w:hAnsi="Arial" w:cs="Arial"/>
          <w:i/>
          <w:iCs/>
          <w:color w:val="000000" w:themeColor="text1"/>
        </w:rPr>
        <w:t xml:space="preserve">3.3.5 </w:t>
      </w:r>
      <w:r w:rsidR="00013361" w:rsidRPr="00D73189">
        <w:rPr>
          <w:rStyle w:val="Strong"/>
          <w:rFonts w:ascii="Arial" w:hAnsi="Arial" w:cs="Arial"/>
          <w:i/>
          <w:iCs/>
          <w:color w:val="000000" w:themeColor="text1"/>
        </w:rPr>
        <w:t>Leaf Area Estimation</w:t>
      </w:r>
    </w:p>
    <w:p w14:paraId="348837CF"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Leaf area was estimated using the empirical formula proposed by Rao (1978), which accounts for both length and width of the leaves. Measurements at 15, 30, and 45 days after transplanting (DAT) showed that leaf area increased from 22.03 cm² to 43.45 cm² and reached 68.03 cm², respectively. This steady increase in surface area is a direct reflection of favorable environmental and nutritional conditions, promoting cell division and expansion. Larger leaf area implies greater photosynthetic capacity, which directly contributes to higher carbohydrate synthesis and biomass production. The increasing trend in leaf area also mirrored the upward trajectory in root length, suggesting a coordinated allocation of resources above and below ground.</w:t>
      </w:r>
    </w:p>
    <w:p w14:paraId="68D1C821" w14:textId="77777777" w:rsidR="00013361" w:rsidRPr="00D73189" w:rsidRDefault="00D73189" w:rsidP="00013361">
      <w:pPr>
        <w:pStyle w:val="Heading3"/>
        <w:spacing w:before="0" w:afterLines="80" w:after="192"/>
        <w:jc w:val="both"/>
        <w:rPr>
          <w:rFonts w:ascii="Arial" w:hAnsi="Arial" w:cs="Arial"/>
          <w:color w:val="000000" w:themeColor="text1"/>
          <w:sz w:val="20"/>
          <w:szCs w:val="20"/>
        </w:rPr>
      </w:pPr>
      <w:r>
        <w:rPr>
          <w:rStyle w:val="Strong"/>
          <w:rFonts w:ascii="Arial" w:hAnsi="Arial" w:cs="Arial"/>
          <w:color w:val="000000" w:themeColor="text1"/>
          <w:sz w:val="20"/>
          <w:szCs w:val="20"/>
        </w:rPr>
        <w:t>3.4</w:t>
      </w:r>
      <w:r w:rsidR="00013361" w:rsidRPr="00D73189">
        <w:rPr>
          <w:rStyle w:val="Strong"/>
          <w:rFonts w:ascii="Arial" w:hAnsi="Arial" w:cs="Arial"/>
          <w:color w:val="000000" w:themeColor="text1"/>
          <w:sz w:val="20"/>
          <w:szCs w:val="20"/>
        </w:rPr>
        <w:t xml:space="preserve"> Yield Performance of Palak</w:t>
      </w:r>
    </w:p>
    <w:p w14:paraId="52F78236"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ultimate metric for evaluating the success of any crop production system lies in its yield. In the case of leafy vegetables like </w:t>
      </w:r>
      <w:r w:rsidRPr="00D73189">
        <w:rPr>
          <w:rStyle w:val="Emphasis"/>
          <w:rFonts w:ascii="Arial" w:hAnsi="Arial" w:cs="Arial"/>
          <w:color w:val="000000" w:themeColor="text1"/>
        </w:rPr>
        <w:t>palak</w:t>
      </w:r>
      <w:r w:rsidRPr="00D73189">
        <w:rPr>
          <w:rFonts w:ascii="Arial" w:hAnsi="Arial" w:cs="Arial"/>
          <w:color w:val="000000" w:themeColor="text1"/>
        </w:rPr>
        <w:t xml:space="preserve"> (</w:t>
      </w:r>
      <w:r w:rsidRPr="00D73189">
        <w:rPr>
          <w:rStyle w:val="Emphasis"/>
          <w:rFonts w:ascii="Arial" w:hAnsi="Arial" w:cs="Arial"/>
          <w:color w:val="000000" w:themeColor="text1"/>
        </w:rPr>
        <w:t>Spinacia oleracea</w:t>
      </w:r>
      <w:r w:rsidRPr="00D73189">
        <w:rPr>
          <w:rFonts w:ascii="Arial" w:hAnsi="Arial" w:cs="Arial"/>
          <w:color w:val="000000" w:themeColor="text1"/>
        </w:rPr>
        <w:t>), yield is assessed based on total fresh weight of harvestable foliage, frequency of harvest, and yield per plant. In this study, yield data was recorded across seven harvest dates over an 80-day cultivation period. The results clearly demonstrated the ability of the IoT-based aeroponic system to support consistent and high-yield production under controlled environmental conditions. The first harvest was conducted on July 4, 2024 approximately 35 days after transplanting (DAT) with a recorded yield of 1.95 kg. This early harvest was made possible due to the rapid vegetative growth observed in the system, facilitated by optimized temperature, humidity, and nutrient parameters. Subsequent harvests were carried out weekly, with the highest yield observed on July 25, 2024 (Week 8), totaling 2.21 kg, which corresponded to an average yield of 49.11 g per plant. This peak performance can be attributed to the synergistic effect of favorable microclimatic conditions and stable nutrient supply during the mid-growth phase.</w:t>
      </w:r>
    </w:p>
    <w:p w14:paraId="7C4B44DB"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b/>
          <w:bCs/>
          <w:color w:val="000000" w:themeColor="text1"/>
        </w:rPr>
        <w:t>Table 3 Yield parameters from palak</w:t>
      </w:r>
    </w:p>
    <w:tbl>
      <w:tblPr>
        <w:tblW w:w="7920" w:type="dxa"/>
        <w:jc w:val="center"/>
        <w:tblBorders>
          <w:top w:val="single" w:sz="4" w:space="0" w:color="auto"/>
          <w:bottom w:val="single" w:sz="4" w:space="0" w:color="auto"/>
        </w:tblBorders>
        <w:tblLook w:val="04A0" w:firstRow="1" w:lastRow="0" w:firstColumn="1" w:lastColumn="0" w:noHBand="0" w:noVBand="1"/>
      </w:tblPr>
      <w:tblGrid>
        <w:gridCol w:w="2640"/>
        <w:gridCol w:w="2640"/>
        <w:gridCol w:w="2640"/>
      </w:tblGrid>
      <w:tr w:rsidR="00D73189" w:rsidRPr="00D73189" w14:paraId="2E955812" w14:textId="77777777" w:rsidTr="007D1109">
        <w:trPr>
          <w:trHeight w:val="315"/>
          <w:jc w:val="center"/>
        </w:trPr>
        <w:tc>
          <w:tcPr>
            <w:tcW w:w="2640" w:type="dxa"/>
            <w:tcBorders>
              <w:top w:val="single" w:sz="4" w:space="0" w:color="auto"/>
              <w:bottom w:val="single" w:sz="4" w:space="0" w:color="auto"/>
            </w:tcBorders>
            <w:vAlign w:val="center"/>
            <w:hideMark/>
          </w:tcPr>
          <w:p w14:paraId="6E9D6D55"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Harvest Date</w:t>
            </w:r>
          </w:p>
        </w:tc>
        <w:tc>
          <w:tcPr>
            <w:tcW w:w="2640" w:type="dxa"/>
            <w:tcBorders>
              <w:top w:val="single" w:sz="4" w:space="0" w:color="auto"/>
              <w:bottom w:val="single" w:sz="4" w:space="0" w:color="auto"/>
            </w:tcBorders>
            <w:noWrap/>
            <w:vAlign w:val="bottom"/>
            <w:hideMark/>
          </w:tcPr>
          <w:p w14:paraId="287845C0"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Avg yield per plant (g)</w:t>
            </w:r>
          </w:p>
        </w:tc>
        <w:tc>
          <w:tcPr>
            <w:tcW w:w="2640" w:type="dxa"/>
            <w:tcBorders>
              <w:top w:val="single" w:sz="4" w:space="0" w:color="auto"/>
              <w:bottom w:val="single" w:sz="4" w:space="0" w:color="auto"/>
            </w:tcBorders>
            <w:vAlign w:val="center"/>
            <w:hideMark/>
          </w:tcPr>
          <w:p w14:paraId="29189192"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Yield (kg)</w:t>
            </w:r>
          </w:p>
        </w:tc>
      </w:tr>
      <w:tr w:rsidR="00D73189" w:rsidRPr="00D73189" w14:paraId="53282188" w14:textId="77777777" w:rsidTr="007D1109">
        <w:trPr>
          <w:trHeight w:val="315"/>
          <w:jc w:val="center"/>
        </w:trPr>
        <w:tc>
          <w:tcPr>
            <w:tcW w:w="2640" w:type="dxa"/>
            <w:tcBorders>
              <w:top w:val="single" w:sz="4" w:space="0" w:color="auto"/>
            </w:tcBorders>
            <w:vAlign w:val="center"/>
            <w:hideMark/>
          </w:tcPr>
          <w:p w14:paraId="32606FB3"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4-Jul</w:t>
            </w:r>
          </w:p>
        </w:tc>
        <w:tc>
          <w:tcPr>
            <w:tcW w:w="2640" w:type="dxa"/>
            <w:tcBorders>
              <w:top w:val="single" w:sz="4" w:space="0" w:color="auto"/>
            </w:tcBorders>
            <w:noWrap/>
            <w:vAlign w:val="bottom"/>
            <w:hideMark/>
          </w:tcPr>
          <w:p w14:paraId="38A9F29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43.4</w:t>
            </w:r>
          </w:p>
        </w:tc>
        <w:tc>
          <w:tcPr>
            <w:tcW w:w="2640" w:type="dxa"/>
            <w:tcBorders>
              <w:top w:val="single" w:sz="4" w:space="0" w:color="auto"/>
            </w:tcBorders>
            <w:vAlign w:val="center"/>
            <w:hideMark/>
          </w:tcPr>
          <w:p w14:paraId="6ACCF035"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1.953</w:t>
            </w:r>
          </w:p>
        </w:tc>
      </w:tr>
      <w:tr w:rsidR="00D73189" w:rsidRPr="00D73189" w14:paraId="114E89AA" w14:textId="77777777" w:rsidTr="007D1109">
        <w:trPr>
          <w:trHeight w:val="315"/>
          <w:jc w:val="center"/>
        </w:trPr>
        <w:tc>
          <w:tcPr>
            <w:tcW w:w="2640" w:type="dxa"/>
            <w:vAlign w:val="center"/>
            <w:hideMark/>
          </w:tcPr>
          <w:p w14:paraId="459B370C"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11-Jul</w:t>
            </w:r>
          </w:p>
        </w:tc>
        <w:tc>
          <w:tcPr>
            <w:tcW w:w="2640" w:type="dxa"/>
            <w:noWrap/>
            <w:vAlign w:val="bottom"/>
            <w:hideMark/>
          </w:tcPr>
          <w:p w14:paraId="6E9B9CA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26.89</w:t>
            </w:r>
          </w:p>
        </w:tc>
        <w:tc>
          <w:tcPr>
            <w:tcW w:w="2640" w:type="dxa"/>
            <w:vAlign w:val="center"/>
            <w:hideMark/>
          </w:tcPr>
          <w:p w14:paraId="62D49B1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1.21</w:t>
            </w:r>
          </w:p>
        </w:tc>
      </w:tr>
      <w:tr w:rsidR="00D73189" w:rsidRPr="00D73189" w14:paraId="022D4454" w14:textId="77777777" w:rsidTr="007D1109">
        <w:trPr>
          <w:trHeight w:val="315"/>
          <w:jc w:val="center"/>
        </w:trPr>
        <w:tc>
          <w:tcPr>
            <w:tcW w:w="2640" w:type="dxa"/>
            <w:vAlign w:val="center"/>
            <w:hideMark/>
          </w:tcPr>
          <w:p w14:paraId="0D03FD1A"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18-Jul</w:t>
            </w:r>
          </w:p>
        </w:tc>
        <w:tc>
          <w:tcPr>
            <w:tcW w:w="2640" w:type="dxa"/>
            <w:noWrap/>
            <w:vAlign w:val="bottom"/>
            <w:hideMark/>
          </w:tcPr>
          <w:p w14:paraId="6D1186B7"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25.6</w:t>
            </w:r>
          </w:p>
        </w:tc>
        <w:tc>
          <w:tcPr>
            <w:tcW w:w="2640" w:type="dxa"/>
            <w:vAlign w:val="center"/>
            <w:hideMark/>
          </w:tcPr>
          <w:p w14:paraId="546A0421"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1.15</w:t>
            </w:r>
          </w:p>
        </w:tc>
      </w:tr>
      <w:tr w:rsidR="00D73189" w:rsidRPr="00D73189" w14:paraId="7198A936" w14:textId="77777777" w:rsidTr="007D1109">
        <w:trPr>
          <w:trHeight w:val="315"/>
          <w:jc w:val="center"/>
        </w:trPr>
        <w:tc>
          <w:tcPr>
            <w:tcW w:w="2640" w:type="dxa"/>
            <w:vAlign w:val="center"/>
            <w:hideMark/>
          </w:tcPr>
          <w:p w14:paraId="1DA2F1EE"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25-Jul</w:t>
            </w:r>
          </w:p>
        </w:tc>
        <w:tc>
          <w:tcPr>
            <w:tcW w:w="2640" w:type="dxa"/>
            <w:noWrap/>
            <w:vAlign w:val="bottom"/>
            <w:hideMark/>
          </w:tcPr>
          <w:p w14:paraId="0F27FFC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49.11</w:t>
            </w:r>
          </w:p>
        </w:tc>
        <w:tc>
          <w:tcPr>
            <w:tcW w:w="2640" w:type="dxa"/>
            <w:vAlign w:val="center"/>
            <w:hideMark/>
          </w:tcPr>
          <w:p w14:paraId="0C8BFDEA"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2.21</w:t>
            </w:r>
          </w:p>
        </w:tc>
      </w:tr>
      <w:tr w:rsidR="00D73189" w:rsidRPr="00D73189" w14:paraId="4DBD4ACA" w14:textId="77777777" w:rsidTr="007D1109">
        <w:trPr>
          <w:trHeight w:val="315"/>
          <w:jc w:val="center"/>
        </w:trPr>
        <w:tc>
          <w:tcPr>
            <w:tcW w:w="2640" w:type="dxa"/>
            <w:vAlign w:val="center"/>
            <w:hideMark/>
          </w:tcPr>
          <w:p w14:paraId="08A06718"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3-Aug</w:t>
            </w:r>
          </w:p>
        </w:tc>
        <w:tc>
          <w:tcPr>
            <w:tcW w:w="2640" w:type="dxa"/>
            <w:noWrap/>
            <w:vAlign w:val="bottom"/>
            <w:hideMark/>
          </w:tcPr>
          <w:p w14:paraId="0C9FBB8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31.1</w:t>
            </w:r>
          </w:p>
        </w:tc>
        <w:tc>
          <w:tcPr>
            <w:tcW w:w="2640" w:type="dxa"/>
            <w:vAlign w:val="center"/>
            <w:hideMark/>
          </w:tcPr>
          <w:p w14:paraId="66EA8355"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1.4</w:t>
            </w:r>
          </w:p>
        </w:tc>
      </w:tr>
      <w:tr w:rsidR="00D73189" w:rsidRPr="00D73189" w14:paraId="13F4F4F6" w14:textId="77777777" w:rsidTr="007D1109">
        <w:trPr>
          <w:trHeight w:val="330"/>
          <w:jc w:val="center"/>
        </w:trPr>
        <w:tc>
          <w:tcPr>
            <w:tcW w:w="2640" w:type="dxa"/>
            <w:vAlign w:val="center"/>
            <w:hideMark/>
          </w:tcPr>
          <w:p w14:paraId="71EB0B56"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10-Aug</w:t>
            </w:r>
          </w:p>
        </w:tc>
        <w:tc>
          <w:tcPr>
            <w:tcW w:w="2640" w:type="dxa"/>
            <w:noWrap/>
            <w:vAlign w:val="bottom"/>
            <w:hideMark/>
          </w:tcPr>
          <w:p w14:paraId="611EC7EB"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20.82</w:t>
            </w:r>
          </w:p>
        </w:tc>
        <w:tc>
          <w:tcPr>
            <w:tcW w:w="2640" w:type="dxa"/>
            <w:vAlign w:val="center"/>
            <w:hideMark/>
          </w:tcPr>
          <w:p w14:paraId="74E86EF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0.937</w:t>
            </w:r>
          </w:p>
        </w:tc>
      </w:tr>
      <w:tr w:rsidR="00D73189" w:rsidRPr="00D73189" w14:paraId="52C2519B" w14:textId="77777777" w:rsidTr="007D1109">
        <w:trPr>
          <w:trHeight w:val="343"/>
          <w:jc w:val="center"/>
        </w:trPr>
        <w:tc>
          <w:tcPr>
            <w:tcW w:w="2640" w:type="dxa"/>
            <w:vAlign w:val="center"/>
            <w:hideMark/>
          </w:tcPr>
          <w:p w14:paraId="376639F0"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17-Aug</w:t>
            </w:r>
          </w:p>
        </w:tc>
        <w:tc>
          <w:tcPr>
            <w:tcW w:w="2640" w:type="dxa"/>
            <w:noWrap/>
            <w:vAlign w:val="bottom"/>
            <w:hideMark/>
          </w:tcPr>
          <w:p w14:paraId="67C98B58"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9.711</w:t>
            </w:r>
          </w:p>
        </w:tc>
        <w:tc>
          <w:tcPr>
            <w:tcW w:w="2640" w:type="dxa"/>
            <w:vAlign w:val="center"/>
            <w:hideMark/>
          </w:tcPr>
          <w:p w14:paraId="39F3A309" w14:textId="77777777" w:rsidR="00013361" w:rsidRPr="00D73189" w:rsidRDefault="00013361" w:rsidP="007D1109">
            <w:pPr>
              <w:spacing w:afterLines="80" w:after="192"/>
              <w:jc w:val="center"/>
              <w:rPr>
                <w:rFonts w:ascii="Arial" w:hAnsi="Arial" w:cs="Arial"/>
                <w:color w:val="000000" w:themeColor="text1"/>
              </w:rPr>
            </w:pPr>
            <w:r w:rsidRPr="00D73189">
              <w:rPr>
                <w:rFonts w:ascii="Arial" w:hAnsi="Arial" w:cs="Arial"/>
                <w:color w:val="000000" w:themeColor="text1"/>
              </w:rPr>
              <w:t>0.437</w:t>
            </w:r>
          </w:p>
        </w:tc>
      </w:tr>
      <w:tr w:rsidR="00D73189" w:rsidRPr="00D73189" w14:paraId="63CB19E5" w14:textId="77777777" w:rsidTr="007D1109">
        <w:trPr>
          <w:trHeight w:val="330"/>
          <w:jc w:val="center"/>
        </w:trPr>
        <w:tc>
          <w:tcPr>
            <w:tcW w:w="2640" w:type="dxa"/>
            <w:tcBorders>
              <w:bottom w:val="single" w:sz="4" w:space="0" w:color="auto"/>
            </w:tcBorders>
            <w:vAlign w:val="center"/>
            <w:hideMark/>
          </w:tcPr>
          <w:p w14:paraId="03C19023"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Total Yield</w:t>
            </w:r>
          </w:p>
        </w:tc>
        <w:tc>
          <w:tcPr>
            <w:tcW w:w="2640" w:type="dxa"/>
            <w:tcBorders>
              <w:bottom w:val="single" w:sz="4" w:space="0" w:color="auto"/>
            </w:tcBorders>
            <w:noWrap/>
            <w:vAlign w:val="bottom"/>
            <w:hideMark/>
          </w:tcPr>
          <w:p w14:paraId="33C3469D"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 </w:t>
            </w:r>
          </w:p>
        </w:tc>
        <w:tc>
          <w:tcPr>
            <w:tcW w:w="2640" w:type="dxa"/>
            <w:tcBorders>
              <w:bottom w:val="single" w:sz="4" w:space="0" w:color="auto"/>
            </w:tcBorders>
            <w:noWrap/>
            <w:vAlign w:val="bottom"/>
            <w:hideMark/>
          </w:tcPr>
          <w:p w14:paraId="6578BBD7" w14:textId="77777777" w:rsidR="00013361" w:rsidRPr="00D73189" w:rsidRDefault="00013361" w:rsidP="007D1109">
            <w:pPr>
              <w:spacing w:afterLines="80" w:after="192"/>
              <w:jc w:val="center"/>
              <w:rPr>
                <w:rFonts w:ascii="Arial" w:hAnsi="Arial" w:cs="Arial"/>
                <w:b/>
                <w:bCs/>
                <w:color w:val="000000" w:themeColor="text1"/>
              </w:rPr>
            </w:pPr>
            <w:r w:rsidRPr="00D73189">
              <w:rPr>
                <w:rFonts w:ascii="Arial" w:hAnsi="Arial" w:cs="Arial"/>
                <w:b/>
                <w:bCs/>
                <w:color w:val="000000" w:themeColor="text1"/>
              </w:rPr>
              <w:t>9.297</w:t>
            </w:r>
          </w:p>
        </w:tc>
      </w:tr>
    </w:tbl>
    <w:p w14:paraId="01AD4A86" w14:textId="77777777" w:rsidR="00013361" w:rsidRPr="00D73189" w:rsidRDefault="00013361" w:rsidP="002A7256">
      <w:pPr>
        <w:spacing w:before="120" w:afterLines="80" w:after="192"/>
        <w:jc w:val="both"/>
        <w:rPr>
          <w:rFonts w:ascii="Arial" w:hAnsi="Arial" w:cs="Arial"/>
          <w:color w:val="000000" w:themeColor="text1"/>
        </w:rPr>
      </w:pPr>
      <w:r w:rsidRPr="00D73189">
        <w:rPr>
          <w:rFonts w:ascii="Arial" w:hAnsi="Arial" w:cs="Arial"/>
          <w:color w:val="000000" w:themeColor="text1"/>
        </w:rPr>
        <w:t xml:space="preserve">As shown in Table 3, the total cumulative yield obtained across the seven harvests was 9.297 kg from the cultivation area of 2.88 m². The average yield per plant over the full </w:t>
      </w:r>
      <w:r w:rsidRPr="00D73189">
        <w:rPr>
          <w:rFonts w:ascii="Arial" w:hAnsi="Arial" w:cs="Arial"/>
          <w:color w:val="000000" w:themeColor="text1"/>
        </w:rPr>
        <w:lastRenderedPageBreak/>
        <w:t>harvesting cycle was calculated at 33.2 g, which is consistent with or higher than those reported in similar controlled-environment cultivation studies. Notably, yield consistency was observed across the first five harvests, with only a slight drop on August 3 (1.4 kg). However, a significant decline occurred in the final two harvests, with yields dropping to 0.937 kg on August 10 and 0.437 kg on August 17.</w:t>
      </w:r>
    </w:p>
    <w:p w14:paraId="7010B278"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The decline in yield during the later harvests was associated with the onset of flowering, a natural physiological transition where the plant diverts its energy from vegetative growth toward reproductive processes. This shift was evident from visual observations of floral bud initiation and the slowing rate of new leaf emergence. These findings underscore the importance of harvesting prior to the onset of bolting to maximize leaf biomass, particularly in leafy greens.</w:t>
      </w:r>
    </w:p>
    <w:p w14:paraId="4B9BA3DA" w14:textId="77777777" w:rsidR="00013361" w:rsidRPr="00D73189" w:rsidRDefault="00013361" w:rsidP="00013361">
      <w:pPr>
        <w:spacing w:afterLines="80" w:after="192"/>
        <w:jc w:val="both"/>
        <w:rPr>
          <w:rFonts w:ascii="Arial" w:hAnsi="Arial" w:cs="Arial"/>
          <w:color w:val="000000" w:themeColor="text1"/>
        </w:rPr>
      </w:pPr>
      <w:r w:rsidRPr="00D73189">
        <w:rPr>
          <w:rFonts w:ascii="Arial" w:hAnsi="Arial" w:cs="Arial"/>
          <w:color w:val="000000" w:themeColor="text1"/>
        </w:rPr>
        <w:t xml:space="preserve">The consistent and relatively high yield during the vegetative stage reflects the overall effectiveness of the aeroponic system in maintaining optimal growing conditions. Temperature and humidity were consistently maintained within favorable ranges for </w:t>
      </w:r>
      <w:r w:rsidRPr="00D73189">
        <w:rPr>
          <w:rStyle w:val="Emphasis"/>
          <w:rFonts w:ascii="Arial" w:hAnsi="Arial" w:cs="Arial"/>
          <w:color w:val="000000" w:themeColor="text1"/>
        </w:rPr>
        <w:t>palak</w:t>
      </w:r>
      <w:r w:rsidRPr="00D73189">
        <w:rPr>
          <w:rFonts w:ascii="Arial" w:hAnsi="Arial" w:cs="Arial"/>
          <w:color w:val="000000" w:themeColor="text1"/>
        </w:rPr>
        <w:t>, while nutrient parameters such as TDS and pH were tightly regulated via automated sensor feedback. Additionally, the precise control over misting frequency and droplet size ensured uniform nutrient delivery to the root zone, minimizing stress and promoting healthy foliage development. The water use efficiency of the system also played a role in supporting high productivity. With a calculated seasonal crop water use (CWU) of only 0.0657 m³ per m², the system demonstrated exceptional resource efficiency—especially relevant in regions facing water scarcity. From an agronomic perspective, the system proved capable of supporting multiple cuttings within a single cycle, thereby maximizing output per unit area. The week-to-week yield trend suggests that, under continued vegetative management and by adjusting the planting calendar to avoid flowering onset, total productivity could potentially be enhanced further.</w:t>
      </w:r>
    </w:p>
    <w:p w14:paraId="2CE9AF26" w14:textId="77777777" w:rsidR="00013361" w:rsidRPr="00D73189" w:rsidRDefault="00013361" w:rsidP="00013361">
      <w:pPr>
        <w:spacing w:after="120"/>
        <w:ind w:firstLine="720"/>
        <w:jc w:val="both"/>
        <w:rPr>
          <w:rFonts w:ascii="Arial" w:hAnsi="Arial" w:cs="Arial"/>
          <w:color w:val="000000" w:themeColor="text1"/>
        </w:rPr>
      </w:pPr>
      <w:r w:rsidRPr="00D73189">
        <w:rPr>
          <w:rFonts w:ascii="Arial" w:hAnsi="Arial" w:cs="Arial"/>
          <w:color w:val="000000" w:themeColor="text1"/>
        </w:rPr>
        <w:t xml:space="preserve">The yield outcomes observed in this study align with findings from other researchers who have evaluated the potential of hydroponic and aeroponic systems for leafy vegetable cultivation under controlled environments. Studies by </w:t>
      </w:r>
      <w:proofErr w:type="spellStart"/>
      <w:r w:rsidRPr="00D73189">
        <w:rPr>
          <w:rFonts w:ascii="Arial" w:hAnsi="Arial" w:cs="Arial"/>
          <w:color w:val="000000" w:themeColor="text1"/>
        </w:rPr>
        <w:t>Kuncoro</w:t>
      </w:r>
      <w:proofErr w:type="spellEnd"/>
      <w:r w:rsidRPr="00D73189">
        <w:rPr>
          <w:rFonts w:ascii="Arial" w:hAnsi="Arial" w:cs="Arial"/>
          <w:color w:val="000000" w:themeColor="text1"/>
        </w:rPr>
        <w:t xml:space="preserve"> </w:t>
      </w:r>
      <w:r w:rsidRPr="00D73189">
        <w:rPr>
          <w:rFonts w:ascii="Arial" w:hAnsi="Arial" w:cs="Arial"/>
          <w:i/>
          <w:iCs/>
          <w:color w:val="000000" w:themeColor="text1"/>
        </w:rPr>
        <w:t>et al.,</w:t>
      </w:r>
      <w:r w:rsidRPr="00D73189">
        <w:rPr>
          <w:rFonts w:ascii="Arial" w:hAnsi="Arial" w:cs="Arial"/>
          <w:color w:val="000000" w:themeColor="text1"/>
        </w:rPr>
        <w:t xml:space="preserve"> (2021) and Mohamed </w:t>
      </w:r>
      <w:r w:rsidRPr="00D73189">
        <w:rPr>
          <w:rFonts w:ascii="Arial" w:hAnsi="Arial" w:cs="Arial"/>
          <w:i/>
          <w:iCs/>
          <w:color w:val="000000" w:themeColor="text1"/>
        </w:rPr>
        <w:t>et al.,</w:t>
      </w:r>
      <w:r w:rsidRPr="00D73189">
        <w:rPr>
          <w:rFonts w:ascii="Arial" w:hAnsi="Arial" w:cs="Arial"/>
          <w:color w:val="000000" w:themeColor="text1"/>
        </w:rPr>
        <w:t xml:space="preserve"> (2022) similarly reported increased yield performance in aeroponics compared to conventional cultivation, owing to the enhanced control over growth parameters</w:t>
      </w:r>
    </w:p>
    <w:p w14:paraId="1BF10D30" w14:textId="77777777" w:rsidR="00A33D0D" w:rsidRPr="00D73189" w:rsidRDefault="00A33D0D" w:rsidP="00A33D0D">
      <w:pPr>
        <w:spacing w:afterLines="80" w:after="192"/>
        <w:ind w:firstLine="720"/>
        <w:jc w:val="both"/>
        <w:rPr>
          <w:rFonts w:ascii="Arial" w:hAnsi="Arial" w:cs="Arial"/>
          <w:color w:val="000000" w:themeColor="text1"/>
        </w:rPr>
      </w:pPr>
      <w:proofErr w:type="spellStart"/>
      <w:r w:rsidRPr="00D73189">
        <w:rPr>
          <w:rFonts w:ascii="Arial" w:hAnsi="Arial" w:cs="Arial"/>
          <w:color w:val="000000" w:themeColor="text1"/>
        </w:rPr>
        <w:t>Angitha</w:t>
      </w:r>
      <w:proofErr w:type="spellEnd"/>
      <w:r w:rsidRPr="00D73189">
        <w:rPr>
          <w:rFonts w:ascii="Arial" w:hAnsi="Arial" w:cs="Arial"/>
          <w:color w:val="000000" w:themeColor="text1"/>
        </w:rPr>
        <w:t xml:space="preserve"> and Joseph (2023) developed an IoT-based greenhouse system and reported that controlled environments could significantly improve crop productivity and resource use efficiency. Their system included environmental sensing and actuator control but was less focused on root zone management or nutrient automation. In contrast, the present study incorporated pH, EC, TDS, and level sensors, which enabled dynamic nutrient regulation and provided a more complete picture of plant needs. This comprehensive data acquisition strategy likely contributed to the steady biometric improvements observed across all growth stages. An important innovation in this study is the integration of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and GSM modules for dual-mode communication. Many existing studies rely solely on Wi-Fi-based platforms, which can be unreliable in rural or semi-rural areas. The addition of GSM-based SMS alerts enhanced the practical usability of the system, especially for regions with limited internet connectivity. This is in line with the recommendations by Mohamed </w:t>
      </w:r>
      <w:r w:rsidRPr="00D73189">
        <w:rPr>
          <w:rFonts w:ascii="Arial" w:hAnsi="Arial" w:cs="Arial"/>
          <w:i/>
          <w:iCs/>
          <w:color w:val="000000" w:themeColor="text1"/>
        </w:rPr>
        <w:t>et al.,</w:t>
      </w:r>
      <w:r w:rsidRPr="00D73189">
        <w:rPr>
          <w:rFonts w:ascii="Arial" w:hAnsi="Arial" w:cs="Arial"/>
          <w:color w:val="000000" w:themeColor="text1"/>
        </w:rPr>
        <w:t xml:space="preserve"> (2022), who advocated for modular, adaptive systems that could function in diverse operational environments.</w:t>
      </w:r>
    </w:p>
    <w:p w14:paraId="0993AFC0" w14:textId="77777777" w:rsidR="00A33D0D" w:rsidRPr="00D73189" w:rsidRDefault="00A33D0D" w:rsidP="00A33D0D">
      <w:pPr>
        <w:spacing w:afterLines="80" w:after="192"/>
        <w:ind w:firstLine="720"/>
        <w:jc w:val="both"/>
        <w:rPr>
          <w:rFonts w:ascii="Arial" w:hAnsi="Arial" w:cs="Arial"/>
          <w:color w:val="000000" w:themeColor="text1"/>
        </w:rPr>
      </w:pPr>
      <w:r w:rsidRPr="00D73189">
        <w:rPr>
          <w:rFonts w:ascii="Arial" w:hAnsi="Arial" w:cs="Arial"/>
          <w:color w:val="000000" w:themeColor="text1"/>
        </w:rPr>
        <w:t xml:space="preserve">Furthermore, the precision and consistency achieved in root growth, with lengths exceeding 46.9 cm by the first harvest, are noteworthy. Root growth is often underreported in field studies, yet it serves as a key indicator of system health. Compared to soil or hydroponic methods, the aeroponic system used here promoted superior root development due to high oxygen availability and uniform nutrient delivery. These findings are supported </w:t>
      </w:r>
      <w:r w:rsidRPr="00D73189">
        <w:rPr>
          <w:rFonts w:ascii="Arial" w:hAnsi="Arial" w:cs="Arial"/>
          <w:color w:val="000000" w:themeColor="text1"/>
        </w:rPr>
        <w:lastRenderedPageBreak/>
        <w:t xml:space="preserve">by the work of </w:t>
      </w:r>
      <w:r w:rsidRPr="00D73189">
        <w:rPr>
          <w:rFonts w:ascii="Arial" w:hAnsi="Arial" w:cs="Arial"/>
          <w:color w:val="000000" w:themeColor="text1"/>
          <w:shd w:val="clear" w:color="auto" w:fill="FFFFFF"/>
        </w:rPr>
        <w:t xml:space="preserve">Stutte </w:t>
      </w:r>
      <w:r w:rsidRPr="00D73189">
        <w:rPr>
          <w:rFonts w:ascii="Arial" w:hAnsi="Arial" w:cs="Arial"/>
          <w:i/>
          <w:iCs/>
          <w:color w:val="000000" w:themeColor="text1"/>
          <w:shd w:val="clear" w:color="auto" w:fill="FFFFFF"/>
        </w:rPr>
        <w:t xml:space="preserve">et al., </w:t>
      </w:r>
      <w:r w:rsidRPr="00D73189">
        <w:rPr>
          <w:rFonts w:ascii="Arial" w:hAnsi="Arial" w:cs="Arial"/>
          <w:color w:val="000000" w:themeColor="text1"/>
        </w:rPr>
        <w:t>(2023), who demonstrated controlled environment architecture. The present study aligns well with previous findings in controlled environment agriculture while offering several improvements in automation, integration, and reliability. The high yield, stable environmental parameters, and robust biometric performance confirm that IoT-enabled aeroponic systems represent a viable and scalable solution for sustainable vegetable production, particularly in climate-sensitive regions like Kerala. The study adds to the growing body of evidence that automation and sensor-based monitoring are not only feasible but essential for optimizing resource use and maximizing crop output in modern agriculture.</w:t>
      </w:r>
    </w:p>
    <w:p w14:paraId="01CA0CE7" w14:textId="77777777" w:rsidR="00A33D0D" w:rsidRPr="00D73189" w:rsidRDefault="00A33D0D" w:rsidP="00D73189">
      <w:pPr>
        <w:pStyle w:val="ListParagraph"/>
        <w:numPr>
          <w:ilvl w:val="0"/>
          <w:numId w:val="31"/>
        </w:numPr>
        <w:ind w:left="426"/>
        <w:jc w:val="both"/>
        <w:rPr>
          <w:rFonts w:ascii="Arial" w:hAnsi="Arial" w:cs="Arial"/>
          <w:b/>
          <w:bCs/>
          <w:color w:val="000000" w:themeColor="text1"/>
        </w:rPr>
      </w:pPr>
      <w:r w:rsidRPr="00D73189">
        <w:rPr>
          <w:rFonts w:ascii="Arial" w:hAnsi="Arial" w:cs="Arial"/>
          <w:b/>
          <w:bCs/>
          <w:color w:val="000000" w:themeColor="text1"/>
        </w:rPr>
        <w:t xml:space="preserve">SUMMARY AND CONCLUSIONS </w:t>
      </w:r>
    </w:p>
    <w:p w14:paraId="3F5DBD94" w14:textId="77777777" w:rsidR="00A33D0D" w:rsidRPr="00D73189" w:rsidRDefault="00A33D0D" w:rsidP="00A33D0D">
      <w:pPr>
        <w:spacing w:afterLines="80" w:after="192"/>
        <w:jc w:val="both"/>
        <w:rPr>
          <w:rFonts w:ascii="Arial" w:hAnsi="Arial" w:cs="Arial"/>
          <w:color w:val="000000" w:themeColor="text1"/>
        </w:rPr>
      </w:pPr>
      <w:r w:rsidRPr="00D73189">
        <w:rPr>
          <w:rFonts w:ascii="Arial" w:hAnsi="Arial" w:cs="Arial"/>
          <w:b/>
          <w:bCs/>
          <w:color w:val="000000" w:themeColor="text1"/>
        </w:rPr>
        <w:tab/>
      </w:r>
      <w:r w:rsidRPr="00D73189">
        <w:rPr>
          <w:rFonts w:ascii="Arial" w:hAnsi="Arial" w:cs="Arial"/>
          <w:color w:val="000000" w:themeColor="text1"/>
        </w:rPr>
        <w:t xml:space="preserve">An IoT-based automated aeroponic system was developed and tested in Kerala’s climatic conditions within a </w:t>
      </w:r>
      <w:proofErr w:type="spellStart"/>
      <w:r w:rsidRPr="00D73189">
        <w:rPr>
          <w:rFonts w:ascii="Arial" w:hAnsi="Arial" w:cs="Arial"/>
          <w:color w:val="000000" w:themeColor="text1"/>
        </w:rPr>
        <w:t>polyhouse</w:t>
      </w:r>
      <w:proofErr w:type="spellEnd"/>
      <w:r w:rsidRPr="00D73189">
        <w:rPr>
          <w:rFonts w:ascii="Arial" w:hAnsi="Arial" w:cs="Arial"/>
          <w:color w:val="000000" w:themeColor="text1"/>
        </w:rPr>
        <w:t xml:space="preserve"> at KCAEFT, </w:t>
      </w:r>
      <w:proofErr w:type="spellStart"/>
      <w:r w:rsidRPr="00D73189">
        <w:rPr>
          <w:rFonts w:ascii="Arial" w:hAnsi="Arial" w:cs="Arial"/>
          <w:color w:val="000000" w:themeColor="text1"/>
        </w:rPr>
        <w:t>Tavanur</w:t>
      </w:r>
      <w:proofErr w:type="spellEnd"/>
      <w:r w:rsidRPr="00D73189">
        <w:rPr>
          <w:rFonts w:ascii="Arial" w:hAnsi="Arial" w:cs="Arial"/>
          <w:color w:val="000000" w:themeColor="text1"/>
        </w:rPr>
        <w:t xml:space="preserve">. The system integrates misting nozzles, a nutrient reservoir, IoT sensors, and a microcontroller with GSM modem functionality for real-time monitoring and control via the </w:t>
      </w:r>
      <w:proofErr w:type="spellStart"/>
      <w:r w:rsidRPr="00D73189">
        <w:rPr>
          <w:rFonts w:ascii="Arial" w:hAnsi="Arial" w:cs="Arial"/>
          <w:color w:val="000000" w:themeColor="text1"/>
        </w:rPr>
        <w:t>ThingSpeak</w:t>
      </w:r>
      <w:proofErr w:type="spellEnd"/>
      <w:r w:rsidRPr="00D73189">
        <w:rPr>
          <w:rFonts w:ascii="Arial" w:hAnsi="Arial" w:cs="Arial"/>
          <w:color w:val="000000" w:themeColor="text1"/>
        </w:rPr>
        <w:t xml:space="preserve"> platform. Key parameters such as temperature, humidity, pH, electrical conductivity (EC), total dissolved solids (TDS), and nutrient levels were regulated to ensure optimal plant growth. The growth chamber maintained a temperature range of 23°C to 27°C, with humidity levels between 75% and 95%. TDS was controlled between 250 ppm and 850 ppm, while EC values ranged from 0.5 to 2.4 ds m</w:t>
      </w:r>
      <w:r w:rsidRPr="00D73189">
        <w:rPr>
          <w:rFonts w:ascii="Cambria Math" w:hAnsi="Cambria Math" w:cs="Cambria Math"/>
          <w:color w:val="000000" w:themeColor="text1"/>
        </w:rPr>
        <w:t>⁻</w:t>
      </w:r>
      <w:r w:rsidRPr="00D73189">
        <w:rPr>
          <w:rFonts w:ascii="Arial" w:hAnsi="Arial" w:cs="Arial"/>
          <w:color w:val="000000" w:themeColor="text1"/>
        </w:rPr>
        <w:t>¹, with a consistent pH of 6.5. The system demonstrated the potential for sustainable and efficient agriculture, particularly in urban settings, by enabling real-time monitoring, remote control, and precise environmental management. The study showed that light intensity inside the polyhouse ranged from 520.46 lux to 35,612.33 lux, supporting healthy plant growth. The aeroponic system’s effectiveness was validated by cultivating palak, which yielded 9.297 kg after 80 days in an area of 2.88 square meters, equivalent to 32.28 t·ha</w:t>
      </w:r>
      <w:r w:rsidRPr="00D73189">
        <w:rPr>
          <w:rFonts w:ascii="Cambria Math" w:hAnsi="Cambria Math" w:cs="Cambria Math"/>
          <w:color w:val="000000" w:themeColor="text1"/>
        </w:rPr>
        <w:t>⁻</w:t>
      </w:r>
      <w:r w:rsidRPr="00D73189">
        <w:rPr>
          <w:rFonts w:ascii="Arial" w:hAnsi="Arial" w:cs="Arial"/>
          <w:color w:val="000000" w:themeColor="text1"/>
        </w:rPr>
        <w:t xml:space="preserve">¹. The system achieved a water use efficiency of 66.88 kg/m³ and a nutrient use efficiency of 2.86 kg per kg of nutrients applied. With a benefit-cost ratio of 1.19, the system proved economically viable. the IoT-enabled aeroponic system not only provided a stable and supportive environment for </w:t>
      </w:r>
      <w:r w:rsidRPr="00D73189">
        <w:rPr>
          <w:rStyle w:val="Emphasis"/>
          <w:rFonts w:ascii="Arial" w:hAnsi="Arial" w:cs="Arial"/>
          <w:color w:val="000000" w:themeColor="text1"/>
        </w:rPr>
        <w:t>palak</w:t>
      </w:r>
      <w:r w:rsidRPr="00D73189">
        <w:rPr>
          <w:rFonts w:ascii="Arial" w:hAnsi="Arial" w:cs="Arial"/>
          <w:color w:val="000000" w:themeColor="text1"/>
        </w:rPr>
        <w:t xml:space="preserve"> cultivation but also delivered impressive yield results. The integration of real-time monitoring, automation, and precision control proved essential in achieving these outcomes, showcasing the potential of such systems for sustainable and scalable food production in controlled environments. Although the system offers high resource efficiency and environmental benefits, the initial investment is significant due to specialized equipment, and the risk of system failures such as pump malfunctions or sensor inaccuracies poses a challenge. However, the system’s time efficiency and scalability make it an attractive solution for modern agriculture, particularly in urban or indoor environments. Future research could focus on expanding its application to other crops and enhancing its scalability and energy efficiency.</w:t>
      </w:r>
    </w:p>
    <w:p w14:paraId="0A3EB16F" w14:textId="77777777" w:rsidR="00A33D0D" w:rsidRPr="00D73189" w:rsidRDefault="00A33D0D" w:rsidP="00A33D0D">
      <w:pPr>
        <w:rPr>
          <w:rFonts w:ascii="Arial" w:hAnsi="Arial" w:cs="Arial"/>
          <w:b/>
          <w:bCs/>
          <w:color w:val="000000" w:themeColor="text1"/>
          <w:highlight w:val="yellow"/>
        </w:rPr>
      </w:pPr>
    </w:p>
    <w:p w14:paraId="56B86EC1" w14:textId="77777777" w:rsidR="00A33D0D" w:rsidRPr="00D73189" w:rsidRDefault="00A33D0D" w:rsidP="00A33D0D">
      <w:pPr>
        <w:pStyle w:val="ListParagraph"/>
        <w:ind w:left="0" w:firstLine="720"/>
        <w:jc w:val="both"/>
        <w:rPr>
          <w:rFonts w:ascii="Arial" w:hAnsi="Arial" w:cs="Arial"/>
          <w:color w:val="000000" w:themeColor="text1"/>
          <w:shd w:val="clear" w:color="auto" w:fill="FFFFFF"/>
        </w:rPr>
      </w:pPr>
    </w:p>
    <w:p w14:paraId="7C7DB55B" w14:textId="77777777" w:rsidR="00A33D0D" w:rsidRPr="00D73189" w:rsidRDefault="00A33D0D" w:rsidP="00A33D0D">
      <w:pPr>
        <w:pStyle w:val="ListParagraph"/>
        <w:ind w:left="0"/>
        <w:jc w:val="both"/>
        <w:rPr>
          <w:rFonts w:ascii="Arial" w:hAnsi="Arial" w:cs="Arial"/>
          <w:b/>
          <w:bCs/>
          <w:color w:val="000000" w:themeColor="text1"/>
        </w:rPr>
      </w:pPr>
      <w:r w:rsidRPr="00D73189">
        <w:rPr>
          <w:rFonts w:ascii="Arial" w:hAnsi="Arial" w:cs="Arial"/>
          <w:b/>
          <w:bCs/>
          <w:color w:val="000000" w:themeColor="text1"/>
        </w:rPr>
        <w:t xml:space="preserve">References </w:t>
      </w:r>
    </w:p>
    <w:p w14:paraId="7DA35CB1"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proofErr w:type="spellStart"/>
      <w:r w:rsidRPr="00D73189">
        <w:rPr>
          <w:rFonts w:ascii="Arial" w:hAnsi="Arial" w:cs="Arial"/>
          <w:color w:val="000000" w:themeColor="text1"/>
        </w:rPr>
        <w:t>Angitha</w:t>
      </w:r>
      <w:proofErr w:type="spellEnd"/>
      <w:r w:rsidRPr="00D73189">
        <w:rPr>
          <w:rFonts w:ascii="Arial" w:hAnsi="Arial" w:cs="Arial"/>
          <w:color w:val="000000" w:themeColor="text1"/>
        </w:rPr>
        <w:t xml:space="preserve">, K. A., and Joseph, A. 2023. An IoT based real time microclimate monitoring and controlling system for green. </w:t>
      </w:r>
      <w:proofErr w:type="spellStart"/>
      <w:r w:rsidRPr="00D73189">
        <w:rPr>
          <w:rFonts w:ascii="Arial" w:hAnsi="Arial" w:cs="Arial"/>
          <w:color w:val="000000" w:themeColor="text1"/>
        </w:rPr>
        <w:t>Mtech</w:t>
      </w:r>
      <w:proofErr w:type="spellEnd"/>
      <w:r w:rsidRPr="00D73189">
        <w:rPr>
          <w:rFonts w:ascii="Arial" w:hAnsi="Arial" w:cs="Arial"/>
          <w:color w:val="000000" w:themeColor="text1"/>
        </w:rPr>
        <w:t xml:space="preserve"> (</w:t>
      </w:r>
      <w:proofErr w:type="spellStart"/>
      <w:r w:rsidRPr="00D73189">
        <w:rPr>
          <w:rFonts w:ascii="Arial" w:hAnsi="Arial" w:cs="Arial"/>
          <w:color w:val="000000" w:themeColor="text1"/>
        </w:rPr>
        <w:t>Agrl</w:t>
      </w:r>
      <w:proofErr w:type="spellEnd"/>
      <w:r w:rsidRPr="00D73189">
        <w:rPr>
          <w:rFonts w:ascii="Arial" w:hAnsi="Arial" w:cs="Arial"/>
          <w:color w:val="000000" w:themeColor="text1"/>
        </w:rPr>
        <w:t xml:space="preserve"> </w:t>
      </w:r>
      <w:proofErr w:type="spellStart"/>
      <w:r w:rsidRPr="00D73189">
        <w:rPr>
          <w:rFonts w:ascii="Arial" w:hAnsi="Arial" w:cs="Arial"/>
          <w:color w:val="000000" w:themeColor="text1"/>
        </w:rPr>
        <w:t>Engg</w:t>
      </w:r>
      <w:proofErr w:type="spellEnd"/>
      <w:r w:rsidRPr="00D73189">
        <w:rPr>
          <w:rFonts w:ascii="Arial" w:hAnsi="Arial" w:cs="Arial"/>
          <w:color w:val="000000" w:themeColor="text1"/>
        </w:rPr>
        <w:t>) thesis. Kerala Agricultural University. 143p.</w:t>
      </w:r>
    </w:p>
    <w:p w14:paraId="7F27DD38"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FAO [Food and Agriculture Organization of the United Nations]. 2017. Global agriculture towards 2050. [on line]. Available </w:t>
      </w:r>
      <w:hyperlink r:id="rId58" w:history="1">
        <w:r w:rsidRPr="00D73189">
          <w:rPr>
            <w:rStyle w:val="Hyperlink"/>
            <w:rFonts w:ascii="Arial" w:hAnsi="Arial" w:cs="Arial"/>
            <w:color w:val="000000" w:themeColor="text1"/>
          </w:rPr>
          <w:t>https://www.fao.org</w:t>
        </w:r>
      </w:hyperlink>
    </w:p>
    <w:p w14:paraId="375EB557"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r w:rsidRPr="00D73189">
        <w:rPr>
          <w:rFonts w:ascii="Arial" w:hAnsi="Arial" w:cs="Arial"/>
          <w:color w:val="000000" w:themeColor="text1"/>
        </w:rPr>
        <w:t xml:space="preserve">Farran, I. and Mingo, A. M. 2006. Potato </w:t>
      </w:r>
      <w:proofErr w:type="spellStart"/>
      <w:r w:rsidRPr="00D73189">
        <w:rPr>
          <w:rFonts w:ascii="Arial" w:hAnsi="Arial" w:cs="Arial"/>
          <w:color w:val="000000" w:themeColor="text1"/>
        </w:rPr>
        <w:t>minituber</w:t>
      </w:r>
      <w:proofErr w:type="spellEnd"/>
      <w:r w:rsidRPr="00D73189">
        <w:rPr>
          <w:rFonts w:ascii="Arial" w:hAnsi="Arial" w:cs="Arial"/>
          <w:color w:val="000000" w:themeColor="text1"/>
        </w:rPr>
        <w:t xml:space="preserve"> production using aeroponics: effect of plant density and harvesting intervals. </w:t>
      </w:r>
      <w:r w:rsidRPr="00D73189">
        <w:rPr>
          <w:rFonts w:ascii="Arial" w:hAnsi="Arial" w:cs="Arial"/>
          <w:i/>
          <w:iCs/>
          <w:color w:val="000000" w:themeColor="text1"/>
        </w:rPr>
        <w:t>Am. J Potato Res</w:t>
      </w:r>
      <w:r w:rsidRPr="00D73189">
        <w:rPr>
          <w:rFonts w:ascii="Arial" w:hAnsi="Arial" w:cs="Arial"/>
          <w:color w:val="000000" w:themeColor="text1"/>
        </w:rPr>
        <w:t>. 83(1): 47-53</w:t>
      </w:r>
      <w:r w:rsidRPr="00D73189">
        <w:rPr>
          <w:rFonts w:ascii="Arial" w:hAnsi="Arial" w:cs="Arial"/>
          <w:color w:val="000000" w:themeColor="text1"/>
          <w:shd w:val="clear" w:color="auto" w:fill="FFFFFF"/>
        </w:rPr>
        <w:t>.</w:t>
      </w:r>
    </w:p>
    <w:p w14:paraId="475F9828" w14:textId="77777777" w:rsidR="00A33D0D" w:rsidRPr="00D73189" w:rsidRDefault="00A33D0D" w:rsidP="00A33D0D">
      <w:pPr>
        <w:spacing w:before="40" w:afterLines="40" w:after="96"/>
        <w:ind w:left="720" w:hanging="720"/>
        <w:jc w:val="both"/>
        <w:rPr>
          <w:rFonts w:ascii="Arial" w:hAnsi="Arial" w:cs="Arial"/>
          <w:color w:val="000000" w:themeColor="text1"/>
        </w:rPr>
      </w:pPr>
      <w:r w:rsidRPr="00D73189">
        <w:rPr>
          <w:rFonts w:ascii="Arial" w:hAnsi="Arial" w:cs="Arial"/>
          <w:color w:val="000000" w:themeColor="text1"/>
        </w:rPr>
        <w:t xml:space="preserve">Grewal, H. S., Maheshwari, B. and Parks, S. E., 2011, Water and nutrient use efficiency of a low-cost hydroponic greenhouse for a cucumber crop: </w:t>
      </w:r>
      <w:r w:rsidRPr="00D73189">
        <w:rPr>
          <w:rFonts w:ascii="Arial" w:hAnsi="Arial" w:cs="Arial"/>
          <w:i/>
          <w:iCs/>
          <w:color w:val="000000" w:themeColor="text1"/>
        </w:rPr>
        <w:t xml:space="preserve">An Australian case study. </w:t>
      </w:r>
      <w:proofErr w:type="spellStart"/>
      <w:r w:rsidRPr="00D73189">
        <w:rPr>
          <w:rFonts w:ascii="Arial" w:hAnsi="Arial" w:cs="Arial"/>
          <w:i/>
          <w:iCs/>
          <w:color w:val="000000" w:themeColor="text1"/>
        </w:rPr>
        <w:t>Agrl</w:t>
      </w:r>
      <w:proofErr w:type="spellEnd"/>
      <w:r w:rsidRPr="00D73189">
        <w:rPr>
          <w:rFonts w:ascii="Arial" w:hAnsi="Arial" w:cs="Arial"/>
          <w:i/>
          <w:iCs/>
          <w:color w:val="000000" w:themeColor="text1"/>
        </w:rPr>
        <w:t xml:space="preserve"> Water Management.</w:t>
      </w:r>
      <w:r w:rsidRPr="00D73189">
        <w:rPr>
          <w:rFonts w:ascii="Arial" w:hAnsi="Arial" w:cs="Arial"/>
          <w:color w:val="000000" w:themeColor="text1"/>
        </w:rPr>
        <w:t xml:space="preserve"> 98(5): 841-846.</w:t>
      </w:r>
    </w:p>
    <w:p w14:paraId="395D104C" w14:textId="77777777" w:rsidR="00A33D0D" w:rsidRPr="00D73189" w:rsidRDefault="00A33D0D" w:rsidP="00A33D0D">
      <w:pPr>
        <w:ind w:left="450" w:hanging="450"/>
        <w:jc w:val="both"/>
        <w:rPr>
          <w:rFonts w:ascii="Arial" w:hAnsi="Arial" w:cs="Arial"/>
          <w:color w:val="000000" w:themeColor="text1"/>
        </w:rPr>
      </w:pPr>
      <w:proofErr w:type="spellStart"/>
      <w:r w:rsidRPr="00D73189">
        <w:rPr>
          <w:rFonts w:ascii="Arial" w:hAnsi="Arial" w:cs="Arial"/>
          <w:color w:val="000000" w:themeColor="text1"/>
          <w:shd w:val="clear" w:color="auto" w:fill="FFFFFF"/>
        </w:rPr>
        <w:lastRenderedPageBreak/>
        <w:t>Jamhari</w:t>
      </w:r>
      <w:proofErr w:type="spellEnd"/>
      <w:r w:rsidRPr="00D73189">
        <w:rPr>
          <w:rFonts w:ascii="Arial" w:hAnsi="Arial" w:cs="Arial"/>
          <w:color w:val="000000" w:themeColor="text1"/>
          <w:shd w:val="clear" w:color="auto" w:fill="FFFFFF"/>
        </w:rPr>
        <w:t xml:space="preserve">, C.A., </w:t>
      </w:r>
      <w:proofErr w:type="spellStart"/>
      <w:r w:rsidRPr="00D73189">
        <w:rPr>
          <w:rFonts w:ascii="Arial" w:hAnsi="Arial" w:cs="Arial"/>
          <w:color w:val="000000" w:themeColor="text1"/>
          <w:shd w:val="clear" w:color="auto" w:fill="FFFFFF"/>
        </w:rPr>
        <w:t>Wibowo</w:t>
      </w:r>
      <w:proofErr w:type="spellEnd"/>
      <w:r w:rsidRPr="00D73189">
        <w:rPr>
          <w:rFonts w:ascii="Arial" w:hAnsi="Arial" w:cs="Arial"/>
          <w:color w:val="000000" w:themeColor="text1"/>
          <w:shd w:val="clear" w:color="auto" w:fill="FFFFFF"/>
        </w:rPr>
        <w:t>, W.K., Annisa, A.R. and Roffi, T.M. 2020. Design and implementation of IoT system for aeroponic chamber temperature monitoring. In </w:t>
      </w:r>
      <w:r w:rsidRPr="00D73189">
        <w:rPr>
          <w:rFonts w:ascii="Arial" w:hAnsi="Arial" w:cs="Arial"/>
          <w:i/>
          <w:iCs/>
          <w:color w:val="000000" w:themeColor="text1"/>
          <w:shd w:val="clear" w:color="auto" w:fill="FFFFFF"/>
        </w:rPr>
        <w:t>2020 Third International Conference on Vocational Education and Electrical Engineering (ICVEE)</w:t>
      </w:r>
      <w:r w:rsidRPr="00D73189">
        <w:rPr>
          <w:rFonts w:ascii="Arial" w:hAnsi="Arial" w:cs="Arial"/>
          <w:color w:val="000000" w:themeColor="text1"/>
          <w:shd w:val="clear" w:color="auto" w:fill="FFFFFF"/>
        </w:rPr>
        <w:t> IEEE:1-4.</w:t>
      </w:r>
    </w:p>
    <w:p w14:paraId="4246FE50"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Jinu, A. 2019. Evaluation and refinement of low-cost automation system for naturally </w:t>
      </w:r>
    </w:p>
    <w:p w14:paraId="38972093" w14:textId="77777777" w:rsidR="00A33D0D" w:rsidRPr="00D73189" w:rsidRDefault="00A33D0D" w:rsidP="00A33D0D">
      <w:pPr>
        <w:ind w:left="450" w:hanging="450"/>
        <w:jc w:val="both"/>
        <w:rPr>
          <w:rFonts w:ascii="Arial" w:hAnsi="Arial" w:cs="Arial"/>
          <w:color w:val="000000" w:themeColor="text1"/>
        </w:rPr>
      </w:pPr>
      <w:proofErr w:type="spellStart"/>
      <w:r w:rsidRPr="00D73189">
        <w:rPr>
          <w:rFonts w:ascii="Arial" w:hAnsi="Arial" w:cs="Arial"/>
          <w:color w:val="000000" w:themeColor="text1"/>
          <w:shd w:val="clear" w:color="auto" w:fill="FFFFFF"/>
        </w:rPr>
        <w:t>Kuncoro</w:t>
      </w:r>
      <w:proofErr w:type="spellEnd"/>
      <w:r w:rsidRPr="00D73189">
        <w:rPr>
          <w:rFonts w:ascii="Arial" w:hAnsi="Arial" w:cs="Arial"/>
          <w:color w:val="000000" w:themeColor="text1"/>
          <w:shd w:val="clear" w:color="auto" w:fill="FFFFFF"/>
        </w:rPr>
        <w:t xml:space="preserve">, C.B.D., </w:t>
      </w:r>
      <w:proofErr w:type="spellStart"/>
      <w:r w:rsidRPr="00D73189">
        <w:rPr>
          <w:rFonts w:ascii="Arial" w:hAnsi="Arial" w:cs="Arial"/>
          <w:color w:val="000000" w:themeColor="text1"/>
          <w:shd w:val="clear" w:color="auto" w:fill="FFFFFF"/>
        </w:rPr>
        <w:t>Sutandi</w:t>
      </w:r>
      <w:proofErr w:type="spellEnd"/>
      <w:r w:rsidRPr="00D73189">
        <w:rPr>
          <w:rFonts w:ascii="Arial" w:hAnsi="Arial" w:cs="Arial"/>
          <w:color w:val="000000" w:themeColor="text1"/>
          <w:shd w:val="clear" w:color="auto" w:fill="FFFFFF"/>
        </w:rPr>
        <w:t xml:space="preserve">, T., </w:t>
      </w:r>
      <w:proofErr w:type="spellStart"/>
      <w:r w:rsidRPr="00D73189">
        <w:rPr>
          <w:rFonts w:ascii="Arial" w:hAnsi="Arial" w:cs="Arial"/>
          <w:color w:val="000000" w:themeColor="text1"/>
          <w:shd w:val="clear" w:color="auto" w:fill="FFFFFF"/>
        </w:rPr>
        <w:t>Adristi</w:t>
      </w:r>
      <w:proofErr w:type="spellEnd"/>
      <w:r w:rsidRPr="00D73189">
        <w:rPr>
          <w:rFonts w:ascii="Arial" w:hAnsi="Arial" w:cs="Arial"/>
          <w:color w:val="000000" w:themeColor="text1"/>
          <w:shd w:val="clear" w:color="auto" w:fill="FFFFFF"/>
        </w:rPr>
        <w:t>, C. and Kuan, Y.D., 2021. Aeroponics root chamber temperature conditioning design for smart mini-tuber potato seed cultivation. </w:t>
      </w:r>
      <w:r w:rsidRPr="00D73189">
        <w:rPr>
          <w:rFonts w:ascii="Arial" w:hAnsi="Arial" w:cs="Arial"/>
          <w:i/>
          <w:iCs/>
          <w:color w:val="000000" w:themeColor="text1"/>
          <w:shd w:val="clear" w:color="auto" w:fill="FFFFFF"/>
        </w:rPr>
        <w:t>Sustainability</w:t>
      </w:r>
      <w:r w:rsidRPr="00D73189">
        <w:rPr>
          <w:rFonts w:ascii="Arial" w:hAnsi="Arial" w:cs="Arial"/>
          <w:color w:val="000000" w:themeColor="text1"/>
          <w:shd w:val="clear" w:color="auto" w:fill="FFFFFF"/>
        </w:rPr>
        <w:t xml:space="preserve">. </w:t>
      </w:r>
      <w:r w:rsidRPr="00D73189">
        <w:rPr>
          <w:rFonts w:ascii="Arial" w:hAnsi="Arial" w:cs="Arial"/>
          <w:i/>
          <w:iCs/>
          <w:color w:val="000000" w:themeColor="text1"/>
          <w:shd w:val="clear" w:color="auto" w:fill="FFFFFF"/>
        </w:rPr>
        <w:t>13</w:t>
      </w:r>
      <w:r w:rsidRPr="00D73189">
        <w:rPr>
          <w:rFonts w:ascii="Arial" w:hAnsi="Arial" w:cs="Arial"/>
          <w:color w:val="000000" w:themeColor="text1"/>
          <w:shd w:val="clear" w:color="auto" w:fill="FFFFFF"/>
        </w:rPr>
        <w:t>(9):5140.</w:t>
      </w:r>
    </w:p>
    <w:p w14:paraId="18C97541" w14:textId="77777777" w:rsidR="00A33D0D" w:rsidRPr="00D73189" w:rsidRDefault="00A33D0D" w:rsidP="00A33D0D">
      <w:pPr>
        <w:spacing w:before="40" w:afterLines="40" w:after="96"/>
        <w:ind w:left="720" w:hanging="720"/>
        <w:jc w:val="both"/>
        <w:rPr>
          <w:rFonts w:ascii="Arial" w:hAnsi="Arial" w:cs="Arial"/>
          <w:color w:val="000000" w:themeColor="text1"/>
          <w:shd w:val="clear" w:color="auto" w:fill="FFFFFF"/>
        </w:rPr>
      </w:pPr>
      <w:r w:rsidRPr="00D73189">
        <w:rPr>
          <w:rFonts w:ascii="Arial" w:hAnsi="Arial" w:cs="Arial"/>
          <w:color w:val="000000" w:themeColor="text1"/>
          <w:shd w:val="clear" w:color="auto" w:fill="FFFFFF"/>
        </w:rPr>
        <w:t xml:space="preserve">Mohamed, T.M.K., Gao, J. and </w:t>
      </w:r>
      <w:proofErr w:type="spellStart"/>
      <w:r w:rsidRPr="00D73189">
        <w:rPr>
          <w:rFonts w:ascii="Arial" w:hAnsi="Arial" w:cs="Arial"/>
          <w:color w:val="000000" w:themeColor="text1"/>
          <w:shd w:val="clear" w:color="auto" w:fill="FFFFFF"/>
        </w:rPr>
        <w:t>Tunio</w:t>
      </w:r>
      <w:proofErr w:type="spellEnd"/>
      <w:r w:rsidRPr="00D73189">
        <w:rPr>
          <w:rFonts w:ascii="Arial" w:hAnsi="Arial" w:cs="Arial"/>
          <w:color w:val="000000" w:themeColor="text1"/>
          <w:shd w:val="clear" w:color="auto" w:fill="FFFFFF"/>
        </w:rPr>
        <w:t>, M., 2022. Development and experiment of the intelligent control system for rhizosphere temperature of aeroponic lettuce via the Internet of Things. </w:t>
      </w:r>
      <w:r w:rsidRPr="00D73189">
        <w:rPr>
          <w:rFonts w:ascii="Arial" w:hAnsi="Arial" w:cs="Arial"/>
          <w:i/>
          <w:iCs/>
          <w:color w:val="000000" w:themeColor="text1"/>
          <w:shd w:val="clear" w:color="auto" w:fill="FFFFFF"/>
        </w:rPr>
        <w:t xml:space="preserve">Int. J. </w:t>
      </w:r>
      <w:proofErr w:type="spellStart"/>
      <w:r w:rsidRPr="00D73189">
        <w:rPr>
          <w:rFonts w:ascii="Arial" w:hAnsi="Arial" w:cs="Arial"/>
          <w:i/>
          <w:iCs/>
          <w:color w:val="000000" w:themeColor="text1"/>
          <w:shd w:val="clear" w:color="auto" w:fill="FFFFFF"/>
        </w:rPr>
        <w:t>Agrl</w:t>
      </w:r>
      <w:proofErr w:type="spellEnd"/>
      <w:r w:rsidRPr="00D73189">
        <w:rPr>
          <w:rFonts w:ascii="Arial" w:hAnsi="Arial" w:cs="Arial"/>
          <w:i/>
          <w:iCs/>
          <w:color w:val="000000" w:themeColor="text1"/>
          <w:shd w:val="clear" w:color="auto" w:fill="FFFFFF"/>
        </w:rPr>
        <w:t xml:space="preserve"> and Biological </w:t>
      </w:r>
      <w:proofErr w:type="spellStart"/>
      <w:r w:rsidRPr="00D73189">
        <w:rPr>
          <w:rFonts w:ascii="Arial" w:hAnsi="Arial" w:cs="Arial"/>
          <w:i/>
          <w:iCs/>
          <w:color w:val="000000" w:themeColor="text1"/>
          <w:shd w:val="clear" w:color="auto" w:fill="FFFFFF"/>
        </w:rPr>
        <w:t>Engg</w:t>
      </w:r>
      <w:proofErr w:type="spellEnd"/>
      <w:r w:rsidRPr="00D73189">
        <w:rPr>
          <w:rFonts w:ascii="Arial" w:hAnsi="Arial" w:cs="Arial"/>
          <w:i/>
          <w:iCs/>
          <w:color w:val="000000" w:themeColor="text1"/>
          <w:shd w:val="clear" w:color="auto" w:fill="FFFFFF"/>
        </w:rPr>
        <w:t>.</w:t>
      </w:r>
      <w:r w:rsidRPr="00D73189">
        <w:rPr>
          <w:rFonts w:ascii="Arial" w:hAnsi="Arial" w:cs="Arial"/>
          <w:color w:val="000000" w:themeColor="text1"/>
          <w:shd w:val="clear" w:color="auto" w:fill="FFFFFF"/>
        </w:rPr>
        <w:t> </w:t>
      </w:r>
      <w:r w:rsidRPr="00D73189">
        <w:rPr>
          <w:rFonts w:ascii="Arial" w:hAnsi="Arial" w:cs="Arial"/>
          <w:i/>
          <w:iCs/>
          <w:color w:val="000000" w:themeColor="text1"/>
          <w:shd w:val="clear" w:color="auto" w:fill="FFFFFF"/>
        </w:rPr>
        <w:t>15</w:t>
      </w:r>
      <w:r w:rsidRPr="00D73189">
        <w:rPr>
          <w:rFonts w:ascii="Arial" w:hAnsi="Arial" w:cs="Arial"/>
          <w:color w:val="000000" w:themeColor="text1"/>
          <w:shd w:val="clear" w:color="auto" w:fill="FFFFFF"/>
        </w:rPr>
        <w:t>(3):225-233.</w:t>
      </w:r>
    </w:p>
    <w:p w14:paraId="03A40DE4"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Priya, O. V. and Sudha, R., 2021. Impact of Internet of things (IoT) in smart agriculture. In Recent Trends in Intensive Computing (pp. 40-47). IOS Press.</w:t>
      </w:r>
    </w:p>
    <w:p w14:paraId="47B59E0C"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UNSCD [The United Nations Conference on Sustainable Development]. 2012. The 17 goals. [online]. Available https://www.un.org/sustainabledevelopment/ sustainable-development-goals/ </w:t>
      </w:r>
    </w:p>
    <w:p w14:paraId="1D7D115F"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Winsor, G. W., Schwarz M., 1990. Soilless culture for horticulture crop production. FAO Plant Production and Protection Paper, Publication No. 101, Rome, Italy.</w:t>
      </w:r>
    </w:p>
    <w:p w14:paraId="62102946" w14:textId="77777777" w:rsidR="00A33D0D" w:rsidRPr="00D73189" w:rsidRDefault="00A33D0D" w:rsidP="00A33D0D">
      <w:pPr>
        <w:ind w:left="450" w:hanging="450"/>
        <w:jc w:val="both"/>
        <w:rPr>
          <w:rFonts w:ascii="Arial" w:hAnsi="Arial" w:cs="Arial"/>
          <w:color w:val="000000" w:themeColor="text1"/>
          <w:shd w:val="clear" w:color="auto" w:fill="FFFFFF"/>
        </w:rPr>
      </w:pPr>
      <w:r w:rsidRPr="00D73189">
        <w:rPr>
          <w:rFonts w:ascii="Arial" w:hAnsi="Arial" w:cs="Arial"/>
          <w:color w:val="000000" w:themeColor="text1"/>
          <w:shd w:val="clear" w:color="auto" w:fill="FFFFFF"/>
        </w:rPr>
        <w:t xml:space="preserve">Stutte, G.W., Parrish, C.H., </w:t>
      </w:r>
      <w:proofErr w:type="spellStart"/>
      <w:r w:rsidRPr="00D73189">
        <w:rPr>
          <w:rFonts w:ascii="Arial" w:hAnsi="Arial" w:cs="Arial"/>
          <w:color w:val="000000" w:themeColor="text1"/>
          <w:shd w:val="clear" w:color="auto" w:fill="FFFFFF"/>
        </w:rPr>
        <w:t>Bunchek</w:t>
      </w:r>
      <w:proofErr w:type="spellEnd"/>
      <w:r w:rsidRPr="00D73189">
        <w:rPr>
          <w:rFonts w:ascii="Arial" w:hAnsi="Arial" w:cs="Arial"/>
          <w:color w:val="000000" w:themeColor="text1"/>
          <w:shd w:val="clear" w:color="auto" w:fill="FFFFFF"/>
        </w:rPr>
        <w:t>, J.M., Ashton, W.S., Waller, R.E., Liotta, M., de Souza, S.V., Giacomelli, G.A., Weeraratne, T.P., Wilder, C. and Nemeth, B., 2023. Controlled environment agriculture design standards (CEADS): purpose, development, and implementation. In </w:t>
      </w:r>
      <w:r w:rsidRPr="00D73189">
        <w:rPr>
          <w:rFonts w:ascii="Arial" w:hAnsi="Arial" w:cs="Arial"/>
          <w:i/>
          <w:iCs/>
          <w:color w:val="000000" w:themeColor="text1"/>
          <w:shd w:val="clear" w:color="auto" w:fill="FFFFFF"/>
        </w:rPr>
        <w:t>2023 ASABE Annual International Meeting</w:t>
      </w:r>
      <w:r w:rsidRPr="00D73189">
        <w:rPr>
          <w:rFonts w:ascii="Arial" w:hAnsi="Arial" w:cs="Arial"/>
          <w:color w:val="000000" w:themeColor="text1"/>
          <w:shd w:val="clear" w:color="auto" w:fill="FFFFFF"/>
        </w:rPr>
        <w:t> (p. 1). American Society of Agricultural and Biological Engineers.</w:t>
      </w:r>
    </w:p>
    <w:p w14:paraId="210C5260"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 xml:space="preserve">UNSCD [The United Nations Conference on Sustainable Development]. 2012. The 17 goals. [online]. Available https://www.un.org/sustainabledevelopment/ sustainable-development-goals/ </w:t>
      </w:r>
    </w:p>
    <w:p w14:paraId="70C0EE96" w14:textId="77777777" w:rsidR="00A33D0D" w:rsidRPr="00D73189" w:rsidRDefault="00A33D0D" w:rsidP="00A33D0D">
      <w:pPr>
        <w:ind w:left="450" w:hanging="450"/>
        <w:jc w:val="both"/>
        <w:rPr>
          <w:rFonts w:ascii="Arial" w:hAnsi="Arial" w:cs="Arial"/>
          <w:color w:val="000000" w:themeColor="text1"/>
        </w:rPr>
      </w:pPr>
      <w:r w:rsidRPr="00D73189">
        <w:rPr>
          <w:rFonts w:ascii="Arial" w:hAnsi="Arial" w:cs="Arial"/>
          <w:color w:val="000000" w:themeColor="text1"/>
        </w:rPr>
        <w:t>Winsor, G. W., Schwarz M., 1990. Soilless culture for horticulture crop production. FAO Plant Production and Protection Paper, Publication No. 101, Rome, Italy.</w:t>
      </w:r>
    </w:p>
    <w:p w14:paraId="348DD5CC" w14:textId="77777777" w:rsidR="00893588" w:rsidRPr="00D73189" w:rsidRDefault="00893588" w:rsidP="00893588">
      <w:pPr>
        <w:spacing w:afterLines="80" w:after="192"/>
        <w:jc w:val="both"/>
        <w:rPr>
          <w:rFonts w:ascii="Arial" w:hAnsi="Arial" w:cs="Arial"/>
          <w:color w:val="000000" w:themeColor="text1"/>
        </w:rPr>
      </w:pPr>
    </w:p>
    <w:sectPr w:rsidR="00893588" w:rsidRPr="00D73189" w:rsidSect="00E9299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2740A" w14:textId="77777777" w:rsidR="00413C81" w:rsidRDefault="00413C81" w:rsidP="00C37E61">
      <w:r>
        <w:separator/>
      </w:r>
    </w:p>
  </w:endnote>
  <w:endnote w:type="continuationSeparator" w:id="0">
    <w:p w14:paraId="5D1ADD17" w14:textId="77777777" w:rsidR="00413C81" w:rsidRDefault="00413C8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39F1" w14:textId="77777777" w:rsidR="00E92990" w:rsidRDefault="00E92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BBAFF" w14:textId="77777777" w:rsidR="00E92990" w:rsidRDefault="00E929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99FEB" w14:textId="16E996C8" w:rsidR="00754C9A" w:rsidRPr="00182C0C" w:rsidRDefault="00754C9A" w:rsidP="00182C0C">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55D51" w14:textId="77777777" w:rsidR="00413C81" w:rsidRDefault="00413C81" w:rsidP="00C37E61">
      <w:r>
        <w:separator/>
      </w:r>
    </w:p>
  </w:footnote>
  <w:footnote w:type="continuationSeparator" w:id="0">
    <w:p w14:paraId="548BEE83" w14:textId="77777777" w:rsidR="00413C81" w:rsidRDefault="00413C8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A9FA" w14:textId="71C03781" w:rsidR="00E92990" w:rsidRDefault="00E92990">
    <w:pPr>
      <w:pStyle w:val="Header"/>
    </w:pPr>
    <w:r>
      <w:rPr>
        <w:noProof/>
      </w:rPr>
      <w:pict w14:anchorId="50EEB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9469" w14:textId="2099BFC6" w:rsidR="00E92990" w:rsidRDefault="00E92990">
    <w:pPr>
      <w:pStyle w:val="Header"/>
    </w:pPr>
    <w:r>
      <w:rPr>
        <w:noProof/>
      </w:rPr>
      <w:pict w14:anchorId="14C69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19AD" w14:textId="39E98BB7" w:rsidR="00296529" w:rsidRPr="00296529" w:rsidRDefault="00E92990" w:rsidP="00296529">
    <w:pPr>
      <w:ind w:left="2160"/>
      <w:jc w:val="center"/>
      <w:rPr>
        <w:rFonts w:ascii="Times New Roman" w:eastAsia="Calibri" w:hAnsi="Times New Roman"/>
        <w:i/>
        <w:sz w:val="18"/>
        <w:szCs w:val="22"/>
      </w:rPr>
    </w:pPr>
    <w:r>
      <w:rPr>
        <w:noProof/>
      </w:rPr>
      <w:pict w14:anchorId="15BAC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38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83BF81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A92FB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997E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9196A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4DF2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65331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6074B"/>
    <w:multiLevelType w:val="hybridMultilevel"/>
    <w:tmpl w:val="03842AD6"/>
    <w:lvl w:ilvl="0" w:tplc="BE7E85B4">
      <w:start w:val="1"/>
      <w:numFmt w:val="bullet"/>
      <w:lvlText w:val="•"/>
      <w:lvlJc w:val="left"/>
      <w:pPr>
        <w:tabs>
          <w:tab w:val="num" w:pos="720"/>
        </w:tabs>
        <w:ind w:left="720" w:hanging="360"/>
      </w:pPr>
      <w:rPr>
        <w:rFonts w:ascii="Arial" w:hAnsi="Arial" w:hint="default"/>
      </w:rPr>
    </w:lvl>
    <w:lvl w:ilvl="1" w:tplc="F44A8322" w:tentative="1">
      <w:start w:val="1"/>
      <w:numFmt w:val="bullet"/>
      <w:lvlText w:val="•"/>
      <w:lvlJc w:val="left"/>
      <w:pPr>
        <w:tabs>
          <w:tab w:val="num" w:pos="1440"/>
        </w:tabs>
        <w:ind w:left="1440" w:hanging="360"/>
      </w:pPr>
      <w:rPr>
        <w:rFonts w:ascii="Arial" w:hAnsi="Arial" w:hint="default"/>
      </w:rPr>
    </w:lvl>
    <w:lvl w:ilvl="2" w:tplc="3B92B4B0" w:tentative="1">
      <w:start w:val="1"/>
      <w:numFmt w:val="bullet"/>
      <w:lvlText w:val="•"/>
      <w:lvlJc w:val="left"/>
      <w:pPr>
        <w:tabs>
          <w:tab w:val="num" w:pos="2160"/>
        </w:tabs>
        <w:ind w:left="2160" w:hanging="360"/>
      </w:pPr>
      <w:rPr>
        <w:rFonts w:ascii="Arial" w:hAnsi="Arial" w:hint="default"/>
      </w:rPr>
    </w:lvl>
    <w:lvl w:ilvl="3" w:tplc="40906444" w:tentative="1">
      <w:start w:val="1"/>
      <w:numFmt w:val="bullet"/>
      <w:lvlText w:val="•"/>
      <w:lvlJc w:val="left"/>
      <w:pPr>
        <w:tabs>
          <w:tab w:val="num" w:pos="2880"/>
        </w:tabs>
        <w:ind w:left="2880" w:hanging="360"/>
      </w:pPr>
      <w:rPr>
        <w:rFonts w:ascii="Arial" w:hAnsi="Arial" w:hint="default"/>
      </w:rPr>
    </w:lvl>
    <w:lvl w:ilvl="4" w:tplc="F6C8D6E6" w:tentative="1">
      <w:start w:val="1"/>
      <w:numFmt w:val="bullet"/>
      <w:lvlText w:val="•"/>
      <w:lvlJc w:val="left"/>
      <w:pPr>
        <w:tabs>
          <w:tab w:val="num" w:pos="3600"/>
        </w:tabs>
        <w:ind w:left="3600" w:hanging="360"/>
      </w:pPr>
      <w:rPr>
        <w:rFonts w:ascii="Arial" w:hAnsi="Arial" w:hint="default"/>
      </w:rPr>
    </w:lvl>
    <w:lvl w:ilvl="5" w:tplc="B6C081B0" w:tentative="1">
      <w:start w:val="1"/>
      <w:numFmt w:val="bullet"/>
      <w:lvlText w:val="•"/>
      <w:lvlJc w:val="left"/>
      <w:pPr>
        <w:tabs>
          <w:tab w:val="num" w:pos="4320"/>
        </w:tabs>
        <w:ind w:left="4320" w:hanging="360"/>
      </w:pPr>
      <w:rPr>
        <w:rFonts w:ascii="Arial" w:hAnsi="Arial" w:hint="default"/>
      </w:rPr>
    </w:lvl>
    <w:lvl w:ilvl="6" w:tplc="C08AFDA6" w:tentative="1">
      <w:start w:val="1"/>
      <w:numFmt w:val="bullet"/>
      <w:lvlText w:val="•"/>
      <w:lvlJc w:val="left"/>
      <w:pPr>
        <w:tabs>
          <w:tab w:val="num" w:pos="5040"/>
        </w:tabs>
        <w:ind w:left="5040" w:hanging="360"/>
      </w:pPr>
      <w:rPr>
        <w:rFonts w:ascii="Arial" w:hAnsi="Arial" w:hint="default"/>
      </w:rPr>
    </w:lvl>
    <w:lvl w:ilvl="7" w:tplc="8D8C9BBE" w:tentative="1">
      <w:start w:val="1"/>
      <w:numFmt w:val="bullet"/>
      <w:lvlText w:val="•"/>
      <w:lvlJc w:val="left"/>
      <w:pPr>
        <w:tabs>
          <w:tab w:val="num" w:pos="5760"/>
        </w:tabs>
        <w:ind w:left="5760" w:hanging="360"/>
      </w:pPr>
      <w:rPr>
        <w:rFonts w:ascii="Arial" w:hAnsi="Arial" w:hint="default"/>
      </w:rPr>
    </w:lvl>
    <w:lvl w:ilvl="8" w:tplc="2CDC51D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C25A29"/>
    <w:multiLevelType w:val="hybridMultilevel"/>
    <w:tmpl w:val="2C52B188"/>
    <w:lvl w:ilvl="0" w:tplc="1A7C5736">
      <w:start w:val="1"/>
      <w:numFmt w:val="bullet"/>
      <w:lvlText w:val=""/>
      <w:lvlJc w:val="left"/>
      <w:pPr>
        <w:tabs>
          <w:tab w:val="num" w:pos="720"/>
        </w:tabs>
        <w:ind w:left="720" w:hanging="360"/>
      </w:pPr>
      <w:rPr>
        <w:rFonts w:ascii="Wingdings" w:hAnsi="Wingdings" w:hint="default"/>
      </w:rPr>
    </w:lvl>
    <w:lvl w:ilvl="1" w:tplc="2BD611A0" w:tentative="1">
      <w:start w:val="1"/>
      <w:numFmt w:val="bullet"/>
      <w:lvlText w:val=""/>
      <w:lvlJc w:val="left"/>
      <w:pPr>
        <w:tabs>
          <w:tab w:val="num" w:pos="1440"/>
        </w:tabs>
        <w:ind w:left="1440" w:hanging="360"/>
      </w:pPr>
      <w:rPr>
        <w:rFonts w:ascii="Wingdings" w:hAnsi="Wingdings" w:hint="default"/>
      </w:rPr>
    </w:lvl>
    <w:lvl w:ilvl="2" w:tplc="66CAD412" w:tentative="1">
      <w:start w:val="1"/>
      <w:numFmt w:val="bullet"/>
      <w:lvlText w:val=""/>
      <w:lvlJc w:val="left"/>
      <w:pPr>
        <w:tabs>
          <w:tab w:val="num" w:pos="2160"/>
        </w:tabs>
        <w:ind w:left="2160" w:hanging="360"/>
      </w:pPr>
      <w:rPr>
        <w:rFonts w:ascii="Wingdings" w:hAnsi="Wingdings" w:hint="default"/>
      </w:rPr>
    </w:lvl>
    <w:lvl w:ilvl="3" w:tplc="64D48558" w:tentative="1">
      <w:start w:val="1"/>
      <w:numFmt w:val="bullet"/>
      <w:lvlText w:val=""/>
      <w:lvlJc w:val="left"/>
      <w:pPr>
        <w:tabs>
          <w:tab w:val="num" w:pos="2880"/>
        </w:tabs>
        <w:ind w:left="2880" w:hanging="360"/>
      </w:pPr>
      <w:rPr>
        <w:rFonts w:ascii="Wingdings" w:hAnsi="Wingdings" w:hint="default"/>
      </w:rPr>
    </w:lvl>
    <w:lvl w:ilvl="4" w:tplc="EB50D970" w:tentative="1">
      <w:start w:val="1"/>
      <w:numFmt w:val="bullet"/>
      <w:lvlText w:val=""/>
      <w:lvlJc w:val="left"/>
      <w:pPr>
        <w:tabs>
          <w:tab w:val="num" w:pos="3600"/>
        </w:tabs>
        <w:ind w:left="3600" w:hanging="360"/>
      </w:pPr>
      <w:rPr>
        <w:rFonts w:ascii="Wingdings" w:hAnsi="Wingdings" w:hint="default"/>
      </w:rPr>
    </w:lvl>
    <w:lvl w:ilvl="5" w:tplc="22B61FA6" w:tentative="1">
      <w:start w:val="1"/>
      <w:numFmt w:val="bullet"/>
      <w:lvlText w:val=""/>
      <w:lvlJc w:val="left"/>
      <w:pPr>
        <w:tabs>
          <w:tab w:val="num" w:pos="4320"/>
        </w:tabs>
        <w:ind w:left="4320" w:hanging="360"/>
      </w:pPr>
      <w:rPr>
        <w:rFonts w:ascii="Wingdings" w:hAnsi="Wingdings" w:hint="default"/>
      </w:rPr>
    </w:lvl>
    <w:lvl w:ilvl="6" w:tplc="7C6E19BC" w:tentative="1">
      <w:start w:val="1"/>
      <w:numFmt w:val="bullet"/>
      <w:lvlText w:val=""/>
      <w:lvlJc w:val="left"/>
      <w:pPr>
        <w:tabs>
          <w:tab w:val="num" w:pos="5040"/>
        </w:tabs>
        <w:ind w:left="5040" w:hanging="360"/>
      </w:pPr>
      <w:rPr>
        <w:rFonts w:ascii="Wingdings" w:hAnsi="Wingdings" w:hint="default"/>
      </w:rPr>
    </w:lvl>
    <w:lvl w:ilvl="7" w:tplc="A0B6174E" w:tentative="1">
      <w:start w:val="1"/>
      <w:numFmt w:val="bullet"/>
      <w:lvlText w:val=""/>
      <w:lvlJc w:val="left"/>
      <w:pPr>
        <w:tabs>
          <w:tab w:val="num" w:pos="5760"/>
        </w:tabs>
        <w:ind w:left="5760" w:hanging="360"/>
      </w:pPr>
      <w:rPr>
        <w:rFonts w:ascii="Wingdings" w:hAnsi="Wingdings" w:hint="default"/>
      </w:rPr>
    </w:lvl>
    <w:lvl w:ilvl="8" w:tplc="4D621B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C85F58"/>
    <w:multiLevelType w:val="hybridMultilevel"/>
    <w:tmpl w:val="06C65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6A0847"/>
    <w:multiLevelType w:val="hybridMultilevel"/>
    <w:tmpl w:val="98D6D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B4A3E"/>
    <w:multiLevelType w:val="hybridMultilevel"/>
    <w:tmpl w:val="EFF2D0A2"/>
    <w:lvl w:ilvl="0" w:tplc="7BCE25DA">
      <w:start w:val="1"/>
      <w:numFmt w:val="bullet"/>
      <w:lvlText w:val=""/>
      <w:lvlJc w:val="left"/>
      <w:pPr>
        <w:tabs>
          <w:tab w:val="num" w:pos="720"/>
        </w:tabs>
        <w:ind w:left="720" w:hanging="360"/>
      </w:pPr>
      <w:rPr>
        <w:rFonts w:ascii="Wingdings" w:hAnsi="Wingdings" w:hint="default"/>
      </w:rPr>
    </w:lvl>
    <w:lvl w:ilvl="1" w:tplc="8CCC1902" w:tentative="1">
      <w:start w:val="1"/>
      <w:numFmt w:val="bullet"/>
      <w:lvlText w:val=""/>
      <w:lvlJc w:val="left"/>
      <w:pPr>
        <w:tabs>
          <w:tab w:val="num" w:pos="1440"/>
        </w:tabs>
        <w:ind w:left="1440" w:hanging="360"/>
      </w:pPr>
      <w:rPr>
        <w:rFonts w:ascii="Wingdings" w:hAnsi="Wingdings" w:hint="default"/>
      </w:rPr>
    </w:lvl>
    <w:lvl w:ilvl="2" w:tplc="E3328470" w:tentative="1">
      <w:start w:val="1"/>
      <w:numFmt w:val="bullet"/>
      <w:lvlText w:val=""/>
      <w:lvlJc w:val="left"/>
      <w:pPr>
        <w:tabs>
          <w:tab w:val="num" w:pos="2160"/>
        </w:tabs>
        <w:ind w:left="2160" w:hanging="360"/>
      </w:pPr>
      <w:rPr>
        <w:rFonts w:ascii="Wingdings" w:hAnsi="Wingdings" w:hint="default"/>
      </w:rPr>
    </w:lvl>
    <w:lvl w:ilvl="3" w:tplc="3A22B698" w:tentative="1">
      <w:start w:val="1"/>
      <w:numFmt w:val="bullet"/>
      <w:lvlText w:val=""/>
      <w:lvlJc w:val="left"/>
      <w:pPr>
        <w:tabs>
          <w:tab w:val="num" w:pos="2880"/>
        </w:tabs>
        <w:ind w:left="2880" w:hanging="360"/>
      </w:pPr>
      <w:rPr>
        <w:rFonts w:ascii="Wingdings" w:hAnsi="Wingdings" w:hint="default"/>
      </w:rPr>
    </w:lvl>
    <w:lvl w:ilvl="4" w:tplc="85A0F5FC" w:tentative="1">
      <w:start w:val="1"/>
      <w:numFmt w:val="bullet"/>
      <w:lvlText w:val=""/>
      <w:lvlJc w:val="left"/>
      <w:pPr>
        <w:tabs>
          <w:tab w:val="num" w:pos="3600"/>
        </w:tabs>
        <w:ind w:left="3600" w:hanging="360"/>
      </w:pPr>
      <w:rPr>
        <w:rFonts w:ascii="Wingdings" w:hAnsi="Wingdings" w:hint="default"/>
      </w:rPr>
    </w:lvl>
    <w:lvl w:ilvl="5" w:tplc="76C6F562" w:tentative="1">
      <w:start w:val="1"/>
      <w:numFmt w:val="bullet"/>
      <w:lvlText w:val=""/>
      <w:lvlJc w:val="left"/>
      <w:pPr>
        <w:tabs>
          <w:tab w:val="num" w:pos="4320"/>
        </w:tabs>
        <w:ind w:left="4320" w:hanging="360"/>
      </w:pPr>
      <w:rPr>
        <w:rFonts w:ascii="Wingdings" w:hAnsi="Wingdings" w:hint="default"/>
      </w:rPr>
    </w:lvl>
    <w:lvl w:ilvl="6" w:tplc="70BC6D5C" w:tentative="1">
      <w:start w:val="1"/>
      <w:numFmt w:val="bullet"/>
      <w:lvlText w:val=""/>
      <w:lvlJc w:val="left"/>
      <w:pPr>
        <w:tabs>
          <w:tab w:val="num" w:pos="5040"/>
        </w:tabs>
        <w:ind w:left="5040" w:hanging="360"/>
      </w:pPr>
      <w:rPr>
        <w:rFonts w:ascii="Wingdings" w:hAnsi="Wingdings" w:hint="default"/>
      </w:rPr>
    </w:lvl>
    <w:lvl w:ilvl="7" w:tplc="D66C931A" w:tentative="1">
      <w:start w:val="1"/>
      <w:numFmt w:val="bullet"/>
      <w:lvlText w:val=""/>
      <w:lvlJc w:val="left"/>
      <w:pPr>
        <w:tabs>
          <w:tab w:val="num" w:pos="5760"/>
        </w:tabs>
        <w:ind w:left="5760" w:hanging="360"/>
      </w:pPr>
      <w:rPr>
        <w:rFonts w:ascii="Wingdings" w:hAnsi="Wingdings" w:hint="default"/>
      </w:rPr>
    </w:lvl>
    <w:lvl w:ilvl="8" w:tplc="B562FD6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8B423C"/>
    <w:multiLevelType w:val="hybridMultilevel"/>
    <w:tmpl w:val="67C0AD38"/>
    <w:lvl w:ilvl="0" w:tplc="B5C26FB4">
      <w:start w:val="1"/>
      <w:numFmt w:val="bullet"/>
      <w:lvlText w:val=""/>
      <w:lvlJc w:val="left"/>
      <w:pPr>
        <w:tabs>
          <w:tab w:val="num" w:pos="720"/>
        </w:tabs>
        <w:ind w:left="720" w:hanging="360"/>
      </w:pPr>
      <w:rPr>
        <w:rFonts w:ascii="Wingdings" w:hAnsi="Wingdings" w:hint="default"/>
      </w:rPr>
    </w:lvl>
    <w:lvl w:ilvl="1" w:tplc="CAC47F90" w:tentative="1">
      <w:start w:val="1"/>
      <w:numFmt w:val="bullet"/>
      <w:lvlText w:val=""/>
      <w:lvlJc w:val="left"/>
      <w:pPr>
        <w:tabs>
          <w:tab w:val="num" w:pos="1440"/>
        </w:tabs>
        <w:ind w:left="1440" w:hanging="360"/>
      </w:pPr>
      <w:rPr>
        <w:rFonts w:ascii="Wingdings" w:hAnsi="Wingdings" w:hint="default"/>
      </w:rPr>
    </w:lvl>
    <w:lvl w:ilvl="2" w:tplc="395CE040" w:tentative="1">
      <w:start w:val="1"/>
      <w:numFmt w:val="bullet"/>
      <w:lvlText w:val=""/>
      <w:lvlJc w:val="left"/>
      <w:pPr>
        <w:tabs>
          <w:tab w:val="num" w:pos="2160"/>
        </w:tabs>
        <w:ind w:left="2160" w:hanging="360"/>
      </w:pPr>
      <w:rPr>
        <w:rFonts w:ascii="Wingdings" w:hAnsi="Wingdings" w:hint="default"/>
      </w:rPr>
    </w:lvl>
    <w:lvl w:ilvl="3" w:tplc="A860E9D0" w:tentative="1">
      <w:start w:val="1"/>
      <w:numFmt w:val="bullet"/>
      <w:lvlText w:val=""/>
      <w:lvlJc w:val="left"/>
      <w:pPr>
        <w:tabs>
          <w:tab w:val="num" w:pos="2880"/>
        </w:tabs>
        <w:ind w:left="2880" w:hanging="360"/>
      </w:pPr>
      <w:rPr>
        <w:rFonts w:ascii="Wingdings" w:hAnsi="Wingdings" w:hint="default"/>
      </w:rPr>
    </w:lvl>
    <w:lvl w:ilvl="4" w:tplc="94B68A18" w:tentative="1">
      <w:start w:val="1"/>
      <w:numFmt w:val="bullet"/>
      <w:lvlText w:val=""/>
      <w:lvlJc w:val="left"/>
      <w:pPr>
        <w:tabs>
          <w:tab w:val="num" w:pos="3600"/>
        </w:tabs>
        <w:ind w:left="3600" w:hanging="360"/>
      </w:pPr>
      <w:rPr>
        <w:rFonts w:ascii="Wingdings" w:hAnsi="Wingdings" w:hint="default"/>
      </w:rPr>
    </w:lvl>
    <w:lvl w:ilvl="5" w:tplc="662CFF76" w:tentative="1">
      <w:start w:val="1"/>
      <w:numFmt w:val="bullet"/>
      <w:lvlText w:val=""/>
      <w:lvlJc w:val="left"/>
      <w:pPr>
        <w:tabs>
          <w:tab w:val="num" w:pos="4320"/>
        </w:tabs>
        <w:ind w:left="4320" w:hanging="360"/>
      </w:pPr>
      <w:rPr>
        <w:rFonts w:ascii="Wingdings" w:hAnsi="Wingdings" w:hint="default"/>
      </w:rPr>
    </w:lvl>
    <w:lvl w:ilvl="6" w:tplc="0F7A1860" w:tentative="1">
      <w:start w:val="1"/>
      <w:numFmt w:val="bullet"/>
      <w:lvlText w:val=""/>
      <w:lvlJc w:val="left"/>
      <w:pPr>
        <w:tabs>
          <w:tab w:val="num" w:pos="5040"/>
        </w:tabs>
        <w:ind w:left="5040" w:hanging="360"/>
      </w:pPr>
      <w:rPr>
        <w:rFonts w:ascii="Wingdings" w:hAnsi="Wingdings" w:hint="default"/>
      </w:rPr>
    </w:lvl>
    <w:lvl w:ilvl="7" w:tplc="6212A286" w:tentative="1">
      <w:start w:val="1"/>
      <w:numFmt w:val="bullet"/>
      <w:lvlText w:val=""/>
      <w:lvlJc w:val="left"/>
      <w:pPr>
        <w:tabs>
          <w:tab w:val="num" w:pos="5760"/>
        </w:tabs>
        <w:ind w:left="5760" w:hanging="360"/>
      </w:pPr>
      <w:rPr>
        <w:rFonts w:ascii="Wingdings" w:hAnsi="Wingdings" w:hint="default"/>
      </w:rPr>
    </w:lvl>
    <w:lvl w:ilvl="8" w:tplc="74C88E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35F08CD"/>
    <w:multiLevelType w:val="hybridMultilevel"/>
    <w:tmpl w:val="84B22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503AE"/>
    <w:multiLevelType w:val="hybridMultilevel"/>
    <w:tmpl w:val="C002B85A"/>
    <w:lvl w:ilvl="0" w:tplc="AF026434">
      <w:start w:val="1"/>
      <w:numFmt w:val="bullet"/>
      <w:lvlText w:val="o"/>
      <w:lvlJc w:val="left"/>
      <w:pPr>
        <w:tabs>
          <w:tab w:val="num" w:pos="720"/>
        </w:tabs>
        <w:ind w:left="720" w:hanging="360"/>
      </w:pPr>
      <w:rPr>
        <w:rFonts w:ascii="Courier New" w:hAnsi="Courier New" w:hint="default"/>
      </w:rPr>
    </w:lvl>
    <w:lvl w:ilvl="1" w:tplc="BE7E85B4">
      <w:start w:val="1"/>
      <w:numFmt w:val="bullet"/>
      <w:lvlText w:val="•"/>
      <w:lvlJc w:val="left"/>
      <w:pPr>
        <w:tabs>
          <w:tab w:val="num" w:pos="1440"/>
        </w:tabs>
        <w:ind w:left="1440" w:hanging="360"/>
      </w:pPr>
      <w:rPr>
        <w:rFonts w:ascii="Arial" w:hAnsi="Arial" w:hint="default"/>
      </w:rPr>
    </w:lvl>
    <w:lvl w:ilvl="2" w:tplc="0F08E212" w:tentative="1">
      <w:start w:val="1"/>
      <w:numFmt w:val="bullet"/>
      <w:lvlText w:val="o"/>
      <w:lvlJc w:val="left"/>
      <w:pPr>
        <w:tabs>
          <w:tab w:val="num" w:pos="2160"/>
        </w:tabs>
        <w:ind w:left="2160" w:hanging="360"/>
      </w:pPr>
      <w:rPr>
        <w:rFonts w:ascii="Courier New" w:hAnsi="Courier New" w:hint="default"/>
      </w:rPr>
    </w:lvl>
    <w:lvl w:ilvl="3" w:tplc="8690C6E0" w:tentative="1">
      <w:start w:val="1"/>
      <w:numFmt w:val="bullet"/>
      <w:lvlText w:val="o"/>
      <w:lvlJc w:val="left"/>
      <w:pPr>
        <w:tabs>
          <w:tab w:val="num" w:pos="2880"/>
        </w:tabs>
        <w:ind w:left="2880" w:hanging="360"/>
      </w:pPr>
      <w:rPr>
        <w:rFonts w:ascii="Courier New" w:hAnsi="Courier New" w:hint="default"/>
      </w:rPr>
    </w:lvl>
    <w:lvl w:ilvl="4" w:tplc="07406034" w:tentative="1">
      <w:start w:val="1"/>
      <w:numFmt w:val="bullet"/>
      <w:lvlText w:val="o"/>
      <w:lvlJc w:val="left"/>
      <w:pPr>
        <w:tabs>
          <w:tab w:val="num" w:pos="3600"/>
        </w:tabs>
        <w:ind w:left="3600" w:hanging="360"/>
      </w:pPr>
      <w:rPr>
        <w:rFonts w:ascii="Courier New" w:hAnsi="Courier New" w:hint="default"/>
      </w:rPr>
    </w:lvl>
    <w:lvl w:ilvl="5" w:tplc="0C96204C" w:tentative="1">
      <w:start w:val="1"/>
      <w:numFmt w:val="bullet"/>
      <w:lvlText w:val="o"/>
      <w:lvlJc w:val="left"/>
      <w:pPr>
        <w:tabs>
          <w:tab w:val="num" w:pos="4320"/>
        </w:tabs>
        <w:ind w:left="4320" w:hanging="360"/>
      </w:pPr>
      <w:rPr>
        <w:rFonts w:ascii="Courier New" w:hAnsi="Courier New" w:hint="default"/>
      </w:rPr>
    </w:lvl>
    <w:lvl w:ilvl="6" w:tplc="85B61590" w:tentative="1">
      <w:start w:val="1"/>
      <w:numFmt w:val="bullet"/>
      <w:lvlText w:val="o"/>
      <w:lvlJc w:val="left"/>
      <w:pPr>
        <w:tabs>
          <w:tab w:val="num" w:pos="5040"/>
        </w:tabs>
        <w:ind w:left="5040" w:hanging="360"/>
      </w:pPr>
      <w:rPr>
        <w:rFonts w:ascii="Courier New" w:hAnsi="Courier New" w:hint="default"/>
      </w:rPr>
    </w:lvl>
    <w:lvl w:ilvl="7" w:tplc="753AD584" w:tentative="1">
      <w:start w:val="1"/>
      <w:numFmt w:val="bullet"/>
      <w:lvlText w:val="o"/>
      <w:lvlJc w:val="left"/>
      <w:pPr>
        <w:tabs>
          <w:tab w:val="num" w:pos="5760"/>
        </w:tabs>
        <w:ind w:left="5760" w:hanging="360"/>
      </w:pPr>
      <w:rPr>
        <w:rFonts w:ascii="Courier New" w:hAnsi="Courier New" w:hint="default"/>
      </w:rPr>
    </w:lvl>
    <w:lvl w:ilvl="8" w:tplc="DFC64012"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40CD4C38"/>
    <w:multiLevelType w:val="hybridMultilevel"/>
    <w:tmpl w:val="71F08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50C30"/>
    <w:multiLevelType w:val="hybridMultilevel"/>
    <w:tmpl w:val="DC4E3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81D11"/>
    <w:multiLevelType w:val="hybridMultilevel"/>
    <w:tmpl w:val="7E2CF2A4"/>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5CA35A5"/>
    <w:multiLevelType w:val="multilevel"/>
    <w:tmpl w:val="FF9CC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E07E55"/>
    <w:multiLevelType w:val="hybridMultilevel"/>
    <w:tmpl w:val="F5CAC79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2" w15:restartNumberingAfterBreak="0">
    <w:nsid w:val="707F0989"/>
    <w:multiLevelType w:val="hybridMultilevel"/>
    <w:tmpl w:val="DFC29694"/>
    <w:lvl w:ilvl="0" w:tplc="3DB8214A">
      <w:start w:val="1"/>
      <w:numFmt w:val="bullet"/>
      <w:lvlText w:val=""/>
      <w:lvlJc w:val="left"/>
      <w:pPr>
        <w:tabs>
          <w:tab w:val="num" w:pos="720"/>
        </w:tabs>
        <w:ind w:left="720" w:hanging="360"/>
      </w:pPr>
      <w:rPr>
        <w:rFonts w:ascii="Wingdings" w:hAnsi="Wingdings" w:hint="default"/>
      </w:rPr>
    </w:lvl>
    <w:lvl w:ilvl="1" w:tplc="71F09E96" w:tentative="1">
      <w:start w:val="1"/>
      <w:numFmt w:val="bullet"/>
      <w:lvlText w:val=""/>
      <w:lvlJc w:val="left"/>
      <w:pPr>
        <w:tabs>
          <w:tab w:val="num" w:pos="1440"/>
        </w:tabs>
        <w:ind w:left="1440" w:hanging="360"/>
      </w:pPr>
      <w:rPr>
        <w:rFonts w:ascii="Wingdings" w:hAnsi="Wingdings" w:hint="default"/>
      </w:rPr>
    </w:lvl>
    <w:lvl w:ilvl="2" w:tplc="5912709E" w:tentative="1">
      <w:start w:val="1"/>
      <w:numFmt w:val="bullet"/>
      <w:lvlText w:val=""/>
      <w:lvlJc w:val="left"/>
      <w:pPr>
        <w:tabs>
          <w:tab w:val="num" w:pos="2160"/>
        </w:tabs>
        <w:ind w:left="2160" w:hanging="360"/>
      </w:pPr>
      <w:rPr>
        <w:rFonts w:ascii="Wingdings" w:hAnsi="Wingdings" w:hint="default"/>
      </w:rPr>
    </w:lvl>
    <w:lvl w:ilvl="3" w:tplc="DE0E63C0" w:tentative="1">
      <w:start w:val="1"/>
      <w:numFmt w:val="bullet"/>
      <w:lvlText w:val=""/>
      <w:lvlJc w:val="left"/>
      <w:pPr>
        <w:tabs>
          <w:tab w:val="num" w:pos="2880"/>
        </w:tabs>
        <w:ind w:left="2880" w:hanging="360"/>
      </w:pPr>
      <w:rPr>
        <w:rFonts w:ascii="Wingdings" w:hAnsi="Wingdings" w:hint="default"/>
      </w:rPr>
    </w:lvl>
    <w:lvl w:ilvl="4" w:tplc="28BC0FFE" w:tentative="1">
      <w:start w:val="1"/>
      <w:numFmt w:val="bullet"/>
      <w:lvlText w:val=""/>
      <w:lvlJc w:val="left"/>
      <w:pPr>
        <w:tabs>
          <w:tab w:val="num" w:pos="3600"/>
        </w:tabs>
        <w:ind w:left="3600" w:hanging="360"/>
      </w:pPr>
      <w:rPr>
        <w:rFonts w:ascii="Wingdings" w:hAnsi="Wingdings" w:hint="default"/>
      </w:rPr>
    </w:lvl>
    <w:lvl w:ilvl="5" w:tplc="BF50EBAE" w:tentative="1">
      <w:start w:val="1"/>
      <w:numFmt w:val="bullet"/>
      <w:lvlText w:val=""/>
      <w:lvlJc w:val="left"/>
      <w:pPr>
        <w:tabs>
          <w:tab w:val="num" w:pos="4320"/>
        </w:tabs>
        <w:ind w:left="4320" w:hanging="360"/>
      </w:pPr>
      <w:rPr>
        <w:rFonts w:ascii="Wingdings" w:hAnsi="Wingdings" w:hint="default"/>
      </w:rPr>
    </w:lvl>
    <w:lvl w:ilvl="6" w:tplc="030A029A" w:tentative="1">
      <w:start w:val="1"/>
      <w:numFmt w:val="bullet"/>
      <w:lvlText w:val=""/>
      <w:lvlJc w:val="left"/>
      <w:pPr>
        <w:tabs>
          <w:tab w:val="num" w:pos="5040"/>
        </w:tabs>
        <w:ind w:left="5040" w:hanging="360"/>
      </w:pPr>
      <w:rPr>
        <w:rFonts w:ascii="Wingdings" w:hAnsi="Wingdings" w:hint="default"/>
      </w:rPr>
    </w:lvl>
    <w:lvl w:ilvl="7" w:tplc="24181502" w:tentative="1">
      <w:start w:val="1"/>
      <w:numFmt w:val="bullet"/>
      <w:lvlText w:val=""/>
      <w:lvlJc w:val="left"/>
      <w:pPr>
        <w:tabs>
          <w:tab w:val="num" w:pos="5760"/>
        </w:tabs>
        <w:ind w:left="5760" w:hanging="360"/>
      </w:pPr>
      <w:rPr>
        <w:rFonts w:ascii="Wingdings" w:hAnsi="Wingdings" w:hint="default"/>
      </w:rPr>
    </w:lvl>
    <w:lvl w:ilvl="8" w:tplc="5376699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C3486A"/>
    <w:multiLevelType w:val="hybridMultilevel"/>
    <w:tmpl w:val="B4EA1A1C"/>
    <w:lvl w:ilvl="0" w:tplc="615EE3B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C5A54"/>
    <w:multiLevelType w:val="hybridMultilevel"/>
    <w:tmpl w:val="F9B4F78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7"/>
  </w:num>
  <w:num w:numId="9">
    <w:abstractNumId w:val="40"/>
  </w:num>
  <w:num w:numId="10">
    <w:abstractNumId w:val="2"/>
  </w:num>
  <w:num w:numId="11">
    <w:abstractNumId w:val="30"/>
  </w:num>
  <w:num w:numId="12">
    <w:abstractNumId w:val="3"/>
  </w:num>
  <w:num w:numId="13">
    <w:abstractNumId w:val="28"/>
  </w:num>
  <w:num w:numId="14">
    <w:abstractNumId w:val="11"/>
  </w:num>
  <w:num w:numId="15">
    <w:abstractNumId w:val="36"/>
  </w:num>
  <w:num w:numId="16">
    <w:abstractNumId w:val="6"/>
  </w:num>
  <w:num w:numId="17">
    <w:abstractNumId w:val="37"/>
  </w:num>
  <w:num w:numId="18">
    <w:abstractNumId w:val="20"/>
  </w:num>
  <w:num w:numId="19">
    <w:abstractNumId w:val="44"/>
  </w:num>
  <w:num w:numId="20">
    <w:abstractNumId w:val="14"/>
  </w:num>
  <w:num w:numId="21">
    <w:abstractNumId w:val="12"/>
  </w:num>
  <w:num w:numId="22">
    <w:abstractNumId w:val="19"/>
  </w:num>
  <w:num w:numId="23">
    <w:abstractNumId w:val="34"/>
  </w:num>
  <w:num w:numId="24">
    <w:abstractNumId w:val="41"/>
  </w:num>
  <w:num w:numId="25">
    <w:abstractNumId w:val="4"/>
  </w:num>
  <w:num w:numId="26">
    <w:abstractNumId w:val="26"/>
  </w:num>
  <w:num w:numId="27">
    <w:abstractNumId w:val="35"/>
  </w:num>
  <w:num w:numId="28">
    <w:abstractNumId w:val="43"/>
  </w:num>
  <w:num w:numId="29">
    <w:abstractNumId w:val="39"/>
  </w:num>
  <w:num w:numId="30">
    <w:abstractNumId w:val="13"/>
  </w:num>
  <w:num w:numId="31">
    <w:abstractNumId w:val="29"/>
  </w:num>
  <w:num w:numId="32">
    <w:abstractNumId w:val="33"/>
  </w:num>
  <w:num w:numId="33">
    <w:abstractNumId w:val="5"/>
  </w:num>
  <w:num w:numId="34">
    <w:abstractNumId w:val="18"/>
  </w:num>
  <w:num w:numId="35">
    <w:abstractNumId w:val="16"/>
  </w:num>
  <w:num w:numId="36">
    <w:abstractNumId w:val="32"/>
  </w:num>
  <w:num w:numId="37">
    <w:abstractNumId w:val="7"/>
  </w:num>
  <w:num w:numId="38">
    <w:abstractNumId w:val="22"/>
  </w:num>
  <w:num w:numId="39">
    <w:abstractNumId w:val="9"/>
  </w:num>
  <w:num w:numId="40">
    <w:abstractNumId w:val="15"/>
  </w:num>
  <w:num w:numId="41">
    <w:abstractNumId w:val="24"/>
  </w:num>
  <w:num w:numId="42">
    <w:abstractNumId w:val="21"/>
  </w:num>
  <w:num w:numId="43">
    <w:abstractNumId w:val="23"/>
  </w:num>
  <w:num w:numId="44">
    <w:abstractNumId w:val="42"/>
  </w:num>
  <w:num w:numId="45">
    <w:abstractNumId w:val="31"/>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IwtDQyMzIwMTe2MDdW0lEKTi0uzszPAykwrAUAFOL6fywAAAA="/>
  </w:docVars>
  <w:rsids>
    <w:rsidRoot w:val="00AA6219"/>
    <w:rsid w:val="00000F8F"/>
    <w:rsid w:val="00001652"/>
    <w:rsid w:val="00013361"/>
    <w:rsid w:val="00030174"/>
    <w:rsid w:val="00034C4F"/>
    <w:rsid w:val="0004579C"/>
    <w:rsid w:val="000A47FA"/>
    <w:rsid w:val="000A65D3"/>
    <w:rsid w:val="000B1E33"/>
    <w:rsid w:val="000D689F"/>
    <w:rsid w:val="000E7B7B"/>
    <w:rsid w:val="000E7D62"/>
    <w:rsid w:val="00103357"/>
    <w:rsid w:val="00115C6F"/>
    <w:rsid w:val="00116EA5"/>
    <w:rsid w:val="00123C9F"/>
    <w:rsid w:val="00126190"/>
    <w:rsid w:val="00130F17"/>
    <w:rsid w:val="001320BF"/>
    <w:rsid w:val="00133B83"/>
    <w:rsid w:val="00143781"/>
    <w:rsid w:val="00163BC4"/>
    <w:rsid w:val="00182C0C"/>
    <w:rsid w:val="00191062"/>
    <w:rsid w:val="0019241F"/>
    <w:rsid w:val="00192B72"/>
    <w:rsid w:val="001A29D8"/>
    <w:rsid w:val="001A5CAA"/>
    <w:rsid w:val="001B0427"/>
    <w:rsid w:val="001D3A51"/>
    <w:rsid w:val="001E10D2"/>
    <w:rsid w:val="001E25B4"/>
    <w:rsid w:val="001E44FE"/>
    <w:rsid w:val="001F5EAE"/>
    <w:rsid w:val="00200595"/>
    <w:rsid w:val="00204835"/>
    <w:rsid w:val="00231920"/>
    <w:rsid w:val="0023195C"/>
    <w:rsid w:val="0024282C"/>
    <w:rsid w:val="002460DC"/>
    <w:rsid w:val="00250985"/>
    <w:rsid w:val="002556F6"/>
    <w:rsid w:val="00283105"/>
    <w:rsid w:val="00284C4C"/>
    <w:rsid w:val="00287E68"/>
    <w:rsid w:val="00296529"/>
    <w:rsid w:val="002A7256"/>
    <w:rsid w:val="002B27FB"/>
    <w:rsid w:val="002B685A"/>
    <w:rsid w:val="002C57D2"/>
    <w:rsid w:val="002C74A9"/>
    <w:rsid w:val="002E0D56"/>
    <w:rsid w:val="00315186"/>
    <w:rsid w:val="0031526E"/>
    <w:rsid w:val="0033343E"/>
    <w:rsid w:val="003512C2"/>
    <w:rsid w:val="00371A3C"/>
    <w:rsid w:val="00371FB6"/>
    <w:rsid w:val="003763C1"/>
    <w:rsid w:val="00376BBE"/>
    <w:rsid w:val="0039224F"/>
    <w:rsid w:val="003A315A"/>
    <w:rsid w:val="003A43A4"/>
    <w:rsid w:val="003A6EB2"/>
    <w:rsid w:val="003A7E18"/>
    <w:rsid w:val="003C4C86"/>
    <w:rsid w:val="003C50B0"/>
    <w:rsid w:val="003C6258"/>
    <w:rsid w:val="003C6D78"/>
    <w:rsid w:val="003E2904"/>
    <w:rsid w:val="00401927"/>
    <w:rsid w:val="0041027F"/>
    <w:rsid w:val="00411849"/>
    <w:rsid w:val="00412475"/>
    <w:rsid w:val="00413C81"/>
    <w:rsid w:val="00423789"/>
    <w:rsid w:val="00440F43"/>
    <w:rsid w:val="00441B6F"/>
    <w:rsid w:val="00444EFB"/>
    <w:rsid w:val="00446221"/>
    <w:rsid w:val="00450E62"/>
    <w:rsid w:val="004539DB"/>
    <w:rsid w:val="00471A80"/>
    <w:rsid w:val="004811FE"/>
    <w:rsid w:val="004B339C"/>
    <w:rsid w:val="004D305E"/>
    <w:rsid w:val="004D4277"/>
    <w:rsid w:val="00502516"/>
    <w:rsid w:val="00505F06"/>
    <w:rsid w:val="00506828"/>
    <w:rsid w:val="0053056E"/>
    <w:rsid w:val="00554FDA"/>
    <w:rsid w:val="00563031"/>
    <w:rsid w:val="005B4E1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3006"/>
    <w:rsid w:val="0071085C"/>
    <w:rsid w:val="007369E6"/>
    <w:rsid w:val="00746E59"/>
    <w:rsid w:val="00754C9A"/>
    <w:rsid w:val="0075599A"/>
    <w:rsid w:val="00761D52"/>
    <w:rsid w:val="0077749E"/>
    <w:rsid w:val="00790ADA"/>
    <w:rsid w:val="007C7BD3"/>
    <w:rsid w:val="007D2288"/>
    <w:rsid w:val="007D231C"/>
    <w:rsid w:val="007E088F"/>
    <w:rsid w:val="007F7B32"/>
    <w:rsid w:val="00804BC2"/>
    <w:rsid w:val="0081431A"/>
    <w:rsid w:val="0083216F"/>
    <w:rsid w:val="00860000"/>
    <w:rsid w:val="00863BD3"/>
    <w:rsid w:val="008641ED"/>
    <w:rsid w:val="00866D66"/>
    <w:rsid w:val="008671C6"/>
    <w:rsid w:val="00875803"/>
    <w:rsid w:val="00893588"/>
    <w:rsid w:val="008B459E"/>
    <w:rsid w:val="008E13AE"/>
    <w:rsid w:val="008E1506"/>
    <w:rsid w:val="008E710C"/>
    <w:rsid w:val="008F69D6"/>
    <w:rsid w:val="008F6C52"/>
    <w:rsid w:val="00902823"/>
    <w:rsid w:val="00915CA6"/>
    <w:rsid w:val="00927834"/>
    <w:rsid w:val="009500A6"/>
    <w:rsid w:val="00957C18"/>
    <w:rsid w:val="009624FF"/>
    <w:rsid w:val="009659BA"/>
    <w:rsid w:val="009808FD"/>
    <w:rsid w:val="00983040"/>
    <w:rsid w:val="009B3FB9"/>
    <w:rsid w:val="009C2465"/>
    <w:rsid w:val="009C24D0"/>
    <w:rsid w:val="009D35A0"/>
    <w:rsid w:val="009D7EB7"/>
    <w:rsid w:val="009E048A"/>
    <w:rsid w:val="009E08E9"/>
    <w:rsid w:val="009E3DB9"/>
    <w:rsid w:val="009E6E35"/>
    <w:rsid w:val="009F0EDA"/>
    <w:rsid w:val="00A03B96"/>
    <w:rsid w:val="00A05B19"/>
    <w:rsid w:val="00A1134E"/>
    <w:rsid w:val="00A24E7E"/>
    <w:rsid w:val="00A258C3"/>
    <w:rsid w:val="00A33D0D"/>
    <w:rsid w:val="00A347C0"/>
    <w:rsid w:val="00A51431"/>
    <w:rsid w:val="00A539AD"/>
    <w:rsid w:val="00A94063"/>
    <w:rsid w:val="00AA6219"/>
    <w:rsid w:val="00AA74E0"/>
    <w:rsid w:val="00AB703F"/>
    <w:rsid w:val="00AC6BB8"/>
    <w:rsid w:val="00AE008F"/>
    <w:rsid w:val="00B01FCD"/>
    <w:rsid w:val="00B1776C"/>
    <w:rsid w:val="00B22371"/>
    <w:rsid w:val="00B52583"/>
    <w:rsid w:val="00B52896"/>
    <w:rsid w:val="00B95236"/>
    <w:rsid w:val="00B96BD9"/>
    <w:rsid w:val="00BA1B01"/>
    <w:rsid w:val="00BA2641"/>
    <w:rsid w:val="00BB37AA"/>
    <w:rsid w:val="00BB420E"/>
    <w:rsid w:val="00BC24A8"/>
    <w:rsid w:val="00BC53A0"/>
    <w:rsid w:val="00BE62AD"/>
    <w:rsid w:val="00BF121F"/>
    <w:rsid w:val="00BF1F80"/>
    <w:rsid w:val="00C166EF"/>
    <w:rsid w:val="00C17EB0"/>
    <w:rsid w:val="00C27F5F"/>
    <w:rsid w:val="00C30A0F"/>
    <w:rsid w:val="00C37E61"/>
    <w:rsid w:val="00C64AA1"/>
    <w:rsid w:val="00C70F1B"/>
    <w:rsid w:val="00C71A47"/>
    <w:rsid w:val="00C7464C"/>
    <w:rsid w:val="00C85588"/>
    <w:rsid w:val="00CD6755"/>
    <w:rsid w:val="00CD6856"/>
    <w:rsid w:val="00CE0089"/>
    <w:rsid w:val="00CE0FE2"/>
    <w:rsid w:val="00CE793C"/>
    <w:rsid w:val="00CF193C"/>
    <w:rsid w:val="00D173F1"/>
    <w:rsid w:val="00D24A43"/>
    <w:rsid w:val="00D73189"/>
    <w:rsid w:val="00D74CB0"/>
    <w:rsid w:val="00D8295D"/>
    <w:rsid w:val="00D86F2D"/>
    <w:rsid w:val="00DA541E"/>
    <w:rsid w:val="00DC2A65"/>
    <w:rsid w:val="00DD2159"/>
    <w:rsid w:val="00DE15F0"/>
    <w:rsid w:val="00DE5663"/>
    <w:rsid w:val="00DE7195"/>
    <w:rsid w:val="00DE78AA"/>
    <w:rsid w:val="00E053D0"/>
    <w:rsid w:val="00E15994"/>
    <w:rsid w:val="00E3114E"/>
    <w:rsid w:val="00E31A70"/>
    <w:rsid w:val="00E35B02"/>
    <w:rsid w:val="00E45D49"/>
    <w:rsid w:val="00E66496"/>
    <w:rsid w:val="00E66B35"/>
    <w:rsid w:val="00E66E10"/>
    <w:rsid w:val="00E769F6"/>
    <w:rsid w:val="00E8407C"/>
    <w:rsid w:val="00E84F3C"/>
    <w:rsid w:val="00E92990"/>
    <w:rsid w:val="00EA012C"/>
    <w:rsid w:val="00EC6A55"/>
    <w:rsid w:val="00ED0288"/>
    <w:rsid w:val="00EE52CB"/>
    <w:rsid w:val="00EF581D"/>
    <w:rsid w:val="00EF7FD8"/>
    <w:rsid w:val="00F06F59"/>
    <w:rsid w:val="00F17988"/>
    <w:rsid w:val="00F469F0"/>
    <w:rsid w:val="00F46A1B"/>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8D40D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133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rsid w:val="00013361"/>
    <w:pPr>
      <w:keepNext/>
      <w:keepLines/>
      <w:spacing w:before="40" w:line="259" w:lineRule="auto"/>
      <w:outlineLvl w:val="5"/>
    </w:pPr>
    <w:rPr>
      <w:rFonts w:asciiTheme="majorHAnsi" w:eastAsiaTheme="majorEastAsia" w:hAnsiTheme="majorHAns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15C6F"/>
    <w:pPr>
      <w:ind w:left="720"/>
      <w:contextualSpacing/>
    </w:pPr>
  </w:style>
  <w:style w:type="paragraph" w:styleId="NormalWeb">
    <w:name w:val="Normal (Web)"/>
    <w:basedOn w:val="Normal"/>
    <w:uiPriority w:val="99"/>
    <w:unhideWhenUsed/>
    <w:rsid w:val="008F6C52"/>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01336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013361"/>
    <w:rPr>
      <w:rFonts w:asciiTheme="majorHAnsi" w:eastAsiaTheme="majorEastAsia" w:hAnsiTheme="majorHAnsi"/>
      <w:color w:val="243F60" w:themeColor="accent1" w:themeShade="7F"/>
      <w:sz w:val="22"/>
      <w:szCs w:val="22"/>
    </w:rPr>
  </w:style>
  <w:style w:type="character" w:styleId="Strong">
    <w:name w:val="Strong"/>
    <w:basedOn w:val="DefaultParagraphFont"/>
    <w:uiPriority w:val="22"/>
    <w:qFormat/>
    <w:rsid w:val="00013361"/>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6542716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diagramLayout" Target="diagrams/layout2.xml"/><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microsoft.com/office/2007/relationships/diagramDrawing" Target="diagrams/drawing2.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hyperlink" Target="https://www.fao.org" TargetMode="Externa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diagramQuickStyle" Target="diagrams/quickStyle2.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8" Type="http://schemas.openxmlformats.org/officeDocument/2006/relationships/header" Target="header1.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diagramData" Target="diagrams/data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chart" Target="charts/chart2.xml"/><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jpeg"/><Relationship Id="rId28" Type="http://schemas.openxmlformats.org/officeDocument/2006/relationships/diagramColors" Target="diagrams/colors2.xml"/><Relationship Id="rId36" Type="http://schemas.openxmlformats.org/officeDocument/2006/relationships/image" Target="media/image14.png"/><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Documents\MTECH%20PROJECT\Datas\graph\temperature%203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hp\Downloads\thingspeakda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dmin\Downloads\thingspeakdata%20new%20amru.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hp\Downloads\thingspeak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Documents\MTECH%20PROJECT\Datas\graph\plant%20reading%20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Documents\MTECH%20PROJECT\Datas\graph\plant%20reading%20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Documents\MTECH%20PROJECT\Datas\graph\plant%20reading%20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Documents\MTECH%20PROJECT\Datas\graph\plant%20reading%20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Documents\MTECH%20PROJECT\Datas\graph\plant%20reading%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p\Downloads\thingspeak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p\Downloads\thingspeak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p\Downloads\jan%202%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p\Downloads\thingspeak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hp\Downloads\thingspeak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hp\Downloads\thingspeakdata%20new%20amr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Documents\MTECH%20PROJECT\Datas\graph\new%20temp.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hp\Downloads\thingspeak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4966932968412"/>
          <c:y val="6.6808381415122992E-2"/>
          <c:w val="0.8494319468626762"/>
          <c:h val="0.501221153915129"/>
        </c:manualLayout>
      </c:layout>
      <c:lineChart>
        <c:grouping val="standard"/>
        <c:varyColors val="0"/>
        <c:ser>
          <c:idx val="0"/>
          <c:order val="0"/>
          <c:tx>
            <c:strRef>
              <c:f>Sheet3!$B$1</c:f>
              <c:strCache>
                <c:ptCount val="1"/>
                <c:pt idx="0">
                  <c:v>Day having maximum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Sheet3!$A$2:$A$54</c:f>
              <c:numCache>
                <c:formatCode>h:mm:ss</c:formatCode>
                <c:ptCount val="53"/>
                <c:pt idx="0" formatCode="h:mm">
                  <c:v>0.375</c:v>
                </c:pt>
                <c:pt idx="1">
                  <c:v>0.38611111111111102</c:v>
                </c:pt>
                <c:pt idx="2" formatCode="h:mm">
                  <c:v>0.39722222222222198</c:v>
                </c:pt>
                <c:pt idx="3">
                  <c:v>0.40833333333333299</c:v>
                </c:pt>
                <c:pt idx="4" formatCode="h:mm">
                  <c:v>0.41944444444444401</c:v>
                </c:pt>
                <c:pt idx="5">
                  <c:v>0.43055555555555503</c:v>
                </c:pt>
                <c:pt idx="6" formatCode="h:mm">
                  <c:v>0.44166666666666599</c:v>
                </c:pt>
                <c:pt idx="7">
                  <c:v>0.452777777777777</c:v>
                </c:pt>
                <c:pt idx="8" formatCode="h:mm">
                  <c:v>0.46388888888888802</c:v>
                </c:pt>
                <c:pt idx="9">
                  <c:v>0.47499999999999898</c:v>
                </c:pt>
                <c:pt idx="10" formatCode="h:mm">
                  <c:v>0.48611111111110999</c:v>
                </c:pt>
                <c:pt idx="11">
                  <c:v>0.49722222222222101</c:v>
                </c:pt>
                <c:pt idx="12" formatCode="h:mm">
                  <c:v>0.50833333333333197</c:v>
                </c:pt>
                <c:pt idx="13">
                  <c:v>0.51944444444444404</c:v>
                </c:pt>
                <c:pt idx="14" formatCode="h:mm">
                  <c:v>0.530555555555555</c:v>
                </c:pt>
                <c:pt idx="15">
                  <c:v>0.54166666666666596</c:v>
                </c:pt>
                <c:pt idx="16" formatCode="h:mm">
                  <c:v>0.55277777777777704</c:v>
                </c:pt>
                <c:pt idx="17">
                  <c:v>0.563888888888888</c:v>
                </c:pt>
                <c:pt idx="18" formatCode="h:mm">
                  <c:v>0.57499999999999896</c:v>
                </c:pt>
                <c:pt idx="19">
                  <c:v>0.58611111111111003</c:v>
                </c:pt>
                <c:pt idx="20" formatCode="h:mm">
                  <c:v>0.59722222222222099</c:v>
                </c:pt>
                <c:pt idx="21">
                  <c:v>0.60833333333333195</c:v>
                </c:pt>
                <c:pt idx="22" formatCode="h:mm">
                  <c:v>0.61944444444444302</c:v>
                </c:pt>
                <c:pt idx="23">
                  <c:v>0.63055555555555398</c:v>
                </c:pt>
                <c:pt idx="24" formatCode="h:mm">
                  <c:v>0.64166666666666505</c:v>
                </c:pt>
                <c:pt idx="25">
                  <c:v>0.65277777777777601</c:v>
                </c:pt>
                <c:pt idx="26" formatCode="h:mm">
                  <c:v>0.66388888888888697</c:v>
                </c:pt>
                <c:pt idx="27">
                  <c:v>0.67499999999999905</c:v>
                </c:pt>
                <c:pt idx="28" formatCode="h:mm">
                  <c:v>0.68611111111111001</c:v>
                </c:pt>
                <c:pt idx="29">
                  <c:v>0.69722222222222097</c:v>
                </c:pt>
                <c:pt idx="30" formatCode="h:mm">
                  <c:v>0.70833333333333204</c:v>
                </c:pt>
                <c:pt idx="31">
                  <c:v>0.719444444444443</c:v>
                </c:pt>
                <c:pt idx="32" formatCode="h:mm">
                  <c:v>0.73055555555555396</c:v>
                </c:pt>
                <c:pt idx="33">
                  <c:v>0.74166666666666503</c:v>
                </c:pt>
                <c:pt idx="34" formatCode="h:mm">
                  <c:v>0.75277777777777599</c:v>
                </c:pt>
                <c:pt idx="35">
                  <c:v>0.76388888888888695</c:v>
                </c:pt>
                <c:pt idx="36" formatCode="h:mm">
                  <c:v>0.77499999999999802</c:v>
                </c:pt>
                <c:pt idx="37">
                  <c:v>0.78611111111110898</c:v>
                </c:pt>
                <c:pt idx="38" formatCode="h:mm">
                  <c:v>0.79722222222221995</c:v>
                </c:pt>
                <c:pt idx="39">
                  <c:v>0.80833333333333102</c:v>
                </c:pt>
                <c:pt idx="40" formatCode="h:mm">
                  <c:v>0.81944444444444198</c:v>
                </c:pt>
                <c:pt idx="41">
                  <c:v>0.83055555555555405</c:v>
                </c:pt>
                <c:pt idx="42" formatCode="h:mm">
                  <c:v>0.84166666666666501</c:v>
                </c:pt>
                <c:pt idx="43">
                  <c:v>0.85277777777777597</c:v>
                </c:pt>
                <c:pt idx="44" formatCode="h:mm">
                  <c:v>0.86388888888888704</c:v>
                </c:pt>
                <c:pt idx="45">
                  <c:v>0.874999999999998</c:v>
                </c:pt>
                <c:pt idx="46" formatCode="h:mm">
                  <c:v>0.88611111111110896</c:v>
                </c:pt>
                <c:pt idx="47">
                  <c:v>0.89722222222222003</c:v>
                </c:pt>
                <c:pt idx="48" formatCode="h:mm">
                  <c:v>0.90833333333333099</c:v>
                </c:pt>
                <c:pt idx="49">
                  <c:v>0.91944444444444196</c:v>
                </c:pt>
                <c:pt idx="50" formatCode="h:mm">
                  <c:v>0.93055555555555303</c:v>
                </c:pt>
                <c:pt idx="51">
                  <c:v>0.94166666666666399</c:v>
                </c:pt>
                <c:pt idx="52" formatCode="h:mm">
                  <c:v>0.95277777777777495</c:v>
                </c:pt>
              </c:numCache>
            </c:numRef>
          </c:cat>
          <c:val>
            <c:numRef>
              <c:f>Sheet3!$B$2:$B$54</c:f>
              <c:numCache>
                <c:formatCode>General</c:formatCode>
                <c:ptCount val="53"/>
                <c:pt idx="0">
                  <c:v>27.9</c:v>
                </c:pt>
                <c:pt idx="1">
                  <c:v>27.8</c:v>
                </c:pt>
                <c:pt idx="2">
                  <c:v>27.6</c:v>
                </c:pt>
                <c:pt idx="3">
                  <c:v>27.3</c:v>
                </c:pt>
                <c:pt idx="4">
                  <c:v>27.6</c:v>
                </c:pt>
                <c:pt idx="5">
                  <c:v>28.2</c:v>
                </c:pt>
                <c:pt idx="6">
                  <c:v>28.5</c:v>
                </c:pt>
                <c:pt idx="7">
                  <c:v>29</c:v>
                </c:pt>
                <c:pt idx="8">
                  <c:v>28.6</c:v>
                </c:pt>
                <c:pt idx="9">
                  <c:v>29.7</c:v>
                </c:pt>
                <c:pt idx="10">
                  <c:v>29.9</c:v>
                </c:pt>
                <c:pt idx="11">
                  <c:v>30.1</c:v>
                </c:pt>
                <c:pt idx="12">
                  <c:v>30.4</c:v>
                </c:pt>
                <c:pt idx="13">
                  <c:v>30.7</c:v>
                </c:pt>
                <c:pt idx="14">
                  <c:v>30.8</c:v>
                </c:pt>
                <c:pt idx="15">
                  <c:v>31</c:v>
                </c:pt>
                <c:pt idx="16">
                  <c:v>31</c:v>
                </c:pt>
                <c:pt idx="17">
                  <c:v>31.6</c:v>
                </c:pt>
                <c:pt idx="18">
                  <c:v>31.8</c:v>
                </c:pt>
                <c:pt idx="19">
                  <c:v>31.5</c:v>
                </c:pt>
                <c:pt idx="20">
                  <c:v>31.2</c:v>
                </c:pt>
                <c:pt idx="21">
                  <c:v>31.1</c:v>
                </c:pt>
                <c:pt idx="22">
                  <c:v>30.9</c:v>
                </c:pt>
                <c:pt idx="23">
                  <c:v>30.5</c:v>
                </c:pt>
                <c:pt idx="24">
                  <c:v>30.3</c:v>
                </c:pt>
                <c:pt idx="25">
                  <c:v>30.3</c:v>
                </c:pt>
                <c:pt idx="26">
                  <c:v>30.1</c:v>
                </c:pt>
                <c:pt idx="27">
                  <c:v>30.1</c:v>
                </c:pt>
                <c:pt idx="28">
                  <c:v>29.8</c:v>
                </c:pt>
                <c:pt idx="29">
                  <c:v>29.5</c:v>
                </c:pt>
                <c:pt idx="30">
                  <c:v>29.5</c:v>
                </c:pt>
                <c:pt idx="31">
                  <c:v>29.5</c:v>
                </c:pt>
                <c:pt idx="32">
                  <c:v>29.5</c:v>
                </c:pt>
                <c:pt idx="33">
                  <c:v>29.1</c:v>
                </c:pt>
                <c:pt idx="34">
                  <c:v>28.5</c:v>
                </c:pt>
                <c:pt idx="35">
                  <c:v>28.5</c:v>
                </c:pt>
                <c:pt idx="36">
                  <c:v>28.5</c:v>
                </c:pt>
                <c:pt idx="37">
                  <c:v>28</c:v>
                </c:pt>
                <c:pt idx="38">
                  <c:v>28</c:v>
                </c:pt>
                <c:pt idx="39">
                  <c:v>28</c:v>
                </c:pt>
                <c:pt idx="40">
                  <c:v>27.5</c:v>
                </c:pt>
                <c:pt idx="41">
                  <c:v>27.5</c:v>
                </c:pt>
                <c:pt idx="42">
                  <c:v>27.5</c:v>
                </c:pt>
                <c:pt idx="43">
                  <c:v>27.5</c:v>
                </c:pt>
                <c:pt idx="44">
                  <c:v>27</c:v>
                </c:pt>
                <c:pt idx="45">
                  <c:v>27</c:v>
                </c:pt>
                <c:pt idx="46">
                  <c:v>26.6</c:v>
                </c:pt>
                <c:pt idx="47">
                  <c:v>26.6</c:v>
                </c:pt>
                <c:pt idx="48">
                  <c:v>26.6</c:v>
                </c:pt>
                <c:pt idx="49">
                  <c:v>26.6</c:v>
                </c:pt>
                <c:pt idx="50">
                  <c:v>26.6</c:v>
                </c:pt>
                <c:pt idx="51">
                  <c:v>26.6</c:v>
                </c:pt>
                <c:pt idx="52">
                  <c:v>26.6</c:v>
                </c:pt>
              </c:numCache>
            </c:numRef>
          </c:val>
          <c:smooth val="0"/>
          <c:extLst>
            <c:ext xmlns:c16="http://schemas.microsoft.com/office/drawing/2014/chart" uri="{C3380CC4-5D6E-409C-BE32-E72D297353CC}">
              <c16:uniqueId val="{00000000-CC28-4C4A-A29E-9FD31F0A6930}"/>
            </c:ext>
          </c:extLst>
        </c:ser>
        <c:ser>
          <c:idx val="1"/>
          <c:order val="1"/>
          <c:tx>
            <c:strRef>
              <c:f>Sheet3!$C$1</c:f>
              <c:strCache>
                <c:ptCount val="1"/>
                <c:pt idx="0">
                  <c:v>Day having minimum temperature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Sheet3!$A$2:$A$54</c:f>
              <c:numCache>
                <c:formatCode>h:mm:ss</c:formatCode>
                <c:ptCount val="53"/>
                <c:pt idx="0" formatCode="h:mm">
                  <c:v>0.375</c:v>
                </c:pt>
                <c:pt idx="1">
                  <c:v>0.38611111111111102</c:v>
                </c:pt>
                <c:pt idx="2" formatCode="h:mm">
                  <c:v>0.39722222222222198</c:v>
                </c:pt>
                <c:pt idx="3">
                  <c:v>0.40833333333333299</c:v>
                </c:pt>
                <c:pt idx="4" formatCode="h:mm">
                  <c:v>0.41944444444444401</c:v>
                </c:pt>
                <c:pt idx="5">
                  <c:v>0.43055555555555503</c:v>
                </c:pt>
                <c:pt idx="6" formatCode="h:mm">
                  <c:v>0.44166666666666599</c:v>
                </c:pt>
                <c:pt idx="7">
                  <c:v>0.452777777777777</c:v>
                </c:pt>
                <c:pt idx="8" formatCode="h:mm">
                  <c:v>0.46388888888888802</c:v>
                </c:pt>
                <c:pt idx="9">
                  <c:v>0.47499999999999898</c:v>
                </c:pt>
                <c:pt idx="10" formatCode="h:mm">
                  <c:v>0.48611111111110999</c:v>
                </c:pt>
                <c:pt idx="11">
                  <c:v>0.49722222222222101</c:v>
                </c:pt>
                <c:pt idx="12" formatCode="h:mm">
                  <c:v>0.50833333333333197</c:v>
                </c:pt>
                <c:pt idx="13">
                  <c:v>0.51944444444444404</c:v>
                </c:pt>
                <c:pt idx="14" formatCode="h:mm">
                  <c:v>0.530555555555555</c:v>
                </c:pt>
                <c:pt idx="15">
                  <c:v>0.54166666666666596</c:v>
                </c:pt>
                <c:pt idx="16" formatCode="h:mm">
                  <c:v>0.55277777777777704</c:v>
                </c:pt>
                <c:pt idx="17">
                  <c:v>0.563888888888888</c:v>
                </c:pt>
                <c:pt idx="18" formatCode="h:mm">
                  <c:v>0.57499999999999896</c:v>
                </c:pt>
                <c:pt idx="19">
                  <c:v>0.58611111111111003</c:v>
                </c:pt>
                <c:pt idx="20" formatCode="h:mm">
                  <c:v>0.59722222222222099</c:v>
                </c:pt>
                <c:pt idx="21">
                  <c:v>0.60833333333333195</c:v>
                </c:pt>
                <c:pt idx="22" formatCode="h:mm">
                  <c:v>0.61944444444444302</c:v>
                </c:pt>
                <c:pt idx="23">
                  <c:v>0.63055555555555398</c:v>
                </c:pt>
                <c:pt idx="24" formatCode="h:mm">
                  <c:v>0.64166666666666505</c:v>
                </c:pt>
                <c:pt idx="25">
                  <c:v>0.65277777777777601</c:v>
                </c:pt>
                <c:pt idx="26" formatCode="h:mm">
                  <c:v>0.66388888888888697</c:v>
                </c:pt>
                <c:pt idx="27">
                  <c:v>0.67499999999999905</c:v>
                </c:pt>
                <c:pt idx="28" formatCode="h:mm">
                  <c:v>0.68611111111111001</c:v>
                </c:pt>
                <c:pt idx="29">
                  <c:v>0.69722222222222097</c:v>
                </c:pt>
                <c:pt idx="30" formatCode="h:mm">
                  <c:v>0.70833333333333204</c:v>
                </c:pt>
                <c:pt idx="31">
                  <c:v>0.719444444444443</c:v>
                </c:pt>
                <c:pt idx="32" formatCode="h:mm">
                  <c:v>0.73055555555555396</c:v>
                </c:pt>
                <c:pt idx="33">
                  <c:v>0.74166666666666503</c:v>
                </c:pt>
                <c:pt idx="34" formatCode="h:mm">
                  <c:v>0.75277777777777599</c:v>
                </c:pt>
                <c:pt idx="35">
                  <c:v>0.76388888888888695</c:v>
                </c:pt>
                <c:pt idx="36" formatCode="h:mm">
                  <c:v>0.77499999999999802</c:v>
                </c:pt>
                <c:pt idx="37">
                  <c:v>0.78611111111110898</c:v>
                </c:pt>
                <c:pt idx="38" formatCode="h:mm">
                  <c:v>0.79722222222221995</c:v>
                </c:pt>
                <c:pt idx="39">
                  <c:v>0.80833333333333102</c:v>
                </c:pt>
                <c:pt idx="40" formatCode="h:mm">
                  <c:v>0.81944444444444198</c:v>
                </c:pt>
                <c:pt idx="41">
                  <c:v>0.83055555555555405</c:v>
                </c:pt>
                <c:pt idx="42" formatCode="h:mm">
                  <c:v>0.84166666666666501</c:v>
                </c:pt>
                <c:pt idx="43">
                  <c:v>0.85277777777777597</c:v>
                </c:pt>
                <c:pt idx="44" formatCode="h:mm">
                  <c:v>0.86388888888888704</c:v>
                </c:pt>
                <c:pt idx="45">
                  <c:v>0.874999999999998</c:v>
                </c:pt>
                <c:pt idx="46" formatCode="h:mm">
                  <c:v>0.88611111111110896</c:v>
                </c:pt>
                <c:pt idx="47">
                  <c:v>0.89722222222222003</c:v>
                </c:pt>
                <c:pt idx="48" formatCode="h:mm">
                  <c:v>0.90833333333333099</c:v>
                </c:pt>
                <c:pt idx="49">
                  <c:v>0.91944444444444196</c:v>
                </c:pt>
                <c:pt idx="50" formatCode="h:mm">
                  <c:v>0.93055555555555303</c:v>
                </c:pt>
                <c:pt idx="51">
                  <c:v>0.94166666666666399</c:v>
                </c:pt>
                <c:pt idx="52" formatCode="h:mm">
                  <c:v>0.95277777777777495</c:v>
                </c:pt>
              </c:numCache>
            </c:numRef>
          </c:cat>
          <c:val>
            <c:numRef>
              <c:f>Sheet3!$C$2:$C$54</c:f>
              <c:numCache>
                <c:formatCode>General</c:formatCode>
                <c:ptCount val="53"/>
                <c:pt idx="0">
                  <c:v>24.2</c:v>
                </c:pt>
                <c:pt idx="1">
                  <c:v>24.9</c:v>
                </c:pt>
                <c:pt idx="2">
                  <c:v>25.1</c:v>
                </c:pt>
                <c:pt idx="3">
                  <c:v>25.2</c:v>
                </c:pt>
                <c:pt idx="4">
                  <c:v>25.1</c:v>
                </c:pt>
                <c:pt idx="5">
                  <c:v>25.3</c:v>
                </c:pt>
                <c:pt idx="6">
                  <c:v>25.4</c:v>
                </c:pt>
                <c:pt idx="7">
                  <c:v>25.3</c:v>
                </c:pt>
                <c:pt idx="8">
                  <c:v>25.5</c:v>
                </c:pt>
                <c:pt idx="9">
                  <c:v>25.8</c:v>
                </c:pt>
                <c:pt idx="10">
                  <c:v>26</c:v>
                </c:pt>
                <c:pt idx="11">
                  <c:v>26.2</c:v>
                </c:pt>
                <c:pt idx="12">
                  <c:v>26</c:v>
                </c:pt>
                <c:pt idx="13">
                  <c:v>26.2</c:v>
                </c:pt>
                <c:pt idx="14">
                  <c:v>26.3</c:v>
                </c:pt>
                <c:pt idx="15">
                  <c:v>26.4</c:v>
                </c:pt>
                <c:pt idx="16">
                  <c:v>26.5</c:v>
                </c:pt>
                <c:pt idx="17">
                  <c:v>26.6</c:v>
                </c:pt>
                <c:pt idx="18">
                  <c:v>26.5</c:v>
                </c:pt>
                <c:pt idx="19">
                  <c:v>26.4</c:v>
                </c:pt>
                <c:pt idx="20">
                  <c:v>26.6</c:v>
                </c:pt>
                <c:pt idx="21">
                  <c:v>26.5</c:v>
                </c:pt>
                <c:pt idx="22">
                  <c:v>26.7</c:v>
                </c:pt>
                <c:pt idx="23">
                  <c:v>26.7</c:v>
                </c:pt>
                <c:pt idx="24">
                  <c:v>26.7</c:v>
                </c:pt>
                <c:pt idx="25">
                  <c:v>26.5</c:v>
                </c:pt>
                <c:pt idx="26">
                  <c:v>26.4</c:v>
                </c:pt>
                <c:pt idx="27">
                  <c:v>26.3</c:v>
                </c:pt>
                <c:pt idx="28">
                  <c:v>26</c:v>
                </c:pt>
                <c:pt idx="29">
                  <c:v>25.9</c:v>
                </c:pt>
                <c:pt idx="30">
                  <c:v>25.9</c:v>
                </c:pt>
                <c:pt idx="31">
                  <c:v>25.8</c:v>
                </c:pt>
                <c:pt idx="32">
                  <c:v>25.7</c:v>
                </c:pt>
                <c:pt idx="33">
                  <c:v>25.6</c:v>
                </c:pt>
                <c:pt idx="34">
                  <c:v>25.5</c:v>
                </c:pt>
                <c:pt idx="35">
                  <c:v>25.4</c:v>
                </c:pt>
                <c:pt idx="36">
                  <c:v>25.3</c:v>
                </c:pt>
                <c:pt idx="37">
                  <c:v>24.9</c:v>
                </c:pt>
                <c:pt idx="38">
                  <c:v>24.5</c:v>
                </c:pt>
                <c:pt idx="39">
                  <c:v>23.9</c:v>
                </c:pt>
                <c:pt idx="40">
                  <c:v>23.8</c:v>
                </c:pt>
                <c:pt idx="41">
                  <c:v>23.8</c:v>
                </c:pt>
                <c:pt idx="42">
                  <c:v>23.8</c:v>
                </c:pt>
                <c:pt idx="43">
                  <c:v>23.9</c:v>
                </c:pt>
                <c:pt idx="44">
                  <c:v>24.2</c:v>
                </c:pt>
                <c:pt idx="45">
                  <c:v>25</c:v>
                </c:pt>
                <c:pt idx="46">
                  <c:v>25.3</c:v>
                </c:pt>
                <c:pt idx="47">
                  <c:v>24.6</c:v>
                </c:pt>
                <c:pt idx="48">
                  <c:v>24.8</c:v>
                </c:pt>
                <c:pt idx="49">
                  <c:v>25.2</c:v>
                </c:pt>
                <c:pt idx="50">
                  <c:v>24.4</c:v>
                </c:pt>
                <c:pt idx="51">
                  <c:v>25.1</c:v>
                </c:pt>
                <c:pt idx="52">
                  <c:v>24.9</c:v>
                </c:pt>
              </c:numCache>
            </c:numRef>
          </c:val>
          <c:smooth val="0"/>
          <c:extLst>
            <c:ext xmlns:c16="http://schemas.microsoft.com/office/drawing/2014/chart" uri="{C3380CC4-5D6E-409C-BE32-E72D297353CC}">
              <c16:uniqueId val="{00000001-CC28-4C4A-A29E-9FD31F0A6930}"/>
            </c:ext>
          </c:extLst>
        </c:ser>
        <c:dLbls>
          <c:showLegendKey val="0"/>
          <c:showVal val="0"/>
          <c:showCatName val="0"/>
          <c:showSerName val="0"/>
          <c:showPercent val="0"/>
          <c:showBubbleSize val="0"/>
        </c:dLbls>
        <c:marker val="1"/>
        <c:smooth val="0"/>
        <c:axId val="767618672"/>
        <c:axId val="701836400"/>
      </c:lineChart>
      <c:catAx>
        <c:axId val="767618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(hour:min:sec)</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1836400"/>
        <c:crosses val="autoZero"/>
        <c:auto val="1"/>
        <c:lblAlgn val="ctr"/>
        <c:lblOffset val="100"/>
        <c:noMultiLvlLbl val="0"/>
      </c:catAx>
      <c:valAx>
        <c:axId val="70183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Chamber Temperature (oC)</a:t>
                </a:r>
              </a:p>
            </c:rich>
          </c:tx>
          <c:layout>
            <c:manualLayout>
              <c:xMode val="edge"/>
              <c:yMode val="edge"/>
              <c:x val="2.7777777777777776E-2"/>
              <c:y val="0.12427456984543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67618672"/>
        <c:crosses val="autoZero"/>
        <c:crossBetween val="between"/>
      </c:valAx>
      <c:spPr>
        <a:noFill/>
        <a:ln>
          <a:noFill/>
        </a:ln>
        <a:effectLst/>
      </c:spPr>
    </c:plotArea>
    <c:legend>
      <c:legendPos val="b"/>
      <c:layout>
        <c:manualLayout>
          <c:xMode val="edge"/>
          <c:yMode val="edge"/>
          <c:x val="1.3636630529995195E-4"/>
          <c:y val="0.81639411684532437"/>
          <c:w val="0.99972702772981259"/>
          <c:h val="0.183605883154675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1723969286448"/>
          <c:y val="7.7601410934744264E-2"/>
          <c:w val="0.7292789488270488"/>
          <c:h val="0.54801927536835671"/>
        </c:manualLayout>
      </c:layout>
      <c:lineChart>
        <c:grouping val="standard"/>
        <c:varyColors val="0"/>
        <c:ser>
          <c:idx val="0"/>
          <c:order val="0"/>
          <c:tx>
            <c:strRef>
              <c:f>Sheet9!$B$1</c:f>
              <c:strCache>
                <c:ptCount val="1"/>
                <c:pt idx="0">
                  <c:v>Nutrient solution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Sheet9!$A$2:$A$50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Sheet9!$B$2:$B$50</c:f>
              <c:numCache>
                <c:formatCode>General</c:formatCode>
                <c:ptCount val="49"/>
                <c:pt idx="0">
                  <c:v>25</c:v>
                </c:pt>
                <c:pt idx="1">
                  <c:v>25.1</c:v>
                </c:pt>
                <c:pt idx="2">
                  <c:v>25.2</c:v>
                </c:pt>
                <c:pt idx="3">
                  <c:v>24.9</c:v>
                </c:pt>
                <c:pt idx="4">
                  <c:v>25</c:v>
                </c:pt>
                <c:pt idx="5">
                  <c:v>24.98</c:v>
                </c:pt>
                <c:pt idx="6">
                  <c:v>24.96</c:v>
                </c:pt>
                <c:pt idx="7">
                  <c:v>24.94</c:v>
                </c:pt>
                <c:pt idx="8">
                  <c:v>24.92</c:v>
                </c:pt>
                <c:pt idx="9">
                  <c:v>24.9</c:v>
                </c:pt>
                <c:pt idx="10">
                  <c:v>24.88</c:v>
                </c:pt>
                <c:pt idx="11">
                  <c:v>24.86</c:v>
                </c:pt>
                <c:pt idx="12">
                  <c:v>24.84</c:v>
                </c:pt>
                <c:pt idx="13">
                  <c:v>24.82</c:v>
                </c:pt>
                <c:pt idx="14">
                  <c:v>25.1</c:v>
                </c:pt>
                <c:pt idx="15">
                  <c:v>25.3</c:v>
                </c:pt>
                <c:pt idx="16">
                  <c:v>25.4</c:v>
                </c:pt>
                <c:pt idx="17">
                  <c:v>25.5</c:v>
                </c:pt>
                <c:pt idx="18">
                  <c:v>25.6</c:v>
                </c:pt>
                <c:pt idx="19">
                  <c:v>25.7</c:v>
                </c:pt>
                <c:pt idx="20">
                  <c:v>26.1</c:v>
                </c:pt>
                <c:pt idx="21">
                  <c:v>26.2</c:v>
                </c:pt>
                <c:pt idx="22">
                  <c:v>26.6</c:v>
                </c:pt>
                <c:pt idx="23">
                  <c:v>26.8</c:v>
                </c:pt>
                <c:pt idx="24">
                  <c:v>27.3</c:v>
                </c:pt>
                <c:pt idx="25">
                  <c:v>27.3</c:v>
                </c:pt>
                <c:pt idx="26">
                  <c:v>27.2</c:v>
                </c:pt>
                <c:pt idx="27">
                  <c:v>27.1</c:v>
                </c:pt>
                <c:pt idx="28">
                  <c:v>27.1</c:v>
                </c:pt>
                <c:pt idx="29">
                  <c:v>27.1</c:v>
                </c:pt>
                <c:pt idx="30">
                  <c:v>27</c:v>
                </c:pt>
                <c:pt idx="31">
                  <c:v>27</c:v>
                </c:pt>
                <c:pt idx="32">
                  <c:v>27</c:v>
                </c:pt>
                <c:pt idx="33">
                  <c:v>26.9</c:v>
                </c:pt>
                <c:pt idx="34">
                  <c:v>26.9</c:v>
                </c:pt>
                <c:pt idx="35">
                  <c:v>26.8</c:v>
                </c:pt>
                <c:pt idx="36">
                  <c:v>26.8</c:v>
                </c:pt>
                <c:pt idx="37">
                  <c:v>26.8</c:v>
                </c:pt>
                <c:pt idx="38">
                  <c:v>26.8</c:v>
                </c:pt>
                <c:pt idx="39">
                  <c:v>26.8</c:v>
                </c:pt>
                <c:pt idx="40">
                  <c:v>26.8</c:v>
                </c:pt>
                <c:pt idx="41">
                  <c:v>26.8</c:v>
                </c:pt>
                <c:pt idx="42">
                  <c:v>26.7</c:v>
                </c:pt>
                <c:pt idx="43">
                  <c:v>26.7</c:v>
                </c:pt>
                <c:pt idx="44">
                  <c:v>26.7</c:v>
                </c:pt>
                <c:pt idx="45">
                  <c:v>26.6</c:v>
                </c:pt>
                <c:pt idx="46">
                  <c:v>26.6</c:v>
                </c:pt>
                <c:pt idx="47">
                  <c:v>26.6</c:v>
                </c:pt>
                <c:pt idx="48">
                  <c:v>26.6</c:v>
                </c:pt>
              </c:numCache>
            </c:numRef>
          </c:val>
          <c:smooth val="0"/>
          <c:extLst>
            <c:ext xmlns:c16="http://schemas.microsoft.com/office/drawing/2014/chart" uri="{C3380CC4-5D6E-409C-BE32-E72D297353CC}">
              <c16:uniqueId val="{00000000-D0BB-404C-A4C8-9056D5DCECA1}"/>
            </c:ext>
          </c:extLst>
        </c:ser>
        <c:dLbls>
          <c:showLegendKey val="0"/>
          <c:showVal val="0"/>
          <c:showCatName val="0"/>
          <c:showSerName val="0"/>
          <c:showPercent val="0"/>
          <c:showBubbleSize val="0"/>
        </c:dLbls>
        <c:marker val="1"/>
        <c:smooth val="0"/>
        <c:axId val="1322369152"/>
        <c:axId val="1322377056"/>
      </c:lineChart>
      <c:catAx>
        <c:axId val="1322369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Time (hr:min)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2377056"/>
        <c:crosses val="autoZero"/>
        <c:auto val="1"/>
        <c:lblAlgn val="ctr"/>
        <c:lblOffset val="100"/>
        <c:noMultiLvlLbl val="0"/>
      </c:catAx>
      <c:valAx>
        <c:axId val="132237705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Nutrient solution Temperature (oC)</a:t>
                </a:r>
              </a:p>
            </c:rich>
          </c:tx>
          <c:layout>
            <c:manualLayout>
              <c:xMode val="edge"/>
              <c:yMode val="edge"/>
              <c:x val="2.9568411386593205E-2"/>
              <c:y val="4.426766747614491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236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826159230096237"/>
          <c:y val="0.13930555555555557"/>
          <c:w val="0.83562729658792656"/>
          <c:h val="0.58780839895013126"/>
        </c:manualLayout>
      </c:layout>
      <c:lineChart>
        <c:grouping val="standard"/>
        <c:varyColors val="0"/>
        <c:ser>
          <c:idx val="0"/>
          <c:order val="0"/>
          <c:tx>
            <c:strRef>
              <c:f>Sheet10!$S$1</c:f>
              <c:strCache>
                <c:ptCount val="1"/>
                <c:pt idx="0">
                  <c:v>level sensor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Sheet10!$R$2:$R$68</c:f>
              <c:numCache>
                <c:formatCode>h:mm</c:formatCode>
                <c:ptCount val="67"/>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Sheet10!$S$2:$S$68</c:f>
              <c:numCache>
                <c:formatCode>General</c:formatCode>
                <c:ptCount val="67"/>
                <c:pt idx="0">
                  <c:v>12</c:v>
                </c:pt>
                <c:pt idx="1">
                  <c:v>12</c:v>
                </c:pt>
                <c:pt idx="2">
                  <c:v>12</c:v>
                </c:pt>
                <c:pt idx="3">
                  <c:v>13</c:v>
                </c:pt>
                <c:pt idx="4">
                  <c:v>13</c:v>
                </c:pt>
                <c:pt idx="5">
                  <c:v>13</c:v>
                </c:pt>
                <c:pt idx="6">
                  <c:v>12</c:v>
                </c:pt>
                <c:pt idx="7">
                  <c:v>13</c:v>
                </c:pt>
                <c:pt idx="8">
                  <c:v>14</c:v>
                </c:pt>
                <c:pt idx="9">
                  <c:v>15</c:v>
                </c:pt>
                <c:pt idx="10">
                  <c:v>14</c:v>
                </c:pt>
                <c:pt idx="11">
                  <c:v>14</c:v>
                </c:pt>
                <c:pt idx="12">
                  <c:v>13</c:v>
                </c:pt>
                <c:pt idx="13">
                  <c:v>13</c:v>
                </c:pt>
                <c:pt idx="14">
                  <c:v>14</c:v>
                </c:pt>
                <c:pt idx="15">
                  <c:v>14</c:v>
                </c:pt>
                <c:pt idx="16">
                  <c:v>15</c:v>
                </c:pt>
                <c:pt idx="17">
                  <c:v>14</c:v>
                </c:pt>
                <c:pt idx="18">
                  <c:v>15</c:v>
                </c:pt>
                <c:pt idx="19">
                  <c:v>13</c:v>
                </c:pt>
                <c:pt idx="20">
                  <c:v>13</c:v>
                </c:pt>
                <c:pt idx="21">
                  <c:v>12</c:v>
                </c:pt>
                <c:pt idx="22">
                  <c:v>12</c:v>
                </c:pt>
                <c:pt idx="23">
                  <c:v>12</c:v>
                </c:pt>
                <c:pt idx="24">
                  <c:v>13</c:v>
                </c:pt>
                <c:pt idx="25">
                  <c:v>13</c:v>
                </c:pt>
                <c:pt idx="26">
                  <c:v>13</c:v>
                </c:pt>
                <c:pt idx="27">
                  <c:v>12</c:v>
                </c:pt>
                <c:pt idx="28">
                  <c:v>13</c:v>
                </c:pt>
                <c:pt idx="29">
                  <c:v>14</c:v>
                </c:pt>
                <c:pt idx="30">
                  <c:v>15</c:v>
                </c:pt>
                <c:pt idx="31">
                  <c:v>15</c:v>
                </c:pt>
                <c:pt idx="32">
                  <c:v>16</c:v>
                </c:pt>
                <c:pt idx="33">
                  <c:v>13</c:v>
                </c:pt>
                <c:pt idx="34">
                  <c:v>11</c:v>
                </c:pt>
                <c:pt idx="35">
                  <c:v>11</c:v>
                </c:pt>
                <c:pt idx="36">
                  <c:v>16</c:v>
                </c:pt>
                <c:pt idx="37">
                  <c:v>11</c:v>
                </c:pt>
                <c:pt idx="38">
                  <c:v>11</c:v>
                </c:pt>
                <c:pt idx="39">
                  <c:v>11</c:v>
                </c:pt>
                <c:pt idx="40">
                  <c:v>12</c:v>
                </c:pt>
                <c:pt idx="41">
                  <c:v>12</c:v>
                </c:pt>
                <c:pt idx="42">
                  <c:v>12</c:v>
                </c:pt>
                <c:pt idx="43">
                  <c:v>12</c:v>
                </c:pt>
                <c:pt idx="44">
                  <c:v>12</c:v>
                </c:pt>
                <c:pt idx="45">
                  <c:v>12</c:v>
                </c:pt>
                <c:pt idx="46">
                  <c:v>12</c:v>
                </c:pt>
                <c:pt idx="47">
                  <c:v>11</c:v>
                </c:pt>
                <c:pt idx="48">
                  <c:v>12</c:v>
                </c:pt>
                <c:pt idx="49">
                  <c:v>12</c:v>
                </c:pt>
                <c:pt idx="50">
                  <c:v>11</c:v>
                </c:pt>
                <c:pt idx="51">
                  <c:v>12</c:v>
                </c:pt>
                <c:pt idx="52">
                  <c:v>12</c:v>
                </c:pt>
                <c:pt idx="53">
                  <c:v>12</c:v>
                </c:pt>
                <c:pt idx="54">
                  <c:v>12</c:v>
                </c:pt>
                <c:pt idx="55">
                  <c:v>12</c:v>
                </c:pt>
                <c:pt idx="56">
                  <c:v>12</c:v>
                </c:pt>
              </c:numCache>
            </c:numRef>
          </c:val>
          <c:smooth val="0"/>
          <c:extLst>
            <c:ext xmlns:c16="http://schemas.microsoft.com/office/drawing/2014/chart" uri="{C3380CC4-5D6E-409C-BE32-E72D297353CC}">
              <c16:uniqueId val="{00000000-BBBB-469C-B53A-89B7DD99B863}"/>
            </c:ext>
          </c:extLst>
        </c:ser>
        <c:dLbls>
          <c:showLegendKey val="0"/>
          <c:showVal val="0"/>
          <c:showCatName val="0"/>
          <c:showSerName val="0"/>
          <c:showPercent val="0"/>
          <c:showBubbleSize val="0"/>
        </c:dLbls>
        <c:marker val="1"/>
        <c:smooth val="0"/>
        <c:axId val="215431008"/>
        <c:axId val="247153248"/>
      </c:lineChart>
      <c:catAx>
        <c:axId val="21543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(hr)</a:t>
                </a:r>
              </a:p>
            </c:rich>
          </c:tx>
          <c:layout>
            <c:manualLayout>
              <c:xMode val="edge"/>
              <c:yMode val="edge"/>
              <c:x val="0.33189137072151698"/>
              <c:y val="0.9014920170551803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153248"/>
        <c:crosses val="autoZero"/>
        <c:auto val="1"/>
        <c:lblAlgn val="ctr"/>
        <c:lblOffset val="100"/>
        <c:noMultiLvlLbl val="0"/>
      </c:catAx>
      <c:valAx>
        <c:axId val="24715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Level sensor reading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431008"/>
        <c:crosses val="autoZero"/>
        <c:crossBetween val="between"/>
      </c:valAx>
      <c:spPr>
        <a:noFill/>
        <a:ln>
          <a:noFill/>
        </a:ln>
        <a:effectLst/>
      </c:spPr>
    </c:plotArea>
    <c:legend>
      <c:legendPos val="b"/>
      <c:layout>
        <c:manualLayout>
          <c:xMode val="edge"/>
          <c:yMode val="edge"/>
          <c:x val="0.52707840091417146"/>
          <c:y val="0.90967061923583681"/>
          <c:w val="0.46618704370702929"/>
          <c:h val="8.607558332178638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Sheet10!$K$1</c:f>
              <c:strCache>
                <c:ptCount val="1"/>
                <c:pt idx="0">
                  <c:v>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Sheet10!$J$2:$J$50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Sheet10!$K$2:$K$50</c:f>
              <c:numCache>
                <c:formatCode>General</c:formatCode>
                <c:ptCount val="49"/>
                <c:pt idx="0">
                  <c:v>6.5</c:v>
                </c:pt>
                <c:pt idx="1">
                  <c:v>6.6</c:v>
                </c:pt>
                <c:pt idx="2">
                  <c:v>6.4</c:v>
                </c:pt>
                <c:pt idx="3">
                  <c:v>6.7</c:v>
                </c:pt>
                <c:pt idx="4">
                  <c:v>6.2</c:v>
                </c:pt>
                <c:pt idx="5">
                  <c:v>6.5</c:v>
                </c:pt>
                <c:pt idx="6">
                  <c:v>6.4</c:v>
                </c:pt>
                <c:pt idx="7">
                  <c:v>6.4</c:v>
                </c:pt>
                <c:pt idx="8">
                  <c:v>6.3</c:v>
                </c:pt>
                <c:pt idx="9">
                  <c:v>6.3</c:v>
                </c:pt>
                <c:pt idx="10">
                  <c:v>6.3</c:v>
                </c:pt>
                <c:pt idx="11">
                  <c:v>6.3</c:v>
                </c:pt>
                <c:pt idx="12">
                  <c:v>6.2</c:v>
                </c:pt>
                <c:pt idx="13">
                  <c:v>6.2</c:v>
                </c:pt>
                <c:pt idx="14">
                  <c:v>6.2</c:v>
                </c:pt>
                <c:pt idx="15">
                  <c:v>6.2</c:v>
                </c:pt>
                <c:pt idx="16">
                  <c:v>6.1</c:v>
                </c:pt>
                <c:pt idx="17">
                  <c:v>6.1</c:v>
                </c:pt>
                <c:pt idx="18">
                  <c:v>6.1</c:v>
                </c:pt>
                <c:pt idx="19">
                  <c:v>6.1</c:v>
                </c:pt>
                <c:pt idx="20">
                  <c:v>6</c:v>
                </c:pt>
                <c:pt idx="21">
                  <c:v>6</c:v>
                </c:pt>
                <c:pt idx="22">
                  <c:v>6</c:v>
                </c:pt>
                <c:pt idx="23">
                  <c:v>6</c:v>
                </c:pt>
                <c:pt idx="24">
                  <c:v>5.9</c:v>
                </c:pt>
                <c:pt idx="25">
                  <c:v>5.9</c:v>
                </c:pt>
                <c:pt idx="26">
                  <c:v>5.9</c:v>
                </c:pt>
                <c:pt idx="27">
                  <c:v>5.9</c:v>
                </c:pt>
                <c:pt idx="28">
                  <c:v>5.8</c:v>
                </c:pt>
                <c:pt idx="29">
                  <c:v>5.8</c:v>
                </c:pt>
                <c:pt idx="30">
                  <c:v>6</c:v>
                </c:pt>
                <c:pt idx="31">
                  <c:v>6.1</c:v>
                </c:pt>
                <c:pt idx="32">
                  <c:v>6.2</c:v>
                </c:pt>
                <c:pt idx="33">
                  <c:v>6.1</c:v>
                </c:pt>
                <c:pt idx="34">
                  <c:v>6.2</c:v>
                </c:pt>
                <c:pt idx="35">
                  <c:v>6.4</c:v>
                </c:pt>
                <c:pt idx="36">
                  <c:v>6.4</c:v>
                </c:pt>
                <c:pt idx="37">
                  <c:v>6.4</c:v>
                </c:pt>
                <c:pt idx="38">
                  <c:v>6.5</c:v>
                </c:pt>
                <c:pt idx="39">
                  <c:v>6.6</c:v>
                </c:pt>
                <c:pt idx="40">
                  <c:v>6.6</c:v>
                </c:pt>
                <c:pt idx="41">
                  <c:v>6.7</c:v>
                </c:pt>
                <c:pt idx="42">
                  <c:v>6.7</c:v>
                </c:pt>
                <c:pt idx="43">
                  <c:v>6.8</c:v>
                </c:pt>
                <c:pt idx="44">
                  <c:v>6.3</c:v>
                </c:pt>
                <c:pt idx="45">
                  <c:v>6.3</c:v>
                </c:pt>
                <c:pt idx="46">
                  <c:v>6.3</c:v>
                </c:pt>
                <c:pt idx="47">
                  <c:v>6.3</c:v>
                </c:pt>
                <c:pt idx="48">
                  <c:v>6.3</c:v>
                </c:pt>
              </c:numCache>
            </c:numRef>
          </c:val>
          <c:smooth val="0"/>
          <c:extLst>
            <c:ext xmlns:c16="http://schemas.microsoft.com/office/drawing/2014/chart" uri="{C3380CC4-5D6E-409C-BE32-E72D297353CC}">
              <c16:uniqueId val="{00000000-100E-468A-A153-3E803837C582}"/>
            </c:ext>
          </c:extLst>
        </c:ser>
        <c:dLbls>
          <c:showLegendKey val="0"/>
          <c:showVal val="0"/>
          <c:showCatName val="0"/>
          <c:showSerName val="0"/>
          <c:showPercent val="0"/>
          <c:showBubbleSize val="0"/>
        </c:dLbls>
        <c:marker val="1"/>
        <c:smooth val="0"/>
        <c:axId val="1322334624"/>
        <c:axId val="1322336704"/>
      </c:lineChart>
      <c:catAx>
        <c:axId val="132233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Time</a:t>
                </a:r>
                <a:r>
                  <a:rPr lang="en-IN" baseline="0"/>
                  <a:t> (hr)</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336704"/>
        <c:crosses val="autoZero"/>
        <c:auto val="1"/>
        <c:lblAlgn val="ctr"/>
        <c:lblOffset val="100"/>
        <c:noMultiLvlLbl val="0"/>
      </c:catAx>
      <c:valAx>
        <c:axId val="13223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33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Variation of EC  pH and TDS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Sheet1!$A$1</c:f>
              <c:strCache>
                <c:ptCount val="1"/>
                <c:pt idx="0">
                  <c:v>Week</c:v>
                </c:pt>
              </c:strCache>
            </c:strRef>
          </c:tx>
          <c:spPr>
            <a:solidFill>
              <a:schemeClr val="accent1"/>
            </a:solidFill>
            <a:ln>
              <a:noFill/>
            </a:ln>
            <a:effectLst/>
          </c:spPr>
          <c:invertIfNegative val="0"/>
          <c: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val>
          <c:extLst>
            <c:ext xmlns:c16="http://schemas.microsoft.com/office/drawing/2014/chart" uri="{C3380CC4-5D6E-409C-BE32-E72D297353CC}">
              <c16:uniqueId val="{00000000-9740-487D-9812-C52FFD4C2C4E}"/>
            </c:ext>
          </c:extLst>
        </c:ser>
        <c:dLbls>
          <c:showLegendKey val="0"/>
          <c:showVal val="0"/>
          <c:showCatName val="0"/>
          <c:showSerName val="0"/>
          <c:showPercent val="0"/>
          <c:showBubbleSize val="0"/>
        </c:dLbls>
        <c:gapWidth val="219"/>
        <c:axId val="28333328"/>
        <c:axId val="82556096"/>
      </c:barChart>
      <c:barChart>
        <c:barDir val="col"/>
        <c:grouping val="clustered"/>
        <c:varyColors val="0"/>
        <c:ser>
          <c:idx val="1"/>
          <c:order val="1"/>
          <c:tx>
            <c:strRef>
              <c:f>Sheet1!$B$1</c:f>
              <c:strCache>
                <c:ptCount val="1"/>
                <c:pt idx="0">
                  <c:v>pH</c:v>
                </c:pt>
              </c:strCache>
            </c:strRef>
          </c:tx>
          <c:spPr>
            <a:solidFill>
              <a:schemeClr val="accent2"/>
            </a:solidFill>
            <a:ln>
              <a:noFill/>
            </a:ln>
            <a:effectLst/>
          </c:spPr>
          <c:invertIfNegative val="0"/>
          <c:val>
            <c:numRef>
              <c:f>Sheet1!$B$2:$B$12</c:f>
              <c:numCache>
                <c:formatCode>General</c:formatCode>
                <c:ptCount val="11"/>
                <c:pt idx="0">
                  <c:v>6.2</c:v>
                </c:pt>
                <c:pt idx="1">
                  <c:v>6</c:v>
                </c:pt>
                <c:pt idx="2">
                  <c:v>5.8</c:v>
                </c:pt>
                <c:pt idx="3">
                  <c:v>5.7</c:v>
                </c:pt>
                <c:pt idx="4">
                  <c:v>6.1</c:v>
                </c:pt>
                <c:pt idx="5">
                  <c:v>6.3</c:v>
                </c:pt>
                <c:pt idx="6">
                  <c:v>5.5</c:v>
                </c:pt>
                <c:pt idx="7">
                  <c:v>6.6</c:v>
                </c:pt>
                <c:pt idx="8">
                  <c:v>5.4</c:v>
                </c:pt>
                <c:pt idx="9">
                  <c:v>6.2</c:v>
                </c:pt>
                <c:pt idx="10">
                  <c:v>6.8</c:v>
                </c:pt>
              </c:numCache>
            </c:numRef>
          </c:val>
          <c:extLst>
            <c:ext xmlns:c16="http://schemas.microsoft.com/office/drawing/2014/chart" uri="{C3380CC4-5D6E-409C-BE32-E72D297353CC}">
              <c16:uniqueId val="{00000001-9740-487D-9812-C52FFD4C2C4E}"/>
            </c:ext>
          </c:extLst>
        </c:ser>
        <c:dLbls>
          <c:showLegendKey val="0"/>
          <c:showVal val="0"/>
          <c:showCatName val="0"/>
          <c:showSerName val="0"/>
          <c:showPercent val="0"/>
          <c:showBubbleSize val="0"/>
        </c:dLbls>
        <c:gapWidth val="219"/>
        <c:axId val="2128739216"/>
        <c:axId val="88978256"/>
      </c:barChart>
      <c:lineChart>
        <c:grouping val="standard"/>
        <c:varyColors val="0"/>
        <c:ser>
          <c:idx val="3"/>
          <c:order val="3"/>
          <c:tx>
            <c:strRef>
              <c:f>Sheet1!$D$1</c:f>
              <c:strCache>
                <c:ptCount val="1"/>
                <c:pt idx="0">
                  <c:v>TDS (ppm)</c:v>
                </c:pt>
              </c:strCache>
            </c:strRef>
          </c:tx>
          <c:spPr>
            <a:ln w="28575" cap="rnd">
              <a:solidFill>
                <a:schemeClr val="accent4"/>
              </a:solidFill>
              <a:round/>
            </a:ln>
            <a:effectLst/>
          </c:spPr>
          <c:marker>
            <c:symbol val="none"/>
          </c:marker>
          <c:val>
            <c:numRef>
              <c:f>Sheet1!$D$2:$D$12</c:f>
              <c:numCache>
                <c:formatCode>General</c:formatCode>
                <c:ptCount val="11"/>
                <c:pt idx="0">
                  <c:v>315</c:v>
                </c:pt>
                <c:pt idx="1">
                  <c:v>425</c:v>
                </c:pt>
                <c:pt idx="2">
                  <c:v>650</c:v>
                </c:pt>
                <c:pt idx="3">
                  <c:v>725</c:v>
                </c:pt>
                <c:pt idx="4">
                  <c:v>850</c:v>
                </c:pt>
                <c:pt idx="5">
                  <c:v>825</c:v>
                </c:pt>
                <c:pt idx="6">
                  <c:v>800</c:v>
                </c:pt>
                <c:pt idx="7">
                  <c:v>750</c:v>
                </c:pt>
                <c:pt idx="8">
                  <c:v>700</c:v>
                </c:pt>
                <c:pt idx="9">
                  <c:v>625</c:v>
                </c:pt>
                <c:pt idx="10">
                  <c:v>650</c:v>
                </c:pt>
              </c:numCache>
            </c:numRef>
          </c:val>
          <c:smooth val="0"/>
          <c:extLst>
            <c:ext xmlns:c16="http://schemas.microsoft.com/office/drawing/2014/chart" uri="{C3380CC4-5D6E-409C-BE32-E72D297353CC}">
              <c16:uniqueId val="{00000002-9740-487D-9812-C52FFD4C2C4E}"/>
            </c:ext>
          </c:extLst>
        </c:ser>
        <c:dLbls>
          <c:showLegendKey val="0"/>
          <c:showVal val="0"/>
          <c:showCatName val="0"/>
          <c:showSerName val="0"/>
          <c:showPercent val="0"/>
          <c:showBubbleSize val="0"/>
        </c:dLbls>
        <c:marker val="1"/>
        <c:smooth val="0"/>
        <c:axId val="28333328"/>
        <c:axId val="82556096"/>
      </c:lineChart>
      <c:lineChart>
        <c:grouping val="standard"/>
        <c:varyColors val="0"/>
        <c:ser>
          <c:idx val="2"/>
          <c:order val="2"/>
          <c:tx>
            <c:strRef>
              <c:f>Sheet1!$C$1</c:f>
              <c:strCache>
                <c:ptCount val="1"/>
                <c:pt idx="0">
                  <c:v>EC (mS/cm)</c:v>
                </c:pt>
              </c:strCache>
            </c:strRef>
          </c:tx>
          <c:spPr>
            <a:ln w="28575" cap="rnd">
              <a:solidFill>
                <a:schemeClr val="accent3"/>
              </a:solidFill>
              <a:round/>
            </a:ln>
            <a:effectLst/>
          </c:spPr>
          <c:marker>
            <c:symbol val="circle"/>
            <c:size val="5"/>
            <c:spPr>
              <a:solidFill>
                <a:srgbClr val="00B050"/>
              </a:solidFill>
              <a:ln w="9525">
                <a:solidFill>
                  <a:schemeClr val="accent3"/>
                </a:solidFill>
              </a:ln>
              <a:effectLst/>
            </c:spPr>
          </c:marker>
          <c:val>
            <c:numRef>
              <c:f>Sheet1!$C$2:$C$12</c:f>
              <c:numCache>
                <c:formatCode>General</c:formatCode>
                <c:ptCount val="11"/>
                <c:pt idx="0">
                  <c:v>0.9</c:v>
                </c:pt>
                <c:pt idx="1">
                  <c:v>1.2</c:v>
                </c:pt>
                <c:pt idx="2">
                  <c:v>1.48</c:v>
                </c:pt>
                <c:pt idx="3">
                  <c:v>1.9</c:v>
                </c:pt>
                <c:pt idx="4">
                  <c:v>2</c:v>
                </c:pt>
                <c:pt idx="5">
                  <c:v>2.4</c:v>
                </c:pt>
                <c:pt idx="6">
                  <c:v>1.9</c:v>
                </c:pt>
                <c:pt idx="7">
                  <c:v>1.4</c:v>
                </c:pt>
                <c:pt idx="8">
                  <c:v>2</c:v>
                </c:pt>
                <c:pt idx="9">
                  <c:v>1.9</c:v>
                </c:pt>
                <c:pt idx="10">
                  <c:v>2.1</c:v>
                </c:pt>
              </c:numCache>
            </c:numRef>
          </c:val>
          <c:smooth val="0"/>
          <c:extLst>
            <c:ext xmlns:c16="http://schemas.microsoft.com/office/drawing/2014/chart" uri="{C3380CC4-5D6E-409C-BE32-E72D297353CC}">
              <c16:uniqueId val="{00000003-9740-487D-9812-C52FFD4C2C4E}"/>
            </c:ext>
          </c:extLst>
        </c:ser>
        <c:dLbls>
          <c:showLegendKey val="0"/>
          <c:showVal val="0"/>
          <c:showCatName val="0"/>
          <c:showSerName val="0"/>
          <c:showPercent val="0"/>
          <c:showBubbleSize val="0"/>
        </c:dLbls>
        <c:marker val="1"/>
        <c:smooth val="0"/>
        <c:axId val="2128739216"/>
        <c:axId val="88978256"/>
      </c:lineChart>
      <c:catAx>
        <c:axId val="2833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2556096"/>
        <c:crosses val="autoZero"/>
        <c:auto val="1"/>
        <c:lblAlgn val="ctr"/>
        <c:lblOffset val="100"/>
        <c:noMultiLvlLbl val="0"/>
      </c:catAx>
      <c:valAx>
        <c:axId val="8255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33328"/>
        <c:crosses val="autoZero"/>
        <c:crossBetween val="between"/>
      </c:valAx>
      <c:valAx>
        <c:axId val="889782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 C and 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28739216"/>
        <c:crosses val="max"/>
        <c:crossBetween val="between"/>
      </c:valAx>
      <c:catAx>
        <c:axId val="2128739216"/>
        <c:scaling>
          <c:orientation val="minMax"/>
        </c:scaling>
        <c:delete val="1"/>
        <c:axPos val="b"/>
        <c:majorTickMark val="out"/>
        <c:minorTickMark val="none"/>
        <c:tickLblPos val="nextTo"/>
        <c:crossAx val="88978256"/>
        <c:crosses val="autoZero"/>
        <c:auto val="1"/>
        <c:lblAlgn val="ctr"/>
        <c:lblOffset val="100"/>
        <c:noMultiLvlLbl val="0"/>
      </c:catAx>
      <c:spPr>
        <a:noFill/>
        <a:ln>
          <a:noFill/>
        </a:ln>
        <a:effectLst/>
      </c:spPr>
    </c:plotArea>
    <c:legend>
      <c:legendPos val="b"/>
      <c:overlay val="0"/>
      <c:spPr>
        <a:noFill/>
        <a:ln>
          <a:solidFill>
            <a:schemeClr val="accent6">
              <a:lumMod val="50000"/>
            </a:schemeClr>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Shoot Length (cm) </a:t>
            </a:r>
          </a:p>
        </c:rich>
      </c:tx>
      <c:layout>
        <c:manualLayout>
          <c:xMode val="edge"/>
          <c:yMode val="edge"/>
          <c:x val="0.37356904361036941"/>
          <c:y val="6.8846815834767644E-3"/>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447926620953785"/>
          <c:y val="0.10950145316342501"/>
          <c:w val="0.72963122335045227"/>
          <c:h val="0.43554411467797294"/>
        </c:manualLayout>
      </c:layout>
      <c:barChart>
        <c:barDir val="col"/>
        <c:grouping val="clustered"/>
        <c:varyColors val="0"/>
        <c:ser>
          <c:idx val="0"/>
          <c:order val="0"/>
          <c:tx>
            <c:strRef>
              <c:f>Sheet3!$B$26</c:f>
              <c:strCache>
                <c:ptCount val="1"/>
                <c:pt idx="0">
                  <c:v>Shoot Length</c:v>
                </c:pt>
              </c:strCache>
            </c:strRef>
          </c:tx>
          <c:spPr>
            <a:solidFill>
              <a:schemeClr val="accent6"/>
            </a:solidFill>
            <a:ln>
              <a:noFill/>
            </a:ln>
            <a:effectLst/>
          </c:spPr>
          <c:invertIfNegative val="0"/>
          <c:cat>
            <c:strRef>
              <c:f>Sheet3!$A$27:$A$32</c:f>
              <c:strCache>
                <c:ptCount val="6"/>
                <c:pt idx="0">
                  <c:v>Time of Transplantation</c:v>
                </c:pt>
                <c:pt idx="1">
                  <c:v>1st week </c:v>
                </c:pt>
                <c:pt idx="2">
                  <c:v>2nd week </c:v>
                </c:pt>
                <c:pt idx="3">
                  <c:v>3rd week </c:v>
                </c:pt>
                <c:pt idx="4">
                  <c:v>4th week </c:v>
                </c:pt>
                <c:pt idx="5">
                  <c:v> First Harvesting</c:v>
                </c:pt>
              </c:strCache>
            </c:strRef>
          </c:cat>
          <c:val>
            <c:numRef>
              <c:f>Sheet3!$B$27:$B$32</c:f>
              <c:numCache>
                <c:formatCode>0.0</c:formatCode>
                <c:ptCount val="6"/>
                <c:pt idx="0">
                  <c:v>4.0962500000000004</c:v>
                </c:pt>
                <c:pt idx="1">
                  <c:v>4.8193750000000009</c:v>
                </c:pt>
                <c:pt idx="2">
                  <c:v>6.2818749999999994</c:v>
                </c:pt>
                <c:pt idx="3">
                  <c:v>7.6675000000000004</c:v>
                </c:pt>
                <c:pt idx="4">
                  <c:v>9.2256250000000009</c:v>
                </c:pt>
                <c:pt idx="5">
                  <c:v>11.156874999999999</c:v>
                </c:pt>
              </c:numCache>
            </c:numRef>
          </c:val>
          <c:extLst>
            <c:ext xmlns:c16="http://schemas.microsoft.com/office/drawing/2014/chart" uri="{C3380CC4-5D6E-409C-BE32-E72D297353CC}">
              <c16:uniqueId val="{00000000-0D36-457D-BEA3-67468732FADE}"/>
            </c:ext>
          </c:extLst>
        </c:ser>
        <c:dLbls>
          <c:showLegendKey val="0"/>
          <c:showVal val="0"/>
          <c:showCatName val="0"/>
          <c:showSerName val="0"/>
          <c:showPercent val="0"/>
          <c:showBubbleSize val="0"/>
        </c:dLbls>
        <c:gapWidth val="219"/>
        <c:overlap val="-27"/>
        <c:axId val="688699503"/>
        <c:axId val="531785183"/>
      </c:barChart>
      <c:catAx>
        <c:axId val="688699503"/>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785183"/>
        <c:crosses val="autoZero"/>
        <c:auto val="1"/>
        <c:lblAlgn val="ctr"/>
        <c:lblOffset val="100"/>
        <c:noMultiLvlLbl val="0"/>
      </c:catAx>
      <c:valAx>
        <c:axId val="531785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Shoot length (cm)</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8699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3403778726132515"/>
          <c:y val="0.13082344213649852"/>
          <c:w val="0.74544128548816879"/>
          <c:h val="0.46038170568045517"/>
        </c:manualLayout>
      </c:layout>
      <c:barChart>
        <c:barDir val="col"/>
        <c:grouping val="clustered"/>
        <c:varyColors val="0"/>
        <c:ser>
          <c:idx val="0"/>
          <c:order val="0"/>
          <c:tx>
            <c:strRef>
              <c:f>Sheet3!$B$18</c:f>
              <c:strCache>
                <c:ptCount val="1"/>
                <c:pt idx="0">
                  <c:v>Root length (cm)</c:v>
                </c:pt>
              </c:strCache>
            </c:strRef>
          </c:tx>
          <c:spPr>
            <a:solidFill>
              <a:schemeClr val="accent6"/>
            </a:solidFill>
            <a:ln>
              <a:noFill/>
            </a:ln>
            <a:effectLst/>
          </c:spPr>
          <c:invertIfNegative val="0"/>
          <c:cat>
            <c:strRef>
              <c:f>Sheet3!$A$19:$A$24</c:f>
              <c:strCache>
                <c:ptCount val="6"/>
                <c:pt idx="0">
                  <c:v>Time of Transplantation</c:v>
                </c:pt>
                <c:pt idx="1">
                  <c:v>1st week </c:v>
                </c:pt>
                <c:pt idx="2">
                  <c:v>2nd week </c:v>
                </c:pt>
                <c:pt idx="3">
                  <c:v>3rd week </c:v>
                </c:pt>
                <c:pt idx="4">
                  <c:v>4th week </c:v>
                </c:pt>
                <c:pt idx="5">
                  <c:v> First Harvesting</c:v>
                </c:pt>
              </c:strCache>
            </c:strRef>
          </c:cat>
          <c:val>
            <c:numRef>
              <c:f>Sheet3!$B$19:$B$24</c:f>
              <c:numCache>
                <c:formatCode>0.0</c:formatCode>
                <c:ptCount val="6"/>
                <c:pt idx="0">
                  <c:v>4.7924999999999995</c:v>
                </c:pt>
                <c:pt idx="1">
                  <c:v>8.020624999999999</c:v>
                </c:pt>
                <c:pt idx="2">
                  <c:v>14.4</c:v>
                </c:pt>
                <c:pt idx="3">
                  <c:v>22.906874999999999</c:v>
                </c:pt>
                <c:pt idx="4">
                  <c:v>31.594375000000003</c:v>
                </c:pt>
                <c:pt idx="5">
                  <c:v>46.904375000000002</c:v>
                </c:pt>
              </c:numCache>
            </c:numRef>
          </c:val>
          <c:extLst>
            <c:ext xmlns:c16="http://schemas.microsoft.com/office/drawing/2014/chart" uri="{C3380CC4-5D6E-409C-BE32-E72D297353CC}">
              <c16:uniqueId val="{00000000-168A-42A8-B7F6-4E9142323D6B}"/>
            </c:ext>
          </c:extLst>
        </c:ser>
        <c:dLbls>
          <c:showLegendKey val="0"/>
          <c:showVal val="0"/>
          <c:showCatName val="0"/>
          <c:showSerName val="0"/>
          <c:showPercent val="0"/>
          <c:showBubbleSize val="0"/>
        </c:dLbls>
        <c:gapWidth val="219"/>
        <c:overlap val="-27"/>
        <c:axId val="680943119"/>
        <c:axId val="531845919"/>
      </c:barChart>
      <c:catAx>
        <c:axId val="680943119"/>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a:t>
                </a:r>
                <a:r>
                  <a:rPr lang="en-US" baseline="0"/>
                  <a:t> (week)</a:t>
                </a:r>
                <a:endParaRPr lang="en-US"/>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845919"/>
        <c:crosses val="autoZero"/>
        <c:auto val="1"/>
        <c:lblAlgn val="ctr"/>
        <c:lblOffset val="100"/>
        <c:noMultiLvlLbl val="0"/>
      </c:catAx>
      <c:valAx>
        <c:axId val="531845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Root Length (cm)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0943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Sheet3!$B$35</c:f>
              <c:strCache>
                <c:ptCount val="1"/>
                <c:pt idx="0">
                  <c:v>Leaf Length (cm)</c:v>
                </c:pt>
              </c:strCache>
            </c:strRef>
          </c:tx>
          <c:spPr>
            <a:solidFill>
              <a:schemeClr val="accent6"/>
            </a:solidFill>
            <a:ln>
              <a:noFill/>
            </a:ln>
            <a:effectLst/>
          </c:spPr>
          <c:invertIfNegative val="0"/>
          <c:cat>
            <c:strRef>
              <c:f>Sheet3!$A$36:$A$41</c:f>
              <c:strCache>
                <c:ptCount val="6"/>
                <c:pt idx="0">
                  <c:v>Time of Transplantation</c:v>
                </c:pt>
                <c:pt idx="1">
                  <c:v>1st week </c:v>
                </c:pt>
                <c:pt idx="2">
                  <c:v>2nd week </c:v>
                </c:pt>
                <c:pt idx="3">
                  <c:v>3rd week </c:v>
                </c:pt>
                <c:pt idx="4">
                  <c:v>4th week </c:v>
                </c:pt>
                <c:pt idx="5">
                  <c:v> First Harvesting</c:v>
                </c:pt>
              </c:strCache>
            </c:strRef>
          </c:cat>
          <c:val>
            <c:numRef>
              <c:f>Sheet3!$B$36:$B$41</c:f>
              <c:numCache>
                <c:formatCode>0.0</c:formatCode>
                <c:ptCount val="6"/>
                <c:pt idx="0">
                  <c:v>3.5650000000000004</c:v>
                </c:pt>
                <c:pt idx="1">
                  <c:v>4.3181250000000002</c:v>
                </c:pt>
                <c:pt idx="2">
                  <c:v>6.1549999999999994</c:v>
                </c:pt>
                <c:pt idx="3">
                  <c:v>7.53125</c:v>
                </c:pt>
                <c:pt idx="4">
                  <c:v>9.1649999999999991</c:v>
                </c:pt>
                <c:pt idx="5">
                  <c:v>11</c:v>
                </c:pt>
              </c:numCache>
            </c:numRef>
          </c:val>
          <c:extLst>
            <c:ext xmlns:c16="http://schemas.microsoft.com/office/drawing/2014/chart" uri="{C3380CC4-5D6E-409C-BE32-E72D297353CC}">
              <c16:uniqueId val="{00000000-A988-4835-9BA2-5EB76D554B04}"/>
            </c:ext>
          </c:extLst>
        </c:ser>
        <c:dLbls>
          <c:showLegendKey val="0"/>
          <c:showVal val="0"/>
          <c:showCatName val="0"/>
          <c:showSerName val="0"/>
          <c:showPercent val="0"/>
          <c:showBubbleSize val="0"/>
        </c:dLbls>
        <c:gapWidth val="219"/>
        <c:overlap val="-27"/>
        <c:axId val="680942719"/>
        <c:axId val="531771871"/>
      </c:barChart>
      <c:catAx>
        <c:axId val="680942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31771871"/>
        <c:crosses val="autoZero"/>
        <c:auto val="1"/>
        <c:lblAlgn val="ctr"/>
        <c:lblOffset val="100"/>
        <c:noMultiLvlLbl val="0"/>
      </c:catAx>
      <c:valAx>
        <c:axId val="531771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Leaf length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094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Length width(cm)</a:t>
            </a:r>
            <a:endParaRPr lang="en-US"/>
          </a:p>
        </c:rich>
      </c:tx>
      <c:layout>
        <c:manualLayout>
          <c:xMode val="edge"/>
          <c:yMode val="edge"/>
          <c:x val="0.34871794871794876"/>
          <c:y val="1.5698587127158554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4514927272886874"/>
          <c:y val="9.3364327979712614E-2"/>
          <c:w val="0.75267549750261153"/>
          <c:h val="0.47174954779004274"/>
        </c:manualLayout>
      </c:layout>
      <c:barChart>
        <c:barDir val="col"/>
        <c:grouping val="clustered"/>
        <c:varyColors val="0"/>
        <c:ser>
          <c:idx val="0"/>
          <c:order val="0"/>
          <c:tx>
            <c:strRef>
              <c:f>Sheet3!$B$10</c:f>
              <c:strCache>
                <c:ptCount val="1"/>
                <c:pt idx="0">
                  <c:v>Leaf width (cm)</c:v>
                </c:pt>
              </c:strCache>
            </c:strRef>
          </c:tx>
          <c:spPr>
            <a:solidFill>
              <a:schemeClr val="accent6"/>
            </a:solidFill>
            <a:ln>
              <a:noFill/>
            </a:ln>
            <a:effectLst/>
          </c:spPr>
          <c:invertIfNegative val="0"/>
          <c:cat>
            <c:strRef>
              <c:f>Sheet3!$A$11:$A$16</c:f>
              <c:strCache>
                <c:ptCount val="6"/>
                <c:pt idx="0">
                  <c:v>Time of Transplantation</c:v>
                </c:pt>
                <c:pt idx="1">
                  <c:v>1st week </c:v>
                </c:pt>
                <c:pt idx="2">
                  <c:v>2nd week </c:v>
                </c:pt>
                <c:pt idx="3">
                  <c:v>3rd week </c:v>
                </c:pt>
                <c:pt idx="4">
                  <c:v>4th week </c:v>
                </c:pt>
                <c:pt idx="5">
                  <c:v> First Harvesting</c:v>
                </c:pt>
              </c:strCache>
            </c:strRef>
          </c:cat>
          <c:val>
            <c:numRef>
              <c:f>Sheet3!$B$11:$B$16</c:f>
              <c:numCache>
                <c:formatCode>0.0</c:formatCode>
                <c:ptCount val="6"/>
                <c:pt idx="0">
                  <c:v>2.7943750000000001</c:v>
                </c:pt>
                <c:pt idx="1">
                  <c:v>3.3568750000000001</c:v>
                </c:pt>
                <c:pt idx="2">
                  <c:v>4.80375</c:v>
                </c:pt>
                <c:pt idx="3">
                  <c:v>6.1243749999999988</c:v>
                </c:pt>
                <c:pt idx="4">
                  <c:v>8.0981249999999996</c:v>
                </c:pt>
                <c:pt idx="5">
                  <c:v>11.9</c:v>
                </c:pt>
              </c:numCache>
            </c:numRef>
          </c:val>
          <c:extLst>
            <c:ext xmlns:c16="http://schemas.microsoft.com/office/drawing/2014/chart" uri="{C3380CC4-5D6E-409C-BE32-E72D297353CC}">
              <c16:uniqueId val="{00000000-A607-4DF3-9F00-A0074214F6A9}"/>
            </c:ext>
          </c:extLst>
        </c:ser>
        <c:dLbls>
          <c:showLegendKey val="0"/>
          <c:showVal val="0"/>
          <c:showCatName val="0"/>
          <c:showSerName val="0"/>
          <c:showPercent val="0"/>
          <c:showBubbleSize val="0"/>
        </c:dLbls>
        <c:gapWidth val="219"/>
        <c:overlap val="-27"/>
        <c:axId val="680948319"/>
        <c:axId val="531776863"/>
      </c:barChart>
      <c:catAx>
        <c:axId val="680948319"/>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layout>
            <c:manualLayout>
              <c:xMode val="edge"/>
              <c:yMode val="edge"/>
              <c:x val="0.46168137593072767"/>
              <c:y val="0.881360946745562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776863"/>
        <c:crosses val="autoZero"/>
        <c:auto val="1"/>
        <c:lblAlgn val="ctr"/>
        <c:lblOffset val="100"/>
        <c:noMultiLvlLbl val="0"/>
      </c:catAx>
      <c:valAx>
        <c:axId val="531776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Leaf width (cm)</a:t>
                </a:r>
              </a:p>
            </c:rich>
          </c:tx>
          <c:layout>
            <c:manualLayout>
              <c:xMode val="edge"/>
              <c:yMode val="edge"/>
              <c:x val="2.8397565922920892E-2"/>
              <c:y val="8.4791661990683401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0948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83095961122885"/>
          <c:y val="0.15457148310746327"/>
          <c:w val="0.79187994918452476"/>
          <c:h val="0.39984791090302907"/>
        </c:manualLayout>
      </c:layout>
      <c:barChart>
        <c:barDir val="col"/>
        <c:grouping val="clustered"/>
        <c:varyColors val="0"/>
        <c:ser>
          <c:idx val="0"/>
          <c:order val="0"/>
          <c:tx>
            <c:strRef>
              <c:f>Sheet3!$B$1</c:f>
              <c:strCache>
                <c:ptCount val="1"/>
                <c:pt idx="0">
                  <c:v>Number of leaves</c:v>
                </c:pt>
              </c:strCache>
            </c:strRef>
          </c:tx>
          <c:spPr>
            <a:solidFill>
              <a:schemeClr val="accent6"/>
            </a:solidFill>
            <a:ln>
              <a:noFill/>
            </a:ln>
            <a:effectLst/>
          </c:spPr>
          <c:invertIfNegative val="0"/>
          <c:cat>
            <c:strRef>
              <c:f>Sheet3!$A$2:$A$7</c:f>
              <c:strCache>
                <c:ptCount val="6"/>
                <c:pt idx="0">
                  <c:v>Time of Transplantation</c:v>
                </c:pt>
                <c:pt idx="1">
                  <c:v>1st week </c:v>
                </c:pt>
                <c:pt idx="2">
                  <c:v>2nd week </c:v>
                </c:pt>
                <c:pt idx="3">
                  <c:v>3rd week </c:v>
                </c:pt>
                <c:pt idx="4">
                  <c:v>4th week </c:v>
                </c:pt>
                <c:pt idx="5">
                  <c:v> First Harvesting</c:v>
                </c:pt>
              </c:strCache>
            </c:strRef>
          </c:cat>
          <c:val>
            <c:numRef>
              <c:f>Sheet3!$B$2:$B$7</c:f>
              <c:numCache>
                <c:formatCode>General</c:formatCode>
                <c:ptCount val="6"/>
                <c:pt idx="0">
                  <c:v>3.25</c:v>
                </c:pt>
                <c:pt idx="1">
                  <c:v>4.1900000000000004</c:v>
                </c:pt>
                <c:pt idx="2">
                  <c:v>5.93</c:v>
                </c:pt>
                <c:pt idx="3">
                  <c:v>8.25</c:v>
                </c:pt>
                <c:pt idx="4">
                  <c:v>10.130000000000001</c:v>
                </c:pt>
                <c:pt idx="5">
                  <c:v>12.88</c:v>
                </c:pt>
              </c:numCache>
            </c:numRef>
          </c:val>
          <c:extLst>
            <c:ext xmlns:c16="http://schemas.microsoft.com/office/drawing/2014/chart" uri="{C3380CC4-5D6E-409C-BE32-E72D297353CC}">
              <c16:uniqueId val="{00000000-C28E-4577-8F29-5BC1EA85DD8E}"/>
            </c:ext>
          </c:extLst>
        </c:ser>
        <c:dLbls>
          <c:showLegendKey val="0"/>
          <c:showVal val="0"/>
          <c:showCatName val="0"/>
          <c:showSerName val="0"/>
          <c:showPercent val="0"/>
          <c:showBubbleSize val="0"/>
        </c:dLbls>
        <c:gapWidth val="219"/>
        <c:overlap val="-27"/>
        <c:axId val="614988671"/>
        <c:axId val="536321823"/>
      </c:barChart>
      <c:catAx>
        <c:axId val="614988671"/>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(Week)</a:t>
                </a:r>
              </a:p>
            </c:rich>
          </c:tx>
          <c:layout>
            <c:manualLayout>
              <c:xMode val="edge"/>
              <c:yMode val="edge"/>
              <c:x val="0.46541770693297485"/>
              <c:y val="0.885207100591715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321823"/>
        <c:crosses val="autoZero"/>
        <c:auto val="1"/>
        <c:lblAlgn val="ctr"/>
        <c:lblOffset val="100"/>
        <c:noMultiLvlLbl val="0"/>
      </c:catAx>
      <c:valAx>
        <c:axId val="536321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leaves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4988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Sheet8!$B$1</c:f>
              <c:strCache>
                <c:ptCount val="1"/>
                <c:pt idx="0">
                  <c:v>Chamber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Sheet8!$A$2:$A$49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Sheet8!$B$2:$B$49</c:f>
              <c:numCache>
                <c:formatCode>General</c:formatCode>
                <c:ptCount val="48"/>
                <c:pt idx="0">
                  <c:v>24.2</c:v>
                </c:pt>
                <c:pt idx="1">
                  <c:v>24.9</c:v>
                </c:pt>
                <c:pt idx="2">
                  <c:v>25.1</c:v>
                </c:pt>
                <c:pt idx="3">
                  <c:v>25.2</c:v>
                </c:pt>
                <c:pt idx="4">
                  <c:v>25.1</c:v>
                </c:pt>
                <c:pt idx="5">
                  <c:v>25.3</c:v>
                </c:pt>
                <c:pt idx="6">
                  <c:v>25.4</c:v>
                </c:pt>
                <c:pt idx="7">
                  <c:v>25.3</c:v>
                </c:pt>
                <c:pt idx="8">
                  <c:v>25.5</c:v>
                </c:pt>
                <c:pt idx="9">
                  <c:v>25.3</c:v>
                </c:pt>
                <c:pt idx="10">
                  <c:v>24.6</c:v>
                </c:pt>
                <c:pt idx="11">
                  <c:v>24.8</c:v>
                </c:pt>
                <c:pt idx="12">
                  <c:v>25.2</c:v>
                </c:pt>
                <c:pt idx="13">
                  <c:v>24.4</c:v>
                </c:pt>
                <c:pt idx="14">
                  <c:v>25.1</c:v>
                </c:pt>
                <c:pt idx="15">
                  <c:v>24.9</c:v>
                </c:pt>
                <c:pt idx="16">
                  <c:v>25.1</c:v>
                </c:pt>
                <c:pt idx="17">
                  <c:v>25.3</c:v>
                </c:pt>
                <c:pt idx="18">
                  <c:v>25.5</c:v>
                </c:pt>
                <c:pt idx="19">
                  <c:v>25.8</c:v>
                </c:pt>
                <c:pt idx="20">
                  <c:v>25.8</c:v>
                </c:pt>
                <c:pt idx="21">
                  <c:v>25.8</c:v>
                </c:pt>
                <c:pt idx="22">
                  <c:v>26</c:v>
                </c:pt>
                <c:pt idx="23">
                  <c:v>26.2</c:v>
                </c:pt>
                <c:pt idx="24">
                  <c:v>26</c:v>
                </c:pt>
                <c:pt idx="25">
                  <c:v>26.2</c:v>
                </c:pt>
                <c:pt idx="26">
                  <c:v>26.3</c:v>
                </c:pt>
                <c:pt idx="27">
                  <c:v>26.4</c:v>
                </c:pt>
                <c:pt idx="28">
                  <c:v>26.5</c:v>
                </c:pt>
                <c:pt idx="29">
                  <c:v>26.6</c:v>
                </c:pt>
                <c:pt idx="30">
                  <c:v>26.5</c:v>
                </c:pt>
                <c:pt idx="31">
                  <c:v>26.4</c:v>
                </c:pt>
                <c:pt idx="32">
                  <c:v>26.6</c:v>
                </c:pt>
                <c:pt idx="33">
                  <c:v>26.7</c:v>
                </c:pt>
                <c:pt idx="34">
                  <c:v>26.5</c:v>
                </c:pt>
                <c:pt idx="35">
                  <c:v>26.4</c:v>
                </c:pt>
                <c:pt idx="36">
                  <c:v>26.3</c:v>
                </c:pt>
                <c:pt idx="37">
                  <c:v>26</c:v>
                </c:pt>
                <c:pt idx="38">
                  <c:v>25.8</c:v>
                </c:pt>
                <c:pt idx="39">
                  <c:v>24.9</c:v>
                </c:pt>
                <c:pt idx="40">
                  <c:v>24.6</c:v>
                </c:pt>
                <c:pt idx="41">
                  <c:v>24.8</c:v>
                </c:pt>
                <c:pt idx="42">
                  <c:v>24.6</c:v>
                </c:pt>
                <c:pt idx="43">
                  <c:v>24.4</c:v>
                </c:pt>
                <c:pt idx="44">
                  <c:v>25.1</c:v>
                </c:pt>
                <c:pt idx="45">
                  <c:v>25</c:v>
                </c:pt>
                <c:pt idx="46">
                  <c:v>25.3</c:v>
                </c:pt>
                <c:pt idx="47">
                  <c:v>25</c:v>
                </c:pt>
              </c:numCache>
            </c:numRef>
          </c:val>
          <c:smooth val="0"/>
          <c:extLst>
            <c:ext xmlns:c16="http://schemas.microsoft.com/office/drawing/2014/chart" uri="{C3380CC4-5D6E-409C-BE32-E72D297353CC}">
              <c16:uniqueId val="{00000000-C5FB-4FF7-BD44-E470B3EEB60C}"/>
            </c:ext>
          </c:extLst>
        </c:ser>
        <c:dLbls>
          <c:showLegendKey val="0"/>
          <c:showVal val="0"/>
          <c:showCatName val="0"/>
          <c:showSerName val="0"/>
          <c:showPercent val="0"/>
          <c:showBubbleSize val="0"/>
        </c:dLbls>
        <c:marker val="1"/>
        <c:smooth val="0"/>
        <c:axId val="1322338368"/>
        <c:axId val="1322340448"/>
      </c:lineChart>
      <c:catAx>
        <c:axId val="132233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340448"/>
        <c:crosses val="autoZero"/>
        <c:auto val="1"/>
        <c:lblAlgn val="ctr"/>
        <c:lblOffset val="100"/>
        <c:noMultiLvlLbl val="0"/>
      </c:catAx>
      <c:valAx>
        <c:axId val="132234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Temperaure</a:t>
                </a:r>
                <a:r>
                  <a:rPr lang="en-US" baseline="0"/>
                  <a:t> (</a:t>
                </a:r>
                <a:r>
                  <a:rPr lang="en-US" baseline="30000"/>
                  <a:t>o</a:t>
                </a:r>
                <a:r>
                  <a:rPr lang="en-US" baseline="0"/>
                  <a:t>C)</a:t>
                </a:r>
                <a:endParaRPr lang="en-US"/>
              </a:p>
            </c:rich>
          </c:tx>
          <c:layout>
            <c:manualLayout>
              <c:xMode val="edge"/>
              <c:yMode val="edge"/>
              <c:x val="1.9444444444444445E-2"/>
              <c:y val="0.316115121026538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3383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87629534356012"/>
          <c:y val="4.8499070066572801E-2"/>
          <c:w val="0.76314165908544307"/>
          <c:h val="0.63456551801992489"/>
        </c:manualLayout>
      </c:layout>
      <c:lineChart>
        <c:grouping val="standard"/>
        <c:varyColors val="0"/>
        <c:ser>
          <c:idx val="0"/>
          <c:order val="0"/>
          <c:tx>
            <c:strRef>
              <c:f>Sheet8!$N$1</c:f>
              <c:strCache>
                <c:ptCount val="1"/>
                <c:pt idx="0">
                  <c:v>Chamber Humidity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Sheet8!$M$2:$M$49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Sheet8!$N$2:$N$49</c:f>
              <c:numCache>
                <c:formatCode>General</c:formatCode>
                <c:ptCount val="48"/>
                <c:pt idx="0">
                  <c:v>91</c:v>
                </c:pt>
                <c:pt idx="1">
                  <c:v>92</c:v>
                </c:pt>
                <c:pt idx="2">
                  <c:v>92.1</c:v>
                </c:pt>
                <c:pt idx="3">
                  <c:v>92</c:v>
                </c:pt>
                <c:pt idx="4">
                  <c:v>91.3</c:v>
                </c:pt>
                <c:pt idx="5">
                  <c:v>90.9</c:v>
                </c:pt>
                <c:pt idx="6">
                  <c:v>90</c:v>
                </c:pt>
                <c:pt idx="7">
                  <c:v>91.8</c:v>
                </c:pt>
                <c:pt idx="8">
                  <c:v>92.3</c:v>
                </c:pt>
                <c:pt idx="9">
                  <c:v>91.8</c:v>
                </c:pt>
                <c:pt idx="10">
                  <c:v>91.3</c:v>
                </c:pt>
                <c:pt idx="11">
                  <c:v>91</c:v>
                </c:pt>
                <c:pt idx="12">
                  <c:v>90</c:v>
                </c:pt>
                <c:pt idx="13">
                  <c:v>89.9</c:v>
                </c:pt>
                <c:pt idx="14">
                  <c:v>89.5</c:v>
                </c:pt>
                <c:pt idx="15">
                  <c:v>89.2</c:v>
                </c:pt>
                <c:pt idx="16">
                  <c:v>88.8</c:v>
                </c:pt>
                <c:pt idx="17">
                  <c:v>88.3</c:v>
                </c:pt>
                <c:pt idx="18">
                  <c:v>87.6</c:v>
                </c:pt>
                <c:pt idx="19">
                  <c:v>86</c:v>
                </c:pt>
                <c:pt idx="20">
                  <c:v>86.2</c:v>
                </c:pt>
                <c:pt idx="21">
                  <c:v>86.5</c:v>
                </c:pt>
                <c:pt idx="22">
                  <c:v>86.9</c:v>
                </c:pt>
                <c:pt idx="23">
                  <c:v>84</c:v>
                </c:pt>
                <c:pt idx="24">
                  <c:v>84</c:v>
                </c:pt>
                <c:pt idx="25">
                  <c:v>83</c:v>
                </c:pt>
                <c:pt idx="26">
                  <c:v>82</c:v>
                </c:pt>
                <c:pt idx="27">
                  <c:v>80</c:v>
                </c:pt>
                <c:pt idx="28">
                  <c:v>79</c:v>
                </c:pt>
                <c:pt idx="29">
                  <c:v>80</c:v>
                </c:pt>
                <c:pt idx="30">
                  <c:v>82</c:v>
                </c:pt>
                <c:pt idx="31">
                  <c:v>83</c:v>
                </c:pt>
                <c:pt idx="32">
                  <c:v>81</c:v>
                </c:pt>
                <c:pt idx="33">
                  <c:v>80</c:v>
                </c:pt>
                <c:pt idx="34">
                  <c:v>84</c:v>
                </c:pt>
                <c:pt idx="35">
                  <c:v>85</c:v>
                </c:pt>
                <c:pt idx="36">
                  <c:v>86</c:v>
                </c:pt>
                <c:pt idx="37">
                  <c:v>86.2</c:v>
                </c:pt>
                <c:pt idx="38">
                  <c:v>87.5</c:v>
                </c:pt>
                <c:pt idx="39">
                  <c:v>87.9</c:v>
                </c:pt>
                <c:pt idx="40">
                  <c:v>88.3</c:v>
                </c:pt>
                <c:pt idx="41">
                  <c:v>88.7</c:v>
                </c:pt>
                <c:pt idx="42">
                  <c:v>89.1</c:v>
                </c:pt>
                <c:pt idx="43">
                  <c:v>89.5</c:v>
                </c:pt>
                <c:pt idx="44">
                  <c:v>89.9</c:v>
                </c:pt>
                <c:pt idx="45">
                  <c:v>90.3</c:v>
                </c:pt>
                <c:pt idx="46">
                  <c:v>90.7</c:v>
                </c:pt>
                <c:pt idx="47">
                  <c:v>91.1</c:v>
                </c:pt>
              </c:numCache>
            </c:numRef>
          </c:val>
          <c:smooth val="0"/>
          <c:extLst>
            <c:ext xmlns:c16="http://schemas.microsoft.com/office/drawing/2014/chart" uri="{C3380CC4-5D6E-409C-BE32-E72D297353CC}">
              <c16:uniqueId val="{00000000-986F-42E7-9CF9-F13C8D2C61D6}"/>
            </c:ext>
          </c:extLst>
        </c:ser>
        <c:dLbls>
          <c:showLegendKey val="0"/>
          <c:showVal val="0"/>
          <c:showCatName val="0"/>
          <c:showSerName val="0"/>
          <c:showPercent val="0"/>
          <c:showBubbleSize val="0"/>
        </c:dLbls>
        <c:marker val="1"/>
        <c:smooth val="0"/>
        <c:axId val="1322054288"/>
        <c:axId val="1322069680"/>
      </c:lineChart>
      <c:catAx>
        <c:axId val="132205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69680"/>
        <c:crosses val="autoZero"/>
        <c:auto val="1"/>
        <c:lblAlgn val="ctr"/>
        <c:lblOffset val="100"/>
        <c:noMultiLvlLbl val="0"/>
      </c:catAx>
      <c:valAx>
        <c:axId val="132206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Chamber</a:t>
                </a:r>
                <a:r>
                  <a:rPr lang="en-US" baseline="0"/>
                  <a:t> humidity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5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288044876743"/>
          <c:y val="5.4726368159203981E-2"/>
          <c:w val="0.75408718027893573"/>
          <c:h val="0.6432240372938457"/>
        </c:manualLayout>
      </c:layout>
      <c:lineChart>
        <c:grouping val="standard"/>
        <c:varyColors val="0"/>
        <c:ser>
          <c:idx val="1"/>
          <c:order val="1"/>
          <c:tx>
            <c:strRef>
              <c:f>Sheet1!$C$1</c:f>
              <c:strCache>
                <c:ptCount val="1"/>
                <c:pt idx="0">
                  <c:v>Chamber Humidity (%)</c:v>
                </c:pt>
              </c:strCache>
            </c:strRef>
          </c:tx>
          <c:spPr>
            <a:ln w="28575" cap="rnd">
              <a:solidFill>
                <a:schemeClr val="accent2"/>
              </a:solidFill>
              <a:round/>
            </a:ln>
            <a:effectLst/>
          </c:spPr>
          <c:marker>
            <c:symbol val="none"/>
          </c:marker>
          <c:cat>
            <c:numRef>
              <c:f>Sheet1!$A$2:$A$49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Sheet1!$C$2:$C$49</c:f>
              <c:numCache>
                <c:formatCode>General</c:formatCode>
                <c:ptCount val="48"/>
                <c:pt idx="0">
                  <c:v>91</c:v>
                </c:pt>
                <c:pt idx="1">
                  <c:v>92</c:v>
                </c:pt>
                <c:pt idx="2">
                  <c:v>92.1</c:v>
                </c:pt>
                <c:pt idx="3">
                  <c:v>92</c:v>
                </c:pt>
                <c:pt idx="4">
                  <c:v>91.3</c:v>
                </c:pt>
                <c:pt idx="5">
                  <c:v>90.9</c:v>
                </c:pt>
                <c:pt idx="6">
                  <c:v>90</c:v>
                </c:pt>
                <c:pt idx="7">
                  <c:v>91.8</c:v>
                </c:pt>
                <c:pt idx="8">
                  <c:v>92.3</c:v>
                </c:pt>
                <c:pt idx="9">
                  <c:v>91.8</c:v>
                </c:pt>
                <c:pt idx="10">
                  <c:v>91.3</c:v>
                </c:pt>
                <c:pt idx="11">
                  <c:v>91</c:v>
                </c:pt>
                <c:pt idx="12">
                  <c:v>90</c:v>
                </c:pt>
                <c:pt idx="13">
                  <c:v>89.9</c:v>
                </c:pt>
                <c:pt idx="14">
                  <c:v>89.5</c:v>
                </c:pt>
                <c:pt idx="15">
                  <c:v>89.2</c:v>
                </c:pt>
                <c:pt idx="16">
                  <c:v>88.8</c:v>
                </c:pt>
                <c:pt idx="17">
                  <c:v>88.3</c:v>
                </c:pt>
                <c:pt idx="18">
                  <c:v>87.6</c:v>
                </c:pt>
                <c:pt idx="19">
                  <c:v>86</c:v>
                </c:pt>
                <c:pt idx="20">
                  <c:v>86.2</c:v>
                </c:pt>
                <c:pt idx="21">
                  <c:v>86.5</c:v>
                </c:pt>
                <c:pt idx="22">
                  <c:v>86.9</c:v>
                </c:pt>
                <c:pt idx="23">
                  <c:v>84</c:v>
                </c:pt>
                <c:pt idx="24">
                  <c:v>84</c:v>
                </c:pt>
                <c:pt idx="25">
                  <c:v>83</c:v>
                </c:pt>
                <c:pt idx="26">
                  <c:v>82</c:v>
                </c:pt>
                <c:pt idx="27">
                  <c:v>80</c:v>
                </c:pt>
                <c:pt idx="28">
                  <c:v>79</c:v>
                </c:pt>
                <c:pt idx="29">
                  <c:v>80</c:v>
                </c:pt>
                <c:pt idx="30">
                  <c:v>82</c:v>
                </c:pt>
                <c:pt idx="31">
                  <c:v>83</c:v>
                </c:pt>
                <c:pt idx="32">
                  <c:v>81</c:v>
                </c:pt>
                <c:pt idx="33">
                  <c:v>80</c:v>
                </c:pt>
                <c:pt idx="34">
                  <c:v>84</c:v>
                </c:pt>
                <c:pt idx="35">
                  <c:v>85</c:v>
                </c:pt>
                <c:pt idx="36">
                  <c:v>86</c:v>
                </c:pt>
                <c:pt idx="37">
                  <c:v>86.2</c:v>
                </c:pt>
                <c:pt idx="38">
                  <c:v>87.5</c:v>
                </c:pt>
                <c:pt idx="39">
                  <c:v>87.9</c:v>
                </c:pt>
                <c:pt idx="40">
                  <c:v>88.3</c:v>
                </c:pt>
                <c:pt idx="41">
                  <c:v>88.7</c:v>
                </c:pt>
                <c:pt idx="42">
                  <c:v>89.1</c:v>
                </c:pt>
                <c:pt idx="43">
                  <c:v>89.5</c:v>
                </c:pt>
                <c:pt idx="44">
                  <c:v>89.9</c:v>
                </c:pt>
                <c:pt idx="45">
                  <c:v>90.3</c:v>
                </c:pt>
                <c:pt idx="46">
                  <c:v>90.7</c:v>
                </c:pt>
                <c:pt idx="47">
                  <c:v>91.1</c:v>
                </c:pt>
              </c:numCache>
            </c:numRef>
          </c:val>
          <c:smooth val="0"/>
          <c:extLst>
            <c:ext xmlns:c16="http://schemas.microsoft.com/office/drawing/2014/chart" uri="{C3380CC4-5D6E-409C-BE32-E72D297353CC}">
              <c16:uniqueId val="{00000000-6866-4CB8-B631-61E5436CB6DC}"/>
            </c:ext>
          </c:extLst>
        </c:ser>
        <c:dLbls>
          <c:showLegendKey val="0"/>
          <c:showVal val="0"/>
          <c:showCatName val="0"/>
          <c:showSerName val="0"/>
          <c:showPercent val="0"/>
          <c:showBubbleSize val="0"/>
        </c:dLbls>
        <c:marker val="1"/>
        <c:smooth val="0"/>
        <c:axId val="582157584"/>
        <c:axId val="582158416"/>
      </c:lineChart>
      <c:lineChart>
        <c:grouping val="stacked"/>
        <c:varyColors val="0"/>
        <c:ser>
          <c:idx val="0"/>
          <c:order val="0"/>
          <c:tx>
            <c:strRef>
              <c:f>Sheet1!$B$1</c:f>
              <c:strCache>
                <c:ptCount val="1"/>
                <c:pt idx="0">
                  <c:v>Chamber temperature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Sheet1!$B$2:$B$49</c:f>
              <c:numCache>
                <c:formatCode>General</c:formatCode>
                <c:ptCount val="48"/>
                <c:pt idx="0">
                  <c:v>24.2</c:v>
                </c:pt>
                <c:pt idx="1">
                  <c:v>24.9</c:v>
                </c:pt>
                <c:pt idx="2">
                  <c:v>25.1</c:v>
                </c:pt>
                <c:pt idx="3">
                  <c:v>25.2</c:v>
                </c:pt>
                <c:pt idx="4">
                  <c:v>25.1</c:v>
                </c:pt>
                <c:pt idx="5">
                  <c:v>25.3</c:v>
                </c:pt>
                <c:pt idx="6">
                  <c:v>25.4</c:v>
                </c:pt>
                <c:pt idx="7">
                  <c:v>25.3</c:v>
                </c:pt>
                <c:pt idx="8">
                  <c:v>25.1</c:v>
                </c:pt>
                <c:pt idx="9">
                  <c:v>24.8</c:v>
                </c:pt>
                <c:pt idx="10">
                  <c:v>24.6</c:v>
                </c:pt>
                <c:pt idx="11">
                  <c:v>24.4</c:v>
                </c:pt>
                <c:pt idx="12">
                  <c:v>24.5</c:v>
                </c:pt>
                <c:pt idx="13">
                  <c:v>24.4</c:v>
                </c:pt>
                <c:pt idx="14">
                  <c:v>24.9</c:v>
                </c:pt>
                <c:pt idx="15">
                  <c:v>24.9</c:v>
                </c:pt>
                <c:pt idx="16">
                  <c:v>25.1</c:v>
                </c:pt>
                <c:pt idx="17">
                  <c:v>25.2</c:v>
                </c:pt>
                <c:pt idx="18">
                  <c:v>25.5</c:v>
                </c:pt>
                <c:pt idx="19">
                  <c:v>25.8</c:v>
                </c:pt>
                <c:pt idx="20">
                  <c:v>25.8</c:v>
                </c:pt>
                <c:pt idx="21">
                  <c:v>25.8</c:v>
                </c:pt>
                <c:pt idx="22">
                  <c:v>26</c:v>
                </c:pt>
                <c:pt idx="23">
                  <c:v>26.2</c:v>
                </c:pt>
                <c:pt idx="24">
                  <c:v>26</c:v>
                </c:pt>
                <c:pt idx="25">
                  <c:v>26.2</c:v>
                </c:pt>
                <c:pt idx="26">
                  <c:v>26.3</c:v>
                </c:pt>
                <c:pt idx="27">
                  <c:v>26.4</c:v>
                </c:pt>
                <c:pt idx="28">
                  <c:v>26.5</c:v>
                </c:pt>
                <c:pt idx="29">
                  <c:v>26.6</c:v>
                </c:pt>
                <c:pt idx="30">
                  <c:v>26.5</c:v>
                </c:pt>
                <c:pt idx="31">
                  <c:v>26.4</c:v>
                </c:pt>
                <c:pt idx="32">
                  <c:v>26.6</c:v>
                </c:pt>
                <c:pt idx="33">
                  <c:v>26.7</c:v>
                </c:pt>
                <c:pt idx="34">
                  <c:v>26.5</c:v>
                </c:pt>
                <c:pt idx="35">
                  <c:v>26.4</c:v>
                </c:pt>
                <c:pt idx="36">
                  <c:v>26.3</c:v>
                </c:pt>
                <c:pt idx="37">
                  <c:v>26</c:v>
                </c:pt>
                <c:pt idx="38">
                  <c:v>25.8</c:v>
                </c:pt>
                <c:pt idx="39">
                  <c:v>24.9</c:v>
                </c:pt>
                <c:pt idx="40">
                  <c:v>24.6</c:v>
                </c:pt>
                <c:pt idx="41">
                  <c:v>24.8</c:v>
                </c:pt>
                <c:pt idx="42">
                  <c:v>24.6</c:v>
                </c:pt>
                <c:pt idx="43">
                  <c:v>24.4</c:v>
                </c:pt>
                <c:pt idx="44">
                  <c:v>25.1</c:v>
                </c:pt>
                <c:pt idx="45">
                  <c:v>25</c:v>
                </c:pt>
                <c:pt idx="46">
                  <c:v>25.3</c:v>
                </c:pt>
                <c:pt idx="47">
                  <c:v>25</c:v>
                </c:pt>
              </c:numCache>
            </c:numRef>
          </c:val>
          <c:smooth val="0"/>
          <c:extLst>
            <c:ext xmlns:c16="http://schemas.microsoft.com/office/drawing/2014/chart" uri="{C3380CC4-5D6E-409C-BE32-E72D297353CC}">
              <c16:uniqueId val="{00000001-6866-4CB8-B631-61E5436CB6DC}"/>
            </c:ext>
          </c:extLst>
        </c:ser>
        <c:dLbls>
          <c:showLegendKey val="0"/>
          <c:showVal val="0"/>
          <c:showCatName val="0"/>
          <c:showSerName val="0"/>
          <c:showPercent val="0"/>
          <c:showBubbleSize val="0"/>
        </c:dLbls>
        <c:marker val="1"/>
        <c:smooth val="0"/>
        <c:axId val="580486400"/>
        <c:axId val="580490144"/>
      </c:lineChart>
      <c:catAx>
        <c:axId val="5821575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(hour:min)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2158416"/>
        <c:crosses val="autoZero"/>
        <c:auto val="1"/>
        <c:lblAlgn val="ctr"/>
        <c:lblOffset val="100"/>
        <c:noMultiLvlLbl val="0"/>
      </c:catAx>
      <c:valAx>
        <c:axId val="58215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Relative humidity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2157584"/>
        <c:crosses val="autoZero"/>
        <c:crossBetween val="between"/>
      </c:valAx>
      <c:valAx>
        <c:axId val="58049014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0486400"/>
        <c:crosses val="max"/>
        <c:crossBetween val="between"/>
      </c:valAx>
      <c:catAx>
        <c:axId val="580486400"/>
        <c:scaling>
          <c:orientation val="minMax"/>
        </c:scaling>
        <c:delete val="1"/>
        <c:axPos val="b"/>
        <c:numFmt formatCode="h:mm" sourceLinked="1"/>
        <c:majorTickMark val="out"/>
        <c:minorTickMark val="none"/>
        <c:tickLblPos val="nextTo"/>
        <c:crossAx val="580490144"/>
        <c:crosses val="autoZero"/>
        <c:auto val="1"/>
        <c:lblAlgn val="ctr"/>
        <c:lblOffset val="100"/>
        <c:noMultiLvlLbl val="0"/>
      </c:catAx>
      <c:spPr>
        <a:noFill/>
        <a:ln>
          <a:noFill/>
        </a:ln>
        <a:effectLst/>
      </c:spPr>
    </c:plotArea>
    <c:legend>
      <c:legendPos val="b"/>
      <c:layout>
        <c:manualLayout>
          <c:xMode val="edge"/>
          <c:yMode val="edge"/>
          <c:x val="0.14134815019467595"/>
          <c:y val="0.92935585184091307"/>
          <c:w val="0.7173036996106481"/>
          <c:h val="7.0644148159086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09259311900091"/>
          <c:y val="7.694444444444444E-2"/>
          <c:w val="0.74333892378976107"/>
          <c:h val="0.568863188976378"/>
        </c:manualLayout>
      </c:layout>
      <c:lineChart>
        <c:grouping val="standard"/>
        <c:varyColors val="0"/>
        <c:ser>
          <c:idx val="0"/>
          <c:order val="0"/>
          <c:tx>
            <c:strRef>
              <c:f>Sheet6!$M$1</c:f>
              <c:strCache>
                <c:ptCount val="1"/>
                <c:pt idx="0">
                  <c:v>Air temperature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Sheet6!$L$2:$L$50</c:f>
              <c:numCache>
                <c:formatCode>h:mm</c:formatCode>
                <c:ptCount val="49"/>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pt idx="48">
                  <c:v>1</c:v>
                </c:pt>
              </c:numCache>
            </c:numRef>
          </c:cat>
          <c:val>
            <c:numRef>
              <c:f>Sheet6!$M$2:$M$50</c:f>
              <c:numCache>
                <c:formatCode>General</c:formatCode>
                <c:ptCount val="49"/>
                <c:pt idx="0">
                  <c:v>25.3</c:v>
                </c:pt>
                <c:pt idx="1">
                  <c:v>25.8</c:v>
                </c:pt>
                <c:pt idx="2">
                  <c:v>26.9</c:v>
                </c:pt>
                <c:pt idx="3">
                  <c:v>26.9</c:v>
                </c:pt>
                <c:pt idx="4">
                  <c:v>26.8</c:v>
                </c:pt>
                <c:pt idx="5">
                  <c:v>26.7</c:v>
                </c:pt>
                <c:pt idx="6">
                  <c:v>26.7</c:v>
                </c:pt>
                <c:pt idx="7">
                  <c:v>26.6</c:v>
                </c:pt>
                <c:pt idx="8">
                  <c:v>26.5</c:v>
                </c:pt>
                <c:pt idx="9">
                  <c:v>26.8</c:v>
                </c:pt>
                <c:pt idx="10">
                  <c:v>27</c:v>
                </c:pt>
                <c:pt idx="11">
                  <c:v>27.2</c:v>
                </c:pt>
                <c:pt idx="12">
                  <c:v>27.5</c:v>
                </c:pt>
                <c:pt idx="13">
                  <c:v>27.9</c:v>
                </c:pt>
                <c:pt idx="14">
                  <c:v>27.8</c:v>
                </c:pt>
                <c:pt idx="15">
                  <c:v>27.6</c:v>
                </c:pt>
                <c:pt idx="16">
                  <c:v>27.3</c:v>
                </c:pt>
                <c:pt idx="17">
                  <c:v>27.6</c:v>
                </c:pt>
                <c:pt idx="18">
                  <c:v>27.2</c:v>
                </c:pt>
                <c:pt idx="19">
                  <c:v>27.5</c:v>
                </c:pt>
                <c:pt idx="20">
                  <c:v>27.9</c:v>
                </c:pt>
                <c:pt idx="21">
                  <c:v>28.1</c:v>
                </c:pt>
                <c:pt idx="22">
                  <c:v>28.2</c:v>
                </c:pt>
                <c:pt idx="23">
                  <c:v>28.9</c:v>
                </c:pt>
                <c:pt idx="24">
                  <c:v>29</c:v>
                </c:pt>
                <c:pt idx="25">
                  <c:v>29.5</c:v>
                </c:pt>
                <c:pt idx="26">
                  <c:v>30.1</c:v>
                </c:pt>
                <c:pt idx="27">
                  <c:v>30.4</c:v>
                </c:pt>
                <c:pt idx="28">
                  <c:v>30.7</c:v>
                </c:pt>
                <c:pt idx="29">
                  <c:v>30.8</c:v>
                </c:pt>
                <c:pt idx="30">
                  <c:v>29.8</c:v>
                </c:pt>
                <c:pt idx="31">
                  <c:v>29.9</c:v>
                </c:pt>
                <c:pt idx="32">
                  <c:v>29.8</c:v>
                </c:pt>
                <c:pt idx="33">
                  <c:v>29.7</c:v>
                </c:pt>
                <c:pt idx="34">
                  <c:v>29</c:v>
                </c:pt>
                <c:pt idx="35">
                  <c:v>29.8</c:v>
                </c:pt>
                <c:pt idx="36">
                  <c:v>28.3</c:v>
                </c:pt>
                <c:pt idx="37">
                  <c:v>28.4</c:v>
                </c:pt>
                <c:pt idx="38">
                  <c:v>28.6</c:v>
                </c:pt>
                <c:pt idx="39">
                  <c:v>28.9</c:v>
                </c:pt>
                <c:pt idx="40">
                  <c:v>28.8</c:v>
                </c:pt>
                <c:pt idx="41">
                  <c:v>28.7</c:v>
                </c:pt>
                <c:pt idx="42">
                  <c:v>28.9</c:v>
                </c:pt>
                <c:pt idx="43">
                  <c:v>28.9</c:v>
                </c:pt>
                <c:pt idx="44">
                  <c:v>29</c:v>
                </c:pt>
                <c:pt idx="45">
                  <c:v>28.9</c:v>
                </c:pt>
                <c:pt idx="46">
                  <c:v>28.7</c:v>
                </c:pt>
                <c:pt idx="47">
                  <c:v>27.5</c:v>
                </c:pt>
                <c:pt idx="48">
                  <c:v>27.4</c:v>
                </c:pt>
              </c:numCache>
            </c:numRef>
          </c:val>
          <c:smooth val="0"/>
          <c:extLst>
            <c:ext xmlns:c16="http://schemas.microsoft.com/office/drawing/2014/chart" uri="{C3380CC4-5D6E-409C-BE32-E72D297353CC}">
              <c16:uniqueId val="{00000000-A987-42EE-A198-AD8F534AFBBB}"/>
            </c:ext>
          </c:extLst>
        </c:ser>
        <c:dLbls>
          <c:showLegendKey val="0"/>
          <c:showVal val="0"/>
          <c:showCatName val="0"/>
          <c:showSerName val="0"/>
          <c:showPercent val="0"/>
          <c:showBubbleSize val="0"/>
        </c:dLbls>
        <c:marker val="1"/>
        <c:smooth val="0"/>
        <c:axId val="1322362080"/>
        <c:axId val="1322342944"/>
      </c:lineChart>
      <c:catAx>
        <c:axId val="1322362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(Hour : min)</a:t>
                </a:r>
              </a:p>
            </c:rich>
          </c:tx>
          <c:layout>
            <c:manualLayout>
              <c:xMode val="edge"/>
              <c:yMode val="edge"/>
              <c:x val="0.41361679790026251"/>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2342944"/>
        <c:crosses val="autoZero"/>
        <c:auto val="1"/>
        <c:lblAlgn val="ctr"/>
        <c:lblOffset val="100"/>
        <c:noMultiLvlLbl val="0"/>
      </c:catAx>
      <c:valAx>
        <c:axId val="132234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Air temperature outside  chamber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236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63111429253162"/>
          <c:y val="9.5238095238095233E-2"/>
          <c:w val="0.68770221904080175"/>
          <c:h val="0.59858676756314555"/>
        </c:manualLayout>
      </c:layout>
      <c:lineChart>
        <c:grouping val="stacked"/>
        <c:varyColors val="0"/>
        <c:ser>
          <c:idx val="0"/>
          <c:order val="0"/>
          <c:tx>
            <c:strRef>
              <c:f>Sheet7!$B$1</c:f>
              <c:strCache>
                <c:ptCount val="1"/>
                <c:pt idx="0">
                  <c:v>Air humidity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Sheet7!$A$2:$A$49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Sheet7!$B$2:$B$49</c:f>
              <c:numCache>
                <c:formatCode>General</c:formatCode>
                <c:ptCount val="48"/>
                <c:pt idx="0">
                  <c:v>80</c:v>
                </c:pt>
                <c:pt idx="1">
                  <c:v>81.5</c:v>
                </c:pt>
                <c:pt idx="2">
                  <c:v>82</c:v>
                </c:pt>
                <c:pt idx="3">
                  <c:v>80</c:v>
                </c:pt>
                <c:pt idx="4">
                  <c:v>78.5</c:v>
                </c:pt>
                <c:pt idx="5">
                  <c:v>79</c:v>
                </c:pt>
                <c:pt idx="6">
                  <c:v>79.2</c:v>
                </c:pt>
                <c:pt idx="7">
                  <c:v>79.099999999999994</c:v>
                </c:pt>
                <c:pt idx="8">
                  <c:v>79</c:v>
                </c:pt>
                <c:pt idx="9">
                  <c:v>78</c:v>
                </c:pt>
                <c:pt idx="10">
                  <c:v>77.5</c:v>
                </c:pt>
                <c:pt idx="11">
                  <c:v>76</c:v>
                </c:pt>
                <c:pt idx="12">
                  <c:v>76</c:v>
                </c:pt>
                <c:pt idx="13">
                  <c:v>76</c:v>
                </c:pt>
                <c:pt idx="14">
                  <c:v>75</c:v>
                </c:pt>
                <c:pt idx="15">
                  <c:v>75</c:v>
                </c:pt>
                <c:pt idx="16">
                  <c:v>75</c:v>
                </c:pt>
                <c:pt idx="17">
                  <c:v>72</c:v>
                </c:pt>
                <c:pt idx="18">
                  <c:v>71</c:v>
                </c:pt>
                <c:pt idx="19">
                  <c:v>70</c:v>
                </c:pt>
                <c:pt idx="20">
                  <c:v>69</c:v>
                </c:pt>
                <c:pt idx="21">
                  <c:v>68</c:v>
                </c:pt>
                <c:pt idx="22">
                  <c:v>68</c:v>
                </c:pt>
                <c:pt idx="23">
                  <c:v>68</c:v>
                </c:pt>
                <c:pt idx="24">
                  <c:v>69</c:v>
                </c:pt>
                <c:pt idx="25">
                  <c:v>70</c:v>
                </c:pt>
                <c:pt idx="26">
                  <c:v>73</c:v>
                </c:pt>
                <c:pt idx="27">
                  <c:v>73</c:v>
                </c:pt>
                <c:pt idx="28">
                  <c:v>73</c:v>
                </c:pt>
                <c:pt idx="29">
                  <c:v>73</c:v>
                </c:pt>
                <c:pt idx="30">
                  <c:v>72</c:v>
                </c:pt>
                <c:pt idx="31">
                  <c:v>71</c:v>
                </c:pt>
                <c:pt idx="32">
                  <c:v>70</c:v>
                </c:pt>
                <c:pt idx="33">
                  <c:v>70</c:v>
                </c:pt>
                <c:pt idx="34">
                  <c:v>70</c:v>
                </c:pt>
                <c:pt idx="35">
                  <c:v>72</c:v>
                </c:pt>
                <c:pt idx="36">
                  <c:v>74</c:v>
                </c:pt>
                <c:pt idx="37">
                  <c:v>75</c:v>
                </c:pt>
                <c:pt idx="38">
                  <c:v>76</c:v>
                </c:pt>
                <c:pt idx="39">
                  <c:v>77</c:v>
                </c:pt>
                <c:pt idx="40">
                  <c:v>78</c:v>
                </c:pt>
                <c:pt idx="41">
                  <c:v>78.5</c:v>
                </c:pt>
                <c:pt idx="42">
                  <c:v>78.5</c:v>
                </c:pt>
                <c:pt idx="43">
                  <c:v>78.5</c:v>
                </c:pt>
                <c:pt idx="44">
                  <c:v>78.5</c:v>
                </c:pt>
                <c:pt idx="45">
                  <c:v>78.5</c:v>
                </c:pt>
                <c:pt idx="46">
                  <c:v>78.5</c:v>
                </c:pt>
                <c:pt idx="47">
                  <c:v>78.5</c:v>
                </c:pt>
              </c:numCache>
            </c:numRef>
          </c:val>
          <c:smooth val="0"/>
          <c:extLst>
            <c:ext xmlns:c16="http://schemas.microsoft.com/office/drawing/2014/chart" uri="{C3380CC4-5D6E-409C-BE32-E72D297353CC}">
              <c16:uniqueId val="{00000000-4727-4720-B410-5B860799F137}"/>
            </c:ext>
          </c:extLst>
        </c:ser>
        <c:dLbls>
          <c:showLegendKey val="0"/>
          <c:showVal val="0"/>
          <c:showCatName val="0"/>
          <c:showSerName val="0"/>
          <c:showPercent val="0"/>
          <c:showBubbleSize val="0"/>
        </c:dLbls>
        <c:marker val="1"/>
        <c:smooth val="0"/>
        <c:axId val="1322084656"/>
        <c:axId val="1322097968"/>
      </c:lineChart>
      <c:catAx>
        <c:axId val="132208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Time (Hour:min)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97968"/>
        <c:crosses val="autoZero"/>
        <c:auto val="1"/>
        <c:lblAlgn val="ctr"/>
        <c:lblOffset val="100"/>
        <c:noMultiLvlLbl val="0"/>
      </c:catAx>
      <c:valAx>
        <c:axId val="132209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Relative Humidity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208465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Sheet8!$S$1</c:f>
              <c:strCache>
                <c:ptCount val="1"/>
                <c:pt idx="0">
                  <c:v>Air temperature (oC)</c:v>
                </c:pt>
              </c:strCache>
            </c:strRef>
          </c:tx>
          <c:spPr>
            <a:solidFill>
              <a:schemeClr val="accent1"/>
            </a:solidFill>
            <a:ln>
              <a:noFill/>
            </a:ln>
            <a:effectLst/>
          </c:spPr>
          <c:invertIfNegative val="0"/>
          <c:cat>
            <c:numRef>
              <c:f>Sheet8!$R$2:$R$49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Sheet8!$S$2:$S$49</c:f>
              <c:numCache>
                <c:formatCode>General</c:formatCode>
                <c:ptCount val="48"/>
                <c:pt idx="0">
                  <c:v>26.3</c:v>
                </c:pt>
                <c:pt idx="1">
                  <c:v>26.8</c:v>
                </c:pt>
                <c:pt idx="2">
                  <c:v>27.3</c:v>
                </c:pt>
                <c:pt idx="3">
                  <c:v>26.8</c:v>
                </c:pt>
                <c:pt idx="4">
                  <c:v>26.5</c:v>
                </c:pt>
                <c:pt idx="5">
                  <c:v>26.4</c:v>
                </c:pt>
                <c:pt idx="6">
                  <c:v>26.8</c:v>
                </c:pt>
                <c:pt idx="7">
                  <c:v>26.6</c:v>
                </c:pt>
                <c:pt idx="8">
                  <c:v>26.3</c:v>
                </c:pt>
                <c:pt idx="9">
                  <c:v>26.2</c:v>
                </c:pt>
                <c:pt idx="10">
                  <c:v>26.2</c:v>
                </c:pt>
                <c:pt idx="11">
                  <c:v>26.8</c:v>
                </c:pt>
                <c:pt idx="12">
                  <c:v>26.9</c:v>
                </c:pt>
                <c:pt idx="13">
                  <c:v>27.5</c:v>
                </c:pt>
                <c:pt idx="14">
                  <c:v>27.5</c:v>
                </c:pt>
                <c:pt idx="15">
                  <c:v>27.4</c:v>
                </c:pt>
                <c:pt idx="16">
                  <c:v>27.4</c:v>
                </c:pt>
                <c:pt idx="17">
                  <c:v>27.3</c:v>
                </c:pt>
                <c:pt idx="18">
                  <c:v>27.5</c:v>
                </c:pt>
                <c:pt idx="19">
                  <c:v>27.8</c:v>
                </c:pt>
                <c:pt idx="20">
                  <c:v>27.9</c:v>
                </c:pt>
                <c:pt idx="21">
                  <c:v>28</c:v>
                </c:pt>
                <c:pt idx="22">
                  <c:v>28.5</c:v>
                </c:pt>
                <c:pt idx="23">
                  <c:v>28.9</c:v>
                </c:pt>
                <c:pt idx="24">
                  <c:v>29.5</c:v>
                </c:pt>
                <c:pt idx="25">
                  <c:v>30.4</c:v>
                </c:pt>
                <c:pt idx="26">
                  <c:v>30.8</c:v>
                </c:pt>
                <c:pt idx="27">
                  <c:v>31.8</c:v>
                </c:pt>
                <c:pt idx="28">
                  <c:v>31.9</c:v>
                </c:pt>
                <c:pt idx="29">
                  <c:v>32.1</c:v>
                </c:pt>
                <c:pt idx="30">
                  <c:v>29.7</c:v>
                </c:pt>
                <c:pt idx="31">
                  <c:v>29</c:v>
                </c:pt>
                <c:pt idx="32">
                  <c:v>29.8</c:v>
                </c:pt>
                <c:pt idx="33">
                  <c:v>28.3</c:v>
                </c:pt>
                <c:pt idx="34">
                  <c:v>28.4</c:v>
                </c:pt>
                <c:pt idx="35">
                  <c:v>28.6</c:v>
                </c:pt>
                <c:pt idx="36">
                  <c:v>28.9</c:v>
                </c:pt>
                <c:pt idx="37">
                  <c:v>28.8</c:v>
                </c:pt>
                <c:pt idx="38">
                  <c:v>28.7</c:v>
                </c:pt>
                <c:pt idx="39">
                  <c:v>28.9</c:v>
                </c:pt>
                <c:pt idx="40">
                  <c:v>28.9</c:v>
                </c:pt>
                <c:pt idx="41">
                  <c:v>29</c:v>
                </c:pt>
                <c:pt idx="42">
                  <c:v>28.9</c:v>
                </c:pt>
                <c:pt idx="43">
                  <c:v>28.7</c:v>
                </c:pt>
                <c:pt idx="44">
                  <c:v>28.6</c:v>
                </c:pt>
                <c:pt idx="45">
                  <c:v>28.6</c:v>
                </c:pt>
                <c:pt idx="46">
                  <c:v>28.5</c:v>
                </c:pt>
                <c:pt idx="47">
                  <c:v>28.5</c:v>
                </c:pt>
              </c:numCache>
            </c:numRef>
          </c:val>
          <c:extLst>
            <c:ext xmlns:c16="http://schemas.microsoft.com/office/drawing/2014/chart" uri="{C3380CC4-5D6E-409C-BE32-E72D297353CC}">
              <c16:uniqueId val="{00000000-8FC2-46BA-BABE-BBC8E8195566}"/>
            </c:ext>
          </c:extLst>
        </c:ser>
        <c:dLbls>
          <c:showLegendKey val="0"/>
          <c:showVal val="0"/>
          <c:showCatName val="0"/>
          <c:showSerName val="0"/>
          <c:showPercent val="0"/>
          <c:showBubbleSize val="0"/>
        </c:dLbls>
        <c:gapWidth val="219"/>
        <c:axId val="634112848"/>
        <c:axId val="634116176"/>
      </c:barChart>
      <c:lineChart>
        <c:grouping val="standard"/>
        <c:varyColors val="0"/>
        <c:ser>
          <c:idx val="1"/>
          <c:order val="1"/>
          <c:tx>
            <c:strRef>
              <c:f>Sheet8!$T$1</c:f>
              <c:strCache>
                <c:ptCount val="1"/>
                <c:pt idx="0">
                  <c:v>Air humidity (%)</c:v>
                </c:pt>
              </c:strCache>
            </c:strRef>
          </c:tx>
          <c:spPr>
            <a:ln w="28575" cap="rnd">
              <a:solidFill>
                <a:schemeClr val="accent2"/>
              </a:solidFill>
              <a:round/>
            </a:ln>
            <a:effectLst/>
          </c:spPr>
          <c:marker>
            <c:symbol val="none"/>
          </c:marker>
          <c:cat>
            <c:numRef>
              <c:f>Sheet8!$R$2:$R$49</c:f>
              <c:numCache>
                <c:formatCode>h:mm</c:formatCode>
                <c:ptCount val="48"/>
                <c:pt idx="0">
                  <c:v>1</c:v>
                </c:pt>
                <c:pt idx="1">
                  <c:v>2.0833333333333332E-2</c:v>
                </c:pt>
                <c:pt idx="2">
                  <c:v>4.1666666666666664E-2</c:v>
                </c:pt>
                <c:pt idx="3">
                  <c:v>6.25E-2</c:v>
                </c:pt>
                <c:pt idx="4">
                  <c:v>8.3333333333333329E-2</c:v>
                </c:pt>
                <c:pt idx="5">
                  <c:v>0.104166666666667</c:v>
                </c:pt>
                <c:pt idx="6">
                  <c:v>0.125</c:v>
                </c:pt>
                <c:pt idx="7">
                  <c:v>0.14583333333333401</c:v>
                </c:pt>
                <c:pt idx="8">
                  <c:v>0.16666666666666699</c:v>
                </c:pt>
                <c:pt idx="9">
                  <c:v>0.1875</c:v>
                </c:pt>
                <c:pt idx="10">
                  <c:v>0.20833333333333401</c:v>
                </c:pt>
                <c:pt idx="11">
                  <c:v>0.22916666666666699</c:v>
                </c:pt>
                <c:pt idx="12">
                  <c:v>0.25</c:v>
                </c:pt>
                <c:pt idx="13">
                  <c:v>0.27083333333333398</c:v>
                </c:pt>
                <c:pt idx="14">
                  <c:v>0.29166666666666702</c:v>
                </c:pt>
                <c:pt idx="15">
                  <c:v>0.3125</c:v>
                </c:pt>
                <c:pt idx="16">
                  <c:v>0.33333333333333398</c:v>
                </c:pt>
                <c:pt idx="17">
                  <c:v>0.35416666666666702</c:v>
                </c:pt>
                <c:pt idx="18">
                  <c:v>0.375</c:v>
                </c:pt>
                <c:pt idx="19">
                  <c:v>0.39583333333333398</c:v>
                </c:pt>
                <c:pt idx="20">
                  <c:v>0.41666666666666702</c:v>
                </c:pt>
                <c:pt idx="21">
                  <c:v>0.4375</c:v>
                </c:pt>
                <c:pt idx="22">
                  <c:v>0.45833333333333398</c:v>
                </c:pt>
                <c:pt idx="23">
                  <c:v>0.47916666666666702</c:v>
                </c:pt>
                <c:pt idx="24">
                  <c:v>0.5</c:v>
                </c:pt>
                <c:pt idx="25">
                  <c:v>0.52083333333333404</c:v>
                </c:pt>
                <c:pt idx="26">
                  <c:v>0.54166666666666696</c:v>
                </c:pt>
                <c:pt idx="27">
                  <c:v>0.5625</c:v>
                </c:pt>
                <c:pt idx="28">
                  <c:v>0.58333333333333404</c:v>
                </c:pt>
                <c:pt idx="29">
                  <c:v>0.60416666666666696</c:v>
                </c:pt>
                <c:pt idx="30">
                  <c:v>0.625</c:v>
                </c:pt>
                <c:pt idx="31">
                  <c:v>0.64583333333333404</c:v>
                </c:pt>
                <c:pt idx="32">
                  <c:v>0.66666666666666696</c:v>
                </c:pt>
                <c:pt idx="33">
                  <c:v>0.6875</c:v>
                </c:pt>
                <c:pt idx="34">
                  <c:v>0.70833333333333404</c:v>
                </c:pt>
                <c:pt idx="35">
                  <c:v>0.72916666666666696</c:v>
                </c:pt>
                <c:pt idx="36">
                  <c:v>0.75</c:v>
                </c:pt>
                <c:pt idx="37">
                  <c:v>0.77083333333333404</c:v>
                </c:pt>
                <c:pt idx="38">
                  <c:v>0.79166666666666696</c:v>
                </c:pt>
                <c:pt idx="39">
                  <c:v>0.8125</c:v>
                </c:pt>
                <c:pt idx="40">
                  <c:v>0.83333333333333404</c:v>
                </c:pt>
                <c:pt idx="41">
                  <c:v>0.85416666666666696</c:v>
                </c:pt>
                <c:pt idx="42">
                  <c:v>0.875</c:v>
                </c:pt>
                <c:pt idx="43">
                  <c:v>0.89583333333333404</c:v>
                </c:pt>
                <c:pt idx="44">
                  <c:v>0.91666666666666696</c:v>
                </c:pt>
                <c:pt idx="45">
                  <c:v>0.9375</c:v>
                </c:pt>
                <c:pt idx="46">
                  <c:v>0.95833333333333404</c:v>
                </c:pt>
                <c:pt idx="47">
                  <c:v>0.97916666666666696</c:v>
                </c:pt>
              </c:numCache>
            </c:numRef>
          </c:cat>
          <c:val>
            <c:numRef>
              <c:f>Sheet8!$T$2:$T$49</c:f>
              <c:numCache>
                <c:formatCode>General</c:formatCode>
                <c:ptCount val="48"/>
                <c:pt idx="0">
                  <c:v>80</c:v>
                </c:pt>
                <c:pt idx="1">
                  <c:v>81.5</c:v>
                </c:pt>
                <c:pt idx="2">
                  <c:v>82</c:v>
                </c:pt>
                <c:pt idx="3">
                  <c:v>80</c:v>
                </c:pt>
                <c:pt idx="4">
                  <c:v>78.5</c:v>
                </c:pt>
                <c:pt idx="5">
                  <c:v>79</c:v>
                </c:pt>
                <c:pt idx="6">
                  <c:v>79.2</c:v>
                </c:pt>
                <c:pt idx="7">
                  <c:v>79.099999999999994</c:v>
                </c:pt>
                <c:pt idx="8">
                  <c:v>79</c:v>
                </c:pt>
                <c:pt idx="9">
                  <c:v>78</c:v>
                </c:pt>
                <c:pt idx="10">
                  <c:v>77.5</c:v>
                </c:pt>
                <c:pt idx="11">
                  <c:v>76</c:v>
                </c:pt>
                <c:pt idx="12">
                  <c:v>76</c:v>
                </c:pt>
                <c:pt idx="13">
                  <c:v>76</c:v>
                </c:pt>
                <c:pt idx="14">
                  <c:v>75</c:v>
                </c:pt>
                <c:pt idx="15">
                  <c:v>75</c:v>
                </c:pt>
                <c:pt idx="16">
                  <c:v>75</c:v>
                </c:pt>
                <c:pt idx="17">
                  <c:v>72</c:v>
                </c:pt>
                <c:pt idx="18">
                  <c:v>71</c:v>
                </c:pt>
                <c:pt idx="19">
                  <c:v>70</c:v>
                </c:pt>
                <c:pt idx="20">
                  <c:v>69</c:v>
                </c:pt>
                <c:pt idx="21">
                  <c:v>68</c:v>
                </c:pt>
                <c:pt idx="22">
                  <c:v>68</c:v>
                </c:pt>
                <c:pt idx="23">
                  <c:v>68</c:v>
                </c:pt>
                <c:pt idx="24">
                  <c:v>69</c:v>
                </c:pt>
                <c:pt idx="25">
                  <c:v>70</c:v>
                </c:pt>
                <c:pt idx="26">
                  <c:v>73</c:v>
                </c:pt>
                <c:pt idx="27">
                  <c:v>73</c:v>
                </c:pt>
                <c:pt idx="28">
                  <c:v>73</c:v>
                </c:pt>
                <c:pt idx="29">
                  <c:v>73</c:v>
                </c:pt>
                <c:pt idx="30">
                  <c:v>72</c:v>
                </c:pt>
                <c:pt idx="31">
                  <c:v>71</c:v>
                </c:pt>
                <c:pt idx="32">
                  <c:v>70</c:v>
                </c:pt>
                <c:pt idx="33">
                  <c:v>70</c:v>
                </c:pt>
                <c:pt idx="34">
                  <c:v>70</c:v>
                </c:pt>
                <c:pt idx="35">
                  <c:v>72</c:v>
                </c:pt>
                <c:pt idx="36">
                  <c:v>74</c:v>
                </c:pt>
                <c:pt idx="37">
                  <c:v>75</c:v>
                </c:pt>
                <c:pt idx="38">
                  <c:v>76</c:v>
                </c:pt>
                <c:pt idx="39">
                  <c:v>77</c:v>
                </c:pt>
                <c:pt idx="40">
                  <c:v>78</c:v>
                </c:pt>
                <c:pt idx="41">
                  <c:v>78.5</c:v>
                </c:pt>
                <c:pt idx="42">
                  <c:v>78.5</c:v>
                </c:pt>
                <c:pt idx="43">
                  <c:v>78.5</c:v>
                </c:pt>
                <c:pt idx="44">
                  <c:v>78.5</c:v>
                </c:pt>
                <c:pt idx="45">
                  <c:v>78.5</c:v>
                </c:pt>
                <c:pt idx="46">
                  <c:v>78.5</c:v>
                </c:pt>
                <c:pt idx="47">
                  <c:v>78.5</c:v>
                </c:pt>
              </c:numCache>
            </c:numRef>
          </c:val>
          <c:smooth val="0"/>
          <c:extLst>
            <c:ext xmlns:c16="http://schemas.microsoft.com/office/drawing/2014/chart" uri="{C3380CC4-5D6E-409C-BE32-E72D297353CC}">
              <c16:uniqueId val="{00000001-8FC2-46BA-BABE-BBC8E8195566}"/>
            </c:ext>
          </c:extLst>
        </c:ser>
        <c:dLbls>
          <c:showLegendKey val="0"/>
          <c:showVal val="0"/>
          <c:showCatName val="0"/>
          <c:showSerName val="0"/>
          <c:showPercent val="0"/>
          <c:showBubbleSize val="0"/>
        </c:dLbls>
        <c:marker val="1"/>
        <c:smooth val="0"/>
        <c:axId val="439285728"/>
        <c:axId val="439286560"/>
      </c:lineChart>
      <c:catAx>
        <c:axId val="4392857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(hour:min)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286560"/>
        <c:crosses val="autoZero"/>
        <c:auto val="1"/>
        <c:lblAlgn val="ctr"/>
        <c:lblOffset val="100"/>
        <c:noMultiLvlLbl val="0"/>
      </c:catAx>
      <c:valAx>
        <c:axId val="43928656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Relative Humidity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9285728"/>
        <c:crosses val="autoZero"/>
        <c:crossBetween val="between"/>
      </c:valAx>
      <c:valAx>
        <c:axId val="634116176"/>
        <c:scaling>
          <c:orientation val="minMax"/>
          <c:min val="1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4112848"/>
        <c:crosses val="max"/>
        <c:crossBetween val="between"/>
      </c:valAx>
      <c:catAx>
        <c:axId val="634112848"/>
        <c:scaling>
          <c:orientation val="minMax"/>
        </c:scaling>
        <c:delete val="1"/>
        <c:axPos val="b"/>
        <c:numFmt formatCode="h:mm" sourceLinked="1"/>
        <c:majorTickMark val="out"/>
        <c:minorTickMark val="none"/>
        <c:tickLblPos val="nextTo"/>
        <c:crossAx val="634116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baseline="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728892034563089E-2"/>
          <c:y val="4.2083333333333334E-2"/>
          <c:w val="0.89806330500078224"/>
          <c:h val="0.63599939875356992"/>
        </c:manualLayout>
      </c:layout>
      <c:lineChart>
        <c:grouping val="standard"/>
        <c:varyColors val="0"/>
        <c:ser>
          <c:idx val="0"/>
          <c:order val="0"/>
          <c:tx>
            <c:strRef>
              <c:f>Sheet1!$B$1</c:f>
              <c:strCache>
                <c:ptCount val="1"/>
                <c:pt idx="0">
                  <c:v>Temperature ouside the chamber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Sheet1!$A$2:$A$68</c:f>
              <c:numCache>
                <c:formatCode>h:mm:ss</c:formatCode>
                <c:ptCount val="67"/>
                <c:pt idx="0" formatCode="h:mm">
                  <c:v>0.28611111111111115</c:v>
                </c:pt>
                <c:pt idx="1">
                  <c:v>0.29722222222222222</c:v>
                </c:pt>
                <c:pt idx="2" formatCode="h:mm">
                  <c:v>0.30833333333333302</c:v>
                </c:pt>
                <c:pt idx="3">
                  <c:v>0.31944444444444398</c:v>
                </c:pt>
                <c:pt idx="4" formatCode="h:mm">
                  <c:v>0.33055555555555499</c:v>
                </c:pt>
                <c:pt idx="5">
                  <c:v>0.34166666666666701</c:v>
                </c:pt>
                <c:pt idx="6" formatCode="h:mm">
                  <c:v>0.35277777777777802</c:v>
                </c:pt>
                <c:pt idx="7">
                  <c:v>0.36388888888888898</c:v>
                </c:pt>
                <c:pt idx="8" formatCode="h:mm">
                  <c:v>0.375</c:v>
                </c:pt>
                <c:pt idx="9">
                  <c:v>0.38611111111111102</c:v>
                </c:pt>
                <c:pt idx="10" formatCode="h:mm">
                  <c:v>0.39722222222222198</c:v>
                </c:pt>
                <c:pt idx="11">
                  <c:v>0.40833333333333299</c:v>
                </c:pt>
                <c:pt idx="12" formatCode="h:mm">
                  <c:v>0.41944444444444401</c:v>
                </c:pt>
                <c:pt idx="13">
                  <c:v>0.43055555555555503</c:v>
                </c:pt>
                <c:pt idx="14" formatCode="h:mm">
                  <c:v>0.44166666666666599</c:v>
                </c:pt>
                <c:pt idx="15">
                  <c:v>0.452777777777777</c:v>
                </c:pt>
                <c:pt idx="16" formatCode="h:mm">
                  <c:v>0.46388888888888802</c:v>
                </c:pt>
                <c:pt idx="17">
                  <c:v>0.47499999999999898</c:v>
                </c:pt>
                <c:pt idx="18" formatCode="h:mm">
                  <c:v>0.48611111111110999</c:v>
                </c:pt>
                <c:pt idx="19">
                  <c:v>0.49722222222222101</c:v>
                </c:pt>
                <c:pt idx="20" formatCode="h:mm">
                  <c:v>0.50833333333333197</c:v>
                </c:pt>
                <c:pt idx="21">
                  <c:v>0.51944444444444404</c:v>
                </c:pt>
                <c:pt idx="22" formatCode="h:mm">
                  <c:v>0.530555555555555</c:v>
                </c:pt>
                <c:pt idx="23">
                  <c:v>0.54166666666666596</c:v>
                </c:pt>
                <c:pt idx="24" formatCode="h:mm">
                  <c:v>0.55277777777777704</c:v>
                </c:pt>
                <c:pt idx="25">
                  <c:v>0.563888888888888</c:v>
                </c:pt>
                <c:pt idx="26" formatCode="h:mm">
                  <c:v>0.57499999999999896</c:v>
                </c:pt>
                <c:pt idx="27">
                  <c:v>0.58611111111111003</c:v>
                </c:pt>
                <c:pt idx="28" formatCode="h:mm">
                  <c:v>0.59722222222222099</c:v>
                </c:pt>
                <c:pt idx="29">
                  <c:v>0.60833333333333195</c:v>
                </c:pt>
                <c:pt idx="30" formatCode="h:mm">
                  <c:v>0.61944444444444302</c:v>
                </c:pt>
                <c:pt idx="31">
                  <c:v>0.63055555555555398</c:v>
                </c:pt>
                <c:pt idx="32" formatCode="h:mm">
                  <c:v>0.64166666666666505</c:v>
                </c:pt>
                <c:pt idx="33">
                  <c:v>0.65277777777777601</c:v>
                </c:pt>
                <c:pt idx="34" formatCode="h:mm">
                  <c:v>0.66388888888888697</c:v>
                </c:pt>
                <c:pt idx="35">
                  <c:v>0.67499999999999905</c:v>
                </c:pt>
                <c:pt idx="36" formatCode="h:mm">
                  <c:v>0.68611111111111001</c:v>
                </c:pt>
                <c:pt idx="37">
                  <c:v>0.69722222222222097</c:v>
                </c:pt>
                <c:pt idx="38" formatCode="h:mm">
                  <c:v>0.70833333333333204</c:v>
                </c:pt>
                <c:pt idx="39">
                  <c:v>0.719444444444443</c:v>
                </c:pt>
                <c:pt idx="40" formatCode="h:mm">
                  <c:v>0.73055555555555396</c:v>
                </c:pt>
                <c:pt idx="41">
                  <c:v>0.74166666666666503</c:v>
                </c:pt>
                <c:pt idx="42" formatCode="h:mm">
                  <c:v>0.75277777777777599</c:v>
                </c:pt>
                <c:pt idx="43">
                  <c:v>0.76388888888888695</c:v>
                </c:pt>
                <c:pt idx="44" formatCode="h:mm">
                  <c:v>0.77499999999999802</c:v>
                </c:pt>
                <c:pt idx="45">
                  <c:v>0.78611111111110898</c:v>
                </c:pt>
                <c:pt idx="46" formatCode="h:mm">
                  <c:v>0.79722222222221995</c:v>
                </c:pt>
                <c:pt idx="47">
                  <c:v>0.80833333333333102</c:v>
                </c:pt>
                <c:pt idx="48" formatCode="h:mm">
                  <c:v>0.81944444444444198</c:v>
                </c:pt>
                <c:pt idx="49">
                  <c:v>0.83055555555555405</c:v>
                </c:pt>
                <c:pt idx="50" formatCode="h:mm">
                  <c:v>0.84166666666666501</c:v>
                </c:pt>
                <c:pt idx="51">
                  <c:v>0.85277777777777597</c:v>
                </c:pt>
                <c:pt idx="52" formatCode="h:mm">
                  <c:v>0.86388888888888704</c:v>
                </c:pt>
                <c:pt idx="53">
                  <c:v>0.874999999999998</c:v>
                </c:pt>
                <c:pt idx="54" formatCode="h:mm">
                  <c:v>0.88611111111110896</c:v>
                </c:pt>
                <c:pt idx="55">
                  <c:v>0.89722222222222003</c:v>
                </c:pt>
                <c:pt idx="56" formatCode="h:mm">
                  <c:v>0.90833333333333099</c:v>
                </c:pt>
                <c:pt idx="57">
                  <c:v>0.91944444444444196</c:v>
                </c:pt>
                <c:pt idx="58" formatCode="h:mm">
                  <c:v>0.93055555555555303</c:v>
                </c:pt>
                <c:pt idx="59">
                  <c:v>0.94166666666666399</c:v>
                </c:pt>
                <c:pt idx="60" formatCode="h:mm">
                  <c:v>0.95277777777777495</c:v>
                </c:pt>
                <c:pt idx="61">
                  <c:v>0.96388888888888602</c:v>
                </c:pt>
                <c:pt idx="62" formatCode="h:mm">
                  <c:v>0.97499999999999698</c:v>
                </c:pt>
                <c:pt idx="63">
                  <c:v>0.98611111111110905</c:v>
                </c:pt>
                <c:pt idx="64" formatCode="h:mm">
                  <c:v>0.99722222222222001</c:v>
                </c:pt>
                <c:pt idx="65">
                  <c:v>1.00833333333333</c:v>
                </c:pt>
                <c:pt idx="66" formatCode="h:mm">
                  <c:v>1.0194444444444399</c:v>
                </c:pt>
              </c:numCache>
            </c:numRef>
          </c:cat>
          <c:val>
            <c:numRef>
              <c:f>Sheet1!$B$2:$B$68</c:f>
              <c:numCache>
                <c:formatCode>General</c:formatCode>
                <c:ptCount val="67"/>
                <c:pt idx="0">
                  <c:v>25.3</c:v>
                </c:pt>
                <c:pt idx="1">
                  <c:v>25.8</c:v>
                </c:pt>
                <c:pt idx="2">
                  <c:v>26.6</c:v>
                </c:pt>
                <c:pt idx="3">
                  <c:v>27.2</c:v>
                </c:pt>
                <c:pt idx="4">
                  <c:v>27.5</c:v>
                </c:pt>
                <c:pt idx="5">
                  <c:v>27.9</c:v>
                </c:pt>
                <c:pt idx="6">
                  <c:v>27.8</c:v>
                </c:pt>
                <c:pt idx="7">
                  <c:v>27.6</c:v>
                </c:pt>
                <c:pt idx="8">
                  <c:v>27.3</c:v>
                </c:pt>
                <c:pt idx="9">
                  <c:v>27.6</c:v>
                </c:pt>
                <c:pt idx="10">
                  <c:v>28.2</c:v>
                </c:pt>
                <c:pt idx="11">
                  <c:v>28.5</c:v>
                </c:pt>
                <c:pt idx="12">
                  <c:v>29</c:v>
                </c:pt>
                <c:pt idx="13">
                  <c:v>28.6</c:v>
                </c:pt>
                <c:pt idx="14">
                  <c:v>29.7</c:v>
                </c:pt>
                <c:pt idx="15">
                  <c:v>29.9</c:v>
                </c:pt>
                <c:pt idx="16">
                  <c:v>30.1</c:v>
                </c:pt>
                <c:pt idx="17">
                  <c:v>30.4</c:v>
                </c:pt>
                <c:pt idx="18">
                  <c:v>30.7</c:v>
                </c:pt>
                <c:pt idx="19">
                  <c:v>30.8</c:v>
                </c:pt>
                <c:pt idx="20">
                  <c:v>29.8</c:v>
                </c:pt>
                <c:pt idx="21">
                  <c:v>29.9</c:v>
                </c:pt>
                <c:pt idx="22">
                  <c:v>29.8</c:v>
                </c:pt>
                <c:pt idx="23">
                  <c:v>29.7</c:v>
                </c:pt>
                <c:pt idx="24">
                  <c:v>29</c:v>
                </c:pt>
                <c:pt idx="25">
                  <c:v>29.8</c:v>
                </c:pt>
                <c:pt idx="26">
                  <c:v>28.3</c:v>
                </c:pt>
                <c:pt idx="27">
                  <c:v>28.4</c:v>
                </c:pt>
                <c:pt idx="28">
                  <c:v>28.6</c:v>
                </c:pt>
                <c:pt idx="29">
                  <c:v>28.9</c:v>
                </c:pt>
                <c:pt idx="30">
                  <c:v>28.8</c:v>
                </c:pt>
                <c:pt idx="31">
                  <c:v>28.7</c:v>
                </c:pt>
                <c:pt idx="32">
                  <c:v>28.9</c:v>
                </c:pt>
                <c:pt idx="33">
                  <c:v>28.9</c:v>
                </c:pt>
                <c:pt idx="34">
                  <c:v>29</c:v>
                </c:pt>
                <c:pt idx="35">
                  <c:v>28.9</c:v>
                </c:pt>
                <c:pt idx="36">
                  <c:v>28.7</c:v>
                </c:pt>
                <c:pt idx="37">
                  <c:v>28.6</c:v>
                </c:pt>
                <c:pt idx="38">
                  <c:v>28.6</c:v>
                </c:pt>
                <c:pt idx="39">
                  <c:v>28.5</c:v>
                </c:pt>
                <c:pt idx="40">
                  <c:v>28.5</c:v>
                </c:pt>
                <c:pt idx="41">
                  <c:v>28.6</c:v>
                </c:pt>
                <c:pt idx="42">
                  <c:v>28.3</c:v>
                </c:pt>
                <c:pt idx="43">
                  <c:v>28.1</c:v>
                </c:pt>
                <c:pt idx="44">
                  <c:v>27.5</c:v>
                </c:pt>
                <c:pt idx="45">
                  <c:v>27.5</c:v>
                </c:pt>
                <c:pt idx="46">
                  <c:v>27.4</c:v>
                </c:pt>
                <c:pt idx="47">
                  <c:v>27.4</c:v>
                </c:pt>
                <c:pt idx="48">
                  <c:v>27.3</c:v>
                </c:pt>
                <c:pt idx="49">
                  <c:v>27.3</c:v>
                </c:pt>
                <c:pt idx="50">
                  <c:v>27.2</c:v>
                </c:pt>
                <c:pt idx="51">
                  <c:v>27.1</c:v>
                </c:pt>
                <c:pt idx="52">
                  <c:v>27.1</c:v>
                </c:pt>
                <c:pt idx="53">
                  <c:v>27</c:v>
                </c:pt>
                <c:pt idx="54">
                  <c:v>26.9</c:v>
                </c:pt>
                <c:pt idx="55">
                  <c:v>26.9</c:v>
                </c:pt>
                <c:pt idx="56">
                  <c:v>26.8</c:v>
                </c:pt>
                <c:pt idx="57">
                  <c:v>26.7</c:v>
                </c:pt>
                <c:pt idx="58">
                  <c:v>26.7</c:v>
                </c:pt>
                <c:pt idx="59">
                  <c:v>26.6</c:v>
                </c:pt>
                <c:pt idx="60">
                  <c:v>26.546666666666699</c:v>
                </c:pt>
                <c:pt idx="61">
                  <c:v>26</c:v>
                </c:pt>
                <c:pt idx="62">
                  <c:v>25.420952379999999</c:v>
                </c:pt>
                <c:pt idx="63">
                  <c:v>25.358095240000001</c:v>
                </c:pt>
                <c:pt idx="64">
                  <c:v>25.295238099999999</c:v>
                </c:pt>
                <c:pt idx="65">
                  <c:v>25.23238095</c:v>
                </c:pt>
                <c:pt idx="66">
                  <c:v>25.169523810000001</c:v>
                </c:pt>
              </c:numCache>
            </c:numRef>
          </c:val>
          <c:smooth val="0"/>
          <c:extLst>
            <c:ext xmlns:c16="http://schemas.microsoft.com/office/drawing/2014/chart" uri="{C3380CC4-5D6E-409C-BE32-E72D297353CC}">
              <c16:uniqueId val="{00000000-570F-4E53-9DF9-B39D809C5DBD}"/>
            </c:ext>
          </c:extLst>
        </c:ser>
        <c:ser>
          <c:idx val="1"/>
          <c:order val="1"/>
          <c:tx>
            <c:strRef>
              <c:f>Sheet1!$C$1</c:f>
              <c:strCache>
                <c:ptCount val="1"/>
                <c:pt idx="0">
                  <c:v>Temperature inside the chamber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Sheet1!$A$2:$A$68</c:f>
              <c:numCache>
                <c:formatCode>h:mm:ss</c:formatCode>
                <c:ptCount val="67"/>
                <c:pt idx="0" formatCode="h:mm">
                  <c:v>0.28611111111111115</c:v>
                </c:pt>
                <c:pt idx="1">
                  <c:v>0.29722222222222222</c:v>
                </c:pt>
                <c:pt idx="2" formatCode="h:mm">
                  <c:v>0.30833333333333302</c:v>
                </c:pt>
                <c:pt idx="3">
                  <c:v>0.31944444444444398</c:v>
                </c:pt>
                <c:pt idx="4" formatCode="h:mm">
                  <c:v>0.33055555555555499</c:v>
                </c:pt>
                <c:pt idx="5">
                  <c:v>0.34166666666666701</c:v>
                </c:pt>
                <c:pt idx="6" formatCode="h:mm">
                  <c:v>0.35277777777777802</c:v>
                </c:pt>
                <c:pt idx="7">
                  <c:v>0.36388888888888898</c:v>
                </c:pt>
                <c:pt idx="8" formatCode="h:mm">
                  <c:v>0.375</c:v>
                </c:pt>
                <c:pt idx="9">
                  <c:v>0.38611111111111102</c:v>
                </c:pt>
                <c:pt idx="10" formatCode="h:mm">
                  <c:v>0.39722222222222198</c:v>
                </c:pt>
                <c:pt idx="11">
                  <c:v>0.40833333333333299</c:v>
                </c:pt>
                <c:pt idx="12" formatCode="h:mm">
                  <c:v>0.41944444444444401</c:v>
                </c:pt>
                <c:pt idx="13">
                  <c:v>0.43055555555555503</c:v>
                </c:pt>
                <c:pt idx="14" formatCode="h:mm">
                  <c:v>0.44166666666666599</c:v>
                </c:pt>
                <c:pt idx="15">
                  <c:v>0.452777777777777</c:v>
                </c:pt>
                <c:pt idx="16" formatCode="h:mm">
                  <c:v>0.46388888888888802</c:v>
                </c:pt>
                <c:pt idx="17">
                  <c:v>0.47499999999999898</c:v>
                </c:pt>
                <c:pt idx="18" formatCode="h:mm">
                  <c:v>0.48611111111110999</c:v>
                </c:pt>
                <c:pt idx="19">
                  <c:v>0.49722222222222101</c:v>
                </c:pt>
                <c:pt idx="20" formatCode="h:mm">
                  <c:v>0.50833333333333197</c:v>
                </c:pt>
                <c:pt idx="21">
                  <c:v>0.51944444444444404</c:v>
                </c:pt>
                <c:pt idx="22" formatCode="h:mm">
                  <c:v>0.530555555555555</c:v>
                </c:pt>
                <c:pt idx="23">
                  <c:v>0.54166666666666596</c:v>
                </c:pt>
                <c:pt idx="24" formatCode="h:mm">
                  <c:v>0.55277777777777704</c:v>
                </c:pt>
                <c:pt idx="25">
                  <c:v>0.563888888888888</c:v>
                </c:pt>
                <c:pt idx="26" formatCode="h:mm">
                  <c:v>0.57499999999999896</c:v>
                </c:pt>
                <c:pt idx="27">
                  <c:v>0.58611111111111003</c:v>
                </c:pt>
                <c:pt idx="28" formatCode="h:mm">
                  <c:v>0.59722222222222099</c:v>
                </c:pt>
                <c:pt idx="29">
                  <c:v>0.60833333333333195</c:v>
                </c:pt>
                <c:pt idx="30" formatCode="h:mm">
                  <c:v>0.61944444444444302</c:v>
                </c:pt>
                <c:pt idx="31">
                  <c:v>0.63055555555555398</c:v>
                </c:pt>
                <c:pt idx="32" formatCode="h:mm">
                  <c:v>0.64166666666666505</c:v>
                </c:pt>
                <c:pt idx="33">
                  <c:v>0.65277777777777601</c:v>
                </c:pt>
                <c:pt idx="34" formatCode="h:mm">
                  <c:v>0.66388888888888697</c:v>
                </c:pt>
                <c:pt idx="35">
                  <c:v>0.67499999999999905</c:v>
                </c:pt>
                <c:pt idx="36" formatCode="h:mm">
                  <c:v>0.68611111111111001</c:v>
                </c:pt>
                <c:pt idx="37">
                  <c:v>0.69722222222222097</c:v>
                </c:pt>
                <c:pt idx="38" formatCode="h:mm">
                  <c:v>0.70833333333333204</c:v>
                </c:pt>
                <c:pt idx="39">
                  <c:v>0.719444444444443</c:v>
                </c:pt>
                <c:pt idx="40" formatCode="h:mm">
                  <c:v>0.73055555555555396</c:v>
                </c:pt>
                <c:pt idx="41">
                  <c:v>0.74166666666666503</c:v>
                </c:pt>
                <c:pt idx="42" formatCode="h:mm">
                  <c:v>0.75277777777777599</c:v>
                </c:pt>
                <c:pt idx="43">
                  <c:v>0.76388888888888695</c:v>
                </c:pt>
                <c:pt idx="44" formatCode="h:mm">
                  <c:v>0.77499999999999802</c:v>
                </c:pt>
                <c:pt idx="45">
                  <c:v>0.78611111111110898</c:v>
                </c:pt>
                <c:pt idx="46" formatCode="h:mm">
                  <c:v>0.79722222222221995</c:v>
                </c:pt>
                <c:pt idx="47">
                  <c:v>0.80833333333333102</c:v>
                </c:pt>
                <c:pt idx="48" formatCode="h:mm">
                  <c:v>0.81944444444444198</c:v>
                </c:pt>
                <c:pt idx="49">
                  <c:v>0.83055555555555405</c:v>
                </c:pt>
                <c:pt idx="50" formatCode="h:mm">
                  <c:v>0.84166666666666501</c:v>
                </c:pt>
                <c:pt idx="51">
                  <c:v>0.85277777777777597</c:v>
                </c:pt>
                <c:pt idx="52" formatCode="h:mm">
                  <c:v>0.86388888888888704</c:v>
                </c:pt>
                <c:pt idx="53">
                  <c:v>0.874999999999998</c:v>
                </c:pt>
                <c:pt idx="54" formatCode="h:mm">
                  <c:v>0.88611111111110896</c:v>
                </c:pt>
                <c:pt idx="55">
                  <c:v>0.89722222222222003</c:v>
                </c:pt>
                <c:pt idx="56" formatCode="h:mm">
                  <c:v>0.90833333333333099</c:v>
                </c:pt>
                <c:pt idx="57">
                  <c:v>0.91944444444444196</c:v>
                </c:pt>
                <c:pt idx="58" formatCode="h:mm">
                  <c:v>0.93055555555555303</c:v>
                </c:pt>
                <c:pt idx="59">
                  <c:v>0.94166666666666399</c:v>
                </c:pt>
                <c:pt idx="60" formatCode="h:mm">
                  <c:v>0.95277777777777495</c:v>
                </c:pt>
                <c:pt idx="61">
                  <c:v>0.96388888888888602</c:v>
                </c:pt>
                <c:pt idx="62" formatCode="h:mm">
                  <c:v>0.97499999999999698</c:v>
                </c:pt>
                <c:pt idx="63">
                  <c:v>0.98611111111110905</c:v>
                </c:pt>
                <c:pt idx="64" formatCode="h:mm">
                  <c:v>0.99722222222222001</c:v>
                </c:pt>
                <c:pt idx="65">
                  <c:v>1.00833333333333</c:v>
                </c:pt>
                <c:pt idx="66" formatCode="h:mm">
                  <c:v>1.0194444444444399</c:v>
                </c:pt>
              </c:numCache>
            </c:numRef>
          </c:cat>
          <c:val>
            <c:numRef>
              <c:f>Sheet1!$C$2:$C$68</c:f>
              <c:numCache>
                <c:formatCode>General</c:formatCode>
                <c:ptCount val="67"/>
                <c:pt idx="0">
                  <c:v>24.2</c:v>
                </c:pt>
                <c:pt idx="1">
                  <c:v>24.9</c:v>
                </c:pt>
                <c:pt idx="2">
                  <c:v>25.1</c:v>
                </c:pt>
                <c:pt idx="3">
                  <c:v>25.2</c:v>
                </c:pt>
                <c:pt idx="4">
                  <c:v>25.1</c:v>
                </c:pt>
                <c:pt idx="5">
                  <c:v>25.3</c:v>
                </c:pt>
                <c:pt idx="6">
                  <c:v>25.4</c:v>
                </c:pt>
                <c:pt idx="7">
                  <c:v>25.3</c:v>
                </c:pt>
                <c:pt idx="8">
                  <c:v>25.5</c:v>
                </c:pt>
                <c:pt idx="9">
                  <c:v>25.8</c:v>
                </c:pt>
                <c:pt idx="10">
                  <c:v>26</c:v>
                </c:pt>
                <c:pt idx="11">
                  <c:v>26.2</c:v>
                </c:pt>
                <c:pt idx="12">
                  <c:v>26</c:v>
                </c:pt>
                <c:pt idx="13">
                  <c:v>26.2</c:v>
                </c:pt>
                <c:pt idx="14">
                  <c:v>26.3</c:v>
                </c:pt>
                <c:pt idx="15">
                  <c:v>26.4</c:v>
                </c:pt>
                <c:pt idx="16">
                  <c:v>26.5</c:v>
                </c:pt>
                <c:pt idx="17">
                  <c:v>26.6</c:v>
                </c:pt>
                <c:pt idx="18">
                  <c:v>26.5</c:v>
                </c:pt>
                <c:pt idx="19">
                  <c:v>26.4</c:v>
                </c:pt>
                <c:pt idx="20">
                  <c:v>26.6</c:v>
                </c:pt>
                <c:pt idx="21">
                  <c:v>26.5</c:v>
                </c:pt>
                <c:pt idx="22">
                  <c:v>26.7</c:v>
                </c:pt>
                <c:pt idx="23">
                  <c:v>26.7</c:v>
                </c:pt>
                <c:pt idx="24">
                  <c:v>26.7</c:v>
                </c:pt>
                <c:pt idx="25">
                  <c:v>26.5</c:v>
                </c:pt>
                <c:pt idx="26">
                  <c:v>26.4</c:v>
                </c:pt>
                <c:pt idx="27">
                  <c:v>26.3</c:v>
                </c:pt>
                <c:pt idx="28">
                  <c:v>26</c:v>
                </c:pt>
                <c:pt idx="29">
                  <c:v>25.9</c:v>
                </c:pt>
                <c:pt idx="30">
                  <c:v>25.9</c:v>
                </c:pt>
                <c:pt idx="31">
                  <c:v>25.8</c:v>
                </c:pt>
                <c:pt idx="32">
                  <c:v>25.7</c:v>
                </c:pt>
                <c:pt idx="33">
                  <c:v>25.8</c:v>
                </c:pt>
                <c:pt idx="34">
                  <c:v>25.7</c:v>
                </c:pt>
                <c:pt idx="35">
                  <c:v>25.6</c:v>
                </c:pt>
                <c:pt idx="36">
                  <c:v>25.1</c:v>
                </c:pt>
                <c:pt idx="37">
                  <c:v>24.4</c:v>
                </c:pt>
                <c:pt idx="38">
                  <c:v>25.6</c:v>
                </c:pt>
                <c:pt idx="39">
                  <c:v>24.7</c:v>
                </c:pt>
                <c:pt idx="40">
                  <c:v>24.1</c:v>
                </c:pt>
                <c:pt idx="41">
                  <c:v>23.5</c:v>
                </c:pt>
                <c:pt idx="42">
                  <c:v>25.8</c:v>
                </c:pt>
                <c:pt idx="43">
                  <c:v>24.9</c:v>
                </c:pt>
                <c:pt idx="44">
                  <c:v>24.2</c:v>
                </c:pt>
                <c:pt idx="45">
                  <c:v>25</c:v>
                </c:pt>
                <c:pt idx="46">
                  <c:v>25.3</c:v>
                </c:pt>
                <c:pt idx="47">
                  <c:v>24.6</c:v>
                </c:pt>
                <c:pt idx="48">
                  <c:v>24.8</c:v>
                </c:pt>
                <c:pt idx="49">
                  <c:v>25.2</c:v>
                </c:pt>
                <c:pt idx="50">
                  <c:v>24.4</c:v>
                </c:pt>
                <c:pt idx="51">
                  <c:v>25.1</c:v>
                </c:pt>
                <c:pt idx="52">
                  <c:v>24.9</c:v>
                </c:pt>
                <c:pt idx="53">
                  <c:v>25.5</c:v>
                </c:pt>
                <c:pt idx="54">
                  <c:v>24.6</c:v>
                </c:pt>
                <c:pt idx="55">
                  <c:v>24.3</c:v>
                </c:pt>
                <c:pt idx="56">
                  <c:v>25.1</c:v>
                </c:pt>
                <c:pt idx="57">
                  <c:v>24.8</c:v>
                </c:pt>
                <c:pt idx="58">
                  <c:v>25.6</c:v>
                </c:pt>
                <c:pt idx="59">
                  <c:v>25.2</c:v>
                </c:pt>
                <c:pt idx="60">
                  <c:v>25.1</c:v>
                </c:pt>
                <c:pt idx="61">
                  <c:v>24.9</c:v>
                </c:pt>
                <c:pt idx="62">
                  <c:v>24.8</c:v>
                </c:pt>
                <c:pt idx="63">
                  <c:v>24.7</c:v>
                </c:pt>
                <c:pt idx="64">
                  <c:v>24.5</c:v>
                </c:pt>
                <c:pt idx="65">
                  <c:v>24</c:v>
                </c:pt>
                <c:pt idx="66">
                  <c:v>23.9</c:v>
                </c:pt>
              </c:numCache>
            </c:numRef>
          </c:val>
          <c:smooth val="0"/>
          <c:extLst>
            <c:ext xmlns:c16="http://schemas.microsoft.com/office/drawing/2014/chart" uri="{C3380CC4-5D6E-409C-BE32-E72D297353CC}">
              <c16:uniqueId val="{00000001-570F-4E53-9DF9-B39D809C5DBD}"/>
            </c:ext>
          </c:extLst>
        </c:ser>
        <c:dLbls>
          <c:showLegendKey val="0"/>
          <c:showVal val="0"/>
          <c:showCatName val="0"/>
          <c:showSerName val="0"/>
          <c:showPercent val="0"/>
          <c:showBubbleSize val="0"/>
        </c:dLbls>
        <c:marker val="1"/>
        <c:smooth val="0"/>
        <c:axId val="1419234879"/>
        <c:axId val="1410493999"/>
      </c:lineChart>
      <c:catAx>
        <c:axId val="1419234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0493999"/>
        <c:crosses val="autoZero"/>
        <c:auto val="1"/>
        <c:lblAlgn val="ctr"/>
        <c:lblOffset val="100"/>
        <c:noMultiLvlLbl val="0"/>
      </c:catAx>
      <c:valAx>
        <c:axId val="1410493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Temperature (oC)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9234879"/>
        <c:crosses val="autoZero"/>
        <c:crossBetween val="between"/>
      </c:valAx>
      <c:spPr>
        <a:noFill/>
        <a:ln>
          <a:noFill/>
        </a:ln>
        <a:effectLst/>
      </c:spPr>
    </c:plotArea>
    <c:legend>
      <c:legendPos val="b"/>
      <c:layout>
        <c:manualLayout>
          <c:xMode val="edge"/>
          <c:yMode val="edge"/>
          <c:x val="0.05"/>
          <c:y val="0.92187445319335082"/>
          <c:w val="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Nutrient TDS and Ec level</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Sheet4!$B$1</c:f>
              <c:strCache>
                <c:ptCount val="1"/>
                <c:pt idx="0">
                  <c:v>TDS LEVEL (ppm)</c:v>
                </c:pt>
              </c:strCache>
            </c:strRef>
          </c:tx>
          <c:spPr>
            <a:ln w="28575" cap="rnd">
              <a:solidFill>
                <a:schemeClr val="accent1"/>
              </a:solidFill>
              <a:round/>
            </a:ln>
            <a:effectLst/>
          </c:spPr>
          <c:marker>
            <c:symbol val="none"/>
          </c:marker>
          <c:cat>
            <c:numRef>
              <c:f>Sheet4!$A$2:$A$68</c:f>
              <c:numCache>
                <c:formatCode>h:mm:ss</c:formatCode>
                <c:ptCount val="67"/>
                <c:pt idx="0">
                  <c:v>0.28642361111111109</c:v>
                </c:pt>
                <c:pt idx="1">
                  <c:v>0.2976388888888889</c:v>
                </c:pt>
                <c:pt idx="2">
                  <c:v>0.30885416666666698</c:v>
                </c:pt>
                <c:pt idx="3">
                  <c:v>0.32006944444444502</c:v>
                </c:pt>
                <c:pt idx="4">
                  <c:v>0.33128472222222199</c:v>
                </c:pt>
                <c:pt idx="5">
                  <c:v>0.34250000000000003</c:v>
                </c:pt>
                <c:pt idx="6">
                  <c:v>0.353715277777778</c:v>
                </c:pt>
                <c:pt idx="7">
                  <c:v>0.36493055555555598</c:v>
                </c:pt>
                <c:pt idx="8">
                  <c:v>0.37614583333333401</c:v>
                </c:pt>
                <c:pt idx="9">
                  <c:v>0.38736111111111099</c:v>
                </c:pt>
                <c:pt idx="10">
                  <c:v>0.39857638888888902</c:v>
                </c:pt>
                <c:pt idx="11">
                  <c:v>0.409791666666667</c:v>
                </c:pt>
                <c:pt idx="12">
                  <c:v>0.42100694444444497</c:v>
                </c:pt>
                <c:pt idx="13">
                  <c:v>0.43222222222222301</c:v>
                </c:pt>
                <c:pt idx="14">
                  <c:v>0.44343749999999998</c:v>
                </c:pt>
                <c:pt idx="15">
                  <c:v>0.45465277777777802</c:v>
                </c:pt>
                <c:pt idx="16">
                  <c:v>0.46586805555555599</c:v>
                </c:pt>
                <c:pt idx="17">
                  <c:v>0.47708333333333403</c:v>
                </c:pt>
                <c:pt idx="18">
                  <c:v>0.488298611111112</c:v>
                </c:pt>
                <c:pt idx="19">
                  <c:v>0.49951388888888898</c:v>
                </c:pt>
                <c:pt idx="20">
                  <c:v>0.51072916666666701</c:v>
                </c:pt>
                <c:pt idx="21">
                  <c:v>0.52194444444444499</c:v>
                </c:pt>
                <c:pt idx="22">
                  <c:v>0.53315972222222296</c:v>
                </c:pt>
                <c:pt idx="23">
                  <c:v>0.54437500000000105</c:v>
                </c:pt>
                <c:pt idx="24">
                  <c:v>0.55559027777777803</c:v>
                </c:pt>
                <c:pt idx="25">
                  <c:v>0.56680555555555601</c:v>
                </c:pt>
                <c:pt idx="26">
                  <c:v>0.57802083333333398</c:v>
                </c:pt>
                <c:pt idx="27">
                  <c:v>0.58923611111111196</c:v>
                </c:pt>
                <c:pt idx="28">
                  <c:v>0.60045138888889005</c:v>
                </c:pt>
                <c:pt idx="29">
                  <c:v>0.61166666666666702</c:v>
                </c:pt>
                <c:pt idx="30">
                  <c:v>0.622881944444445</c:v>
                </c:pt>
                <c:pt idx="31">
                  <c:v>0.63409722222222298</c:v>
                </c:pt>
                <c:pt idx="32">
                  <c:v>0.64531250000000095</c:v>
                </c:pt>
                <c:pt idx="33">
                  <c:v>0.65652777777777904</c:v>
                </c:pt>
                <c:pt idx="34">
                  <c:v>0.66774305555555702</c:v>
                </c:pt>
                <c:pt idx="35">
                  <c:v>0.678958333333334</c:v>
                </c:pt>
                <c:pt idx="36">
                  <c:v>0.69017361111111197</c:v>
                </c:pt>
                <c:pt idx="37">
                  <c:v>0.70138888888888995</c:v>
                </c:pt>
                <c:pt idx="38">
                  <c:v>0.71260416666666804</c:v>
                </c:pt>
                <c:pt idx="39">
                  <c:v>0.72381944444444601</c:v>
                </c:pt>
                <c:pt idx="40">
                  <c:v>0.73503472222222299</c:v>
                </c:pt>
                <c:pt idx="41">
                  <c:v>0.74625000000000097</c:v>
                </c:pt>
                <c:pt idx="42">
                  <c:v>0.75746527777777894</c:v>
                </c:pt>
                <c:pt idx="43">
                  <c:v>0.76868055555555703</c:v>
                </c:pt>
                <c:pt idx="44">
                  <c:v>0.77989583333333501</c:v>
                </c:pt>
                <c:pt idx="45">
                  <c:v>0.79111111111111299</c:v>
                </c:pt>
                <c:pt idx="46">
                  <c:v>0.80232638888888996</c:v>
                </c:pt>
                <c:pt idx="47">
                  <c:v>0.81354166666666805</c:v>
                </c:pt>
                <c:pt idx="48">
                  <c:v>0.82475694444444603</c:v>
                </c:pt>
                <c:pt idx="49">
                  <c:v>0.835972222222224</c:v>
                </c:pt>
                <c:pt idx="50">
                  <c:v>0.84718750000000198</c:v>
                </c:pt>
                <c:pt idx="51">
                  <c:v>0.85840277777777896</c:v>
                </c:pt>
                <c:pt idx="52">
                  <c:v>0.86961805555555705</c:v>
                </c:pt>
                <c:pt idx="53">
                  <c:v>0.88083333333333502</c:v>
                </c:pt>
                <c:pt idx="54">
                  <c:v>0.892048611111113</c:v>
                </c:pt>
                <c:pt idx="55">
                  <c:v>0.90326388888888998</c:v>
                </c:pt>
                <c:pt idx="56">
                  <c:v>0.91447916666666795</c:v>
                </c:pt>
                <c:pt idx="57">
                  <c:v>0.92569444444444604</c:v>
                </c:pt>
                <c:pt idx="58">
                  <c:v>0.93690972222222402</c:v>
                </c:pt>
                <c:pt idx="59">
                  <c:v>0.94812500000000199</c:v>
                </c:pt>
                <c:pt idx="60">
                  <c:v>0.95934027777777997</c:v>
                </c:pt>
                <c:pt idx="61">
                  <c:v>0.97055555555555695</c:v>
                </c:pt>
                <c:pt idx="62">
                  <c:v>0.98177083333333504</c:v>
                </c:pt>
                <c:pt idx="63">
                  <c:v>0.99298611111111301</c:v>
                </c:pt>
                <c:pt idx="64">
                  <c:v>1.0042013888888901</c:v>
                </c:pt>
                <c:pt idx="65">
                  <c:v>1.01541666666667</c:v>
                </c:pt>
                <c:pt idx="66">
                  <c:v>1.0266319444444501</c:v>
                </c:pt>
              </c:numCache>
            </c:numRef>
          </c:cat>
          <c:val>
            <c:numRef>
              <c:f>Sheet4!$B$2:$B$68</c:f>
              <c:numCache>
                <c:formatCode>General</c:formatCode>
                <c:ptCount val="67"/>
                <c:pt idx="0">
                  <c:v>360</c:v>
                </c:pt>
                <c:pt idx="1">
                  <c:v>359</c:v>
                </c:pt>
                <c:pt idx="2">
                  <c:v>358</c:v>
                </c:pt>
                <c:pt idx="3">
                  <c:v>355</c:v>
                </c:pt>
                <c:pt idx="4">
                  <c:v>350</c:v>
                </c:pt>
                <c:pt idx="5">
                  <c:v>346</c:v>
                </c:pt>
                <c:pt idx="6">
                  <c:v>344</c:v>
                </c:pt>
                <c:pt idx="7">
                  <c:v>344</c:v>
                </c:pt>
                <c:pt idx="8">
                  <c:v>344</c:v>
                </c:pt>
                <c:pt idx="9">
                  <c:v>343</c:v>
                </c:pt>
                <c:pt idx="10">
                  <c:v>343</c:v>
                </c:pt>
                <c:pt idx="11">
                  <c:v>342</c:v>
                </c:pt>
                <c:pt idx="12">
                  <c:v>341</c:v>
                </c:pt>
                <c:pt idx="13">
                  <c:v>341</c:v>
                </c:pt>
                <c:pt idx="14">
                  <c:v>341</c:v>
                </c:pt>
                <c:pt idx="15">
                  <c:v>339</c:v>
                </c:pt>
                <c:pt idx="16">
                  <c:v>337</c:v>
                </c:pt>
                <c:pt idx="17">
                  <c:v>337</c:v>
                </c:pt>
                <c:pt idx="18">
                  <c:v>337</c:v>
                </c:pt>
                <c:pt idx="19">
                  <c:v>332</c:v>
                </c:pt>
                <c:pt idx="20">
                  <c:v>332</c:v>
                </c:pt>
                <c:pt idx="21">
                  <c:v>331</c:v>
                </c:pt>
                <c:pt idx="22">
                  <c:v>330</c:v>
                </c:pt>
                <c:pt idx="23">
                  <c:v>329</c:v>
                </c:pt>
                <c:pt idx="24">
                  <c:v>329</c:v>
                </c:pt>
                <c:pt idx="25">
                  <c:v>329</c:v>
                </c:pt>
                <c:pt idx="26">
                  <c:v>329</c:v>
                </c:pt>
                <c:pt idx="27">
                  <c:v>328</c:v>
                </c:pt>
                <c:pt idx="28">
                  <c:v>327</c:v>
                </c:pt>
                <c:pt idx="29">
                  <c:v>323</c:v>
                </c:pt>
                <c:pt idx="30">
                  <c:v>323</c:v>
                </c:pt>
                <c:pt idx="31">
                  <c:v>323</c:v>
                </c:pt>
                <c:pt idx="32">
                  <c:v>319</c:v>
                </c:pt>
                <c:pt idx="33">
                  <c:v>318</c:v>
                </c:pt>
                <c:pt idx="34">
                  <c:v>318</c:v>
                </c:pt>
                <c:pt idx="35">
                  <c:v>313</c:v>
                </c:pt>
                <c:pt idx="36">
                  <c:v>311</c:v>
                </c:pt>
                <c:pt idx="37">
                  <c:v>311</c:v>
                </c:pt>
                <c:pt idx="38">
                  <c:v>309</c:v>
                </c:pt>
                <c:pt idx="39">
                  <c:v>301</c:v>
                </c:pt>
                <c:pt idx="40">
                  <c:v>295</c:v>
                </c:pt>
                <c:pt idx="41">
                  <c:v>293</c:v>
                </c:pt>
                <c:pt idx="42">
                  <c:v>292</c:v>
                </c:pt>
                <c:pt idx="43">
                  <c:v>301</c:v>
                </c:pt>
                <c:pt idx="44">
                  <c:v>307</c:v>
                </c:pt>
                <c:pt idx="45">
                  <c:v>313</c:v>
                </c:pt>
                <c:pt idx="46">
                  <c:v>319</c:v>
                </c:pt>
                <c:pt idx="47">
                  <c:v>325</c:v>
                </c:pt>
                <c:pt idx="48">
                  <c:v>331</c:v>
                </c:pt>
                <c:pt idx="49">
                  <c:v>337</c:v>
                </c:pt>
                <c:pt idx="50">
                  <c:v>343</c:v>
                </c:pt>
                <c:pt idx="51">
                  <c:v>349</c:v>
                </c:pt>
                <c:pt idx="52">
                  <c:v>355</c:v>
                </c:pt>
                <c:pt idx="53">
                  <c:v>350</c:v>
                </c:pt>
                <c:pt idx="54">
                  <c:v>350</c:v>
                </c:pt>
                <c:pt idx="55">
                  <c:v>352</c:v>
                </c:pt>
                <c:pt idx="56">
                  <c:v>357</c:v>
                </c:pt>
                <c:pt idx="57">
                  <c:v>356</c:v>
                </c:pt>
                <c:pt idx="58">
                  <c:v>356</c:v>
                </c:pt>
                <c:pt idx="59">
                  <c:v>356</c:v>
                </c:pt>
                <c:pt idx="60">
                  <c:v>355</c:v>
                </c:pt>
                <c:pt idx="61">
                  <c:v>354</c:v>
                </c:pt>
                <c:pt idx="62">
                  <c:v>354</c:v>
                </c:pt>
                <c:pt idx="63">
                  <c:v>353</c:v>
                </c:pt>
                <c:pt idx="64">
                  <c:v>352</c:v>
                </c:pt>
                <c:pt idx="65">
                  <c:v>355</c:v>
                </c:pt>
                <c:pt idx="66">
                  <c:v>352</c:v>
                </c:pt>
              </c:numCache>
            </c:numRef>
          </c:val>
          <c:smooth val="0"/>
          <c:extLst>
            <c:ext xmlns:c16="http://schemas.microsoft.com/office/drawing/2014/chart" uri="{C3380CC4-5D6E-409C-BE32-E72D297353CC}">
              <c16:uniqueId val="{00000000-F5AB-44AC-BA39-7E0E28205B9B}"/>
            </c:ext>
          </c:extLst>
        </c:ser>
        <c:dLbls>
          <c:showLegendKey val="0"/>
          <c:showVal val="0"/>
          <c:showCatName val="0"/>
          <c:showSerName val="0"/>
          <c:showPercent val="0"/>
          <c:showBubbleSize val="0"/>
        </c:dLbls>
        <c:marker val="1"/>
        <c:smooth val="0"/>
        <c:axId val="761699360"/>
        <c:axId val="701674992"/>
      </c:lineChart>
      <c:lineChart>
        <c:grouping val="standard"/>
        <c:varyColors val="0"/>
        <c:ser>
          <c:idx val="1"/>
          <c:order val="1"/>
          <c:tx>
            <c:strRef>
              <c:f>Sheet4!$C$1</c:f>
              <c:strCache>
                <c:ptCount val="1"/>
                <c:pt idx="0">
                  <c:v>EC Value (ds/m)</c:v>
                </c:pt>
              </c:strCache>
            </c:strRef>
          </c:tx>
          <c:spPr>
            <a:ln w="28575" cap="rnd">
              <a:solidFill>
                <a:schemeClr val="accent2"/>
              </a:solidFill>
              <a:round/>
            </a:ln>
            <a:effectLst/>
          </c:spPr>
          <c:marker>
            <c:symbol val="none"/>
          </c:marker>
          <c:cat>
            <c:numRef>
              <c:f>Sheet4!$A$2:$A$68</c:f>
              <c:numCache>
                <c:formatCode>h:mm:ss</c:formatCode>
                <c:ptCount val="67"/>
                <c:pt idx="0">
                  <c:v>0.28642361111111109</c:v>
                </c:pt>
                <c:pt idx="1">
                  <c:v>0.2976388888888889</c:v>
                </c:pt>
                <c:pt idx="2">
                  <c:v>0.30885416666666698</c:v>
                </c:pt>
                <c:pt idx="3">
                  <c:v>0.32006944444444502</c:v>
                </c:pt>
                <c:pt idx="4">
                  <c:v>0.33128472222222199</c:v>
                </c:pt>
                <c:pt idx="5">
                  <c:v>0.34250000000000003</c:v>
                </c:pt>
                <c:pt idx="6">
                  <c:v>0.353715277777778</c:v>
                </c:pt>
                <c:pt idx="7">
                  <c:v>0.36493055555555598</c:v>
                </c:pt>
                <c:pt idx="8">
                  <c:v>0.37614583333333401</c:v>
                </c:pt>
                <c:pt idx="9">
                  <c:v>0.38736111111111099</c:v>
                </c:pt>
                <c:pt idx="10">
                  <c:v>0.39857638888888902</c:v>
                </c:pt>
                <c:pt idx="11">
                  <c:v>0.409791666666667</c:v>
                </c:pt>
                <c:pt idx="12">
                  <c:v>0.42100694444444497</c:v>
                </c:pt>
                <c:pt idx="13">
                  <c:v>0.43222222222222301</c:v>
                </c:pt>
                <c:pt idx="14">
                  <c:v>0.44343749999999998</c:v>
                </c:pt>
                <c:pt idx="15">
                  <c:v>0.45465277777777802</c:v>
                </c:pt>
                <c:pt idx="16">
                  <c:v>0.46586805555555599</c:v>
                </c:pt>
                <c:pt idx="17">
                  <c:v>0.47708333333333403</c:v>
                </c:pt>
                <c:pt idx="18">
                  <c:v>0.488298611111112</c:v>
                </c:pt>
                <c:pt idx="19">
                  <c:v>0.49951388888888898</c:v>
                </c:pt>
                <c:pt idx="20">
                  <c:v>0.51072916666666701</c:v>
                </c:pt>
                <c:pt idx="21">
                  <c:v>0.52194444444444499</c:v>
                </c:pt>
                <c:pt idx="22">
                  <c:v>0.53315972222222296</c:v>
                </c:pt>
                <c:pt idx="23">
                  <c:v>0.54437500000000105</c:v>
                </c:pt>
                <c:pt idx="24">
                  <c:v>0.55559027777777803</c:v>
                </c:pt>
                <c:pt idx="25">
                  <c:v>0.56680555555555601</c:v>
                </c:pt>
                <c:pt idx="26">
                  <c:v>0.57802083333333398</c:v>
                </c:pt>
                <c:pt idx="27">
                  <c:v>0.58923611111111196</c:v>
                </c:pt>
                <c:pt idx="28">
                  <c:v>0.60045138888889005</c:v>
                </c:pt>
                <c:pt idx="29">
                  <c:v>0.61166666666666702</c:v>
                </c:pt>
                <c:pt idx="30">
                  <c:v>0.622881944444445</c:v>
                </c:pt>
                <c:pt idx="31">
                  <c:v>0.63409722222222298</c:v>
                </c:pt>
                <c:pt idx="32">
                  <c:v>0.64531250000000095</c:v>
                </c:pt>
                <c:pt idx="33">
                  <c:v>0.65652777777777904</c:v>
                </c:pt>
                <c:pt idx="34">
                  <c:v>0.66774305555555702</c:v>
                </c:pt>
                <c:pt idx="35">
                  <c:v>0.678958333333334</c:v>
                </c:pt>
                <c:pt idx="36">
                  <c:v>0.69017361111111197</c:v>
                </c:pt>
                <c:pt idx="37">
                  <c:v>0.70138888888888995</c:v>
                </c:pt>
                <c:pt idx="38">
                  <c:v>0.71260416666666804</c:v>
                </c:pt>
                <c:pt idx="39">
                  <c:v>0.72381944444444601</c:v>
                </c:pt>
                <c:pt idx="40">
                  <c:v>0.73503472222222299</c:v>
                </c:pt>
                <c:pt idx="41">
                  <c:v>0.74625000000000097</c:v>
                </c:pt>
                <c:pt idx="42">
                  <c:v>0.75746527777777894</c:v>
                </c:pt>
                <c:pt idx="43">
                  <c:v>0.76868055555555703</c:v>
                </c:pt>
                <c:pt idx="44">
                  <c:v>0.77989583333333501</c:v>
                </c:pt>
                <c:pt idx="45">
                  <c:v>0.79111111111111299</c:v>
                </c:pt>
                <c:pt idx="46">
                  <c:v>0.80232638888888996</c:v>
                </c:pt>
                <c:pt idx="47">
                  <c:v>0.81354166666666805</c:v>
                </c:pt>
                <c:pt idx="48">
                  <c:v>0.82475694444444603</c:v>
                </c:pt>
                <c:pt idx="49">
                  <c:v>0.835972222222224</c:v>
                </c:pt>
                <c:pt idx="50">
                  <c:v>0.84718750000000198</c:v>
                </c:pt>
                <c:pt idx="51">
                  <c:v>0.85840277777777896</c:v>
                </c:pt>
                <c:pt idx="52">
                  <c:v>0.86961805555555705</c:v>
                </c:pt>
                <c:pt idx="53">
                  <c:v>0.88083333333333502</c:v>
                </c:pt>
                <c:pt idx="54">
                  <c:v>0.892048611111113</c:v>
                </c:pt>
                <c:pt idx="55">
                  <c:v>0.90326388888888998</c:v>
                </c:pt>
                <c:pt idx="56">
                  <c:v>0.91447916666666795</c:v>
                </c:pt>
                <c:pt idx="57">
                  <c:v>0.92569444444444604</c:v>
                </c:pt>
                <c:pt idx="58">
                  <c:v>0.93690972222222402</c:v>
                </c:pt>
                <c:pt idx="59">
                  <c:v>0.94812500000000199</c:v>
                </c:pt>
                <c:pt idx="60">
                  <c:v>0.95934027777777997</c:v>
                </c:pt>
                <c:pt idx="61">
                  <c:v>0.97055555555555695</c:v>
                </c:pt>
                <c:pt idx="62">
                  <c:v>0.98177083333333504</c:v>
                </c:pt>
                <c:pt idx="63">
                  <c:v>0.99298611111111301</c:v>
                </c:pt>
                <c:pt idx="64">
                  <c:v>1.0042013888888901</c:v>
                </c:pt>
                <c:pt idx="65">
                  <c:v>1.01541666666667</c:v>
                </c:pt>
                <c:pt idx="66">
                  <c:v>1.0266319444444501</c:v>
                </c:pt>
              </c:numCache>
            </c:numRef>
          </c:cat>
          <c:val>
            <c:numRef>
              <c:f>Sheet4!$C$2:$C$68</c:f>
              <c:numCache>
                <c:formatCode>General</c:formatCode>
                <c:ptCount val="67"/>
                <c:pt idx="0">
                  <c:v>1.8</c:v>
                </c:pt>
                <c:pt idx="1">
                  <c:v>1.7949999999999999</c:v>
                </c:pt>
                <c:pt idx="2">
                  <c:v>1.79</c:v>
                </c:pt>
                <c:pt idx="3">
                  <c:v>1.7749999999999999</c:v>
                </c:pt>
                <c:pt idx="4">
                  <c:v>1.75</c:v>
                </c:pt>
                <c:pt idx="5">
                  <c:v>1.73</c:v>
                </c:pt>
                <c:pt idx="6">
                  <c:v>1.72</c:v>
                </c:pt>
                <c:pt idx="7">
                  <c:v>1.72</c:v>
                </c:pt>
                <c:pt idx="8">
                  <c:v>1.72</c:v>
                </c:pt>
                <c:pt idx="9">
                  <c:v>1.7150000000000001</c:v>
                </c:pt>
                <c:pt idx="10">
                  <c:v>1.7150000000000001</c:v>
                </c:pt>
                <c:pt idx="11">
                  <c:v>1.71</c:v>
                </c:pt>
                <c:pt idx="12">
                  <c:v>1.7050000000000001</c:v>
                </c:pt>
                <c:pt idx="13">
                  <c:v>1.7050000000000001</c:v>
                </c:pt>
                <c:pt idx="14">
                  <c:v>1.7050000000000001</c:v>
                </c:pt>
                <c:pt idx="15">
                  <c:v>1.6950000000000001</c:v>
                </c:pt>
                <c:pt idx="16">
                  <c:v>1.6850000000000001</c:v>
                </c:pt>
                <c:pt idx="17">
                  <c:v>1.6850000000000001</c:v>
                </c:pt>
                <c:pt idx="18">
                  <c:v>1.6850000000000001</c:v>
                </c:pt>
                <c:pt idx="19">
                  <c:v>1.66</c:v>
                </c:pt>
                <c:pt idx="20">
                  <c:v>1.66</c:v>
                </c:pt>
                <c:pt idx="21">
                  <c:v>1.655</c:v>
                </c:pt>
                <c:pt idx="22">
                  <c:v>1.65</c:v>
                </c:pt>
                <c:pt idx="23">
                  <c:v>1.645</c:v>
                </c:pt>
                <c:pt idx="24">
                  <c:v>1.645</c:v>
                </c:pt>
                <c:pt idx="25">
                  <c:v>1.645</c:v>
                </c:pt>
                <c:pt idx="26">
                  <c:v>1.645</c:v>
                </c:pt>
                <c:pt idx="27">
                  <c:v>1.64</c:v>
                </c:pt>
                <c:pt idx="28">
                  <c:v>1.635</c:v>
                </c:pt>
                <c:pt idx="29">
                  <c:v>1.615</c:v>
                </c:pt>
                <c:pt idx="30">
                  <c:v>1.615</c:v>
                </c:pt>
                <c:pt idx="31">
                  <c:v>1.615</c:v>
                </c:pt>
                <c:pt idx="32">
                  <c:v>1.595</c:v>
                </c:pt>
                <c:pt idx="33">
                  <c:v>1.59</c:v>
                </c:pt>
                <c:pt idx="34">
                  <c:v>1.59</c:v>
                </c:pt>
                <c:pt idx="35">
                  <c:v>1.5649999999999999</c:v>
                </c:pt>
                <c:pt idx="36">
                  <c:v>1.5549999999999999</c:v>
                </c:pt>
                <c:pt idx="37">
                  <c:v>1.5549999999999999</c:v>
                </c:pt>
                <c:pt idx="38">
                  <c:v>1.5449999999999999</c:v>
                </c:pt>
                <c:pt idx="39">
                  <c:v>1.5049999999999999</c:v>
                </c:pt>
                <c:pt idx="40">
                  <c:v>1.4750000000000001</c:v>
                </c:pt>
                <c:pt idx="41">
                  <c:v>1.4650000000000001</c:v>
                </c:pt>
                <c:pt idx="42">
                  <c:v>1.46</c:v>
                </c:pt>
                <c:pt idx="43">
                  <c:v>1.5049999999999999</c:v>
                </c:pt>
                <c:pt idx="44">
                  <c:v>1.5349999999999999</c:v>
                </c:pt>
                <c:pt idx="45">
                  <c:v>1.5649999999999999</c:v>
                </c:pt>
                <c:pt idx="46">
                  <c:v>1.595</c:v>
                </c:pt>
                <c:pt idx="47">
                  <c:v>1.625</c:v>
                </c:pt>
                <c:pt idx="48">
                  <c:v>1.655</c:v>
                </c:pt>
                <c:pt idx="49">
                  <c:v>1.6850000000000001</c:v>
                </c:pt>
                <c:pt idx="50">
                  <c:v>1.7150000000000001</c:v>
                </c:pt>
                <c:pt idx="51">
                  <c:v>1.7450000000000001</c:v>
                </c:pt>
                <c:pt idx="52">
                  <c:v>1.7749999999999999</c:v>
                </c:pt>
                <c:pt idx="53">
                  <c:v>1.75</c:v>
                </c:pt>
                <c:pt idx="54">
                  <c:v>1.75</c:v>
                </c:pt>
                <c:pt idx="55">
                  <c:v>1.76</c:v>
                </c:pt>
                <c:pt idx="56">
                  <c:v>1.7849999999999999</c:v>
                </c:pt>
                <c:pt idx="57">
                  <c:v>1.78</c:v>
                </c:pt>
                <c:pt idx="58">
                  <c:v>1.78</c:v>
                </c:pt>
                <c:pt idx="59">
                  <c:v>1.78</c:v>
                </c:pt>
                <c:pt idx="60">
                  <c:v>1.7749999999999999</c:v>
                </c:pt>
                <c:pt idx="61">
                  <c:v>1.77</c:v>
                </c:pt>
                <c:pt idx="62">
                  <c:v>1.77</c:v>
                </c:pt>
                <c:pt idx="63">
                  <c:v>1.7649999999999999</c:v>
                </c:pt>
                <c:pt idx="64">
                  <c:v>1.76</c:v>
                </c:pt>
                <c:pt idx="65">
                  <c:v>1.7749999999999999</c:v>
                </c:pt>
                <c:pt idx="66">
                  <c:v>1.76</c:v>
                </c:pt>
              </c:numCache>
            </c:numRef>
          </c:val>
          <c:smooth val="0"/>
          <c:extLst>
            <c:ext xmlns:c16="http://schemas.microsoft.com/office/drawing/2014/chart" uri="{C3380CC4-5D6E-409C-BE32-E72D297353CC}">
              <c16:uniqueId val="{00000001-F5AB-44AC-BA39-7E0E28205B9B}"/>
            </c:ext>
          </c:extLst>
        </c:ser>
        <c:dLbls>
          <c:showLegendKey val="0"/>
          <c:showVal val="0"/>
          <c:showCatName val="0"/>
          <c:showSerName val="0"/>
          <c:showPercent val="0"/>
          <c:showBubbleSize val="0"/>
        </c:dLbls>
        <c:marker val="1"/>
        <c:smooth val="0"/>
        <c:axId val="761700160"/>
        <c:axId val="701672496"/>
      </c:lineChart>
      <c:catAx>
        <c:axId val="76169936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01674992"/>
        <c:crosses val="autoZero"/>
        <c:auto val="1"/>
        <c:lblAlgn val="ctr"/>
        <c:lblOffset val="100"/>
        <c:noMultiLvlLbl val="0"/>
      </c:catAx>
      <c:valAx>
        <c:axId val="701674992"/>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1699360"/>
        <c:crosses val="autoZero"/>
        <c:crossBetween val="between"/>
      </c:valAx>
      <c:valAx>
        <c:axId val="7016724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61700160"/>
        <c:crosses val="max"/>
        <c:crossBetween val="between"/>
      </c:valAx>
      <c:catAx>
        <c:axId val="761700160"/>
        <c:scaling>
          <c:orientation val="minMax"/>
        </c:scaling>
        <c:delete val="1"/>
        <c:axPos val="b"/>
        <c:numFmt formatCode="h:mm:ss" sourceLinked="1"/>
        <c:majorTickMark val="none"/>
        <c:minorTickMark val="none"/>
        <c:tickLblPos val="nextTo"/>
        <c:crossAx val="701672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6">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17.xml><?xml version="1.0" encoding="utf-8"?>
<cs:colorStyle xmlns:cs="http://schemas.microsoft.com/office/drawing/2012/chartStyle" xmlns:a="http://schemas.openxmlformats.org/drawingml/2006/main" meth="withinLinearReversed" id="26">
  <a:schemeClr val="accent6"/>
</cs:colorStyle>
</file>

<file path=word/charts/colors18.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22E1C9-9E85-4E09-8F31-EAC42F45330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US"/>
        </a:p>
      </dgm:t>
    </dgm:pt>
    <dgm:pt modelId="{A92C03B6-6761-4614-85CA-2325416F5A54}">
      <dgm:prSet phldrT="[Text]" custT="1"/>
      <dgm:spPr/>
      <dgm:t>
        <a:bodyPr/>
        <a:lstStyle/>
        <a:p>
          <a:pPr>
            <a:spcAft>
              <a:spcPct val="35000"/>
            </a:spcAft>
          </a:pPr>
          <a:r>
            <a:rPr lang="en-US" sz="1050" b="1" dirty="0">
              <a:solidFill>
                <a:prstClr val="black"/>
              </a:solidFill>
              <a:latin typeface="Arial" panose="020B0604020202020204" pitchFamily="34" charset="0"/>
              <a:cs typeface="Arial" panose="020B0604020202020204" pitchFamily="34" charset="0"/>
            </a:rPr>
            <a:t>Component Selection  </a:t>
          </a:r>
          <a:endParaRPr lang="en-US" sz="1050" b="1">
            <a:latin typeface="Arial" panose="020B0604020202020204" pitchFamily="34" charset="0"/>
            <a:cs typeface="Arial" panose="020B0604020202020204" pitchFamily="34" charset="0"/>
          </a:endParaRPr>
        </a:p>
      </dgm:t>
    </dgm:pt>
    <dgm:pt modelId="{45A6A3A1-2D6E-41EE-9B86-31EE64882045}" type="parTrans" cxnId="{A9F9958C-28B5-4A6F-BD9C-3DBDD0DA123A}">
      <dgm:prSet/>
      <dgm:spPr/>
      <dgm:t>
        <a:bodyPr/>
        <a:lstStyle/>
        <a:p>
          <a:endParaRPr lang="en-US" sz="1050" b="1">
            <a:latin typeface="Arial" panose="020B0604020202020204" pitchFamily="34" charset="0"/>
            <a:cs typeface="Arial" panose="020B0604020202020204" pitchFamily="34" charset="0"/>
          </a:endParaRPr>
        </a:p>
      </dgm:t>
    </dgm:pt>
    <dgm:pt modelId="{E172A522-B8F0-4F32-B1DF-480670080E14}" type="sibTrans" cxnId="{A9F9958C-28B5-4A6F-BD9C-3DBDD0DA123A}">
      <dgm:prSet custT="1"/>
      <dgm:spPr/>
      <dgm:t>
        <a:bodyPr/>
        <a:lstStyle/>
        <a:p>
          <a:endParaRPr lang="en-US" sz="1050" b="1">
            <a:latin typeface="Arial" panose="020B0604020202020204" pitchFamily="34" charset="0"/>
            <a:cs typeface="Arial" panose="020B0604020202020204" pitchFamily="34" charset="0"/>
          </a:endParaRPr>
        </a:p>
      </dgm:t>
    </dgm:pt>
    <dgm:pt modelId="{32CC1B4D-5168-4791-8984-3A69CA2C622E}">
      <dgm:prSet phldrT="[Text]" custT="1"/>
      <dgm:spPr/>
      <dgm:t>
        <a:bodyPr/>
        <a:lstStyle/>
        <a:p>
          <a:r>
            <a:rPr lang="en-US" sz="1050" b="1">
              <a:latin typeface="Arial" panose="020B0604020202020204" pitchFamily="34" charset="0"/>
              <a:cs typeface="Arial" panose="020B0604020202020204" pitchFamily="34" charset="0"/>
            </a:rPr>
            <a:t>Data acquisition and monitoring</a:t>
          </a:r>
        </a:p>
      </dgm:t>
    </dgm:pt>
    <dgm:pt modelId="{4F0C1A1C-2E64-4570-BCFA-44D9F6B45C7E}" type="parTrans" cxnId="{AE02FC84-0FB2-4F2E-B06E-68DBF359FB4B}">
      <dgm:prSet/>
      <dgm:spPr/>
      <dgm:t>
        <a:bodyPr/>
        <a:lstStyle/>
        <a:p>
          <a:endParaRPr lang="en-US" sz="1050" b="1">
            <a:latin typeface="Arial" panose="020B0604020202020204" pitchFamily="34" charset="0"/>
            <a:cs typeface="Arial" panose="020B0604020202020204" pitchFamily="34" charset="0"/>
          </a:endParaRPr>
        </a:p>
      </dgm:t>
    </dgm:pt>
    <dgm:pt modelId="{605EB059-3D01-4FE9-8880-31E63C759B56}" type="sibTrans" cxnId="{AE02FC84-0FB2-4F2E-B06E-68DBF359FB4B}">
      <dgm:prSet custT="1"/>
      <dgm:spPr/>
      <dgm:t>
        <a:bodyPr/>
        <a:lstStyle/>
        <a:p>
          <a:endParaRPr lang="en-US" sz="1050" b="1">
            <a:latin typeface="Arial" panose="020B0604020202020204" pitchFamily="34" charset="0"/>
            <a:cs typeface="Arial" panose="020B0604020202020204" pitchFamily="34" charset="0"/>
          </a:endParaRPr>
        </a:p>
      </dgm:t>
    </dgm:pt>
    <dgm:pt modelId="{2155AFDF-70D4-40C5-B2EB-AA73264F54EE}">
      <dgm:prSet phldrT="[Text]" custT="1"/>
      <dgm:spPr/>
      <dgm:t>
        <a:bodyPr/>
        <a:lstStyle/>
        <a:p>
          <a:r>
            <a:rPr lang="en-US" sz="1050" b="1">
              <a:latin typeface="Arial" panose="020B0604020202020204" pitchFamily="34" charset="0"/>
              <a:cs typeface="Arial" panose="020B0604020202020204" pitchFamily="34" charset="0"/>
            </a:rPr>
            <a:t>Evaluation of the performance</a:t>
          </a:r>
        </a:p>
      </dgm:t>
    </dgm:pt>
    <dgm:pt modelId="{17D322B0-B2C8-437C-8EA0-12D4FE2DE45C}" type="parTrans" cxnId="{3AAB9A4C-397B-47D8-AB95-12893C12EDD8}">
      <dgm:prSet/>
      <dgm:spPr/>
      <dgm:t>
        <a:bodyPr/>
        <a:lstStyle/>
        <a:p>
          <a:endParaRPr lang="en-US" sz="1050" b="1">
            <a:latin typeface="Arial" panose="020B0604020202020204" pitchFamily="34" charset="0"/>
            <a:cs typeface="Arial" panose="020B0604020202020204" pitchFamily="34" charset="0"/>
          </a:endParaRPr>
        </a:p>
      </dgm:t>
    </dgm:pt>
    <dgm:pt modelId="{644EEE96-4374-42E2-8142-02AA3263E647}" type="sibTrans" cxnId="{3AAB9A4C-397B-47D8-AB95-12893C12EDD8}">
      <dgm:prSet custT="1"/>
      <dgm:spPr/>
      <dgm:t>
        <a:bodyPr/>
        <a:lstStyle/>
        <a:p>
          <a:endParaRPr lang="en-US" sz="1050" b="1">
            <a:latin typeface="Arial" panose="020B0604020202020204" pitchFamily="34" charset="0"/>
            <a:cs typeface="Arial" panose="020B0604020202020204" pitchFamily="34" charset="0"/>
          </a:endParaRPr>
        </a:p>
      </dgm:t>
    </dgm:pt>
    <dgm:pt modelId="{8248AD48-14DA-46FC-B9AF-0343A17DFC56}">
      <dgm:prSet phldrT="[Text]" custT="1"/>
      <dgm:spPr/>
      <dgm:t>
        <a:bodyPr/>
        <a:lstStyle/>
        <a:p>
          <a:r>
            <a:rPr lang="en-US" sz="1050" b="1">
              <a:latin typeface="Arial" panose="020B0604020202020204" pitchFamily="34" charset="0"/>
              <a:cs typeface="Arial" panose="020B0604020202020204" pitchFamily="34" charset="0"/>
            </a:rPr>
            <a:t> Yield and cost analysis</a:t>
          </a:r>
          <a:endParaRPr lang="en-US" sz="1050" b="1">
            <a:solidFill>
              <a:srgbClr val="FF0000"/>
            </a:solidFill>
            <a:latin typeface="Arial" panose="020B0604020202020204" pitchFamily="34" charset="0"/>
            <a:cs typeface="Arial" panose="020B0604020202020204" pitchFamily="34" charset="0"/>
          </a:endParaRPr>
        </a:p>
      </dgm:t>
    </dgm:pt>
    <dgm:pt modelId="{A45EB1AC-3D05-4CA4-A57E-2BDECCD3E708}" type="parTrans" cxnId="{2C1A1349-2632-4C05-9B09-A97E9254C803}">
      <dgm:prSet/>
      <dgm:spPr/>
      <dgm:t>
        <a:bodyPr/>
        <a:lstStyle/>
        <a:p>
          <a:endParaRPr lang="en-US" sz="1050" b="1">
            <a:latin typeface="Arial" panose="020B0604020202020204" pitchFamily="34" charset="0"/>
            <a:cs typeface="Arial" panose="020B0604020202020204" pitchFamily="34" charset="0"/>
          </a:endParaRPr>
        </a:p>
      </dgm:t>
    </dgm:pt>
    <dgm:pt modelId="{5AC8F188-E90C-4F16-9837-A90DCF6C9C6D}" type="sibTrans" cxnId="{2C1A1349-2632-4C05-9B09-A97E9254C803}">
      <dgm:prSet custT="1"/>
      <dgm:spPr/>
      <dgm:t>
        <a:bodyPr/>
        <a:lstStyle/>
        <a:p>
          <a:endParaRPr lang="en-US" sz="1050" b="1">
            <a:latin typeface="Arial" panose="020B0604020202020204" pitchFamily="34" charset="0"/>
            <a:cs typeface="Arial" panose="020B0604020202020204" pitchFamily="34" charset="0"/>
          </a:endParaRPr>
        </a:p>
      </dgm:t>
    </dgm:pt>
    <dgm:pt modelId="{9AADB7B8-DBCC-4353-99D7-B370B2505A33}">
      <dgm:prSet phldrT="[Text]" custT="1"/>
      <dgm:spPr/>
      <dgm:t>
        <a:bodyPr/>
        <a:lstStyle/>
        <a:p>
          <a:r>
            <a:rPr lang="en-US" sz="1050" b="1" dirty="0">
              <a:solidFill>
                <a:prstClr val="black"/>
              </a:solidFill>
              <a:latin typeface="Arial" panose="020B0604020202020204" pitchFamily="34" charset="0"/>
              <a:cs typeface="Arial" panose="020B0604020202020204" pitchFamily="34" charset="0"/>
            </a:rPr>
            <a:t>Site Preparation &amp; Structural Setup</a:t>
          </a:r>
          <a:endParaRPr lang="en-US" sz="1050" b="1">
            <a:latin typeface="Arial" panose="020B0604020202020204" pitchFamily="34" charset="0"/>
            <a:cs typeface="Arial" panose="020B0604020202020204" pitchFamily="34" charset="0"/>
          </a:endParaRPr>
        </a:p>
      </dgm:t>
    </dgm:pt>
    <dgm:pt modelId="{0A87EFCC-2F67-475E-952A-DF265ACB08CD}" type="sibTrans" cxnId="{8003FB34-4E9A-4910-9D8D-E44168BFD988}">
      <dgm:prSet custT="1"/>
      <dgm:spPr/>
      <dgm:t>
        <a:bodyPr/>
        <a:lstStyle/>
        <a:p>
          <a:endParaRPr lang="en-US" sz="1050" b="1">
            <a:latin typeface="Arial" panose="020B0604020202020204" pitchFamily="34" charset="0"/>
            <a:cs typeface="Arial" panose="020B0604020202020204" pitchFamily="34" charset="0"/>
          </a:endParaRPr>
        </a:p>
      </dgm:t>
    </dgm:pt>
    <dgm:pt modelId="{7AF2897C-8A8E-4A2E-8835-773A41AB15C6}" type="parTrans" cxnId="{8003FB34-4E9A-4910-9D8D-E44168BFD988}">
      <dgm:prSet/>
      <dgm:spPr/>
      <dgm:t>
        <a:bodyPr/>
        <a:lstStyle/>
        <a:p>
          <a:endParaRPr lang="en-US" sz="1050" b="1">
            <a:latin typeface="Arial" panose="020B0604020202020204" pitchFamily="34" charset="0"/>
            <a:cs typeface="Arial" panose="020B0604020202020204" pitchFamily="34" charset="0"/>
          </a:endParaRPr>
        </a:p>
      </dgm:t>
    </dgm:pt>
    <dgm:pt modelId="{87D72050-CEE8-416A-B346-94E6EE0E9A52}">
      <dgm:prSet custT="1"/>
      <dgm:spPr/>
      <dgm:t>
        <a:bodyPr/>
        <a:lstStyle/>
        <a:p>
          <a:pPr>
            <a:lnSpc>
              <a:spcPct val="100000"/>
            </a:lnSpc>
            <a:spcAft>
              <a:spcPts val="0"/>
            </a:spcAft>
          </a:pPr>
          <a:r>
            <a:rPr lang="en-US" sz="1050" b="1" dirty="0">
              <a:solidFill>
                <a:prstClr val="black"/>
              </a:solidFill>
              <a:latin typeface="Arial" panose="020B0604020202020204" pitchFamily="34" charset="0"/>
              <a:cs typeface="Arial" panose="020B0604020202020204" pitchFamily="34" charset="0"/>
            </a:rPr>
            <a:t>System Design</a:t>
          </a:r>
          <a:endParaRPr lang="en-US" sz="1050" b="1">
            <a:latin typeface="Arial" panose="020B0604020202020204" pitchFamily="34" charset="0"/>
            <a:cs typeface="Arial" panose="020B0604020202020204" pitchFamily="34" charset="0"/>
          </a:endParaRPr>
        </a:p>
      </dgm:t>
    </dgm:pt>
    <dgm:pt modelId="{030DA34A-4AE2-40A0-8381-13DD1FA3FE14}" type="parTrans" cxnId="{8BCAFCA9-C2AD-4DF7-9745-D13E0015C733}">
      <dgm:prSet/>
      <dgm:spPr/>
      <dgm:t>
        <a:bodyPr/>
        <a:lstStyle/>
        <a:p>
          <a:endParaRPr lang="en-US" sz="1050" b="1">
            <a:latin typeface="Arial" panose="020B0604020202020204" pitchFamily="34" charset="0"/>
            <a:cs typeface="Arial" panose="020B0604020202020204" pitchFamily="34" charset="0"/>
          </a:endParaRPr>
        </a:p>
      </dgm:t>
    </dgm:pt>
    <dgm:pt modelId="{8E1A6B55-3C88-4608-BB78-1DFF3CD54E4A}" type="sibTrans" cxnId="{8BCAFCA9-C2AD-4DF7-9745-D13E0015C733}">
      <dgm:prSet custT="1"/>
      <dgm:spPr/>
      <dgm:t>
        <a:bodyPr/>
        <a:lstStyle/>
        <a:p>
          <a:endParaRPr lang="en-US" sz="1050" b="1">
            <a:latin typeface="Arial" panose="020B0604020202020204" pitchFamily="34" charset="0"/>
            <a:cs typeface="Arial" panose="020B0604020202020204" pitchFamily="34" charset="0"/>
          </a:endParaRPr>
        </a:p>
      </dgm:t>
    </dgm:pt>
    <dgm:pt modelId="{25DEB9B1-1EC4-4E17-B821-B708CD7EEE18}">
      <dgm:prSet custT="1"/>
      <dgm:spPr/>
      <dgm:t>
        <a:bodyPr/>
        <a:lstStyle/>
        <a:p>
          <a:r>
            <a:rPr lang="en-US" sz="1050" b="1" dirty="0">
              <a:solidFill>
                <a:prstClr val="black"/>
              </a:solidFill>
              <a:latin typeface="Arial" panose="020B0604020202020204" pitchFamily="34" charset="0"/>
              <a:cs typeface="Arial" panose="020B0604020202020204" pitchFamily="34" charset="0"/>
            </a:rPr>
            <a:t>Automation development   </a:t>
          </a:r>
          <a:endParaRPr lang="en-US" sz="1050" b="1">
            <a:latin typeface="Arial" panose="020B0604020202020204" pitchFamily="34" charset="0"/>
            <a:cs typeface="Arial" panose="020B0604020202020204" pitchFamily="34" charset="0"/>
          </a:endParaRPr>
        </a:p>
      </dgm:t>
    </dgm:pt>
    <dgm:pt modelId="{78760227-29B3-4704-85F4-951126F403B5}" type="parTrans" cxnId="{44FA2F15-F65E-44ED-A975-E0F72134C865}">
      <dgm:prSet/>
      <dgm:spPr/>
      <dgm:t>
        <a:bodyPr/>
        <a:lstStyle/>
        <a:p>
          <a:endParaRPr lang="en-US" sz="1050" b="1">
            <a:latin typeface="Arial" panose="020B0604020202020204" pitchFamily="34" charset="0"/>
            <a:cs typeface="Arial" panose="020B0604020202020204" pitchFamily="34" charset="0"/>
          </a:endParaRPr>
        </a:p>
      </dgm:t>
    </dgm:pt>
    <dgm:pt modelId="{F2379070-CD84-425D-887A-E937D1F9865E}" type="sibTrans" cxnId="{44FA2F15-F65E-44ED-A975-E0F72134C865}">
      <dgm:prSet custT="1"/>
      <dgm:spPr/>
      <dgm:t>
        <a:bodyPr/>
        <a:lstStyle/>
        <a:p>
          <a:endParaRPr lang="en-US" sz="1050" b="1">
            <a:latin typeface="Arial" panose="020B0604020202020204" pitchFamily="34" charset="0"/>
            <a:cs typeface="Arial" panose="020B0604020202020204" pitchFamily="34" charset="0"/>
          </a:endParaRPr>
        </a:p>
      </dgm:t>
    </dgm:pt>
    <dgm:pt modelId="{D1D46BF8-33AD-4FF1-9F26-F03E3E74105D}">
      <dgm:prSet custT="1"/>
      <dgm:spPr/>
      <dgm:t>
        <a:bodyPr/>
        <a:lstStyle/>
        <a:p>
          <a:pPr>
            <a:lnSpc>
              <a:spcPct val="100000"/>
            </a:lnSpc>
            <a:spcAft>
              <a:spcPts val="0"/>
            </a:spcAft>
          </a:pPr>
          <a:r>
            <a:rPr lang="en-IN" sz="1050" b="1" dirty="0">
              <a:solidFill>
                <a:prstClr val="black"/>
              </a:solidFill>
              <a:latin typeface="Arial" panose="020B0604020202020204" pitchFamily="34" charset="0"/>
              <a:cs typeface="Arial" panose="020B0604020202020204" pitchFamily="34" charset="0"/>
            </a:rPr>
            <a:t>Development of high Pressure aeroponic system</a:t>
          </a:r>
        </a:p>
      </dgm:t>
    </dgm:pt>
    <dgm:pt modelId="{1B218793-2964-4311-BBC4-EB3A9AD59081}" type="parTrans" cxnId="{F51F1203-825E-4F77-A3F5-333AC3767C5F}">
      <dgm:prSet/>
      <dgm:spPr/>
      <dgm:t>
        <a:bodyPr/>
        <a:lstStyle/>
        <a:p>
          <a:endParaRPr lang="en-US" sz="1050" b="1">
            <a:latin typeface="Arial" panose="020B0604020202020204" pitchFamily="34" charset="0"/>
            <a:cs typeface="Arial" panose="020B0604020202020204" pitchFamily="34" charset="0"/>
          </a:endParaRPr>
        </a:p>
      </dgm:t>
    </dgm:pt>
    <dgm:pt modelId="{ED47910C-ABD5-4EF4-BAE0-B2AC1F3F0AB4}" type="sibTrans" cxnId="{F51F1203-825E-4F77-A3F5-333AC3767C5F}">
      <dgm:prSet custT="1"/>
      <dgm:spPr/>
      <dgm:t>
        <a:bodyPr/>
        <a:lstStyle/>
        <a:p>
          <a:endParaRPr lang="en-US" sz="1050" b="1">
            <a:latin typeface="Arial" panose="020B0604020202020204" pitchFamily="34" charset="0"/>
            <a:cs typeface="Arial" panose="020B0604020202020204" pitchFamily="34" charset="0"/>
          </a:endParaRPr>
        </a:p>
      </dgm:t>
    </dgm:pt>
    <dgm:pt modelId="{8FF6CAE9-CE77-415A-944B-2E725939DDE6}">
      <dgm:prSet custT="1"/>
      <dgm:spPr/>
      <dgm:t>
        <a:bodyPr/>
        <a:lstStyle/>
        <a:p>
          <a:r>
            <a:rPr lang="en-IN" sz="1050" b="1" dirty="0">
              <a:solidFill>
                <a:prstClr val="black"/>
              </a:solidFill>
              <a:latin typeface="Arial" panose="020B0604020202020204" pitchFamily="34" charset="0"/>
              <a:cs typeface="Arial" panose="020B0604020202020204" pitchFamily="34" charset="0"/>
            </a:rPr>
            <a:t>Installation of IoT based automated aeroponic system</a:t>
          </a:r>
        </a:p>
      </dgm:t>
    </dgm:pt>
    <dgm:pt modelId="{0EE35738-502D-4B2A-8A66-560759716524}" type="parTrans" cxnId="{DA8047FB-FB4B-454F-9A75-57E60CBC7036}">
      <dgm:prSet/>
      <dgm:spPr/>
      <dgm:t>
        <a:bodyPr/>
        <a:lstStyle/>
        <a:p>
          <a:endParaRPr lang="en-US" sz="1050" b="1">
            <a:latin typeface="Arial" panose="020B0604020202020204" pitchFamily="34" charset="0"/>
            <a:cs typeface="Arial" panose="020B0604020202020204" pitchFamily="34" charset="0"/>
          </a:endParaRPr>
        </a:p>
      </dgm:t>
    </dgm:pt>
    <dgm:pt modelId="{4B863D6E-106A-4E88-B155-A9370C6A1124}" type="sibTrans" cxnId="{DA8047FB-FB4B-454F-9A75-57E60CBC7036}">
      <dgm:prSet custT="1"/>
      <dgm:spPr/>
      <dgm:t>
        <a:bodyPr/>
        <a:lstStyle/>
        <a:p>
          <a:endParaRPr lang="en-US" sz="1050" b="1">
            <a:latin typeface="Arial" panose="020B0604020202020204" pitchFamily="34" charset="0"/>
            <a:cs typeface="Arial" panose="020B0604020202020204" pitchFamily="34" charset="0"/>
          </a:endParaRPr>
        </a:p>
      </dgm:t>
    </dgm:pt>
    <dgm:pt modelId="{CA65FE90-ED43-4AE5-AAAD-C663D520A273}">
      <dgm:prSet custT="1"/>
      <dgm:spPr/>
      <dgm:t>
        <a:bodyPr/>
        <a:lstStyle/>
        <a:p>
          <a:r>
            <a:rPr lang="en-IN" sz="1050" b="1" dirty="0">
              <a:solidFill>
                <a:prstClr val="black"/>
              </a:solidFill>
              <a:latin typeface="Arial" panose="020B0604020202020204" pitchFamily="34" charset="0"/>
              <a:cs typeface="Arial" panose="020B0604020202020204" pitchFamily="34" charset="0"/>
            </a:rPr>
            <a:t>Automation integration into aeroponics </a:t>
          </a:r>
        </a:p>
      </dgm:t>
    </dgm:pt>
    <dgm:pt modelId="{26A51175-7D9F-4197-A605-851BE4D4D22E}" type="parTrans" cxnId="{D9EF6C62-0F36-4654-8A4F-7AD8EADC8D8B}">
      <dgm:prSet/>
      <dgm:spPr/>
      <dgm:t>
        <a:bodyPr/>
        <a:lstStyle/>
        <a:p>
          <a:endParaRPr lang="en-US" sz="1050" b="1">
            <a:latin typeface="Arial" panose="020B0604020202020204" pitchFamily="34" charset="0"/>
            <a:cs typeface="Arial" panose="020B0604020202020204" pitchFamily="34" charset="0"/>
          </a:endParaRPr>
        </a:p>
      </dgm:t>
    </dgm:pt>
    <dgm:pt modelId="{7D781E4C-9EBA-4EC5-B925-BA0EAAA4F79A}" type="sibTrans" cxnId="{D9EF6C62-0F36-4654-8A4F-7AD8EADC8D8B}">
      <dgm:prSet custT="1"/>
      <dgm:spPr/>
      <dgm:t>
        <a:bodyPr/>
        <a:lstStyle/>
        <a:p>
          <a:endParaRPr lang="en-US" sz="1050" b="1">
            <a:latin typeface="Arial" panose="020B0604020202020204" pitchFamily="34" charset="0"/>
            <a:cs typeface="Arial" panose="020B0604020202020204" pitchFamily="34" charset="0"/>
          </a:endParaRPr>
        </a:p>
      </dgm:t>
    </dgm:pt>
    <dgm:pt modelId="{34A1A675-D7A4-482A-9C2E-09A6D9263B02}">
      <dgm:prSet custT="1"/>
      <dgm:spPr/>
      <dgm:t>
        <a:bodyPr/>
        <a:lstStyle/>
        <a:p>
          <a:r>
            <a:rPr lang="en-US" sz="1050" b="1" dirty="0">
              <a:solidFill>
                <a:prstClr val="black"/>
              </a:solidFill>
              <a:latin typeface="Arial" panose="020B0604020202020204" pitchFamily="34" charset="0"/>
              <a:cs typeface="Arial" panose="020B0604020202020204" pitchFamily="34" charset="0"/>
            </a:rPr>
            <a:t>Crop Selection</a:t>
          </a:r>
          <a:endParaRPr lang="en-US" sz="1050" b="1">
            <a:latin typeface="Arial" panose="020B0604020202020204" pitchFamily="34" charset="0"/>
            <a:cs typeface="Arial" panose="020B0604020202020204" pitchFamily="34" charset="0"/>
          </a:endParaRPr>
        </a:p>
      </dgm:t>
    </dgm:pt>
    <dgm:pt modelId="{928F41B0-7013-44A8-A4E3-529FE161788D}" type="parTrans" cxnId="{8488D22D-B34B-4DB9-9517-50F74D59A80F}">
      <dgm:prSet/>
      <dgm:spPr/>
      <dgm:t>
        <a:bodyPr/>
        <a:lstStyle/>
        <a:p>
          <a:endParaRPr lang="en-US" sz="1050" b="1">
            <a:latin typeface="Arial" panose="020B0604020202020204" pitchFamily="34" charset="0"/>
            <a:cs typeface="Arial" panose="020B0604020202020204" pitchFamily="34" charset="0"/>
          </a:endParaRPr>
        </a:p>
      </dgm:t>
    </dgm:pt>
    <dgm:pt modelId="{FB01E1E9-F079-47CF-81B0-D46B6DE69CD8}" type="sibTrans" cxnId="{8488D22D-B34B-4DB9-9517-50F74D59A80F}">
      <dgm:prSet custT="1"/>
      <dgm:spPr/>
      <dgm:t>
        <a:bodyPr/>
        <a:lstStyle/>
        <a:p>
          <a:endParaRPr lang="en-US" sz="1050" b="1">
            <a:latin typeface="Arial" panose="020B0604020202020204" pitchFamily="34" charset="0"/>
            <a:cs typeface="Arial" panose="020B0604020202020204" pitchFamily="34" charset="0"/>
          </a:endParaRPr>
        </a:p>
      </dgm:t>
    </dgm:pt>
    <dgm:pt modelId="{7065865F-C12E-4A92-9B42-96D6680632E7}" type="pres">
      <dgm:prSet presAssocID="{3622E1C9-9E85-4E09-8F31-EAC42F453300}" presName="Name0" presStyleCnt="0">
        <dgm:presLayoutVars>
          <dgm:dir/>
          <dgm:resizeHandles val="exact"/>
        </dgm:presLayoutVars>
      </dgm:prSet>
      <dgm:spPr/>
    </dgm:pt>
    <dgm:pt modelId="{F1AE9C01-65D4-4229-AB30-E74775EAEA93}" type="pres">
      <dgm:prSet presAssocID="{9AADB7B8-DBCC-4353-99D7-B370B2505A33}" presName="node" presStyleLbl="node1" presStyleIdx="0" presStyleCnt="11" custScaleX="112613" custScaleY="145644">
        <dgm:presLayoutVars>
          <dgm:bulletEnabled val="1"/>
        </dgm:presLayoutVars>
      </dgm:prSet>
      <dgm:spPr/>
    </dgm:pt>
    <dgm:pt modelId="{1651A449-C6F9-44BD-A68D-508A48747121}" type="pres">
      <dgm:prSet presAssocID="{0A87EFCC-2F67-475E-952A-DF265ACB08CD}" presName="sibTrans" presStyleLbl="sibTrans1D1" presStyleIdx="0" presStyleCnt="10"/>
      <dgm:spPr/>
    </dgm:pt>
    <dgm:pt modelId="{5D840526-816B-4656-9294-CE7E8DACAE51}" type="pres">
      <dgm:prSet presAssocID="{0A87EFCC-2F67-475E-952A-DF265ACB08CD}" presName="connectorText" presStyleLbl="sibTrans1D1" presStyleIdx="0" presStyleCnt="10"/>
      <dgm:spPr/>
    </dgm:pt>
    <dgm:pt modelId="{719DA5B6-8C9C-464D-BB4D-59669515AE0E}" type="pres">
      <dgm:prSet presAssocID="{A92C03B6-6761-4614-85CA-2325416F5A54}" presName="node" presStyleLbl="node1" presStyleIdx="1" presStyleCnt="11" custScaleX="170892" custScaleY="144344">
        <dgm:presLayoutVars>
          <dgm:bulletEnabled val="1"/>
        </dgm:presLayoutVars>
      </dgm:prSet>
      <dgm:spPr/>
    </dgm:pt>
    <dgm:pt modelId="{90F4DAF9-1819-46CD-BDAB-14D1EAE63002}" type="pres">
      <dgm:prSet presAssocID="{E172A522-B8F0-4F32-B1DF-480670080E14}" presName="sibTrans" presStyleLbl="sibTrans1D1" presStyleIdx="1" presStyleCnt="10"/>
      <dgm:spPr/>
    </dgm:pt>
    <dgm:pt modelId="{D90DDC83-250D-4773-A163-876B32C2219C}" type="pres">
      <dgm:prSet presAssocID="{E172A522-B8F0-4F32-B1DF-480670080E14}" presName="connectorText" presStyleLbl="sibTrans1D1" presStyleIdx="1" presStyleCnt="10"/>
      <dgm:spPr/>
    </dgm:pt>
    <dgm:pt modelId="{41823F67-E2C5-4EE3-BE8A-C379ADB360BA}" type="pres">
      <dgm:prSet presAssocID="{87D72050-CEE8-416A-B346-94E6EE0E9A52}" presName="node" presStyleLbl="node1" presStyleIdx="2" presStyleCnt="11" custScaleX="155434" custScaleY="136731">
        <dgm:presLayoutVars>
          <dgm:bulletEnabled val="1"/>
        </dgm:presLayoutVars>
      </dgm:prSet>
      <dgm:spPr/>
    </dgm:pt>
    <dgm:pt modelId="{E0738BEE-1D8C-4E06-9314-C78FB02902A0}" type="pres">
      <dgm:prSet presAssocID="{8E1A6B55-3C88-4608-BB78-1DFF3CD54E4A}" presName="sibTrans" presStyleLbl="sibTrans1D1" presStyleIdx="2" presStyleCnt="10"/>
      <dgm:spPr/>
    </dgm:pt>
    <dgm:pt modelId="{C560FB9C-0549-4ADC-9A96-94E2C258A8BE}" type="pres">
      <dgm:prSet presAssocID="{8E1A6B55-3C88-4608-BB78-1DFF3CD54E4A}" presName="connectorText" presStyleLbl="sibTrans1D1" presStyleIdx="2" presStyleCnt="10"/>
      <dgm:spPr/>
    </dgm:pt>
    <dgm:pt modelId="{FF8F4CF5-2546-4240-9F68-3203B7E0B1E4}" type="pres">
      <dgm:prSet presAssocID="{D1D46BF8-33AD-4FF1-9F26-F03E3E74105D}" presName="node" presStyleLbl="node1" presStyleIdx="3" presStyleCnt="11" custScaleX="125793" custScaleY="140100">
        <dgm:presLayoutVars>
          <dgm:bulletEnabled val="1"/>
        </dgm:presLayoutVars>
      </dgm:prSet>
      <dgm:spPr/>
    </dgm:pt>
    <dgm:pt modelId="{430564B6-7C02-477A-8D8A-42E330C63F7E}" type="pres">
      <dgm:prSet presAssocID="{ED47910C-ABD5-4EF4-BAE0-B2AC1F3F0AB4}" presName="sibTrans" presStyleLbl="sibTrans1D1" presStyleIdx="3" presStyleCnt="10"/>
      <dgm:spPr/>
    </dgm:pt>
    <dgm:pt modelId="{70191093-31B7-4574-BDAC-EFC1A002E6C2}" type="pres">
      <dgm:prSet presAssocID="{ED47910C-ABD5-4EF4-BAE0-B2AC1F3F0AB4}" presName="connectorText" presStyleLbl="sibTrans1D1" presStyleIdx="3" presStyleCnt="10"/>
      <dgm:spPr/>
    </dgm:pt>
    <dgm:pt modelId="{82FC8F4D-1ADF-406B-B07B-B862EF24AC94}" type="pres">
      <dgm:prSet presAssocID="{25DEB9B1-1EC4-4E17-B821-B708CD7EEE18}" presName="node" presStyleLbl="node1" presStyleIdx="4" presStyleCnt="11" custScaleX="133315" custScaleY="136731" custLinFactNeighborX="-945">
        <dgm:presLayoutVars>
          <dgm:bulletEnabled val="1"/>
        </dgm:presLayoutVars>
      </dgm:prSet>
      <dgm:spPr/>
    </dgm:pt>
    <dgm:pt modelId="{EAC94A59-DBAB-4497-B1DE-E9C8789F54DD}" type="pres">
      <dgm:prSet presAssocID="{F2379070-CD84-425D-887A-E937D1F9865E}" presName="sibTrans" presStyleLbl="sibTrans1D1" presStyleIdx="4" presStyleCnt="10"/>
      <dgm:spPr/>
    </dgm:pt>
    <dgm:pt modelId="{7175F199-235A-44DA-A96A-436E86763E63}" type="pres">
      <dgm:prSet presAssocID="{F2379070-CD84-425D-887A-E937D1F9865E}" presName="connectorText" presStyleLbl="sibTrans1D1" presStyleIdx="4" presStyleCnt="10"/>
      <dgm:spPr/>
    </dgm:pt>
    <dgm:pt modelId="{DA2AEAB9-13A0-4192-8132-149C32DE171E}" type="pres">
      <dgm:prSet presAssocID="{CA65FE90-ED43-4AE5-AAAD-C663D520A273}" presName="node" presStyleLbl="node1" presStyleIdx="5" presStyleCnt="11" custScaleX="168465">
        <dgm:presLayoutVars>
          <dgm:bulletEnabled val="1"/>
        </dgm:presLayoutVars>
      </dgm:prSet>
      <dgm:spPr/>
    </dgm:pt>
    <dgm:pt modelId="{7D3A9FDA-9D2B-42A3-98BB-717411E44F34}" type="pres">
      <dgm:prSet presAssocID="{7D781E4C-9EBA-4EC5-B925-BA0EAAA4F79A}" presName="sibTrans" presStyleLbl="sibTrans1D1" presStyleIdx="5" presStyleCnt="10"/>
      <dgm:spPr/>
    </dgm:pt>
    <dgm:pt modelId="{C66F1FD2-B821-4759-99B4-C168B9FA2556}" type="pres">
      <dgm:prSet presAssocID="{7D781E4C-9EBA-4EC5-B925-BA0EAAA4F79A}" presName="connectorText" presStyleLbl="sibTrans1D1" presStyleIdx="5" presStyleCnt="10"/>
      <dgm:spPr/>
    </dgm:pt>
    <dgm:pt modelId="{B1823942-259B-405D-8ADD-E28454CF69AC}" type="pres">
      <dgm:prSet presAssocID="{8FF6CAE9-CE77-415A-944B-2E725939DDE6}" presName="node" presStyleLbl="node1" presStyleIdx="6" presStyleCnt="11" custScaleX="118998" custScaleY="149683">
        <dgm:presLayoutVars>
          <dgm:bulletEnabled val="1"/>
        </dgm:presLayoutVars>
      </dgm:prSet>
      <dgm:spPr/>
    </dgm:pt>
    <dgm:pt modelId="{CEE01C90-BDFA-45E3-B78E-9A70425D43E0}" type="pres">
      <dgm:prSet presAssocID="{4B863D6E-106A-4E88-B155-A9370C6A1124}" presName="sibTrans" presStyleLbl="sibTrans1D1" presStyleIdx="6" presStyleCnt="10"/>
      <dgm:spPr/>
    </dgm:pt>
    <dgm:pt modelId="{D05B7799-4417-4BF9-87E0-D7AC0932F13F}" type="pres">
      <dgm:prSet presAssocID="{4B863D6E-106A-4E88-B155-A9370C6A1124}" presName="connectorText" presStyleLbl="sibTrans1D1" presStyleIdx="6" presStyleCnt="10"/>
      <dgm:spPr/>
    </dgm:pt>
    <dgm:pt modelId="{76FEF379-43A9-4246-8D67-F33D012DBA47}" type="pres">
      <dgm:prSet presAssocID="{34A1A675-D7A4-482A-9C2E-09A6D9263B02}" presName="node" presStyleLbl="node1" presStyleIdx="7" presStyleCnt="11" custScaleX="154807" custScaleY="86017">
        <dgm:presLayoutVars>
          <dgm:bulletEnabled val="1"/>
        </dgm:presLayoutVars>
      </dgm:prSet>
      <dgm:spPr/>
    </dgm:pt>
    <dgm:pt modelId="{9A8BA288-5C07-4EA4-BDEE-1E838E604DB9}" type="pres">
      <dgm:prSet presAssocID="{FB01E1E9-F079-47CF-81B0-D46B6DE69CD8}" presName="sibTrans" presStyleLbl="sibTrans1D1" presStyleIdx="7" presStyleCnt="10"/>
      <dgm:spPr/>
    </dgm:pt>
    <dgm:pt modelId="{11CEB96F-AAAC-47D6-BFC3-79AB5B558246}" type="pres">
      <dgm:prSet presAssocID="{FB01E1E9-F079-47CF-81B0-D46B6DE69CD8}" presName="connectorText" presStyleLbl="sibTrans1D1" presStyleIdx="7" presStyleCnt="10"/>
      <dgm:spPr/>
    </dgm:pt>
    <dgm:pt modelId="{B4B846E3-05BB-4235-BDA6-21FEA2C0AEBB}" type="pres">
      <dgm:prSet presAssocID="{32CC1B4D-5168-4791-8984-3A69CA2C622E}" presName="node" presStyleLbl="node1" presStyleIdx="8" presStyleCnt="11" custScaleX="162785" custScaleY="92316">
        <dgm:presLayoutVars>
          <dgm:bulletEnabled val="1"/>
        </dgm:presLayoutVars>
      </dgm:prSet>
      <dgm:spPr/>
    </dgm:pt>
    <dgm:pt modelId="{9C49916D-A851-4EC5-97A5-C812305965A0}" type="pres">
      <dgm:prSet presAssocID="{605EB059-3D01-4FE9-8880-31E63C759B56}" presName="sibTrans" presStyleLbl="sibTrans1D1" presStyleIdx="8" presStyleCnt="10"/>
      <dgm:spPr/>
    </dgm:pt>
    <dgm:pt modelId="{44669C75-0E7F-4063-877F-13A21AF8983D}" type="pres">
      <dgm:prSet presAssocID="{605EB059-3D01-4FE9-8880-31E63C759B56}" presName="connectorText" presStyleLbl="sibTrans1D1" presStyleIdx="8" presStyleCnt="10"/>
      <dgm:spPr/>
    </dgm:pt>
    <dgm:pt modelId="{06938959-FF38-429E-9021-49CEC2132F15}" type="pres">
      <dgm:prSet presAssocID="{2155AFDF-70D4-40C5-B2EB-AA73264F54EE}" presName="node" presStyleLbl="node1" presStyleIdx="9" presStyleCnt="11" custScaleX="133741" custScaleY="95680">
        <dgm:presLayoutVars>
          <dgm:bulletEnabled val="1"/>
        </dgm:presLayoutVars>
      </dgm:prSet>
      <dgm:spPr/>
    </dgm:pt>
    <dgm:pt modelId="{42AAC4AD-0CB8-4D79-B8A5-9D0119C12FF1}" type="pres">
      <dgm:prSet presAssocID="{644EEE96-4374-42E2-8142-02AA3263E647}" presName="sibTrans" presStyleLbl="sibTrans1D1" presStyleIdx="9" presStyleCnt="10"/>
      <dgm:spPr/>
    </dgm:pt>
    <dgm:pt modelId="{DDF6F8BC-ADBA-4826-88FB-D7EE2C21AB70}" type="pres">
      <dgm:prSet presAssocID="{644EEE96-4374-42E2-8142-02AA3263E647}" presName="connectorText" presStyleLbl="sibTrans1D1" presStyleIdx="9" presStyleCnt="10"/>
      <dgm:spPr/>
    </dgm:pt>
    <dgm:pt modelId="{57393277-FCE5-43D0-850F-D5798E852302}" type="pres">
      <dgm:prSet presAssocID="{8248AD48-14DA-46FC-B9AF-0343A17DFC56}" presName="node" presStyleLbl="node1" presStyleIdx="10" presStyleCnt="11" custScaleX="132177" custScaleY="101820">
        <dgm:presLayoutVars>
          <dgm:bulletEnabled val="1"/>
        </dgm:presLayoutVars>
      </dgm:prSet>
      <dgm:spPr/>
    </dgm:pt>
  </dgm:ptLst>
  <dgm:cxnLst>
    <dgm:cxn modelId="{F51F1203-825E-4F77-A3F5-333AC3767C5F}" srcId="{3622E1C9-9E85-4E09-8F31-EAC42F453300}" destId="{D1D46BF8-33AD-4FF1-9F26-F03E3E74105D}" srcOrd="3" destOrd="0" parTransId="{1B218793-2964-4311-BBC4-EB3A9AD59081}" sibTransId="{ED47910C-ABD5-4EF4-BAE0-B2AC1F3F0AB4}"/>
    <dgm:cxn modelId="{84B04F10-B8B5-4CB2-A1B9-1E53877E86E6}" type="presOf" srcId="{F2379070-CD84-425D-887A-E937D1F9865E}" destId="{EAC94A59-DBAB-4497-B1DE-E9C8789F54DD}" srcOrd="0" destOrd="0" presId="urn:microsoft.com/office/officeart/2005/8/layout/bProcess3"/>
    <dgm:cxn modelId="{44FA2F15-F65E-44ED-A975-E0F72134C865}" srcId="{3622E1C9-9E85-4E09-8F31-EAC42F453300}" destId="{25DEB9B1-1EC4-4E17-B821-B708CD7EEE18}" srcOrd="4" destOrd="0" parTransId="{78760227-29B3-4704-85F4-951126F403B5}" sibTransId="{F2379070-CD84-425D-887A-E937D1F9865E}"/>
    <dgm:cxn modelId="{8488D22D-B34B-4DB9-9517-50F74D59A80F}" srcId="{3622E1C9-9E85-4E09-8F31-EAC42F453300}" destId="{34A1A675-D7A4-482A-9C2E-09A6D9263B02}" srcOrd="7" destOrd="0" parTransId="{928F41B0-7013-44A8-A4E3-529FE161788D}" sibTransId="{FB01E1E9-F079-47CF-81B0-D46B6DE69CD8}"/>
    <dgm:cxn modelId="{7E9C7D33-5795-4332-8A2B-16B8395DB173}" type="presOf" srcId="{7D781E4C-9EBA-4EC5-B925-BA0EAAA4F79A}" destId="{C66F1FD2-B821-4759-99B4-C168B9FA2556}" srcOrd="1" destOrd="0" presId="urn:microsoft.com/office/officeart/2005/8/layout/bProcess3"/>
    <dgm:cxn modelId="{8003FB34-4E9A-4910-9D8D-E44168BFD988}" srcId="{3622E1C9-9E85-4E09-8F31-EAC42F453300}" destId="{9AADB7B8-DBCC-4353-99D7-B370B2505A33}" srcOrd="0" destOrd="0" parTransId="{7AF2897C-8A8E-4A2E-8835-773A41AB15C6}" sibTransId="{0A87EFCC-2F67-475E-952A-DF265ACB08CD}"/>
    <dgm:cxn modelId="{93B3A861-D2A7-4E34-B37C-77BEAEDE213B}" type="presOf" srcId="{605EB059-3D01-4FE9-8880-31E63C759B56}" destId="{44669C75-0E7F-4063-877F-13A21AF8983D}" srcOrd="1" destOrd="0" presId="urn:microsoft.com/office/officeart/2005/8/layout/bProcess3"/>
    <dgm:cxn modelId="{D9BE0F42-6D16-4074-AAA5-CBBDD3B70A5C}" type="presOf" srcId="{4B863D6E-106A-4E88-B155-A9370C6A1124}" destId="{CEE01C90-BDFA-45E3-B78E-9A70425D43E0}" srcOrd="0" destOrd="0" presId="urn:microsoft.com/office/officeart/2005/8/layout/bProcess3"/>
    <dgm:cxn modelId="{D9EF6C62-0F36-4654-8A4F-7AD8EADC8D8B}" srcId="{3622E1C9-9E85-4E09-8F31-EAC42F453300}" destId="{CA65FE90-ED43-4AE5-AAAD-C663D520A273}" srcOrd="5" destOrd="0" parTransId="{26A51175-7D9F-4197-A605-851BE4D4D22E}" sibTransId="{7D781E4C-9EBA-4EC5-B925-BA0EAAA4F79A}"/>
    <dgm:cxn modelId="{A23D5464-85DC-49FC-AF4F-1F11FF4B69C4}" type="presOf" srcId="{FB01E1E9-F079-47CF-81B0-D46B6DE69CD8}" destId="{11CEB96F-AAAC-47D6-BFC3-79AB5B558246}" srcOrd="1" destOrd="0" presId="urn:microsoft.com/office/officeart/2005/8/layout/bProcess3"/>
    <dgm:cxn modelId="{F9110048-82A5-496A-8725-8B53622FFA34}" type="presOf" srcId="{87D72050-CEE8-416A-B346-94E6EE0E9A52}" destId="{41823F67-E2C5-4EE3-BE8A-C379ADB360BA}" srcOrd="0" destOrd="0" presId="urn:microsoft.com/office/officeart/2005/8/layout/bProcess3"/>
    <dgm:cxn modelId="{2C1A1349-2632-4C05-9B09-A97E9254C803}" srcId="{3622E1C9-9E85-4E09-8F31-EAC42F453300}" destId="{8248AD48-14DA-46FC-B9AF-0343A17DFC56}" srcOrd="10" destOrd="0" parTransId="{A45EB1AC-3D05-4CA4-A57E-2BDECCD3E708}" sibTransId="{5AC8F188-E90C-4F16-9837-A90DCF6C9C6D}"/>
    <dgm:cxn modelId="{3AAB9A4C-397B-47D8-AB95-12893C12EDD8}" srcId="{3622E1C9-9E85-4E09-8F31-EAC42F453300}" destId="{2155AFDF-70D4-40C5-B2EB-AA73264F54EE}" srcOrd="9" destOrd="0" parTransId="{17D322B0-B2C8-437C-8EA0-12D4FE2DE45C}" sibTransId="{644EEE96-4374-42E2-8142-02AA3263E647}"/>
    <dgm:cxn modelId="{0861894E-F844-4F0E-BAFB-DA5BBB919651}" type="presOf" srcId="{8248AD48-14DA-46FC-B9AF-0343A17DFC56}" destId="{57393277-FCE5-43D0-850F-D5798E852302}" srcOrd="0" destOrd="0" presId="urn:microsoft.com/office/officeart/2005/8/layout/bProcess3"/>
    <dgm:cxn modelId="{F6A28D70-F940-487F-BEE5-5BE934B68A9E}" type="presOf" srcId="{D1D46BF8-33AD-4FF1-9F26-F03E3E74105D}" destId="{FF8F4CF5-2546-4240-9F68-3203B7E0B1E4}" srcOrd="0" destOrd="0" presId="urn:microsoft.com/office/officeart/2005/8/layout/bProcess3"/>
    <dgm:cxn modelId="{FEEE2972-DF23-4D73-A7DB-4FC368989C35}" type="presOf" srcId="{3622E1C9-9E85-4E09-8F31-EAC42F453300}" destId="{7065865F-C12E-4A92-9B42-96D6680632E7}" srcOrd="0" destOrd="0" presId="urn:microsoft.com/office/officeart/2005/8/layout/bProcess3"/>
    <dgm:cxn modelId="{66C44353-A8B3-4308-AF3F-81BE3E6189F7}" type="presOf" srcId="{2155AFDF-70D4-40C5-B2EB-AA73264F54EE}" destId="{06938959-FF38-429E-9021-49CEC2132F15}" srcOrd="0" destOrd="0" presId="urn:microsoft.com/office/officeart/2005/8/layout/bProcess3"/>
    <dgm:cxn modelId="{1BA16574-5D49-409C-930E-295ACEA1B00E}" type="presOf" srcId="{4B863D6E-106A-4E88-B155-A9370C6A1124}" destId="{D05B7799-4417-4BF9-87E0-D7AC0932F13F}" srcOrd="1" destOrd="0" presId="urn:microsoft.com/office/officeart/2005/8/layout/bProcess3"/>
    <dgm:cxn modelId="{A7100677-2C8B-4C50-AB62-680E3F334842}" type="presOf" srcId="{A92C03B6-6761-4614-85CA-2325416F5A54}" destId="{719DA5B6-8C9C-464D-BB4D-59669515AE0E}" srcOrd="0" destOrd="0" presId="urn:microsoft.com/office/officeart/2005/8/layout/bProcess3"/>
    <dgm:cxn modelId="{9FEC397D-EB66-4038-AB21-806E3E6CDFC0}" type="presOf" srcId="{644EEE96-4374-42E2-8142-02AA3263E647}" destId="{42AAC4AD-0CB8-4D79-B8A5-9D0119C12FF1}" srcOrd="0" destOrd="0" presId="urn:microsoft.com/office/officeart/2005/8/layout/bProcess3"/>
    <dgm:cxn modelId="{AE02FC84-0FB2-4F2E-B06E-68DBF359FB4B}" srcId="{3622E1C9-9E85-4E09-8F31-EAC42F453300}" destId="{32CC1B4D-5168-4791-8984-3A69CA2C622E}" srcOrd="8" destOrd="0" parTransId="{4F0C1A1C-2E64-4570-BCFA-44D9F6B45C7E}" sibTransId="{605EB059-3D01-4FE9-8880-31E63C759B56}"/>
    <dgm:cxn modelId="{A9F9958C-28B5-4A6F-BD9C-3DBDD0DA123A}" srcId="{3622E1C9-9E85-4E09-8F31-EAC42F453300}" destId="{A92C03B6-6761-4614-85CA-2325416F5A54}" srcOrd="1" destOrd="0" parTransId="{45A6A3A1-2D6E-41EE-9B86-31EE64882045}" sibTransId="{E172A522-B8F0-4F32-B1DF-480670080E14}"/>
    <dgm:cxn modelId="{355DCD91-4CFC-4331-B4A9-609F9C123DF9}" type="presOf" srcId="{8FF6CAE9-CE77-415A-944B-2E725939DDE6}" destId="{B1823942-259B-405D-8ADD-E28454CF69AC}" srcOrd="0" destOrd="0" presId="urn:microsoft.com/office/officeart/2005/8/layout/bProcess3"/>
    <dgm:cxn modelId="{083BD19E-EA45-4DAD-B416-B406E820D0B4}" type="presOf" srcId="{605EB059-3D01-4FE9-8880-31E63C759B56}" destId="{9C49916D-A851-4EC5-97A5-C812305965A0}" srcOrd="0" destOrd="0" presId="urn:microsoft.com/office/officeart/2005/8/layout/bProcess3"/>
    <dgm:cxn modelId="{F549B4A9-020F-4A48-9D64-C28428B7AA52}" type="presOf" srcId="{F2379070-CD84-425D-887A-E937D1F9865E}" destId="{7175F199-235A-44DA-A96A-436E86763E63}" srcOrd="1" destOrd="0" presId="urn:microsoft.com/office/officeart/2005/8/layout/bProcess3"/>
    <dgm:cxn modelId="{8BCAFCA9-C2AD-4DF7-9745-D13E0015C733}" srcId="{3622E1C9-9E85-4E09-8F31-EAC42F453300}" destId="{87D72050-CEE8-416A-B346-94E6EE0E9A52}" srcOrd="2" destOrd="0" parTransId="{030DA34A-4AE2-40A0-8381-13DD1FA3FE14}" sibTransId="{8E1A6B55-3C88-4608-BB78-1DFF3CD54E4A}"/>
    <dgm:cxn modelId="{DDC77EAA-1319-4118-8F13-33151128B052}" type="presOf" srcId="{FB01E1E9-F079-47CF-81B0-D46B6DE69CD8}" destId="{9A8BA288-5C07-4EA4-BDEE-1E838E604DB9}" srcOrd="0" destOrd="0" presId="urn:microsoft.com/office/officeart/2005/8/layout/bProcess3"/>
    <dgm:cxn modelId="{6AAFA4AB-6995-4ED0-9D24-9F8AF8616D55}" type="presOf" srcId="{34A1A675-D7A4-482A-9C2E-09A6D9263B02}" destId="{76FEF379-43A9-4246-8D67-F33D012DBA47}" srcOrd="0" destOrd="0" presId="urn:microsoft.com/office/officeart/2005/8/layout/bProcess3"/>
    <dgm:cxn modelId="{3845E8B0-6F46-48FD-A8C8-E27CD31D31A0}" type="presOf" srcId="{E172A522-B8F0-4F32-B1DF-480670080E14}" destId="{90F4DAF9-1819-46CD-BDAB-14D1EAE63002}" srcOrd="0" destOrd="0" presId="urn:microsoft.com/office/officeart/2005/8/layout/bProcess3"/>
    <dgm:cxn modelId="{5C4624B6-75B0-4026-8DEF-BBB10EA07935}" type="presOf" srcId="{ED47910C-ABD5-4EF4-BAE0-B2AC1F3F0AB4}" destId="{70191093-31B7-4574-BDAC-EFC1A002E6C2}" srcOrd="1" destOrd="0" presId="urn:microsoft.com/office/officeart/2005/8/layout/bProcess3"/>
    <dgm:cxn modelId="{79E4DDB6-4257-4486-90B7-F134A995B7E0}" type="presOf" srcId="{25DEB9B1-1EC4-4E17-B821-B708CD7EEE18}" destId="{82FC8F4D-1ADF-406B-B07B-B862EF24AC94}" srcOrd="0" destOrd="0" presId="urn:microsoft.com/office/officeart/2005/8/layout/bProcess3"/>
    <dgm:cxn modelId="{DD0AD3B9-943A-4FAB-8BB0-C3ADB2F42113}" type="presOf" srcId="{E172A522-B8F0-4F32-B1DF-480670080E14}" destId="{D90DDC83-250D-4773-A163-876B32C2219C}" srcOrd="1" destOrd="0" presId="urn:microsoft.com/office/officeart/2005/8/layout/bProcess3"/>
    <dgm:cxn modelId="{D20545C6-755A-4C81-8955-FDCBADCC94FB}" type="presOf" srcId="{0A87EFCC-2F67-475E-952A-DF265ACB08CD}" destId="{1651A449-C6F9-44BD-A68D-508A48747121}" srcOrd="0" destOrd="0" presId="urn:microsoft.com/office/officeart/2005/8/layout/bProcess3"/>
    <dgm:cxn modelId="{069F21C7-E702-4EF7-AA02-412CD68EA9BF}" type="presOf" srcId="{8E1A6B55-3C88-4608-BB78-1DFF3CD54E4A}" destId="{E0738BEE-1D8C-4E06-9314-C78FB02902A0}" srcOrd="0" destOrd="0" presId="urn:microsoft.com/office/officeart/2005/8/layout/bProcess3"/>
    <dgm:cxn modelId="{6A3A29CF-ACE8-47D2-BF90-DC521E39C6D6}" type="presOf" srcId="{CA65FE90-ED43-4AE5-AAAD-C663D520A273}" destId="{DA2AEAB9-13A0-4192-8132-149C32DE171E}" srcOrd="0" destOrd="0" presId="urn:microsoft.com/office/officeart/2005/8/layout/bProcess3"/>
    <dgm:cxn modelId="{9900C5CF-484A-4AD0-ADBE-14D50738A1BE}" type="presOf" srcId="{7D781E4C-9EBA-4EC5-B925-BA0EAAA4F79A}" destId="{7D3A9FDA-9D2B-42A3-98BB-717411E44F34}" srcOrd="0" destOrd="0" presId="urn:microsoft.com/office/officeart/2005/8/layout/bProcess3"/>
    <dgm:cxn modelId="{26297BE8-23F8-4796-825C-5873752E589D}" type="presOf" srcId="{32CC1B4D-5168-4791-8984-3A69CA2C622E}" destId="{B4B846E3-05BB-4235-BDA6-21FEA2C0AEBB}" srcOrd="0" destOrd="0" presId="urn:microsoft.com/office/officeart/2005/8/layout/bProcess3"/>
    <dgm:cxn modelId="{AEF2D0EC-D789-4934-8423-50871ACEE288}" type="presOf" srcId="{8E1A6B55-3C88-4608-BB78-1DFF3CD54E4A}" destId="{C560FB9C-0549-4ADC-9A96-94E2C258A8BE}" srcOrd="1" destOrd="0" presId="urn:microsoft.com/office/officeart/2005/8/layout/bProcess3"/>
    <dgm:cxn modelId="{534C82F5-7472-40F5-82D2-CD7EC0A97164}" type="presOf" srcId="{644EEE96-4374-42E2-8142-02AA3263E647}" destId="{DDF6F8BC-ADBA-4826-88FB-D7EE2C21AB70}" srcOrd="1" destOrd="0" presId="urn:microsoft.com/office/officeart/2005/8/layout/bProcess3"/>
    <dgm:cxn modelId="{2DC312F6-CB0C-4578-BAF0-3977E0BB1567}" type="presOf" srcId="{9AADB7B8-DBCC-4353-99D7-B370B2505A33}" destId="{F1AE9C01-65D4-4229-AB30-E74775EAEA93}" srcOrd="0" destOrd="0" presId="urn:microsoft.com/office/officeart/2005/8/layout/bProcess3"/>
    <dgm:cxn modelId="{E51E04F7-B367-468D-9938-8D35E6188795}" type="presOf" srcId="{0A87EFCC-2F67-475E-952A-DF265ACB08CD}" destId="{5D840526-816B-4656-9294-CE7E8DACAE51}" srcOrd="1" destOrd="0" presId="urn:microsoft.com/office/officeart/2005/8/layout/bProcess3"/>
    <dgm:cxn modelId="{DA8047FB-FB4B-454F-9A75-57E60CBC7036}" srcId="{3622E1C9-9E85-4E09-8F31-EAC42F453300}" destId="{8FF6CAE9-CE77-415A-944B-2E725939DDE6}" srcOrd="6" destOrd="0" parTransId="{0EE35738-502D-4B2A-8A66-560759716524}" sibTransId="{4B863D6E-106A-4E88-B155-A9370C6A1124}"/>
    <dgm:cxn modelId="{F83074FB-F8C0-4BAD-83E6-997132E45AA3}" type="presOf" srcId="{ED47910C-ABD5-4EF4-BAE0-B2AC1F3F0AB4}" destId="{430564B6-7C02-477A-8D8A-42E330C63F7E}" srcOrd="0" destOrd="0" presId="urn:microsoft.com/office/officeart/2005/8/layout/bProcess3"/>
    <dgm:cxn modelId="{051B3388-0F3B-46C0-8020-E4B333818621}" type="presParOf" srcId="{7065865F-C12E-4A92-9B42-96D6680632E7}" destId="{F1AE9C01-65D4-4229-AB30-E74775EAEA93}" srcOrd="0" destOrd="0" presId="urn:microsoft.com/office/officeart/2005/8/layout/bProcess3"/>
    <dgm:cxn modelId="{715E2DDD-609D-4537-AC7C-350C1BFC6746}" type="presParOf" srcId="{7065865F-C12E-4A92-9B42-96D6680632E7}" destId="{1651A449-C6F9-44BD-A68D-508A48747121}" srcOrd="1" destOrd="0" presId="urn:microsoft.com/office/officeart/2005/8/layout/bProcess3"/>
    <dgm:cxn modelId="{0B9DE0CB-2089-453A-A4C0-C5F25EE01B16}" type="presParOf" srcId="{1651A449-C6F9-44BD-A68D-508A48747121}" destId="{5D840526-816B-4656-9294-CE7E8DACAE51}" srcOrd="0" destOrd="0" presId="urn:microsoft.com/office/officeart/2005/8/layout/bProcess3"/>
    <dgm:cxn modelId="{6A411079-DB3C-4BDD-BA5E-C0AC781F6A21}" type="presParOf" srcId="{7065865F-C12E-4A92-9B42-96D6680632E7}" destId="{719DA5B6-8C9C-464D-BB4D-59669515AE0E}" srcOrd="2" destOrd="0" presId="urn:microsoft.com/office/officeart/2005/8/layout/bProcess3"/>
    <dgm:cxn modelId="{D07B2AA3-4EBF-43F2-AAE8-8622BFC0E0F6}" type="presParOf" srcId="{7065865F-C12E-4A92-9B42-96D6680632E7}" destId="{90F4DAF9-1819-46CD-BDAB-14D1EAE63002}" srcOrd="3" destOrd="0" presId="urn:microsoft.com/office/officeart/2005/8/layout/bProcess3"/>
    <dgm:cxn modelId="{AF1DD8BF-7894-4E9D-BC92-4EEC92E74432}" type="presParOf" srcId="{90F4DAF9-1819-46CD-BDAB-14D1EAE63002}" destId="{D90DDC83-250D-4773-A163-876B32C2219C}" srcOrd="0" destOrd="0" presId="urn:microsoft.com/office/officeart/2005/8/layout/bProcess3"/>
    <dgm:cxn modelId="{C071CF6D-E05F-42F9-8973-B3707066AEEF}" type="presParOf" srcId="{7065865F-C12E-4A92-9B42-96D6680632E7}" destId="{41823F67-E2C5-4EE3-BE8A-C379ADB360BA}" srcOrd="4" destOrd="0" presId="urn:microsoft.com/office/officeart/2005/8/layout/bProcess3"/>
    <dgm:cxn modelId="{5927832B-B45A-46EE-9A16-6D7B4FA5176C}" type="presParOf" srcId="{7065865F-C12E-4A92-9B42-96D6680632E7}" destId="{E0738BEE-1D8C-4E06-9314-C78FB02902A0}" srcOrd="5" destOrd="0" presId="urn:microsoft.com/office/officeart/2005/8/layout/bProcess3"/>
    <dgm:cxn modelId="{E2CB973C-3466-4E23-844C-A231ED466564}" type="presParOf" srcId="{E0738BEE-1D8C-4E06-9314-C78FB02902A0}" destId="{C560FB9C-0549-4ADC-9A96-94E2C258A8BE}" srcOrd="0" destOrd="0" presId="urn:microsoft.com/office/officeart/2005/8/layout/bProcess3"/>
    <dgm:cxn modelId="{DDD60B9E-B520-4897-99B9-4EB83012CDBE}" type="presParOf" srcId="{7065865F-C12E-4A92-9B42-96D6680632E7}" destId="{FF8F4CF5-2546-4240-9F68-3203B7E0B1E4}" srcOrd="6" destOrd="0" presId="urn:microsoft.com/office/officeart/2005/8/layout/bProcess3"/>
    <dgm:cxn modelId="{3DCC56CE-69D1-449C-B829-443F695F9104}" type="presParOf" srcId="{7065865F-C12E-4A92-9B42-96D6680632E7}" destId="{430564B6-7C02-477A-8D8A-42E330C63F7E}" srcOrd="7" destOrd="0" presId="urn:microsoft.com/office/officeart/2005/8/layout/bProcess3"/>
    <dgm:cxn modelId="{39800A67-2C36-45E3-AAE8-8184F6C95BDF}" type="presParOf" srcId="{430564B6-7C02-477A-8D8A-42E330C63F7E}" destId="{70191093-31B7-4574-BDAC-EFC1A002E6C2}" srcOrd="0" destOrd="0" presId="urn:microsoft.com/office/officeart/2005/8/layout/bProcess3"/>
    <dgm:cxn modelId="{EFEC38BE-DC10-4F42-BB02-D66433849BD3}" type="presParOf" srcId="{7065865F-C12E-4A92-9B42-96D6680632E7}" destId="{82FC8F4D-1ADF-406B-B07B-B862EF24AC94}" srcOrd="8" destOrd="0" presId="urn:microsoft.com/office/officeart/2005/8/layout/bProcess3"/>
    <dgm:cxn modelId="{69495617-E788-44A7-9DE7-10F2ED079357}" type="presParOf" srcId="{7065865F-C12E-4A92-9B42-96D6680632E7}" destId="{EAC94A59-DBAB-4497-B1DE-E9C8789F54DD}" srcOrd="9" destOrd="0" presId="urn:microsoft.com/office/officeart/2005/8/layout/bProcess3"/>
    <dgm:cxn modelId="{B4A8AF03-5320-4784-A939-F09B337FEB7E}" type="presParOf" srcId="{EAC94A59-DBAB-4497-B1DE-E9C8789F54DD}" destId="{7175F199-235A-44DA-A96A-436E86763E63}" srcOrd="0" destOrd="0" presId="urn:microsoft.com/office/officeart/2005/8/layout/bProcess3"/>
    <dgm:cxn modelId="{A926846D-9FA2-4095-8C64-2425A538CC01}" type="presParOf" srcId="{7065865F-C12E-4A92-9B42-96D6680632E7}" destId="{DA2AEAB9-13A0-4192-8132-149C32DE171E}" srcOrd="10" destOrd="0" presId="urn:microsoft.com/office/officeart/2005/8/layout/bProcess3"/>
    <dgm:cxn modelId="{6FCBEE4A-88C2-483D-9855-C5CC88820BF8}" type="presParOf" srcId="{7065865F-C12E-4A92-9B42-96D6680632E7}" destId="{7D3A9FDA-9D2B-42A3-98BB-717411E44F34}" srcOrd="11" destOrd="0" presId="urn:microsoft.com/office/officeart/2005/8/layout/bProcess3"/>
    <dgm:cxn modelId="{C419DDFA-3E58-450D-B493-8BED160B35E8}" type="presParOf" srcId="{7D3A9FDA-9D2B-42A3-98BB-717411E44F34}" destId="{C66F1FD2-B821-4759-99B4-C168B9FA2556}" srcOrd="0" destOrd="0" presId="urn:microsoft.com/office/officeart/2005/8/layout/bProcess3"/>
    <dgm:cxn modelId="{7B93AFD7-5A89-4770-A6B2-7BCFA3130D9B}" type="presParOf" srcId="{7065865F-C12E-4A92-9B42-96D6680632E7}" destId="{B1823942-259B-405D-8ADD-E28454CF69AC}" srcOrd="12" destOrd="0" presId="urn:microsoft.com/office/officeart/2005/8/layout/bProcess3"/>
    <dgm:cxn modelId="{986328A8-3FCD-4B80-9AF0-E0F661F27A1F}" type="presParOf" srcId="{7065865F-C12E-4A92-9B42-96D6680632E7}" destId="{CEE01C90-BDFA-45E3-B78E-9A70425D43E0}" srcOrd="13" destOrd="0" presId="urn:microsoft.com/office/officeart/2005/8/layout/bProcess3"/>
    <dgm:cxn modelId="{2923A909-5019-41CB-A899-BD03DC57A31E}" type="presParOf" srcId="{CEE01C90-BDFA-45E3-B78E-9A70425D43E0}" destId="{D05B7799-4417-4BF9-87E0-D7AC0932F13F}" srcOrd="0" destOrd="0" presId="urn:microsoft.com/office/officeart/2005/8/layout/bProcess3"/>
    <dgm:cxn modelId="{FD01F430-E16E-4925-859F-10530A03EA1D}" type="presParOf" srcId="{7065865F-C12E-4A92-9B42-96D6680632E7}" destId="{76FEF379-43A9-4246-8D67-F33D012DBA47}" srcOrd="14" destOrd="0" presId="urn:microsoft.com/office/officeart/2005/8/layout/bProcess3"/>
    <dgm:cxn modelId="{E3C613CF-2E32-4664-B91B-185D9F639D42}" type="presParOf" srcId="{7065865F-C12E-4A92-9B42-96D6680632E7}" destId="{9A8BA288-5C07-4EA4-BDEE-1E838E604DB9}" srcOrd="15" destOrd="0" presId="urn:microsoft.com/office/officeart/2005/8/layout/bProcess3"/>
    <dgm:cxn modelId="{2B4DC837-958C-4E5B-8F50-CA2FCBBFCE07}" type="presParOf" srcId="{9A8BA288-5C07-4EA4-BDEE-1E838E604DB9}" destId="{11CEB96F-AAAC-47D6-BFC3-79AB5B558246}" srcOrd="0" destOrd="0" presId="urn:microsoft.com/office/officeart/2005/8/layout/bProcess3"/>
    <dgm:cxn modelId="{9DC3A4AD-4B11-4F0D-B013-F54A3C8E2C59}" type="presParOf" srcId="{7065865F-C12E-4A92-9B42-96D6680632E7}" destId="{B4B846E3-05BB-4235-BDA6-21FEA2C0AEBB}" srcOrd="16" destOrd="0" presId="urn:microsoft.com/office/officeart/2005/8/layout/bProcess3"/>
    <dgm:cxn modelId="{F79F6709-C1D5-4ABB-BEFD-CBD3F10E5D7B}" type="presParOf" srcId="{7065865F-C12E-4A92-9B42-96D6680632E7}" destId="{9C49916D-A851-4EC5-97A5-C812305965A0}" srcOrd="17" destOrd="0" presId="urn:microsoft.com/office/officeart/2005/8/layout/bProcess3"/>
    <dgm:cxn modelId="{8922BECB-62BC-4862-BE57-1F4C92F7E0C8}" type="presParOf" srcId="{9C49916D-A851-4EC5-97A5-C812305965A0}" destId="{44669C75-0E7F-4063-877F-13A21AF8983D}" srcOrd="0" destOrd="0" presId="urn:microsoft.com/office/officeart/2005/8/layout/bProcess3"/>
    <dgm:cxn modelId="{A83A9EB3-A281-4A8A-A350-A23C9F666062}" type="presParOf" srcId="{7065865F-C12E-4A92-9B42-96D6680632E7}" destId="{06938959-FF38-429E-9021-49CEC2132F15}" srcOrd="18" destOrd="0" presId="urn:microsoft.com/office/officeart/2005/8/layout/bProcess3"/>
    <dgm:cxn modelId="{07971C3C-8565-4634-B1BF-8DEE1D67FAD0}" type="presParOf" srcId="{7065865F-C12E-4A92-9B42-96D6680632E7}" destId="{42AAC4AD-0CB8-4D79-B8A5-9D0119C12FF1}" srcOrd="19" destOrd="0" presId="urn:microsoft.com/office/officeart/2005/8/layout/bProcess3"/>
    <dgm:cxn modelId="{32CA4E69-7631-4EA5-9F62-CA7B7F046534}" type="presParOf" srcId="{42AAC4AD-0CB8-4D79-B8A5-9D0119C12FF1}" destId="{DDF6F8BC-ADBA-4826-88FB-D7EE2C21AB70}" srcOrd="0" destOrd="0" presId="urn:microsoft.com/office/officeart/2005/8/layout/bProcess3"/>
    <dgm:cxn modelId="{0E118500-095D-4C2B-9570-C822B380F8A0}" type="presParOf" srcId="{7065865F-C12E-4A92-9B42-96D6680632E7}" destId="{57393277-FCE5-43D0-850F-D5798E852302}" srcOrd="20"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06BAE5-96B8-4671-880F-A9BCBBA3D174}" type="doc">
      <dgm:prSet loTypeId="urn:microsoft.com/office/officeart/2005/8/layout/vList3" loCatId="list" qsTypeId="urn:microsoft.com/office/officeart/2005/8/quickstyle/simple1" qsCatId="simple" csTypeId="urn:microsoft.com/office/officeart/2005/8/colors/accent2_1" csCatId="accent2" phldr="1"/>
      <dgm:spPr/>
      <dgm:t>
        <a:bodyPr/>
        <a:lstStyle/>
        <a:p>
          <a:endParaRPr lang="en-US"/>
        </a:p>
      </dgm:t>
    </dgm:pt>
    <dgm:pt modelId="{0CE8A5EF-35DE-49F3-8F5D-19540C9A23B1}">
      <dgm:prSet/>
      <dgm:spPr>
        <a:xfrm rot="10800000">
          <a:off x="655806" y="159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Block diagram</a:t>
          </a:r>
        </a:p>
      </dgm:t>
    </dgm:pt>
    <dgm:pt modelId="{EC718D26-BA94-4074-9366-58FF5C7ACAF2}" type="parTrans" cxnId="{2B346E68-8BAB-4316-BFB6-79694D7D39A4}">
      <dgm:prSet/>
      <dgm:spPr/>
      <dgm:t>
        <a:bodyPr/>
        <a:lstStyle/>
        <a:p>
          <a:pPr algn="ctr"/>
          <a:endParaRPr lang="en-US" b="1">
            <a:latin typeface="Times New Roman" panose="02020603050405020304" pitchFamily="18" charset="0"/>
            <a:cs typeface="Times New Roman" panose="02020603050405020304" pitchFamily="18" charset="0"/>
          </a:endParaRPr>
        </a:p>
      </dgm:t>
    </dgm:pt>
    <dgm:pt modelId="{29D6789D-5664-4648-A079-17B1CE168A99}" type="sibTrans" cxnId="{2B346E68-8BAB-4316-BFB6-79694D7D39A4}">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993EB5-4497-44E5-B341-1AA5A3154EED}">
      <dgm:prSet/>
      <dgm:spPr>
        <a:xfrm rot="10800000">
          <a:off x="655806" y="213704"/>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circuit diagram</a:t>
          </a:r>
        </a:p>
      </dgm:t>
    </dgm:pt>
    <dgm:pt modelId="{021C95D7-6BD2-4853-B30C-67E0286C330D}" type="parTrans" cxnId="{0561CA65-3421-4F01-A8F1-F18BF1D058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3C5D0F72-5CC0-4E98-94DE-A21936641FF6}" type="sibTrans" cxnId="{0561CA65-3421-4F01-A8F1-F18BF1D058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13FA1AB-9592-4E7E-B4B9-CF33FC7C50DF}">
      <dgm:prSet/>
      <dgm:spPr>
        <a:xfrm rot="10800000">
          <a:off x="655806" y="425817"/>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Design</a:t>
          </a:r>
        </a:p>
      </dgm:t>
    </dgm:pt>
    <dgm:pt modelId="{41A4FB59-E881-4DBA-8BC6-55F985D8208F}" type="parTrans" cxnId="{B269B438-A30D-4D47-AB46-9E89CB71F1B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3BB0A8B-D019-422F-9EC0-A40D4682D7F5}" type="sibTrans" cxnId="{B269B438-A30D-4D47-AB46-9E89CB71F1B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AF69C09-946F-4AAD-9483-BD7E2E4B2074}">
      <dgm:prSet/>
      <dgm:spPr>
        <a:xfrm rot="10800000">
          <a:off x="655806" y="637929"/>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Preparation</a:t>
          </a:r>
        </a:p>
      </dgm:t>
    </dgm:pt>
    <dgm:pt modelId="{97EB7D3A-E784-42B9-924A-263E35693441}" type="parTrans" cxnId="{EE501E41-7D9E-42B8-9DF4-6DF54B68C6F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91D3750-736E-435E-914F-6AE4234772FD}" type="sibTrans" cxnId="{EE501E41-7D9E-42B8-9DF4-6DF54B68C6F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A3A413-C341-4F5F-A274-0C93D953B223}">
      <dgm:prSet/>
      <dgm:spPr>
        <a:xfrm rot="10800000">
          <a:off x="655806" y="85004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Etching</a:t>
          </a:r>
        </a:p>
      </dgm:t>
    </dgm:pt>
    <dgm:pt modelId="{3673A45B-B5CE-460C-B146-83D570AFA2F4}" type="parTrans" cxnId="{43DAA9CA-08B9-4B59-9EFD-B7C47F189DE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41630D66-9DD9-4184-A50C-2207F24726B1}" type="sibTrans" cxnId="{43DAA9CA-08B9-4B59-9EFD-B7C47F189DEE}">
      <dgm:prSet/>
      <dgm:spPr/>
      <dgm:t>
        <a:bodyPr/>
        <a:lstStyle/>
        <a:p>
          <a:pPr algn="ctr"/>
          <a:endParaRPr lang="en-US" b="1">
            <a:latin typeface="Times New Roman" panose="02020603050405020304" pitchFamily="18" charset="0"/>
            <a:cs typeface="Times New Roman" panose="02020603050405020304" pitchFamily="18" charset="0"/>
          </a:endParaRPr>
        </a:p>
      </dgm:t>
    </dgm:pt>
    <dgm:pt modelId="{91974F5F-2147-44DD-81E1-BE4D701385C4}">
      <dgm:prSet/>
      <dgm:spPr>
        <a:xfrm rot="10800000">
          <a:off x="655806" y="1062155"/>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Assembling</a:t>
          </a:r>
        </a:p>
      </dgm:t>
    </dgm:pt>
    <dgm:pt modelId="{3D6507D3-E789-4638-8B10-4E29813A12B8}" type="parTrans" cxnId="{1E02ED14-392F-413D-A4AF-B366B6CEB21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BD5D844A-6DDD-4927-B65C-0442AE6D5C32}" type="sibTrans" cxnId="{1E02ED14-392F-413D-A4AF-B366B6CEB21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56E707B3-7906-4454-91E4-7E3EBE691920}">
      <dgm:prSet/>
      <dgm:spPr>
        <a:xfrm rot="10800000">
          <a:off x="655806" y="1274267"/>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Programming</a:t>
          </a:r>
        </a:p>
      </dgm:t>
    </dgm:pt>
    <dgm:pt modelId="{96C0340C-58C0-4D89-B7AC-261A947A990C}" type="parTrans" cxnId="{7FE74712-237D-4A11-9EC4-BC7FD0C0E3C3}">
      <dgm:prSet/>
      <dgm:spPr/>
      <dgm:t>
        <a:bodyPr/>
        <a:lstStyle/>
        <a:p>
          <a:pPr algn="ctr"/>
          <a:endParaRPr lang="en-US" b="1">
            <a:latin typeface="Times New Roman" panose="02020603050405020304" pitchFamily="18" charset="0"/>
            <a:cs typeface="Times New Roman" panose="02020603050405020304" pitchFamily="18" charset="0"/>
          </a:endParaRPr>
        </a:p>
      </dgm:t>
    </dgm:pt>
    <dgm:pt modelId="{4772DAD8-E42F-4B59-A87B-65CD608747D4}" type="sibTrans" cxnId="{7FE74712-237D-4A11-9EC4-BC7FD0C0E3C3}">
      <dgm:prSet/>
      <dgm:spPr/>
      <dgm:t>
        <a:bodyPr/>
        <a:lstStyle/>
        <a:p>
          <a:pPr algn="ctr"/>
          <a:endParaRPr lang="en-US" b="1">
            <a:latin typeface="Times New Roman" panose="02020603050405020304" pitchFamily="18" charset="0"/>
            <a:cs typeface="Times New Roman" panose="02020603050405020304" pitchFamily="18" charset="0"/>
          </a:endParaRPr>
        </a:p>
      </dgm:t>
    </dgm:pt>
    <dgm:pt modelId="{A4550569-6789-4FE0-8320-D7AFECBF235D}">
      <dgm:prSet/>
      <dgm:spPr>
        <a:xfrm rot="10800000">
          <a:off x="655806" y="1486380"/>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Testing and Calibration</a:t>
          </a:r>
        </a:p>
      </dgm:t>
    </dgm:pt>
    <dgm:pt modelId="{C97CF70D-0666-4257-9F04-113A59B5616E}" type="parTrans" cxnId="{A6546EA4-1BE0-46E3-A341-E5E12428C66F}">
      <dgm:prSet/>
      <dgm:spPr/>
      <dgm:t>
        <a:bodyPr/>
        <a:lstStyle/>
        <a:p>
          <a:pPr algn="ctr"/>
          <a:endParaRPr lang="en-US" b="1">
            <a:latin typeface="Times New Roman" panose="02020603050405020304" pitchFamily="18" charset="0"/>
            <a:cs typeface="Times New Roman" panose="02020603050405020304" pitchFamily="18" charset="0"/>
          </a:endParaRPr>
        </a:p>
      </dgm:t>
    </dgm:pt>
    <dgm:pt modelId="{060BAA57-4963-41B8-B9CA-7BC4D34A0690}" type="sibTrans" cxnId="{A6546EA4-1BE0-46E3-A341-E5E12428C66F}">
      <dgm:prSet/>
      <dgm:spPr/>
      <dgm:t>
        <a:bodyPr/>
        <a:lstStyle/>
        <a:p>
          <a:pPr algn="ctr"/>
          <a:endParaRPr lang="en-US" b="1">
            <a:latin typeface="Times New Roman" panose="02020603050405020304" pitchFamily="18" charset="0"/>
            <a:cs typeface="Times New Roman" panose="02020603050405020304" pitchFamily="18" charset="0"/>
          </a:endParaRPr>
        </a:p>
      </dgm:t>
    </dgm:pt>
    <dgm:pt modelId="{0CE2CFE2-DE16-474F-A6AA-CCFA7416FE46}">
      <dgm:prSet/>
      <dgm:spPr>
        <a:xfrm rot="10800000">
          <a:off x="655806" y="1698492"/>
          <a:ext cx="2441517" cy="163351"/>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gm:spPr>
      <dgm:t>
        <a:bodyPr/>
        <a:lstStyle/>
        <a:p>
          <a:pPr algn="ctr">
            <a:buNone/>
          </a:pPr>
          <a:r>
            <a:rPr lang="en-US" b="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Installation of system</a:t>
          </a:r>
        </a:p>
      </dgm:t>
    </dgm:pt>
    <dgm:pt modelId="{A88CDB18-129A-4D20-963F-3DC827FC6B08}" type="parTrans" cxnId="{E450801A-1E01-4391-A61C-306EE0A941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F68ACC01-022F-42EA-BDDE-4EFC4889A9A0}" type="sibTrans" cxnId="{E450801A-1E01-4391-A61C-306EE0A9418D}">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1F43BA8-1AA4-4436-9A6C-C15CA33C28DF}" type="pres">
      <dgm:prSet presAssocID="{8606BAE5-96B8-4671-880F-A9BCBBA3D174}" presName="linearFlow" presStyleCnt="0">
        <dgm:presLayoutVars>
          <dgm:dir/>
          <dgm:resizeHandles val="exact"/>
        </dgm:presLayoutVars>
      </dgm:prSet>
      <dgm:spPr/>
    </dgm:pt>
    <dgm:pt modelId="{597583B6-7562-41F2-A40A-21F7A2E75D9C}" type="pres">
      <dgm:prSet presAssocID="{0CE8A5EF-35DE-49F3-8F5D-19540C9A23B1}" presName="composite" presStyleCnt="0"/>
      <dgm:spPr/>
    </dgm:pt>
    <dgm:pt modelId="{49E06637-F2FD-4AA7-A472-766CC9EC04FA}" type="pres">
      <dgm:prSet presAssocID="{0CE8A5EF-35DE-49F3-8F5D-19540C9A23B1}" presName="imgShp" presStyleLbl="fgImgPlace1" presStyleIdx="0" presStyleCnt="9"/>
      <dgm:spPr>
        <a:xfrm>
          <a:off x="574130" y="159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706E3D71-86EA-440A-991F-354072A910B8}" type="pres">
      <dgm:prSet presAssocID="{0CE8A5EF-35DE-49F3-8F5D-19540C9A23B1}" presName="txShp" presStyleLbl="node1" presStyleIdx="0" presStyleCnt="9">
        <dgm:presLayoutVars>
          <dgm:bulletEnabled val="1"/>
        </dgm:presLayoutVars>
      </dgm:prSet>
      <dgm:spPr/>
    </dgm:pt>
    <dgm:pt modelId="{A6FF3DB1-80E5-4B62-81F3-DC240FF7CDDE}" type="pres">
      <dgm:prSet presAssocID="{29D6789D-5664-4648-A079-17B1CE168A99}" presName="spacing" presStyleCnt="0"/>
      <dgm:spPr/>
    </dgm:pt>
    <dgm:pt modelId="{292DC7AE-5FC5-4D29-AD58-0E1863F099A7}" type="pres">
      <dgm:prSet presAssocID="{C1993EB5-4497-44E5-B341-1AA5A3154EED}" presName="composite" presStyleCnt="0"/>
      <dgm:spPr/>
    </dgm:pt>
    <dgm:pt modelId="{A8FA8DE2-1F89-4BD3-B85D-7849FCD840C6}" type="pres">
      <dgm:prSet presAssocID="{C1993EB5-4497-44E5-B341-1AA5A3154EED}" presName="imgShp" presStyleLbl="fgImgPlace1" presStyleIdx="1" presStyleCnt="9"/>
      <dgm:spPr>
        <a:xfrm>
          <a:off x="574130" y="213704"/>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BAC7B72-CFA6-4107-B213-E00A3B3B4C6B}" type="pres">
      <dgm:prSet presAssocID="{C1993EB5-4497-44E5-B341-1AA5A3154EED}" presName="txShp" presStyleLbl="node1" presStyleIdx="1" presStyleCnt="9">
        <dgm:presLayoutVars>
          <dgm:bulletEnabled val="1"/>
        </dgm:presLayoutVars>
      </dgm:prSet>
      <dgm:spPr/>
    </dgm:pt>
    <dgm:pt modelId="{717BA024-FB65-4C3E-80EB-8D15BE2444F7}" type="pres">
      <dgm:prSet presAssocID="{3C5D0F72-5CC0-4E98-94DE-A21936641FF6}" presName="spacing" presStyleCnt="0"/>
      <dgm:spPr/>
    </dgm:pt>
    <dgm:pt modelId="{493157C7-06F0-4B57-81FD-D37555AE9B5E}" type="pres">
      <dgm:prSet presAssocID="{913FA1AB-9592-4E7E-B4B9-CF33FC7C50DF}" presName="composite" presStyleCnt="0"/>
      <dgm:spPr/>
    </dgm:pt>
    <dgm:pt modelId="{5AD49135-F343-4305-BCB8-E365BB047697}" type="pres">
      <dgm:prSet presAssocID="{913FA1AB-9592-4E7E-B4B9-CF33FC7C50DF}" presName="imgShp" presStyleLbl="fgImgPlace1" presStyleIdx="2" presStyleCnt="9"/>
      <dgm:spPr>
        <a:xfrm>
          <a:off x="574130" y="425817"/>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1C1E1F98-DDFA-4293-98D3-09F80F5A2103}" type="pres">
      <dgm:prSet presAssocID="{913FA1AB-9592-4E7E-B4B9-CF33FC7C50DF}" presName="txShp" presStyleLbl="node1" presStyleIdx="2" presStyleCnt="9">
        <dgm:presLayoutVars>
          <dgm:bulletEnabled val="1"/>
        </dgm:presLayoutVars>
      </dgm:prSet>
      <dgm:spPr/>
    </dgm:pt>
    <dgm:pt modelId="{FBB1F40F-17BC-4FEB-A977-4248A9496EE7}" type="pres">
      <dgm:prSet presAssocID="{C3BB0A8B-D019-422F-9EC0-A40D4682D7F5}" presName="spacing" presStyleCnt="0"/>
      <dgm:spPr/>
    </dgm:pt>
    <dgm:pt modelId="{9C545A7D-1ADA-4CF5-89C6-4A5E6EC39BAF}" type="pres">
      <dgm:prSet presAssocID="{9AF69C09-946F-4AAD-9483-BD7E2E4B2074}" presName="composite" presStyleCnt="0"/>
      <dgm:spPr/>
    </dgm:pt>
    <dgm:pt modelId="{9A4999A4-B460-4E89-B297-E7879FCF1805}" type="pres">
      <dgm:prSet presAssocID="{9AF69C09-946F-4AAD-9483-BD7E2E4B2074}" presName="imgShp" presStyleLbl="fgImgPlace1" presStyleIdx="3" presStyleCnt="9"/>
      <dgm:spPr>
        <a:xfrm>
          <a:off x="574130" y="637929"/>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29D3EEA7-6BAC-4671-8E3E-AC1262AB6652}" type="pres">
      <dgm:prSet presAssocID="{9AF69C09-946F-4AAD-9483-BD7E2E4B2074}" presName="txShp" presStyleLbl="node1" presStyleIdx="3" presStyleCnt="9">
        <dgm:presLayoutVars>
          <dgm:bulletEnabled val="1"/>
        </dgm:presLayoutVars>
      </dgm:prSet>
      <dgm:spPr/>
    </dgm:pt>
    <dgm:pt modelId="{4B94790F-050B-4E96-ABB7-647A4AFB977B}" type="pres">
      <dgm:prSet presAssocID="{C91D3750-736E-435E-914F-6AE4234772FD}" presName="spacing" presStyleCnt="0"/>
      <dgm:spPr/>
    </dgm:pt>
    <dgm:pt modelId="{A333E5B4-CD70-4E33-8D31-654955F4A965}" type="pres">
      <dgm:prSet presAssocID="{C1A3A413-C341-4F5F-A274-0C93D953B223}" presName="composite" presStyleCnt="0"/>
      <dgm:spPr/>
    </dgm:pt>
    <dgm:pt modelId="{823466F8-4A37-47E1-937E-CB81DC8B1419}" type="pres">
      <dgm:prSet presAssocID="{C1A3A413-C341-4F5F-A274-0C93D953B223}" presName="imgShp" presStyleLbl="fgImgPlace1" presStyleIdx="4" presStyleCnt="9"/>
      <dgm:spPr>
        <a:xfrm>
          <a:off x="574130" y="85004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6A8E1CC5-204A-490F-A341-B4F08C2D4386}" type="pres">
      <dgm:prSet presAssocID="{C1A3A413-C341-4F5F-A274-0C93D953B223}" presName="txShp" presStyleLbl="node1" presStyleIdx="4" presStyleCnt="9">
        <dgm:presLayoutVars>
          <dgm:bulletEnabled val="1"/>
        </dgm:presLayoutVars>
      </dgm:prSet>
      <dgm:spPr/>
    </dgm:pt>
    <dgm:pt modelId="{F78BA64E-5824-487D-8F6C-450F9F11A5F4}" type="pres">
      <dgm:prSet presAssocID="{41630D66-9DD9-4184-A50C-2207F24726B1}" presName="spacing" presStyleCnt="0"/>
      <dgm:spPr/>
    </dgm:pt>
    <dgm:pt modelId="{7A37AF7F-5B0C-4649-9233-F91B8358C556}" type="pres">
      <dgm:prSet presAssocID="{91974F5F-2147-44DD-81E1-BE4D701385C4}" presName="composite" presStyleCnt="0"/>
      <dgm:spPr/>
    </dgm:pt>
    <dgm:pt modelId="{48FCD693-2773-492E-8E7F-D0D73180110B}" type="pres">
      <dgm:prSet presAssocID="{91974F5F-2147-44DD-81E1-BE4D701385C4}" presName="imgShp" presStyleLbl="fgImgPlace1" presStyleIdx="5" presStyleCnt="9"/>
      <dgm:spPr>
        <a:xfrm>
          <a:off x="574130" y="1062155"/>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A7C7B2CF-AE1C-4655-AFEC-515DB70CCD4E}" type="pres">
      <dgm:prSet presAssocID="{91974F5F-2147-44DD-81E1-BE4D701385C4}" presName="txShp" presStyleLbl="node1" presStyleIdx="5" presStyleCnt="9">
        <dgm:presLayoutVars>
          <dgm:bulletEnabled val="1"/>
        </dgm:presLayoutVars>
      </dgm:prSet>
      <dgm:spPr/>
    </dgm:pt>
    <dgm:pt modelId="{D15AE2CD-D9EE-4F6F-A4CA-C5CAA28BEA5A}" type="pres">
      <dgm:prSet presAssocID="{BD5D844A-6DDD-4927-B65C-0442AE6D5C32}" presName="spacing" presStyleCnt="0"/>
      <dgm:spPr/>
    </dgm:pt>
    <dgm:pt modelId="{6A366099-4B63-40AE-884E-66CDE1DB4B8A}" type="pres">
      <dgm:prSet presAssocID="{56E707B3-7906-4454-91E4-7E3EBE691920}" presName="composite" presStyleCnt="0"/>
      <dgm:spPr/>
    </dgm:pt>
    <dgm:pt modelId="{5AB014A1-3868-46DD-B59B-AF7F1BB24DFB}" type="pres">
      <dgm:prSet presAssocID="{56E707B3-7906-4454-91E4-7E3EBE691920}" presName="imgShp" presStyleLbl="fgImgPlace1" presStyleIdx="6" presStyleCnt="9"/>
      <dgm:spPr>
        <a:xfrm>
          <a:off x="574130" y="1274267"/>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8648952-8E0A-4C07-A614-66C4201F5A93}" type="pres">
      <dgm:prSet presAssocID="{56E707B3-7906-4454-91E4-7E3EBE691920}" presName="txShp" presStyleLbl="node1" presStyleIdx="6" presStyleCnt="9">
        <dgm:presLayoutVars>
          <dgm:bulletEnabled val="1"/>
        </dgm:presLayoutVars>
      </dgm:prSet>
      <dgm:spPr/>
    </dgm:pt>
    <dgm:pt modelId="{4CAF1094-5D01-44B6-839C-9F97503087E1}" type="pres">
      <dgm:prSet presAssocID="{4772DAD8-E42F-4B59-A87B-65CD608747D4}" presName="spacing" presStyleCnt="0"/>
      <dgm:spPr/>
    </dgm:pt>
    <dgm:pt modelId="{2A3FE04B-CBF6-4339-B24B-4F3B51EAF6D5}" type="pres">
      <dgm:prSet presAssocID="{A4550569-6789-4FE0-8320-D7AFECBF235D}" presName="composite" presStyleCnt="0"/>
      <dgm:spPr/>
    </dgm:pt>
    <dgm:pt modelId="{D71C51D0-A7CA-4E53-BB7C-5F69EAF63715}" type="pres">
      <dgm:prSet presAssocID="{A4550569-6789-4FE0-8320-D7AFECBF235D}" presName="imgShp" presStyleLbl="fgImgPlace1" presStyleIdx="7" presStyleCnt="9"/>
      <dgm:spPr>
        <a:xfrm>
          <a:off x="574130" y="1486380"/>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3C42221F-B906-4DB9-816C-DC29E10011CC}" type="pres">
      <dgm:prSet presAssocID="{A4550569-6789-4FE0-8320-D7AFECBF235D}" presName="txShp" presStyleLbl="node1" presStyleIdx="7" presStyleCnt="9">
        <dgm:presLayoutVars>
          <dgm:bulletEnabled val="1"/>
        </dgm:presLayoutVars>
      </dgm:prSet>
      <dgm:spPr/>
    </dgm:pt>
    <dgm:pt modelId="{45D76668-4A71-404C-BC16-B2621633A611}" type="pres">
      <dgm:prSet presAssocID="{060BAA57-4963-41B8-B9CA-7BC4D34A0690}" presName="spacing" presStyleCnt="0"/>
      <dgm:spPr/>
    </dgm:pt>
    <dgm:pt modelId="{38AC992F-D59A-483F-BCA3-26E7CAF2C233}" type="pres">
      <dgm:prSet presAssocID="{0CE2CFE2-DE16-474F-A6AA-CCFA7416FE46}" presName="composite" presStyleCnt="0"/>
      <dgm:spPr/>
    </dgm:pt>
    <dgm:pt modelId="{77DCB4B0-A996-475E-9B3C-E1329D544FB3}" type="pres">
      <dgm:prSet presAssocID="{0CE2CFE2-DE16-474F-A6AA-CCFA7416FE46}" presName="imgShp" presStyleLbl="fgImgPlace1" presStyleIdx="8" presStyleCnt="9"/>
      <dgm:spPr>
        <a:xfrm>
          <a:off x="574130" y="1698492"/>
          <a:ext cx="163351" cy="163351"/>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gm:spPr>
    </dgm:pt>
    <dgm:pt modelId="{6092760A-D86C-44C2-AE81-7FC8DABEA5C6}" type="pres">
      <dgm:prSet presAssocID="{0CE2CFE2-DE16-474F-A6AA-CCFA7416FE46}" presName="txShp" presStyleLbl="node1" presStyleIdx="8" presStyleCnt="9">
        <dgm:presLayoutVars>
          <dgm:bulletEnabled val="1"/>
        </dgm:presLayoutVars>
      </dgm:prSet>
      <dgm:spPr/>
    </dgm:pt>
  </dgm:ptLst>
  <dgm:cxnLst>
    <dgm:cxn modelId="{D177160D-A5CD-4EE2-A49D-523957B3B58E}" type="presOf" srcId="{C1993EB5-4497-44E5-B341-1AA5A3154EED}" destId="{3BAC7B72-CFA6-4107-B213-E00A3B3B4C6B}" srcOrd="0" destOrd="0" presId="urn:microsoft.com/office/officeart/2005/8/layout/vList3"/>
    <dgm:cxn modelId="{1AECF70F-ED7A-4DAE-A0A6-C952CE8250EE}" type="presOf" srcId="{913FA1AB-9592-4E7E-B4B9-CF33FC7C50DF}" destId="{1C1E1F98-DDFA-4293-98D3-09F80F5A2103}" srcOrd="0" destOrd="0" presId="urn:microsoft.com/office/officeart/2005/8/layout/vList3"/>
    <dgm:cxn modelId="{7FE74712-237D-4A11-9EC4-BC7FD0C0E3C3}" srcId="{8606BAE5-96B8-4671-880F-A9BCBBA3D174}" destId="{56E707B3-7906-4454-91E4-7E3EBE691920}" srcOrd="6" destOrd="0" parTransId="{96C0340C-58C0-4D89-B7AC-261A947A990C}" sibTransId="{4772DAD8-E42F-4B59-A87B-65CD608747D4}"/>
    <dgm:cxn modelId="{1E02ED14-392F-413D-A4AF-B366B6CEB210}" srcId="{8606BAE5-96B8-4671-880F-A9BCBBA3D174}" destId="{91974F5F-2147-44DD-81E1-BE4D701385C4}" srcOrd="5" destOrd="0" parTransId="{3D6507D3-E789-4638-8B10-4E29813A12B8}" sibTransId="{BD5D844A-6DDD-4927-B65C-0442AE6D5C32}"/>
    <dgm:cxn modelId="{E450801A-1E01-4391-A61C-306EE0A9418D}" srcId="{8606BAE5-96B8-4671-880F-A9BCBBA3D174}" destId="{0CE2CFE2-DE16-474F-A6AA-CCFA7416FE46}" srcOrd="8" destOrd="0" parTransId="{A88CDB18-129A-4D20-963F-3DC827FC6B08}" sibTransId="{F68ACC01-022F-42EA-BDDE-4EFC4889A9A0}"/>
    <dgm:cxn modelId="{46927929-B591-496C-A550-D39440C34989}" type="presOf" srcId="{91974F5F-2147-44DD-81E1-BE4D701385C4}" destId="{A7C7B2CF-AE1C-4655-AFEC-515DB70CCD4E}" srcOrd="0" destOrd="0" presId="urn:microsoft.com/office/officeart/2005/8/layout/vList3"/>
    <dgm:cxn modelId="{B269B438-A30D-4D47-AB46-9E89CB71F1BE}" srcId="{8606BAE5-96B8-4671-880F-A9BCBBA3D174}" destId="{913FA1AB-9592-4E7E-B4B9-CF33FC7C50DF}" srcOrd="2" destOrd="0" parTransId="{41A4FB59-E881-4DBA-8BC6-55F985D8208F}" sibTransId="{C3BB0A8B-D019-422F-9EC0-A40D4682D7F5}"/>
    <dgm:cxn modelId="{EE501E41-7D9E-42B8-9DF4-6DF54B68C6FE}" srcId="{8606BAE5-96B8-4671-880F-A9BCBBA3D174}" destId="{9AF69C09-946F-4AAD-9483-BD7E2E4B2074}" srcOrd="3" destOrd="0" parTransId="{97EB7D3A-E784-42B9-924A-263E35693441}" sibTransId="{C91D3750-736E-435E-914F-6AE4234772FD}"/>
    <dgm:cxn modelId="{0561CA65-3421-4F01-A8F1-F18BF1D0588D}" srcId="{8606BAE5-96B8-4671-880F-A9BCBBA3D174}" destId="{C1993EB5-4497-44E5-B341-1AA5A3154EED}" srcOrd="1" destOrd="0" parTransId="{021C95D7-6BD2-4853-B30C-67E0286C330D}" sibTransId="{3C5D0F72-5CC0-4E98-94DE-A21936641FF6}"/>
    <dgm:cxn modelId="{2B346E68-8BAB-4316-BFB6-79694D7D39A4}" srcId="{8606BAE5-96B8-4671-880F-A9BCBBA3D174}" destId="{0CE8A5EF-35DE-49F3-8F5D-19540C9A23B1}" srcOrd="0" destOrd="0" parTransId="{EC718D26-BA94-4074-9366-58FF5C7ACAF2}" sibTransId="{29D6789D-5664-4648-A079-17B1CE168A99}"/>
    <dgm:cxn modelId="{E0EC2E56-BF17-4775-B818-374AA1229F5E}" type="presOf" srcId="{8606BAE5-96B8-4671-880F-A9BCBBA3D174}" destId="{C1F43BA8-1AA4-4436-9A6C-C15CA33C28DF}" srcOrd="0" destOrd="0" presId="urn:microsoft.com/office/officeart/2005/8/layout/vList3"/>
    <dgm:cxn modelId="{13E79C76-805E-45BF-8ED7-3532D5002183}" type="presOf" srcId="{C1A3A413-C341-4F5F-A274-0C93D953B223}" destId="{6A8E1CC5-204A-490F-A341-B4F08C2D4386}" srcOrd="0" destOrd="0" presId="urn:microsoft.com/office/officeart/2005/8/layout/vList3"/>
    <dgm:cxn modelId="{197BD87B-62E8-4C5D-B3E1-C5D0CA131245}" type="presOf" srcId="{56E707B3-7906-4454-91E4-7E3EBE691920}" destId="{38648952-8E0A-4C07-A614-66C4201F5A93}" srcOrd="0" destOrd="0" presId="urn:microsoft.com/office/officeart/2005/8/layout/vList3"/>
    <dgm:cxn modelId="{AED53484-F7BA-42BA-BB73-8B7D674491E8}" type="presOf" srcId="{0CE2CFE2-DE16-474F-A6AA-CCFA7416FE46}" destId="{6092760A-D86C-44C2-AE81-7FC8DABEA5C6}" srcOrd="0" destOrd="0" presId="urn:microsoft.com/office/officeart/2005/8/layout/vList3"/>
    <dgm:cxn modelId="{A6546EA4-1BE0-46E3-A341-E5E12428C66F}" srcId="{8606BAE5-96B8-4671-880F-A9BCBBA3D174}" destId="{A4550569-6789-4FE0-8320-D7AFECBF235D}" srcOrd="7" destOrd="0" parTransId="{C97CF70D-0666-4257-9F04-113A59B5616E}" sibTransId="{060BAA57-4963-41B8-B9CA-7BC4D34A0690}"/>
    <dgm:cxn modelId="{43DAA9CA-08B9-4B59-9EFD-B7C47F189DEE}" srcId="{8606BAE5-96B8-4671-880F-A9BCBBA3D174}" destId="{C1A3A413-C341-4F5F-A274-0C93D953B223}" srcOrd="4" destOrd="0" parTransId="{3673A45B-B5CE-460C-B146-83D570AFA2F4}" sibTransId="{41630D66-9DD9-4184-A50C-2207F24726B1}"/>
    <dgm:cxn modelId="{C81B90D1-909E-4B62-8C8A-EAB7428466AE}" type="presOf" srcId="{A4550569-6789-4FE0-8320-D7AFECBF235D}" destId="{3C42221F-B906-4DB9-816C-DC29E10011CC}" srcOrd="0" destOrd="0" presId="urn:microsoft.com/office/officeart/2005/8/layout/vList3"/>
    <dgm:cxn modelId="{C5D05CED-791F-4FD3-BABD-BB0918640FEC}" type="presOf" srcId="{9AF69C09-946F-4AAD-9483-BD7E2E4B2074}" destId="{29D3EEA7-6BAC-4671-8E3E-AC1262AB6652}" srcOrd="0" destOrd="0" presId="urn:microsoft.com/office/officeart/2005/8/layout/vList3"/>
    <dgm:cxn modelId="{148F2AF7-E11C-4303-BAD2-F69490E74F87}" type="presOf" srcId="{0CE8A5EF-35DE-49F3-8F5D-19540C9A23B1}" destId="{706E3D71-86EA-440A-991F-354072A910B8}" srcOrd="0" destOrd="0" presId="urn:microsoft.com/office/officeart/2005/8/layout/vList3"/>
    <dgm:cxn modelId="{C37C3B60-EC9F-4C66-8A09-0935FFC3BCC3}" type="presParOf" srcId="{C1F43BA8-1AA4-4436-9A6C-C15CA33C28DF}" destId="{597583B6-7562-41F2-A40A-21F7A2E75D9C}" srcOrd="0" destOrd="0" presId="urn:microsoft.com/office/officeart/2005/8/layout/vList3"/>
    <dgm:cxn modelId="{943438B7-30AC-4BAB-97F6-9AB49F717274}" type="presParOf" srcId="{597583B6-7562-41F2-A40A-21F7A2E75D9C}" destId="{49E06637-F2FD-4AA7-A472-766CC9EC04FA}" srcOrd="0" destOrd="0" presId="urn:microsoft.com/office/officeart/2005/8/layout/vList3"/>
    <dgm:cxn modelId="{F86EB06F-E442-44AA-87A4-5E51EA1FE869}" type="presParOf" srcId="{597583B6-7562-41F2-A40A-21F7A2E75D9C}" destId="{706E3D71-86EA-440A-991F-354072A910B8}" srcOrd="1" destOrd="0" presId="urn:microsoft.com/office/officeart/2005/8/layout/vList3"/>
    <dgm:cxn modelId="{2B537E57-BB31-445E-935D-45F47FF9369C}" type="presParOf" srcId="{C1F43BA8-1AA4-4436-9A6C-C15CA33C28DF}" destId="{A6FF3DB1-80E5-4B62-81F3-DC240FF7CDDE}" srcOrd="1" destOrd="0" presId="urn:microsoft.com/office/officeart/2005/8/layout/vList3"/>
    <dgm:cxn modelId="{F046AD24-BADD-4B62-A0B4-8FBABDA2479E}" type="presParOf" srcId="{C1F43BA8-1AA4-4436-9A6C-C15CA33C28DF}" destId="{292DC7AE-5FC5-4D29-AD58-0E1863F099A7}" srcOrd="2" destOrd="0" presId="urn:microsoft.com/office/officeart/2005/8/layout/vList3"/>
    <dgm:cxn modelId="{D3E8FBC1-1A56-4AD2-B154-04BC309BD467}" type="presParOf" srcId="{292DC7AE-5FC5-4D29-AD58-0E1863F099A7}" destId="{A8FA8DE2-1F89-4BD3-B85D-7849FCD840C6}" srcOrd="0" destOrd="0" presId="urn:microsoft.com/office/officeart/2005/8/layout/vList3"/>
    <dgm:cxn modelId="{3E91DDC7-6185-40E0-8339-F3536BB28836}" type="presParOf" srcId="{292DC7AE-5FC5-4D29-AD58-0E1863F099A7}" destId="{3BAC7B72-CFA6-4107-B213-E00A3B3B4C6B}" srcOrd="1" destOrd="0" presId="urn:microsoft.com/office/officeart/2005/8/layout/vList3"/>
    <dgm:cxn modelId="{548B22AA-A859-4309-A565-E4D60F20DA40}" type="presParOf" srcId="{C1F43BA8-1AA4-4436-9A6C-C15CA33C28DF}" destId="{717BA024-FB65-4C3E-80EB-8D15BE2444F7}" srcOrd="3" destOrd="0" presId="urn:microsoft.com/office/officeart/2005/8/layout/vList3"/>
    <dgm:cxn modelId="{53B26F42-A6BD-46CC-941D-DAA073BF0062}" type="presParOf" srcId="{C1F43BA8-1AA4-4436-9A6C-C15CA33C28DF}" destId="{493157C7-06F0-4B57-81FD-D37555AE9B5E}" srcOrd="4" destOrd="0" presId="urn:microsoft.com/office/officeart/2005/8/layout/vList3"/>
    <dgm:cxn modelId="{F0D69E5D-00A5-46EF-9669-F363F49631C6}" type="presParOf" srcId="{493157C7-06F0-4B57-81FD-D37555AE9B5E}" destId="{5AD49135-F343-4305-BCB8-E365BB047697}" srcOrd="0" destOrd="0" presId="urn:microsoft.com/office/officeart/2005/8/layout/vList3"/>
    <dgm:cxn modelId="{AEC0AC24-56E3-472F-8050-752830ED9791}" type="presParOf" srcId="{493157C7-06F0-4B57-81FD-D37555AE9B5E}" destId="{1C1E1F98-DDFA-4293-98D3-09F80F5A2103}" srcOrd="1" destOrd="0" presId="urn:microsoft.com/office/officeart/2005/8/layout/vList3"/>
    <dgm:cxn modelId="{77013CBA-0F47-45F4-9A2F-C5741C7E467C}" type="presParOf" srcId="{C1F43BA8-1AA4-4436-9A6C-C15CA33C28DF}" destId="{FBB1F40F-17BC-4FEB-A977-4248A9496EE7}" srcOrd="5" destOrd="0" presId="urn:microsoft.com/office/officeart/2005/8/layout/vList3"/>
    <dgm:cxn modelId="{7873DB45-2E7F-425E-B00A-7C7927DD6642}" type="presParOf" srcId="{C1F43BA8-1AA4-4436-9A6C-C15CA33C28DF}" destId="{9C545A7D-1ADA-4CF5-89C6-4A5E6EC39BAF}" srcOrd="6" destOrd="0" presId="urn:microsoft.com/office/officeart/2005/8/layout/vList3"/>
    <dgm:cxn modelId="{F4D3D7BB-1F7A-49E2-9B52-7FE79D02D342}" type="presParOf" srcId="{9C545A7D-1ADA-4CF5-89C6-4A5E6EC39BAF}" destId="{9A4999A4-B460-4E89-B297-E7879FCF1805}" srcOrd="0" destOrd="0" presId="urn:microsoft.com/office/officeart/2005/8/layout/vList3"/>
    <dgm:cxn modelId="{B4EBC706-332B-4CEE-9FB9-CC5903A85C07}" type="presParOf" srcId="{9C545A7D-1ADA-4CF5-89C6-4A5E6EC39BAF}" destId="{29D3EEA7-6BAC-4671-8E3E-AC1262AB6652}" srcOrd="1" destOrd="0" presId="urn:microsoft.com/office/officeart/2005/8/layout/vList3"/>
    <dgm:cxn modelId="{573F50F5-2828-4017-9DCA-6A4FB31EA39A}" type="presParOf" srcId="{C1F43BA8-1AA4-4436-9A6C-C15CA33C28DF}" destId="{4B94790F-050B-4E96-ABB7-647A4AFB977B}" srcOrd="7" destOrd="0" presId="urn:microsoft.com/office/officeart/2005/8/layout/vList3"/>
    <dgm:cxn modelId="{C71F3F7E-7A11-4116-984E-DA64CF72A686}" type="presParOf" srcId="{C1F43BA8-1AA4-4436-9A6C-C15CA33C28DF}" destId="{A333E5B4-CD70-4E33-8D31-654955F4A965}" srcOrd="8" destOrd="0" presId="urn:microsoft.com/office/officeart/2005/8/layout/vList3"/>
    <dgm:cxn modelId="{9E46B27C-6D07-47E5-A6F5-F7016169A12F}" type="presParOf" srcId="{A333E5B4-CD70-4E33-8D31-654955F4A965}" destId="{823466F8-4A37-47E1-937E-CB81DC8B1419}" srcOrd="0" destOrd="0" presId="urn:microsoft.com/office/officeart/2005/8/layout/vList3"/>
    <dgm:cxn modelId="{01D70723-747A-4F40-8FB4-CFC28DD4F96B}" type="presParOf" srcId="{A333E5B4-CD70-4E33-8D31-654955F4A965}" destId="{6A8E1CC5-204A-490F-A341-B4F08C2D4386}" srcOrd="1" destOrd="0" presId="urn:microsoft.com/office/officeart/2005/8/layout/vList3"/>
    <dgm:cxn modelId="{2FCBBFDA-7F84-4823-B196-93B8ACC00CAC}" type="presParOf" srcId="{C1F43BA8-1AA4-4436-9A6C-C15CA33C28DF}" destId="{F78BA64E-5824-487D-8F6C-450F9F11A5F4}" srcOrd="9" destOrd="0" presId="urn:microsoft.com/office/officeart/2005/8/layout/vList3"/>
    <dgm:cxn modelId="{53728CDA-9643-4959-9410-F5E570EF188A}" type="presParOf" srcId="{C1F43BA8-1AA4-4436-9A6C-C15CA33C28DF}" destId="{7A37AF7F-5B0C-4649-9233-F91B8358C556}" srcOrd="10" destOrd="0" presId="urn:microsoft.com/office/officeart/2005/8/layout/vList3"/>
    <dgm:cxn modelId="{BD42345E-71B8-4AD0-BDFA-D4C1DB885FF3}" type="presParOf" srcId="{7A37AF7F-5B0C-4649-9233-F91B8358C556}" destId="{48FCD693-2773-492E-8E7F-D0D73180110B}" srcOrd="0" destOrd="0" presId="urn:microsoft.com/office/officeart/2005/8/layout/vList3"/>
    <dgm:cxn modelId="{D5A60193-0587-4D19-96AE-44EDC598A111}" type="presParOf" srcId="{7A37AF7F-5B0C-4649-9233-F91B8358C556}" destId="{A7C7B2CF-AE1C-4655-AFEC-515DB70CCD4E}" srcOrd="1" destOrd="0" presId="urn:microsoft.com/office/officeart/2005/8/layout/vList3"/>
    <dgm:cxn modelId="{D66393FB-EF1D-4B1B-AB08-37EFEA41B9AD}" type="presParOf" srcId="{C1F43BA8-1AA4-4436-9A6C-C15CA33C28DF}" destId="{D15AE2CD-D9EE-4F6F-A4CA-C5CAA28BEA5A}" srcOrd="11" destOrd="0" presId="urn:microsoft.com/office/officeart/2005/8/layout/vList3"/>
    <dgm:cxn modelId="{3669FCC5-CE57-47A3-B5B4-778032F66097}" type="presParOf" srcId="{C1F43BA8-1AA4-4436-9A6C-C15CA33C28DF}" destId="{6A366099-4B63-40AE-884E-66CDE1DB4B8A}" srcOrd="12" destOrd="0" presId="urn:microsoft.com/office/officeart/2005/8/layout/vList3"/>
    <dgm:cxn modelId="{E0D665C0-E668-4FC6-B5E7-3428227333A0}" type="presParOf" srcId="{6A366099-4B63-40AE-884E-66CDE1DB4B8A}" destId="{5AB014A1-3868-46DD-B59B-AF7F1BB24DFB}" srcOrd="0" destOrd="0" presId="urn:microsoft.com/office/officeart/2005/8/layout/vList3"/>
    <dgm:cxn modelId="{3B426ECB-0C37-4DF9-A2F3-36844A67CA2F}" type="presParOf" srcId="{6A366099-4B63-40AE-884E-66CDE1DB4B8A}" destId="{38648952-8E0A-4C07-A614-66C4201F5A93}" srcOrd="1" destOrd="0" presId="urn:microsoft.com/office/officeart/2005/8/layout/vList3"/>
    <dgm:cxn modelId="{BB6A8732-968E-4255-9D6D-B4BD7EAC8A9A}" type="presParOf" srcId="{C1F43BA8-1AA4-4436-9A6C-C15CA33C28DF}" destId="{4CAF1094-5D01-44B6-839C-9F97503087E1}" srcOrd="13" destOrd="0" presId="urn:microsoft.com/office/officeart/2005/8/layout/vList3"/>
    <dgm:cxn modelId="{DC88C770-B7C2-4883-867D-4D196407D12D}" type="presParOf" srcId="{C1F43BA8-1AA4-4436-9A6C-C15CA33C28DF}" destId="{2A3FE04B-CBF6-4339-B24B-4F3B51EAF6D5}" srcOrd="14" destOrd="0" presId="urn:microsoft.com/office/officeart/2005/8/layout/vList3"/>
    <dgm:cxn modelId="{A659F848-5B78-4780-A30E-C7909E75DE0E}" type="presParOf" srcId="{2A3FE04B-CBF6-4339-B24B-4F3B51EAF6D5}" destId="{D71C51D0-A7CA-4E53-BB7C-5F69EAF63715}" srcOrd="0" destOrd="0" presId="urn:microsoft.com/office/officeart/2005/8/layout/vList3"/>
    <dgm:cxn modelId="{A3F1FFC5-F192-40F4-93B0-2877866A1A7F}" type="presParOf" srcId="{2A3FE04B-CBF6-4339-B24B-4F3B51EAF6D5}" destId="{3C42221F-B906-4DB9-816C-DC29E10011CC}" srcOrd="1" destOrd="0" presId="urn:microsoft.com/office/officeart/2005/8/layout/vList3"/>
    <dgm:cxn modelId="{60ADEE8A-33B5-407E-A722-E70C03B1A877}" type="presParOf" srcId="{C1F43BA8-1AA4-4436-9A6C-C15CA33C28DF}" destId="{45D76668-4A71-404C-BC16-B2621633A611}" srcOrd="15" destOrd="0" presId="urn:microsoft.com/office/officeart/2005/8/layout/vList3"/>
    <dgm:cxn modelId="{47B1210F-B049-4716-80B6-48CDF3B65770}" type="presParOf" srcId="{C1F43BA8-1AA4-4436-9A6C-C15CA33C28DF}" destId="{38AC992F-D59A-483F-BCA3-26E7CAF2C233}" srcOrd="16" destOrd="0" presId="urn:microsoft.com/office/officeart/2005/8/layout/vList3"/>
    <dgm:cxn modelId="{A7F77715-F449-4AF5-9DF2-1CE8D5BCEC65}" type="presParOf" srcId="{38AC992F-D59A-483F-BCA3-26E7CAF2C233}" destId="{77DCB4B0-A996-475E-9B3C-E1329D544FB3}" srcOrd="0" destOrd="0" presId="urn:microsoft.com/office/officeart/2005/8/layout/vList3"/>
    <dgm:cxn modelId="{053CE003-D15D-4516-A392-AA1F84C4DCF8}" type="presParOf" srcId="{38AC992F-D59A-483F-BCA3-26E7CAF2C233}" destId="{6092760A-D86C-44C2-AE81-7FC8DABEA5C6}"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1A449-C6F9-44BD-A68D-508A48747121}">
      <dsp:nvSpPr>
        <dsp:cNvPr id="0" name=""/>
        <dsp:cNvSpPr/>
      </dsp:nvSpPr>
      <dsp:spPr>
        <a:xfrm>
          <a:off x="1359293" y="397871"/>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453861" y="442434"/>
        <a:ext cx="11565" cy="2315"/>
      </dsp:txXfrm>
    </dsp:sp>
    <dsp:sp modelId="{F1AE9C01-65D4-4229-AB30-E74775EAEA93}">
      <dsp:nvSpPr>
        <dsp:cNvPr id="0" name=""/>
        <dsp:cNvSpPr/>
      </dsp:nvSpPr>
      <dsp:spPr>
        <a:xfrm>
          <a:off x="228597" y="4189"/>
          <a:ext cx="1132496" cy="878804"/>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Site Preparation &amp; Structural Setup</a:t>
          </a:r>
          <a:endParaRPr lang="en-US" sz="1050" b="1" kern="1200">
            <a:latin typeface="Arial" panose="020B0604020202020204" pitchFamily="34" charset="0"/>
            <a:cs typeface="Arial" panose="020B0604020202020204" pitchFamily="34" charset="0"/>
          </a:endParaRPr>
        </a:p>
      </dsp:txBody>
      <dsp:txXfrm>
        <a:off x="228597" y="4189"/>
        <a:ext cx="1132496" cy="878804"/>
      </dsp:txXfrm>
    </dsp:sp>
    <dsp:sp modelId="{90F4DAF9-1819-46CD-BDAB-14D1EAE63002}">
      <dsp:nvSpPr>
        <dsp:cNvPr id="0" name=""/>
        <dsp:cNvSpPr/>
      </dsp:nvSpPr>
      <dsp:spPr>
        <a:xfrm>
          <a:off x="3309175" y="397871"/>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403742" y="442434"/>
        <a:ext cx="11565" cy="2315"/>
      </dsp:txXfrm>
    </dsp:sp>
    <dsp:sp modelId="{719DA5B6-8C9C-464D-BB4D-59669515AE0E}">
      <dsp:nvSpPr>
        <dsp:cNvPr id="0" name=""/>
        <dsp:cNvSpPr/>
      </dsp:nvSpPr>
      <dsp:spPr>
        <a:xfrm>
          <a:off x="1592394" y="8111"/>
          <a:ext cx="1718580" cy="87096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Component Selection  </a:t>
          </a:r>
          <a:endParaRPr lang="en-US" sz="1050" b="1" kern="1200">
            <a:latin typeface="Arial" panose="020B0604020202020204" pitchFamily="34" charset="0"/>
            <a:cs typeface="Arial" panose="020B0604020202020204" pitchFamily="34" charset="0"/>
          </a:endParaRPr>
        </a:p>
      </dsp:txBody>
      <dsp:txXfrm>
        <a:off x="1592394" y="8111"/>
        <a:ext cx="1718580" cy="870960"/>
      </dsp:txXfrm>
    </dsp:sp>
    <dsp:sp modelId="{E0738BEE-1D8C-4E06-9314-C78FB02902A0}">
      <dsp:nvSpPr>
        <dsp:cNvPr id="0" name=""/>
        <dsp:cNvSpPr/>
      </dsp:nvSpPr>
      <dsp:spPr>
        <a:xfrm>
          <a:off x="861118" y="854303"/>
          <a:ext cx="3462720" cy="227590"/>
        </a:xfrm>
        <a:custGeom>
          <a:avLst/>
          <a:gdLst/>
          <a:ahLst/>
          <a:cxnLst/>
          <a:rect l="0" t="0" r="0" b="0"/>
          <a:pathLst>
            <a:path>
              <a:moveTo>
                <a:pt x="3462720" y="0"/>
              </a:moveTo>
              <a:lnTo>
                <a:pt x="3462720" y="130895"/>
              </a:lnTo>
              <a:lnTo>
                <a:pt x="0" y="130895"/>
              </a:lnTo>
              <a:lnTo>
                <a:pt x="0" y="22759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505670" y="966941"/>
        <a:ext cx="173616" cy="2315"/>
      </dsp:txXfrm>
    </dsp:sp>
    <dsp:sp modelId="{41823F67-E2C5-4EE3-BE8A-C379ADB360BA}">
      <dsp:nvSpPr>
        <dsp:cNvPr id="0" name=""/>
        <dsp:cNvSpPr/>
      </dsp:nvSpPr>
      <dsp:spPr>
        <a:xfrm>
          <a:off x="3542275" y="31079"/>
          <a:ext cx="1563126" cy="8250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100000"/>
            </a:lnSpc>
            <a:spcBef>
              <a:spcPct val="0"/>
            </a:spcBef>
            <a:spcAft>
              <a:spcPts val="0"/>
            </a:spcAft>
            <a:buNone/>
          </a:pPr>
          <a:r>
            <a:rPr lang="en-US" sz="1050" b="1" kern="1200" dirty="0">
              <a:solidFill>
                <a:prstClr val="black"/>
              </a:solidFill>
              <a:latin typeface="Arial" panose="020B0604020202020204" pitchFamily="34" charset="0"/>
              <a:cs typeface="Arial" panose="020B0604020202020204" pitchFamily="34" charset="0"/>
            </a:rPr>
            <a:t>System Design</a:t>
          </a:r>
          <a:endParaRPr lang="en-US" sz="1050" b="1" kern="1200">
            <a:latin typeface="Arial" panose="020B0604020202020204" pitchFamily="34" charset="0"/>
            <a:cs typeface="Arial" panose="020B0604020202020204" pitchFamily="34" charset="0"/>
          </a:endParaRPr>
        </a:p>
      </dsp:txBody>
      <dsp:txXfrm>
        <a:off x="3542275" y="31079"/>
        <a:ext cx="1563126" cy="825023"/>
      </dsp:txXfrm>
    </dsp:sp>
    <dsp:sp modelId="{430564B6-7C02-477A-8D8A-42E330C63F7E}">
      <dsp:nvSpPr>
        <dsp:cNvPr id="0" name=""/>
        <dsp:cNvSpPr/>
      </dsp:nvSpPr>
      <dsp:spPr>
        <a:xfrm>
          <a:off x="1491839" y="1491250"/>
          <a:ext cx="191196" cy="91440"/>
        </a:xfrm>
        <a:custGeom>
          <a:avLst/>
          <a:gdLst/>
          <a:ahLst/>
          <a:cxnLst/>
          <a:rect l="0" t="0" r="0" b="0"/>
          <a:pathLst>
            <a:path>
              <a:moveTo>
                <a:pt x="0" y="45720"/>
              </a:moveTo>
              <a:lnTo>
                <a:pt x="191196"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581892" y="1535812"/>
        <a:ext cx="11089" cy="2315"/>
      </dsp:txXfrm>
    </dsp:sp>
    <dsp:sp modelId="{FF8F4CF5-2546-4240-9F68-3203B7E0B1E4}">
      <dsp:nvSpPr>
        <dsp:cNvPr id="0" name=""/>
        <dsp:cNvSpPr/>
      </dsp:nvSpPr>
      <dsp:spPr>
        <a:xfrm>
          <a:off x="228597" y="1114294"/>
          <a:ext cx="1265041" cy="8453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100000"/>
            </a:lnSpc>
            <a:spcBef>
              <a:spcPct val="0"/>
            </a:spcBef>
            <a:spcAft>
              <a:spcPts val="0"/>
            </a:spcAft>
            <a:buNone/>
          </a:pPr>
          <a:r>
            <a:rPr lang="en-IN" sz="1050" b="1" kern="1200" dirty="0">
              <a:solidFill>
                <a:prstClr val="black"/>
              </a:solidFill>
              <a:latin typeface="Arial" panose="020B0604020202020204" pitchFamily="34" charset="0"/>
              <a:cs typeface="Arial" panose="020B0604020202020204" pitchFamily="34" charset="0"/>
            </a:rPr>
            <a:t>Development of high Pressure aeroponic system</a:t>
          </a:r>
        </a:p>
      </dsp:txBody>
      <dsp:txXfrm>
        <a:off x="228597" y="1114294"/>
        <a:ext cx="1265041" cy="845352"/>
      </dsp:txXfrm>
    </dsp:sp>
    <dsp:sp modelId="{EAC94A59-DBAB-4497-B1DE-E9C8789F54DD}">
      <dsp:nvSpPr>
        <dsp:cNvPr id="0" name=""/>
        <dsp:cNvSpPr/>
      </dsp:nvSpPr>
      <dsp:spPr>
        <a:xfrm>
          <a:off x="3054322" y="1491250"/>
          <a:ext cx="210203" cy="91440"/>
        </a:xfrm>
        <a:custGeom>
          <a:avLst/>
          <a:gdLst/>
          <a:ahLst/>
          <a:cxnLst/>
          <a:rect l="0" t="0" r="0" b="0"/>
          <a:pathLst>
            <a:path>
              <a:moveTo>
                <a:pt x="0" y="45720"/>
              </a:moveTo>
              <a:lnTo>
                <a:pt x="2102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153404" y="1535812"/>
        <a:ext cx="12040" cy="2315"/>
      </dsp:txXfrm>
    </dsp:sp>
    <dsp:sp modelId="{82FC8F4D-1ADF-406B-B07B-B862EF24AC94}">
      <dsp:nvSpPr>
        <dsp:cNvPr id="0" name=""/>
        <dsp:cNvSpPr/>
      </dsp:nvSpPr>
      <dsp:spPr>
        <a:xfrm>
          <a:off x="1715435" y="1124458"/>
          <a:ext cx="1340686" cy="8250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Automation development   </a:t>
          </a:r>
          <a:endParaRPr lang="en-US" sz="1050" b="1" kern="1200">
            <a:latin typeface="Arial" panose="020B0604020202020204" pitchFamily="34" charset="0"/>
            <a:cs typeface="Arial" panose="020B0604020202020204" pitchFamily="34" charset="0"/>
          </a:endParaRPr>
        </a:p>
      </dsp:txBody>
      <dsp:txXfrm>
        <a:off x="1715435" y="1124458"/>
        <a:ext cx="1340686" cy="825023"/>
      </dsp:txXfrm>
    </dsp:sp>
    <dsp:sp modelId="{7D3A9FDA-9D2B-42A3-98BB-717411E44F34}">
      <dsp:nvSpPr>
        <dsp:cNvPr id="0" name=""/>
        <dsp:cNvSpPr/>
      </dsp:nvSpPr>
      <dsp:spPr>
        <a:xfrm>
          <a:off x="826951" y="1836866"/>
          <a:ext cx="3317061" cy="321680"/>
        </a:xfrm>
        <a:custGeom>
          <a:avLst/>
          <a:gdLst/>
          <a:ahLst/>
          <a:cxnLst/>
          <a:rect l="0" t="0" r="0" b="0"/>
          <a:pathLst>
            <a:path>
              <a:moveTo>
                <a:pt x="3317061" y="0"/>
              </a:moveTo>
              <a:lnTo>
                <a:pt x="3317061" y="177940"/>
              </a:lnTo>
              <a:lnTo>
                <a:pt x="0" y="177940"/>
              </a:lnTo>
              <a:lnTo>
                <a:pt x="0" y="3216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402089" y="1996548"/>
        <a:ext cx="166785" cy="2315"/>
      </dsp:txXfrm>
    </dsp:sp>
    <dsp:sp modelId="{DA2AEAB9-13A0-4192-8132-149C32DE171E}">
      <dsp:nvSpPr>
        <dsp:cNvPr id="0" name=""/>
        <dsp:cNvSpPr/>
      </dsp:nvSpPr>
      <dsp:spPr>
        <a:xfrm>
          <a:off x="3296926" y="1235274"/>
          <a:ext cx="1694173" cy="60339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IN" sz="1050" b="1" kern="1200" dirty="0">
              <a:solidFill>
                <a:prstClr val="black"/>
              </a:solidFill>
              <a:latin typeface="Arial" panose="020B0604020202020204" pitchFamily="34" charset="0"/>
              <a:cs typeface="Arial" panose="020B0604020202020204" pitchFamily="34" charset="0"/>
            </a:rPr>
            <a:t>Automation integration into aeroponics </a:t>
          </a:r>
        </a:p>
      </dsp:txBody>
      <dsp:txXfrm>
        <a:off x="3296926" y="1235274"/>
        <a:ext cx="1694173" cy="603391"/>
      </dsp:txXfrm>
    </dsp:sp>
    <dsp:sp modelId="{CEE01C90-BDFA-45E3-B78E-9A70425D43E0}">
      <dsp:nvSpPr>
        <dsp:cNvPr id="0" name=""/>
        <dsp:cNvSpPr/>
      </dsp:nvSpPr>
      <dsp:spPr>
        <a:xfrm>
          <a:off x="1423504" y="2596813"/>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518072" y="2641376"/>
        <a:ext cx="11565" cy="2315"/>
      </dsp:txXfrm>
    </dsp:sp>
    <dsp:sp modelId="{B1823942-259B-405D-8ADD-E28454CF69AC}">
      <dsp:nvSpPr>
        <dsp:cNvPr id="0" name=""/>
        <dsp:cNvSpPr/>
      </dsp:nvSpPr>
      <dsp:spPr>
        <a:xfrm>
          <a:off x="228597" y="2190946"/>
          <a:ext cx="1196707" cy="90317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IN" sz="1050" b="1" kern="1200" dirty="0">
              <a:solidFill>
                <a:prstClr val="black"/>
              </a:solidFill>
              <a:latin typeface="Arial" panose="020B0604020202020204" pitchFamily="34" charset="0"/>
              <a:cs typeface="Arial" panose="020B0604020202020204" pitchFamily="34" charset="0"/>
            </a:rPr>
            <a:t>Installation of IoT based automated aeroponic system</a:t>
          </a:r>
        </a:p>
      </dsp:txBody>
      <dsp:txXfrm>
        <a:off x="228597" y="2190946"/>
        <a:ext cx="1196707" cy="903175"/>
      </dsp:txXfrm>
    </dsp:sp>
    <dsp:sp modelId="{9A8BA288-5C07-4EA4-BDEE-1E838E604DB9}">
      <dsp:nvSpPr>
        <dsp:cNvPr id="0" name=""/>
        <dsp:cNvSpPr/>
      </dsp:nvSpPr>
      <dsp:spPr>
        <a:xfrm>
          <a:off x="3211626" y="2596813"/>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3306194" y="2641376"/>
        <a:ext cx="11565" cy="2315"/>
      </dsp:txXfrm>
    </dsp:sp>
    <dsp:sp modelId="{76FEF379-43A9-4246-8D67-F33D012DBA47}">
      <dsp:nvSpPr>
        <dsp:cNvPr id="0" name=""/>
        <dsp:cNvSpPr/>
      </dsp:nvSpPr>
      <dsp:spPr>
        <a:xfrm>
          <a:off x="1656605" y="2383024"/>
          <a:ext cx="1556821" cy="51901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prstClr val="black"/>
              </a:solidFill>
              <a:latin typeface="Arial" panose="020B0604020202020204" pitchFamily="34" charset="0"/>
              <a:cs typeface="Arial" panose="020B0604020202020204" pitchFamily="34" charset="0"/>
            </a:rPr>
            <a:t>Crop Selection</a:t>
          </a:r>
          <a:endParaRPr lang="en-US" sz="1050" b="1" kern="1200">
            <a:latin typeface="Arial" panose="020B0604020202020204" pitchFamily="34" charset="0"/>
            <a:cs typeface="Arial" panose="020B0604020202020204" pitchFamily="34" charset="0"/>
          </a:endParaRPr>
        </a:p>
      </dsp:txBody>
      <dsp:txXfrm>
        <a:off x="1656605" y="2383024"/>
        <a:ext cx="1556821" cy="519019"/>
      </dsp:txXfrm>
    </dsp:sp>
    <dsp:sp modelId="{9C49916D-A851-4EC5-97A5-C812305965A0}">
      <dsp:nvSpPr>
        <dsp:cNvPr id="0" name=""/>
        <dsp:cNvSpPr/>
      </dsp:nvSpPr>
      <dsp:spPr>
        <a:xfrm>
          <a:off x="901083" y="2919247"/>
          <a:ext cx="3362170" cy="392298"/>
        </a:xfrm>
        <a:custGeom>
          <a:avLst/>
          <a:gdLst/>
          <a:ahLst/>
          <a:cxnLst/>
          <a:rect l="0" t="0" r="0" b="0"/>
          <a:pathLst>
            <a:path>
              <a:moveTo>
                <a:pt x="3362170" y="0"/>
              </a:moveTo>
              <a:lnTo>
                <a:pt x="3362170" y="213249"/>
              </a:lnTo>
              <a:lnTo>
                <a:pt x="0" y="213249"/>
              </a:lnTo>
              <a:lnTo>
                <a:pt x="0" y="39229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2497451" y="3114239"/>
        <a:ext cx="169433" cy="2315"/>
      </dsp:txXfrm>
    </dsp:sp>
    <dsp:sp modelId="{B4B846E3-05BB-4235-BDA6-21FEA2C0AEBB}">
      <dsp:nvSpPr>
        <dsp:cNvPr id="0" name=""/>
        <dsp:cNvSpPr/>
      </dsp:nvSpPr>
      <dsp:spPr>
        <a:xfrm>
          <a:off x="3444726" y="2364020"/>
          <a:ext cx="1637052" cy="55702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Data acquisition and monitoring</a:t>
          </a:r>
        </a:p>
      </dsp:txBody>
      <dsp:txXfrm>
        <a:off x="3444726" y="2364020"/>
        <a:ext cx="1637052" cy="557027"/>
      </dsp:txXfrm>
    </dsp:sp>
    <dsp:sp modelId="{42AAC4AD-0CB8-4D79-B8A5-9D0119C12FF1}">
      <dsp:nvSpPr>
        <dsp:cNvPr id="0" name=""/>
        <dsp:cNvSpPr/>
      </dsp:nvSpPr>
      <dsp:spPr>
        <a:xfrm>
          <a:off x="1571768" y="3586888"/>
          <a:ext cx="200700" cy="91440"/>
        </a:xfrm>
        <a:custGeom>
          <a:avLst/>
          <a:gdLst/>
          <a:ahLst/>
          <a:cxnLst/>
          <a:rect l="0" t="0" r="0" b="0"/>
          <a:pathLst>
            <a:path>
              <a:moveTo>
                <a:pt x="0" y="45720"/>
              </a:moveTo>
              <a:lnTo>
                <a:pt x="20070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Arial" panose="020B0604020202020204" pitchFamily="34" charset="0"/>
            <a:cs typeface="Arial" panose="020B0604020202020204" pitchFamily="34" charset="0"/>
          </a:endParaRPr>
        </a:p>
      </dsp:txBody>
      <dsp:txXfrm>
        <a:off x="1666335" y="3631450"/>
        <a:ext cx="11565" cy="2315"/>
      </dsp:txXfrm>
    </dsp:sp>
    <dsp:sp modelId="{06938959-FF38-429E-9021-49CEC2132F15}">
      <dsp:nvSpPr>
        <dsp:cNvPr id="0" name=""/>
        <dsp:cNvSpPr/>
      </dsp:nvSpPr>
      <dsp:spPr>
        <a:xfrm>
          <a:off x="228597" y="3343945"/>
          <a:ext cx="1344970" cy="57732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Evaluation of the performance</a:t>
          </a:r>
        </a:p>
      </dsp:txBody>
      <dsp:txXfrm>
        <a:off x="228597" y="3343945"/>
        <a:ext cx="1344970" cy="577325"/>
      </dsp:txXfrm>
    </dsp:sp>
    <dsp:sp modelId="{57393277-FCE5-43D0-850F-D5798E852302}">
      <dsp:nvSpPr>
        <dsp:cNvPr id="0" name=""/>
        <dsp:cNvSpPr/>
      </dsp:nvSpPr>
      <dsp:spPr>
        <a:xfrm>
          <a:off x="1804868" y="3325421"/>
          <a:ext cx="1329242" cy="61437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 Yield and cost analysis</a:t>
          </a:r>
          <a:endParaRPr lang="en-US" sz="1050" b="1" kern="1200">
            <a:solidFill>
              <a:srgbClr val="FF0000"/>
            </a:solidFill>
            <a:latin typeface="Arial" panose="020B0604020202020204" pitchFamily="34" charset="0"/>
            <a:cs typeface="Arial" panose="020B0604020202020204" pitchFamily="34" charset="0"/>
          </a:endParaRPr>
        </a:p>
      </dsp:txBody>
      <dsp:txXfrm>
        <a:off x="1804868" y="3325421"/>
        <a:ext cx="1329242" cy="6143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E3D71-86EA-440A-991F-354072A910B8}">
      <dsp:nvSpPr>
        <dsp:cNvPr id="0" name=""/>
        <dsp:cNvSpPr/>
      </dsp:nvSpPr>
      <dsp:spPr>
        <a:xfrm rot="10800000">
          <a:off x="646634" y="24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Block diagram</a:t>
          </a:r>
        </a:p>
      </dsp:txBody>
      <dsp:txXfrm rot="10800000">
        <a:off x="691789" y="243"/>
        <a:ext cx="2342810" cy="180620"/>
      </dsp:txXfrm>
    </dsp:sp>
    <dsp:sp modelId="{49E06637-F2FD-4AA7-A472-766CC9EC04FA}">
      <dsp:nvSpPr>
        <dsp:cNvPr id="0" name=""/>
        <dsp:cNvSpPr/>
      </dsp:nvSpPr>
      <dsp:spPr>
        <a:xfrm>
          <a:off x="556324" y="24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AC7B72-CFA6-4107-B213-E00A3B3B4C6B}">
      <dsp:nvSpPr>
        <dsp:cNvPr id="0" name=""/>
        <dsp:cNvSpPr/>
      </dsp:nvSpPr>
      <dsp:spPr>
        <a:xfrm rot="10800000">
          <a:off x="646634" y="23477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circuit diagram</a:t>
          </a:r>
        </a:p>
      </dsp:txBody>
      <dsp:txXfrm rot="10800000">
        <a:off x="691789" y="234779"/>
        <a:ext cx="2342810" cy="180620"/>
      </dsp:txXfrm>
    </dsp:sp>
    <dsp:sp modelId="{A8FA8DE2-1F89-4BD3-B85D-7849FCD840C6}">
      <dsp:nvSpPr>
        <dsp:cNvPr id="0" name=""/>
        <dsp:cNvSpPr/>
      </dsp:nvSpPr>
      <dsp:spPr>
        <a:xfrm>
          <a:off x="556324" y="23477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C1E1F98-DDFA-4293-98D3-09F80F5A2103}">
      <dsp:nvSpPr>
        <dsp:cNvPr id="0" name=""/>
        <dsp:cNvSpPr/>
      </dsp:nvSpPr>
      <dsp:spPr>
        <a:xfrm rot="10800000">
          <a:off x="646634" y="46931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Design</a:t>
          </a:r>
        </a:p>
      </dsp:txBody>
      <dsp:txXfrm rot="10800000">
        <a:off x="691789" y="469316"/>
        <a:ext cx="2342810" cy="180620"/>
      </dsp:txXfrm>
    </dsp:sp>
    <dsp:sp modelId="{5AD49135-F343-4305-BCB8-E365BB047697}">
      <dsp:nvSpPr>
        <dsp:cNvPr id="0" name=""/>
        <dsp:cNvSpPr/>
      </dsp:nvSpPr>
      <dsp:spPr>
        <a:xfrm>
          <a:off x="556324" y="46931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9D3EEA7-6BAC-4671-8E3E-AC1262AB6652}">
      <dsp:nvSpPr>
        <dsp:cNvPr id="0" name=""/>
        <dsp:cNvSpPr/>
      </dsp:nvSpPr>
      <dsp:spPr>
        <a:xfrm rot="10800000">
          <a:off x="646634" y="70385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Preparation</a:t>
          </a:r>
        </a:p>
      </dsp:txBody>
      <dsp:txXfrm rot="10800000">
        <a:off x="691789" y="703853"/>
        <a:ext cx="2342810" cy="180620"/>
      </dsp:txXfrm>
    </dsp:sp>
    <dsp:sp modelId="{9A4999A4-B460-4E89-B297-E7879FCF1805}">
      <dsp:nvSpPr>
        <dsp:cNvPr id="0" name=""/>
        <dsp:cNvSpPr/>
      </dsp:nvSpPr>
      <dsp:spPr>
        <a:xfrm>
          <a:off x="556324" y="70385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A8E1CC5-204A-490F-A341-B4F08C2D4386}">
      <dsp:nvSpPr>
        <dsp:cNvPr id="0" name=""/>
        <dsp:cNvSpPr/>
      </dsp:nvSpPr>
      <dsp:spPr>
        <a:xfrm rot="10800000">
          <a:off x="646634" y="93838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Etching</a:t>
          </a:r>
        </a:p>
      </dsp:txBody>
      <dsp:txXfrm rot="10800000">
        <a:off x="691789" y="938389"/>
        <a:ext cx="2342810" cy="180620"/>
      </dsp:txXfrm>
    </dsp:sp>
    <dsp:sp modelId="{823466F8-4A37-47E1-937E-CB81DC8B1419}">
      <dsp:nvSpPr>
        <dsp:cNvPr id="0" name=""/>
        <dsp:cNvSpPr/>
      </dsp:nvSpPr>
      <dsp:spPr>
        <a:xfrm>
          <a:off x="556324" y="93838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C7B2CF-AE1C-4655-AFEC-515DB70CCD4E}">
      <dsp:nvSpPr>
        <dsp:cNvPr id="0" name=""/>
        <dsp:cNvSpPr/>
      </dsp:nvSpPr>
      <dsp:spPr>
        <a:xfrm rot="10800000">
          <a:off x="646634" y="117292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PCB Assembling</a:t>
          </a:r>
        </a:p>
      </dsp:txBody>
      <dsp:txXfrm rot="10800000">
        <a:off x="691789" y="1172926"/>
        <a:ext cx="2342810" cy="180620"/>
      </dsp:txXfrm>
    </dsp:sp>
    <dsp:sp modelId="{48FCD693-2773-492E-8E7F-D0D73180110B}">
      <dsp:nvSpPr>
        <dsp:cNvPr id="0" name=""/>
        <dsp:cNvSpPr/>
      </dsp:nvSpPr>
      <dsp:spPr>
        <a:xfrm>
          <a:off x="556324" y="117292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48952-8E0A-4C07-A614-66C4201F5A93}">
      <dsp:nvSpPr>
        <dsp:cNvPr id="0" name=""/>
        <dsp:cNvSpPr/>
      </dsp:nvSpPr>
      <dsp:spPr>
        <a:xfrm rot="10800000">
          <a:off x="646634" y="1407463"/>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Programming</a:t>
          </a:r>
        </a:p>
      </dsp:txBody>
      <dsp:txXfrm rot="10800000">
        <a:off x="691789" y="1407463"/>
        <a:ext cx="2342810" cy="180620"/>
      </dsp:txXfrm>
    </dsp:sp>
    <dsp:sp modelId="{5AB014A1-3868-46DD-B59B-AF7F1BB24DFB}">
      <dsp:nvSpPr>
        <dsp:cNvPr id="0" name=""/>
        <dsp:cNvSpPr/>
      </dsp:nvSpPr>
      <dsp:spPr>
        <a:xfrm>
          <a:off x="556324" y="1407463"/>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42221F-B906-4DB9-816C-DC29E10011CC}">
      <dsp:nvSpPr>
        <dsp:cNvPr id="0" name=""/>
        <dsp:cNvSpPr/>
      </dsp:nvSpPr>
      <dsp:spPr>
        <a:xfrm rot="10800000">
          <a:off x="646634" y="1641999"/>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Testing and Calibration</a:t>
          </a:r>
        </a:p>
      </dsp:txBody>
      <dsp:txXfrm rot="10800000">
        <a:off x="691789" y="1641999"/>
        <a:ext cx="2342810" cy="180620"/>
      </dsp:txXfrm>
    </dsp:sp>
    <dsp:sp modelId="{D71C51D0-A7CA-4E53-BB7C-5F69EAF63715}">
      <dsp:nvSpPr>
        <dsp:cNvPr id="0" name=""/>
        <dsp:cNvSpPr/>
      </dsp:nvSpPr>
      <dsp:spPr>
        <a:xfrm>
          <a:off x="556324" y="1641999"/>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092760A-D86C-44C2-AE81-7FC8DABEA5C6}">
      <dsp:nvSpPr>
        <dsp:cNvPr id="0" name=""/>
        <dsp:cNvSpPr/>
      </dsp:nvSpPr>
      <dsp:spPr>
        <a:xfrm rot="10800000">
          <a:off x="646634" y="1876536"/>
          <a:ext cx="2387965" cy="180620"/>
        </a:xfrm>
        <a:prstGeom prst="homePlate">
          <a:avLst/>
        </a:prstGeom>
        <a:solidFill>
          <a:sysClr val="window" lastClr="FFFFFF">
            <a:hueOff val="0"/>
            <a:satOff val="0"/>
            <a:lumOff val="0"/>
            <a:alphaOff val="0"/>
          </a:sysClr>
        </a:solid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9648" tIns="30480" rIns="56896" bIns="30480" numCol="1" spcCol="1270" anchor="ctr" anchorCtr="0">
          <a:noAutofit/>
        </a:bodyPr>
        <a:lstStyle/>
        <a:p>
          <a:pPr marL="0" lvl="0" indent="0" algn="ctr" defTabSz="355600">
            <a:lnSpc>
              <a:spcPct val="90000"/>
            </a:lnSpc>
            <a:spcBef>
              <a:spcPct val="0"/>
            </a:spcBef>
            <a:spcAft>
              <a:spcPct val="35000"/>
            </a:spcAft>
            <a:buNone/>
          </a:pPr>
          <a:r>
            <a:rPr lang="en-US" sz="800" b="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Installation of system</a:t>
          </a:r>
        </a:p>
      </dsp:txBody>
      <dsp:txXfrm rot="10800000">
        <a:off x="691789" y="1876536"/>
        <a:ext cx="2342810" cy="180620"/>
      </dsp:txXfrm>
    </dsp:sp>
    <dsp:sp modelId="{77DCB4B0-A996-475E-9B3C-E1329D544FB3}">
      <dsp:nvSpPr>
        <dsp:cNvPr id="0" name=""/>
        <dsp:cNvSpPr/>
      </dsp:nvSpPr>
      <dsp:spPr>
        <a:xfrm>
          <a:off x="556324" y="1876536"/>
          <a:ext cx="180620" cy="180620"/>
        </a:xfrm>
        <a:prstGeom prst="ellipse">
          <a:avLst/>
        </a:prstGeom>
        <a:blipFill rotWithShape="1">
          <a:blip xmlns:r="http://schemas.openxmlformats.org/officeDocument/2006/relationships" r:embed="rId1"/>
          <a:srcRect/>
          <a:stretch>
            <a:fillRect l="-39000" r="-39000"/>
          </a:stretch>
        </a:blipFill>
        <a:ln w="25400" cap="flat" cmpd="sng" algn="ctr">
          <a:solidFill>
            <a:srgbClr val="24522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09366-04A8-4299-8B40-1A1A31258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24</Pages>
  <Words>7675</Words>
  <Characters>43754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51327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2025-09-19T09:59:00Z</dcterms:created>
  <dcterms:modified xsi:type="dcterms:W3CDTF">2025-09-20T10:20:00Z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0d975e94-4ed7-40ff-9c0b-cfb809016572</vt:lpwstr>
  </property>
</Properties>
</file>