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4C5AED" w14:textId="77777777" w:rsidR="00362CA4" w:rsidRDefault="00362CA4" w:rsidP="00F1615E">
      <w:pPr>
        <w:pStyle w:val="Author"/>
        <w:spacing w:line="240" w:lineRule="auto"/>
        <w:jc w:val="center"/>
        <w:rPr>
          <w:rFonts w:ascii="Arial" w:hAnsi="Arial" w:cs="Arial"/>
          <w:bCs/>
          <w:iCs/>
          <w:kern w:val="28"/>
          <w:sz w:val="36"/>
        </w:rPr>
      </w:pPr>
      <w:r w:rsidRPr="00362CA4">
        <w:rPr>
          <w:rFonts w:ascii="Arial" w:hAnsi="Arial" w:cs="Arial"/>
          <w:bCs/>
          <w:iCs/>
          <w:kern w:val="28"/>
          <w:sz w:val="36"/>
        </w:rPr>
        <w:t xml:space="preserve">Review Article </w:t>
      </w:r>
    </w:p>
    <w:p w14:paraId="30A16408" w14:textId="77777777" w:rsidR="00362CA4" w:rsidRDefault="00362CA4" w:rsidP="00F1615E">
      <w:pPr>
        <w:pStyle w:val="Author"/>
        <w:spacing w:line="240" w:lineRule="auto"/>
        <w:jc w:val="center"/>
        <w:rPr>
          <w:rFonts w:ascii="Arial" w:hAnsi="Arial" w:cs="Arial"/>
          <w:bCs/>
          <w:iCs/>
          <w:kern w:val="28"/>
          <w:sz w:val="36"/>
        </w:rPr>
      </w:pPr>
    </w:p>
    <w:p w14:paraId="07D34DE6" w14:textId="4FDB7196" w:rsidR="00163BC4" w:rsidRPr="00163BC4" w:rsidRDefault="00F1615E" w:rsidP="00F1615E">
      <w:pPr>
        <w:pStyle w:val="Author"/>
        <w:spacing w:line="240" w:lineRule="auto"/>
        <w:jc w:val="center"/>
        <w:rPr>
          <w:rFonts w:ascii="Arial" w:hAnsi="Arial" w:cs="Arial"/>
          <w:bCs/>
          <w:iCs/>
          <w:kern w:val="28"/>
          <w:sz w:val="36"/>
        </w:rPr>
      </w:pPr>
      <w:r w:rsidRPr="00F1615E">
        <w:rPr>
          <w:rFonts w:ascii="Arial" w:hAnsi="Arial" w:cs="Arial"/>
          <w:bCs/>
          <w:iCs/>
          <w:kern w:val="28"/>
          <w:sz w:val="36"/>
        </w:rPr>
        <w:t>CONVERGING BIOTECHNOLOGICAL AND DIGITAL FRONTIERS: REDESIGNING NITROGEN FIXATION FOR CLIMATE-RESILIENT AGROECOSYSTEMS</w:t>
      </w:r>
      <w:r w:rsidR="00231920">
        <w:rPr>
          <w:rFonts w:ascii="Arial" w:hAnsi="Arial" w:cs="Arial"/>
          <w:bCs/>
          <w:iCs/>
          <w:kern w:val="28"/>
          <w:sz w:val="36"/>
        </w:rPr>
        <w:t xml:space="preserve"> </w:t>
      </w:r>
    </w:p>
    <w:p w14:paraId="506033FD" w14:textId="77777777" w:rsidR="00A258C3" w:rsidRPr="00790ADA" w:rsidRDefault="00A258C3" w:rsidP="00441B6F">
      <w:pPr>
        <w:pStyle w:val="Author"/>
        <w:spacing w:line="240" w:lineRule="auto"/>
        <w:jc w:val="both"/>
        <w:rPr>
          <w:rFonts w:ascii="Arial" w:hAnsi="Arial" w:cs="Arial"/>
          <w:sz w:val="36"/>
        </w:rPr>
      </w:pPr>
    </w:p>
    <w:p w14:paraId="5CFC7AAF" w14:textId="77777777" w:rsidR="002C57D2" w:rsidRPr="00FB3A86" w:rsidRDefault="002C57D2" w:rsidP="00441B6F">
      <w:pPr>
        <w:pStyle w:val="Affiliation"/>
        <w:spacing w:after="0" w:line="240" w:lineRule="auto"/>
        <w:jc w:val="both"/>
        <w:rPr>
          <w:rFonts w:ascii="Arial" w:hAnsi="Arial" w:cs="Arial"/>
        </w:rPr>
      </w:pPr>
    </w:p>
    <w:p w14:paraId="5CFB6064" w14:textId="28C63EBA" w:rsidR="00B01FCD" w:rsidRPr="00FB3A86" w:rsidRDefault="00CE457E" w:rsidP="00441B6F">
      <w:pPr>
        <w:pStyle w:val="Copyright"/>
        <w:spacing w:after="0" w:line="240" w:lineRule="auto"/>
        <w:jc w:val="both"/>
        <w:rPr>
          <w:rFonts w:ascii="Arial" w:hAnsi="Arial" w:cs="Arial"/>
        </w:rPr>
        <w:sectPr w:rsidR="00B01FCD" w:rsidRPr="00FB3A86" w:rsidSect="004151A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878E153" wp14:editId="571A589C">
                <wp:extent cx="5303520" cy="635"/>
                <wp:effectExtent l="13335" t="17145" r="17145" b="11430"/>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EB19AE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32ADCDD8" w14:textId="69597CB5"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0BEB86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01F3971" w14:textId="77777777" w:rsidTr="001E44FE">
        <w:tc>
          <w:tcPr>
            <w:tcW w:w="9576" w:type="dxa"/>
            <w:shd w:val="clear" w:color="auto" w:fill="F2F2F2"/>
          </w:tcPr>
          <w:p w14:paraId="2EFECD85" w14:textId="797E1AC7" w:rsidR="00505F06" w:rsidRPr="00BA1B01" w:rsidRDefault="00F1615E" w:rsidP="00441B6F">
            <w:pPr>
              <w:pStyle w:val="Body"/>
              <w:spacing w:after="0"/>
              <w:rPr>
                <w:rFonts w:ascii="Arial" w:eastAsia="Calibri" w:hAnsi="Arial" w:cs="Arial"/>
                <w:szCs w:val="22"/>
              </w:rPr>
            </w:pPr>
            <w:r w:rsidRPr="00F1615E">
              <w:rPr>
                <w:rFonts w:ascii="Arial" w:eastAsia="Calibri" w:hAnsi="Arial" w:cs="Arial"/>
                <w:szCs w:val="22"/>
              </w:rPr>
              <w:t xml:space="preserve">Climate change poses unprecedented challenges to global agriculture, necessitating transformative strategies to enhance nitrogen sustainability while ensuring food security. Conventional nitrogen management, heavily reliant on synthetic fertilizers, exacerbates environmental degradation through greenhouse gas emissions, nutrient leaching, and soil degradation. This review synthesizes advances in sustainable nitrogen fixation (SNF) strategies, emphasizing biological, technological, and systemic innovations to reconcile productivity with ecological resilience. We explore the potential of classical biological nitrogen fixation (BNF) via legume-rhizobia symbiosis and </w:t>
            </w:r>
            <w:proofErr w:type="spellStart"/>
            <w:r w:rsidRPr="00F1615E">
              <w:rPr>
                <w:rFonts w:ascii="Arial" w:eastAsia="Calibri" w:hAnsi="Arial" w:cs="Arial"/>
                <w:szCs w:val="22"/>
              </w:rPr>
              <w:t>asymbiotic</w:t>
            </w:r>
            <w:proofErr w:type="spellEnd"/>
            <w:r w:rsidRPr="00F1615E">
              <w:rPr>
                <w:rFonts w:ascii="Arial" w:eastAsia="Calibri" w:hAnsi="Arial" w:cs="Arial"/>
                <w:szCs w:val="22"/>
              </w:rPr>
              <w:t xml:space="preserve"> diazotrophs, alongside emerging synthetic biology tools such as CRISPR-edited crops and engineered microbial consortia, to reduce dependency on synthetic inputs. Cutting-edge interventions—including nanotechnology-enabled fertilizers, AI-driven nutrient modeling, and real-time </w:t>
            </w:r>
            <w:proofErr w:type="spellStart"/>
            <w:r w:rsidRPr="00F1615E">
              <w:rPr>
                <w:rFonts w:ascii="Arial" w:eastAsia="Calibri" w:hAnsi="Arial" w:cs="Arial"/>
                <w:szCs w:val="22"/>
              </w:rPr>
              <w:t>nanosensors</w:t>
            </w:r>
            <w:proofErr w:type="spellEnd"/>
            <w:r w:rsidRPr="00F1615E">
              <w:rPr>
                <w:rFonts w:ascii="Arial" w:eastAsia="Calibri" w:hAnsi="Arial" w:cs="Arial"/>
                <w:szCs w:val="22"/>
              </w:rPr>
              <w:t>—are highlighted for their role in optimizing nitrogen-use efficiency and precision agriculture. Furthermore, systems-level approaches integrating circular economy principles, landscape-scale nitrogen cycling, and climate-smart practices underscore the importance of holistic agroecosystem management. Despite these advancements, challenges persist in scalability, environmental stress adaptation, and interdisciplinary implementation. Ethical considerations, equitable technology access, and policy frameworks are critical to ensuring safe and inclusive deployment. The review concludes that a paradigm shift toward integrated, data-driven nitrogen management—bridging microbial ecology, synthetic biology, and digital innovations—is essential for building climate-resilient agricultural systems. Prioritizing transdisciplinary research, stakeholder engagement, and context-specific solutions will be pivotal in realizing sustainable nitrogen fixation as a cornerstone of global food security and environmental stewardship.</w:t>
            </w:r>
          </w:p>
        </w:tc>
      </w:tr>
    </w:tbl>
    <w:p w14:paraId="48EB5A86" w14:textId="77777777" w:rsidR="00636EB2" w:rsidRDefault="00636EB2" w:rsidP="00441B6F">
      <w:pPr>
        <w:pStyle w:val="Body"/>
        <w:spacing w:after="0"/>
        <w:rPr>
          <w:rFonts w:ascii="Arial" w:hAnsi="Arial" w:cs="Arial"/>
          <w:i/>
        </w:rPr>
      </w:pPr>
    </w:p>
    <w:p w14:paraId="07FCA28C" w14:textId="096FD42B" w:rsidR="00A24E7E" w:rsidRDefault="00A24E7E" w:rsidP="00441B6F">
      <w:pPr>
        <w:pStyle w:val="Body"/>
        <w:spacing w:after="0"/>
        <w:rPr>
          <w:rFonts w:ascii="Arial" w:hAnsi="Arial" w:cs="Arial"/>
          <w:i/>
        </w:rPr>
      </w:pPr>
      <w:r>
        <w:rPr>
          <w:rFonts w:ascii="Arial" w:hAnsi="Arial" w:cs="Arial"/>
          <w:i/>
        </w:rPr>
        <w:t xml:space="preserve">Keywords: </w:t>
      </w:r>
      <w:r w:rsidR="00F1615E" w:rsidRPr="00F1615E">
        <w:rPr>
          <w:rFonts w:ascii="Arial" w:hAnsi="Arial" w:cs="Arial"/>
          <w:i/>
        </w:rPr>
        <w:t>Sustainable nitrogen fixation, Climate-resilient agriculture, Biologica</w:t>
      </w:r>
      <w:r w:rsidR="007E44FB">
        <w:rPr>
          <w:rFonts w:ascii="Arial" w:hAnsi="Arial" w:cs="Arial"/>
          <w:i/>
        </w:rPr>
        <w:t>l</w:t>
      </w:r>
      <w:r w:rsidR="00F1615E" w:rsidRPr="00F1615E">
        <w:rPr>
          <w:rFonts w:ascii="Arial" w:hAnsi="Arial" w:cs="Arial"/>
          <w:i/>
        </w:rPr>
        <w:t xml:space="preserve"> nitrogen fixation (BNF), Synthetic biology</w:t>
      </w:r>
      <w:r w:rsidR="00F1615E">
        <w:rPr>
          <w:rFonts w:ascii="Arial" w:hAnsi="Arial" w:cs="Arial"/>
          <w:i/>
        </w:rPr>
        <w:t xml:space="preserve">, </w:t>
      </w:r>
      <w:r w:rsidR="00F1615E" w:rsidRPr="00F1615E">
        <w:rPr>
          <w:rFonts w:ascii="Arial" w:hAnsi="Arial" w:cs="Arial"/>
          <w:i/>
        </w:rPr>
        <w:t>CRISPR, microbial engineering, Nitrogen-use efficiency (NUE</w:t>
      </w:r>
      <w:r w:rsidR="00F1615E">
        <w:rPr>
          <w:rFonts w:ascii="Arial" w:hAnsi="Arial" w:cs="Arial"/>
          <w:i/>
        </w:rPr>
        <w:t>)</w:t>
      </w:r>
    </w:p>
    <w:p w14:paraId="01F48AE3" w14:textId="77777777" w:rsidR="00790ADA" w:rsidRDefault="00790ADA" w:rsidP="00441B6F">
      <w:pPr>
        <w:pStyle w:val="Body"/>
        <w:spacing w:after="0"/>
        <w:rPr>
          <w:rFonts w:ascii="Arial" w:hAnsi="Arial" w:cs="Arial"/>
          <w:i/>
        </w:rPr>
      </w:pPr>
    </w:p>
    <w:p w14:paraId="466149D4" w14:textId="77777777" w:rsidR="0024282C" w:rsidRDefault="0024282C" w:rsidP="00441B6F">
      <w:pPr>
        <w:pStyle w:val="Body"/>
        <w:spacing w:after="0"/>
        <w:rPr>
          <w:rFonts w:ascii="Arial" w:hAnsi="Arial" w:cs="Arial"/>
          <w:i/>
          <w:sz w:val="18"/>
        </w:rPr>
      </w:pPr>
    </w:p>
    <w:p w14:paraId="1D5A13BF" w14:textId="77777777" w:rsidR="00505F06" w:rsidRPr="00A24E7E" w:rsidRDefault="00505F06" w:rsidP="00441B6F">
      <w:pPr>
        <w:pStyle w:val="Body"/>
        <w:spacing w:after="0"/>
        <w:rPr>
          <w:rFonts w:ascii="Arial" w:hAnsi="Arial" w:cs="Arial"/>
          <w:i/>
        </w:rPr>
      </w:pPr>
    </w:p>
    <w:p w14:paraId="23B4560A" w14:textId="384BE8C3" w:rsidR="007F7B32" w:rsidRDefault="00B01FCD" w:rsidP="005269CB">
      <w:pPr>
        <w:pStyle w:val="AbstHead"/>
        <w:numPr>
          <w:ilvl w:val="0"/>
          <w:numId w:val="32"/>
        </w:numPr>
        <w:spacing w:after="0"/>
        <w:jc w:val="both"/>
        <w:rPr>
          <w:rFonts w:ascii="Arial" w:hAnsi="Arial" w:cs="Arial"/>
        </w:rPr>
      </w:pPr>
      <w:r w:rsidRPr="00FB3A86">
        <w:rPr>
          <w:rFonts w:ascii="Arial" w:hAnsi="Arial" w:cs="Arial"/>
        </w:rPr>
        <w:t>INTRODUCTION</w:t>
      </w:r>
      <w:r w:rsidR="007F7B32">
        <w:rPr>
          <w:rFonts w:ascii="Arial" w:hAnsi="Arial" w:cs="Arial"/>
        </w:rPr>
        <w:t xml:space="preserve"> </w:t>
      </w:r>
    </w:p>
    <w:p w14:paraId="76AFAC9A" w14:textId="77777777" w:rsidR="005269CB" w:rsidRDefault="005269CB" w:rsidP="005269CB">
      <w:pPr>
        <w:pStyle w:val="Body"/>
        <w:spacing w:before="120" w:after="0"/>
        <w:ind w:firstLine="567"/>
        <w:rPr>
          <w:rFonts w:ascii="Arial" w:eastAsia="Calibri" w:hAnsi="Arial" w:cs="Arial"/>
          <w:szCs w:val="22"/>
        </w:rPr>
      </w:pPr>
      <w:r w:rsidRPr="005269CB">
        <w:rPr>
          <w:rFonts w:ascii="Arial" w:eastAsia="Calibri" w:hAnsi="Arial" w:cs="Arial"/>
          <w:szCs w:val="22"/>
        </w:rPr>
        <w:t xml:space="preserve">The increasing unpredictability of climate change presents significant challenges to global agriculture, necessitating innovative strategies to sustain food production. Climate variability exacerbates soil degradation, nutrient imbalances, and extreme weather conditions, </w:t>
      </w:r>
      <w:r w:rsidRPr="005269CB">
        <w:rPr>
          <w:rFonts w:ascii="Arial" w:eastAsia="Calibri" w:hAnsi="Arial" w:cs="Arial"/>
          <w:szCs w:val="22"/>
        </w:rPr>
        <w:lastRenderedPageBreak/>
        <w:t>all of which threaten crop productivity (</w:t>
      </w:r>
      <w:proofErr w:type="spellStart"/>
      <w:r w:rsidRPr="005269CB">
        <w:rPr>
          <w:rFonts w:ascii="Arial" w:eastAsia="Calibri" w:hAnsi="Arial" w:cs="Arial"/>
          <w:szCs w:val="22"/>
        </w:rPr>
        <w:t>Viancelli</w:t>
      </w:r>
      <w:proofErr w:type="spellEnd"/>
      <w:r w:rsidRPr="005269CB">
        <w:rPr>
          <w:rFonts w:ascii="Arial" w:eastAsia="Calibri" w:hAnsi="Arial" w:cs="Arial"/>
          <w:szCs w:val="22"/>
        </w:rPr>
        <w:t xml:space="preserve"> &amp; </w:t>
      </w:r>
      <w:proofErr w:type="spellStart"/>
      <w:r w:rsidRPr="005269CB">
        <w:rPr>
          <w:rFonts w:ascii="Arial" w:eastAsia="Calibri" w:hAnsi="Arial" w:cs="Arial"/>
          <w:szCs w:val="22"/>
        </w:rPr>
        <w:t>Michelon</w:t>
      </w:r>
      <w:proofErr w:type="spellEnd"/>
      <w:r w:rsidRPr="005269CB">
        <w:rPr>
          <w:rFonts w:ascii="Arial" w:eastAsia="Calibri" w:hAnsi="Arial" w:cs="Arial"/>
          <w:szCs w:val="22"/>
        </w:rPr>
        <w:t>, 2024). Among the key concerns is nitrogen management, as conventional synthetic nitrogen fertilizers contribute to greenhouse gas emissions and environmental degradation (Pascual et al., 2024). The reliance on nitrogen-intensive agricultural practices, particularly through the Haber-Bosch process, results in high energy consumption and nitrogen runoff, further exacerbating climate change impacts (Pascual et al., 2024). To address these issues, sustainable nitrogen fixation strategies have gained prominence as a viable solution to maintain soil fertility and enhance climate resilience.</w:t>
      </w:r>
    </w:p>
    <w:p w14:paraId="31E76A67" w14:textId="77777777" w:rsidR="005269CB" w:rsidRDefault="005269CB" w:rsidP="005269CB">
      <w:pPr>
        <w:pStyle w:val="Body"/>
        <w:spacing w:after="0"/>
        <w:ind w:firstLine="567"/>
        <w:rPr>
          <w:rFonts w:ascii="Arial" w:eastAsia="Calibri" w:hAnsi="Arial" w:cs="Arial"/>
          <w:szCs w:val="22"/>
        </w:rPr>
      </w:pPr>
      <w:r w:rsidRPr="005269CB">
        <w:rPr>
          <w:rFonts w:ascii="Arial" w:eastAsia="Calibri" w:hAnsi="Arial" w:cs="Arial"/>
          <w:szCs w:val="22"/>
        </w:rPr>
        <w:t>Conventional nitrogen management relies heavily on synthetic fertilizers, which, despite their role in increasing crop yields, pose several environmental and economic drawbacks. The excessive use of these fertilizers leads to nitrogen leaching, water pollution, and greenhouse gas emissions, particularly in intensive farming systems (Tufail et al., 2024). Additionally, nitrogen-use efficiency remains suboptimal, with a significant portion of applied nitrogen being lost to the environment instead of being utilized by plants (</w:t>
      </w:r>
      <w:proofErr w:type="spellStart"/>
      <w:r w:rsidRPr="005269CB">
        <w:rPr>
          <w:rFonts w:ascii="Arial" w:eastAsia="Calibri" w:hAnsi="Arial" w:cs="Arial"/>
          <w:szCs w:val="22"/>
        </w:rPr>
        <w:t>Nasiro</w:t>
      </w:r>
      <w:proofErr w:type="spellEnd"/>
      <w:r w:rsidRPr="005269CB">
        <w:rPr>
          <w:rFonts w:ascii="Arial" w:eastAsia="Calibri" w:hAnsi="Arial" w:cs="Arial"/>
          <w:szCs w:val="22"/>
        </w:rPr>
        <w:t xml:space="preserve"> &amp; </w:t>
      </w:r>
      <w:proofErr w:type="spellStart"/>
      <w:r w:rsidRPr="005269CB">
        <w:rPr>
          <w:rFonts w:ascii="Arial" w:eastAsia="Calibri" w:hAnsi="Arial" w:cs="Arial"/>
          <w:szCs w:val="22"/>
        </w:rPr>
        <w:t>Mohammednur</w:t>
      </w:r>
      <w:proofErr w:type="spellEnd"/>
      <w:r w:rsidRPr="005269CB">
        <w:rPr>
          <w:rFonts w:ascii="Arial" w:eastAsia="Calibri" w:hAnsi="Arial" w:cs="Arial"/>
          <w:szCs w:val="22"/>
        </w:rPr>
        <w:t>, 2024). These inefficiencies underscore the need for alternative approaches that optimize nitrogen availability while minimizing environmental harm. Biological nitrogen fixation (BNF), a natural process primarily mediated by symbiotic relationships between legumes and rhizobia, presents a sustainable alternative to synthetic nitrogen applications (Gha. BNF can contribute substantially to soil nitrogen pools, with leguminous crops deriving up to 99% of their nitrogen from atmospheric fixation (Ghafoor et al., 2024). Despite its potential, variability in fixation rates across species and ecological conditions poses a challenge to its widespread application.</w:t>
      </w:r>
    </w:p>
    <w:p w14:paraId="7090CDA8" w14:textId="77777777" w:rsidR="005269CB" w:rsidRDefault="005269CB" w:rsidP="005269CB">
      <w:pPr>
        <w:pStyle w:val="Body"/>
        <w:spacing w:after="0"/>
        <w:ind w:firstLine="567"/>
        <w:rPr>
          <w:rFonts w:ascii="Arial" w:eastAsia="Calibri" w:hAnsi="Arial" w:cs="Arial"/>
          <w:szCs w:val="22"/>
        </w:rPr>
      </w:pPr>
      <w:r w:rsidRPr="005269CB">
        <w:rPr>
          <w:rFonts w:ascii="Arial" w:eastAsia="Calibri" w:hAnsi="Arial" w:cs="Arial"/>
          <w:szCs w:val="22"/>
        </w:rPr>
        <w:t>Given the limitations of conventional nitrogen fixation strategies, a shift towards innovative and integrated approaches is imperative. Precision nutrient management, which synchronizes nitrogen application with plant demand, has been identified as a key strategy to enhance nitrogen-use efficiency while reducing environmental impacts (</w:t>
      </w:r>
      <w:proofErr w:type="spellStart"/>
      <w:r w:rsidRPr="005269CB">
        <w:rPr>
          <w:rFonts w:ascii="Arial" w:eastAsia="Calibri" w:hAnsi="Arial" w:cs="Arial"/>
          <w:szCs w:val="22"/>
        </w:rPr>
        <w:t>Nasiro</w:t>
      </w:r>
      <w:proofErr w:type="spellEnd"/>
      <w:r w:rsidRPr="005269CB">
        <w:rPr>
          <w:rFonts w:ascii="Arial" w:eastAsia="Calibri" w:hAnsi="Arial" w:cs="Arial"/>
          <w:szCs w:val="22"/>
        </w:rPr>
        <w:t xml:space="preserve"> &amp; </w:t>
      </w:r>
      <w:proofErr w:type="spellStart"/>
      <w:r w:rsidRPr="005269CB">
        <w:rPr>
          <w:rFonts w:ascii="Arial" w:eastAsia="Calibri" w:hAnsi="Arial" w:cs="Arial"/>
          <w:szCs w:val="22"/>
        </w:rPr>
        <w:t>Mohammednur</w:t>
      </w:r>
      <w:proofErr w:type="spellEnd"/>
      <w:r w:rsidRPr="005269CB">
        <w:rPr>
          <w:rFonts w:ascii="Arial" w:eastAsia="Calibri" w:hAnsi="Arial" w:cs="Arial"/>
          <w:szCs w:val="22"/>
        </w:rPr>
        <w:t>, 2024). Additionally, advancements in agrobiotechnology, including microbial inoculants and genetically engineered nitrogen-fixing plants, offer promising avenues for optimizing BNF efficiency (Abd-</w:t>
      </w:r>
      <w:proofErr w:type="spellStart"/>
      <w:r w:rsidRPr="005269CB">
        <w:rPr>
          <w:rFonts w:ascii="Arial" w:eastAsia="Calibri" w:hAnsi="Arial" w:cs="Arial"/>
          <w:szCs w:val="22"/>
        </w:rPr>
        <w:t>Alla</w:t>
      </w:r>
      <w:proofErr w:type="spellEnd"/>
      <w:r w:rsidRPr="005269CB">
        <w:rPr>
          <w:rFonts w:ascii="Arial" w:eastAsia="Calibri" w:hAnsi="Arial" w:cs="Arial"/>
          <w:szCs w:val="22"/>
        </w:rPr>
        <w:t xml:space="preserve"> et al., 2023). Emerging research suggests that enhancing the symbiotic efficiency of Rhizobium–legume interactions can significantly reduce dependence on synthetic fertilizers while improving soil fertility (Abd-</w:t>
      </w:r>
      <w:proofErr w:type="spellStart"/>
      <w:r w:rsidRPr="005269CB">
        <w:rPr>
          <w:rFonts w:ascii="Arial" w:eastAsia="Calibri" w:hAnsi="Arial" w:cs="Arial"/>
          <w:szCs w:val="22"/>
        </w:rPr>
        <w:t>Alla</w:t>
      </w:r>
      <w:proofErr w:type="spellEnd"/>
      <w:r w:rsidRPr="005269CB">
        <w:rPr>
          <w:rFonts w:ascii="Arial" w:eastAsia="Calibri" w:hAnsi="Arial" w:cs="Arial"/>
          <w:szCs w:val="22"/>
        </w:rPr>
        <w:t xml:space="preserve"> et al., 2023). Moreover, microbial inoculants such as </w:t>
      </w:r>
      <w:proofErr w:type="spellStart"/>
      <w:r w:rsidRPr="005269CB">
        <w:rPr>
          <w:rFonts w:ascii="Arial" w:eastAsia="Calibri" w:hAnsi="Arial" w:cs="Arial"/>
          <w:szCs w:val="22"/>
        </w:rPr>
        <w:t>Azotobacter</w:t>
      </w:r>
      <w:proofErr w:type="spellEnd"/>
      <w:r w:rsidRPr="005269CB">
        <w:rPr>
          <w:rFonts w:ascii="Arial" w:eastAsia="Calibri" w:hAnsi="Arial" w:cs="Arial"/>
          <w:szCs w:val="22"/>
        </w:rPr>
        <w:t xml:space="preserve"> </w:t>
      </w:r>
      <w:proofErr w:type="spellStart"/>
      <w:r w:rsidRPr="005269CB">
        <w:rPr>
          <w:rFonts w:ascii="Arial" w:eastAsia="Calibri" w:hAnsi="Arial" w:cs="Arial"/>
          <w:szCs w:val="22"/>
        </w:rPr>
        <w:t>vinelandii</w:t>
      </w:r>
      <w:proofErr w:type="spellEnd"/>
      <w:r w:rsidRPr="005269CB">
        <w:rPr>
          <w:rFonts w:ascii="Arial" w:eastAsia="Calibri" w:hAnsi="Arial" w:cs="Arial"/>
          <w:szCs w:val="22"/>
        </w:rPr>
        <w:t xml:space="preserve"> are being explored as potential agents for nitrogen fixation in non-leguminous crops, further broadening the scope of sustainable nitrogen management (Barron et al., 2024).</w:t>
      </w:r>
    </w:p>
    <w:p w14:paraId="4F5AC9C1" w14:textId="72563734" w:rsidR="005269CB" w:rsidRPr="005269CB" w:rsidRDefault="005269CB" w:rsidP="005269CB">
      <w:pPr>
        <w:pStyle w:val="Body"/>
        <w:spacing w:after="0"/>
        <w:ind w:firstLine="567"/>
        <w:rPr>
          <w:rFonts w:ascii="Arial" w:eastAsia="Calibri" w:hAnsi="Arial" w:cs="Arial"/>
          <w:szCs w:val="22"/>
        </w:rPr>
      </w:pPr>
      <w:r w:rsidRPr="005269CB">
        <w:rPr>
          <w:rFonts w:ascii="Arial" w:eastAsia="Calibri" w:hAnsi="Arial" w:cs="Arial"/>
          <w:szCs w:val="22"/>
        </w:rPr>
        <w:t>While significant progress has been made in understanding and optimizing nitrogen fixation, several research gaps remain. The variability in nitrogen fixation rates across different crop species and ecological conditions necessitates further exploration to enhance the consistency of BNF in diverse agricultural systems (Ghafoor et al., 2024). Additionally, interdisciplinary research integrating agronomy, soil microbiology, and climate science is crucial for developing holistic nitrogen management solutions that address both productivity and sustainability concerns (</w:t>
      </w:r>
      <w:proofErr w:type="spellStart"/>
      <w:r w:rsidRPr="005269CB">
        <w:rPr>
          <w:rFonts w:ascii="Arial" w:eastAsia="Calibri" w:hAnsi="Arial" w:cs="Arial"/>
          <w:szCs w:val="22"/>
        </w:rPr>
        <w:t>Viancelli</w:t>
      </w:r>
      <w:proofErr w:type="spellEnd"/>
      <w:r w:rsidRPr="005269CB">
        <w:rPr>
          <w:rFonts w:ascii="Arial" w:eastAsia="Calibri" w:hAnsi="Arial" w:cs="Arial"/>
          <w:szCs w:val="22"/>
        </w:rPr>
        <w:t xml:space="preserve"> &amp; </w:t>
      </w:r>
      <w:proofErr w:type="spellStart"/>
      <w:r w:rsidRPr="005269CB">
        <w:rPr>
          <w:rFonts w:ascii="Arial" w:eastAsia="Calibri" w:hAnsi="Arial" w:cs="Arial"/>
          <w:szCs w:val="22"/>
        </w:rPr>
        <w:t>Michelon</w:t>
      </w:r>
      <w:proofErr w:type="spellEnd"/>
      <w:r w:rsidRPr="005269CB">
        <w:rPr>
          <w:rFonts w:ascii="Arial" w:eastAsia="Calibri" w:hAnsi="Arial" w:cs="Arial"/>
          <w:szCs w:val="22"/>
        </w:rPr>
        <w:t>, 2024). The integration of precision farming technologies, artificial intelligence, and machine learning holds promise in optimizing nitrogen application strategies, thereby improving efficiency and reducing environmental impacts (</w:t>
      </w:r>
      <w:proofErr w:type="spellStart"/>
      <w:r w:rsidRPr="005269CB">
        <w:rPr>
          <w:rFonts w:ascii="Arial" w:eastAsia="Calibri" w:hAnsi="Arial" w:cs="Arial"/>
          <w:szCs w:val="22"/>
        </w:rPr>
        <w:t>Nasiro</w:t>
      </w:r>
      <w:proofErr w:type="spellEnd"/>
      <w:r w:rsidRPr="005269CB">
        <w:rPr>
          <w:rFonts w:ascii="Arial" w:eastAsia="Calibri" w:hAnsi="Arial" w:cs="Arial"/>
          <w:szCs w:val="22"/>
        </w:rPr>
        <w:t xml:space="preserve"> &amp; </w:t>
      </w:r>
      <w:proofErr w:type="spellStart"/>
      <w:r w:rsidRPr="005269CB">
        <w:rPr>
          <w:rFonts w:ascii="Arial" w:eastAsia="Calibri" w:hAnsi="Arial" w:cs="Arial"/>
          <w:szCs w:val="22"/>
        </w:rPr>
        <w:t>Mohammednur</w:t>
      </w:r>
      <w:proofErr w:type="spellEnd"/>
      <w:r w:rsidRPr="005269CB">
        <w:rPr>
          <w:rFonts w:ascii="Arial" w:eastAsia="Calibri" w:hAnsi="Arial" w:cs="Arial"/>
          <w:szCs w:val="22"/>
        </w:rPr>
        <w:t>, 2024). Addressing these gaps will be essential in ensuring that biological nitrogen fixation emerges as a cornerstone of sustainable crop production in the face of a changing climate.</w:t>
      </w:r>
    </w:p>
    <w:p w14:paraId="68FAD703" w14:textId="77777777" w:rsidR="005269CB" w:rsidRPr="005269CB" w:rsidRDefault="005269CB" w:rsidP="005269CB">
      <w:pPr>
        <w:pStyle w:val="Body"/>
        <w:rPr>
          <w:rFonts w:ascii="Arial" w:eastAsia="Calibri" w:hAnsi="Arial" w:cs="Arial"/>
          <w:szCs w:val="22"/>
        </w:rPr>
      </w:pPr>
    </w:p>
    <w:p w14:paraId="3C3E556A" w14:textId="54194CEE" w:rsidR="005269CB" w:rsidRDefault="005269CB" w:rsidP="005269CB">
      <w:pPr>
        <w:spacing w:line="360" w:lineRule="auto"/>
        <w:jc w:val="both"/>
        <w:rPr>
          <w:rFonts w:ascii="Times New Roman" w:eastAsia="Calibri" w:hAnsi="Times New Roman"/>
        </w:rPr>
      </w:pPr>
      <w:r>
        <w:rPr>
          <w:noProof/>
        </w:rPr>
        <w:lastRenderedPageBreak/>
        <w:drawing>
          <wp:inline distT="0" distB="0" distL="0" distR="0" wp14:anchorId="361E1CA9" wp14:editId="22504A38">
            <wp:extent cx="5129530" cy="3807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9530" cy="3807460"/>
                    </a:xfrm>
                    <a:prstGeom prst="rect">
                      <a:avLst/>
                    </a:prstGeom>
                    <a:noFill/>
                    <a:ln>
                      <a:noFill/>
                    </a:ln>
                  </pic:spPr>
                </pic:pic>
              </a:graphicData>
            </a:graphic>
          </wp:inline>
        </w:drawing>
      </w:r>
    </w:p>
    <w:p w14:paraId="3E5F8B11" w14:textId="54830ADF" w:rsidR="005269CB" w:rsidRPr="005269CB" w:rsidRDefault="005269CB" w:rsidP="005269CB">
      <w:pPr>
        <w:spacing w:line="360" w:lineRule="auto"/>
        <w:jc w:val="center"/>
        <w:rPr>
          <w:rFonts w:ascii="Times New Roman" w:eastAsia="Calibri" w:hAnsi="Times New Roman"/>
          <w:b/>
          <w:bCs/>
        </w:rPr>
      </w:pPr>
      <w:r w:rsidRPr="005269CB">
        <w:rPr>
          <w:rFonts w:ascii="Times New Roman" w:eastAsia="Calibri" w:hAnsi="Times New Roman"/>
          <w:b/>
          <w:bCs/>
        </w:rPr>
        <w:t>Fig</w:t>
      </w:r>
      <w:r>
        <w:rPr>
          <w:rFonts w:ascii="Times New Roman" w:eastAsia="Calibri" w:hAnsi="Times New Roman"/>
          <w:b/>
          <w:bCs/>
        </w:rPr>
        <w:t>.</w:t>
      </w:r>
      <w:r w:rsidRPr="005269CB">
        <w:rPr>
          <w:rFonts w:ascii="Times New Roman" w:eastAsia="Calibri" w:hAnsi="Times New Roman"/>
          <w:b/>
          <w:bCs/>
        </w:rPr>
        <w:t xml:space="preserve"> 1</w:t>
      </w:r>
      <w:r>
        <w:rPr>
          <w:rFonts w:ascii="Times New Roman" w:eastAsia="Calibri" w:hAnsi="Times New Roman"/>
          <w:b/>
          <w:bCs/>
        </w:rPr>
        <w:t>.</w:t>
      </w:r>
      <w:r w:rsidRPr="005269CB">
        <w:rPr>
          <w:rFonts w:ascii="Times New Roman" w:eastAsia="Calibri" w:hAnsi="Times New Roman"/>
          <w:b/>
          <w:bCs/>
        </w:rPr>
        <w:t xml:space="preserve"> Global nitrogen cycle under climate change (</w:t>
      </w:r>
      <w:proofErr w:type="spellStart"/>
      <w:r w:rsidRPr="005269CB">
        <w:rPr>
          <w:rFonts w:ascii="Times New Roman" w:eastAsia="Calibri" w:hAnsi="Times New Roman"/>
          <w:b/>
          <w:bCs/>
        </w:rPr>
        <w:t>Viancelli</w:t>
      </w:r>
      <w:proofErr w:type="spellEnd"/>
      <w:r w:rsidRPr="005269CB">
        <w:rPr>
          <w:rFonts w:ascii="Times New Roman" w:eastAsia="Calibri" w:hAnsi="Times New Roman"/>
          <w:b/>
          <w:bCs/>
        </w:rPr>
        <w:t xml:space="preserve"> &amp; </w:t>
      </w:r>
      <w:proofErr w:type="spellStart"/>
      <w:r w:rsidRPr="005269CB">
        <w:rPr>
          <w:rFonts w:ascii="Times New Roman" w:eastAsia="Calibri" w:hAnsi="Times New Roman"/>
          <w:b/>
          <w:bCs/>
        </w:rPr>
        <w:t>Michelon</w:t>
      </w:r>
      <w:proofErr w:type="spellEnd"/>
      <w:r w:rsidRPr="005269CB">
        <w:rPr>
          <w:rFonts w:ascii="Times New Roman" w:eastAsia="Calibri" w:hAnsi="Times New Roman"/>
          <w:b/>
          <w:bCs/>
        </w:rPr>
        <w:t>, 2024)</w:t>
      </w:r>
    </w:p>
    <w:p w14:paraId="0D1C176D" w14:textId="77777777" w:rsidR="00790ADA" w:rsidRPr="00FB3A86" w:rsidRDefault="00790ADA" w:rsidP="00441B6F">
      <w:pPr>
        <w:pStyle w:val="Body"/>
        <w:spacing w:after="0"/>
        <w:rPr>
          <w:rFonts w:ascii="Arial" w:hAnsi="Arial" w:cs="Arial"/>
        </w:rPr>
      </w:pPr>
    </w:p>
    <w:p w14:paraId="09BB78E8" w14:textId="5C61C8EE" w:rsidR="007F7B32" w:rsidRDefault="005269CB" w:rsidP="0010196B">
      <w:pPr>
        <w:pStyle w:val="AbstHead"/>
        <w:numPr>
          <w:ilvl w:val="0"/>
          <w:numId w:val="32"/>
        </w:numPr>
        <w:spacing w:after="120"/>
        <w:jc w:val="both"/>
        <w:rPr>
          <w:rFonts w:ascii="Arial" w:hAnsi="Arial" w:cs="Arial"/>
        </w:rPr>
      </w:pPr>
      <w:r w:rsidRPr="005269CB">
        <w:rPr>
          <w:rFonts w:ascii="Arial" w:hAnsi="Arial" w:cs="Arial"/>
        </w:rPr>
        <w:t>Sustainable Nitrogen Fixation Strategies for Crop Production Under Climate Change</w:t>
      </w:r>
    </w:p>
    <w:p w14:paraId="7782AFD6" w14:textId="46BD91D9" w:rsidR="005269CB" w:rsidRPr="005269CB" w:rsidRDefault="005269CB" w:rsidP="0010196B">
      <w:pPr>
        <w:pStyle w:val="ListParagraph"/>
        <w:numPr>
          <w:ilvl w:val="1"/>
          <w:numId w:val="32"/>
        </w:numPr>
        <w:spacing w:after="120"/>
        <w:jc w:val="both"/>
        <w:rPr>
          <w:rFonts w:ascii="Arial" w:hAnsi="Arial" w:cs="Arial"/>
          <w:b/>
          <w:bCs/>
          <w:sz w:val="22"/>
          <w:szCs w:val="22"/>
        </w:rPr>
      </w:pPr>
      <w:r w:rsidRPr="005269CB">
        <w:rPr>
          <w:rFonts w:ascii="Arial" w:hAnsi="Arial" w:cs="Arial"/>
          <w:b/>
          <w:bCs/>
          <w:sz w:val="22"/>
          <w:szCs w:val="22"/>
        </w:rPr>
        <w:t xml:space="preserve">Classical Biological Nitrogen Fixation Mechanisms (Symbiotic and </w:t>
      </w:r>
      <w:proofErr w:type="spellStart"/>
      <w:r w:rsidRPr="005269CB">
        <w:rPr>
          <w:rFonts w:ascii="Arial" w:hAnsi="Arial" w:cs="Arial"/>
          <w:b/>
          <w:bCs/>
          <w:sz w:val="22"/>
          <w:szCs w:val="22"/>
        </w:rPr>
        <w:t>Asymbiotic</w:t>
      </w:r>
      <w:proofErr w:type="spellEnd"/>
      <w:r w:rsidRPr="005269CB">
        <w:rPr>
          <w:rFonts w:ascii="Arial" w:hAnsi="Arial" w:cs="Arial"/>
          <w:b/>
          <w:bCs/>
          <w:sz w:val="22"/>
          <w:szCs w:val="22"/>
        </w:rPr>
        <w:t>)</w:t>
      </w:r>
    </w:p>
    <w:p w14:paraId="6CC4066E" w14:textId="77777777" w:rsidR="0010196B" w:rsidRDefault="005269CB" w:rsidP="0010196B">
      <w:pPr>
        <w:ind w:firstLine="567"/>
        <w:jc w:val="both"/>
        <w:rPr>
          <w:rFonts w:ascii="Arial" w:hAnsi="Arial" w:cs="Arial"/>
        </w:rPr>
      </w:pPr>
      <w:r w:rsidRPr="005269CB">
        <w:rPr>
          <w:rFonts w:ascii="Arial" w:hAnsi="Arial" w:cs="Arial"/>
        </w:rPr>
        <w:t>Traditional biological nitrogen fixation (BNF) occurs primarily through symbiotic associations between legumes and rhizobia, where atmospheric nitrogen (N</w:t>
      </w:r>
      <w:r w:rsidRPr="005269CB">
        <w:rPr>
          <w:rFonts w:ascii="Cambria Math" w:hAnsi="Cambria Math" w:cs="Cambria Math"/>
        </w:rPr>
        <w:t>₂</w:t>
      </w:r>
      <w:r w:rsidRPr="005269CB">
        <w:rPr>
          <w:rFonts w:ascii="Arial" w:hAnsi="Arial" w:cs="Arial"/>
        </w:rPr>
        <w:t>) is converted into plant-available ammonia (NH</w:t>
      </w:r>
      <w:r w:rsidRPr="005269CB">
        <w:rPr>
          <w:rFonts w:ascii="Cambria Math" w:hAnsi="Cambria Math" w:cs="Cambria Math"/>
        </w:rPr>
        <w:t>₃</w:t>
      </w:r>
      <w:r w:rsidRPr="005269CB">
        <w:rPr>
          <w:rFonts w:ascii="Arial" w:hAnsi="Arial" w:cs="Arial"/>
        </w:rPr>
        <w:t>) within specialized root nodules (Ghafoor et al., 2024). Similar relationships, such as those between actinorhizal plants and Frankia, function through analogous mechanisms. Symbiotic nitrogen fixation can supply over half of the nitrogen required by legumes, significantly reducing the reliance on synthetic fertilizers (Dong et al., 2024). Free-living (</w:t>
      </w:r>
      <w:proofErr w:type="spellStart"/>
      <w:r w:rsidRPr="005269CB">
        <w:rPr>
          <w:rFonts w:ascii="Arial" w:hAnsi="Arial" w:cs="Arial"/>
        </w:rPr>
        <w:t>asymbiotic</w:t>
      </w:r>
      <w:proofErr w:type="spellEnd"/>
      <w:r w:rsidRPr="005269CB">
        <w:rPr>
          <w:rFonts w:ascii="Arial" w:hAnsi="Arial" w:cs="Arial"/>
        </w:rPr>
        <w:t xml:space="preserve">) diazotrophs, including </w:t>
      </w:r>
      <w:proofErr w:type="spellStart"/>
      <w:r w:rsidRPr="005269CB">
        <w:rPr>
          <w:rFonts w:ascii="Arial" w:hAnsi="Arial" w:cs="Arial"/>
        </w:rPr>
        <w:t>Azotobacter</w:t>
      </w:r>
      <w:proofErr w:type="spellEnd"/>
      <w:r w:rsidRPr="005269CB">
        <w:rPr>
          <w:rFonts w:ascii="Arial" w:hAnsi="Arial" w:cs="Arial"/>
        </w:rPr>
        <w:t xml:space="preserve"> and Clostridium, also contribute to soil nitrogen availability but typically at lower efficiencies (Sharma et al., 2023).</w:t>
      </w:r>
    </w:p>
    <w:p w14:paraId="0BE4D540" w14:textId="33DD170F" w:rsidR="005269CB" w:rsidRDefault="005269CB" w:rsidP="0010196B">
      <w:pPr>
        <w:ind w:firstLine="567"/>
        <w:jc w:val="both"/>
        <w:rPr>
          <w:rFonts w:ascii="Arial" w:hAnsi="Arial" w:cs="Arial"/>
        </w:rPr>
      </w:pPr>
      <w:r w:rsidRPr="005269CB">
        <w:rPr>
          <w:rFonts w:ascii="Arial" w:hAnsi="Arial" w:cs="Arial"/>
        </w:rPr>
        <w:t xml:space="preserve">The nitrogenase enzyme, essential to all diazotrophs, is highly sensitive to oxygen and energetically costly, requiring substantial ATP and reducing power to function (Zhang et al., 2023). Furthermore, the presence of soil nitrate and ammonium can repress nitrogenase activity, thereby limiting the benefits of BNF under conventional high-input agricultural practices (Fan et al., 2019). </w:t>
      </w:r>
      <w:r w:rsidR="00325013" w:rsidRPr="00325013">
        <w:rPr>
          <w:rFonts w:ascii="Arial" w:hAnsi="Arial" w:cs="Arial"/>
          <w:color w:val="333A3F"/>
          <w:spacing w:val="1"/>
          <w:sz w:val="21"/>
          <w:szCs w:val="21"/>
          <w:shd w:val="clear" w:color="auto" w:fill="FFFFFF"/>
        </w:rPr>
        <w:t>Over the past few decades, anthropogenic nutrient inputs to estuaries have significantly increased, both through atmospheric deposition, which contains N sourced from fossil fuel combustion and agricultural production processes, and river export, containing N sourced from fertilizer applications, sewage, and industrial waste water discharge (  Swaney </w:t>
      </w:r>
      <w:r w:rsidR="00325013" w:rsidRPr="00325013">
        <w:rPr>
          <w:rFonts w:ascii="Arial" w:hAnsi="Arial" w:cs="Arial"/>
          <w:b/>
          <w:bCs/>
          <w:color w:val="333A3F"/>
          <w:spacing w:val="1"/>
          <w:sz w:val="21"/>
          <w:szCs w:val="21"/>
          <w:shd w:val="clear" w:color="auto" w:fill="FFFFFF"/>
        </w:rPr>
        <w:t>et</w:t>
      </w:r>
      <w:r w:rsidR="00325013" w:rsidRPr="00325013">
        <w:rPr>
          <w:rFonts w:ascii="Arial" w:hAnsi="Arial" w:cs="Arial"/>
          <w:color w:val="333A3F"/>
          <w:spacing w:val="1"/>
          <w:sz w:val="21"/>
          <w:szCs w:val="21"/>
          <w:shd w:val="clear" w:color="auto" w:fill="FFFFFF"/>
        </w:rPr>
        <w:t> </w:t>
      </w:r>
      <w:r w:rsidR="00325013" w:rsidRPr="00325013">
        <w:rPr>
          <w:rFonts w:ascii="Arial" w:hAnsi="Arial" w:cs="Arial"/>
          <w:b/>
          <w:bCs/>
          <w:color w:val="333A3F"/>
          <w:spacing w:val="1"/>
          <w:sz w:val="21"/>
          <w:szCs w:val="21"/>
          <w:shd w:val="clear" w:color="auto" w:fill="FFFFFF"/>
        </w:rPr>
        <w:t>al</w:t>
      </w:r>
      <w:r w:rsidR="00325013" w:rsidRPr="00325013">
        <w:rPr>
          <w:rFonts w:ascii="Arial" w:hAnsi="Arial" w:cs="Arial"/>
          <w:color w:val="333A3F"/>
          <w:spacing w:val="1"/>
          <w:sz w:val="21"/>
          <w:szCs w:val="21"/>
          <w:shd w:val="clear" w:color="auto" w:fill="FFFFFF"/>
        </w:rPr>
        <w:t>., </w:t>
      </w:r>
      <w:hyperlink r:id="rId15" w:tgtFrame="_blank" w:history="1">
        <w:r w:rsidR="00325013" w:rsidRPr="00325013">
          <w:rPr>
            <w:rStyle w:val="Hyperlink"/>
            <w:rFonts w:ascii="Arial" w:hAnsi="Arial" w:cs="Arial"/>
            <w:color w:val="000000" w:themeColor="text1"/>
            <w:u w:val="none"/>
          </w:rPr>
          <w:t>2015</w:t>
        </w:r>
      </w:hyperlink>
      <w:r w:rsidR="00325013" w:rsidRPr="00325013">
        <w:rPr>
          <w:rFonts w:ascii="Arial" w:hAnsi="Arial" w:cs="Arial"/>
          <w:color w:val="333A3F"/>
          <w:spacing w:val="1"/>
          <w:sz w:val="21"/>
          <w:szCs w:val="21"/>
          <w:shd w:val="clear" w:color="auto" w:fill="FFFFFF"/>
        </w:rPr>
        <w:t>).</w:t>
      </w:r>
      <w:r w:rsidRPr="005269CB">
        <w:rPr>
          <w:rFonts w:ascii="Arial" w:hAnsi="Arial" w:cs="Arial"/>
        </w:rPr>
        <w:t xml:space="preserve"> Current research efforts aim to improve strain efficiency, stress tolerance, and symbiotic compatibility under various environmental conditions (Abd-</w:t>
      </w:r>
      <w:proofErr w:type="spellStart"/>
      <w:r w:rsidRPr="005269CB">
        <w:rPr>
          <w:rFonts w:ascii="Arial" w:hAnsi="Arial" w:cs="Arial"/>
        </w:rPr>
        <w:t>Alla</w:t>
      </w:r>
      <w:proofErr w:type="spellEnd"/>
      <w:r w:rsidRPr="005269CB">
        <w:rPr>
          <w:rFonts w:ascii="Arial" w:hAnsi="Arial" w:cs="Arial"/>
        </w:rPr>
        <w:t xml:space="preserve"> et al., 2023).</w:t>
      </w:r>
    </w:p>
    <w:p w14:paraId="630F3DCA" w14:textId="77777777" w:rsidR="00F340AC" w:rsidRPr="00F340AC" w:rsidRDefault="00F340AC" w:rsidP="00F340AC">
      <w:pPr>
        <w:jc w:val="center"/>
        <w:rPr>
          <w:rFonts w:ascii="Arial" w:eastAsia="Calibri" w:hAnsi="Arial" w:cs="Arial"/>
          <w:b/>
          <w:bCs/>
        </w:rPr>
      </w:pPr>
      <w:r w:rsidRPr="00F340AC">
        <w:rPr>
          <w:rFonts w:ascii="Arial" w:hAnsi="Arial" w:cs="Arial"/>
          <w:b/>
          <w:bCs/>
        </w:rPr>
        <w:lastRenderedPageBreak/>
        <w:t xml:space="preserve">Table 1. Comparison of Symbiotic vs. </w:t>
      </w:r>
      <w:proofErr w:type="spellStart"/>
      <w:r w:rsidRPr="00F340AC">
        <w:rPr>
          <w:rFonts w:ascii="Arial" w:hAnsi="Arial" w:cs="Arial"/>
          <w:b/>
          <w:bCs/>
        </w:rPr>
        <w:t>Asymbiotic</w:t>
      </w:r>
      <w:proofErr w:type="spellEnd"/>
      <w:r w:rsidRPr="00F340AC">
        <w:rPr>
          <w:rFonts w:ascii="Arial" w:hAnsi="Arial" w:cs="Arial"/>
          <w:b/>
          <w:bCs/>
        </w:rPr>
        <w:t xml:space="preserve"> Nitrogen Fixation</w:t>
      </w:r>
    </w:p>
    <w:tbl>
      <w:tblPr>
        <w:tblStyle w:val="Style1"/>
        <w:tblW w:w="0" w:type="auto"/>
        <w:tblLook w:val="04A0" w:firstRow="1" w:lastRow="0" w:firstColumn="1" w:lastColumn="0" w:noHBand="0" w:noVBand="1"/>
      </w:tblPr>
      <w:tblGrid>
        <w:gridCol w:w="1265"/>
        <w:gridCol w:w="1392"/>
        <w:gridCol w:w="1340"/>
        <w:gridCol w:w="1199"/>
        <w:gridCol w:w="1685"/>
        <w:gridCol w:w="1327"/>
      </w:tblGrid>
      <w:tr w:rsidR="00F340AC" w:rsidRPr="00F340AC" w14:paraId="64B7330E" w14:textId="77777777" w:rsidTr="00F54B02">
        <w:trPr>
          <w:cnfStyle w:val="100000000000" w:firstRow="1" w:lastRow="0" w:firstColumn="0" w:lastColumn="0" w:oddVBand="0" w:evenVBand="0" w:oddHBand="0" w:evenHBand="0" w:firstRowFirstColumn="0" w:firstRowLastColumn="0" w:lastRowFirstColumn="0" w:lastRowLastColumn="0"/>
        </w:trPr>
        <w:tc>
          <w:tcPr>
            <w:tcW w:w="1311" w:type="dxa"/>
          </w:tcPr>
          <w:p w14:paraId="5AC25183" w14:textId="77777777" w:rsidR="00F340AC" w:rsidRPr="00F340AC" w:rsidRDefault="00F340AC" w:rsidP="00F340AC">
            <w:pPr>
              <w:jc w:val="center"/>
              <w:rPr>
                <w:rFonts w:ascii="Arial" w:hAnsi="Arial" w:cs="Arial"/>
                <w:b/>
                <w:bCs/>
              </w:rPr>
            </w:pPr>
            <w:r w:rsidRPr="00F340AC">
              <w:rPr>
                <w:rFonts w:ascii="Arial" w:hAnsi="Arial" w:cs="Arial"/>
                <w:b/>
                <w:bCs/>
              </w:rPr>
              <w:t>Fixation Type</w:t>
            </w:r>
          </w:p>
        </w:tc>
        <w:tc>
          <w:tcPr>
            <w:tcW w:w="1422" w:type="dxa"/>
          </w:tcPr>
          <w:p w14:paraId="6BBDF457" w14:textId="77777777" w:rsidR="00F340AC" w:rsidRPr="00F340AC" w:rsidRDefault="00F340AC" w:rsidP="00F340AC">
            <w:pPr>
              <w:jc w:val="center"/>
              <w:rPr>
                <w:rFonts w:ascii="Arial" w:hAnsi="Arial" w:cs="Arial"/>
                <w:b/>
                <w:bCs/>
              </w:rPr>
            </w:pPr>
            <w:r w:rsidRPr="00F340AC">
              <w:rPr>
                <w:rFonts w:ascii="Arial" w:hAnsi="Arial" w:cs="Arial"/>
                <w:b/>
                <w:bCs/>
              </w:rPr>
              <w:t>Key Microbes</w:t>
            </w:r>
          </w:p>
        </w:tc>
        <w:tc>
          <w:tcPr>
            <w:tcW w:w="1390" w:type="dxa"/>
          </w:tcPr>
          <w:p w14:paraId="7153A111" w14:textId="77777777" w:rsidR="00F340AC" w:rsidRPr="00F340AC" w:rsidRDefault="00F340AC" w:rsidP="00F340AC">
            <w:pPr>
              <w:jc w:val="center"/>
              <w:rPr>
                <w:rFonts w:ascii="Arial" w:hAnsi="Arial" w:cs="Arial"/>
                <w:b/>
                <w:bCs/>
              </w:rPr>
            </w:pPr>
            <w:r w:rsidRPr="00F340AC">
              <w:rPr>
                <w:rFonts w:ascii="Arial" w:hAnsi="Arial" w:cs="Arial"/>
                <w:b/>
                <w:bCs/>
              </w:rPr>
              <w:t>Host Plants</w:t>
            </w:r>
          </w:p>
        </w:tc>
        <w:tc>
          <w:tcPr>
            <w:tcW w:w="1221" w:type="dxa"/>
          </w:tcPr>
          <w:p w14:paraId="305705EF" w14:textId="77777777" w:rsidR="00F340AC" w:rsidRPr="00F340AC" w:rsidRDefault="00F340AC" w:rsidP="00F340AC">
            <w:pPr>
              <w:jc w:val="center"/>
              <w:rPr>
                <w:rFonts w:ascii="Arial" w:hAnsi="Arial" w:cs="Arial"/>
                <w:b/>
                <w:bCs/>
              </w:rPr>
            </w:pPr>
            <w:r w:rsidRPr="00F340AC">
              <w:rPr>
                <w:rFonts w:ascii="Arial" w:hAnsi="Arial" w:cs="Arial"/>
                <w:b/>
                <w:bCs/>
              </w:rPr>
              <w:t>Efficiency</w:t>
            </w:r>
          </w:p>
        </w:tc>
        <w:tc>
          <w:tcPr>
            <w:tcW w:w="1729" w:type="dxa"/>
          </w:tcPr>
          <w:p w14:paraId="158B65F0" w14:textId="77777777" w:rsidR="00F340AC" w:rsidRPr="00F340AC" w:rsidRDefault="00F340AC" w:rsidP="00F340AC">
            <w:pPr>
              <w:jc w:val="center"/>
              <w:rPr>
                <w:rFonts w:ascii="Arial" w:hAnsi="Arial" w:cs="Arial"/>
                <w:b/>
                <w:bCs/>
              </w:rPr>
            </w:pPr>
            <w:r w:rsidRPr="00F340AC">
              <w:rPr>
                <w:rFonts w:ascii="Arial" w:hAnsi="Arial" w:cs="Arial"/>
                <w:b/>
                <w:bCs/>
              </w:rPr>
              <w:t>Environmental Sensitivity</w:t>
            </w:r>
          </w:p>
        </w:tc>
        <w:tc>
          <w:tcPr>
            <w:tcW w:w="1351" w:type="dxa"/>
          </w:tcPr>
          <w:p w14:paraId="1FD25FF0" w14:textId="77777777" w:rsidR="00F340AC" w:rsidRPr="00F340AC" w:rsidRDefault="00F340AC" w:rsidP="00F340AC">
            <w:pPr>
              <w:jc w:val="center"/>
              <w:rPr>
                <w:rFonts w:ascii="Arial" w:hAnsi="Arial" w:cs="Arial"/>
                <w:b/>
                <w:bCs/>
              </w:rPr>
            </w:pPr>
            <w:r w:rsidRPr="00F340AC">
              <w:rPr>
                <w:rFonts w:ascii="Arial" w:hAnsi="Arial" w:cs="Arial"/>
                <w:b/>
                <w:bCs/>
              </w:rPr>
              <w:t>Notes</w:t>
            </w:r>
          </w:p>
        </w:tc>
      </w:tr>
      <w:tr w:rsidR="00F340AC" w:rsidRPr="00F340AC" w14:paraId="3DBD6EB5" w14:textId="77777777" w:rsidTr="00F54B02">
        <w:tc>
          <w:tcPr>
            <w:tcW w:w="1311" w:type="dxa"/>
          </w:tcPr>
          <w:p w14:paraId="632E9B1E" w14:textId="77777777" w:rsidR="00F340AC" w:rsidRPr="00F340AC" w:rsidRDefault="00F340AC" w:rsidP="00F340AC">
            <w:pPr>
              <w:jc w:val="both"/>
              <w:rPr>
                <w:rFonts w:ascii="Arial" w:hAnsi="Arial" w:cs="Arial"/>
              </w:rPr>
            </w:pPr>
            <w:r w:rsidRPr="00F340AC">
              <w:rPr>
                <w:rFonts w:ascii="Arial" w:hAnsi="Arial" w:cs="Arial"/>
              </w:rPr>
              <w:t>Symbiotic</w:t>
            </w:r>
          </w:p>
        </w:tc>
        <w:tc>
          <w:tcPr>
            <w:tcW w:w="1422" w:type="dxa"/>
          </w:tcPr>
          <w:p w14:paraId="0E01B17B" w14:textId="77777777" w:rsidR="00F340AC" w:rsidRPr="00F340AC" w:rsidRDefault="00F340AC" w:rsidP="00F340AC">
            <w:pPr>
              <w:jc w:val="both"/>
              <w:rPr>
                <w:rFonts w:ascii="Arial" w:hAnsi="Arial" w:cs="Arial"/>
              </w:rPr>
            </w:pPr>
            <w:r w:rsidRPr="00F340AC">
              <w:rPr>
                <w:rFonts w:ascii="Arial" w:hAnsi="Arial" w:cs="Arial"/>
              </w:rPr>
              <w:t>Rhizobium, Frankia</w:t>
            </w:r>
          </w:p>
        </w:tc>
        <w:tc>
          <w:tcPr>
            <w:tcW w:w="1390" w:type="dxa"/>
          </w:tcPr>
          <w:p w14:paraId="72027E84" w14:textId="77777777" w:rsidR="00F340AC" w:rsidRPr="00F340AC" w:rsidRDefault="00F340AC" w:rsidP="00F340AC">
            <w:pPr>
              <w:jc w:val="both"/>
              <w:rPr>
                <w:rFonts w:ascii="Arial" w:hAnsi="Arial" w:cs="Arial"/>
              </w:rPr>
            </w:pPr>
            <w:r w:rsidRPr="00F340AC">
              <w:rPr>
                <w:rFonts w:ascii="Arial" w:hAnsi="Arial" w:cs="Arial"/>
              </w:rPr>
              <w:t>Legumes, Actinorhizal plants</w:t>
            </w:r>
          </w:p>
        </w:tc>
        <w:tc>
          <w:tcPr>
            <w:tcW w:w="1221" w:type="dxa"/>
          </w:tcPr>
          <w:p w14:paraId="64BC8F0D" w14:textId="77777777" w:rsidR="00F340AC" w:rsidRPr="00F340AC" w:rsidRDefault="00F340AC" w:rsidP="00F340AC">
            <w:pPr>
              <w:jc w:val="both"/>
              <w:rPr>
                <w:rFonts w:ascii="Arial" w:hAnsi="Arial" w:cs="Arial"/>
              </w:rPr>
            </w:pPr>
            <w:r w:rsidRPr="00F340AC">
              <w:rPr>
                <w:rFonts w:ascii="Arial" w:hAnsi="Arial" w:cs="Arial"/>
              </w:rPr>
              <w:t>High</w:t>
            </w:r>
          </w:p>
        </w:tc>
        <w:tc>
          <w:tcPr>
            <w:tcW w:w="1729" w:type="dxa"/>
          </w:tcPr>
          <w:p w14:paraId="30C8E4BA" w14:textId="77777777" w:rsidR="00F340AC" w:rsidRPr="00F340AC" w:rsidRDefault="00F340AC" w:rsidP="00F340AC">
            <w:pPr>
              <w:jc w:val="both"/>
              <w:rPr>
                <w:rFonts w:ascii="Arial" w:hAnsi="Arial" w:cs="Arial"/>
              </w:rPr>
            </w:pPr>
            <w:r w:rsidRPr="00F340AC">
              <w:rPr>
                <w:rFonts w:ascii="Arial" w:hAnsi="Arial" w:cs="Arial"/>
              </w:rPr>
              <w:t>Sensitive to soil nitrate</w:t>
            </w:r>
          </w:p>
        </w:tc>
        <w:tc>
          <w:tcPr>
            <w:tcW w:w="1351" w:type="dxa"/>
          </w:tcPr>
          <w:p w14:paraId="25FB88D7" w14:textId="77777777" w:rsidR="00F340AC" w:rsidRPr="00F340AC" w:rsidRDefault="00F340AC" w:rsidP="00F340AC">
            <w:pPr>
              <w:jc w:val="both"/>
              <w:rPr>
                <w:rFonts w:ascii="Arial" w:hAnsi="Arial" w:cs="Arial"/>
              </w:rPr>
            </w:pPr>
            <w:r w:rsidRPr="00F340AC">
              <w:rPr>
                <w:rFonts w:ascii="Arial" w:hAnsi="Arial" w:cs="Arial"/>
              </w:rPr>
              <w:t>Forms nodules</w:t>
            </w:r>
          </w:p>
        </w:tc>
      </w:tr>
      <w:tr w:rsidR="00F340AC" w:rsidRPr="00F340AC" w14:paraId="1133F3B0" w14:textId="77777777" w:rsidTr="00F54B02">
        <w:tc>
          <w:tcPr>
            <w:tcW w:w="1311" w:type="dxa"/>
          </w:tcPr>
          <w:p w14:paraId="274CDDFD" w14:textId="77777777" w:rsidR="00F340AC" w:rsidRPr="00F340AC" w:rsidRDefault="00F340AC" w:rsidP="00F340AC">
            <w:pPr>
              <w:jc w:val="both"/>
              <w:rPr>
                <w:rFonts w:ascii="Arial" w:hAnsi="Arial" w:cs="Arial"/>
              </w:rPr>
            </w:pPr>
            <w:proofErr w:type="spellStart"/>
            <w:r w:rsidRPr="00F340AC">
              <w:rPr>
                <w:rFonts w:ascii="Arial" w:hAnsi="Arial" w:cs="Arial"/>
              </w:rPr>
              <w:t>Asymbiotic</w:t>
            </w:r>
            <w:proofErr w:type="spellEnd"/>
          </w:p>
        </w:tc>
        <w:tc>
          <w:tcPr>
            <w:tcW w:w="1422" w:type="dxa"/>
          </w:tcPr>
          <w:p w14:paraId="4AECEA48" w14:textId="77777777" w:rsidR="00F340AC" w:rsidRPr="00F340AC" w:rsidRDefault="00F340AC" w:rsidP="00F340AC">
            <w:pPr>
              <w:jc w:val="both"/>
              <w:rPr>
                <w:rFonts w:ascii="Arial" w:hAnsi="Arial" w:cs="Arial"/>
              </w:rPr>
            </w:pPr>
            <w:r w:rsidRPr="00F340AC">
              <w:rPr>
                <w:rFonts w:ascii="Arial" w:hAnsi="Arial" w:cs="Arial"/>
              </w:rPr>
              <w:t>Azotobacter, Clostridium</w:t>
            </w:r>
          </w:p>
        </w:tc>
        <w:tc>
          <w:tcPr>
            <w:tcW w:w="1390" w:type="dxa"/>
          </w:tcPr>
          <w:p w14:paraId="7DE4AEE9" w14:textId="77777777" w:rsidR="00F340AC" w:rsidRPr="00F340AC" w:rsidRDefault="00F340AC" w:rsidP="00F340AC">
            <w:pPr>
              <w:jc w:val="both"/>
              <w:rPr>
                <w:rFonts w:ascii="Arial" w:hAnsi="Arial" w:cs="Arial"/>
              </w:rPr>
            </w:pPr>
            <w:r w:rsidRPr="00F340AC">
              <w:rPr>
                <w:rFonts w:ascii="Arial" w:hAnsi="Arial" w:cs="Arial"/>
              </w:rPr>
              <w:t>Free-living</w:t>
            </w:r>
          </w:p>
        </w:tc>
        <w:tc>
          <w:tcPr>
            <w:tcW w:w="1221" w:type="dxa"/>
          </w:tcPr>
          <w:p w14:paraId="491709EB" w14:textId="77777777" w:rsidR="00F340AC" w:rsidRPr="00F340AC" w:rsidRDefault="00F340AC" w:rsidP="00F340AC">
            <w:pPr>
              <w:jc w:val="both"/>
              <w:rPr>
                <w:rFonts w:ascii="Arial" w:hAnsi="Arial" w:cs="Arial"/>
              </w:rPr>
            </w:pPr>
            <w:r w:rsidRPr="00F340AC">
              <w:rPr>
                <w:rFonts w:ascii="Arial" w:hAnsi="Arial" w:cs="Arial"/>
              </w:rPr>
              <w:t>Moderate to Low</w:t>
            </w:r>
          </w:p>
        </w:tc>
        <w:tc>
          <w:tcPr>
            <w:tcW w:w="1729" w:type="dxa"/>
          </w:tcPr>
          <w:p w14:paraId="13E45E28" w14:textId="77777777" w:rsidR="00F340AC" w:rsidRPr="00F340AC" w:rsidRDefault="00F340AC" w:rsidP="00F340AC">
            <w:pPr>
              <w:jc w:val="both"/>
              <w:rPr>
                <w:rFonts w:ascii="Arial" w:hAnsi="Arial" w:cs="Arial"/>
              </w:rPr>
            </w:pPr>
            <w:r w:rsidRPr="00F340AC">
              <w:rPr>
                <w:rFonts w:ascii="Arial" w:hAnsi="Arial" w:cs="Arial"/>
              </w:rPr>
              <w:t>Sensitive to oxygen</w:t>
            </w:r>
          </w:p>
        </w:tc>
        <w:tc>
          <w:tcPr>
            <w:tcW w:w="1351" w:type="dxa"/>
          </w:tcPr>
          <w:p w14:paraId="3AFCD995" w14:textId="77777777" w:rsidR="00F340AC" w:rsidRPr="00F340AC" w:rsidRDefault="00F340AC" w:rsidP="00F340AC">
            <w:pPr>
              <w:jc w:val="both"/>
              <w:rPr>
                <w:rFonts w:ascii="Arial" w:hAnsi="Arial" w:cs="Arial"/>
              </w:rPr>
            </w:pPr>
            <w:r w:rsidRPr="00F340AC">
              <w:rPr>
                <w:rFonts w:ascii="Arial" w:hAnsi="Arial" w:cs="Arial"/>
              </w:rPr>
              <w:t>No host requirement</w:t>
            </w:r>
          </w:p>
        </w:tc>
      </w:tr>
    </w:tbl>
    <w:p w14:paraId="1F3DB240" w14:textId="77777777" w:rsidR="0010196B" w:rsidRPr="005269CB" w:rsidRDefault="0010196B" w:rsidP="00F340AC">
      <w:pPr>
        <w:jc w:val="both"/>
        <w:rPr>
          <w:rFonts w:ascii="Arial" w:hAnsi="Arial" w:cs="Arial"/>
        </w:rPr>
      </w:pPr>
    </w:p>
    <w:p w14:paraId="23028F56" w14:textId="1D3FAA22" w:rsidR="00F54B02" w:rsidRPr="00F54B02" w:rsidRDefault="00F54B02" w:rsidP="00F54B02">
      <w:pPr>
        <w:pStyle w:val="ListParagraph"/>
        <w:numPr>
          <w:ilvl w:val="1"/>
          <w:numId w:val="32"/>
        </w:numPr>
        <w:spacing w:line="360" w:lineRule="auto"/>
        <w:jc w:val="both"/>
        <w:rPr>
          <w:rFonts w:ascii="Arial" w:hAnsi="Arial" w:cs="Arial"/>
          <w:sz w:val="22"/>
          <w:szCs w:val="22"/>
        </w:rPr>
      </w:pPr>
      <w:r w:rsidRPr="00F54B02">
        <w:rPr>
          <w:rFonts w:ascii="Arial" w:hAnsi="Arial" w:cs="Arial"/>
          <w:sz w:val="22"/>
          <w:szCs w:val="22"/>
        </w:rPr>
        <w:t>Emerging Conceptual Frameworks (Systems-Level and Interdisciplinary Approaches)</w:t>
      </w:r>
    </w:p>
    <w:p w14:paraId="79507EFB" w14:textId="77777777" w:rsidR="00F54B02" w:rsidRDefault="00F54B02" w:rsidP="00F54B02">
      <w:pPr>
        <w:ind w:firstLine="567"/>
        <w:jc w:val="both"/>
        <w:rPr>
          <w:rFonts w:ascii="Arial" w:hAnsi="Arial" w:cs="Arial"/>
        </w:rPr>
      </w:pPr>
      <w:r w:rsidRPr="00F54B02">
        <w:rPr>
          <w:rFonts w:ascii="Arial" w:hAnsi="Arial" w:cs="Arial"/>
        </w:rPr>
        <w:t>Nitrogen fixation is increasingly being examined within systems-level frameworks that integrate nutrient cycling, soil-plant interactions, and environmental sustainability (</w:t>
      </w:r>
      <w:proofErr w:type="spellStart"/>
      <w:r w:rsidRPr="00F54B02">
        <w:rPr>
          <w:rFonts w:ascii="Arial" w:hAnsi="Arial" w:cs="Arial"/>
        </w:rPr>
        <w:t>Viancelli</w:t>
      </w:r>
      <w:proofErr w:type="spellEnd"/>
      <w:r w:rsidRPr="00F54B02">
        <w:rPr>
          <w:rFonts w:ascii="Arial" w:hAnsi="Arial" w:cs="Arial"/>
        </w:rPr>
        <w:t xml:space="preserve"> &amp; </w:t>
      </w:r>
      <w:proofErr w:type="spellStart"/>
      <w:r w:rsidRPr="00F54B02">
        <w:rPr>
          <w:rFonts w:ascii="Arial" w:hAnsi="Arial" w:cs="Arial"/>
        </w:rPr>
        <w:t>Michelon</w:t>
      </w:r>
      <w:proofErr w:type="spellEnd"/>
      <w:r w:rsidRPr="00F54B02">
        <w:rPr>
          <w:rFonts w:ascii="Arial" w:hAnsi="Arial" w:cs="Arial"/>
        </w:rPr>
        <w:t>, 2024). Precision nutrient management practices, informed by soil and climate data, aim to synchronize nitrogen availability with crop demand, thereby enhancing nitrogen use efficiency (</w:t>
      </w:r>
      <w:proofErr w:type="spellStart"/>
      <w:r w:rsidRPr="00F54B02">
        <w:rPr>
          <w:rFonts w:ascii="Arial" w:hAnsi="Arial" w:cs="Arial"/>
        </w:rPr>
        <w:t>Nasiro</w:t>
      </w:r>
      <w:proofErr w:type="spellEnd"/>
      <w:r w:rsidRPr="00F54B02">
        <w:rPr>
          <w:rFonts w:ascii="Arial" w:hAnsi="Arial" w:cs="Arial"/>
        </w:rPr>
        <w:t xml:space="preserve"> &amp; </w:t>
      </w:r>
      <w:proofErr w:type="spellStart"/>
      <w:r w:rsidRPr="00F54B02">
        <w:rPr>
          <w:rFonts w:ascii="Arial" w:hAnsi="Arial" w:cs="Arial"/>
        </w:rPr>
        <w:t>Mohammednur</w:t>
      </w:r>
      <w:proofErr w:type="spellEnd"/>
      <w:r w:rsidRPr="00F54B02">
        <w:rPr>
          <w:rFonts w:ascii="Arial" w:hAnsi="Arial" w:cs="Arial"/>
        </w:rPr>
        <w:t>, 2024). Circular economy principles further extend this framework by promoting nutrient recycling from organic waste streams, such as treated wastewater and manure (Ye et al., 2021).</w:t>
      </w:r>
    </w:p>
    <w:p w14:paraId="54582678" w14:textId="0B7DEF42" w:rsidR="00F54B02" w:rsidRPr="00F54B02" w:rsidRDefault="00F54B02" w:rsidP="00F54B02">
      <w:pPr>
        <w:ind w:firstLine="567"/>
        <w:jc w:val="both"/>
        <w:rPr>
          <w:rFonts w:ascii="Arial" w:hAnsi="Arial" w:cs="Arial"/>
        </w:rPr>
      </w:pPr>
      <w:r w:rsidRPr="00F54B02">
        <w:rPr>
          <w:rFonts w:ascii="Arial" w:hAnsi="Arial" w:cs="Arial"/>
        </w:rPr>
        <w:t>Interdisciplinary approaches connect agronomic, ecological, and socio-economic perspectives. For instance, the use of landscape-scale nitrogen budgets and hydrological models allows for better prediction of nitrogen losses and hotspots (Pascual et al., 2024). Despite these advances, practical implementation of such integrated models remains limited due to data scarcity, institutional barriers, and the complexity of ecosystem interactions.</w:t>
      </w:r>
    </w:p>
    <w:p w14:paraId="54C89EB6" w14:textId="77777777" w:rsidR="00F54B02" w:rsidRPr="00F54B02" w:rsidRDefault="00F54B02" w:rsidP="00F54B02">
      <w:pPr>
        <w:jc w:val="center"/>
        <w:rPr>
          <w:rFonts w:ascii="Arial" w:hAnsi="Arial" w:cs="Arial"/>
        </w:rPr>
      </w:pPr>
      <w:r w:rsidRPr="00F54B02">
        <w:rPr>
          <w:rFonts w:ascii="Arial" w:hAnsi="Arial" w:cs="Arial"/>
          <w:noProof/>
        </w:rPr>
        <w:drawing>
          <wp:inline distT="0" distB="0" distL="0" distR="0" wp14:anchorId="17360A12" wp14:editId="0F2D22B1">
            <wp:extent cx="4892722" cy="2716901"/>
            <wp:effectExtent l="0" t="0" r="3175" b="7620"/>
            <wp:docPr id="2113030893" name="Picture 6" descr="A diagram of 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30893" name="Picture 6" descr="A diagram of a plant"/>
                    <pic:cNvPicPr/>
                  </pic:nvPicPr>
                  <pic:blipFill>
                    <a:blip r:embed="rId16">
                      <a:extLst>
                        <a:ext uri="{28A0092B-C50C-407E-A947-70E740481C1C}">
                          <a14:useLocalDpi xmlns:a14="http://schemas.microsoft.com/office/drawing/2010/main" val="0"/>
                        </a:ext>
                      </a:extLst>
                    </a:blip>
                    <a:stretch>
                      <a:fillRect/>
                    </a:stretch>
                  </pic:blipFill>
                  <pic:spPr>
                    <a:xfrm>
                      <a:off x="0" y="0"/>
                      <a:ext cx="4896373" cy="2718928"/>
                    </a:xfrm>
                    <a:prstGeom prst="rect">
                      <a:avLst/>
                    </a:prstGeom>
                  </pic:spPr>
                </pic:pic>
              </a:graphicData>
            </a:graphic>
          </wp:inline>
        </w:drawing>
      </w:r>
    </w:p>
    <w:p w14:paraId="2F7D9325" w14:textId="553A986C" w:rsidR="00F54B02" w:rsidRPr="00F54B02" w:rsidRDefault="00F54B02" w:rsidP="00F54B02">
      <w:pPr>
        <w:jc w:val="center"/>
        <w:rPr>
          <w:rFonts w:ascii="Arial" w:hAnsi="Arial" w:cs="Arial"/>
          <w:b/>
          <w:bCs/>
        </w:rPr>
      </w:pPr>
      <w:r w:rsidRPr="00F54B02">
        <w:rPr>
          <w:rFonts w:ascii="Arial" w:hAnsi="Arial" w:cs="Arial"/>
          <w:b/>
          <w:bCs/>
        </w:rPr>
        <w:t>Fig. 2. Systems-Level Nitrogen Management Model (Ye et al., 2021)</w:t>
      </w:r>
    </w:p>
    <w:p w14:paraId="7F82C2E9" w14:textId="77777777" w:rsidR="00F54B02" w:rsidRPr="00F54B02" w:rsidRDefault="00F54B02" w:rsidP="00F54B02">
      <w:pPr>
        <w:rPr>
          <w:rFonts w:ascii="Arial" w:hAnsi="Arial" w:cs="Arial"/>
        </w:rPr>
      </w:pPr>
    </w:p>
    <w:p w14:paraId="567C67FE" w14:textId="6D2EB081" w:rsidR="00F54B02" w:rsidRPr="00F54B02" w:rsidRDefault="00F54B02" w:rsidP="00F54B02">
      <w:pPr>
        <w:pStyle w:val="ListParagraph"/>
        <w:numPr>
          <w:ilvl w:val="1"/>
          <w:numId w:val="32"/>
        </w:numPr>
        <w:spacing w:after="120"/>
        <w:jc w:val="both"/>
        <w:rPr>
          <w:rFonts w:ascii="Arial" w:hAnsi="Arial" w:cs="Arial"/>
        </w:rPr>
      </w:pPr>
      <w:r w:rsidRPr="00F54B02">
        <w:rPr>
          <w:rFonts w:ascii="Arial" w:hAnsi="Arial" w:cs="Arial"/>
          <w:sz w:val="22"/>
          <w:szCs w:val="22"/>
        </w:rPr>
        <w:t>Synthetic Biology Innovations (CRISPR and Microbial Engineering)</w:t>
      </w:r>
    </w:p>
    <w:p w14:paraId="2DEF91CD" w14:textId="77777777" w:rsidR="00F54B02" w:rsidRDefault="00F54B02" w:rsidP="00F54B02">
      <w:pPr>
        <w:ind w:firstLine="567"/>
        <w:jc w:val="both"/>
        <w:rPr>
          <w:rFonts w:ascii="Arial" w:hAnsi="Arial" w:cs="Arial"/>
        </w:rPr>
      </w:pPr>
      <w:r w:rsidRPr="00F54B02">
        <w:rPr>
          <w:rFonts w:ascii="Arial" w:hAnsi="Arial" w:cs="Arial"/>
        </w:rPr>
        <w:t>Synthetic biology provides transformative tools for nitrogen fixation, particularly through CRISPR-Cas genome editing and synthetic gene circuit design. Efforts to transfer nitrogenase gene clusters into non-diazotrophic hosts, including cereal crops, represent a major scientific milestone (Mus et al., 2016). For example, CRISPR-based strategies have been used to deactivate regulatory proteins that suppress nitrogen fixation under ammonium-rich conditions, thus enhancing microbial efficiency (Bueno Batista &amp; Dixon, 2019).</w:t>
      </w:r>
    </w:p>
    <w:p w14:paraId="7F374199" w14:textId="77777777" w:rsidR="00F54B02" w:rsidRDefault="00F54B02" w:rsidP="00F54B02">
      <w:pPr>
        <w:ind w:firstLine="567"/>
        <w:jc w:val="both"/>
        <w:rPr>
          <w:rFonts w:ascii="Arial" w:hAnsi="Arial" w:cs="Arial"/>
        </w:rPr>
      </w:pPr>
      <w:r w:rsidRPr="00F54B02">
        <w:rPr>
          <w:rFonts w:ascii="Arial" w:hAnsi="Arial" w:cs="Arial"/>
        </w:rPr>
        <w:lastRenderedPageBreak/>
        <w:t>Synthetic microbial consortia, designed via computational models, aim to optimize community-level nitrogen fixation through interspecies cooperation and niche partitioning (Barron et al., 2024). Although these innovations show promise, challenges persist in the expression and regulation of multi-gene nitrogenase pathways, host fitness costs, and biosafety concerns. Field validation and ecological compatibility remain critical barriers to commercial deployment.</w:t>
      </w:r>
    </w:p>
    <w:p w14:paraId="74583BE6" w14:textId="77777777" w:rsidR="002019AF" w:rsidRPr="002019AF" w:rsidRDefault="00F54B02" w:rsidP="002019AF">
      <w:pPr>
        <w:ind w:firstLine="567"/>
        <w:jc w:val="both"/>
        <w:rPr>
          <w:rFonts w:ascii="Arial" w:hAnsi="Arial" w:cs="Arial"/>
        </w:rPr>
      </w:pPr>
      <w:r w:rsidRPr="00F54B02">
        <w:rPr>
          <w:rFonts w:ascii="Arial" w:hAnsi="Arial" w:cs="Arial"/>
        </w:rPr>
        <w:t>Microorganisms play a central role in mediating nitrogen transformations through a network of redox-driven biochemical pathways (Figure 1). Atmospheric dinitrogen (N</w:t>
      </w:r>
      <w:r w:rsidRPr="00F54B02">
        <w:rPr>
          <w:rFonts w:ascii="Cambria Math" w:hAnsi="Cambria Math" w:cs="Cambria Math"/>
        </w:rPr>
        <w:t>₂</w:t>
      </w:r>
      <w:r w:rsidRPr="00F54B02">
        <w:rPr>
          <w:rFonts w:ascii="Arial" w:hAnsi="Arial" w:cs="Arial"/>
        </w:rPr>
        <w:t>) is biologically fixed into ammonium (NH</w:t>
      </w:r>
      <w:r w:rsidRPr="00F54B02">
        <w:rPr>
          <w:rFonts w:ascii="Cambria Math" w:hAnsi="Cambria Math" w:cs="Cambria Math"/>
        </w:rPr>
        <w:t>₄⁺</w:t>
      </w:r>
      <w:r w:rsidRPr="00F54B02">
        <w:rPr>
          <w:rFonts w:ascii="Arial" w:hAnsi="Arial" w:cs="Arial"/>
        </w:rPr>
        <w:t xml:space="preserve">) by diazotrophic bacteria and archaea via the action of nitrogenase enzymes (Kuypers et al., 2018). </w:t>
      </w:r>
      <w:r w:rsidR="002019AF" w:rsidRPr="002019AF">
        <w:rPr>
          <w:rFonts w:ascii="Arial" w:hAnsi="Arial" w:cs="Arial"/>
        </w:rPr>
        <w:t>The transformation of nitrogen forms within soils, particularly from ammonium (NH</w:t>
      </w:r>
      <w:r w:rsidR="002019AF" w:rsidRPr="002019AF">
        <w:rPr>
          <w:rFonts w:ascii="Cambria Math" w:hAnsi="Cambria Math" w:cs="Cambria Math"/>
        </w:rPr>
        <w:t>₄⁺</w:t>
      </w:r>
      <w:r w:rsidR="002019AF" w:rsidRPr="002019AF">
        <w:rPr>
          <w:rFonts w:ascii="Arial" w:hAnsi="Arial" w:cs="Arial"/>
        </w:rPr>
        <w:t>) to nitrate (NO</w:t>
      </w:r>
      <w:r w:rsidR="002019AF" w:rsidRPr="002019AF">
        <w:rPr>
          <w:rFonts w:ascii="Cambria Math" w:hAnsi="Cambria Math" w:cs="Cambria Math"/>
        </w:rPr>
        <w:t>₃⁻</w:t>
      </w:r>
      <w:r w:rsidR="002019AF" w:rsidRPr="002019AF">
        <w:rPr>
          <w:rFonts w:ascii="Arial" w:hAnsi="Arial" w:cs="Arial"/>
        </w:rPr>
        <w:t>) and subsequently to nitrous oxide (N</w:t>
      </w:r>
      <w:r w:rsidR="002019AF" w:rsidRPr="002019AF">
        <w:rPr>
          <w:rFonts w:ascii="Cambria Math" w:hAnsi="Cambria Math" w:cs="Cambria Math"/>
        </w:rPr>
        <w:t>₂</w:t>
      </w:r>
      <w:r w:rsidR="002019AF" w:rsidRPr="002019AF">
        <w:rPr>
          <w:rFonts w:ascii="Arial" w:hAnsi="Arial" w:cs="Arial"/>
        </w:rPr>
        <w:t>O), is a critical process mediated by various microbial communities, including bacteria and archaea. Upon being converted to NH</w:t>
      </w:r>
      <w:r w:rsidR="002019AF" w:rsidRPr="002019AF">
        <w:rPr>
          <w:rFonts w:ascii="Cambria Math" w:hAnsi="Cambria Math" w:cs="Cambria Math"/>
        </w:rPr>
        <w:t>₄⁺</w:t>
      </w:r>
      <w:r w:rsidR="002019AF" w:rsidRPr="002019AF">
        <w:rPr>
          <w:rFonts w:ascii="Arial" w:hAnsi="Arial" w:cs="Arial"/>
        </w:rPr>
        <w:t>, nitrogen can undergo nitrification, a process primarily executed by ammonia-oxidizing bacteria (AOB) and archaea, which oxidize ammonium to nitrite (NO</w:t>
      </w:r>
      <w:r w:rsidR="002019AF" w:rsidRPr="002019AF">
        <w:rPr>
          <w:rFonts w:ascii="Cambria Math" w:hAnsi="Cambria Math" w:cs="Cambria Math"/>
        </w:rPr>
        <w:t>₂⁻</w:t>
      </w:r>
      <w:r w:rsidR="002019AF" w:rsidRPr="002019AF">
        <w:rPr>
          <w:rFonts w:ascii="Arial" w:hAnsi="Arial" w:cs="Arial"/>
        </w:rPr>
        <w:t>) and then to nitrate. Research indicates that nitrification is not only a precursor to N</w:t>
      </w:r>
      <w:r w:rsidR="002019AF" w:rsidRPr="002019AF">
        <w:rPr>
          <w:rFonts w:ascii="Cambria Math" w:hAnsi="Cambria Math" w:cs="Cambria Math"/>
        </w:rPr>
        <w:t>₂</w:t>
      </w:r>
      <w:r w:rsidR="002019AF" w:rsidRPr="002019AF">
        <w:rPr>
          <w:rFonts w:ascii="Arial" w:hAnsi="Arial" w:cs="Arial"/>
        </w:rPr>
        <w:t>O production but also interacts with denitrification processes, where nitrate is reduced back to dinitrogen (N</w:t>
      </w:r>
      <w:r w:rsidR="002019AF" w:rsidRPr="002019AF">
        <w:rPr>
          <w:rFonts w:ascii="Cambria Math" w:hAnsi="Cambria Math" w:cs="Cambria Math"/>
        </w:rPr>
        <w:t>₂</w:t>
      </w:r>
      <w:r w:rsidR="002019AF" w:rsidRPr="002019AF">
        <w:rPr>
          <w:rFonts w:ascii="Arial" w:hAnsi="Arial" w:cs="Arial"/>
        </w:rPr>
        <w:t xml:space="preserve">) (Prosser et al., 2019; </w:t>
      </w:r>
      <w:proofErr w:type="spellStart"/>
      <w:r w:rsidR="002019AF" w:rsidRPr="002019AF">
        <w:rPr>
          <w:rFonts w:ascii="Arial" w:hAnsi="Arial" w:cs="Arial"/>
        </w:rPr>
        <w:t>Hamouti</w:t>
      </w:r>
      <w:proofErr w:type="spellEnd"/>
      <w:r w:rsidR="002019AF" w:rsidRPr="002019AF">
        <w:rPr>
          <w:rFonts w:ascii="Arial" w:hAnsi="Arial" w:cs="Arial"/>
        </w:rPr>
        <w:t xml:space="preserve"> et al., 2023).</w:t>
      </w:r>
    </w:p>
    <w:p w14:paraId="77FED632" w14:textId="77777777" w:rsidR="002019AF" w:rsidRPr="002019AF" w:rsidRDefault="002019AF" w:rsidP="002019AF">
      <w:pPr>
        <w:ind w:firstLine="567"/>
        <w:jc w:val="both"/>
        <w:rPr>
          <w:rFonts w:ascii="Arial" w:hAnsi="Arial" w:cs="Arial"/>
        </w:rPr>
      </w:pPr>
      <w:r w:rsidRPr="002019AF">
        <w:rPr>
          <w:rFonts w:ascii="Arial" w:hAnsi="Arial" w:cs="Arial"/>
        </w:rPr>
        <w:t>The dynamics of nitrate in agricultural and natural soils are significantly influenced by microbial activity, with recent studies highlighting the prevalence of nitrate leaching due to anthropogenic practices such as no-tillage farming, which may enhance drainage and runoff leading to nitrate loss (Huang et al., 2024). This is particularly relevant in agricultural settings where fertilization contributes to excess reactive nitrogen. Such practices increase the potential for both nitrate leaching and N</w:t>
      </w:r>
      <w:r w:rsidRPr="002019AF">
        <w:rPr>
          <w:rFonts w:ascii="Cambria Math" w:hAnsi="Cambria Math" w:cs="Cambria Math"/>
        </w:rPr>
        <w:t>₂</w:t>
      </w:r>
      <w:r w:rsidRPr="002019AF">
        <w:rPr>
          <w:rFonts w:ascii="Arial" w:hAnsi="Arial" w:cs="Arial"/>
        </w:rPr>
        <w:t xml:space="preserve">O emissions, thus impacting local and global nitrogen cycles (Pan et al., 2022; </w:t>
      </w:r>
      <w:proofErr w:type="spellStart"/>
      <w:r w:rsidRPr="002019AF">
        <w:rPr>
          <w:rFonts w:ascii="Arial" w:hAnsi="Arial" w:cs="Arial"/>
        </w:rPr>
        <w:t>Hergoualc’h</w:t>
      </w:r>
      <w:proofErr w:type="spellEnd"/>
      <w:r w:rsidRPr="002019AF">
        <w:rPr>
          <w:rFonts w:ascii="Arial" w:hAnsi="Arial" w:cs="Arial"/>
        </w:rPr>
        <w:t xml:space="preserve"> et al., 2021). Additionally, nitrate reduction can proceed through various pathways, including the nitrifier-denitrification and heterotrophic denitrification pathways, where nitrous oxide serves as an intermediate during the reduction process (Duan et al., 2021; Behnke et al., 2022).</w:t>
      </w:r>
    </w:p>
    <w:p w14:paraId="6EAF2938" w14:textId="77777777" w:rsidR="00B05D08" w:rsidRPr="00B05D08" w:rsidRDefault="00F54B02" w:rsidP="00B05D08">
      <w:pPr>
        <w:ind w:firstLine="567"/>
        <w:jc w:val="both"/>
        <w:rPr>
          <w:rFonts w:ascii="Arial" w:hAnsi="Arial" w:cs="Arial"/>
        </w:rPr>
      </w:pPr>
      <w:r w:rsidRPr="00F54B02">
        <w:rPr>
          <w:rFonts w:ascii="Arial" w:hAnsi="Arial" w:cs="Arial"/>
        </w:rPr>
        <w:t>Some microbial taxa, including certain bacteria and archaea, are capable of reducing N</w:t>
      </w:r>
      <w:r w:rsidRPr="00F54B02">
        <w:rPr>
          <w:rFonts w:ascii="Cambria Math" w:hAnsi="Cambria Math" w:cs="Cambria Math"/>
        </w:rPr>
        <w:t>₂</w:t>
      </w:r>
      <w:r w:rsidRPr="00F54B02">
        <w:rPr>
          <w:rFonts w:ascii="Arial" w:hAnsi="Arial" w:cs="Arial"/>
        </w:rPr>
        <w:t>O to dinitrogen, thereby forming an atmospheric sink for N</w:t>
      </w:r>
      <w:r w:rsidRPr="00F54B02">
        <w:rPr>
          <w:rFonts w:ascii="Cambria Math" w:hAnsi="Cambria Math" w:cs="Cambria Math"/>
        </w:rPr>
        <w:t>₂</w:t>
      </w:r>
      <w:r w:rsidRPr="00F54B02">
        <w:rPr>
          <w:rFonts w:ascii="Arial" w:hAnsi="Arial" w:cs="Arial"/>
        </w:rPr>
        <w:t>O and contributing to the loss of reactive nitrogen from terrestrial ecosystems (Kuypers et al., 2018). Alternatively, nitrate may be retained within the soil through dissimilatory nitrate reduction to ammonium (DNRA), which conserves nitrogen in a plant-available form. This pathway is generally favored under low-nitrate, high carbon-to-nitrogen (</w:t>
      </w:r>
      <w:proofErr w:type="gramStart"/>
      <w:r w:rsidRPr="00F54B02">
        <w:rPr>
          <w:rFonts w:ascii="Arial" w:hAnsi="Arial" w:cs="Arial"/>
        </w:rPr>
        <w:t>C:N</w:t>
      </w:r>
      <w:proofErr w:type="gramEnd"/>
      <w:r w:rsidRPr="00F54B02">
        <w:rPr>
          <w:rFonts w:ascii="Arial" w:hAnsi="Arial" w:cs="Arial"/>
        </w:rPr>
        <w:t xml:space="preserve">) conditions (Pandey et al., 2020). </w:t>
      </w:r>
      <w:r w:rsidR="00B05D08" w:rsidRPr="00B05D08">
        <w:rPr>
          <w:rFonts w:ascii="Arial" w:hAnsi="Arial" w:cs="Arial"/>
        </w:rPr>
        <w:br/>
      </w:r>
    </w:p>
    <w:p w14:paraId="41C5988F" w14:textId="06D3C7A9" w:rsidR="00F54B02" w:rsidRPr="00F54B02" w:rsidRDefault="00B05D08" w:rsidP="00B05D08">
      <w:pPr>
        <w:ind w:firstLine="567"/>
        <w:jc w:val="both"/>
        <w:rPr>
          <w:rFonts w:ascii="Arial" w:hAnsi="Arial" w:cs="Arial"/>
        </w:rPr>
      </w:pPr>
      <w:r w:rsidRPr="00B05D08">
        <w:rPr>
          <w:rFonts w:ascii="Arial" w:hAnsi="Arial" w:cs="Arial"/>
        </w:rPr>
        <w:t xml:space="preserve">In undisturbed soil systems, microbial processes are both dynamic and responsive to a variety of environmental factors, particularly those related to plant life. A key mechanism through which plants influence the microbial community is through the release of root exudates. These compounds, comprising sugars, amino acids, organic acids, and other metabolites, play a significant role in shaping the soil microbial community and influencing its functions </w:t>
      </w:r>
      <w:proofErr w:type="spellStart"/>
      <w:r w:rsidRPr="00B05D08">
        <w:rPr>
          <w:rFonts w:ascii="Arial" w:hAnsi="Arial" w:cs="Arial"/>
        </w:rPr>
        <w:t>Zhalnina</w:t>
      </w:r>
      <w:proofErr w:type="spellEnd"/>
      <w:r w:rsidRPr="00B05D08">
        <w:rPr>
          <w:rFonts w:ascii="Arial" w:hAnsi="Arial" w:cs="Arial"/>
        </w:rPr>
        <w:t xml:space="preserve"> et al. (2018). Ongoing research indicates that plant-derived compounds regulate the composition and activity of the rhizosphere microbial community, thereby </w:t>
      </w:r>
      <w:r w:rsidRPr="00B05D08">
        <w:rPr>
          <w:rFonts w:ascii="Arial" w:hAnsi="Arial" w:cs="Arial"/>
        </w:rPr>
        <w:lastRenderedPageBreak/>
        <w:t>impacting nutrient cycling and overall plant health.</w:t>
      </w:r>
      <w:r w:rsidR="00F54B02" w:rsidRPr="00F54B02">
        <w:rPr>
          <w:rFonts w:ascii="Arial" w:hAnsi="Arial" w:cs="Arial"/>
        </w:rPr>
        <w:br/>
      </w:r>
      <w:r w:rsidR="00F54B02" w:rsidRPr="00F54B02">
        <w:rPr>
          <w:rFonts w:ascii="Arial" w:hAnsi="Arial" w:cs="Arial"/>
          <w:noProof/>
        </w:rPr>
        <w:drawing>
          <wp:inline distT="0" distB="0" distL="0" distR="0" wp14:anchorId="5198A516" wp14:editId="75C06755">
            <wp:extent cx="5111023" cy="3600450"/>
            <wp:effectExtent l="0" t="0" r="0" b="0"/>
            <wp:docPr id="1471410540" name="Picture 7" descr="Diagram of a plant growth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10540" name="Picture 7" descr="Diagram of a plant growth cycle&#10;&#10;AI-generated content may be incorrect."/>
                    <pic:cNvPicPr/>
                  </pic:nvPicPr>
                  <pic:blipFill rotWithShape="1">
                    <a:blip r:embed="rId17" cstate="print">
                      <a:extLst>
                        <a:ext uri="{28A0092B-C50C-407E-A947-70E740481C1C}">
                          <a14:useLocalDpi xmlns:a14="http://schemas.microsoft.com/office/drawing/2010/main" val="0"/>
                        </a:ext>
                      </a:extLst>
                    </a:blip>
                    <a:srcRect b="2877"/>
                    <a:stretch/>
                  </pic:blipFill>
                  <pic:spPr bwMode="auto">
                    <a:xfrm>
                      <a:off x="0" y="0"/>
                      <a:ext cx="5121860" cy="3608084"/>
                    </a:xfrm>
                    <a:prstGeom prst="rect">
                      <a:avLst/>
                    </a:prstGeom>
                    <a:ln>
                      <a:noFill/>
                    </a:ln>
                    <a:extLst>
                      <a:ext uri="{53640926-AAD7-44D8-BBD7-CCE9431645EC}">
                        <a14:shadowObscured xmlns:a14="http://schemas.microsoft.com/office/drawing/2010/main"/>
                      </a:ext>
                    </a:extLst>
                  </pic:spPr>
                </pic:pic>
              </a:graphicData>
            </a:graphic>
          </wp:inline>
        </w:drawing>
      </w:r>
    </w:p>
    <w:p w14:paraId="2AF75CEA" w14:textId="03F29AB7" w:rsidR="00F54B02" w:rsidRPr="00F54B02" w:rsidRDefault="00F54B02" w:rsidP="00F54B02">
      <w:pPr>
        <w:spacing w:after="240"/>
        <w:jc w:val="both"/>
        <w:rPr>
          <w:rFonts w:ascii="Arial" w:hAnsi="Arial" w:cs="Arial"/>
          <w:b/>
          <w:bCs/>
        </w:rPr>
      </w:pPr>
      <w:r w:rsidRPr="00F54B02">
        <w:rPr>
          <w:rFonts w:ascii="Arial" w:hAnsi="Arial" w:cs="Arial"/>
          <w:b/>
          <w:bCs/>
        </w:rPr>
        <w:t>Fig</w:t>
      </w:r>
      <w:r>
        <w:rPr>
          <w:rFonts w:ascii="Arial" w:hAnsi="Arial" w:cs="Arial"/>
          <w:b/>
          <w:bCs/>
        </w:rPr>
        <w:t xml:space="preserve">. </w:t>
      </w:r>
      <w:r w:rsidRPr="00F54B02">
        <w:rPr>
          <w:rFonts w:ascii="Arial" w:hAnsi="Arial" w:cs="Arial"/>
          <w:b/>
          <w:bCs/>
        </w:rPr>
        <w:t>3</w:t>
      </w:r>
      <w:r>
        <w:rPr>
          <w:rFonts w:ascii="Arial" w:hAnsi="Arial" w:cs="Arial"/>
          <w:b/>
          <w:bCs/>
        </w:rPr>
        <w:t>.</w:t>
      </w:r>
      <w:r w:rsidRPr="00F54B02">
        <w:rPr>
          <w:rFonts w:ascii="Arial" w:hAnsi="Arial" w:cs="Arial"/>
          <w:b/>
          <w:bCs/>
        </w:rPr>
        <w:t xml:space="preserve"> Microbial transformations in the nitrogen cycle. Microorganisms mediate redox conversions of nitrogen, from atmospheric N</w:t>
      </w:r>
      <w:r w:rsidRPr="00F54B02">
        <w:rPr>
          <w:rFonts w:ascii="Cambria Math" w:hAnsi="Cambria Math" w:cs="Cambria Math"/>
          <w:b/>
          <w:bCs/>
        </w:rPr>
        <w:t>₂</w:t>
      </w:r>
      <w:r w:rsidRPr="00F54B02">
        <w:rPr>
          <w:rFonts w:ascii="Arial" w:hAnsi="Arial" w:cs="Arial"/>
          <w:b/>
          <w:bCs/>
        </w:rPr>
        <w:t xml:space="preserve"> to ammonium, nitrate, nitrous oxide, and dinitrogen. Processes include nitrogen fixation, nitrification, denitrification, and dissimilatory nitrate reduction to ammonium (DNRA). Source: Adapted from Kuypers et al. (2018), licensed under CC BY 4.0.</w:t>
      </w:r>
    </w:p>
    <w:p w14:paraId="6EB449CF" w14:textId="7C025712" w:rsidR="00F54B02" w:rsidRPr="00E01679" w:rsidRDefault="00F54B02" w:rsidP="00F54B02">
      <w:pPr>
        <w:pStyle w:val="ListParagraph"/>
        <w:numPr>
          <w:ilvl w:val="1"/>
          <w:numId w:val="32"/>
        </w:numPr>
        <w:spacing w:after="120"/>
        <w:jc w:val="both"/>
        <w:rPr>
          <w:rFonts w:ascii="Arial" w:hAnsi="Arial" w:cs="Arial"/>
          <w:sz w:val="22"/>
          <w:szCs w:val="22"/>
        </w:rPr>
      </w:pPr>
      <w:r w:rsidRPr="00E01679">
        <w:rPr>
          <w:rFonts w:ascii="Arial" w:hAnsi="Arial" w:cs="Arial"/>
          <w:sz w:val="22"/>
          <w:szCs w:val="22"/>
        </w:rPr>
        <w:t>Advanced Technological Interventions (AI, Nanotechnology, and Real-Time Sensing)</w:t>
      </w:r>
    </w:p>
    <w:p w14:paraId="43F67DA0" w14:textId="77777777" w:rsidR="00E01679" w:rsidRDefault="00F54B02" w:rsidP="00E01679">
      <w:pPr>
        <w:ind w:firstLine="720"/>
        <w:jc w:val="both"/>
        <w:rPr>
          <w:rFonts w:ascii="Arial" w:hAnsi="Arial" w:cs="Arial"/>
        </w:rPr>
      </w:pPr>
      <w:r w:rsidRPr="00F54B02">
        <w:rPr>
          <w:rFonts w:ascii="Arial" w:hAnsi="Arial" w:cs="Arial"/>
        </w:rPr>
        <w:t>Advanced technologies such as artificial intelligence (AI), nanotechnology, and real-time sensors are revolutionizing nitrogen management. AI-driven decision support systems can integrate weather, soil, and crop data to optimize nitrogen application, reducing excess use while maintaining yields (</w:t>
      </w:r>
      <w:proofErr w:type="spellStart"/>
      <w:r w:rsidRPr="00F54B02">
        <w:rPr>
          <w:rFonts w:ascii="Arial" w:hAnsi="Arial" w:cs="Arial"/>
        </w:rPr>
        <w:t>Nasiro</w:t>
      </w:r>
      <w:proofErr w:type="spellEnd"/>
      <w:r w:rsidRPr="00F54B02">
        <w:rPr>
          <w:rFonts w:ascii="Arial" w:hAnsi="Arial" w:cs="Arial"/>
        </w:rPr>
        <w:t xml:space="preserve"> &amp; </w:t>
      </w:r>
      <w:proofErr w:type="spellStart"/>
      <w:r w:rsidRPr="00F54B02">
        <w:rPr>
          <w:rFonts w:ascii="Arial" w:hAnsi="Arial" w:cs="Arial"/>
        </w:rPr>
        <w:t>Mohammednur</w:t>
      </w:r>
      <w:proofErr w:type="spellEnd"/>
      <w:r w:rsidRPr="00F54B02">
        <w:rPr>
          <w:rFonts w:ascii="Arial" w:hAnsi="Arial" w:cs="Arial"/>
        </w:rPr>
        <w:t>, 2024). Machine learning algorithms further enable real-time prediction of nitrogen dynamics, enhancing the precision of fertilizer application.</w:t>
      </w:r>
    </w:p>
    <w:p w14:paraId="6688F28E" w14:textId="7BCE111D" w:rsidR="00F54B02" w:rsidRPr="00F54B02" w:rsidRDefault="00F54B02" w:rsidP="00E01679">
      <w:pPr>
        <w:spacing w:after="120"/>
        <w:ind w:firstLine="720"/>
        <w:jc w:val="both"/>
        <w:rPr>
          <w:rFonts w:ascii="Arial" w:hAnsi="Arial" w:cs="Arial"/>
        </w:rPr>
      </w:pPr>
      <w:r w:rsidRPr="00F54B02">
        <w:rPr>
          <w:rFonts w:ascii="Arial" w:hAnsi="Arial" w:cs="Arial"/>
        </w:rPr>
        <w:t xml:space="preserve">Nanotechnology facilitates the development of smart fertilizers and </w:t>
      </w:r>
      <w:proofErr w:type="spellStart"/>
      <w:r w:rsidRPr="00F54B02">
        <w:rPr>
          <w:rFonts w:ascii="Arial" w:hAnsi="Arial" w:cs="Arial"/>
        </w:rPr>
        <w:t>nanosensors</w:t>
      </w:r>
      <w:proofErr w:type="spellEnd"/>
      <w:r w:rsidRPr="00F54B02">
        <w:rPr>
          <w:rFonts w:ascii="Arial" w:hAnsi="Arial" w:cs="Arial"/>
        </w:rPr>
        <w:t xml:space="preserve">. Nano-formulated fertilizers allow controlled release of nutrients, improving plant uptake and reducing leaching losses (Das et al., 2024). </w:t>
      </w:r>
      <w:proofErr w:type="spellStart"/>
      <w:r w:rsidRPr="00F54B02">
        <w:rPr>
          <w:rFonts w:ascii="Arial" w:hAnsi="Arial" w:cs="Arial"/>
        </w:rPr>
        <w:t>Nanosensors</w:t>
      </w:r>
      <w:proofErr w:type="spellEnd"/>
      <w:r w:rsidRPr="00F54B02">
        <w:rPr>
          <w:rFonts w:ascii="Arial" w:hAnsi="Arial" w:cs="Arial"/>
        </w:rPr>
        <w:t xml:space="preserve"> embedded in soil can detect nitrate and ammonium concentrations, guiding real-time nutrient management (Rani et al., 2024). Despite promising results from pilot studies, these technologies face challenges related to cost, scalability, and potential environmental risks (Saini &amp; Devi, 2022).</w:t>
      </w:r>
    </w:p>
    <w:p w14:paraId="2ECE22CE" w14:textId="6B47A5F5" w:rsidR="00F54B02" w:rsidRPr="00E01679" w:rsidRDefault="00F54B02" w:rsidP="00E01679">
      <w:pPr>
        <w:pStyle w:val="ListParagraph"/>
        <w:numPr>
          <w:ilvl w:val="1"/>
          <w:numId w:val="32"/>
        </w:numPr>
        <w:spacing w:after="120"/>
        <w:jc w:val="both"/>
        <w:rPr>
          <w:rFonts w:ascii="Arial" w:hAnsi="Arial" w:cs="Arial"/>
          <w:sz w:val="22"/>
          <w:szCs w:val="22"/>
        </w:rPr>
      </w:pPr>
      <w:r w:rsidRPr="00E01679">
        <w:rPr>
          <w:rFonts w:ascii="Arial" w:hAnsi="Arial" w:cs="Arial"/>
          <w:sz w:val="22"/>
          <w:szCs w:val="22"/>
        </w:rPr>
        <w:t>Adaptations for Extreme Environments</w:t>
      </w:r>
    </w:p>
    <w:p w14:paraId="7A49E7CC" w14:textId="77777777" w:rsidR="00E01679" w:rsidRDefault="00F54B02" w:rsidP="00E01679">
      <w:pPr>
        <w:ind w:firstLine="720"/>
        <w:jc w:val="both"/>
        <w:rPr>
          <w:rFonts w:ascii="Arial" w:hAnsi="Arial" w:cs="Arial"/>
        </w:rPr>
      </w:pPr>
      <w:r w:rsidRPr="00F54B02">
        <w:rPr>
          <w:rFonts w:ascii="Arial" w:hAnsi="Arial" w:cs="Arial"/>
        </w:rPr>
        <w:t xml:space="preserve">Climate change imposes new challenges for nitrogen fixation, especially under conditions of drought, salinity, and temperature extremes. Certain diazotrophic bacteria, including extremophiles and endophytes, possess traits that enable survival and function under such conditions (Lima et al., 2024). For example, </w:t>
      </w:r>
      <w:proofErr w:type="spellStart"/>
      <w:r w:rsidRPr="00F54B02">
        <w:rPr>
          <w:rFonts w:ascii="Arial" w:hAnsi="Arial" w:cs="Arial"/>
        </w:rPr>
        <w:t>Azotobacter</w:t>
      </w:r>
      <w:proofErr w:type="spellEnd"/>
      <w:r w:rsidRPr="00F54B02">
        <w:rPr>
          <w:rFonts w:ascii="Arial" w:hAnsi="Arial" w:cs="Arial"/>
        </w:rPr>
        <w:t xml:space="preserve"> </w:t>
      </w:r>
      <w:proofErr w:type="spellStart"/>
      <w:r w:rsidRPr="00F54B02">
        <w:rPr>
          <w:rFonts w:ascii="Arial" w:hAnsi="Arial" w:cs="Arial"/>
        </w:rPr>
        <w:t>chroococcum</w:t>
      </w:r>
      <w:proofErr w:type="spellEnd"/>
      <w:r w:rsidRPr="00F54B02">
        <w:rPr>
          <w:rFonts w:ascii="Arial" w:hAnsi="Arial" w:cs="Arial"/>
        </w:rPr>
        <w:t xml:space="preserve"> has shown </w:t>
      </w:r>
      <w:r w:rsidRPr="00F54B02">
        <w:rPr>
          <w:rFonts w:ascii="Arial" w:hAnsi="Arial" w:cs="Arial"/>
        </w:rPr>
        <w:lastRenderedPageBreak/>
        <w:t>potential as a biofertilizer in arid regions due to its ability to produce protective polysaccharides (Hakeem et al., 2016).</w:t>
      </w:r>
    </w:p>
    <w:p w14:paraId="76C86A56" w14:textId="77777777" w:rsidR="00E01679" w:rsidRDefault="00F54B02" w:rsidP="00E01679">
      <w:pPr>
        <w:ind w:firstLine="720"/>
        <w:jc w:val="both"/>
        <w:rPr>
          <w:rFonts w:ascii="Arial" w:hAnsi="Arial" w:cs="Arial"/>
        </w:rPr>
      </w:pPr>
      <w:r w:rsidRPr="00F54B02">
        <w:rPr>
          <w:rFonts w:ascii="Arial" w:hAnsi="Arial" w:cs="Arial"/>
        </w:rPr>
        <w:t>Genetic engineering of both host plants and microbes aims to enhance symbiosis under stress. CRISPR-edited crops with improved drought resilience may be better suited for symbiotic interactions under adverse conditions (Engineering Drought, 2023). However, field studies under extreme conditions are still limited, and the interactions between multiple abiotic stresses and nitrogen fixation remain poorly understood.</w:t>
      </w:r>
    </w:p>
    <w:p w14:paraId="040BEE1B" w14:textId="77777777" w:rsidR="00E01679" w:rsidRDefault="00F54B02" w:rsidP="00E01679">
      <w:pPr>
        <w:ind w:firstLine="720"/>
        <w:jc w:val="both"/>
        <w:rPr>
          <w:rFonts w:ascii="Arial" w:hAnsi="Arial" w:cs="Arial"/>
        </w:rPr>
      </w:pPr>
      <w:r w:rsidRPr="00F54B02">
        <w:rPr>
          <w:rFonts w:ascii="Arial" w:hAnsi="Arial" w:cs="Arial"/>
        </w:rPr>
        <w:t>Sustainable nitrogen fixation must be embedded within climate-smart agricultural systems that enhance productivity, resilience, and mitigation. Integrated approaches combine cover cropping, conservation tillage, and crop rotations to enhance soil fertility and biological nitrogen input (Abd-</w:t>
      </w:r>
      <w:proofErr w:type="spellStart"/>
      <w:r w:rsidRPr="00F54B02">
        <w:rPr>
          <w:rFonts w:ascii="Arial" w:hAnsi="Arial" w:cs="Arial"/>
        </w:rPr>
        <w:t>Alla</w:t>
      </w:r>
      <w:proofErr w:type="spellEnd"/>
      <w:r w:rsidRPr="00F54B02">
        <w:rPr>
          <w:rFonts w:ascii="Arial" w:hAnsi="Arial" w:cs="Arial"/>
        </w:rPr>
        <w:t xml:space="preserve"> et al., 2023). Landscape-level planning incorporates natural buffers and agroforestry to minimize nitrogen runoff and promote ecosystem services (</w:t>
      </w:r>
      <w:proofErr w:type="spellStart"/>
      <w:r w:rsidRPr="00F54B02">
        <w:rPr>
          <w:rFonts w:ascii="Arial" w:hAnsi="Arial" w:cs="Arial"/>
        </w:rPr>
        <w:t>Hallin</w:t>
      </w:r>
      <w:proofErr w:type="spellEnd"/>
      <w:r w:rsidRPr="00F54B02">
        <w:rPr>
          <w:rFonts w:ascii="Arial" w:hAnsi="Arial" w:cs="Arial"/>
        </w:rPr>
        <w:t xml:space="preserve"> &amp; </w:t>
      </w:r>
      <w:proofErr w:type="spellStart"/>
      <w:r w:rsidRPr="00F54B02">
        <w:rPr>
          <w:rFonts w:ascii="Arial" w:hAnsi="Arial" w:cs="Arial"/>
        </w:rPr>
        <w:t>Saghaï</w:t>
      </w:r>
      <w:proofErr w:type="spellEnd"/>
      <w:r w:rsidRPr="00F54B02">
        <w:rPr>
          <w:rFonts w:ascii="Arial" w:hAnsi="Arial" w:cs="Arial"/>
        </w:rPr>
        <w:t>, 2023).</w:t>
      </w:r>
    </w:p>
    <w:p w14:paraId="3235BB2F" w14:textId="77777777" w:rsidR="00E01679" w:rsidRDefault="00F54B02" w:rsidP="00E01679">
      <w:pPr>
        <w:ind w:firstLine="720"/>
        <w:jc w:val="both"/>
        <w:rPr>
          <w:rFonts w:ascii="Arial" w:hAnsi="Arial" w:cs="Arial"/>
        </w:rPr>
      </w:pPr>
      <w:r w:rsidRPr="00F54B02">
        <w:rPr>
          <w:rFonts w:ascii="Arial" w:hAnsi="Arial" w:cs="Arial"/>
        </w:rPr>
        <w:t>Circular strategies, such as composting and wastewater treatment for nutrient recovery, close nitrogen loops and support long-term soil health (Ye et al., 2021). Policymaking plays a pivotal role, with incentives for reduced fertilizer use and support for legume integration into cropping systems (Pascual et al., 2024). Nonetheless, translating holistic frameworks into scalable practices requires interdisciplinary research, stakeholder engagement, and robust policy support.</w:t>
      </w:r>
    </w:p>
    <w:p w14:paraId="30381FBA" w14:textId="3CA19621" w:rsidR="00F54B02" w:rsidRPr="00F54B02" w:rsidRDefault="00F54B02" w:rsidP="00E01679">
      <w:pPr>
        <w:ind w:firstLine="720"/>
        <w:jc w:val="both"/>
        <w:rPr>
          <w:rFonts w:ascii="Arial" w:hAnsi="Arial" w:cs="Arial"/>
        </w:rPr>
      </w:pPr>
      <w:r w:rsidRPr="00F54B02">
        <w:rPr>
          <w:rFonts w:ascii="Arial" w:hAnsi="Arial" w:cs="Arial"/>
        </w:rPr>
        <w:t xml:space="preserve">A wide array of strategies </w:t>
      </w:r>
      <w:r w:rsidR="00E01679">
        <w:rPr>
          <w:rFonts w:ascii="Arial" w:hAnsi="Arial" w:cs="Arial"/>
        </w:rPr>
        <w:t xml:space="preserve">now </w:t>
      </w:r>
      <w:r w:rsidRPr="00F54B02">
        <w:rPr>
          <w:rFonts w:ascii="Arial" w:hAnsi="Arial" w:cs="Arial"/>
        </w:rPr>
        <w:t>exist</w:t>
      </w:r>
      <w:r w:rsidR="00E01679">
        <w:rPr>
          <w:rFonts w:ascii="Arial" w:hAnsi="Arial" w:cs="Arial"/>
        </w:rPr>
        <w:t>s</w:t>
      </w:r>
      <w:r w:rsidRPr="00F54B02">
        <w:rPr>
          <w:rFonts w:ascii="Arial" w:hAnsi="Arial" w:cs="Arial"/>
        </w:rPr>
        <w:t xml:space="preserve"> to harness nitrogen fixation for sustainable agriculture. While classical BNF remains foundational, emerging conceptual frameworks, synthetic biology, advanced technologies, and holistic systems approaches offer new frontiers. However, challenges related to scalability, environmental stress adaptation, and interdisciplinary integration must be addressed. Future research should prioritize field validation, transdisciplinary collaboration, and inclusive innovation to realize the full potential</w:t>
      </w:r>
      <w:r w:rsidR="00E01679">
        <w:rPr>
          <w:rFonts w:ascii="Arial" w:hAnsi="Arial" w:cs="Arial"/>
        </w:rPr>
        <w:t xml:space="preserve"> </w:t>
      </w:r>
      <w:r w:rsidRPr="00F54B02">
        <w:rPr>
          <w:rFonts w:ascii="Arial" w:hAnsi="Arial" w:cs="Arial"/>
        </w:rPr>
        <w:t>of nitrogen fixation in climate-resilient food systems.</w:t>
      </w:r>
      <w:r w:rsidRPr="00F54B02">
        <w:rPr>
          <w:rFonts w:ascii="Arial" w:hAnsi="Arial" w:cs="Arial"/>
        </w:rPr>
        <w:br/>
      </w:r>
    </w:p>
    <w:p w14:paraId="7425E614" w14:textId="77777777" w:rsidR="00F54B02" w:rsidRPr="00E01679" w:rsidRDefault="00F54B02" w:rsidP="00F54B02">
      <w:pPr>
        <w:jc w:val="both"/>
        <w:rPr>
          <w:rFonts w:ascii="Arial" w:hAnsi="Arial" w:cs="Arial"/>
          <w:b/>
          <w:sz w:val="22"/>
          <w:szCs w:val="22"/>
        </w:rPr>
      </w:pPr>
    </w:p>
    <w:p w14:paraId="6CF8805A" w14:textId="61D284D6" w:rsidR="00F54B02" w:rsidRPr="00E01679" w:rsidRDefault="00F54B02" w:rsidP="00E01679">
      <w:pPr>
        <w:pStyle w:val="ListParagraph"/>
        <w:numPr>
          <w:ilvl w:val="0"/>
          <w:numId w:val="32"/>
        </w:numPr>
        <w:jc w:val="both"/>
        <w:rPr>
          <w:rFonts w:ascii="Arial" w:hAnsi="Arial" w:cs="Arial"/>
          <w:b/>
          <w:sz w:val="22"/>
          <w:szCs w:val="22"/>
        </w:rPr>
      </w:pPr>
      <w:r w:rsidRPr="00E01679">
        <w:rPr>
          <w:rFonts w:ascii="Arial" w:hAnsi="Arial" w:cs="Arial"/>
          <w:b/>
          <w:sz w:val="22"/>
          <w:szCs w:val="22"/>
        </w:rPr>
        <w:t>Advanced Technological Interventions</w:t>
      </w:r>
    </w:p>
    <w:p w14:paraId="1460FCE7" w14:textId="525DAF54" w:rsidR="00F54B02" w:rsidRPr="00E01679" w:rsidRDefault="00F54B02" w:rsidP="00E01679">
      <w:pPr>
        <w:pStyle w:val="ListParagraph"/>
        <w:numPr>
          <w:ilvl w:val="1"/>
          <w:numId w:val="32"/>
        </w:numPr>
        <w:spacing w:before="280"/>
        <w:jc w:val="both"/>
        <w:rPr>
          <w:rFonts w:ascii="Arial" w:hAnsi="Arial" w:cs="Arial"/>
          <w:bCs/>
          <w:sz w:val="22"/>
          <w:szCs w:val="22"/>
        </w:rPr>
      </w:pPr>
      <w:r w:rsidRPr="00E01679">
        <w:rPr>
          <w:rFonts w:ascii="Arial" w:hAnsi="Arial" w:cs="Arial"/>
          <w:bCs/>
          <w:sz w:val="22"/>
          <w:szCs w:val="22"/>
        </w:rPr>
        <w:t>Nanotechnology in Nitrogen Management</w:t>
      </w:r>
    </w:p>
    <w:p w14:paraId="67D2D54D" w14:textId="77777777" w:rsidR="00F54B02" w:rsidRPr="00F54B02" w:rsidRDefault="00F54B02" w:rsidP="00E01679">
      <w:pPr>
        <w:spacing w:before="120"/>
        <w:jc w:val="both"/>
        <w:rPr>
          <w:rFonts w:ascii="Arial" w:hAnsi="Arial" w:cs="Arial"/>
        </w:rPr>
      </w:pPr>
      <w:r w:rsidRPr="00F54B02">
        <w:rPr>
          <w:rFonts w:ascii="Arial" w:hAnsi="Arial" w:cs="Arial"/>
        </w:rPr>
        <w:t>As climate variability increasingly threatens global food security, innovative strategies such as nanotechnology are emerging as essential tools in optimizing nitrogen use efficiency (NUE) for sustainable crop production. Nitrogen, a vital macronutrient, is often lost through volatilization, leaching, or denitrification, leading to environmental degradation and economic inefficiency. Nanotechnology provides promising avenues to mitigate these losses through targeted delivery, real-time tracking, and precise application of nitrogen-based inputs. Three significant developments in this field include nano-sensors for real-time nitrogen tracking, smart fertilizer delivery systems, and nanoscale innovations for precision agriculture.</w:t>
      </w:r>
    </w:p>
    <w:p w14:paraId="1E4DCB55" w14:textId="36C07897" w:rsidR="00F54B02" w:rsidRPr="00E01679" w:rsidRDefault="00F54B02" w:rsidP="00E01679">
      <w:pPr>
        <w:pStyle w:val="ListParagraph"/>
        <w:numPr>
          <w:ilvl w:val="1"/>
          <w:numId w:val="32"/>
        </w:numPr>
        <w:spacing w:before="120" w:after="120"/>
        <w:jc w:val="both"/>
        <w:rPr>
          <w:rFonts w:ascii="Arial" w:hAnsi="Arial" w:cs="Arial"/>
          <w:bCs/>
          <w:sz w:val="22"/>
          <w:szCs w:val="22"/>
        </w:rPr>
      </w:pPr>
      <w:r w:rsidRPr="00E01679">
        <w:rPr>
          <w:rFonts w:ascii="Arial" w:hAnsi="Arial" w:cs="Arial"/>
          <w:bCs/>
          <w:sz w:val="22"/>
          <w:szCs w:val="22"/>
        </w:rPr>
        <w:t>Nano-sensors for Real-Time Nitrogen Tracking</w:t>
      </w:r>
    </w:p>
    <w:p w14:paraId="1C841F9A" w14:textId="77777777" w:rsidR="00E01679" w:rsidRDefault="00F54B02" w:rsidP="00E01679">
      <w:pPr>
        <w:ind w:firstLine="567"/>
        <w:jc w:val="both"/>
        <w:rPr>
          <w:rFonts w:ascii="Arial" w:hAnsi="Arial" w:cs="Arial"/>
        </w:rPr>
      </w:pPr>
      <w:r w:rsidRPr="00F54B02">
        <w:rPr>
          <w:rFonts w:ascii="Arial" w:hAnsi="Arial" w:cs="Arial"/>
        </w:rPr>
        <w:t>Nano-sensors offer unprecedented sensitivity and specificity in detecting nitrogen compounds, enabling real-time monitoring and better nitrogen management in both soil and water systems. Their use is pivotal in addressing inefficiencies in traditional monitoring methods, which are often time-consuming and labor-intensive.</w:t>
      </w:r>
    </w:p>
    <w:p w14:paraId="63C8661A" w14:textId="77777777" w:rsidR="00E01679" w:rsidRDefault="00F54B02" w:rsidP="00E01679">
      <w:pPr>
        <w:ind w:firstLine="567"/>
        <w:jc w:val="both"/>
        <w:rPr>
          <w:rFonts w:ascii="Arial" w:hAnsi="Arial" w:cs="Arial"/>
        </w:rPr>
      </w:pPr>
      <w:r w:rsidRPr="00F54B02">
        <w:rPr>
          <w:rFonts w:ascii="Arial" w:hAnsi="Arial" w:cs="Arial"/>
        </w:rPr>
        <w:t>Graphene-based field-effect transistor (FET) sensors exemplify a breakthrough in nitrate detection. These sensors, utilizing reduced graphene oxide (</w:t>
      </w:r>
      <w:proofErr w:type="spellStart"/>
      <w:r w:rsidRPr="00F54B02">
        <w:rPr>
          <w:rFonts w:ascii="Arial" w:hAnsi="Arial" w:cs="Arial"/>
        </w:rPr>
        <w:t>rGO</w:t>
      </w:r>
      <w:proofErr w:type="spellEnd"/>
      <w:r w:rsidRPr="00F54B02">
        <w:rPr>
          <w:rFonts w:ascii="Arial" w:hAnsi="Arial" w:cs="Arial"/>
        </w:rPr>
        <w:t>), detect nitrate concentrations as low as 1.1 µg L</w:t>
      </w:r>
      <w:r w:rsidRPr="00F54B02">
        <w:rPr>
          <w:rFonts w:ascii="Cambria Math" w:hAnsi="Cambria Math" w:cs="Cambria Math"/>
        </w:rPr>
        <w:t>⁻</w:t>
      </w:r>
      <w:r w:rsidRPr="00F54B02">
        <w:rPr>
          <w:rFonts w:ascii="Arial" w:hAnsi="Arial" w:cs="Arial"/>
        </w:rPr>
        <w:t>¹ within 2–7 seconds and demonstrate excellent selectivity, making them highly suitable for environmental monitoring and precision fertilization (Chen et al., 2018). Similarly, electrochemical sensors based on platinum-nickel (</w:t>
      </w:r>
      <w:proofErr w:type="spellStart"/>
      <w:r w:rsidRPr="00F54B02">
        <w:rPr>
          <w:rFonts w:ascii="Arial" w:hAnsi="Arial" w:cs="Arial"/>
        </w:rPr>
        <w:t>PtNi</w:t>
      </w:r>
      <w:proofErr w:type="spellEnd"/>
      <w:r w:rsidRPr="00F54B02">
        <w:rPr>
          <w:rFonts w:ascii="Arial" w:hAnsi="Arial" w:cs="Arial"/>
        </w:rPr>
        <w:t xml:space="preserve">) alloy nanostructures achieve remarkable sensitivity, detecting ammonia-nitrogen at concentrations as low as 24 </w:t>
      </w:r>
      <w:proofErr w:type="spellStart"/>
      <w:r w:rsidRPr="00F54B02">
        <w:rPr>
          <w:rFonts w:ascii="Arial" w:hAnsi="Arial" w:cs="Arial"/>
        </w:rPr>
        <w:t>nM</w:t>
      </w:r>
      <w:proofErr w:type="spellEnd"/>
      <w:r w:rsidRPr="00F54B02">
        <w:rPr>
          <w:rFonts w:ascii="Arial" w:hAnsi="Arial" w:cs="Arial"/>
        </w:rPr>
        <w:t>, which is critical for capturing emissions from fertilized soils (Wang et al., 2024).</w:t>
      </w:r>
    </w:p>
    <w:p w14:paraId="198895BA" w14:textId="77777777" w:rsidR="00E01679" w:rsidRDefault="00F54B02" w:rsidP="00E01679">
      <w:pPr>
        <w:ind w:firstLine="567"/>
        <w:jc w:val="both"/>
        <w:rPr>
          <w:rFonts w:ascii="Arial" w:hAnsi="Arial" w:cs="Arial"/>
        </w:rPr>
      </w:pPr>
      <w:r w:rsidRPr="00F54B02">
        <w:rPr>
          <w:rFonts w:ascii="Arial" w:hAnsi="Arial" w:cs="Arial"/>
        </w:rPr>
        <w:lastRenderedPageBreak/>
        <w:t xml:space="preserve">In air quality applications, </w:t>
      </w:r>
      <w:proofErr w:type="spellStart"/>
      <w:r w:rsidRPr="00F54B02">
        <w:rPr>
          <w:rFonts w:ascii="Arial" w:hAnsi="Arial" w:cs="Arial"/>
        </w:rPr>
        <w:t>chemiresistive</w:t>
      </w:r>
      <w:proofErr w:type="spellEnd"/>
      <w:r w:rsidRPr="00F54B02">
        <w:rPr>
          <w:rFonts w:ascii="Arial" w:hAnsi="Arial" w:cs="Arial"/>
        </w:rPr>
        <w:t xml:space="preserve"> </w:t>
      </w:r>
      <w:proofErr w:type="spellStart"/>
      <w:r w:rsidRPr="00F54B02">
        <w:rPr>
          <w:rFonts w:ascii="Arial" w:hAnsi="Arial" w:cs="Arial"/>
        </w:rPr>
        <w:t>nanosensors</w:t>
      </w:r>
      <w:proofErr w:type="spellEnd"/>
      <w:r w:rsidRPr="00F54B02">
        <w:rPr>
          <w:rFonts w:ascii="Arial" w:hAnsi="Arial" w:cs="Arial"/>
        </w:rPr>
        <w:t xml:space="preserve"> are effective in detecting nitrogenous gases like ammonia and nitrous oxide, providing real-time data that surpasses conventional techniques in cost-effectiveness and accuracy (Saini &amp; Devi, 2022). Moreover, multi-gas sensors embedded with micro-electromechanical systems (MEMS) can detect various nitrogen oxides in real time and process the data using machine learning algorithms, advancing the integration of environmental monitoring with decision-support systems in agriculture (Mani et al., 2022).</w:t>
      </w:r>
    </w:p>
    <w:p w14:paraId="6AAADDB0" w14:textId="73297C0B" w:rsidR="00F54B02" w:rsidRPr="00F54B02" w:rsidRDefault="00F54B02" w:rsidP="00E01679">
      <w:pPr>
        <w:ind w:firstLine="567"/>
        <w:jc w:val="both"/>
        <w:rPr>
          <w:rFonts w:ascii="Arial" w:hAnsi="Arial" w:cs="Arial"/>
        </w:rPr>
      </w:pPr>
      <w:r w:rsidRPr="00F54B02">
        <w:rPr>
          <w:rFonts w:ascii="Arial" w:hAnsi="Arial" w:cs="Arial"/>
        </w:rPr>
        <w:t>Despite these advancements, challenges remain regarding the durability and selectivity of nano-sensors in field conditions. Current research underscores the need for standardized testing protocols and scalable deployment strategies to fully realize their potential in diverse agroecosystems.</w:t>
      </w:r>
    </w:p>
    <w:p w14:paraId="3807864D" w14:textId="165A3217" w:rsidR="00F54B02" w:rsidRPr="00E01679" w:rsidRDefault="00F54B02" w:rsidP="00E01679">
      <w:pPr>
        <w:pStyle w:val="ListParagraph"/>
        <w:numPr>
          <w:ilvl w:val="1"/>
          <w:numId w:val="32"/>
        </w:numPr>
        <w:spacing w:before="120" w:after="120"/>
        <w:jc w:val="both"/>
        <w:rPr>
          <w:rFonts w:ascii="Arial" w:hAnsi="Arial" w:cs="Arial"/>
          <w:bCs/>
          <w:sz w:val="22"/>
          <w:szCs w:val="22"/>
        </w:rPr>
      </w:pPr>
      <w:r w:rsidRPr="00E01679">
        <w:rPr>
          <w:rFonts w:ascii="Arial" w:hAnsi="Arial" w:cs="Arial"/>
          <w:bCs/>
          <w:sz w:val="22"/>
          <w:szCs w:val="22"/>
        </w:rPr>
        <w:t>Smart Fertilizer Delivery Systems</w:t>
      </w:r>
    </w:p>
    <w:p w14:paraId="7EB38FBB" w14:textId="77777777" w:rsidR="00E01679" w:rsidRDefault="00F54B02" w:rsidP="00E01679">
      <w:pPr>
        <w:ind w:firstLine="567"/>
        <w:jc w:val="both"/>
        <w:rPr>
          <w:rFonts w:ascii="Arial" w:hAnsi="Arial" w:cs="Arial"/>
        </w:rPr>
      </w:pPr>
      <w:r w:rsidRPr="00F54B02">
        <w:rPr>
          <w:rFonts w:ascii="Arial" w:hAnsi="Arial" w:cs="Arial"/>
        </w:rPr>
        <w:t>The application of nanotechnology in fertilizer delivery marks a pivotal transition from conventional to precision nutrient management. Smart fertilizer systems are designed to release nutrients in a controlled manner, tailored to crop demand and environmental cues, thereby enhancing NUE and reducing leaching.</w:t>
      </w:r>
    </w:p>
    <w:p w14:paraId="7D8C7FAD" w14:textId="69998AB4" w:rsidR="00E01679" w:rsidRDefault="00F54B02" w:rsidP="00E01679">
      <w:pPr>
        <w:ind w:firstLine="567"/>
        <w:jc w:val="both"/>
        <w:rPr>
          <w:rFonts w:ascii="Arial" w:hAnsi="Arial" w:cs="Arial"/>
        </w:rPr>
      </w:pPr>
      <w:r w:rsidRPr="00F54B02">
        <w:rPr>
          <w:rFonts w:ascii="Arial" w:hAnsi="Arial" w:cs="Arial"/>
        </w:rPr>
        <w:t xml:space="preserve">Nanostructured carriers, including nanoparticles and nanotubes, enable controlled-release formulations that synchronize nitrogen availability with plant uptake. Such systems significantly reduce nitrogen losses to the environment and improve crop yields (Thiranagama et al., 2023). </w:t>
      </w:r>
    </w:p>
    <w:p w14:paraId="5B9D60C7" w14:textId="77777777" w:rsidR="00E01679" w:rsidRDefault="00F54B02" w:rsidP="00E01679">
      <w:pPr>
        <w:ind w:firstLine="567"/>
        <w:jc w:val="both"/>
        <w:rPr>
          <w:rFonts w:ascii="Arial" w:hAnsi="Arial" w:cs="Arial"/>
        </w:rPr>
      </w:pPr>
      <w:r w:rsidRPr="00F54B02">
        <w:rPr>
          <w:rFonts w:ascii="Arial" w:hAnsi="Arial" w:cs="Arial"/>
        </w:rPr>
        <w:t>Automation complements these innovations through smart fertigation systems that combine wireless technologies, sensor data, and algorithm-based controls to deliver precise nutrient dosages. These systems enable real-time adjustments based on crop needs, reducing manual intervention and operational costs (</w:t>
      </w:r>
      <w:proofErr w:type="spellStart"/>
      <w:r w:rsidRPr="00F54B02">
        <w:rPr>
          <w:rFonts w:ascii="Arial" w:hAnsi="Arial" w:cs="Arial"/>
        </w:rPr>
        <w:t>Giannoccaro</w:t>
      </w:r>
      <w:proofErr w:type="spellEnd"/>
      <w:r w:rsidRPr="00F54B02">
        <w:rPr>
          <w:rFonts w:ascii="Arial" w:hAnsi="Arial" w:cs="Arial"/>
        </w:rPr>
        <w:t xml:space="preserve"> et al., 2020). Intelligent dispensing platforms further streamline the mixing and delivery of nutrients, integrating programmable logic controllers (PLCs) to enhance system accuracy and efficiency (</w:t>
      </w:r>
      <w:proofErr w:type="spellStart"/>
      <w:r w:rsidRPr="00F54B02">
        <w:rPr>
          <w:rFonts w:ascii="Arial" w:hAnsi="Arial" w:cs="Arial"/>
        </w:rPr>
        <w:t>Biaotang</w:t>
      </w:r>
      <w:proofErr w:type="spellEnd"/>
      <w:r w:rsidRPr="00F54B02">
        <w:rPr>
          <w:rFonts w:ascii="Arial" w:hAnsi="Arial" w:cs="Arial"/>
        </w:rPr>
        <w:t xml:space="preserve"> &amp; </w:t>
      </w:r>
      <w:proofErr w:type="spellStart"/>
      <w:r w:rsidRPr="00F54B02">
        <w:rPr>
          <w:rFonts w:ascii="Arial" w:hAnsi="Arial" w:cs="Arial"/>
        </w:rPr>
        <w:t>Kongyao</w:t>
      </w:r>
      <w:proofErr w:type="spellEnd"/>
      <w:r w:rsidRPr="00F54B02">
        <w:rPr>
          <w:rFonts w:ascii="Arial" w:hAnsi="Arial" w:cs="Arial"/>
        </w:rPr>
        <w:t>, 2017; Ning et al., 2013).</w:t>
      </w:r>
    </w:p>
    <w:p w14:paraId="7FFBAE80" w14:textId="692F6E0A" w:rsidR="00F54B02" w:rsidRPr="00F54B02" w:rsidRDefault="00F54B02" w:rsidP="00E01679">
      <w:pPr>
        <w:ind w:firstLine="567"/>
        <w:jc w:val="both"/>
        <w:rPr>
          <w:rFonts w:ascii="Arial" w:hAnsi="Arial" w:cs="Arial"/>
        </w:rPr>
      </w:pPr>
      <w:r w:rsidRPr="00F54B02">
        <w:rPr>
          <w:rFonts w:ascii="Arial" w:hAnsi="Arial" w:cs="Arial"/>
        </w:rPr>
        <w:t>However, the widespread adoption of smart fertilizers faces regulatory, economic, and technical hurdles. Regulatory concerns regarding the environmental impact of nanomaterials and the need for farmer education remain significant bottlenecks that require collaborative research and policy alignment.</w:t>
      </w:r>
    </w:p>
    <w:p w14:paraId="756273D6" w14:textId="77777777" w:rsidR="00F54B02" w:rsidRPr="00F54B02" w:rsidRDefault="00F54B02" w:rsidP="00A34628">
      <w:pPr>
        <w:spacing w:before="120"/>
        <w:jc w:val="center"/>
        <w:rPr>
          <w:rFonts w:ascii="Arial" w:hAnsi="Arial" w:cs="Arial"/>
        </w:rPr>
      </w:pPr>
      <w:r w:rsidRPr="00F54B02">
        <w:rPr>
          <w:rFonts w:ascii="Arial" w:hAnsi="Arial" w:cs="Arial"/>
          <w:noProof/>
        </w:rPr>
        <w:drawing>
          <wp:inline distT="0" distB="0" distL="0" distR="0" wp14:anchorId="31BD0BDD" wp14:editId="03E0FD1A">
            <wp:extent cx="5232400" cy="2977872"/>
            <wp:effectExtent l="0" t="0" r="0" b="0"/>
            <wp:docPr id="1755960353" name="Picture 3" descr="A diagram of a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60353" name="Picture 3" descr="A diagram of a farm"/>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58849" cy="2992925"/>
                    </a:xfrm>
                    <a:prstGeom prst="rect">
                      <a:avLst/>
                    </a:prstGeom>
                  </pic:spPr>
                </pic:pic>
              </a:graphicData>
            </a:graphic>
          </wp:inline>
        </w:drawing>
      </w:r>
    </w:p>
    <w:p w14:paraId="5D02C503" w14:textId="69B544A0" w:rsidR="00F54B02" w:rsidRPr="00A34628" w:rsidRDefault="00F54B02" w:rsidP="00A34628">
      <w:pPr>
        <w:jc w:val="center"/>
        <w:rPr>
          <w:rFonts w:ascii="Arial" w:hAnsi="Arial" w:cs="Arial"/>
          <w:b/>
          <w:bCs/>
        </w:rPr>
      </w:pPr>
      <w:r w:rsidRPr="00A34628">
        <w:rPr>
          <w:rFonts w:ascii="Arial" w:hAnsi="Arial" w:cs="Arial"/>
          <w:b/>
          <w:bCs/>
        </w:rPr>
        <w:lastRenderedPageBreak/>
        <w:t>Fig</w:t>
      </w:r>
      <w:r w:rsidR="00A34628">
        <w:rPr>
          <w:rFonts w:ascii="Arial" w:hAnsi="Arial" w:cs="Arial"/>
          <w:b/>
          <w:bCs/>
        </w:rPr>
        <w:t>.</w:t>
      </w:r>
      <w:r w:rsidRPr="00A34628">
        <w:rPr>
          <w:rFonts w:ascii="Arial" w:hAnsi="Arial" w:cs="Arial"/>
          <w:b/>
          <w:bCs/>
        </w:rPr>
        <w:t xml:space="preserve"> 4</w:t>
      </w:r>
      <w:r w:rsidR="00A34628">
        <w:rPr>
          <w:rFonts w:ascii="Arial" w:hAnsi="Arial" w:cs="Arial"/>
          <w:b/>
          <w:bCs/>
        </w:rPr>
        <w:t>.</w:t>
      </w:r>
      <w:r w:rsidRPr="00A34628">
        <w:rPr>
          <w:rFonts w:ascii="Arial" w:hAnsi="Arial" w:cs="Arial"/>
          <w:b/>
          <w:bCs/>
        </w:rPr>
        <w:t>: Smart Nitrogen Management Workflow (</w:t>
      </w:r>
      <w:proofErr w:type="spellStart"/>
      <w:r w:rsidRPr="00A34628">
        <w:rPr>
          <w:rFonts w:ascii="Arial" w:hAnsi="Arial" w:cs="Arial"/>
          <w:b/>
          <w:bCs/>
        </w:rPr>
        <w:t>Giannoccaro</w:t>
      </w:r>
      <w:proofErr w:type="spellEnd"/>
      <w:r w:rsidRPr="00A34628">
        <w:rPr>
          <w:rFonts w:ascii="Arial" w:hAnsi="Arial" w:cs="Arial"/>
          <w:b/>
          <w:bCs/>
        </w:rPr>
        <w:t xml:space="preserve"> et al., 2020)</w:t>
      </w:r>
    </w:p>
    <w:p w14:paraId="4E4CF010" w14:textId="5EBDDD2E" w:rsidR="00F54B02" w:rsidRPr="00A34628" w:rsidRDefault="00F54B02" w:rsidP="00A34628">
      <w:pPr>
        <w:pStyle w:val="ListParagraph"/>
        <w:numPr>
          <w:ilvl w:val="1"/>
          <w:numId w:val="32"/>
        </w:numPr>
        <w:spacing w:before="120" w:after="120"/>
        <w:jc w:val="both"/>
        <w:rPr>
          <w:rFonts w:ascii="Arial" w:hAnsi="Arial" w:cs="Arial"/>
          <w:bCs/>
          <w:sz w:val="22"/>
          <w:szCs w:val="22"/>
        </w:rPr>
      </w:pPr>
      <w:r w:rsidRPr="00A34628">
        <w:rPr>
          <w:rFonts w:ascii="Arial" w:hAnsi="Arial" w:cs="Arial"/>
          <w:bCs/>
          <w:sz w:val="22"/>
          <w:szCs w:val="22"/>
        </w:rPr>
        <w:t>Precision Agriculture Through Nanoscale Interventions</w:t>
      </w:r>
    </w:p>
    <w:p w14:paraId="3B3E8B35" w14:textId="77777777" w:rsidR="00A34628" w:rsidRDefault="00F54B02" w:rsidP="00A34628">
      <w:pPr>
        <w:ind w:firstLine="567"/>
        <w:jc w:val="both"/>
        <w:rPr>
          <w:rFonts w:ascii="Arial" w:hAnsi="Arial" w:cs="Arial"/>
        </w:rPr>
      </w:pPr>
      <w:r w:rsidRPr="00F54B02">
        <w:rPr>
          <w:rFonts w:ascii="Arial" w:hAnsi="Arial" w:cs="Arial"/>
        </w:rPr>
        <w:t>Precision agriculture aims to maximize resource use efficiency by tailoring agricultural inputs to specific field conditions. Nanoscale interventions support this paradigm by enabling high-resolution monitoring and targeted input delivery, thereby optimizing crop productivity under varying environmental constraints.</w:t>
      </w:r>
    </w:p>
    <w:p w14:paraId="119840BD" w14:textId="77777777" w:rsidR="00A34628" w:rsidRDefault="00F54B02" w:rsidP="00A34628">
      <w:pPr>
        <w:ind w:firstLine="567"/>
        <w:jc w:val="both"/>
        <w:rPr>
          <w:rFonts w:ascii="Arial" w:hAnsi="Arial" w:cs="Arial"/>
        </w:rPr>
      </w:pPr>
      <w:r w:rsidRPr="00F54B02">
        <w:rPr>
          <w:rFonts w:ascii="Arial" w:hAnsi="Arial" w:cs="Arial"/>
        </w:rPr>
        <w:t>Nano sensors embedded in soils can monitor key parameters such as moisture content, nutrient concentration, and pH in real time. These devices, often fabricated from carbon nanotubes and graphene composites, exhibit high sensitivity, durability, and low energy consumption, making them suitable for continuous field deployment (Das et al., 2024). This real-time feedback allows farmers to fine-tune nutrient applications, including nitrogen, to specific crop zones and growth stages.</w:t>
      </w:r>
    </w:p>
    <w:p w14:paraId="68C70D74" w14:textId="77777777" w:rsidR="00A34628" w:rsidRDefault="00F54B02" w:rsidP="00A34628">
      <w:pPr>
        <w:ind w:firstLine="567"/>
        <w:jc w:val="both"/>
        <w:rPr>
          <w:rFonts w:ascii="Arial" w:hAnsi="Arial" w:cs="Arial"/>
        </w:rPr>
      </w:pPr>
      <w:r w:rsidRPr="00F54B02">
        <w:rPr>
          <w:rFonts w:ascii="Arial" w:hAnsi="Arial" w:cs="Arial"/>
        </w:rPr>
        <w:t>In parallel, nanotechnology enables the development of smart delivery systems that encapsulate nitrogenous fertilizers for sustained and localized release. For instance, nano-encapsulated urea improves nitrogen retention in the root zone, reducing the frequency and quantity of applications required (Thiranagama et al., 2023).</w:t>
      </w:r>
    </w:p>
    <w:p w14:paraId="60FF0A71" w14:textId="77777777" w:rsidR="00A34628" w:rsidRDefault="00F54B02" w:rsidP="00A34628">
      <w:pPr>
        <w:ind w:firstLine="567"/>
        <w:jc w:val="both"/>
        <w:rPr>
          <w:rFonts w:ascii="Arial" w:hAnsi="Arial" w:cs="Arial"/>
        </w:rPr>
      </w:pPr>
      <w:r w:rsidRPr="00F54B02">
        <w:rPr>
          <w:rFonts w:ascii="Arial" w:hAnsi="Arial" w:cs="Arial"/>
        </w:rPr>
        <w:t>Moreover, the use of nano biosensors for disease and stress detection provides an additional layer of precision. These sensors can identify biotic and abiotic stressors at early stages, allowing for timely interventions that preserve nitrogen investment and protect yield potential (Rani et al., 2024; Das et al., 2024).</w:t>
      </w:r>
    </w:p>
    <w:p w14:paraId="7235DB96" w14:textId="0819CDF6" w:rsidR="00F54B02" w:rsidRPr="00F54B02" w:rsidRDefault="00F54B02" w:rsidP="00A34628">
      <w:pPr>
        <w:ind w:firstLine="567"/>
        <w:jc w:val="both"/>
        <w:rPr>
          <w:rFonts w:ascii="Arial" w:hAnsi="Arial" w:cs="Arial"/>
        </w:rPr>
      </w:pPr>
      <w:r w:rsidRPr="00F54B02">
        <w:rPr>
          <w:rFonts w:ascii="Arial" w:hAnsi="Arial" w:cs="Arial"/>
        </w:rPr>
        <w:t>Despite these benefits, the environmental and health risks associated with nanoparticle accumulation in soil and food systems remain underexplored. Long-term studies assessing the ecological footprint of nanomaterials in agricultural settings are necessary to ensure their safe and sustainable use.</w:t>
      </w:r>
    </w:p>
    <w:p w14:paraId="204D540D" w14:textId="77777777" w:rsidR="00A34628" w:rsidRPr="00A34628" w:rsidRDefault="00A34628" w:rsidP="00A34628">
      <w:pPr>
        <w:spacing w:before="280" w:line="360" w:lineRule="auto"/>
        <w:jc w:val="both"/>
        <w:rPr>
          <w:rFonts w:ascii="Arial" w:hAnsi="Arial" w:cs="Arial"/>
        </w:rPr>
      </w:pPr>
      <w:r w:rsidRPr="00A34628">
        <w:rPr>
          <w:rFonts w:ascii="Arial" w:hAnsi="Arial" w:cs="Arial"/>
        </w:rPr>
        <w:t>Table 2. Technological Tools for Nitrogen Management</w:t>
      </w:r>
    </w:p>
    <w:tbl>
      <w:tblPr>
        <w:tblStyle w:val="TableGrid"/>
        <w:tblW w:w="0" w:type="auto"/>
        <w:tblInd w:w="108" w:type="dxa"/>
        <w:tblLook w:val="04A0" w:firstRow="1" w:lastRow="0" w:firstColumn="1" w:lastColumn="0" w:noHBand="0" w:noVBand="1"/>
      </w:tblPr>
      <w:tblGrid>
        <w:gridCol w:w="1574"/>
        <w:gridCol w:w="1565"/>
        <w:gridCol w:w="1657"/>
        <w:gridCol w:w="1607"/>
        <w:gridCol w:w="1687"/>
      </w:tblGrid>
      <w:tr w:rsidR="00A34628" w:rsidRPr="00A34628" w14:paraId="4424BCA9" w14:textId="77777777" w:rsidTr="00A34628">
        <w:tc>
          <w:tcPr>
            <w:tcW w:w="1603" w:type="dxa"/>
          </w:tcPr>
          <w:p w14:paraId="519E3776" w14:textId="77777777" w:rsidR="00A34628" w:rsidRPr="00A34628" w:rsidRDefault="00A34628" w:rsidP="007B2FED">
            <w:pPr>
              <w:spacing w:line="360" w:lineRule="auto"/>
              <w:jc w:val="both"/>
              <w:rPr>
                <w:rFonts w:ascii="Arial" w:eastAsia="Times New Roman" w:hAnsi="Arial" w:cs="Arial"/>
                <w:b/>
                <w:bCs/>
                <w:sz w:val="20"/>
                <w:szCs w:val="20"/>
              </w:rPr>
            </w:pPr>
            <w:r w:rsidRPr="00A34628">
              <w:rPr>
                <w:rFonts w:ascii="Arial" w:hAnsi="Arial" w:cs="Arial"/>
                <w:b/>
                <w:bCs/>
                <w:sz w:val="20"/>
                <w:szCs w:val="20"/>
              </w:rPr>
              <w:t>Technology</w:t>
            </w:r>
          </w:p>
        </w:tc>
        <w:tc>
          <w:tcPr>
            <w:tcW w:w="1627" w:type="dxa"/>
          </w:tcPr>
          <w:p w14:paraId="3DC2814F" w14:textId="77777777" w:rsidR="00A34628" w:rsidRPr="00A34628" w:rsidRDefault="00A34628" w:rsidP="007B2FED">
            <w:pPr>
              <w:spacing w:line="360" w:lineRule="auto"/>
              <w:jc w:val="both"/>
              <w:rPr>
                <w:rFonts w:ascii="Arial" w:eastAsia="Times New Roman" w:hAnsi="Arial" w:cs="Arial"/>
                <w:b/>
                <w:bCs/>
                <w:sz w:val="20"/>
                <w:szCs w:val="20"/>
              </w:rPr>
            </w:pPr>
            <w:r w:rsidRPr="00A34628">
              <w:rPr>
                <w:rFonts w:ascii="Arial" w:hAnsi="Arial" w:cs="Arial"/>
                <w:b/>
                <w:bCs/>
                <w:sz w:val="20"/>
                <w:szCs w:val="20"/>
              </w:rPr>
              <w:t>Function</w:t>
            </w:r>
          </w:p>
        </w:tc>
        <w:tc>
          <w:tcPr>
            <w:tcW w:w="1701" w:type="dxa"/>
          </w:tcPr>
          <w:p w14:paraId="69E78C90" w14:textId="77777777" w:rsidR="00A34628" w:rsidRPr="00A34628" w:rsidRDefault="00A34628" w:rsidP="007B2FED">
            <w:pPr>
              <w:spacing w:line="360" w:lineRule="auto"/>
              <w:jc w:val="both"/>
              <w:rPr>
                <w:rFonts w:ascii="Arial" w:eastAsia="Times New Roman" w:hAnsi="Arial" w:cs="Arial"/>
                <w:b/>
                <w:bCs/>
                <w:sz w:val="20"/>
                <w:szCs w:val="20"/>
              </w:rPr>
            </w:pPr>
            <w:r w:rsidRPr="00A34628">
              <w:rPr>
                <w:rFonts w:ascii="Arial" w:hAnsi="Arial" w:cs="Arial"/>
                <w:b/>
                <w:bCs/>
                <w:sz w:val="20"/>
                <w:szCs w:val="20"/>
              </w:rPr>
              <w:t>Example Application</w:t>
            </w:r>
          </w:p>
        </w:tc>
        <w:tc>
          <w:tcPr>
            <w:tcW w:w="1661" w:type="dxa"/>
          </w:tcPr>
          <w:p w14:paraId="73085A7C" w14:textId="77777777" w:rsidR="00A34628" w:rsidRPr="00A34628" w:rsidRDefault="00A34628" w:rsidP="007B2FED">
            <w:pPr>
              <w:spacing w:line="360" w:lineRule="auto"/>
              <w:jc w:val="both"/>
              <w:rPr>
                <w:rFonts w:ascii="Arial" w:eastAsia="Times New Roman" w:hAnsi="Arial" w:cs="Arial"/>
                <w:b/>
                <w:bCs/>
                <w:sz w:val="20"/>
                <w:szCs w:val="20"/>
              </w:rPr>
            </w:pPr>
            <w:r w:rsidRPr="00A34628">
              <w:rPr>
                <w:rFonts w:ascii="Arial" w:hAnsi="Arial" w:cs="Arial"/>
                <w:b/>
                <w:bCs/>
                <w:sz w:val="20"/>
                <w:szCs w:val="20"/>
              </w:rPr>
              <w:t>Benefits</w:t>
            </w:r>
          </w:p>
        </w:tc>
        <w:tc>
          <w:tcPr>
            <w:tcW w:w="1724" w:type="dxa"/>
          </w:tcPr>
          <w:p w14:paraId="22842FA6" w14:textId="77777777" w:rsidR="00A34628" w:rsidRPr="00A34628" w:rsidRDefault="00A34628" w:rsidP="007B2FED">
            <w:pPr>
              <w:spacing w:line="360" w:lineRule="auto"/>
              <w:jc w:val="both"/>
              <w:rPr>
                <w:rFonts w:ascii="Arial" w:eastAsia="Times New Roman" w:hAnsi="Arial" w:cs="Arial"/>
                <w:b/>
                <w:bCs/>
                <w:sz w:val="20"/>
                <w:szCs w:val="20"/>
              </w:rPr>
            </w:pPr>
            <w:r w:rsidRPr="00A34628">
              <w:rPr>
                <w:rFonts w:ascii="Arial" w:hAnsi="Arial" w:cs="Arial"/>
                <w:b/>
                <w:bCs/>
                <w:sz w:val="20"/>
                <w:szCs w:val="20"/>
              </w:rPr>
              <w:t>Limitations</w:t>
            </w:r>
          </w:p>
        </w:tc>
      </w:tr>
      <w:tr w:rsidR="00A34628" w:rsidRPr="00A34628" w14:paraId="047CFEE2" w14:textId="77777777" w:rsidTr="00A34628">
        <w:tc>
          <w:tcPr>
            <w:tcW w:w="1603" w:type="dxa"/>
          </w:tcPr>
          <w:p w14:paraId="50667290" w14:textId="77777777" w:rsidR="00A34628" w:rsidRPr="00A34628" w:rsidRDefault="00A34628" w:rsidP="007B2FED">
            <w:pPr>
              <w:spacing w:line="360" w:lineRule="auto"/>
              <w:jc w:val="both"/>
              <w:rPr>
                <w:rFonts w:ascii="Arial" w:eastAsia="Times New Roman" w:hAnsi="Arial" w:cs="Arial"/>
                <w:sz w:val="20"/>
                <w:szCs w:val="20"/>
              </w:rPr>
            </w:pPr>
            <w:r w:rsidRPr="00A34628">
              <w:rPr>
                <w:rFonts w:ascii="Arial" w:hAnsi="Arial" w:cs="Arial"/>
                <w:sz w:val="20"/>
                <w:szCs w:val="20"/>
              </w:rPr>
              <w:t>Nano-sensors</w:t>
            </w:r>
          </w:p>
        </w:tc>
        <w:tc>
          <w:tcPr>
            <w:tcW w:w="1627" w:type="dxa"/>
          </w:tcPr>
          <w:p w14:paraId="0545EFFC" w14:textId="77777777" w:rsidR="00A34628" w:rsidRPr="00A34628" w:rsidRDefault="00A34628" w:rsidP="007B2FED">
            <w:pPr>
              <w:spacing w:line="360" w:lineRule="auto"/>
              <w:jc w:val="both"/>
              <w:rPr>
                <w:rFonts w:ascii="Arial" w:eastAsia="Times New Roman" w:hAnsi="Arial" w:cs="Arial"/>
                <w:sz w:val="20"/>
                <w:szCs w:val="20"/>
              </w:rPr>
            </w:pPr>
            <w:r w:rsidRPr="00A34628">
              <w:rPr>
                <w:rFonts w:ascii="Arial" w:hAnsi="Arial" w:cs="Arial"/>
                <w:sz w:val="20"/>
                <w:szCs w:val="20"/>
              </w:rPr>
              <w:t>Detect soil N levels</w:t>
            </w:r>
          </w:p>
        </w:tc>
        <w:tc>
          <w:tcPr>
            <w:tcW w:w="1701" w:type="dxa"/>
          </w:tcPr>
          <w:p w14:paraId="671438B6" w14:textId="77777777" w:rsidR="00A34628" w:rsidRPr="00A34628" w:rsidRDefault="00A34628" w:rsidP="007B2FED">
            <w:pPr>
              <w:spacing w:line="360" w:lineRule="auto"/>
              <w:jc w:val="both"/>
              <w:rPr>
                <w:rFonts w:ascii="Arial" w:eastAsia="Times New Roman" w:hAnsi="Arial" w:cs="Arial"/>
                <w:sz w:val="20"/>
                <w:szCs w:val="20"/>
              </w:rPr>
            </w:pPr>
            <w:r w:rsidRPr="00A34628">
              <w:rPr>
                <w:rFonts w:ascii="Arial" w:hAnsi="Arial" w:cs="Arial"/>
                <w:sz w:val="20"/>
                <w:szCs w:val="20"/>
              </w:rPr>
              <w:t>Real-time monitoring</w:t>
            </w:r>
          </w:p>
        </w:tc>
        <w:tc>
          <w:tcPr>
            <w:tcW w:w="1661" w:type="dxa"/>
          </w:tcPr>
          <w:p w14:paraId="0DD097BB" w14:textId="77777777" w:rsidR="00A34628" w:rsidRPr="00A34628" w:rsidRDefault="00A34628" w:rsidP="007B2FED">
            <w:pPr>
              <w:spacing w:line="360" w:lineRule="auto"/>
              <w:jc w:val="both"/>
              <w:rPr>
                <w:rFonts w:ascii="Arial" w:eastAsia="Times New Roman" w:hAnsi="Arial" w:cs="Arial"/>
                <w:sz w:val="20"/>
                <w:szCs w:val="20"/>
              </w:rPr>
            </w:pPr>
            <w:r w:rsidRPr="00A34628">
              <w:rPr>
                <w:rFonts w:ascii="Arial" w:hAnsi="Arial" w:cs="Arial"/>
                <w:sz w:val="20"/>
                <w:szCs w:val="20"/>
              </w:rPr>
              <w:t>Precision application</w:t>
            </w:r>
          </w:p>
        </w:tc>
        <w:tc>
          <w:tcPr>
            <w:tcW w:w="1724" w:type="dxa"/>
          </w:tcPr>
          <w:p w14:paraId="16598CD8" w14:textId="77777777" w:rsidR="00A34628" w:rsidRPr="00A34628" w:rsidRDefault="00A34628" w:rsidP="007B2FED">
            <w:pPr>
              <w:spacing w:line="360" w:lineRule="auto"/>
              <w:jc w:val="both"/>
              <w:rPr>
                <w:rFonts w:ascii="Arial" w:eastAsia="Times New Roman" w:hAnsi="Arial" w:cs="Arial"/>
                <w:sz w:val="20"/>
                <w:szCs w:val="20"/>
              </w:rPr>
            </w:pPr>
            <w:r w:rsidRPr="00A34628">
              <w:rPr>
                <w:rFonts w:ascii="Arial" w:hAnsi="Arial" w:cs="Arial"/>
                <w:sz w:val="20"/>
                <w:szCs w:val="20"/>
              </w:rPr>
              <w:t>Durability in field</w:t>
            </w:r>
          </w:p>
        </w:tc>
      </w:tr>
      <w:tr w:rsidR="00A34628" w:rsidRPr="00A34628" w14:paraId="3C6687C9" w14:textId="77777777" w:rsidTr="00A34628">
        <w:tc>
          <w:tcPr>
            <w:tcW w:w="1603" w:type="dxa"/>
          </w:tcPr>
          <w:p w14:paraId="4A4AD15C" w14:textId="77777777" w:rsidR="00A34628" w:rsidRPr="00A34628" w:rsidRDefault="00A34628" w:rsidP="007B2FED">
            <w:pPr>
              <w:spacing w:line="360" w:lineRule="auto"/>
              <w:jc w:val="both"/>
              <w:rPr>
                <w:rFonts w:ascii="Arial" w:eastAsia="Times New Roman" w:hAnsi="Arial" w:cs="Arial"/>
                <w:sz w:val="20"/>
                <w:szCs w:val="20"/>
              </w:rPr>
            </w:pPr>
            <w:r w:rsidRPr="00A34628">
              <w:rPr>
                <w:rFonts w:ascii="Arial" w:hAnsi="Arial" w:cs="Arial"/>
                <w:sz w:val="20"/>
                <w:szCs w:val="20"/>
              </w:rPr>
              <w:t>AI Models</w:t>
            </w:r>
          </w:p>
        </w:tc>
        <w:tc>
          <w:tcPr>
            <w:tcW w:w="1627" w:type="dxa"/>
          </w:tcPr>
          <w:p w14:paraId="334E852C" w14:textId="77777777" w:rsidR="00A34628" w:rsidRPr="00A34628" w:rsidRDefault="00A34628" w:rsidP="007B2FED">
            <w:pPr>
              <w:spacing w:line="360" w:lineRule="auto"/>
              <w:jc w:val="both"/>
              <w:rPr>
                <w:rFonts w:ascii="Arial" w:eastAsia="Times New Roman" w:hAnsi="Arial" w:cs="Arial"/>
                <w:sz w:val="20"/>
                <w:szCs w:val="20"/>
              </w:rPr>
            </w:pPr>
            <w:r w:rsidRPr="00A34628">
              <w:rPr>
                <w:rFonts w:ascii="Arial" w:hAnsi="Arial" w:cs="Arial"/>
                <w:sz w:val="20"/>
                <w:szCs w:val="20"/>
              </w:rPr>
              <w:t>Predict N dynamics</w:t>
            </w:r>
          </w:p>
        </w:tc>
        <w:tc>
          <w:tcPr>
            <w:tcW w:w="1701" w:type="dxa"/>
          </w:tcPr>
          <w:p w14:paraId="6657BF26" w14:textId="77777777" w:rsidR="00A34628" w:rsidRPr="00A34628" w:rsidRDefault="00A34628" w:rsidP="007B2FED">
            <w:pPr>
              <w:spacing w:line="360" w:lineRule="auto"/>
              <w:jc w:val="both"/>
              <w:rPr>
                <w:rFonts w:ascii="Arial" w:eastAsia="Times New Roman" w:hAnsi="Arial" w:cs="Arial"/>
                <w:sz w:val="20"/>
                <w:szCs w:val="20"/>
              </w:rPr>
            </w:pPr>
            <w:r w:rsidRPr="00A34628">
              <w:rPr>
                <w:rFonts w:ascii="Arial" w:hAnsi="Arial" w:cs="Arial"/>
                <w:sz w:val="20"/>
                <w:szCs w:val="20"/>
              </w:rPr>
              <w:t>Fertilizer scheduling</w:t>
            </w:r>
          </w:p>
        </w:tc>
        <w:tc>
          <w:tcPr>
            <w:tcW w:w="1661" w:type="dxa"/>
          </w:tcPr>
          <w:p w14:paraId="4F4D10A9" w14:textId="77777777" w:rsidR="00A34628" w:rsidRPr="00A34628" w:rsidRDefault="00A34628" w:rsidP="007B2FED">
            <w:pPr>
              <w:spacing w:line="360" w:lineRule="auto"/>
              <w:jc w:val="both"/>
              <w:rPr>
                <w:rFonts w:ascii="Arial" w:eastAsia="Times New Roman" w:hAnsi="Arial" w:cs="Arial"/>
                <w:sz w:val="20"/>
                <w:szCs w:val="20"/>
              </w:rPr>
            </w:pPr>
            <w:r w:rsidRPr="00A34628">
              <w:rPr>
                <w:rFonts w:ascii="Arial" w:hAnsi="Arial" w:cs="Arial"/>
                <w:sz w:val="20"/>
                <w:szCs w:val="20"/>
              </w:rPr>
              <w:t>Efficiency boost</w:t>
            </w:r>
          </w:p>
        </w:tc>
        <w:tc>
          <w:tcPr>
            <w:tcW w:w="1724" w:type="dxa"/>
          </w:tcPr>
          <w:p w14:paraId="5A8506E6" w14:textId="77777777" w:rsidR="00A34628" w:rsidRPr="00A34628" w:rsidRDefault="00A34628" w:rsidP="007B2FED">
            <w:pPr>
              <w:spacing w:line="360" w:lineRule="auto"/>
              <w:jc w:val="both"/>
              <w:rPr>
                <w:rFonts w:ascii="Arial" w:eastAsia="Times New Roman" w:hAnsi="Arial" w:cs="Arial"/>
                <w:sz w:val="20"/>
                <w:szCs w:val="20"/>
              </w:rPr>
            </w:pPr>
            <w:r w:rsidRPr="00A34628">
              <w:rPr>
                <w:rFonts w:ascii="Arial" w:hAnsi="Arial" w:cs="Arial"/>
                <w:sz w:val="20"/>
                <w:szCs w:val="20"/>
              </w:rPr>
              <w:t>Data requirements</w:t>
            </w:r>
          </w:p>
        </w:tc>
      </w:tr>
    </w:tbl>
    <w:p w14:paraId="450765A3" w14:textId="64DE0D34" w:rsidR="00A34628" w:rsidRPr="00733F02" w:rsidRDefault="00A34628" w:rsidP="00733F02">
      <w:pPr>
        <w:pStyle w:val="ListParagraph"/>
        <w:numPr>
          <w:ilvl w:val="0"/>
          <w:numId w:val="32"/>
        </w:numPr>
        <w:spacing w:before="240"/>
        <w:jc w:val="both"/>
        <w:rPr>
          <w:rFonts w:ascii="Arial" w:hAnsi="Arial" w:cs="Arial"/>
          <w:b/>
          <w:sz w:val="22"/>
          <w:szCs w:val="22"/>
        </w:rPr>
      </w:pPr>
      <w:r w:rsidRPr="00733F02">
        <w:rPr>
          <w:rFonts w:ascii="Arial" w:hAnsi="Arial" w:cs="Arial"/>
          <w:b/>
          <w:sz w:val="22"/>
          <w:szCs w:val="22"/>
        </w:rPr>
        <w:t>Machine Learning and Predictive Modeling</w:t>
      </w:r>
    </w:p>
    <w:p w14:paraId="47D3088A" w14:textId="77777777" w:rsidR="00A34628" w:rsidRPr="00733F02" w:rsidRDefault="00A34628" w:rsidP="00733F02">
      <w:pPr>
        <w:spacing w:before="120"/>
        <w:jc w:val="both"/>
        <w:rPr>
          <w:rFonts w:ascii="Arial" w:hAnsi="Arial" w:cs="Arial"/>
        </w:rPr>
      </w:pPr>
      <w:r w:rsidRPr="00733F02">
        <w:rPr>
          <w:rFonts w:ascii="Arial" w:hAnsi="Arial" w:cs="Arial"/>
        </w:rPr>
        <w:t>The intersection of machine learning (ML) and predictive modeling with nitrogen fixation research is unlocking transformative solutions for sustainable agriculture in a changing climate. These technologies enable accurate nitrogen-fixation potential mapping, simulate the impacts of climate change on agriculture, and offer customized microbiome strategies to optimize plant-soil-microbe interactions. Collectively, these approaches contribute to reducing nitrogen fertilizer dependency and improving ecosystem resilience.</w:t>
      </w:r>
    </w:p>
    <w:p w14:paraId="05FB664F" w14:textId="1FF21316" w:rsidR="00A34628" w:rsidRPr="00733F02" w:rsidRDefault="00A34628" w:rsidP="00733F02">
      <w:pPr>
        <w:pStyle w:val="ListParagraph"/>
        <w:numPr>
          <w:ilvl w:val="1"/>
          <w:numId w:val="32"/>
        </w:numPr>
        <w:spacing w:before="120" w:after="120"/>
        <w:jc w:val="both"/>
        <w:rPr>
          <w:rFonts w:ascii="Arial" w:hAnsi="Arial" w:cs="Arial"/>
          <w:bCs/>
          <w:sz w:val="22"/>
          <w:szCs w:val="22"/>
        </w:rPr>
      </w:pPr>
      <w:r w:rsidRPr="00733F02">
        <w:rPr>
          <w:rFonts w:ascii="Arial" w:hAnsi="Arial" w:cs="Arial"/>
          <w:bCs/>
          <w:sz w:val="22"/>
          <w:szCs w:val="22"/>
        </w:rPr>
        <w:t>AI-Driven Nitrogen Fixation Potential Mapping</w:t>
      </w:r>
    </w:p>
    <w:p w14:paraId="2C1707B7" w14:textId="77777777" w:rsidR="00A5005F" w:rsidRPr="00733F02" w:rsidRDefault="00A34628" w:rsidP="00733F02">
      <w:pPr>
        <w:ind w:firstLine="567"/>
        <w:jc w:val="both"/>
        <w:rPr>
          <w:rFonts w:ascii="Arial" w:hAnsi="Arial" w:cs="Arial"/>
        </w:rPr>
      </w:pPr>
      <w:r w:rsidRPr="00733F02">
        <w:rPr>
          <w:rFonts w:ascii="Arial" w:hAnsi="Arial" w:cs="Arial"/>
        </w:rPr>
        <w:t>Artificial intelligence (AI) and ML techniques are redefining how nitrogen-fixing potential is explored, particularly through genomic data integration and predictive analytics. These tools support the identification of functional nitrogenase genes across microbial taxa, offering a roadmap for engineering sustainable nitrogen inputs.</w:t>
      </w:r>
    </w:p>
    <w:p w14:paraId="076D4207" w14:textId="77777777" w:rsidR="00A5005F" w:rsidRPr="00733F02" w:rsidRDefault="00A34628" w:rsidP="00733F02">
      <w:pPr>
        <w:ind w:firstLine="567"/>
        <w:jc w:val="both"/>
        <w:rPr>
          <w:rFonts w:ascii="Arial" w:hAnsi="Arial" w:cs="Arial"/>
        </w:rPr>
      </w:pPr>
      <w:r w:rsidRPr="00733F02">
        <w:rPr>
          <w:rFonts w:ascii="Arial" w:hAnsi="Arial" w:cs="Arial"/>
        </w:rPr>
        <w:t xml:space="preserve">ML models based on first-principles calculations have been used to understand nitrogen fixation at the atomic level on semiconductor surfaces, revealing the energetic pathways of </w:t>
      </w:r>
      <w:r w:rsidRPr="00733F02">
        <w:rPr>
          <w:rFonts w:ascii="Arial" w:hAnsi="Arial" w:cs="Arial"/>
        </w:rPr>
        <w:lastRenderedPageBreak/>
        <w:t xml:space="preserve">catalytic activity (Yasin, 2018). At the genomic scale, algorithms now identify key genes such as </w:t>
      </w:r>
      <w:proofErr w:type="spellStart"/>
      <w:r w:rsidRPr="00733F02">
        <w:rPr>
          <w:rFonts w:ascii="Arial" w:hAnsi="Arial" w:cs="Arial"/>
          <w:b/>
        </w:rPr>
        <w:t>nifH</w:t>
      </w:r>
      <w:proofErr w:type="spellEnd"/>
      <w:r w:rsidRPr="00733F02">
        <w:rPr>
          <w:rFonts w:ascii="Arial" w:hAnsi="Arial" w:cs="Arial"/>
        </w:rPr>
        <w:t xml:space="preserve"> and </w:t>
      </w:r>
      <w:proofErr w:type="spellStart"/>
      <w:r w:rsidRPr="00733F02">
        <w:rPr>
          <w:rFonts w:ascii="Arial" w:hAnsi="Arial" w:cs="Arial"/>
          <w:b/>
        </w:rPr>
        <w:t>nifD</w:t>
      </w:r>
      <w:proofErr w:type="spellEnd"/>
      <w:r w:rsidRPr="00733F02">
        <w:rPr>
          <w:rFonts w:ascii="Arial" w:hAnsi="Arial" w:cs="Arial"/>
        </w:rPr>
        <w:t>, broadening the catalog of diazotrophic microbes (Santos et al., 2012; Thakur et al., 2014).</w:t>
      </w:r>
    </w:p>
    <w:p w14:paraId="65822674" w14:textId="77777777" w:rsidR="00A5005F" w:rsidRPr="00733F02" w:rsidRDefault="00A34628" w:rsidP="00733F02">
      <w:pPr>
        <w:ind w:firstLine="567"/>
        <w:jc w:val="both"/>
        <w:rPr>
          <w:rFonts w:ascii="Arial" w:hAnsi="Arial" w:cs="Arial"/>
        </w:rPr>
      </w:pPr>
      <w:r w:rsidRPr="00733F02">
        <w:rPr>
          <w:rFonts w:ascii="Arial" w:hAnsi="Arial" w:cs="Arial"/>
        </w:rPr>
        <w:t xml:space="preserve">Notably, advances in microbial genomics have highlighted the immense diversity of diazotrophic bacteria, such as </w:t>
      </w:r>
      <w:proofErr w:type="spellStart"/>
      <w:r w:rsidRPr="00733F02">
        <w:rPr>
          <w:rFonts w:ascii="Arial" w:hAnsi="Arial" w:cs="Arial"/>
          <w:i/>
        </w:rPr>
        <w:t>Azotobacter</w:t>
      </w:r>
      <w:proofErr w:type="spellEnd"/>
      <w:r w:rsidRPr="00733F02">
        <w:rPr>
          <w:rFonts w:ascii="Arial" w:hAnsi="Arial" w:cs="Arial"/>
          <w:i/>
        </w:rPr>
        <w:t xml:space="preserve"> </w:t>
      </w:r>
      <w:proofErr w:type="spellStart"/>
      <w:r w:rsidRPr="00733F02">
        <w:rPr>
          <w:rFonts w:ascii="Arial" w:hAnsi="Arial" w:cs="Arial"/>
          <w:i/>
        </w:rPr>
        <w:t>vinelandii</w:t>
      </w:r>
      <w:proofErr w:type="spellEnd"/>
      <w:r w:rsidRPr="00733F02">
        <w:rPr>
          <w:rFonts w:ascii="Arial" w:hAnsi="Arial" w:cs="Arial"/>
        </w:rPr>
        <w:t>, which offer promising templates for engineering nitrogen-fixing crops (Lima et al., 2024; Barron et al., 2024). These insights align with longstanding visions of enhancing biological nitrogen fixation (BNF) through microbial inoculants and plant-microbe symbiosis (Postgate, 1977; Saha et al., 2017).</w:t>
      </w:r>
    </w:p>
    <w:p w14:paraId="6613D1FA" w14:textId="22C195D3" w:rsidR="00A34628" w:rsidRPr="00733F02" w:rsidRDefault="00A34628" w:rsidP="00733F02">
      <w:pPr>
        <w:spacing w:after="120"/>
        <w:ind w:firstLine="567"/>
        <w:jc w:val="both"/>
        <w:rPr>
          <w:rFonts w:ascii="Arial" w:hAnsi="Arial" w:cs="Arial"/>
        </w:rPr>
      </w:pPr>
      <w:r w:rsidRPr="00733F02">
        <w:rPr>
          <w:rFonts w:ascii="Arial" w:hAnsi="Arial" w:cs="Arial"/>
        </w:rPr>
        <w:t>Despite these breakthroughs, implementing AI-driven nitrogen mapping in field systems remains limited. Challenges include environmental variability, gene expression regulation in planta, and the technical hurdles of transferring fixation traits into non-leguminous crops (Qiu et al., 2018; Yu &amp; Zhuang, 2020).</w:t>
      </w:r>
    </w:p>
    <w:p w14:paraId="216B5ACF" w14:textId="7F8ECD13" w:rsidR="00A34628" w:rsidRPr="00733F02" w:rsidRDefault="00A34628" w:rsidP="00733F02">
      <w:pPr>
        <w:pStyle w:val="ListParagraph"/>
        <w:numPr>
          <w:ilvl w:val="1"/>
          <w:numId w:val="32"/>
        </w:numPr>
        <w:spacing w:before="120" w:after="120"/>
        <w:jc w:val="both"/>
        <w:rPr>
          <w:rFonts w:ascii="Arial" w:hAnsi="Arial" w:cs="Arial"/>
          <w:bCs/>
          <w:sz w:val="22"/>
          <w:szCs w:val="22"/>
        </w:rPr>
      </w:pPr>
      <w:r w:rsidRPr="00733F02">
        <w:rPr>
          <w:rFonts w:ascii="Arial" w:hAnsi="Arial" w:cs="Arial"/>
          <w:bCs/>
          <w:sz w:val="22"/>
          <w:szCs w:val="22"/>
        </w:rPr>
        <w:t>Climate Change Impact Simulation</w:t>
      </w:r>
    </w:p>
    <w:p w14:paraId="097AE69E" w14:textId="77777777" w:rsidR="00A5005F" w:rsidRPr="00733F02" w:rsidRDefault="00A34628" w:rsidP="00733F02">
      <w:pPr>
        <w:ind w:firstLine="567"/>
        <w:jc w:val="both"/>
        <w:rPr>
          <w:rFonts w:ascii="Arial" w:hAnsi="Arial" w:cs="Arial"/>
        </w:rPr>
      </w:pPr>
      <w:r w:rsidRPr="00733F02">
        <w:rPr>
          <w:rFonts w:ascii="Arial" w:hAnsi="Arial" w:cs="Arial"/>
        </w:rPr>
        <w:t>Climate simulation models provide critical insights into how climate variables affect agriculture, health, and nitrogen cycling. They allow researchers and policymakers to explore future scenarios and test adaptation strategies under variable climatic pressures.</w:t>
      </w:r>
    </w:p>
    <w:p w14:paraId="1B225209" w14:textId="77777777" w:rsidR="00A5005F" w:rsidRPr="00733F02" w:rsidRDefault="00A34628" w:rsidP="00733F02">
      <w:pPr>
        <w:ind w:firstLine="567"/>
        <w:jc w:val="both"/>
        <w:rPr>
          <w:rFonts w:ascii="Arial" w:hAnsi="Arial" w:cs="Arial"/>
        </w:rPr>
      </w:pPr>
      <w:r w:rsidRPr="00733F02">
        <w:rPr>
          <w:rFonts w:ascii="Arial" w:hAnsi="Arial" w:cs="Arial"/>
        </w:rPr>
        <w:t>Health-focused simulations indicate that increased heat and pollution under climate change scenarios (RCP8.5) are likely to elevate emergency medical service (EMS) demands due to cardiovascular and respiratory illnesses (Mohammadi et al., 2018). These impacts are forecasted using artificial neural networks (ANNs), which allow high-resolution temporal modeling of health risks.</w:t>
      </w:r>
    </w:p>
    <w:p w14:paraId="00733D65" w14:textId="77777777" w:rsidR="00A5005F" w:rsidRPr="00733F02" w:rsidRDefault="00A34628" w:rsidP="00733F02">
      <w:pPr>
        <w:ind w:firstLine="567"/>
        <w:jc w:val="both"/>
        <w:rPr>
          <w:rFonts w:ascii="Arial" w:hAnsi="Arial" w:cs="Arial"/>
        </w:rPr>
      </w:pPr>
      <w:r w:rsidRPr="00733F02">
        <w:rPr>
          <w:rFonts w:ascii="Arial" w:hAnsi="Arial" w:cs="Arial"/>
        </w:rPr>
        <w:t>Agriculturally, crop simulation models (e.g., DSSAT, APSIM) reveal substantial yield reductions driven by extreme temperature shifts and rainfall variability (Annie &amp; Pal, 2023; Timlin et al., 2024). These tools are also applied in regional assessments, such as wheat productivity modeling in Algeria (Rezzoug &amp; Benoit, 2015), river basin analysis in India (Jana et al., 2015), and global economic simulations of agricultural losses (Takakura et al., 2021).</w:t>
      </w:r>
    </w:p>
    <w:p w14:paraId="6EE5E847" w14:textId="77777777" w:rsidR="00A5005F" w:rsidRPr="00733F02" w:rsidRDefault="00A34628" w:rsidP="00733F02">
      <w:pPr>
        <w:ind w:firstLine="567"/>
        <w:jc w:val="both"/>
        <w:rPr>
          <w:rFonts w:ascii="Arial" w:hAnsi="Arial" w:cs="Arial"/>
        </w:rPr>
      </w:pPr>
      <w:r w:rsidRPr="00733F02">
        <w:rPr>
          <w:rFonts w:ascii="Arial" w:hAnsi="Arial" w:cs="Arial"/>
        </w:rPr>
        <w:t xml:space="preserve">Land-use and high-resolution climate ensembles have improved simulation accuracy by incorporating soil-atmosphere interactions and user-specific inputs, enabling community-driven adaptation planning (Feldmann et al., 2024; Møller et al., 2017). Moreover, simulation games and participatory modeling platforms like </w:t>
      </w:r>
      <w:proofErr w:type="spellStart"/>
      <w:r w:rsidRPr="00733F02">
        <w:rPr>
          <w:rFonts w:ascii="Arial" w:hAnsi="Arial" w:cs="Arial"/>
        </w:rPr>
        <w:t>MyWorld</w:t>
      </w:r>
      <w:proofErr w:type="spellEnd"/>
      <w:r w:rsidRPr="00733F02">
        <w:rPr>
          <w:rFonts w:ascii="Arial" w:hAnsi="Arial" w:cs="Arial"/>
        </w:rPr>
        <w:t xml:space="preserve"> promote climate literacy and policy engagement (Beyer &amp; Ullrich, 2023).</w:t>
      </w:r>
    </w:p>
    <w:p w14:paraId="642DD111" w14:textId="52B46DD2" w:rsidR="00A34628" w:rsidRPr="00733F02" w:rsidRDefault="00A34628" w:rsidP="00733F02">
      <w:pPr>
        <w:ind w:firstLine="567"/>
        <w:jc w:val="both"/>
        <w:rPr>
          <w:rFonts w:ascii="Arial" w:hAnsi="Arial" w:cs="Arial"/>
        </w:rPr>
      </w:pPr>
      <w:r w:rsidRPr="00733F02">
        <w:rPr>
          <w:rFonts w:ascii="Arial" w:hAnsi="Arial" w:cs="Arial"/>
        </w:rPr>
        <w:t>However, uncertainty in emission trajectories, model assumptions, and localized microclimates require continued refinement of simulation chains (Zollo et al., 2014). Periodic updates and validation against empirical datasets remain vital for ensuring model relevance and reliability.</w:t>
      </w:r>
    </w:p>
    <w:p w14:paraId="4CBA59D6" w14:textId="764D5718" w:rsidR="00A34628" w:rsidRPr="00733F02" w:rsidRDefault="00A34628" w:rsidP="00733F02">
      <w:pPr>
        <w:pStyle w:val="ListParagraph"/>
        <w:numPr>
          <w:ilvl w:val="1"/>
          <w:numId w:val="32"/>
        </w:numPr>
        <w:spacing w:before="120" w:after="120"/>
        <w:jc w:val="both"/>
        <w:rPr>
          <w:rFonts w:ascii="Arial" w:hAnsi="Arial" w:cs="Arial"/>
          <w:bCs/>
          <w:sz w:val="22"/>
          <w:szCs w:val="22"/>
        </w:rPr>
      </w:pPr>
      <w:r w:rsidRPr="00733F02">
        <w:rPr>
          <w:rFonts w:ascii="Arial" w:hAnsi="Arial" w:cs="Arial"/>
          <w:bCs/>
          <w:sz w:val="22"/>
          <w:szCs w:val="22"/>
        </w:rPr>
        <w:t>Personalized Agricultural Microbiome Strategies</w:t>
      </w:r>
    </w:p>
    <w:p w14:paraId="2D22B831" w14:textId="77777777" w:rsidR="00A5005F" w:rsidRPr="00733F02" w:rsidRDefault="00A34628" w:rsidP="00733F02">
      <w:pPr>
        <w:ind w:firstLine="567"/>
        <w:jc w:val="both"/>
        <w:rPr>
          <w:rFonts w:ascii="Arial" w:hAnsi="Arial" w:cs="Arial"/>
        </w:rPr>
      </w:pPr>
      <w:r w:rsidRPr="00733F02">
        <w:rPr>
          <w:rFonts w:ascii="Arial" w:hAnsi="Arial" w:cs="Arial"/>
        </w:rPr>
        <w:t>Tailored microbiome strategies are gaining prominence as tools for optimizing nitrogen fixation and improving crop resilience in varied environments. These approaches combine microbiome engineering with ML-based diagnostics to modulate root-microbe-soil interactions.</w:t>
      </w:r>
    </w:p>
    <w:p w14:paraId="4C34A9A2" w14:textId="77777777" w:rsidR="00A5005F" w:rsidRPr="00733F02" w:rsidRDefault="00A34628" w:rsidP="00733F02">
      <w:pPr>
        <w:ind w:firstLine="567"/>
        <w:jc w:val="both"/>
        <w:rPr>
          <w:rFonts w:ascii="Arial" w:hAnsi="Arial" w:cs="Arial"/>
        </w:rPr>
      </w:pPr>
      <w:r w:rsidRPr="00733F02">
        <w:rPr>
          <w:rFonts w:ascii="Arial" w:hAnsi="Arial" w:cs="Arial"/>
        </w:rPr>
        <w:t>Advances in sequencing technologies have improved the characterization of plant-associated microbial communities, enhancing the understanding of microbial diversity and function (French et al., 2021; Trivedi et al., 2021). Precision microbiome management involves selecting and deploying microbial strains tailored to crop genotype, soil type, and stress conditions (Hanif et al., 2024).</w:t>
      </w:r>
    </w:p>
    <w:p w14:paraId="75192223" w14:textId="77777777" w:rsidR="00A5005F" w:rsidRPr="00733F02" w:rsidRDefault="00A34628" w:rsidP="00733F02">
      <w:pPr>
        <w:ind w:firstLine="567"/>
        <w:jc w:val="both"/>
        <w:rPr>
          <w:rFonts w:ascii="Arial" w:hAnsi="Arial" w:cs="Arial"/>
        </w:rPr>
      </w:pPr>
      <w:r w:rsidRPr="00733F02">
        <w:rPr>
          <w:rFonts w:ascii="Arial" w:hAnsi="Arial" w:cs="Arial"/>
        </w:rPr>
        <w:t>Microbiome manipulation technologies, including microbial consortia and microbial priming, are being developed to improve nutrient uptake and plant stress tolerance (</w:t>
      </w:r>
      <w:proofErr w:type="spellStart"/>
      <w:r w:rsidRPr="00733F02">
        <w:rPr>
          <w:rFonts w:ascii="Arial" w:hAnsi="Arial" w:cs="Arial"/>
        </w:rPr>
        <w:t>Česálková</w:t>
      </w:r>
      <w:proofErr w:type="spellEnd"/>
      <w:r w:rsidRPr="00733F02">
        <w:rPr>
          <w:rFonts w:ascii="Arial" w:hAnsi="Arial" w:cs="Arial"/>
        </w:rPr>
        <w:t>, 2023; Du et al., 2024). These strategies harness root-associated microbes for nitrogen mobilization, especially under low-input or degraded soils (Kabir et al., 2024).</w:t>
      </w:r>
    </w:p>
    <w:p w14:paraId="78E31D98" w14:textId="77777777" w:rsidR="00A5005F" w:rsidRPr="00733F02" w:rsidRDefault="00A34628" w:rsidP="00733F02">
      <w:pPr>
        <w:ind w:firstLine="567"/>
        <w:jc w:val="both"/>
        <w:rPr>
          <w:rFonts w:ascii="Arial" w:hAnsi="Arial" w:cs="Arial"/>
        </w:rPr>
      </w:pPr>
      <w:r w:rsidRPr="00733F02">
        <w:rPr>
          <w:rFonts w:ascii="Arial" w:hAnsi="Arial" w:cs="Arial"/>
        </w:rPr>
        <w:t xml:space="preserve">Soil microbiomes are further linked to enhanced biofertilization and biocontrol, positioning them as key players in climate-resilient agriculture (Afridi et al., 2022; Misu et al., </w:t>
      </w:r>
      <w:r w:rsidRPr="00733F02">
        <w:rPr>
          <w:rFonts w:ascii="Arial" w:hAnsi="Arial" w:cs="Arial"/>
        </w:rPr>
        <w:lastRenderedPageBreak/>
        <w:t>2024). For instance, in rice systems, microbiome engineering supports sustainable productivity by increasing nitrogen availability and suppressing pathogens.</w:t>
      </w:r>
    </w:p>
    <w:p w14:paraId="7191CDD6" w14:textId="3C1C5158" w:rsidR="00A34628" w:rsidRPr="00733F02" w:rsidRDefault="00F020B2" w:rsidP="00733F02">
      <w:pPr>
        <w:ind w:firstLine="567"/>
        <w:jc w:val="both"/>
        <w:rPr>
          <w:rFonts w:ascii="Arial" w:hAnsi="Arial" w:cs="Arial"/>
        </w:rPr>
      </w:pPr>
      <w:r w:rsidRPr="00733F02">
        <w:rPr>
          <w:rFonts w:ascii="Arial" w:hAnsi="Arial" w:cs="Arial"/>
        </w:rPr>
        <w:t>Regardless of</w:t>
      </w:r>
      <w:r w:rsidR="00A34628" w:rsidRPr="00733F02">
        <w:rPr>
          <w:rFonts w:ascii="Arial" w:hAnsi="Arial" w:cs="Arial"/>
        </w:rPr>
        <w:t xml:space="preserve"> their potential, inconsistencies in field outcomes persist due to environmental heterogeneity and competition with native microbiota (Hanif et al., 2024). Furthermore, ethical, regulatory, and technical challenges—such as horizontal gene transfer and unintended ecological consequences—highlight the need for cautious deployment and long-term monitoring (Agricultural Microbiomes, 2023; Li et al., 2024).</w:t>
      </w:r>
    </w:p>
    <w:p w14:paraId="01928A0D" w14:textId="5E980592" w:rsidR="00A34628" w:rsidRPr="00733F02" w:rsidRDefault="00A34628" w:rsidP="00733F02">
      <w:pPr>
        <w:pStyle w:val="ListParagraph"/>
        <w:numPr>
          <w:ilvl w:val="0"/>
          <w:numId w:val="32"/>
        </w:numPr>
        <w:spacing w:before="160"/>
        <w:jc w:val="both"/>
        <w:rPr>
          <w:rFonts w:ascii="Arial" w:hAnsi="Arial" w:cs="Arial"/>
          <w:b/>
          <w:sz w:val="22"/>
          <w:szCs w:val="22"/>
        </w:rPr>
      </w:pPr>
      <w:r w:rsidRPr="00733F02">
        <w:rPr>
          <w:rFonts w:ascii="Arial" w:hAnsi="Arial" w:cs="Arial"/>
          <w:b/>
          <w:sz w:val="22"/>
          <w:szCs w:val="22"/>
        </w:rPr>
        <w:t>Ecosystem-Level Nitrogen Management</w:t>
      </w:r>
    </w:p>
    <w:p w14:paraId="6DC6B936" w14:textId="3D3F5C68" w:rsidR="00A34628" w:rsidRPr="00733F02" w:rsidRDefault="00A34628" w:rsidP="00733F02">
      <w:pPr>
        <w:pStyle w:val="ListParagraph"/>
        <w:numPr>
          <w:ilvl w:val="1"/>
          <w:numId w:val="32"/>
        </w:numPr>
        <w:spacing w:after="120"/>
        <w:jc w:val="both"/>
        <w:rPr>
          <w:rFonts w:ascii="Arial" w:hAnsi="Arial" w:cs="Arial"/>
          <w:bCs/>
        </w:rPr>
      </w:pPr>
      <w:r w:rsidRPr="00733F02">
        <w:rPr>
          <w:rFonts w:ascii="Arial" w:hAnsi="Arial" w:cs="Arial"/>
          <w:bCs/>
        </w:rPr>
        <w:t>Landscape-Scale Nitrogen Cycling</w:t>
      </w:r>
    </w:p>
    <w:p w14:paraId="66CE0963" w14:textId="77777777" w:rsidR="00F020B2" w:rsidRPr="00733F02" w:rsidRDefault="00A34628" w:rsidP="00733F02">
      <w:pPr>
        <w:ind w:firstLine="567"/>
        <w:jc w:val="both"/>
        <w:rPr>
          <w:rFonts w:ascii="Arial" w:hAnsi="Arial" w:cs="Arial"/>
        </w:rPr>
      </w:pPr>
      <w:r w:rsidRPr="00733F02">
        <w:rPr>
          <w:rFonts w:ascii="Arial" w:hAnsi="Arial" w:cs="Arial"/>
        </w:rPr>
        <w:t>Nitrogen (N) plays a crucial role in agricultural productivity and ecosystem stability, influencing both natural and managed landscapes (Smith et al., 2020). At the landscape scale, nitrogen cycling encompasses biological nitrogen fixation (BNF), soil microbial processes, plant uptake, and nitrogen losses via leaching and volatilization (Jones &amp; Brown, 2018). While nitrogen is indispensable for crop growth, its management requires a delicate balance to mitigate environmental risks such as eutrophication and greenhouse gas emissions (Zhang et al., 2019).</w:t>
      </w:r>
      <w:r w:rsidR="00F020B2" w:rsidRPr="00733F02">
        <w:rPr>
          <w:rFonts w:ascii="Arial" w:hAnsi="Arial" w:cs="Arial"/>
        </w:rPr>
        <w:t xml:space="preserve"> </w:t>
      </w:r>
      <w:r w:rsidRPr="00733F02">
        <w:rPr>
          <w:rFonts w:ascii="Arial" w:hAnsi="Arial" w:cs="Arial"/>
        </w:rPr>
        <w:t>Recen</w:t>
      </w:r>
      <w:r w:rsidR="00F020B2" w:rsidRPr="00733F02">
        <w:rPr>
          <w:rFonts w:ascii="Arial" w:hAnsi="Arial" w:cs="Arial"/>
        </w:rPr>
        <w:t>t</w:t>
      </w:r>
      <w:r w:rsidRPr="00733F02">
        <w:rPr>
          <w:rFonts w:ascii="Arial" w:hAnsi="Arial" w:cs="Arial"/>
        </w:rPr>
        <w:t xml:space="preserve"> research underscores the importance of integrating BNF into landscape-scale nitrogen strategies to enhance soil fertility while reducing dependency on synthetic fertilizers (Rodriguez et al., 2021). </w:t>
      </w:r>
    </w:p>
    <w:p w14:paraId="7BBC3810" w14:textId="317168CB" w:rsidR="00A34628" w:rsidRPr="00733F02" w:rsidRDefault="00A34628" w:rsidP="00733F02">
      <w:pPr>
        <w:ind w:firstLine="567"/>
        <w:jc w:val="both"/>
        <w:rPr>
          <w:rFonts w:ascii="Arial" w:hAnsi="Arial" w:cs="Arial"/>
        </w:rPr>
      </w:pPr>
      <w:r w:rsidRPr="00733F02">
        <w:rPr>
          <w:rFonts w:ascii="Arial" w:hAnsi="Arial" w:cs="Arial"/>
        </w:rPr>
        <w:t>Cover crops, leguminous intercropping, and agroforestry practices have been identified as viable solutions to improve nitrogen retention and minimize losses in both agricultural and adjacent natural ecosystems (Garcia et al., 2022). However, challenges remain in quantifying the contributions of BNF across different landscapes due to variability in climatic and soil conditions, necessitating further investigation (Williams &amp; Martinez, 2020).</w:t>
      </w:r>
    </w:p>
    <w:p w14:paraId="7EBFB552" w14:textId="68243740" w:rsidR="00A34628" w:rsidRPr="00733F02" w:rsidRDefault="00A34628" w:rsidP="00733F02">
      <w:pPr>
        <w:pStyle w:val="ListParagraph"/>
        <w:numPr>
          <w:ilvl w:val="1"/>
          <w:numId w:val="32"/>
        </w:numPr>
        <w:spacing w:before="120" w:after="120"/>
        <w:jc w:val="both"/>
        <w:rPr>
          <w:rFonts w:ascii="Arial" w:hAnsi="Arial" w:cs="Arial"/>
          <w:bCs/>
          <w:sz w:val="22"/>
          <w:szCs w:val="22"/>
        </w:rPr>
      </w:pPr>
      <w:r w:rsidRPr="00733F02">
        <w:rPr>
          <w:rFonts w:ascii="Arial" w:hAnsi="Arial" w:cs="Arial"/>
          <w:bCs/>
          <w:sz w:val="22"/>
          <w:szCs w:val="22"/>
        </w:rPr>
        <w:t>Interconnected Agricultural and Natural Systems</w:t>
      </w:r>
    </w:p>
    <w:p w14:paraId="4D72F53B" w14:textId="77777777" w:rsidR="00F020B2" w:rsidRPr="00733F02" w:rsidRDefault="00A34628" w:rsidP="00733F02">
      <w:pPr>
        <w:ind w:firstLine="567"/>
        <w:jc w:val="both"/>
        <w:rPr>
          <w:rFonts w:ascii="Arial" w:hAnsi="Arial" w:cs="Arial"/>
        </w:rPr>
      </w:pPr>
      <w:r w:rsidRPr="00733F02">
        <w:rPr>
          <w:rFonts w:ascii="Arial" w:hAnsi="Arial" w:cs="Arial"/>
        </w:rPr>
        <w:t>Agricultural nitrogen management cannot be viewed in isolation but rather as part of a broader ecological framework where nitrogen fluxes interact between managed and natural ecosystems (Lee et al., 2017). The connectivity between these systems is evident through water and nutrient movement, atmospheric deposition, and biological processes that influence nitrogen availability at different scales (Cheng et al., 2019). For instance, riparian buffer zones and wetland ecosystems have been shown to act as nitrogen sinks, effectively reducing nitrate leaching into groundwater and surface water bodies (Fernandez et al., 2021).</w:t>
      </w:r>
    </w:p>
    <w:p w14:paraId="4AC096A5" w14:textId="564FC630" w:rsidR="00A34628" w:rsidRPr="00733F02" w:rsidRDefault="00A34628" w:rsidP="00733F02">
      <w:pPr>
        <w:ind w:firstLine="567"/>
        <w:jc w:val="both"/>
        <w:rPr>
          <w:rFonts w:ascii="Arial" w:hAnsi="Arial" w:cs="Arial"/>
        </w:rPr>
      </w:pPr>
      <w:r w:rsidRPr="00733F02">
        <w:rPr>
          <w:rFonts w:ascii="Arial" w:hAnsi="Arial" w:cs="Arial"/>
        </w:rPr>
        <w:t>Adaptive nitrogen management strategies that integrate ecological principles, such as precision fertilization and the promotion of microbial consortia, offer a sustainable approach to maintaining nitrogen balance across landscapes (Miller &amp; Zhao, 2020). Despite the progress made, existing models fail to fully account for the dynamic interactions between agricultural and natural nitrogen pools, highlighting a gap that future research must address to enhance predictive accuracy (Anderson &amp; Patel, 2022).</w:t>
      </w:r>
    </w:p>
    <w:p w14:paraId="596003EB" w14:textId="41F4B55A" w:rsidR="00A34628" w:rsidRPr="00733F02" w:rsidRDefault="00A34628" w:rsidP="00733F02">
      <w:pPr>
        <w:pStyle w:val="ListParagraph"/>
        <w:numPr>
          <w:ilvl w:val="1"/>
          <w:numId w:val="32"/>
        </w:numPr>
        <w:spacing w:before="120" w:after="120"/>
        <w:jc w:val="both"/>
        <w:rPr>
          <w:rFonts w:ascii="Arial" w:hAnsi="Arial" w:cs="Arial"/>
          <w:bCs/>
          <w:sz w:val="22"/>
          <w:szCs w:val="22"/>
        </w:rPr>
      </w:pPr>
      <w:r w:rsidRPr="00733F02">
        <w:rPr>
          <w:rFonts w:ascii="Arial" w:hAnsi="Arial" w:cs="Arial"/>
          <w:bCs/>
          <w:sz w:val="22"/>
          <w:szCs w:val="22"/>
        </w:rPr>
        <w:t>Resilience through Systemic Approach</w:t>
      </w:r>
    </w:p>
    <w:p w14:paraId="631C1543" w14:textId="77777777" w:rsidR="00F020B2" w:rsidRPr="00733F02" w:rsidRDefault="00A34628" w:rsidP="00733F02">
      <w:pPr>
        <w:ind w:firstLine="567"/>
        <w:jc w:val="both"/>
        <w:rPr>
          <w:rFonts w:ascii="Arial" w:hAnsi="Arial" w:cs="Arial"/>
        </w:rPr>
      </w:pPr>
      <w:r w:rsidRPr="00733F02">
        <w:rPr>
          <w:rFonts w:ascii="Arial" w:hAnsi="Arial" w:cs="Arial"/>
        </w:rPr>
        <w:t>Building resilient agricultural systems necessitates a systemic approach to nitrogen management that considers environmental feedback mechanisms and long-term sustainability (Hernandez et al., 2023). Climate change-induced stressors, such as altered precipitation patterns and rising temperatures, further complicate nitrogen dynamics, making it imperative to adopt adaptive strategies (Thompson et al., 2018). Diversified cropping systems, conservation tillage, and regenerative agriculture have demonstrated potential in fostering resilience by maintaining nitrogen efficiency under variable climatic conditions (Davis et al., 2020).</w:t>
      </w:r>
    </w:p>
    <w:p w14:paraId="6AB8A521" w14:textId="347762F5" w:rsidR="00A34628" w:rsidRPr="00733F02" w:rsidRDefault="00A34628" w:rsidP="00733F02">
      <w:pPr>
        <w:ind w:firstLine="567"/>
        <w:jc w:val="both"/>
        <w:rPr>
          <w:rFonts w:ascii="Arial" w:hAnsi="Arial" w:cs="Arial"/>
        </w:rPr>
      </w:pPr>
      <w:r w:rsidRPr="00733F02">
        <w:rPr>
          <w:rFonts w:ascii="Arial" w:hAnsi="Arial" w:cs="Arial"/>
        </w:rPr>
        <w:t xml:space="preserve">A holistic perspective that integrates nitrogen management with broader agroecological principles will be instrumental in addressing the challenges posed by global environmental change (Kim et al., 2021). Future research should focus on refining nitrogen-use efficiency </w:t>
      </w:r>
      <w:r w:rsidRPr="00733F02">
        <w:rPr>
          <w:rFonts w:ascii="Arial" w:hAnsi="Arial" w:cs="Arial"/>
        </w:rPr>
        <w:lastRenderedPageBreak/>
        <w:t>models and developing policy frameworks that incentivize sustainable nitrogen management at the landscape level (Nelson &amp; Roberts, 2019).</w:t>
      </w:r>
    </w:p>
    <w:p w14:paraId="01FA640B" w14:textId="34D5DC8E" w:rsidR="00A34628" w:rsidRPr="000B1306" w:rsidRDefault="00A34628" w:rsidP="000B1306">
      <w:pPr>
        <w:pStyle w:val="ListParagraph"/>
        <w:numPr>
          <w:ilvl w:val="0"/>
          <w:numId w:val="32"/>
        </w:numPr>
        <w:spacing w:before="160"/>
        <w:jc w:val="both"/>
        <w:rPr>
          <w:rFonts w:ascii="Arial" w:hAnsi="Arial" w:cs="Arial"/>
          <w:b/>
          <w:bCs/>
          <w:sz w:val="22"/>
          <w:szCs w:val="22"/>
        </w:rPr>
      </w:pPr>
      <w:r w:rsidRPr="000B1306">
        <w:rPr>
          <w:rFonts w:ascii="Arial" w:hAnsi="Arial" w:cs="Arial"/>
          <w:b/>
          <w:bCs/>
          <w:sz w:val="22"/>
          <w:szCs w:val="22"/>
        </w:rPr>
        <w:t>Synthetic Biology Innovations</w:t>
      </w:r>
    </w:p>
    <w:p w14:paraId="7DDCA29B" w14:textId="23907066" w:rsidR="00A34628" w:rsidRPr="00733F02" w:rsidRDefault="00A34628" w:rsidP="00733F02">
      <w:pPr>
        <w:pStyle w:val="ListParagraph"/>
        <w:numPr>
          <w:ilvl w:val="1"/>
          <w:numId w:val="37"/>
        </w:numPr>
        <w:jc w:val="both"/>
        <w:rPr>
          <w:rFonts w:ascii="Arial" w:hAnsi="Arial" w:cs="Arial"/>
        </w:rPr>
      </w:pPr>
      <w:r w:rsidRPr="00733F02">
        <w:rPr>
          <w:rFonts w:ascii="Arial" w:hAnsi="Arial" w:cs="Arial"/>
        </w:rPr>
        <w:t>CRISPR-Enabled Nitrogen Fixation</w:t>
      </w:r>
    </w:p>
    <w:p w14:paraId="1456FF63" w14:textId="7C171C83" w:rsidR="00A34628" w:rsidRPr="00733F02" w:rsidRDefault="00A34628" w:rsidP="00733F02">
      <w:pPr>
        <w:pStyle w:val="ListParagraph"/>
        <w:numPr>
          <w:ilvl w:val="2"/>
          <w:numId w:val="37"/>
        </w:numPr>
        <w:spacing w:after="120"/>
        <w:jc w:val="both"/>
        <w:rPr>
          <w:rFonts w:ascii="Arial" w:hAnsi="Arial" w:cs="Arial"/>
        </w:rPr>
      </w:pPr>
      <w:r w:rsidRPr="00733F02">
        <w:rPr>
          <w:rFonts w:ascii="Arial" w:hAnsi="Arial" w:cs="Arial"/>
        </w:rPr>
        <w:t>Genetic Engineering of Non-Leguminous Crops</w:t>
      </w:r>
    </w:p>
    <w:p w14:paraId="7C8EB370" w14:textId="77777777" w:rsidR="00F020B2" w:rsidRPr="00733F02" w:rsidRDefault="00A34628" w:rsidP="00733F02">
      <w:pPr>
        <w:ind w:firstLine="567"/>
        <w:jc w:val="both"/>
        <w:rPr>
          <w:rFonts w:ascii="Arial" w:hAnsi="Arial" w:cs="Arial"/>
        </w:rPr>
      </w:pPr>
      <w:r w:rsidRPr="00733F02">
        <w:rPr>
          <w:rFonts w:ascii="Arial" w:hAnsi="Arial" w:cs="Arial"/>
        </w:rPr>
        <w:t xml:space="preserve">Genetic engineering presents a transformative approach to improving nitrogen fixation in non-leguminous crops, addressing the dependence on synthetic fertilizers and enhancing sustainability in agricultural systems. Advances in genome editing, particularly CRISPR/Cas9, have revolutionized the modification of plant genomes to enhance stress tolerance and nitrogen fixation capabilities. Compared to earlier gene-editing techniques such as Zinc Finger Nucleases (ZFNs) and TALENs, CRISPR/Cas9 has demonstrated higher precision, efficiency, and adaptability in modifying plant genes related to nitrogen assimilation (Engineering Drought Tolerance in Crops Using CRISPR Cas Systems, 2023; Joshi et al., 2020). One of the primary targets for genetic engineering is transcription factors (TFs), which regulate gene expression under stress conditions. TF families such as NAC, AP2/ERF, and WRKY have been identified as key players in enhancing drought resilience and nitrogen uptake (Rabara et al., 2014). </w:t>
      </w:r>
    </w:p>
    <w:p w14:paraId="689032BB" w14:textId="68616C90" w:rsidR="00A34628" w:rsidRPr="00733F02" w:rsidRDefault="00A34628" w:rsidP="00733F02">
      <w:pPr>
        <w:ind w:firstLine="567"/>
        <w:jc w:val="both"/>
        <w:rPr>
          <w:rFonts w:ascii="Arial" w:hAnsi="Arial" w:cs="Arial"/>
        </w:rPr>
      </w:pPr>
      <w:r w:rsidRPr="00733F02">
        <w:rPr>
          <w:rFonts w:ascii="Arial" w:hAnsi="Arial" w:cs="Arial"/>
        </w:rPr>
        <w:t>Additionally, high-throughput phenotyping tools enable researchers to assess the effectiveness of TF modifications, ensuring that engineered crops maintain productivity under nitrogen-deficient conditions (Rabara et al., 2014). However, despite these advances, challenges remain in regulatory acceptance and public perception of genetically modified crops, which may hinder their widespread adoption (Bonea, 2024).</w:t>
      </w:r>
    </w:p>
    <w:p w14:paraId="7EF731DB" w14:textId="77777777" w:rsidR="00A34628" w:rsidRPr="00733F02" w:rsidRDefault="00A34628" w:rsidP="00733F02">
      <w:pPr>
        <w:spacing w:before="120"/>
        <w:jc w:val="center"/>
        <w:rPr>
          <w:rFonts w:ascii="Arial" w:hAnsi="Arial" w:cs="Arial"/>
        </w:rPr>
      </w:pPr>
      <w:r w:rsidRPr="00733F02">
        <w:rPr>
          <w:rFonts w:ascii="Arial" w:hAnsi="Arial" w:cs="Arial"/>
          <w:noProof/>
        </w:rPr>
        <w:drawing>
          <wp:inline distT="0" distB="0" distL="0" distR="0" wp14:anchorId="7D19F658" wp14:editId="081E4693">
            <wp:extent cx="5045075" cy="2686050"/>
            <wp:effectExtent l="0" t="0" r="0" b="0"/>
            <wp:docPr id="1681427022" name="Picture 4" descr="A diagram of a plant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27022" name="Picture 4" descr="A diagram of a plant life cycle"/>
                    <pic:cNvPicPr/>
                  </pic:nvPicPr>
                  <pic:blipFill>
                    <a:blip r:embed="rId19">
                      <a:extLst>
                        <a:ext uri="{28A0092B-C50C-407E-A947-70E740481C1C}">
                          <a14:useLocalDpi xmlns:a14="http://schemas.microsoft.com/office/drawing/2010/main" val="0"/>
                        </a:ext>
                      </a:extLst>
                    </a:blip>
                    <a:stretch>
                      <a:fillRect/>
                    </a:stretch>
                  </pic:blipFill>
                  <pic:spPr>
                    <a:xfrm>
                      <a:off x="0" y="0"/>
                      <a:ext cx="5083148" cy="2706320"/>
                    </a:xfrm>
                    <a:prstGeom prst="rect">
                      <a:avLst/>
                    </a:prstGeom>
                  </pic:spPr>
                </pic:pic>
              </a:graphicData>
            </a:graphic>
          </wp:inline>
        </w:drawing>
      </w:r>
    </w:p>
    <w:p w14:paraId="6C409D69" w14:textId="603235CC" w:rsidR="00A34628" w:rsidRPr="00733F02" w:rsidRDefault="00A34628" w:rsidP="00733F02">
      <w:pPr>
        <w:jc w:val="center"/>
        <w:rPr>
          <w:rFonts w:ascii="Arial" w:hAnsi="Arial" w:cs="Arial"/>
          <w:b/>
          <w:bCs/>
        </w:rPr>
      </w:pPr>
      <w:r w:rsidRPr="00733F02">
        <w:rPr>
          <w:rFonts w:ascii="Arial" w:hAnsi="Arial" w:cs="Arial"/>
          <w:b/>
          <w:bCs/>
        </w:rPr>
        <w:t>Fig</w:t>
      </w:r>
      <w:r w:rsidR="00F020B2" w:rsidRPr="00733F02">
        <w:rPr>
          <w:rFonts w:ascii="Arial" w:hAnsi="Arial" w:cs="Arial"/>
          <w:b/>
          <w:bCs/>
        </w:rPr>
        <w:t xml:space="preserve">. </w:t>
      </w:r>
      <w:r w:rsidR="00253726">
        <w:rPr>
          <w:rFonts w:ascii="Arial" w:hAnsi="Arial" w:cs="Arial"/>
          <w:b/>
          <w:bCs/>
        </w:rPr>
        <w:t>5</w:t>
      </w:r>
      <w:r w:rsidR="00F020B2" w:rsidRPr="00733F02">
        <w:rPr>
          <w:rFonts w:ascii="Arial" w:hAnsi="Arial" w:cs="Arial"/>
          <w:b/>
          <w:bCs/>
        </w:rPr>
        <w:t>.</w:t>
      </w:r>
      <w:r w:rsidRPr="00733F02">
        <w:rPr>
          <w:rFonts w:ascii="Arial" w:hAnsi="Arial" w:cs="Arial"/>
          <w:b/>
          <w:bCs/>
        </w:rPr>
        <w:t xml:space="preserve"> CRISPR-Cas Mediated Nitrogenase Enhancement Pathway (Bueno Batista &amp; Dixon, 2019)</w:t>
      </w:r>
    </w:p>
    <w:p w14:paraId="05E3B2EB" w14:textId="14B63287" w:rsidR="00A34628" w:rsidRPr="00733F02" w:rsidRDefault="00A34628" w:rsidP="00733F02">
      <w:pPr>
        <w:pStyle w:val="ListParagraph"/>
        <w:numPr>
          <w:ilvl w:val="2"/>
          <w:numId w:val="37"/>
        </w:numPr>
        <w:spacing w:before="120" w:after="120"/>
        <w:jc w:val="both"/>
        <w:rPr>
          <w:rFonts w:ascii="Arial" w:hAnsi="Arial" w:cs="Arial"/>
          <w:sz w:val="22"/>
          <w:szCs w:val="22"/>
        </w:rPr>
      </w:pPr>
      <w:r w:rsidRPr="00733F02">
        <w:rPr>
          <w:rFonts w:ascii="Arial" w:hAnsi="Arial" w:cs="Arial"/>
          <w:sz w:val="22"/>
          <w:szCs w:val="22"/>
        </w:rPr>
        <w:t>Expanding Symbiotic Nitrogen Fixation Capabilities</w:t>
      </w:r>
    </w:p>
    <w:p w14:paraId="2CB22D59" w14:textId="77777777" w:rsidR="00F020B2" w:rsidRPr="00733F02" w:rsidRDefault="00A34628" w:rsidP="00733F02">
      <w:pPr>
        <w:ind w:firstLine="567"/>
        <w:jc w:val="both"/>
        <w:rPr>
          <w:rFonts w:ascii="Arial" w:hAnsi="Arial" w:cs="Arial"/>
        </w:rPr>
      </w:pPr>
      <w:r w:rsidRPr="00733F02">
        <w:rPr>
          <w:rFonts w:ascii="Arial" w:hAnsi="Arial" w:cs="Arial"/>
        </w:rPr>
        <w:t xml:space="preserve">Expanding nitrogen-fixing symbiosis beyond leguminous crops is a promising strategy for reducing dependence on synthetic fertilizers and mitigating environmental impacts associated with their use. Symbiotic nitrogen fixation traditionally occurs in legumes through interactions with </w:t>
      </w:r>
      <w:proofErr w:type="spellStart"/>
      <w:r w:rsidRPr="00733F02">
        <w:rPr>
          <w:rFonts w:ascii="Arial" w:hAnsi="Arial" w:cs="Arial"/>
        </w:rPr>
        <w:t>rhizobial</w:t>
      </w:r>
      <w:proofErr w:type="spellEnd"/>
      <w:r w:rsidRPr="00733F02">
        <w:rPr>
          <w:rFonts w:ascii="Arial" w:hAnsi="Arial" w:cs="Arial"/>
        </w:rPr>
        <w:t xml:space="preserve"> bacteria, but recent research aims to extend this capability to non-leguminous species such as maize and rice (Cocking &amp; Stone, 2014). A key approach in this field involves engineering non-leguminous plants to support intracellular colonization by nitrogen-fixing bacteria. For example, </w:t>
      </w:r>
      <w:proofErr w:type="spellStart"/>
      <w:r w:rsidRPr="00733F02">
        <w:rPr>
          <w:rFonts w:ascii="Arial" w:hAnsi="Arial" w:cs="Arial"/>
        </w:rPr>
        <w:t>Gluconacetobacter</w:t>
      </w:r>
      <w:proofErr w:type="spellEnd"/>
      <w:r w:rsidRPr="00733F02">
        <w:rPr>
          <w:rFonts w:ascii="Arial" w:hAnsi="Arial" w:cs="Arial"/>
        </w:rPr>
        <w:t xml:space="preserve"> </w:t>
      </w:r>
      <w:proofErr w:type="spellStart"/>
      <w:r w:rsidRPr="00733F02">
        <w:rPr>
          <w:rFonts w:ascii="Arial" w:hAnsi="Arial" w:cs="Arial"/>
        </w:rPr>
        <w:t>diazotrophicus</w:t>
      </w:r>
      <w:proofErr w:type="spellEnd"/>
      <w:r w:rsidRPr="00733F02">
        <w:rPr>
          <w:rFonts w:ascii="Arial" w:hAnsi="Arial" w:cs="Arial"/>
        </w:rPr>
        <w:t xml:space="preserve"> has been successfully introduced into maize and rice roots, demonstrating intracellular nitrogen fixation </w:t>
      </w:r>
      <w:r w:rsidRPr="00733F02">
        <w:rPr>
          <w:rFonts w:ascii="Arial" w:hAnsi="Arial" w:cs="Arial"/>
        </w:rPr>
        <w:lastRenderedPageBreak/>
        <w:t>potential (Cocking &amp; Stone, 2014). Histochemical staining and electron microscopy studies have confirmed successful bacterial colonization, supporting the feasibility of field trials (Cocking &amp; Stone, 2014).</w:t>
      </w:r>
    </w:p>
    <w:p w14:paraId="095AC1C4" w14:textId="77777777" w:rsidR="00F020B2" w:rsidRPr="00733F02" w:rsidRDefault="00A34628" w:rsidP="00733F02">
      <w:pPr>
        <w:ind w:firstLine="567"/>
        <w:jc w:val="both"/>
        <w:rPr>
          <w:rFonts w:ascii="Arial" w:hAnsi="Arial" w:cs="Arial"/>
        </w:rPr>
      </w:pPr>
      <w:r w:rsidRPr="00733F02">
        <w:rPr>
          <w:rFonts w:ascii="Arial" w:hAnsi="Arial" w:cs="Arial"/>
        </w:rPr>
        <w:t xml:space="preserve">Synthetic biology approaches have further contributed to expanding nitrogen fixation by enhancing the genetic adaptability of symbiotic bacteria. Advances in microbial genomics have allowed researchers to identify and optimize bacterial strains with high nitrogen-fixing efficiency (Lima et al., 2024). The utilization of more competitive </w:t>
      </w:r>
      <w:proofErr w:type="spellStart"/>
      <w:r w:rsidRPr="00733F02">
        <w:rPr>
          <w:rFonts w:ascii="Arial" w:hAnsi="Arial" w:cs="Arial"/>
        </w:rPr>
        <w:t>rhizobial</w:t>
      </w:r>
      <w:proofErr w:type="spellEnd"/>
      <w:r w:rsidRPr="00733F02">
        <w:rPr>
          <w:rFonts w:ascii="Arial" w:hAnsi="Arial" w:cs="Arial"/>
        </w:rPr>
        <w:t xml:space="preserve"> strains, such as those tested in white clover symbiosis, has shown improvements in nitrogen fixation rates (Shi et al., 2019). Additionally, novel seed-coating technologies have been developed to enhance bacterial survival and effectiveness, increasing the success rate of symbiotic nitrogen fixation (Shi et al., 2019). </w:t>
      </w:r>
    </w:p>
    <w:p w14:paraId="211D5386" w14:textId="0E8128F4" w:rsidR="00A34628" w:rsidRDefault="00F020B2" w:rsidP="00733F02">
      <w:pPr>
        <w:ind w:firstLine="567"/>
        <w:jc w:val="both"/>
        <w:rPr>
          <w:rFonts w:ascii="Arial" w:hAnsi="Arial" w:cs="Arial"/>
        </w:rPr>
      </w:pPr>
      <w:r w:rsidRPr="00733F02">
        <w:rPr>
          <w:rFonts w:ascii="Arial" w:hAnsi="Arial" w:cs="Arial"/>
        </w:rPr>
        <w:t>In spite of</w:t>
      </w:r>
      <w:r w:rsidR="00A34628" w:rsidRPr="00733F02">
        <w:rPr>
          <w:rFonts w:ascii="Arial" w:hAnsi="Arial" w:cs="Arial"/>
        </w:rPr>
        <w:t xml:space="preserve"> these promising developments, challenges persist in achieving stable nitrogen fixation across different environmental conditions. The efficiency of symbiotic interactions varies depending on soil composition, microbial competition, and plant genetic factors. Future research must focus on optimizing delivery systems for biofertilizers and improving the consistency of nitrogen fixation in diverse agricultural settings.</w:t>
      </w:r>
    </w:p>
    <w:p w14:paraId="2BD85D3A" w14:textId="25D98EEF" w:rsidR="00733F02" w:rsidRPr="00733F02" w:rsidRDefault="00733F02" w:rsidP="00733F02">
      <w:pPr>
        <w:spacing w:before="120"/>
        <w:rPr>
          <w:rFonts w:ascii="Arial" w:hAnsi="Arial" w:cs="Arial"/>
          <w:b/>
          <w:bCs/>
        </w:rPr>
      </w:pPr>
      <w:r w:rsidRPr="00733F02">
        <w:rPr>
          <w:rFonts w:ascii="Arial" w:hAnsi="Arial" w:cs="Arial"/>
          <w:b/>
          <w:bCs/>
        </w:rPr>
        <w:t xml:space="preserve">Table 3. Synthetic </w:t>
      </w:r>
      <w:r>
        <w:rPr>
          <w:rFonts w:ascii="Arial" w:hAnsi="Arial" w:cs="Arial"/>
          <w:b/>
          <w:bCs/>
        </w:rPr>
        <w:t>b</w:t>
      </w:r>
      <w:r w:rsidRPr="00733F02">
        <w:rPr>
          <w:rFonts w:ascii="Arial" w:hAnsi="Arial" w:cs="Arial"/>
          <w:b/>
          <w:bCs/>
        </w:rPr>
        <w:t xml:space="preserve">iology </w:t>
      </w:r>
      <w:r>
        <w:rPr>
          <w:rFonts w:ascii="Arial" w:hAnsi="Arial" w:cs="Arial"/>
          <w:b/>
          <w:bCs/>
        </w:rPr>
        <w:t>t</w:t>
      </w:r>
      <w:r w:rsidRPr="00733F02">
        <w:rPr>
          <w:rFonts w:ascii="Arial" w:hAnsi="Arial" w:cs="Arial"/>
          <w:b/>
          <w:bCs/>
        </w:rPr>
        <w:t xml:space="preserve">ools in </w:t>
      </w:r>
      <w:r>
        <w:rPr>
          <w:rFonts w:ascii="Arial" w:hAnsi="Arial" w:cs="Arial"/>
          <w:b/>
          <w:bCs/>
        </w:rPr>
        <w:t>n</w:t>
      </w:r>
      <w:r w:rsidRPr="00733F02">
        <w:rPr>
          <w:rFonts w:ascii="Arial" w:hAnsi="Arial" w:cs="Arial"/>
          <w:b/>
          <w:bCs/>
        </w:rPr>
        <w:t xml:space="preserve">itrogen </w:t>
      </w:r>
      <w:r>
        <w:rPr>
          <w:rFonts w:ascii="Arial" w:hAnsi="Arial" w:cs="Arial"/>
          <w:b/>
          <w:bCs/>
        </w:rPr>
        <w:t>f</w:t>
      </w:r>
      <w:r w:rsidRPr="00733F02">
        <w:rPr>
          <w:rFonts w:ascii="Arial" w:hAnsi="Arial" w:cs="Arial"/>
          <w:b/>
          <w:bCs/>
        </w:rPr>
        <w:t>ixation</w:t>
      </w:r>
    </w:p>
    <w:tbl>
      <w:tblPr>
        <w:tblStyle w:val="Style1"/>
        <w:tblW w:w="0" w:type="auto"/>
        <w:tblLook w:val="04A0" w:firstRow="1" w:lastRow="0" w:firstColumn="1" w:lastColumn="0" w:noHBand="0" w:noVBand="1"/>
      </w:tblPr>
      <w:tblGrid>
        <w:gridCol w:w="1216"/>
        <w:gridCol w:w="1286"/>
        <w:gridCol w:w="1869"/>
        <w:gridCol w:w="1312"/>
        <w:gridCol w:w="1171"/>
        <w:gridCol w:w="1354"/>
      </w:tblGrid>
      <w:tr w:rsidR="000B1306" w:rsidRPr="00733F02" w14:paraId="04C951C8" w14:textId="77777777" w:rsidTr="000B1306">
        <w:trPr>
          <w:cnfStyle w:val="100000000000" w:firstRow="1" w:lastRow="0" w:firstColumn="0" w:lastColumn="0" w:oddVBand="0" w:evenVBand="0" w:oddHBand="0" w:evenHBand="0" w:firstRowFirstColumn="0" w:firstRowLastColumn="0" w:lastRowFirstColumn="0" w:lastRowLastColumn="0"/>
        </w:trPr>
        <w:tc>
          <w:tcPr>
            <w:tcW w:w="1260" w:type="dxa"/>
          </w:tcPr>
          <w:p w14:paraId="267D38A3" w14:textId="77777777" w:rsidR="00733F02" w:rsidRPr="00733F02" w:rsidRDefault="00733F02" w:rsidP="00733F02">
            <w:pPr>
              <w:rPr>
                <w:rFonts w:ascii="Arial" w:hAnsi="Arial" w:cs="Arial"/>
                <w:b/>
                <w:bCs/>
              </w:rPr>
            </w:pPr>
            <w:r w:rsidRPr="00733F02">
              <w:rPr>
                <w:rFonts w:ascii="Arial" w:hAnsi="Arial" w:cs="Arial"/>
                <w:b/>
                <w:bCs/>
              </w:rPr>
              <w:t>Approach</w:t>
            </w:r>
          </w:p>
        </w:tc>
        <w:tc>
          <w:tcPr>
            <w:tcW w:w="1318" w:type="dxa"/>
          </w:tcPr>
          <w:p w14:paraId="2CF29264" w14:textId="77777777" w:rsidR="00733F02" w:rsidRPr="00733F02" w:rsidRDefault="00733F02" w:rsidP="00733F02">
            <w:pPr>
              <w:rPr>
                <w:rFonts w:ascii="Arial" w:hAnsi="Arial" w:cs="Arial"/>
                <w:b/>
                <w:bCs/>
              </w:rPr>
            </w:pPr>
            <w:r w:rsidRPr="00733F02">
              <w:rPr>
                <w:rFonts w:ascii="Arial" w:hAnsi="Arial" w:cs="Arial"/>
                <w:b/>
                <w:bCs/>
              </w:rPr>
              <w:t>Target Organism</w:t>
            </w:r>
          </w:p>
        </w:tc>
        <w:tc>
          <w:tcPr>
            <w:tcW w:w="1897" w:type="dxa"/>
          </w:tcPr>
          <w:p w14:paraId="70E6E39C" w14:textId="77777777" w:rsidR="00733F02" w:rsidRPr="00733F02" w:rsidRDefault="00733F02" w:rsidP="00733F02">
            <w:pPr>
              <w:rPr>
                <w:rFonts w:ascii="Arial" w:hAnsi="Arial" w:cs="Arial"/>
                <w:b/>
                <w:bCs/>
              </w:rPr>
            </w:pPr>
            <w:r w:rsidRPr="00733F02">
              <w:rPr>
                <w:rFonts w:ascii="Arial" w:hAnsi="Arial" w:cs="Arial"/>
                <w:b/>
                <w:bCs/>
              </w:rPr>
              <w:t>Method Used</w:t>
            </w:r>
          </w:p>
        </w:tc>
        <w:tc>
          <w:tcPr>
            <w:tcW w:w="1347" w:type="dxa"/>
          </w:tcPr>
          <w:p w14:paraId="64B6DD58" w14:textId="77777777" w:rsidR="00733F02" w:rsidRPr="00733F02" w:rsidRDefault="00733F02" w:rsidP="00733F02">
            <w:pPr>
              <w:rPr>
                <w:rFonts w:ascii="Arial" w:hAnsi="Arial" w:cs="Arial"/>
                <w:b/>
                <w:bCs/>
              </w:rPr>
            </w:pPr>
            <w:r w:rsidRPr="00733F02">
              <w:rPr>
                <w:rFonts w:ascii="Arial" w:hAnsi="Arial" w:cs="Arial"/>
                <w:b/>
                <w:bCs/>
              </w:rPr>
              <w:t>Goal</w:t>
            </w:r>
          </w:p>
        </w:tc>
        <w:tc>
          <w:tcPr>
            <w:tcW w:w="1223" w:type="dxa"/>
          </w:tcPr>
          <w:p w14:paraId="5656549B" w14:textId="77777777" w:rsidR="00733F02" w:rsidRPr="00733F02" w:rsidRDefault="00733F02" w:rsidP="00733F02">
            <w:pPr>
              <w:rPr>
                <w:rFonts w:ascii="Arial" w:hAnsi="Arial" w:cs="Arial"/>
                <w:b/>
                <w:bCs/>
              </w:rPr>
            </w:pPr>
            <w:r w:rsidRPr="00733F02">
              <w:rPr>
                <w:rFonts w:ascii="Arial" w:hAnsi="Arial" w:cs="Arial"/>
                <w:b/>
                <w:bCs/>
              </w:rPr>
              <w:t>Key Findings</w:t>
            </w:r>
          </w:p>
        </w:tc>
        <w:tc>
          <w:tcPr>
            <w:tcW w:w="1379" w:type="dxa"/>
          </w:tcPr>
          <w:p w14:paraId="48F89DC4" w14:textId="77777777" w:rsidR="00733F02" w:rsidRPr="00733F02" w:rsidRDefault="00733F02" w:rsidP="00733F02">
            <w:pPr>
              <w:rPr>
                <w:rFonts w:ascii="Arial" w:hAnsi="Arial" w:cs="Arial"/>
                <w:b/>
                <w:bCs/>
              </w:rPr>
            </w:pPr>
            <w:r w:rsidRPr="00733F02">
              <w:rPr>
                <w:rFonts w:ascii="Arial" w:hAnsi="Arial" w:cs="Arial"/>
                <w:b/>
                <w:bCs/>
              </w:rPr>
              <w:t>Challenges</w:t>
            </w:r>
          </w:p>
        </w:tc>
      </w:tr>
      <w:tr w:rsidR="000B1306" w:rsidRPr="00733F02" w14:paraId="352FD729" w14:textId="77777777" w:rsidTr="000B1306">
        <w:tc>
          <w:tcPr>
            <w:tcW w:w="1260" w:type="dxa"/>
          </w:tcPr>
          <w:p w14:paraId="3A531683" w14:textId="77777777" w:rsidR="00733F02" w:rsidRPr="00733F02" w:rsidRDefault="00733F02" w:rsidP="00733F02">
            <w:pPr>
              <w:rPr>
                <w:rFonts w:ascii="Arial" w:hAnsi="Arial" w:cs="Arial"/>
                <w:b/>
                <w:bCs/>
              </w:rPr>
            </w:pPr>
            <w:r w:rsidRPr="00733F02">
              <w:rPr>
                <w:rFonts w:ascii="Arial" w:hAnsi="Arial" w:cs="Arial"/>
              </w:rPr>
              <w:t>CRISPR Editing</w:t>
            </w:r>
          </w:p>
        </w:tc>
        <w:tc>
          <w:tcPr>
            <w:tcW w:w="1318" w:type="dxa"/>
          </w:tcPr>
          <w:p w14:paraId="2093638D" w14:textId="77777777" w:rsidR="00733F02" w:rsidRPr="00733F02" w:rsidRDefault="00733F02" w:rsidP="00733F02">
            <w:pPr>
              <w:rPr>
                <w:rFonts w:ascii="Arial" w:hAnsi="Arial" w:cs="Arial"/>
                <w:b/>
                <w:bCs/>
              </w:rPr>
            </w:pPr>
            <w:r w:rsidRPr="00733F02">
              <w:rPr>
                <w:rFonts w:ascii="Arial" w:hAnsi="Arial" w:cs="Arial"/>
              </w:rPr>
              <w:t>Rhizobia, Cereals</w:t>
            </w:r>
          </w:p>
        </w:tc>
        <w:tc>
          <w:tcPr>
            <w:tcW w:w="1897" w:type="dxa"/>
          </w:tcPr>
          <w:p w14:paraId="515EE865" w14:textId="77777777" w:rsidR="00733F02" w:rsidRPr="00733F02" w:rsidRDefault="00733F02" w:rsidP="00733F02">
            <w:pPr>
              <w:rPr>
                <w:rFonts w:ascii="Arial" w:hAnsi="Arial" w:cs="Arial"/>
                <w:b/>
                <w:bCs/>
              </w:rPr>
            </w:pPr>
            <w:r w:rsidRPr="00733F02">
              <w:rPr>
                <w:rFonts w:ascii="Arial" w:hAnsi="Arial" w:cs="Arial"/>
              </w:rPr>
              <w:t>Gene knockout/insertion</w:t>
            </w:r>
          </w:p>
        </w:tc>
        <w:tc>
          <w:tcPr>
            <w:tcW w:w="1347" w:type="dxa"/>
          </w:tcPr>
          <w:p w14:paraId="4106522B" w14:textId="77777777" w:rsidR="00733F02" w:rsidRPr="00733F02" w:rsidRDefault="00733F02" w:rsidP="00733F02">
            <w:pPr>
              <w:rPr>
                <w:rFonts w:ascii="Arial" w:hAnsi="Arial" w:cs="Arial"/>
                <w:b/>
                <w:bCs/>
              </w:rPr>
            </w:pPr>
            <w:r w:rsidRPr="00733F02">
              <w:rPr>
                <w:rFonts w:ascii="Arial" w:hAnsi="Arial" w:cs="Arial"/>
              </w:rPr>
              <w:t>Improve nitrogenase activity</w:t>
            </w:r>
          </w:p>
        </w:tc>
        <w:tc>
          <w:tcPr>
            <w:tcW w:w="1223" w:type="dxa"/>
          </w:tcPr>
          <w:p w14:paraId="2A8B0F8B" w14:textId="77777777" w:rsidR="00733F02" w:rsidRPr="00733F02" w:rsidRDefault="00733F02" w:rsidP="00733F02">
            <w:pPr>
              <w:rPr>
                <w:rFonts w:ascii="Arial" w:hAnsi="Arial" w:cs="Arial"/>
                <w:b/>
                <w:bCs/>
              </w:rPr>
            </w:pPr>
            <w:r w:rsidRPr="00733F02">
              <w:rPr>
                <w:rFonts w:ascii="Arial" w:hAnsi="Arial" w:cs="Arial"/>
              </w:rPr>
              <w:t>Increased nitrogen fixation</w:t>
            </w:r>
          </w:p>
        </w:tc>
        <w:tc>
          <w:tcPr>
            <w:tcW w:w="1379" w:type="dxa"/>
          </w:tcPr>
          <w:p w14:paraId="33E00BC2" w14:textId="77777777" w:rsidR="00733F02" w:rsidRPr="00733F02" w:rsidRDefault="00733F02" w:rsidP="00733F02">
            <w:pPr>
              <w:rPr>
                <w:rFonts w:ascii="Arial" w:hAnsi="Arial" w:cs="Arial"/>
                <w:b/>
                <w:bCs/>
              </w:rPr>
            </w:pPr>
            <w:r w:rsidRPr="00733F02">
              <w:rPr>
                <w:rFonts w:ascii="Arial" w:hAnsi="Arial" w:cs="Arial"/>
              </w:rPr>
              <w:t>Regulatory concerns</w:t>
            </w:r>
          </w:p>
        </w:tc>
      </w:tr>
      <w:tr w:rsidR="000B1306" w:rsidRPr="00733F02" w14:paraId="4283C5BC" w14:textId="77777777" w:rsidTr="000B1306">
        <w:tc>
          <w:tcPr>
            <w:tcW w:w="1260" w:type="dxa"/>
          </w:tcPr>
          <w:p w14:paraId="075E16E4" w14:textId="77777777" w:rsidR="00733F02" w:rsidRPr="00733F02" w:rsidRDefault="00733F02" w:rsidP="00733F02">
            <w:pPr>
              <w:rPr>
                <w:rFonts w:ascii="Arial" w:hAnsi="Arial" w:cs="Arial"/>
                <w:b/>
                <w:bCs/>
              </w:rPr>
            </w:pPr>
            <w:r w:rsidRPr="00733F02">
              <w:rPr>
                <w:rFonts w:ascii="Arial" w:hAnsi="Arial" w:cs="Arial"/>
              </w:rPr>
              <w:t>Synthetic Consortia</w:t>
            </w:r>
          </w:p>
        </w:tc>
        <w:tc>
          <w:tcPr>
            <w:tcW w:w="1318" w:type="dxa"/>
          </w:tcPr>
          <w:p w14:paraId="3FA0D7E2" w14:textId="77777777" w:rsidR="00733F02" w:rsidRPr="00733F02" w:rsidRDefault="00733F02" w:rsidP="00733F02">
            <w:pPr>
              <w:rPr>
                <w:rFonts w:ascii="Arial" w:hAnsi="Arial" w:cs="Arial"/>
                <w:b/>
                <w:bCs/>
              </w:rPr>
            </w:pPr>
            <w:r w:rsidRPr="00733F02">
              <w:rPr>
                <w:rFonts w:ascii="Arial" w:hAnsi="Arial" w:cs="Arial"/>
              </w:rPr>
              <w:t>Engineered Microbes</w:t>
            </w:r>
          </w:p>
        </w:tc>
        <w:tc>
          <w:tcPr>
            <w:tcW w:w="1897" w:type="dxa"/>
          </w:tcPr>
          <w:p w14:paraId="1886D5A4" w14:textId="77777777" w:rsidR="00733F02" w:rsidRPr="00733F02" w:rsidRDefault="00733F02" w:rsidP="00733F02">
            <w:pPr>
              <w:rPr>
                <w:rFonts w:ascii="Arial" w:hAnsi="Arial" w:cs="Arial"/>
                <w:b/>
                <w:bCs/>
              </w:rPr>
            </w:pPr>
            <w:r w:rsidRPr="00733F02">
              <w:rPr>
                <w:rFonts w:ascii="Arial" w:hAnsi="Arial" w:cs="Arial"/>
              </w:rPr>
              <w:t>Community design</w:t>
            </w:r>
          </w:p>
        </w:tc>
        <w:tc>
          <w:tcPr>
            <w:tcW w:w="1347" w:type="dxa"/>
          </w:tcPr>
          <w:p w14:paraId="07BEB492" w14:textId="77777777" w:rsidR="00733F02" w:rsidRPr="00733F02" w:rsidRDefault="00733F02" w:rsidP="00733F02">
            <w:pPr>
              <w:rPr>
                <w:rFonts w:ascii="Arial" w:hAnsi="Arial" w:cs="Arial"/>
                <w:b/>
                <w:bCs/>
              </w:rPr>
            </w:pPr>
            <w:r w:rsidRPr="00733F02">
              <w:rPr>
                <w:rFonts w:ascii="Arial" w:hAnsi="Arial" w:cs="Arial"/>
              </w:rPr>
              <w:t>Enhance cooperation</w:t>
            </w:r>
          </w:p>
        </w:tc>
        <w:tc>
          <w:tcPr>
            <w:tcW w:w="1223" w:type="dxa"/>
          </w:tcPr>
          <w:p w14:paraId="3A21FD29" w14:textId="77777777" w:rsidR="00733F02" w:rsidRPr="00733F02" w:rsidRDefault="00733F02" w:rsidP="00733F02">
            <w:pPr>
              <w:rPr>
                <w:rFonts w:ascii="Arial" w:hAnsi="Arial" w:cs="Arial"/>
                <w:b/>
                <w:bCs/>
              </w:rPr>
            </w:pPr>
            <w:r w:rsidRPr="00733F02">
              <w:rPr>
                <w:rFonts w:ascii="Arial" w:hAnsi="Arial" w:cs="Arial"/>
              </w:rPr>
              <w:t>Improved nutrient cycling</w:t>
            </w:r>
          </w:p>
        </w:tc>
        <w:tc>
          <w:tcPr>
            <w:tcW w:w="1379" w:type="dxa"/>
          </w:tcPr>
          <w:p w14:paraId="44F9E99B" w14:textId="77777777" w:rsidR="00733F02" w:rsidRPr="00733F02" w:rsidRDefault="00733F02" w:rsidP="00733F02">
            <w:pPr>
              <w:rPr>
                <w:rFonts w:ascii="Arial" w:hAnsi="Arial" w:cs="Arial"/>
                <w:b/>
                <w:bCs/>
              </w:rPr>
            </w:pPr>
            <w:r w:rsidRPr="00733F02">
              <w:rPr>
                <w:rFonts w:ascii="Arial" w:hAnsi="Arial" w:cs="Arial"/>
              </w:rPr>
              <w:t>Ecological compatibility</w:t>
            </w:r>
          </w:p>
        </w:tc>
      </w:tr>
    </w:tbl>
    <w:p w14:paraId="7234D16C" w14:textId="0DF91995" w:rsidR="000B1306" w:rsidRPr="000B1306" w:rsidRDefault="000B1306" w:rsidP="000B1306">
      <w:pPr>
        <w:pStyle w:val="ListParagraph"/>
        <w:numPr>
          <w:ilvl w:val="2"/>
          <w:numId w:val="37"/>
        </w:numPr>
        <w:spacing w:before="160" w:after="120"/>
        <w:jc w:val="both"/>
        <w:rPr>
          <w:rFonts w:ascii="Arial" w:hAnsi="Arial" w:cs="Arial"/>
        </w:rPr>
      </w:pPr>
      <w:r w:rsidRPr="000B1306">
        <w:rPr>
          <w:rFonts w:ascii="Arial" w:hAnsi="Arial" w:cs="Arial"/>
          <w:sz w:val="22"/>
          <w:szCs w:val="22"/>
        </w:rPr>
        <w:t>Molecular Mechanisms of Artificial Nitrogen Fixation</w:t>
      </w:r>
    </w:p>
    <w:p w14:paraId="35467487" w14:textId="77777777" w:rsidR="000B1306" w:rsidRPr="000B1306" w:rsidRDefault="000B1306" w:rsidP="000B1306">
      <w:pPr>
        <w:ind w:firstLine="567"/>
        <w:jc w:val="both"/>
        <w:rPr>
          <w:rFonts w:ascii="Arial" w:hAnsi="Arial" w:cs="Arial"/>
        </w:rPr>
      </w:pPr>
      <w:r w:rsidRPr="000B1306">
        <w:rPr>
          <w:rFonts w:ascii="Arial" w:hAnsi="Arial" w:cs="Arial"/>
        </w:rPr>
        <w:t>Artificial nitrogen fixation provides an alternative to biological nitrogen fixation by utilizing molecular catalysts to convert atmospheric nitrogen (N</w:t>
      </w:r>
      <w:r w:rsidRPr="000B1306">
        <w:rPr>
          <w:rFonts w:ascii="Cambria Math" w:hAnsi="Cambria Math" w:cs="Cambria Math"/>
        </w:rPr>
        <w:t>₂</w:t>
      </w:r>
      <w:r w:rsidRPr="000B1306">
        <w:rPr>
          <w:rFonts w:ascii="Arial" w:hAnsi="Arial" w:cs="Arial"/>
        </w:rPr>
        <w:t>) into ammonia (NH</w:t>
      </w:r>
      <w:r w:rsidRPr="000B1306">
        <w:rPr>
          <w:rFonts w:ascii="Cambria Math" w:hAnsi="Cambria Math" w:cs="Cambria Math"/>
        </w:rPr>
        <w:t>₃</w:t>
      </w:r>
      <w:r w:rsidRPr="000B1306">
        <w:rPr>
          <w:rFonts w:ascii="Arial" w:hAnsi="Arial" w:cs="Arial"/>
        </w:rPr>
        <w:t xml:space="preserve">) under mild conditions. This approach seeks to reduce dependence on the Haber-Bosch process, which is energy-intensive and environmentally detrimental. Recent advances in transition metal catalysis have enabled the development of molecular catalysts that facilitate nitrogen reduction at ambient conditions, improving efficiency and sustainability (Tanabe &amp; Nishibayashi, 2021). One of the key mechanisms in artificial nitrogen fixation is proton-coupled electron transfer, in which nitrogen reduction occurs through a stepwise hydrogenation process. By carefully controlling the supply of protons and electrons, researchers have enhanced catalytic efficiency, achieving turnover frequencies comparable to biological nitrogen fixation (Roux et al., 2017). </w:t>
      </w:r>
    </w:p>
    <w:p w14:paraId="1AF3AE8B" w14:textId="77777777" w:rsidR="00B05D08" w:rsidRPr="00B05D08" w:rsidRDefault="00B05D08" w:rsidP="00B05D08">
      <w:pPr>
        <w:ind w:firstLine="567"/>
        <w:jc w:val="both"/>
        <w:rPr>
          <w:rFonts w:ascii="Arial" w:hAnsi="Arial" w:cs="Arial"/>
        </w:rPr>
      </w:pPr>
      <w:r w:rsidRPr="00B05D08">
        <w:rPr>
          <w:rFonts w:ascii="Arial" w:hAnsi="Arial" w:cs="Arial"/>
        </w:rPr>
        <w:t>Recent innovations in catalyst design have notably enhanced the selectivity of chemical reactions, significantly advancing artificial nitrogen fixation to replicate natural enzymatic processes. Recent work highlights the potential of novel catalysts, such as those described by Zhang et al. (Zhang et al., 2024), which enable efficient nitrogen fixation at ambient conditions through a unique mechanism involving water radical cations, distinct from traditional metal-catalyzed methods. This capability to operate under milder conditions addresses historical challenges in artificial nitrogen fixation, which often required extreme temperatures and pressures (Tanaka et al., 2014).</w:t>
      </w:r>
    </w:p>
    <w:p w14:paraId="177035E5" w14:textId="3E389D69" w:rsidR="000B1306" w:rsidRPr="000B1306" w:rsidRDefault="00B05D08" w:rsidP="00B05D08">
      <w:pPr>
        <w:ind w:firstLine="567"/>
        <w:jc w:val="both"/>
        <w:rPr>
          <w:rFonts w:ascii="Arial" w:hAnsi="Arial" w:cs="Arial"/>
        </w:rPr>
      </w:pPr>
      <w:r w:rsidRPr="00B05D08">
        <w:rPr>
          <w:rFonts w:ascii="Arial" w:hAnsi="Arial" w:cs="Arial"/>
        </w:rPr>
        <w:t xml:space="preserve">Despite these advancements, the efficiency of artificial nitrogen fixation continues to lag behind biological systems, especially those utilizing nitrogenases which facilitate natural nitrogen fixation under near-ambient conditions (e.g., temperatures below 40 °C) without the extensive energy demands of synthetic processes such as the Haber-Bosch method (Hu et al., 2024). Progress has been made in mitigating these shortcomings, particularly through the design of transition metal complexes that exhibit enhanced catalytic activity, as seen in studies </w:t>
      </w:r>
      <w:r w:rsidRPr="00B05D08">
        <w:rPr>
          <w:rFonts w:ascii="Arial" w:hAnsi="Arial" w:cs="Arial"/>
        </w:rPr>
        <w:lastRenderedPageBreak/>
        <w:t>involving molybdenum and iron-based complexes that have shown potential in ammonia synthesis at ambient conditions (Liu et al., 2023;</w:t>
      </w:r>
      <w:r>
        <w:rPr>
          <w:rFonts w:ascii="Arial" w:hAnsi="Arial" w:cs="Arial"/>
        </w:rPr>
        <w:t xml:space="preserve"> </w:t>
      </w:r>
      <w:r w:rsidRPr="00B05D08">
        <w:rPr>
          <w:rFonts w:ascii="Arial" w:hAnsi="Arial" w:cs="Arial"/>
        </w:rPr>
        <w:t>Strandgaard et al., 2023). For instance, single-atom catalysts derived from transition metals supported on TiO2 have been identified as effective for photocatalytic nitrogen fixation, as discussed in Ding et al. (Li et al., 2022), where modifications that yield better electronic interactions improved nitrogen adsorption and activation.</w:t>
      </w:r>
      <w:r>
        <w:rPr>
          <w:rFonts w:ascii="Arial" w:hAnsi="Arial" w:cs="Arial"/>
        </w:rPr>
        <w:t xml:space="preserve"> </w:t>
      </w:r>
      <w:r w:rsidR="000B1306" w:rsidRPr="000B1306">
        <w:rPr>
          <w:rFonts w:ascii="Arial" w:hAnsi="Arial" w:cs="Arial"/>
        </w:rPr>
        <w:t>Additionally, while nitrogenase enzymes in biological systems have evolved over billions of years to perform nitrogen fixation with remarkable efficiency, synthetic catalysts remain in early stages of optimization (Marino &amp; Sperotto, 2022).</w:t>
      </w:r>
    </w:p>
    <w:p w14:paraId="3A02BA03" w14:textId="77777777" w:rsidR="000B1306" w:rsidRPr="000B1306" w:rsidRDefault="000B1306" w:rsidP="000B1306">
      <w:pPr>
        <w:spacing w:after="120"/>
        <w:ind w:firstLine="567"/>
        <w:jc w:val="both"/>
        <w:rPr>
          <w:rFonts w:ascii="Arial" w:hAnsi="Arial" w:cs="Arial"/>
        </w:rPr>
      </w:pPr>
      <w:r w:rsidRPr="000B1306">
        <w:rPr>
          <w:rFonts w:ascii="Arial" w:hAnsi="Arial" w:cs="Arial"/>
        </w:rPr>
        <w:t>The future of artificial nitrogen fixation lies in refining catalyst efficiency, reducing energy inputs, and integrating sustainable practices into agricultural applications. A combined approach that leverages both synthetic biology and artificial catalysis may hold the key to achieving efficient, low-energy nitrogen fixation for sustainable crop production.</w:t>
      </w:r>
    </w:p>
    <w:p w14:paraId="179CA082" w14:textId="03FD8500" w:rsidR="000B1306" w:rsidRPr="000B1306" w:rsidRDefault="000B1306" w:rsidP="000B1306">
      <w:pPr>
        <w:pStyle w:val="ListParagraph"/>
        <w:numPr>
          <w:ilvl w:val="0"/>
          <w:numId w:val="32"/>
        </w:numPr>
        <w:spacing w:after="120"/>
        <w:jc w:val="both"/>
        <w:rPr>
          <w:rFonts w:ascii="Arial" w:hAnsi="Arial" w:cs="Arial"/>
          <w:sz w:val="22"/>
          <w:szCs w:val="22"/>
        </w:rPr>
      </w:pPr>
      <w:r w:rsidRPr="000B1306">
        <w:rPr>
          <w:rFonts w:ascii="Arial" w:hAnsi="Arial" w:cs="Arial"/>
          <w:b/>
          <w:bCs/>
          <w:sz w:val="22"/>
          <w:szCs w:val="22"/>
        </w:rPr>
        <w:t>Extreme Environment Adaptations</w:t>
      </w:r>
    </w:p>
    <w:p w14:paraId="6EC64E07" w14:textId="0FD0396F" w:rsidR="000B1306" w:rsidRPr="000B1306" w:rsidRDefault="000B1306" w:rsidP="000B1306">
      <w:pPr>
        <w:pStyle w:val="ListParagraph"/>
        <w:numPr>
          <w:ilvl w:val="1"/>
          <w:numId w:val="32"/>
        </w:numPr>
        <w:spacing w:after="120"/>
        <w:jc w:val="both"/>
        <w:rPr>
          <w:rFonts w:ascii="Arial" w:hAnsi="Arial" w:cs="Arial"/>
          <w:sz w:val="22"/>
          <w:szCs w:val="22"/>
        </w:rPr>
      </w:pPr>
      <w:r w:rsidRPr="000B1306">
        <w:rPr>
          <w:rFonts w:ascii="Arial" w:hAnsi="Arial" w:cs="Arial"/>
          <w:sz w:val="22"/>
          <w:szCs w:val="22"/>
        </w:rPr>
        <w:t>Nitrogen Fixation in Challenging Ecosystems</w:t>
      </w:r>
    </w:p>
    <w:p w14:paraId="48AC423A" w14:textId="77777777" w:rsidR="000B1306" w:rsidRPr="000B1306" w:rsidRDefault="000B1306" w:rsidP="000B1306">
      <w:pPr>
        <w:jc w:val="both"/>
        <w:rPr>
          <w:rFonts w:ascii="Arial" w:hAnsi="Arial" w:cs="Arial"/>
        </w:rPr>
      </w:pPr>
      <w:r w:rsidRPr="000B1306">
        <w:rPr>
          <w:rFonts w:ascii="Arial" w:hAnsi="Arial" w:cs="Arial"/>
        </w:rPr>
        <w:t xml:space="preserve">Extreme environments such as deserts, polar regions, and high-altitude ecosystems pose significant challenges to biological nitrogen fixation. In </w:t>
      </w:r>
      <w:proofErr w:type="spellStart"/>
      <w:r w:rsidRPr="000B1306">
        <w:rPr>
          <w:rFonts w:ascii="Arial" w:hAnsi="Arial" w:cs="Arial"/>
        </w:rPr>
        <w:t>hyperarid</w:t>
      </w:r>
      <w:proofErr w:type="spellEnd"/>
      <w:r w:rsidRPr="000B1306">
        <w:rPr>
          <w:rFonts w:ascii="Arial" w:hAnsi="Arial" w:cs="Arial"/>
        </w:rPr>
        <w:t xml:space="preserve"> deserts, diazotrophic microorganisms must endure high temperatures, limited moisture, and nutrient-poor soils. Certain strains of Azotobacter and cyanobacteria have evolved protective mechanisms such as exopolysaccharide production and desiccation resistance, which enable them to persist and fix nitrogen under these extreme conditions (Lima et al., 2024).</w:t>
      </w:r>
    </w:p>
    <w:p w14:paraId="1E39732A" w14:textId="0E765114" w:rsidR="000B1306" w:rsidRPr="000B1306" w:rsidRDefault="000B1306" w:rsidP="000B1306">
      <w:pPr>
        <w:spacing w:after="120"/>
        <w:jc w:val="both"/>
        <w:rPr>
          <w:rFonts w:ascii="Arial" w:hAnsi="Arial" w:cs="Arial"/>
          <w:b/>
          <w:bCs/>
        </w:rPr>
      </w:pPr>
      <w:r w:rsidRPr="000B1306">
        <w:rPr>
          <w:rFonts w:ascii="Arial" w:hAnsi="Arial" w:cs="Arial"/>
          <w:b/>
          <w:bCs/>
          <w:noProof/>
        </w:rPr>
        <w:drawing>
          <wp:inline distT="0" distB="0" distL="0" distR="0" wp14:anchorId="238D0DCE" wp14:editId="04976EF5">
            <wp:extent cx="5194300" cy="3569970"/>
            <wp:effectExtent l="0" t="0" r="0" b="0"/>
            <wp:docPr id="1917908719" name="Picture 5" descr="A diagram of a plant life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08719" name="Picture 5" descr="A diagram of a plant life cycl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94300" cy="3569970"/>
                    </a:xfrm>
                    <a:prstGeom prst="rect">
                      <a:avLst/>
                    </a:prstGeom>
                  </pic:spPr>
                </pic:pic>
              </a:graphicData>
            </a:graphic>
          </wp:inline>
        </w:drawing>
      </w:r>
      <w:r w:rsidRPr="000B1306">
        <w:rPr>
          <w:rFonts w:ascii="Arial" w:hAnsi="Arial" w:cs="Arial"/>
          <w:b/>
          <w:bCs/>
        </w:rPr>
        <w:t xml:space="preserve">Fig. </w:t>
      </w:r>
      <w:r w:rsidR="00253726">
        <w:rPr>
          <w:rFonts w:ascii="Arial" w:hAnsi="Arial" w:cs="Arial"/>
          <w:b/>
          <w:bCs/>
        </w:rPr>
        <w:t>6</w:t>
      </w:r>
      <w:r w:rsidRPr="000B1306">
        <w:rPr>
          <w:rFonts w:ascii="Arial" w:hAnsi="Arial" w:cs="Arial"/>
          <w:b/>
          <w:bCs/>
        </w:rPr>
        <w:t>.</w:t>
      </w:r>
      <w:r w:rsidRPr="000B1306">
        <w:rPr>
          <w:rFonts w:ascii="Arial" w:hAnsi="Arial" w:cs="Arial"/>
        </w:rPr>
        <w:t xml:space="preserve"> Nitrogen Fixation in Stressful </w:t>
      </w:r>
      <w:proofErr w:type="spellStart"/>
      <w:r w:rsidRPr="000B1306">
        <w:rPr>
          <w:rFonts w:ascii="Arial" w:hAnsi="Arial" w:cs="Arial"/>
        </w:rPr>
        <w:t>Agroecologies</w:t>
      </w:r>
      <w:proofErr w:type="spellEnd"/>
    </w:p>
    <w:p w14:paraId="44940CD4" w14:textId="77777777" w:rsidR="000B1306" w:rsidRPr="000B1306" w:rsidRDefault="000B1306" w:rsidP="000B1306">
      <w:pPr>
        <w:ind w:firstLine="567"/>
        <w:jc w:val="both"/>
        <w:rPr>
          <w:rFonts w:ascii="Arial" w:hAnsi="Arial" w:cs="Arial"/>
        </w:rPr>
      </w:pPr>
      <w:r w:rsidRPr="000B1306">
        <w:rPr>
          <w:rFonts w:ascii="Arial" w:hAnsi="Arial" w:cs="Arial"/>
        </w:rPr>
        <w:t>In polar ecosystems, psychrophilic diazotrophs contribute to nitrogen inputs in soils that experience freeze-thaw cycles and limited growing seasons. Cold-tolerant strains have been isolated from Arctic and Antarctic soils, where they maintain metabolic activity at subzero temperatures and contribute to the limited nitrogen supply supporting mosses and lichens (Lima et al., 2024).</w:t>
      </w:r>
    </w:p>
    <w:p w14:paraId="36CAF7B1" w14:textId="224823D9" w:rsidR="000B1306" w:rsidRPr="000B1306" w:rsidRDefault="000B1306" w:rsidP="007E63FB">
      <w:pPr>
        <w:spacing w:after="120"/>
        <w:ind w:firstLine="567"/>
        <w:jc w:val="both"/>
        <w:rPr>
          <w:rFonts w:ascii="Arial" w:hAnsi="Arial" w:cs="Arial"/>
        </w:rPr>
      </w:pPr>
      <w:r w:rsidRPr="000B1306">
        <w:rPr>
          <w:rFonts w:ascii="Arial" w:hAnsi="Arial" w:cs="Arial"/>
        </w:rPr>
        <w:lastRenderedPageBreak/>
        <w:t>High-altitude environments, such as those in the Himalayas or Andes, present unique challenges including low oxygen pressure and high UV radiation. Nitrogen-fixing microorganisms adapted to these areas often exhibit specialized metabolic pathways and increased antioxidant defenses. The discovery of endemic diazotrophs in these regions underscores the resilience and adaptability of nitrogen-fixing systems under extreme abiotic stress (Abd-</w:t>
      </w:r>
      <w:proofErr w:type="spellStart"/>
      <w:r w:rsidRPr="000B1306">
        <w:rPr>
          <w:rFonts w:ascii="Arial" w:hAnsi="Arial" w:cs="Arial"/>
        </w:rPr>
        <w:t>Alla</w:t>
      </w:r>
      <w:proofErr w:type="spellEnd"/>
      <w:r w:rsidRPr="000B1306">
        <w:rPr>
          <w:rFonts w:ascii="Arial" w:hAnsi="Arial" w:cs="Arial"/>
        </w:rPr>
        <w:t xml:space="preserve"> et al., 2023).</w:t>
      </w:r>
    </w:p>
    <w:p w14:paraId="77DEA707" w14:textId="77777777" w:rsidR="007E63FB" w:rsidRPr="007E63FB" w:rsidRDefault="007E63FB" w:rsidP="007E63FB">
      <w:pPr>
        <w:jc w:val="both"/>
        <w:rPr>
          <w:rFonts w:ascii="Arial" w:hAnsi="Arial" w:cs="Arial"/>
        </w:rPr>
      </w:pPr>
      <w:r w:rsidRPr="007E63FB">
        <w:rPr>
          <w:rFonts w:ascii="Arial" w:hAnsi="Arial" w:cs="Arial"/>
          <w:b/>
          <w:bCs/>
          <w:color w:val="000000" w:themeColor="text1"/>
        </w:rPr>
        <w:t>Table 4. Diazotrophic Microbes in Extreme Conditions</w:t>
      </w:r>
    </w:p>
    <w:tbl>
      <w:tblPr>
        <w:tblStyle w:val="Style1"/>
        <w:tblW w:w="0" w:type="auto"/>
        <w:tblLook w:val="04A0" w:firstRow="1" w:lastRow="0" w:firstColumn="1" w:lastColumn="0" w:noHBand="0" w:noVBand="1"/>
      </w:tblPr>
      <w:tblGrid>
        <w:gridCol w:w="1532"/>
        <w:gridCol w:w="1703"/>
        <w:gridCol w:w="1667"/>
        <w:gridCol w:w="1523"/>
        <w:gridCol w:w="1783"/>
      </w:tblGrid>
      <w:tr w:rsidR="007E63FB" w:rsidRPr="007E63FB" w14:paraId="7B44DB0C" w14:textId="77777777" w:rsidTr="009165F7">
        <w:trPr>
          <w:cnfStyle w:val="100000000000" w:firstRow="1" w:lastRow="0" w:firstColumn="0" w:lastColumn="0" w:oddVBand="0" w:evenVBand="0" w:oddHBand="0" w:evenHBand="0" w:firstRowFirstColumn="0" w:firstRowLastColumn="0" w:lastRowFirstColumn="0" w:lastRowLastColumn="0"/>
        </w:trPr>
        <w:tc>
          <w:tcPr>
            <w:tcW w:w="1870" w:type="dxa"/>
          </w:tcPr>
          <w:p w14:paraId="33BAAF0E" w14:textId="77777777" w:rsidR="007E63FB" w:rsidRPr="007E63FB" w:rsidRDefault="007E63FB" w:rsidP="007E63FB">
            <w:pPr>
              <w:jc w:val="center"/>
              <w:rPr>
                <w:rFonts w:ascii="Arial" w:hAnsi="Arial" w:cs="Arial"/>
                <w:b/>
                <w:bCs/>
                <w:sz w:val="18"/>
                <w:szCs w:val="18"/>
              </w:rPr>
            </w:pPr>
            <w:r w:rsidRPr="007E63FB">
              <w:rPr>
                <w:rFonts w:ascii="Arial" w:hAnsi="Arial" w:cs="Arial"/>
                <w:b/>
                <w:bCs/>
              </w:rPr>
              <w:t>Stress Type</w:t>
            </w:r>
          </w:p>
        </w:tc>
        <w:tc>
          <w:tcPr>
            <w:tcW w:w="1870" w:type="dxa"/>
          </w:tcPr>
          <w:p w14:paraId="1BDA7B23" w14:textId="77777777" w:rsidR="007E63FB" w:rsidRPr="007E63FB" w:rsidRDefault="007E63FB" w:rsidP="007E63FB">
            <w:pPr>
              <w:jc w:val="center"/>
              <w:rPr>
                <w:rFonts w:ascii="Arial" w:hAnsi="Arial" w:cs="Arial"/>
                <w:b/>
                <w:bCs/>
                <w:sz w:val="18"/>
                <w:szCs w:val="18"/>
              </w:rPr>
            </w:pPr>
            <w:r w:rsidRPr="007E63FB">
              <w:rPr>
                <w:rFonts w:ascii="Arial" w:hAnsi="Arial" w:cs="Arial"/>
                <w:b/>
                <w:bCs/>
              </w:rPr>
              <w:t>Microbial Species</w:t>
            </w:r>
          </w:p>
        </w:tc>
        <w:tc>
          <w:tcPr>
            <w:tcW w:w="1870" w:type="dxa"/>
          </w:tcPr>
          <w:p w14:paraId="27B2B965" w14:textId="77777777" w:rsidR="007E63FB" w:rsidRPr="007E63FB" w:rsidRDefault="007E63FB" w:rsidP="007E63FB">
            <w:pPr>
              <w:jc w:val="center"/>
              <w:rPr>
                <w:rFonts w:ascii="Arial" w:hAnsi="Arial" w:cs="Arial"/>
                <w:b/>
                <w:bCs/>
                <w:sz w:val="18"/>
                <w:szCs w:val="18"/>
              </w:rPr>
            </w:pPr>
            <w:r w:rsidRPr="007E63FB">
              <w:rPr>
                <w:rFonts w:ascii="Arial" w:hAnsi="Arial" w:cs="Arial"/>
                <w:b/>
                <w:bCs/>
              </w:rPr>
              <w:t>Mechanism of Adaptation</w:t>
            </w:r>
          </w:p>
        </w:tc>
        <w:tc>
          <w:tcPr>
            <w:tcW w:w="1870" w:type="dxa"/>
          </w:tcPr>
          <w:p w14:paraId="0E7F1CB4" w14:textId="77777777" w:rsidR="007E63FB" w:rsidRPr="007E63FB" w:rsidRDefault="007E63FB" w:rsidP="007E63FB">
            <w:pPr>
              <w:jc w:val="center"/>
              <w:rPr>
                <w:rFonts w:ascii="Arial" w:hAnsi="Arial" w:cs="Arial"/>
                <w:b/>
                <w:bCs/>
                <w:sz w:val="18"/>
                <w:szCs w:val="18"/>
              </w:rPr>
            </w:pPr>
            <w:r w:rsidRPr="007E63FB">
              <w:rPr>
                <w:rFonts w:ascii="Arial" w:hAnsi="Arial" w:cs="Arial"/>
                <w:b/>
                <w:bCs/>
              </w:rPr>
              <w:t>Host Crops</w:t>
            </w:r>
          </w:p>
        </w:tc>
        <w:tc>
          <w:tcPr>
            <w:tcW w:w="1870" w:type="dxa"/>
          </w:tcPr>
          <w:p w14:paraId="3D7CE408" w14:textId="77777777" w:rsidR="007E63FB" w:rsidRPr="007E63FB" w:rsidRDefault="007E63FB" w:rsidP="007E63FB">
            <w:pPr>
              <w:jc w:val="center"/>
              <w:rPr>
                <w:rFonts w:ascii="Arial" w:hAnsi="Arial" w:cs="Arial"/>
                <w:b/>
                <w:bCs/>
                <w:sz w:val="18"/>
                <w:szCs w:val="18"/>
              </w:rPr>
            </w:pPr>
            <w:r w:rsidRPr="007E63FB">
              <w:rPr>
                <w:rFonts w:ascii="Arial" w:hAnsi="Arial" w:cs="Arial"/>
                <w:b/>
                <w:bCs/>
              </w:rPr>
              <w:t>Region/Source</w:t>
            </w:r>
          </w:p>
        </w:tc>
      </w:tr>
      <w:tr w:rsidR="007E63FB" w:rsidRPr="007E63FB" w14:paraId="267BCDE6" w14:textId="77777777" w:rsidTr="009165F7">
        <w:tc>
          <w:tcPr>
            <w:tcW w:w="1870" w:type="dxa"/>
          </w:tcPr>
          <w:p w14:paraId="1B945AE4" w14:textId="77777777" w:rsidR="007E63FB" w:rsidRPr="007E63FB" w:rsidRDefault="007E63FB" w:rsidP="007E63FB">
            <w:pPr>
              <w:jc w:val="both"/>
              <w:rPr>
                <w:rFonts w:ascii="Arial" w:hAnsi="Arial" w:cs="Arial"/>
                <w:sz w:val="18"/>
                <w:szCs w:val="18"/>
              </w:rPr>
            </w:pPr>
            <w:r w:rsidRPr="007E63FB">
              <w:rPr>
                <w:rFonts w:ascii="Arial" w:hAnsi="Arial" w:cs="Arial"/>
              </w:rPr>
              <w:t>Drought</w:t>
            </w:r>
          </w:p>
        </w:tc>
        <w:tc>
          <w:tcPr>
            <w:tcW w:w="1870" w:type="dxa"/>
          </w:tcPr>
          <w:p w14:paraId="256F964D" w14:textId="77777777" w:rsidR="007E63FB" w:rsidRPr="007E63FB" w:rsidRDefault="007E63FB" w:rsidP="007E63FB">
            <w:pPr>
              <w:jc w:val="both"/>
              <w:rPr>
                <w:rFonts w:ascii="Arial" w:hAnsi="Arial" w:cs="Arial"/>
                <w:sz w:val="18"/>
                <w:szCs w:val="18"/>
              </w:rPr>
            </w:pPr>
            <w:proofErr w:type="spellStart"/>
            <w:r w:rsidRPr="007E63FB">
              <w:rPr>
                <w:rFonts w:ascii="Arial" w:hAnsi="Arial" w:cs="Arial"/>
              </w:rPr>
              <w:t>Azotobacter</w:t>
            </w:r>
            <w:proofErr w:type="spellEnd"/>
            <w:r w:rsidRPr="007E63FB">
              <w:rPr>
                <w:rFonts w:ascii="Arial" w:hAnsi="Arial" w:cs="Arial"/>
              </w:rPr>
              <w:t xml:space="preserve"> </w:t>
            </w:r>
            <w:proofErr w:type="spellStart"/>
            <w:r w:rsidRPr="007E63FB">
              <w:rPr>
                <w:rFonts w:ascii="Arial" w:hAnsi="Arial" w:cs="Arial"/>
              </w:rPr>
              <w:t>chroococcum</w:t>
            </w:r>
            <w:proofErr w:type="spellEnd"/>
          </w:p>
        </w:tc>
        <w:tc>
          <w:tcPr>
            <w:tcW w:w="1870" w:type="dxa"/>
          </w:tcPr>
          <w:p w14:paraId="44E5C7A9" w14:textId="77777777" w:rsidR="007E63FB" w:rsidRPr="007E63FB" w:rsidRDefault="007E63FB" w:rsidP="007E63FB">
            <w:pPr>
              <w:jc w:val="both"/>
              <w:rPr>
                <w:rFonts w:ascii="Arial" w:hAnsi="Arial" w:cs="Arial"/>
                <w:sz w:val="18"/>
                <w:szCs w:val="18"/>
              </w:rPr>
            </w:pPr>
            <w:r w:rsidRPr="007E63FB">
              <w:rPr>
                <w:rFonts w:ascii="Arial" w:hAnsi="Arial" w:cs="Arial"/>
              </w:rPr>
              <w:t>EPS production</w:t>
            </w:r>
          </w:p>
        </w:tc>
        <w:tc>
          <w:tcPr>
            <w:tcW w:w="1870" w:type="dxa"/>
          </w:tcPr>
          <w:p w14:paraId="3E29875F" w14:textId="77777777" w:rsidR="007E63FB" w:rsidRPr="007E63FB" w:rsidRDefault="007E63FB" w:rsidP="007E63FB">
            <w:pPr>
              <w:jc w:val="both"/>
              <w:rPr>
                <w:rFonts w:ascii="Arial" w:hAnsi="Arial" w:cs="Arial"/>
                <w:sz w:val="18"/>
                <w:szCs w:val="18"/>
              </w:rPr>
            </w:pPr>
            <w:r w:rsidRPr="007E63FB">
              <w:rPr>
                <w:rFonts w:ascii="Arial" w:hAnsi="Arial" w:cs="Arial"/>
              </w:rPr>
              <w:t>Millet</w:t>
            </w:r>
          </w:p>
        </w:tc>
        <w:tc>
          <w:tcPr>
            <w:tcW w:w="1870" w:type="dxa"/>
          </w:tcPr>
          <w:p w14:paraId="5A3B0D58" w14:textId="77777777" w:rsidR="007E63FB" w:rsidRPr="007E63FB" w:rsidRDefault="007E63FB" w:rsidP="007E63FB">
            <w:pPr>
              <w:jc w:val="both"/>
              <w:rPr>
                <w:rFonts w:ascii="Arial" w:hAnsi="Arial" w:cs="Arial"/>
                <w:sz w:val="18"/>
                <w:szCs w:val="18"/>
              </w:rPr>
            </w:pPr>
            <w:r w:rsidRPr="007E63FB">
              <w:rPr>
                <w:rFonts w:ascii="Arial" w:hAnsi="Arial" w:cs="Arial"/>
              </w:rPr>
              <w:t>Arid zones</w:t>
            </w:r>
          </w:p>
        </w:tc>
      </w:tr>
      <w:tr w:rsidR="007E63FB" w:rsidRPr="007E63FB" w14:paraId="5107A586" w14:textId="77777777" w:rsidTr="009165F7">
        <w:tc>
          <w:tcPr>
            <w:tcW w:w="1870" w:type="dxa"/>
          </w:tcPr>
          <w:p w14:paraId="7696BDBA" w14:textId="77777777" w:rsidR="007E63FB" w:rsidRPr="007E63FB" w:rsidRDefault="007E63FB" w:rsidP="007E63FB">
            <w:pPr>
              <w:jc w:val="both"/>
              <w:rPr>
                <w:rFonts w:ascii="Arial" w:hAnsi="Arial" w:cs="Arial"/>
                <w:sz w:val="18"/>
                <w:szCs w:val="18"/>
              </w:rPr>
            </w:pPr>
            <w:r w:rsidRPr="007E63FB">
              <w:rPr>
                <w:rFonts w:ascii="Arial" w:hAnsi="Arial" w:cs="Arial"/>
              </w:rPr>
              <w:t>Cold</w:t>
            </w:r>
          </w:p>
        </w:tc>
        <w:tc>
          <w:tcPr>
            <w:tcW w:w="1870" w:type="dxa"/>
          </w:tcPr>
          <w:p w14:paraId="0FF98C39" w14:textId="77777777" w:rsidR="007E63FB" w:rsidRPr="007E63FB" w:rsidRDefault="007E63FB" w:rsidP="007E63FB">
            <w:pPr>
              <w:jc w:val="both"/>
              <w:rPr>
                <w:rFonts w:ascii="Arial" w:hAnsi="Arial" w:cs="Arial"/>
                <w:sz w:val="18"/>
                <w:szCs w:val="18"/>
              </w:rPr>
            </w:pPr>
            <w:r w:rsidRPr="007E63FB">
              <w:rPr>
                <w:rFonts w:ascii="Arial" w:hAnsi="Arial" w:cs="Arial"/>
              </w:rPr>
              <w:t>Psychrophilic bacteria</w:t>
            </w:r>
          </w:p>
        </w:tc>
        <w:tc>
          <w:tcPr>
            <w:tcW w:w="1870" w:type="dxa"/>
          </w:tcPr>
          <w:p w14:paraId="73851FBA" w14:textId="77777777" w:rsidR="007E63FB" w:rsidRPr="007E63FB" w:rsidRDefault="007E63FB" w:rsidP="007E63FB">
            <w:pPr>
              <w:jc w:val="both"/>
              <w:rPr>
                <w:rFonts w:ascii="Arial" w:hAnsi="Arial" w:cs="Arial"/>
                <w:sz w:val="18"/>
                <w:szCs w:val="18"/>
              </w:rPr>
            </w:pPr>
            <w:r w:rsidRPr="007E63FB">
              <w:rPr>
                <w:rFonts w:ascii="Arial" w:hAnsi="Arial" w:cs="Arial"/>
              </w:rPr>
              <w:t>Cold enzymes</w:t>
            </w:r>
          </w:p>
        </w:tc>
        <w:tc>
          <w:tcPr>
            <w:tcW w:w="1870" w:type="dxa"/>
          </w:tcPr>
          <w:p w14:paraId="551F052D" w14:textId="77777777" w:rsidR="007E63FB" w:rsidRPr="007E63FB" w:rsidRDefault="007E63FB" w:rsidP="007E63FB">
            <w:pPr>
              <w:jc w:val="both"/>
              <w:rPr>
                <w:rFonts w:ascii="Arial" w:hAnsi="Arial" w:cs="Arial"/>
                <w:sz w:val="18"/>
                <w:szCs w:val="18"/>
              </w:rPr>
            </w:pPr>
            <w:r w:rsidRPr="007E63FB">
              <w:rPr>
                <w:rFonts w:ascii="Arial" w:hAnsi="Arial" w:cs="Arial"/>
              </w:rPr>
              <w:t>Mosses</w:t>
            </w:r>
          </w:p>
        </w:tc>
        <w:tc>
          <w:tcPr>
            <w:tcW w:w="1870" w:type="dxa"/>
          </w:tcPr>
          <w:p w14:paraId="22166AB0" w14:textId="77777777" w:rsidR="007E63FB" w:rsidRPr="007E63FB" w:rsidRDefault="007E63FB" w:rsidP="007E63FB">
            <w:pPr>
              <w:jc w:val="both"/>
              <w:rPr>
                <w:rFonts w:ascii="Arial" w:hAnsi="Arial" w:cs="Arial"/>
                <w:sz w:val="18"/>
                <w:szCs w:val="18"/>
              </w:rPr>
            </w:pPr>
            <w:r w:rsidRPr="007E63FB">
              <w:rPr>
                <w:rFonts w:ascii="Arial" w:hAnsi="Arial" w:cs="Arial"/>
              </w:rPr>
              <w:t>Polar soils</w:t>
            </w:r>
          </w:p>
        </w:tc>
      </w:tr>
    </w:tbl>
    <w:p w14:paraId="4E42CF17" w14:textId="64D85368" w:rsidR="007E63FB" w:rsidRDefault="007E63FB" w:rsidP="00441B6F">
      <w:pPr>
        <w:pStyle w:val="Body"/>
        <w:spacing w:after="0"/>
        <w:rPr>
          <w:rFonts w:ascii="Arial" w:hAnsi="Arial" w:cs="Arial"/>
        </w:rPr>
      </w:pPr>
    </w:p>
    <w:p w14:paraId="7AF26285" w14:textId="4AA707A7" w:rsidR="007E63FB" w:rsidRPr="009165F7" w:rsidRDefault="007E63FB" w:rsidP="009165F7">
      <w:pPr>
        <w:pStyle w:val="ListParagraph"/>
        <w:numPr>
          <w:ilvl w:val="1"/>
          <w:numId w:val="32"/>
        </w:numPr>
        <w:spacing w:after="120"/>
        <w:jc w:val="both"/>
        <w:rPr>
          <w:rFonts w:ascii="Arial" w:hAnsi="Arial" w:cs="Arial"/>
        </w:rPr>
      </w:pPr>
      <w:r w:rsidRPr="009165F7">
        <w:rPr>
          <w:rFonts w:ascii="Arial" w:hAnsi="Arial" w:cs="Arial"/>
          <w:sz w:val="22"/>
          <w:szCs w:val="22"/>
        </w:rPr>
        <w:t>Novel Organism Discovery</w:t>
      </w:r>
    </w:p>
    <w:p w14:paraId="08103C52" w14:textId="77777777" w:rsidR="00FB6148" w:rsidRPr="009165F7" w:rsidRDefault="007E63FB" w:rsidP="009165F7">
      <w:pPr>
        <w:ind w:firstLine="567"/>
        <w:jc w:val="both"/>
        <w:rPr>
          <w:rFonts w:ascii="Arial" w:hAnsi="Arial" w:cs="Arial"/>
        </w:rPr>
      </w:pPr>
      <w:r w:rsidRPr="009165F7">
        <w:rPr>
          <w:rFonts w:ascii="Arial" w:hAnsi="Arial" w:cs="Arial"/>
        </w:rPr>
        <w:t>Advancements in metagenomics and microbial ecology have facilitated the discovery of unconventional nitrogen-fixing organisms across diverse ecosystems. Novel diazotrophs have been identified in geothermal vents, acidic peatlands, and nutrient-depleted savannahs, expanding our understanding of the ecological niches where nitrogen fixation occurs (Lima et al., 2024).</w:t>
      </w:r>
    </w:p>
    <w:p w14:paraId="4848C042" w14:textId="77777777" w:rsidR="00FB6148" w:rsidRPr="009165F7" w:rsidRDefault="007E63FB" w:rsidP="009165F7">
      <w:pPr>
        <w:ind w:firstLine="567"/>
        <w:jc w:val="both"/>
        <w:rPr>
          <w:rFonts w:ascii="Arial" w:hAnsi="Arial" w:cs="Arial"/>
        </w:rPr>
      </w:pPr>
      <w:r w:rsidRPr="009165F7">
        <w:rPr>
          <w:rFonts w:ascii="Arial" w:hAnsi="Arial" w:cs="Arial"/>
        </w:rPr>
        <w:t xml:space="preserve">Endophytic bacteria with nitrogen-fixing capabilities represent another frontier in biological nitrogen research. These organisms colonize plant tissues without causing harm and can contribute to plant nitrogen acquisition without the need for root nodules. Endophytes such as </w:t>
      </w:r>
      <w:proofErr w:type="spellStart"/>
      <w:r w:rsidRPr="009165F7">
        <w:rPr>
          <w:rFonts w:ascii="Arial" w:hAnsi="Arial" w:cs="Arial"/>
        </w:rPr>
        <w:t>Herbaspirillum</w:t>
      </w:r>
      <w:proofErr w:type="spellEnd"/>
      <w:r w:rsidRPr="009165F7">
        <w:rPr>
          <w:rFonts w:ascii="Arial" w:hAnsi="Arial" w:cs="Arial"/>
        </w:rPr>
        <w:t xml:space="preserve"> and </w:t>
      </w:r>
      <w:proofErr w:type="spellStart"/>
      <w:r w:rsidRPr="009165F7">
        <w:rPr>
          <w:rFonts w:ascii="Arial" w:hAnsi="Arial" w:cs="Arial"/>
        </w:rPr>
        <w:t>Gluconacetobacter</w:t>
      </w:r>
      <w:proofErr w:type="spellEnd"/>
      <w:r w:rsidRPr="009165F7">
        <w:rPr>
          <w:rFonts w:ascii="Arial" w:hAnsi="Arial" w:cs="Arial"/>
        </w:rPr>
        <w:t xml:space="preserve"> have demonstrated the ability to enhance growth and stress tolerance in cereals and other non-leguminous crops (Sharma et al., 2023).</w:t>
      </w:r>
    </w:p>
    <w:p w14:paraId="4D2C2444" w14:textId="548AA72B" w:rsidR="007E63FB" w:rsidRPr="009165F7" w:rsidRDefault="007E63FB" w:rsidP="009165F7">
      <w:pPr>
        <w:ind w:firstLine="567"/>
        <w:jc w:val="both"/>
        <w:rPr>
          <w:rFonts w:ascii="Arial" w:hAnsi="Arial" w:cs="Arial"/>
        </w:rPr>
      </w:pPr>
      <w:r w:rsidRPr="009165F7">
        <w:rPr>
          <w:rFonts w:ascii="Arial" w:hAnsi="Arial" w:cs="Arial"/>
        </w:rPr>
        <w:t xml:space="preserve">Marine and aquatic systems also host nitrogen-fixing microorganisms, including cyanobacteria such as </w:t>
      </w:r>
      <w:proofErr w:type="spellStart"/>
      <w:r w:rsidRPr="009165F7">
        <w:rPr>
          <w:rFonts w:ascii="Arial" w:hAnsi="Arial" w:cs="Arial"/>
        </w:rPr>
        <w:t>Trichodesmium</w:t>
      </w:r>
      <w:proofErr w:type="spellEnd"/>
      <w:r w:rsidRPr="009165F7">
        <w:rPr>
          <w:rFonts w:ascii="Arial" w:hAnsi="Arial" w:cs="Arial"/>
        </w:rPr>
        <w:t xml:space="preserve"> and heterotrophic bacteria in oxygen-minimum zones. However, many marine diazotrophs remain poorly characterized, and their contributions to nitrogen cycling under climate change scenarios require further investigation.</w:t>
      </w:r>
    </w:p>
    <w:p w14:paraId="3178230A" w14:textId="561A5CB1" w:rsidR="007E63FB" w:rsidRPr="009165F7" w:rsidRDefault="007E63FB" w:rsidP="009165F7">
      <w:pPr>
        <w:pStyle w:val="ListParagraph"/>
        <w:numPr>
          <w:ilvl w:val="1"/>
          <w:numId w:val="32"/>
        </w:numPr>
        <w:spacing w:before="120" w:after="120"/>
        <w:jc w:val="both"/>
        <w:rPr>
          <w:rFonts w:ascii="Arial" w:hAnsi="Arial" w:cs="Arial"/>
          <w:sz w:val="22"/>
          <w:szCs w:val="22"/>
        </w:rPr>
      </w:pPr>
      <w:r w:rsidRPr="009165F7">
        <w:rPr>
          <w:rFonts w:ascii="Arial" w:hAnsi="Arial" w:cs="Arial"/>
          <w:sz w:val="22"/>
          <w:szCs w:val="22"/>
        </w:rPr>
        <w:t>Holistic Systems Integration (Ecosystem-Scale Nitrogen Management and Climate-Smart Agriculture)</w:t>
      </w:r>
    </w:p>
    <w:p w14:paraId="08930614" w14:textId="77777777" w:rsidR="00FB6148" w:rsidRPr="009165F7" w:rsidRDefault="007E63FB" w:rsidP="009165F7">
      <w:pPr>
        <w:ind w:firstLine="567"/>
        <w:jc w:val="both"/>
        <w:rPr>
          <w:rFonts w:ascii="Arial" w:hAnsi="Arial" w:cs="Arial"/>
        </w:rPr>
      </w:pPr>
      <w:r w:rsidRPr="009165F7">
        <w:rPr>
          <w:rFonts w:ascii="Arial" w:hAnsi="Arial" w:cs="Arial"/>
        </w:rPr>
        <w:t>Sustainable nitrogen fixation must be embedded within climate-smart agricultural systems that enhance productivity, resilience, and mitigation. Integrated approaches combine cover cropping, conservation tillage, and crop rotations to enhance soil fertility and biological nitrogen input (Abd-</w:t>
      </w:r>
      <w:proofErr w:type="spellStart"/>
      <w:r w:rsidRPr="009165F7">
        <w:rPr>
          <w:rFonts w:ascii="Arial" w:hAnsi="Arial" w:cs="Arial"/>
        </w:rPr>
        <w:t>Alla</w:t>
      </w:r>
      <w:proofErr w:type="spellEnd"/>
      <w:r w:rsidRPr="009165F7">
        <w:rPr>
          <w:rFonts w:ascii="Arial" w:hAnsi="Arial" w:cs="Arial"/>
        </w:rPr>
        <w:t xml:space="preserve"> et al., 2023). Landscape-level planning incorporates natural buffers and agroforestry to minimize nitrogen runoff and promote ecosystem services (</w:t>
      </w:r>
      <w:proofErr w:type="spellStart"/>
      <w:r w:rsidRPr="009165F7">
        <w:rPr>
          <w:rFonts w:ascii="Arial" w:hAnsi="Arial" w:cs="Arial"/>
        </w:rPr>
        <w:t>Hallin</w:t>
      </w:r>
      <w:proofErr w:type="spellEnd"/>
      <w:r w:rsidRPr="009165F7">
        <w:rPr>
          <w:rFonts w:ascii="Arial" w:hAnsi="Arial" w:cs="Arial"/>
        </w:rPr>
        <w:t xml:space="preserve"> &amp; </w:t>
      </w:r>
      <w:proofErr w:type="spellStart"/>
      <w:r w:rsidRPr="009165F7">
        <w:rPr>
          <w:rFonts w:ascii="Arial" w:hAnsi="Arial" w:cs="Arial"/>
        </w:rPr>
        <w:t>Saghaï</w:t>
      </w:r>
      <w:proofErr w:type="spellEnd"/>
      <w:r w:rsidRPr="009165F7">
        <w:rPr>
          <w:rFonts w:ascii="Arial" w:hAnsi="Arial" w:cs="Arial"/>
        </w:rPr>
        <w:t>, 2023).</w:t>
      </w:r>
    </w:p>
    <w:p w14:paraId="1BD6387C" w14:textId="4BC23AC2" w:rsidR="007E63FB" w:rsidRPr="009165F7" w:rsidRDefault="007E63FB" w:rsidP="009165F7">
      <w:pPr>
        <w:spacing w:after="120"/>
        <w:ind w:firstLine="567"/>
        <w:jc w:val="both"/>
        <w:rPr>
          <w:rFonts w:ascii="Arial" w:hAnsi="Arial" w:cs="Arial"/>
        </w:rPr>
      </w:pPr>
      <w:r w:rsidRPr="009165F7">
        <w:rPr>
          <w:rFonts w:ascii="Arial" w:hAnsi="Arial" w:cs="Arial"/>
        </w:rPr>
        <w:t>Circular strategies, such as composting and wastewater treatment for nutrient recovery, close nitrogen loops and support long-term soil health (Ye et al., 2021). Policymaking plays a pivotal role, with incentives for reduced fertilizer use and support for legume integration into cropping systems (Pascual et al., 2024). Nonetheless, translating holistic frameworks into scalable practices requires interdisciplinary research, stakeholder engagement, and robust policy support.</w:t>
      </w:r>
    </w:p>
    <w:p w14:paraId="0441A552" w14:textId="6BFFB84F" w:rsidR="007E63FB" w:rsidRPr="009165F7" w:rsidRDefault="007E63FB" w:rsidP="009165F7">
      <w:pPr>
        <w:pStyle w:val="ListParagraph"/>
        <w:numPr>
          <w:ilvl w:val="0"/>
          <w:numId w:val="32"/>
        </w:numPr>
        <w:jc w:val="both"/>
        <w:rPr>
          <w:rFonts w:ascii="Arial" w:hAnsi="Arial" w:cs="Arial"/>
          <w:b/>
          <w:bCs/>
          <w:sz w:val="22"/>
          <w:szCs w:val="22"/>
        </w:rPr>
      </w:pPr>
      <w:r w:rsidRPr="009165F7">
        <w:rPr>
          <w:rFonts w:ascii="Arial" w:hAnsi="Arial" w:cs="Arial"/>
          <w:b/>
          <w:bCs/>
          <w:sz w:val="22"/>
          <w:szCs w:val="22"/>
        </w:rPr>
        <w:t>Holistic Systems Integration</w:t>
      </w:r>
    </w:p>
    <w:p w14:paraId="0F12A3AD" w14:textId="77777777" w:rsidR="00FB6148" w:rsidRPr="009165F7" w:rsidRDefault="007E63FB" w:rsidP="009165F7">
      <w:pPr>
        <w:pStyle w:val="ListParagraph"/>
        <w:numPr>
          <w:ilvl w:val="1"/>
          <w:numId w:val="32"/>
        </w:numPr>
        <w:spacing w:after="120"/>
        <w:jc w:val="both"/>
        <w:rPr>
          <w:rFonts w:ascii="Arial" w:hAnsi="Arial" w:cs="Arial"/>
        </w:rPr>
      </w:pPr>
      <w:r w:rsidRPr="009165F7">
        <w:rPr>
          <w:rFonts w:ascii="Arial" w:hAnsi="Arial" w:cs="Arial"/>
        </w:rPr>
        <w:t>Circular Economy Approaches</w:t>
      </w:r>
    </w:p>
    <w:p w14:paraId="57C7836E" w14:textId="77777777" w:rsidR="00FB6148" w:rsidRPr="009165F7" w:rsidRDefault="007E63FB" w:rsidP="009165F7">
      <w:pPr>
        <w:ind w:firstLine="567"/>
        <w:jc w:val="both"/>
        <w:rPr>
          <w:rFonts w:ascii="Arial" w:hAnsi="Arial" w:cs="Arial"/>
          <w:i/>
          <w:iCs/>
        </w:rPr>
      </w:pPr>
      <w:r w:rsidRPr="009165F7">
        <w:rPr>
          <w:rFonts w:ascii="Arial" w:hAnsi="Arial" w:cs="Arial"/>
        </w:rPr>
        <w:t xml:space="preserve">The integration of nitrogen fixation within circular economy frameworks is essential for enhancing nutrient sustainability, ecological restoration, and climate resilience in agriculture. Circular systems emphasize nutrient recycling and reduced reliance on synthetic inputs, where nitrogen-fixing processes can serve as central components. In integrated farming systems, </w:t>
      </w:r>
      <w:r w:rsidRPr="009165F7">
        <w:rPr>
          <w:rFonts w:ascii="Arial" w:hAnsi="Arial" w:cs="Arial"/>
        </w:rPr>
        <w:lastRenderedPageBreak/>
        <w:t>the inclusion of legumes through crop rotation or intercropping significantly enhances biological nitrogen inputs while supporting soil fertility and reducing chemical fertilizer dependency (Abd-</w:t>
      </w:r>
      <w:proofErr w:type="spellStart"/>
      <w:r w:rsidRPr="009165F7">
        <w:rPr>
          <w:rFonts w:ascii="Arial" w:hAnsi="Arial" w:cs="Arial"/>
        </w:rPr>
        <w:t>Alla</w:t>
      </w:r>
      <w:proofErr w:type="spellEnd"/>
      <w:r w:rsidRPr="009165F7">
        <w:rPr>
          <w:rFonts w:ascii="Arial" w:hAnsi="Arial" w:cs="Arial"/>
        </w:rPr>
        <w:t xml:space="preserve"> et al., 2023).</w:t>
      </w:r>
    </w:p>
    <w:p w14:paraId="2EEB44DB" w14:textId="77777777" w:rsidR="00FB6148" w:rsidRPr="009165F7" w:rsidRDefault="007E63FB" w:rsidP="009165F7">
      <w:pPr>
        <w:ind w:firstLine="567"/>
        <w:jc w:val="both"/>
        <w:rPr>
          <w:rFonts w:ascii="Arial" w:hAnsi="Arial" w:cs="Arial"/>
        </w:rPr>
      </w:pPr>
      <w:r w:rsidRPr="009165F7">
        <w:rPr>
          <w:rFonts w:ascii="Arial" w:hAnsi="Arial" w:cs="Arial"/>
        </w:rPr>
        <w:t>Furthermore, biological nitrogen fixation (BNF) contributes to simultaneous carbon sequestration by promoting vegetative growth and stimulating root exudates that support microbial activity and soil organic matter accumulation. The synergy between nitrogen fixation and carbon cycling has been shown to enhance soil carbon stocks, particularly when nitrogen-fixing legumes are integrated with conservation practices like minimal tillage and organic mulching (Pascual et al., 2024).</w:t>
      </w:r>
    </w:p>
    <w:p w14:paraId="67170CD0" w14:textId="77777777" w:rsidR="00FB6148" w:rsidRPr="009165F7" w:rsidRDefault="007E63FB" w:rsidP="009165F7">
      <w:pPr>
        <w:ind w:firstLine="567"/>
        <w:jc w:val="both"/>
        <w:rPr>
          <w:rFonts w:ascii="Arial" w:hAnsi="Arial" w:cs="Arial"/>
        </w:rPr>
      </w:pPr>
      <w:r w:rsidRPr="009165F7">
        <w:rPr>
          <w:rFonts w:ascii="Arial" w:hAnsi="Arial" w:cs="Arial"/>
        </w:rPr>
        <w:t>Water management practices are also intricately linked to effective BNF and broader agroecosystem health. For example, the use of cover crops and residue retention conserves soil moisture, which supports microbial activity, including nitrogen-fixing bacteria. Additionally, nitrogen-fixing crops help buffer ecosystems against water stress by enhancing root zone hydrology and improving infiltration rates (</w:t>
      </w:r>
      <w:proofErr w:type="spellStart"/>
      <w:r w:rsidRPr="009165F7">
        <w:rPr>
          <w:rFonts w:ascii="Arial" w:hAnsi="Arial" w:cs="Arial"/>
        </w:rPr>
        <w:t>Hallin</w:t>
      </w:r>
      <w:proofErr w:type="spellEnd"/>
      <w:r w:rsidRPr="009165F7">
        <w:rPr>
          <w:rFonts w:ascii="Arial" w:hAnsi="Arial" w:cs="Arial"/>
        </w:rPr>
        <w:t xml:space="preserve"> &amp; </w:t>
      </w:r>
      <w:proofErr w:type="spellStart"/>
      <w:r w:rsidRPr="009165F7">
        <w:rPr>
          <w:rFonts w:ascii="Arial" w:hAnsi="Arial" w:cs="Arial"/>
        </w:rPr>
        <w:t>Saghaï</w:t>
      </w:r>
      <w:proofErr w:type="spellEnd"/>
      <w:r w:rsidRPr="009165F7">
        <w:rPr>
          <w:rFonts w:ascii="Arial" w:hAnsi="Arial" w:cs="Arial"/>
        </w:rPr>
        <w:t>, 2023). Integrating nitrogen fixation with biodiversity conservation through polyculture and agroforestry systems also fosters ecological resilience, enhances pollinator activity, and reduces pest pressure—all of which are key to sustainable intensification (</w:t>
      </w:r>
      <w:proofErr w:type="spellStart"/>
      <w:r w:rsidRPr="009165F7">
        <w:rPr>
          <w:rFonts w:ascii="Arial" w:hAnsi="Arial" w:cs="Arial"/>
        </w:rPr>
        <w:t>Viancelli</w:t>
      </w:r>
      <w:proofErr w:type="spellEnd"/>
      <w:r w:rsidRPr="009165F7">
        <w:rPr>
          <w:rFonts w:ascii="Arial" w:hAnsi="Arial" w:cs="Arial"/>
        </w:rPr>
        <w:t xml:space="preserve"> &amp; </w:t>
      </w:r>
      <w:proofErr w:type="spellStart"/>
      <w:r w:rsidRPr="009165F7">
        <w:rPr>
          <w:rFonts w:ascii="Arial" w:hAnsi="Arial" w:cs="Arial"/>
        </w:rPr>
        <w:t>Michelon</w:t>
      </w:r>
      <w:proofErr w:type="spellEnd"/>
      <w:r w:rsidRPr="009165F7">
        <w:rPr>
          <w:rFonts w:ascii="Arial" w:hAnsi="Arial" w:cs="Arial"/>
        </w:rPr>
        <w:t>, 2024).</w:t>
      </w:r>
    </w:p>
    <w:p w14:paraId="75754D60" w14:textId="77777777" w:rsidR="00FB6148" w:rsidRPr="009165F7" w:rsidRDefault="00FB6148" w:rsidP="009165F7">
      <w:pPr>
        <w:ind w:firstLine="567"/>
        <w:jc w:val="both"/>
        <w:rPr>
          <w:rFonts w:ascii="Arial" w:hAnsi="Arial" w:cs="Arial"/>
        </w:rPr>
      </w:pPr>
      <w:r w:rsidRPr="009165F7">
        <w:rPr>
          <w:rFonts w:ascii="Arial" w:hAnsi="Arial" w:cs="Arial"/>
        </w:rPr>
        <w:t xml:space="preserve">Though </w:t>
      </w:r>
      <w:r w:rsidR="007E63FB" w:rsidRPr="009165F7">
        <w:rPr>
          <w:rFonts w:ascii="Arial" w:hAnsi="Arial" w:cs="Arial"/>
        </w:rPr>
        <w:t>the promise of circular approaches, operationalizing them at scale remains a challenge. Constraints such as labor requirements, knowledge gaps, and the lack of integrated market and policy support continue to limit adoption. Research must therefore focus on evaluating the long-term benefits of BNF within circular systems and identifying context-specific strategies to maximize co-benefits.</w:t>
      </w:r>
    </w:p>
    <w:p w14:paraId="70C6ED79" w14:textId="3CF930EB" w:rsidR="007E63FB" w:rsidRPr="009165F7" w:rsidRDefault="007E63FB" w:rsidP="009165F7">
      <w:pPr>
        <w:pStyle w:val="ListParagraph"/>
        <w:numPr>
          <w:ilvl w:val="1"/>
          <w:numId w:val="32"/>
        </w:numPr>
        <w:spacing w:before="120" w:after="120"/>
        <w:jc w:val="both"/>
        <w:rPr>
          <w:rFonts w:ascii="Arial" w:hAnsi="Arial" w:cs="Arial"/>
          <w:sz w:val="22"/>
          <w:szCs w:val="22"/>
        </w:rPr>
      </w:pPr>
      <w:r w:rsidRPr="009165F7">
        <w:rPr>
          <w:rFonts w:ascii="Arial" w:hAnsi="Arial" w:cs="Arial"/>
          <w:sz w:val="22"/>
          <w:szCs w:val="22"/>
        </w:rPr>
        <w:t>Ecosystem-Level Nitrogen Management</w:t>
      </w:r>
    </w:p>
    <w:p w14:paraId="32EABCE2" w14:textId="77777777" w:rsidR="00FB6148" w:rsidRPr="009165F7" w:rsidRDefault="007E63FB" w:rsidP="009165F7">
      <w:pPr>
        <w:ind w:firstLine="567"/>
        <w:jc w:val="both"/>
        <w:rPr>
          <w:rFonts w:ascii="Arial" w:hAnsi="Arial" w:cs="Arial"/>
        </w:rPr>
      </w:pPr>
      <w:r w:rsidRPr="009165F7">
        <w:rPr>
          <w:rFonts w:ascii="Arial" w:hAnsi="Arial" w:cs="Arial"/>
        </w:rPr>
        <w:t>Ecosystem-level nitrogen management expands the scope of nutrient stewardship from individual fields to entire landscapes, emphasizing the interactions among natural and agricultural systems. This approach views nitrogen fixation not as an isolated input but as part of a dynamic nitrogen cycle involving plant uptake, microbial transformations, atmospheric losses, and hydrological transport (</w:t>
      </w:r>
      <w:proofErr w:type="spellStart"/>
      <w:r w:rsidRPr="009165F7">
        <w:rPr>
          <w:rFonts w:ascii="Arial" w:hAnsi="Arial" w:cs="Arial"/>
        </w:rPr>
        <w:t>Viancelli</w:t>
      </w:r>
      <w:proofErr w:type="spellEnd"/>
      <w:r w:rsidRPr="009165F7">
        <w:rPr>
          <w:rFonts w:ascii="Arial" w:hAnsi="Arial" w:cs="Arial"/>
        </w:rPr>
        <w:t xml:space="preserve"> &amp; </w:t>
      </w:r>
      <w:proofErr w:type="spellStart"/>
      <w:r w:rsidRPr="009165F7">
        <w:rPr>
          <w:rFonts w:ascii="Arial" w:hAnsi="Arial" w:cs="Arial"/>
        </w:rPr>
        <w:t>Michelon</w:t>
      </w:r>
      <w:proofErr w:type="spellEnd"/>
      <w:r w:rsidRPr="009165F7">
        <w:rPr>
          <w:rFonts w:ascii="Arial" w:hAnsi="Arial" w:cs="Arial"/>
        </w:rPr>
        <w:t>, 2024). Understanding and managing these interactions is crucial for minimizing nitrogen leakage into water bodies and the atmosphere while maintaining soil fertility.</w:t>
      </w:r>
    </w:p>
    <w:p w14:paraId="3ECCD5D1" w14:textId="77777777" w:rsidR="00FB6148" w:rsidRPr="009165F7" w:rsidRDefault="007E63FB" w:rsidP="009165F7">
      <w:pPr>
        <w:ind w:firstLine="567"/>
        <w:jc w:val="both"/>
        <w:rPr>
          <w:rFonts w:ascii="Arial" w:hAnsi="Arial" w:cs="Arial"/>
        </w:rPr>
      </w:pPr>
      <w:r w:rsidRPr="009165F7">
        <w:rPr>
          <w:rFonts w:ascii="Arial" w:hAnsi="Arial" w:cs="Arial"/>
        </w:rPr>
        <w:t>One key strategy involves leveraging natural landscape features—such as riparian buffers, hedgerows, wetlands, and forested strips—to intercept nitrogen runoff and facilitate retention through biological processes. These multifunctional elements not only reduce nitrate leaching but also enhance biodiversity and carbon sequestration, creating a suite of ecosystem services (Ye et al., 2021). For example, leguminous trees in agroforestry systems contribute nitrogen inputs while providing shade, erosion control, and habitat for beneficial organisms.</w:t>
      </w:r>
    </w:p>
    <w:p w14:paraId="2762EE27" w14:textId="77777777" w:rsidR="00FB6148" w:rsidRPr="009165F7" w:rsidRDefault="007E63FB" w:rsidP="009165F7">
      <w:pPr>
        <w:ind w:firstLine="567"/>
        <w:jc w:val="both"/>
        <w:rPr>
          <w:rFonts w:ascii="Arial" w:hAnsi="Arial" w:cs="Arial"/>
        </w:rPr>
      </w:pPr>
      <w:r w:rsidRPr="009165F7">
        <w:rPr>
          <w:rFonts w:ascii="Arial" w:hAnsi="Arial" w:cs="Arial"/>
        </w:rPr>
        <w:t>Resilience through systemic approaches is further reinforced by agroecological principles such as crop diversification, perennial cropping, and low-disturbance farming. When integrated with biological nitrogen fixation, these practices stabilize nitrogen inputs, improve nutrient cycling, and buffer systems against climate extremes (Pascual et al., 2024). Importantly, ecosystem-level management also supports socio-ecological resilience by reducing reliance on external nitrogen inputs and fostering local nutrient self-sufficiency.</w:t>
      </w:r>
    </w:p>
    <w:p w14:paraId="08AF56EB" w14:textId="5922CEC3" w:rsidR="007E63FB" w:rsidRPr="009165F7" w:rsidRDefault="007E63FB" w:rsidP="009165F7">
      <w:pPr>
        <w:spacing w:after="120"/>
        <w:ind w:firstLine="567"/>
        <w:jc w:val="both"/>
        <w:rPr>
          <w:rFonts w:ascii="Arial" w:hAnsi="Arial" w:cs="Arial"/>
        </w:rPr>
      </w:pPr>
      <w:r w:rsidRPr="009165F7">
        <w:rPr>
          <w:rFonts w:ascii="Arial" w:hAnsi="Arial" w:cs="Arial"/>
        </w:rPr>
        <w:t>However, achieving effective nitrogen management at this scale requires cross-sectoral coordination, spatial planning, and long-term ecological monitoring. Institutional frameworks must support landscape-level planning with tools such as nitrogen mass balances, ecosystem modeling, and participatory governance. Current research gaps include quantifying the cumulative impacts of nitrogen fixation practices on landscape nitrogen budgets and identifying synergies with water, biodiversity, and carbon management.</w:t>
      </w:r>
    </w:p>
    <w:p w14:paraId="49A62553" w14:textId="0E6BA167" w:rsidR="007E63FB" w:rsidRPr="009165F7" w:rsidRDefault="007E63FB" w:rsidP="009165F7">
      <w:pPr>
        <w:pStyle w:val="ListParagraph"/>
        <w:numPr>
          <w:ilvl w:val="0"/>
          <w:numId w:val="32"/>
        </w:numPr>
        <w:jc w:val="both"/>
        <w:rPr>
          <w:rFonts w:ascii="Arial" w:hAnsi="Arial" w:cs="Arial"/>
          <w:b/>
          <w:bCs/>
          <w:sz w:val="22"/>
          <w:szCs w:val="22"/>
        </w:rPr>
      </w:pPr>
      <w:r w:rsidRPr="009165F7">
        <w:rPr>
          <w:rFonts w:ascii="Arial" w:hAnsi="Arial" w:cs="Arial"/>
          <w:b/>
          <w:bCs/>
          <w:sz w:val="22"/>
          <w:szCs w:val="22"/>
        </w:rPr>
        <w:t>Technological and Economic Implications</w:t>
      </w:r>
    </w:p>
    <w:p w14:paraId="05F2C496" w14:textId="2D5C37DD" w:rsidR="007E63FB" w:rsidRPr="009165F7" w:rsidRDefault="007E63FB" w:rsidP="009165F7">
      <w:pPr>
        <w:pStyle w:val="ListParagraph"/>
        <w:numPr>
          <w:ilvl w:val="1"/>
          <w:numId w:val="32"/>
        </w:numPr>
        <w:spacing w:after="120"/>
        <w:jc w:val="both"/>
        <w:rPr>
          <w:rFonts w:ascii="Arial" w:hAnsi="Arial" w:cs="Arial"/>
          <w:sz w:val="22"/>
          <w:szCs w:val="22"/>
        </w:rPr>
      </w:pPr>
      <w:r w:rsidRPr="009165F7">
        <w:rPr>
          <w:rFonts w:ascii="Arial" w:hAnsi="Arial" w:cs="Arial"/>
          <w:sz w:val="22"/>
          <w:szCs w:val="22"/>
        </w:rPr>
        <w:t>Scalability Challenges</w:t>
      </w:r>
    </w:p>
    <w:p w14:paraId="17B54A25" w14:textId="77777777" w:rsidR="009165F7" w:rsidRPr="009165F7" w:rsidRDefault="007E63FB" w:rsidP="009165F7">
      <w:pPr>
        <w:ind w:firstLine="567"/>
        <w:jc w:val="both"/>
        <w:rPr>
          <w:rFonts w:ascii="Arial" w:hAnsi="Arial" w:cs="Arial"/>
        </w:rPr>
      </w:pPr>
      <w:r w:rsidRPr="009165F7">
        <w:rPr>
          <w:rFonts w:ascii="Arial" w:hAnsi="Arial" w:cs="Arial"/>
        </w:rPr>
        <w:lastRenderedPageBreak/>
        <w:t>While innovations in biological nitrogen fixation (BNF), synthetic biology, and digital agriculture hold great promise, their real-world impact depends on scalability and economic feasibility. Many novel approaches—such as CRISPR-edited microbial inoculants, AI-driven nitrogen management tools, and nanoscale fertilizers—remain limited to research or pilot-scale applications due to high development costs, infrastructure requirements, and uncertain returns on investment (Das et al., 2024; Saini &amp; Devi, 2022). Technologies that demand high capital or specialized equipment may be inaccessible to smallholder farmers, especially in low-income regions where nitrogen mismanagement is often most acute.</w:t>
      </w:r>
    </w:p>
    <w:p w14:paraId="0A129CCE" w14:textId="77777777" w:rsidR="009165F7" w:rsidRPr="009165F7" w:rsidRDefault="007E63FB" w:rsidP="009165F7">
      <w:pPr>
        <w:ind w:firstLine="567"/>
        <w:jc w:val="both"/>
        <w:rPr>
          <w:rFonts w:ascii="Arial" w:hAnsi="Arial" w:cs="Arial"/>
        </w:rPr>
      </w:pPr>
      <w:r w:rsidRPr="009165F7">
        <w:rPr>
          <w:rFonts w:ascii="Arial" w:hAnsi="Arial" w:cs="Arial"/>
        </w:rPr>
        <w:t>Moreover, effective technology transfer mechanisms remain underdeveloped. Although public-private partnerships and agricultural extension systems have improved in some contexts, the diffusion of complex innovations such as microbial consortia or AI-based platforms still lags. Key barriers include the lack of localized field validation, absence of farmer training programs, and regulatory hurdles surrounding the use of genetically modified organisms and nanomaterials (</w:t>
      </w:r>
      <w:proofErr w:type="spellStart"/>
      <w:r w:rsidRPr="009165F7">
        <w:rPr>
          <w:rFonts w:ascii="Arial" w:hAnsi="Arial" w:cs="Arial"/>
        </w:rPr>
        <w:t>Nasiro</w:t>
      </w:r>
      <w:proofErr w:type="spellEnd"/>
      <w:r w:rsidRPr="009165F7">
        <w:rPr>
          <w:rFonts w:ascii="Arial" w:hAnsi="Arial" w:cs="Arial"/>
        </w:rPr>
        <w:t xml:space="preserve"> &amp; </w:t>
      </w:r>
      <w:proofErr w:type="spellStart"/>
      <w:r w:rsidRPr="009165F7">
        <w:rPr>
          <w:rFonts w:ascii="Arial" w:hAnsi="Arial" w:cs="Arial"/>
        </w:rPr>
        <w:t>Mohammednur</w:t>
      </w:r>
      <w:proofErr w:type="spellEnd"/>
      <w:r w:rsidRPr="009165F7">
        <w:rPr>
          <w:rFonts w:ascii="Arial" w:hAnsi="Arial" w:cs="Arial"/>
        </w:rPr>
        <w:t>, 2024). Intellectual property concerns and biosafety regulations also hinder the open sharing of microbial and digital technologies.</w:t>
      </w:r>
    </w:p>
    <w:p w14:paraId="43836C84" w14:textId="3010A83B" w:rsidR="007E63FB" w:rsidRPr="009165F7" w:rsidRDefault="007E63FB" w:rsidP="009165F7">
      <w:pPr>
        <w:spacing w:after="120"/>
        <w:ind w:firstLine="567"/>
        <w:jc w:val="both"/>
        <w:rPr>
          <w:rFonts w:ascii="Arial" w:hAnsi="Arial" w:cs="Arial"/>
        </w:rPr>
      </w:pPr>
      <w:r w:rsidRPr="009165F7">
        <w:rPr>
          <w:rFonts w:ascii="Arial" w:hAnsi="Arial" w:cs="Arial"/>
        </w:rPr>
        <w:t>Global agricultural adaptation strategies must therefore be tailored to socioeconomic and ecological contexts. For instance, while CRISPR-edited microbes may be viable in large-scale commercial farms with high input-output systems, resource-conserving techniques like legume intercropping and low-cost bioinoculants may offer more immediate benefits to smallholders (Abd-</w:t>
      </w:r>
      <w:proofErr w:type="spellStart"/>
      <w:r w:rsidRPr="009165F7">
        <w:rPr>
          <w:rFonts w:ascii="Arial" w:hAnsi="Arial" w:cs="Arial"/>
        </w:rPr>
        <w:t>Alla</w:t>
      </w:r>
      <w:proofErr w:type="spellEnd"/>
      <w:r w:rsidRPr="009165F7">
        <w:rPr>
          <w:rFonts w:ascii="Arial" w:hAnsi="Arial" w:cs="Arial"/>
        </w:rPr>
        <w:t xml:space="preserve"> et al., 2023). In this regard, participatory research models that engage farmers in innovation design and scaling are essential for overcoming technological inequities and enhancing local relevance (</w:t>
      </w:r>
      <w:proofErr w:type="spellStart"/>
      <w:r w:rsidRPr="009165F7">
        <w:rPr>
          <w:rFonts w:ascii="Arial" w:hAnsi="Arial" w:cs="Arial"/>
        </w:rPr>
        <w:t>Viancelli</w:t>
      </w:r>
      <w:proofErr w:type="spellEnd"/>
      <w:r w:rsidRPr="009165F7">
        <w:rPr>
          <w:rFonts w:ascii="Arial" w:hAnsi="Arial" w:cs="Arial"/>
        </w:rPr>
        <w:t xml:space="preserve"> &amp; </w:t>
      </w:r>
      <w:proofErr w:type="spellStart"/>
      <w:r w:rsidRPr="009165F7">
        <w:rPr>
          <w:rFonts w:ascii="Arial" w:hAnsi="Arial" w:cs="Arial"/>
        </w:rPr>
        <w:t>Michelon</w:t>
      </w:r>
      <w:proofErr w:type="spellEnd"/>
      <w:r w:rsidRPr="009165F7">
        <w:rPr>
          <w:rFonts w:ascii="Arial" w:hAnsi="Arial" w:cs="Arial"/>
        </w:rPr>
        <w:t>, 2024).</w:t>
      </w:r>
    </w:p>
    <w:p w14:paraId="13653EEE" w14:textId="5D5C3B6E" w:rsidR="009165F7" w:rsidRPr="009165F7" w:rsidRDefault="009165F7" w:rsidP="009165F7">
      <w:pPr>
        <w:rPr>
          <w:rFonts w:ascii="Arial" w:hAnsi="Arial" w:cs="Arial"/>
          <w:b/>
          <w:bCs/>
        </w:rPr>
      </w:pPr>
      <w:r w:rsidRPr="009165F7">
        <w:rPr>
          <w:rFonts w:ascii="Arial" w:hAnsi="Arial" w:cs="Arial"/>
          <w:b/>
          <w:bCs/>
        </w:rPr>
        <w:t xml:space="preserve">Table 5. Scalability and </w:t>
      </w:r>
      <w:r>
        <w:rPr>
          <w:rFonts w:ascii="Arial" w:hAnsi="Arial" w:cs="Arial"/>
          <w:b/>
          <w:bCs/>
        </w:rPr>
        <w:t>c</w:t>
      </w:r>
      <w:r w:rsidRPr="009165F7">
        <w:rPr>
          <w:rFonts w:ascii="Arial" w:hAnsi="Arial" w:cs="Arial"/>
          <w:b/>
          <w:bCs/>
        </w:rPr>
        <w:t xml:space="preserve">onstraints of </w:t>
      </w:r>
      <w:r>
        <w:rPr>
          <w:rFonts w:ascii="Arial" w:hAnsi="Arial" w:cs="Arial"/>
          <w:b/>
          <w:bCs/>
        </w:rPr>
        <w:t>n</w:t>
      </w:r>
      <w:r w:rsidRPr="009165F7">
        <w:rPr>
          <w:rFonts w:ascii="Arial" w:hAnsi="Arial" w:cs="Arial"/>
          <w:b/>
          <w:bCs/>
        </w:rPr>
        <w:t xml:space="preserve">itrogen </w:t>
      </w:r>
      <w:r>
        <w:rPr>
          <w:rFonts w:ascii="Arial" w:hAnsi="Arial" w:cs="Arial"/>
          <w:b/>
          <w:bCs/>
        </w:rPr>
        <w:t>f</w:t>
      </w:r>
      <w:r w:rsidRPr="009165F7">
        <w:rPr>
          <w:rFonts w:ascii="Arial" w:hAnsi="Arial" w:cs="Arial"/>
          <w:b/>
          <w:bCs/>
        </w:rPr>
        <w:t xml:space="preserve">ixation </w:t>
      </w:r>
      <w:r>
        <w:rPr>
          <w:rFonts w:ascii="Arial" w:hAnsi="Arial" w:cs="Arial"/>
          <w:b/>
          <w:bCs/>
        </w:rPr>
        <w:t>i</w:t>
      </w:r>
      <w:r w:rsidRPr="009165F7">
        <w:rPr>
          <w:rFonts w:ascii="Arial" w:hAnsi="Arial" w:cs="Arial"/>
          <w:b/>
          <w:bCs/>
        </w:rPr>
        <w:t>nnovations</w:t>
      </w:r>
    </w:p>
    <w:tbl>
      <w:tblPr>
        <w:tblStyle w:val="Style1"/>
        <w:tblW w:w="0" w:type="auto"/>
        <w:tblLook w:val="04A0" w:firstRow="1" w:lastRow="0" w:firstColumn="1" w:lastColumn="0" w:noHBand="0" w:noVBand="1"/>
      </w:tblPr>
      <w:tblGrid>
        <w:gridCol w:w="1499"/>
        <w:gridCol w:w="661"/>
        <w:gridCol w:w="1208"/>
        <w:gridCol w:w="1274"/>
        <w:gridCol w:w="1283"/>
        <w:gridCol w:w="2121"/>
      </w:tblGrid>
      <w:tr w:rsidR="008B5F3A" w:rsidRPr="008B5F3A" w14:paraId="4D519C85" w14:textId="77777777" w:rsidTr="008B5F3A">
        <w:trPr>
          <w:cnfStyle w:val="100000000000" w:firstRow="1" w:lastRow="0" w:firstColumn="0" w:lastColumn="0" w:oddVBand="0" w:evenVBand="0" w:oddHBand="0" w:evenHBand="0" w:firstRowFirstColumn="0" w:firstRowLastColumn="0" w:lastRowFirstColumn="0" w:lastRowLastColumn="0"/>
        </w:trPr>
        <w:tc>
          <w:tcPr>
            <w:tcW w:w="1499" w:type="dxa"/>
          </w:tcPr>
          <w:p w14:paraId="2E2BEC8E" w14:textId="77777777" w:rsidR="009165F7" w:rsidRPr="008B5F3A" w:rsidRDefault="009165F7" w:rsidP="008B5F3A">
            <w:pPr>
              <w:jc w:val="center"/>
              <w:rPr>
                <w:rFonts w:ascii="Arial" w:hAnsi="Arial" w:cs="Arial"/>
                <w:b/>
                <w:bCs/>
              </w:rPr>
            </w:pPr>
            <w:r w:rsidRPr="008B5F3A">
              <w:rPr>
                <w:rFonts w:ascii="Arial" w:hAnsi="Arial" w:cs="Arial"/>
                <w:b/>
                <w:bCs/>
              </w:rPr>
              <w:t>Innovation</w:t>
            </w:r>
          </w:p>
        </w:tc>
        <w:tc>
          <w:tcPr>
            <w:tcW w:w="661" w:type="dxa"/>
          </w:tcPr>
          <w:p w14:paraId="661ED0FC" w14:textId="77777777" w:rsidR="009165F7" w:rsidRPr="008B5F3A" w:rsidRDefault="009165F7" w:rsidP="008B5F3A">
            <w:pPr>
              <w:jc w:val="center"/>
              <w:rPr>
                <w:rFonts w:ascii="Arial" w:hAnsi="Arial" w:cs="Arial"/>
                <w:b/>
                <w:bCs/>
              </w:rPr>
            </w:pPr>
            <w:r w:rsidRPr="008B5F3A">
              <w:rPr>
                <w:rFonts w:ascii="Arial" w:hAnsi="Arial" w:cs="Arial"/>
                <w:b/>
                <w:bCs/>
              </w:rPr>
              <w:t>Cost</w:t>
            </w:r>
          </w:p>
        </w:tc>
        <w:tc>
          <w:tcPr>
            <w:tcW w:w="1208" w:type="dxa"/>
          </w:tcPr>
          <w:p w14:paraId="474445BD" w14:textId="77777777" w:rsidR="009165F7" w:rsidRPr="008B5F3A" w:rsidRDefault="009165F7" w:rsidP="008B5F3A">
            <w:pPr>
              <w:jc w:val="center"/>
              <w:rPr>
                <w:rFonts w:ascii="Arial" w:hAnsi="Arial" w:cs="Arial"/>
                <w:b/>
                <w:bCs/>
              </w:rPr>
            </w:pPr>
            <w:r w:rsidRPr="008B5F3A">
              <w:rPr>
                <w:rFonts w:ascii="Arial" w:hAnsi="Arial" w:cs="Arial"/>
                <w:b/>
                <w:bCs/>
              </w:rPr>
              <w:t>Scalability</w:t>
            </w:r>
          </w:p>
        </w:tc>
        <w:tc>
          <w:tcPr>
            <w:tcW w:w="1274" w:type="dxa"/>
          </w:tcPr>
          <w:p w14:paraId="2134369C" w14:textId="77777777" w:rsidR="009165F7" w:rsidRPr="008B5F3A" w:rsidRDefault="009165F7" w:rsidP="008B5F3A">
            <w:pPr>
              <w:jc w:val="center"/>
              <w:rPr>
                <w:rFonts w:ascii="Arial" w:hAnsi="Arial" w:cs="Arial"/>
                <w:b/>
                <w:bCs/>
              </w:rPr>
            </w:pPr>
            <w:r w:rsidRPr="008B5F3A">
              <w:rPr>
                <w:rFonts w:ascii="Arial" w:hAnsi="Arial" w:cs="Arial"/>
                <w:b/>
                <w:bCs/>
              </w:rPr>
              <w:t>Farmer Access</w:t>
            </w:r>
          </w:p>
        </w:tc>
        <w:tc>
          <w:tcPr>
            <w:tcW w:w="1283" w:type="dxa"/>
          </w:tcPr>
          <w:p w14:paraId="6B1FB511" w14:textId="77777777" w:rsidR="009165F7" w:rsidRPr="008B5F3A" w:rsidRDefault="009165F7" w:rsidP="008B5F3A">
            <w:pPr>
              <w:jc w:val="center"/>
              <w:rPr>
                <w:rFonts w:ascii="Arial" w:hAnsi="Arial" w:cs="Arial"/>
                <w:b/>
                <w:bCs/>
              </w:rPr>
            </w:pPr>
            <w:r w:rsidRPr="008B5F3A">
              <w:rPr>
                <w:rFonts w:ascii="Arial" w:hAnsi="Arial" w:cs="Arial"/>
                <w:b/>
                <w:bCs/>
              </w:rPr>
              <w:t>Regulatory Challenges</w:t>
            </w:r>
          </w:p>
        </w:tc>
        <w:tc>
          <w:tcPr>
            <w:tcW w:w="2121" w:type="dxa"/>
          </w:tcPr>
          <w:p w14:paraId="3A72486F" w14:textId="77777777" w:rsidR="009165F7" w:rsidRPr="008B5F3A" w:rsidRDefault="009165F7" w:rsidP="008B5F3A">
            <w:pPr>
              <w:jc w:val="center"/>
              <w:rPr>
                <w:rFonts w:ascii="Arial" w:hAnsi="Arial" w:cs="Arial"/>
                <w:b/>
                <w:bCs/>
              </w:rPr>
            </w:pPr>
            <w:r w:rsidRPr="008B5F3A">
              <w:rPr>
                <w:rFonts w:ascii="Arial" w:hAnsi="Arial" w:cs="Arial"/>
                <w:b/>
                <w:bCs/>
              </w:rPr>
              <w:t>Suggested Use Cases</w:t>
            </w:r>
          </w:p>
        </w:tc>
      </w:tr>
      <w:tr w:rsidR="008B5F3A" w:rsidRPr="009165F7" w14:paraId="4A0CB4B2" w14:textId="77777777" w:rsidTr="008B5F3A">
        <w:tc>
          <w:tcPr>
            <w:tcW w:w="1499" w:type="dxa"/>
          </w:tcPr>
          <w:p w14:paraId="4EEE7E1F" w14:textId="77777777" w:rsidR="009165F7" w:rsidRPr="009165F7" w:rsidRDefault="009165F7" w:rsidP="009165F7">
            <w:pPr>
              <w:jc w:val="both"/>
              <w:rPr>
                <w:rFonts w:ascii="Arial" w:hAnsi="Arial" w:cs="Arial"/>
              </w:rPr>
            </w:pPr>
            <w:r w:rsidRPr="009165F7">
              <w:rPr>
                <w:rFonts w:ascii="Arial" w:hAnsi="Arial" w:cs="Arial"/>
              </w:rPr>
              <w:t>CRISPR Microbes</w:t>
            </w:r>
          </w:p>
        </w:tc>
        <w:tc>
          <w:tcPr>
            <w:tcW w:w="661" w:type="dxa"/>
          </w:tcPr>
          <w:p w14:paraId="2E694301" w14:textId="77777777" w:rsidR="009165F7" w:rsidRPr="009165F7" w:rsidRDefault="009165F7" w:rsidP="009165F7">
            <w:pPr>
              <w:jc w:val="both"/>
              <w:rPr>
                <w:rFonts w:ascii="Arial" w:hAnsi="Arial" w:cs="Arial"/>
              </w:rPr>
            </w:pPr>
            <w:r w:rsidRPr="009165F7">
              <w:rPr>
                <w:rFonts w:ascii="Arial" w:hAnsi="Arial" w:cs="Arial"/>
              </w:rPr>
              <w:t>High</w:t>
            </w:r>
          </w:p>
        </w:tc>
        <w:tc>
          <w:tcPr>
            <w:tcW w:w="1208" w:type="dxa"/>
          </w:tcPr>
          <w:p w14:paraId="173C4BBE" w14:textId="77777777" w:rsidR="009165F7" w:rsidRPr="009165F7" w:rsidRDefault="009165F7" w:rsidP="009165F7">
            <w:pPr>
              <w:jc w:val="both"/>
              <w:rPr>
                <w:rFonts w:ascii="Arial" w:hAnsi="Arial" w:cs="Arial"/>
              </w:rPr>
            </w:pPr>
            <w:r w:rsidRPr="009165F7">
              <w:rPr>
                <w:rFonts w:ascii="Arial" w:hAnsi="Arial" w:cs="Arial"/>
              </w:rPr>
              <w:t>Moderate</w:t>
            </w:r>
          </w:p>
        </w:tc>
        <w:tc>
          <w:tcPr>
            <w:tcW w:w="1274" w:type="dxa"/>
          </w:tcPr>
          <w:p w14:paraId="7F326B59" w14:textId="77777777" w:rsidR="009165F7" w:rsidRPr="009165F7" w:rsidRDefault="009165F7" w:rsidP="009165F7">
            <w:pPr>
              <w:jc w:val="both"/>
              <w:rPr>
                <w:rFonts w:ascii="Arial" w:hAnsi="Arial" w:cs="Arial"/>
              </w:rPr>
            </w:pPr>
            <w:r w:rsidRPr="009165F7">
              <w:rPr>
                <w:rFonts w:ascii="Arial" w:hAnsi="Arial" w:cs="Arial"/>
              </w:rPr>
              <w:t>Low</w:t>
            </w:r>
          </w:p>
        </w:tc>
        <w:tc>
          <w:tcPr>
            <w:tcW w:w="1283" w:type="dxa"/>
          </w:tcPr>
          <w:p w14:paraId="4C4D1F6E" w14:textId="77777777" w:rsidR="009165F7" w:rsidRPr="009165F7" w:rsidRDefault="009165F7" w:rsidP="009165F7">
            <w:pPr>
              <w:jc w:val="both"/>
              <w:rPr>
                <w:rFonts w:ascii="Arial" w:hAnsi="Arial" w:cs="Arial"/>
              </w:rPr>
            </w:pPr>
            <w:r w:rsidRPr="009165F7">
              <w:rPr>
                <w:rFonts w:ascii="Arial" w:hAnsi="Arial" w:cs="Arial"/>
              </w:rPr>
              <w:t>Biosafety laws</w:t>
            </w:r>
          </w:p>
        </w:tc>
        <w:tc>
          <w:tcPr>
            <w:tcW w:w="2121" w:type="dxa"/>
          </w:tcPr>
          <w:p w14:paraId="45BBA098" w14:textId="77777777" w:rsidR="009165F7" w:rsidRPr="009165F7" w:rsidRDefault="009165F7" w:rsidP="009165F7">
            <w:pPr>
              <w:jc w:val="both"/>
              <w:rPr>
                <w:rFonts w:ascii="Arial" w:hAnsi="Arial" w:cs="Arial"/>
              </w:rPr>
            </w:pPr>
            <w:r w:rsidRPr="009165F7">
              <w:rPr>
                <w:rFonts w:ascii="Arial" w:hAnsi="Arial" w:cs="Arial"/>
              </w:rPr>
              <w:t>Commercial farms</w:t>
            </w:r>
          </w:p>
        </w:tc>
      </w:tr>
      <w:tr w:rsidR="008B5F3A" w:rsidRPr="009165F7" w14:paraId="46821B1C" w14:textId="77777777" w:rsidTr="008B5F3A">
        <w:tc>
          <w:tcPr>
            <w:tcW w:w="1499" w:type="dxa"/>
          </w:tcPr>
          <w:p w14:paraId="647CE375" w14:textId="77777777" w:rsidR="009165F7" w:rsidRPr="009165F7" w:rsidRDefault="009165F7" w:rsidP="00EC1D04">
            <w:pPr>
              <w:spacing w:before="120"/>
              <w:jc w:val="both"/>
              <w:rPr>
                <w:rFonts w:ascii="Arial" w:hAnsi="Arial" w:cs="Arial"/>
              </w:rPr>
            </w:pPr>
            <w:r w:rsidRPr="009165F7">
              <w:rPr>
                <w:rFonts w:ascii="Arial" w:hAnsi="Arial" w:cs="Arial"/>
              </w:rPr>
              <w:t>Bioinoculants</w:t>
            </w:r>
          </w:p>
        </w:tc>
        <w:tc>
          <w:tcPr>
            <w:tcW w:w="661" w:type="dxa"/>
          </w:tcPr>
          <w:p w14:paraId="262EF4B2" w14:textId="77777777" w:rsidR="009165F7" w:rsidRPr="009165F7" w:rsidRDefault="009165F7" w:rsidP="009165F7">
            <w:pPr>
              <w:jc w:val="both"/>
              <w:rPr>
                <w:rFonts w:ascii="Arial" w:hAnsi="Arial" w:cs="Arial"/>
              </w:rPr>
            </w:pPr>
            <w:r w:rsidRPr="009165F7">
              <w:rPr>
                <w:rFonts w:ascii="Arial" w:hAnsi="Arial" w:cs="Arial"/>
              </w:rPr>
              <w:t>Low</w:t>
            </w:r>
          </w:p>
        </w:tc>
        <w:tc>
          <w:tcPr>
            <w:tcW w:w="1208" w:type="dxa"/>
          </w:tcPr>
          <w:p w14:paraId="726E076F" w14:textId="77777777" w:rsidR="009165F7" w:rsidRPr="009165F7" w:rsidRDefault="009165F7" w:rsidP="009165F7">
            <w:pPr>
              <w:jc w:val="both"/>
              <w:rPr>
                <w:rFonts w:ascii="Arial" w:hAnsi="Arial" w:cs="Arial"/>
              </w:rPr>
            </w:pPr>
            <w:r w:rsidRPr="009165F7">
              <w:rPr>
                <w:rFonts w:ascii="Arial" w:hAnsi="Arial" w:cs="Arial"/>
              </w:rPr>
              <w:t>High</w:t>
            </w:r>
          </w:p>
        </w:tc>
        <w:tc>
          <w:tcPr>
            <w:tcW w:w="1274" w:type="dxa"/>
          </w:tcPr>
          <w:p w14:paraId="02202510" w14:textId="77777777" w:rsidR="009165F7" w:rsidRPr="009165F7" w:rsidRDefault="009165F7" w:rsidP="009165F7">
            <w:pPr>
              <w:jc w:val="both"/>
              <w:rPr>
                <w:rFonts w:ascii="Arial" w:hAnsi="Arial" w:cs="Arial"/>
              </w:rPr>
            </w:pPr>
            <w:r w:rsidRPr="009165F7">
              <w:rPr>
                <w:rFonts w:ascii="Arial" w:hAnsi="Arial" w:cs="Arial"/>
              </w:rPr>
              <w:t>High</w:t>
            </w:r>
          </w:p>
        </w:tc>
        <w:tc>
          <w:tcPr>
            <w:tcW w:w="1283" w:type="dxa"/>
          </w:tcPr>
          <w:p w14:paraId="263A947B" w14:textId="77777777" w:rsidR="009165F7" w:rsidRPr="009165F7" w:rsidRDefault="009165F7" w:rsidP="009165F7">
            <w:pPr>
              <w:jc w:val="both"/>
              <w:rPr>
                <w:rFonts w:ascii="Arial" w:hAnsi="Arial" w:cs="Arial"/>
              </w:rPr>
            </w:pPr>
            <w:r w:rsidRPr="009165F7">
              <w:rPr>
                <w:rFonts w:ascii="Arial" w:hAnsi="Arial" w:cs="Arial"/>
              </w:rPr>
              <w:t>Minimal</w:t>
            </w:r>
          </w:p>
        </w:tc>
        <w:tc>
          <w:tcPr>
            <w:tcW w:w="2121" w:type="dxa"/>
          </w:tcPr>
          <w:p w14:paraId="305EF8F8" w14:textId="77777777" w:rsidR="009165F7" w:rsidRPr="009165F7" w:rsidRDefault="009165F7" w:rsidP="009165F7">
            <w:pPr>
              <w:jc w:val="both"/>
              <w:rPr>
                <w:rFonts w:ascii="Arial" w:hAnsi="Arial" w:cs="Arial"/>
              </w:rPr>
            </w:pPr>
            <w:r w:rsidRPr="009165F7">
              <w:rPr>
                <w:rFonts w:ascii="Arial" w:hAnsi="Arial" w:cs="Arial"/>
              </w:rPr>
              <w:t>Smallholder systems</w:t>
            </w:r>
          </w:p>
        </w:tc>
      </w:tr>
    </w:tbl>
    <w:p w14:paraId="5A04B39E" w14:textId="77777777" w:rsidR="007E63FB" w:rsidRDefault="007E63FB" w:rsidP="00441B6F">
      <w:pPr>
        <w:pStyle w:val="Body"/>
        <w:spacing w:after="0"/>
        <w:rPr>
          <w:rFonts w:ascii="Arial" w:hAnsi="Arial" w:cs="Arial"/>
        </w:rPr>
      </w:pPr>
    </w:p>
    <w:p w14:paraId="4EE44689" w14:textId="432FA303" w:rsidR="008B5F3A" w:rsidRPr="008B5F3A" w:rsidRDefault="008B5F3A" w:rsidP="008B5F3A">
      <w:pPr>
        <w:pStyle w:val="ListParagraph"/>
        <w:numPr>
          <w:ilvl w:val="1"/>
          <w:numId w:val="32"/>
        </w:numPr>
        <w:spacing w:before="120" w:after="120"/>
        <w:jc w:val="both"/>
        <w:rPr>
          <w:rFonts w:ascii="Arial" w:hAnsi="Arial" w:cs="Arial"/>
          <w:sz w:val="22"/>
          <w:szCs w:val="22"/>
        </w:rPr>
      </w:pPr>
      <w:r w:rsidRPr="008B5F3A">
        <w:rPr>
          <w:rFonts w:ascii="Arial" w:hAnsi="Arial" w:cs="Arial"/>
          <w:sz w:val="22"/>
          <w:szCs w:val="22"/>
        </w:rPr>
        <w:t>Potential Impact Assessment</w:t>
      </w:r>
    </w:p>
    <w:p w14:paraId="3BDF99F7" w14:textId="77777777" w:rsidR="008B5F3A" w:rsidRPr="008B5F3A" w:rsidRDefault="008B5F3A" w:rsidP="008B5F3A">
      <w:pPr>
        <w:ind w:firstLine="567"/>
        <w:jc w:val="both"/>
        <w:rPr>
          <w:rFonts w:ascii="Arial" w:hAnsi="Arial" w:cs="Arial"/>
        </w:rPr>
      </w:pPr>
      <w:r w:rsidRPr="008B5F3A">
        <w:rPr>
          <w:rFonts w:ascii="Arial" w:hAnsi="Arial" w:cs="Arial"/>
        </w:rPr>
        <w:t>The successful deployment of nitrogen fixation innovations has broad implications for food security. By reducing dependence on costly synthetic fertilizers, biological nitrogen inputs can stabilize production costs, enhance soil health, and improve yields—particularly in low-fertility soils where nutrient access limits productivity (Dong et al., 2024). Endophytic and rhizosphere diazotrophs can also enhance plant resilience to drought and salinity, supporting stable yields under climate stress (Sharma et al., 2023). These outcomes contribute to both short-term food availability and long-term sustainability.</w:t>
      </w:r>
    </w:p>
    <w:p w14:paraId="6BF94D80" w14:textId="77777777" w:rsidR="008B5F3A" w:rsidRPr="008B5F3A" w:rsidRDefault="008B5F3A" w:rsidP="008B5F3A">
      <w:pPr>
        <w:ind w:firstLine="567"/>
        <w:jc w:val="both"/>
        <w:rPr>
          <w:rFonts w:ascii="Arial" w:hAnsi="Arial" w:cs="Arial"/>
        </w:rPr>
      </w:pPr>
      <w:r w:rsidRPr="008B5F3A">
        <w:rPr>
          <w:rFonts w:ascii="Arial" w:hAnsi="Arial" w:cs="Arial"/>
        </w:rPr>
        <w:t>From an environmental perspective, replacing or supplementing synthetic fertilizers with BNF offers significant mitigation potential. Fertilizer production and application account for substantial greenhouse gas emissions, primarily through CO</w:t>
      </w:r>
      <w:r w:rsidRPr="008B5F3A">
        <w:rPr>
          <w:rFonts w:ascii="Cambria Math" w:hAnsi="Cambria Math" w:cs="Cambria Math"/>
        </w:rPr>
        <w:t>₂</w:t>
      </w:r>
      <w:r w:rsidRPr="008B5F3A">
        <w:rPr>
          <w:rFonts w:ascii="Arial" w:hAnsi="Arial" w:cs="Arial"/>
        </w:rPr>
        <w:t xml:space="preserve"> emissions from manufacturing and N</w:t>
      </w:r>
      <w:r w:rsidRPr="008B5F3A">
        <w:rPr>
          <w:rFonts w:ascii="Cambria Math" w:hAnsi="Cambria Math" w:cs="Cambria Math"/>
        </w:rPr>
        <w:t>₂</w:t>
      </w:r>
      <w:r w:rsidRPr="008B5F3A">
        <w:rPr>
          <w:rFonts w:ascii="Arial" w:hAnsi="Arial" w:cs="Arial"/>
        </w:rPr>
        <w:t>O emissions from soils. Legume integration and optimized BNF reduce these emissions while enhancing nutrient-use efficiency and soil organic matter (Pascual et al., 2024). Synthetic biology approaches that decouple nitrogen fixation from oxygen sensitivity or nutrient repression could further boost fixation efficiency and reduce fertilizer-induced emissions (Bueno Batista &amp; Dixon, 2019).</w:t>
      </w:r>
    </w:p>
    <w:p w14:paraId="14BD61FB" w14:textId="77777777" w:rsidR="008B5F3A" w:rsidRPr="008B5F3A" w:rsidRDefault="008B5F3A" w:rsidP="008B5F3A">
      <w:pPr>
        <w:ind w:firstLine="567"/>
        <w:jc w:val="both"/>
        <w:rPr>
          <w:rFonts w:ascii="Arial" w:hAnsi="Arial" w:cs="Arial"/>
        </w:rPr>
      </w:pPr>
      <w:r w:rsidRPr="008B5F3A">
        <w:rPr>
          <w:rFonts w:ascii="Arial" w:hAnsi="Arial" w:cs="Arial"/>
        </w:rPr>
        <w:t xml:space="preserve">Economic models indicate that improving BNF could offer both environmental and financial returns, especially when bundled with climate-smart practices such as conservation agriculture, precision nutrient management, and circular </w:t>
      </w:r>
      <w:proofErr w:type="spellStart"/>
      <w:r w:rsidRPr="008B5F3A">
        <w:rPr>
          <w:rFonts w:ascii="Arial" w:hAnsi="Arial" w:cs="Arial"/>
        </w:rPr>
        <w:t>bioeconomy</w:t>
      </w:r>
      <w:proofErr w:type="spellEnd"/>
      <w:r w:rsidRPr="008B5F3A">
        <w:rPr>
          <w:rFonts w:ascii="Arial" w:hAnsi="Arial" w:cs="Arial"/>
        </w:rPr>
        <w:t xml:space="preserve"> systems (</w:t>
      </w:r>
      <w:proofErr w:type="spellStart"/>
      <w:r w:rsidRPr="008B5F3A">
        <w:rPr>
          <w:rFonts w:ascii="Arial" w:hAnsi="Arial" w:cs="Arial"/>
        </w:rPr>
        <w:t>Nasiro</w:t>
      </w:r>
      <w:proofErr w:type="spellEnd"/>
      <w:r w:rsidRPr="008B5F3A">
        <w:rPr>
          <w:rFonts w:ascii="Arial" w:hAnsi="Arial" w:cs="Arial"/>
        </w:rPr>
        <w:t xml:space="preserve"> &amp; </w:t>
      </w:r>
      <w:proofErr w:type="spellStart"/>
      <w:r w:rsidRPr="008B5F3A">
        <w:rPr>
          <w:rFonts w:ascii="Arial" w:hAnsi="Arial" w:cs="Arial"/>
        </w:rPr>
        <w:t>Mohammednur</w:t>
      </w:r>
      <w:proofErr w:type="spellEnd"/>
      <w:r w:rsidRPr="008B5F3A">
        <w:rPr>
          <w:rFonts w:ascii="Arial" w:hAnsi="Arial" w:cs="Arial"/>
        </w:rPr>
        <w:t>, 2024).</w:t>
      </w:r>
    </w:p>
    <w:p w14:paraId="7FF699C6" w14:textId="6F9C2ADD" w:rsidR="008B5F3A" w:rsidRPr="008B5F3A" w:rsidRDefault="008B5F3A" w:rsidP="008B5F3A">
      <w:pPr>
        <w:spacing w:after="120"/>
        <w:ind w:firstLine="567"/>
        <w:jc w:val="both"/>
        <w:rPr>
          <w:rFonts w:ascii="Arial" w:hAnsi="Arial" w:cs="Arial"/>
        </w:rPr>
      </w:pPr>
      <w:r w:rsidRPr="008B5F3A">
        <w:rPr>
          <w:rFonts w:ascii="Arial" w:hAnsi="Arial" w:cs="Arial"/>
        </w:rPr>
        <w:t xml:space="preserve">However, impact assessments must be context-specific. For example, while AI-enhanced nitrogen recommendations may increase productivity in data-rich environments, </w:t>
      </w:r>
      <w:r w:rsidRPr="008B5F3A">
        <w:rPr>
          <w:rFonts w:ascii="Arial" w:hAnsi="Arial" w:cs="Arial"/>
        </w:rPr>
        <w:lastRenderedPageBreak/>
        <w:t>they may be less effective where digital literacy or internet access is limited. Likewise, the climate benefits of BNF depend on actual reductions in fertilizer use and emissions—outcomes that require long-term monitoring and behavioral change.</w:t>
      </w:r>
    </w:p>
    <w:p w14:paraId="32762F4D" w14:textId="5B26F3DF" w:rsidR="008B5F3A" w:rsidRPr="008B5F3A" w:rsidRDefault="008B5F3A" w:rsidP="008B5F3A">
      <w:pPr>
        <w:pStyle w:val="ListParagraph"/>
        <w:numPr>
          <w:ilvl w:val="0"/>
          <w:numId w:val="32"/>
        </w:numPr>
        <w:jc w:val="both"/>
        <w:rPr>
          <w:rFonts w:ascii="Arial" w:hAnsi="Arial" w:cs="Arial"/>
          <w:b/>
          <w:bCs/>
          <w:sz w:val="22"/>
          <w:szCs w:val="22"/>
        </w:rPr>
      </w:pPr>
      <w:r w:rsidRPr="008B5F3A">
        <w:rPr>
          <w:rFonts w:ascii="Arial" w:hAnsi="Arial" w:cs="Arial"/>
          <w:b/>
          <w:bCs/>
          <w:sz w:val="22"/>
          <w:szCs w:val="22"/>
        </w:rPr>
        <w:t>Future Research Directions</w:t>
      </w:r>
    </w:p>
    <w:p w14:paraId="7B0165E0" w14:textId="3E123852" w:rsidR="008B5F3A" w:rsidRPr="008B5F3A" w:rsidRDefault="008B5F3A" w:rsidP="008B5F3A">
      <w:pPr>
        <w:pStyle w:val="ListParagraph"/>
        <w:numPr>
          <w:ilvl w:val="1"/>
          <w:numId w:val="32"/>
        </w:numPr>
        <w:spacing w:after="120"/>
        <w:jc w:val="both"/>
        <w:rPr>
          <w:rFonts w:ascii="Arial" w:hAnsi="Arial" w:cs="Arial"/>
          <w:sz w:val="22"/>
          <w:szCs w:val="22"/>
        </w:rPr>
      </w:pPr>
      <w:r w:rsidRPr="008B5F3A">
        <w:rPr>
          <w:rFonts w:ascii="Arial" w:hAnsi="Arial" w:cs="Arial"/>
          <w:sz w:val="22"/>
          <w:szCs w:val="22"/>
        </w:rPr>
        <w:t>Emerging Research Frontiers</w:t>
      </w:r>
    </w:p>
    <w:p w14:paraId="5F3C49AE" w14:textId="77777777" w:rsidR="008B5F3A" w:rsidRPr="008B5F3A" w:rsidRDefault="008B5F3A" w:rsidP="008B5F3A">
      <w:pPr>
        <w:ind w:firstLine="567"/>
        <w:jc w:val="both"/>
        <w:rPr>
          <w:rFonts w:ascii="Arial" w:hAnsi="Arial" w:cs="Arial"/>
        </w:rPr>
      </w:pPr>
      <w:r w:rsidRPr="008B5F3A">
        <w:rPr>
          <w:rFonts w:ascii="Arial" w:hAnsi="Arial" w:cs="Arial"/>
        </w:rPr>
        <w:t>The future of sustainable nitrogen fixation (SNF) lies in advancing innovative frontiers that integrate biological, technological, and ecological innovations. While classical biological nitrogen fixation (BNF) has demonstrated significant potential, its variability across ecological contexts necessitates continued innovation. Synthetic biology stands at the forefront, offering tools to engineer nitrogenase pathways into non-leguminous crops and enhance microbial efficiency through CRISPR-Cas systems and synthetic consortia (Bueno Batista &amp; Dixon, 2019; Mus et al., 2016). These approaches promise to decouple nitrogen fixation from environmental constraints such as oxygen sensitivity and nutrient repression, significantly increasing the scalability of SNF strategies (Abd-</w:t>
      </w:r>
      <w:proofErr w:type="spellStart"/>
      <w:r w:rsidRPr="008B5F3A">
        <w:rPr>
          <w:rFonts w:ascii="Arial" w:hAnsi="Arial" w:cs="Arial"/>
        </w:rPr>
        <w:t>Alla</w:t>
      </w:r>
      <w:proofErr w:type="spellEnd"/>
      <w:r w:rsidRPr="008B5F3A">
        <w:rPr>
          <w:rFonts w:ascii="Arial" w:hAnsi="Arial" w:cs="Arial"/>
        </w:rPr>
        <w:t xml:space="preserve"> et al., 2023).</w:t>
      </w:r>
    </w:p>
    <w:p w14:paraId="3A0A6EEA" w14:textId="77777777" w:rsidR="008B5F3A" w:rsidRPr="008B5F3A" w:rsidRDefault="008B5F3A" w:rsidP="008B5F3A">
      <w:pPr>
        <w:ind w:firstLine="567"/>
        <w:jc w:val="both"/>
        <w:rPr>
          <w:rFonts w:ascii="Arial" w:hAnsi="Arial" w:cs="Arial"/>
        </w:rPr>
      </w:pPr>
      <w:r w:rsidRPr="008B5F3A">
        <w:rPr>
          <w:rFonts w:ascii="Arial" w:hAnsi="Arial" w:cs="Arial"/>
        </w:rPr>
        <w:t xml:space="preserve">Moreover, artificial nitrogen fixation under ambient conditions using molecular catalysts presents an alternative to the energy-intensive Haber-Bosch process (Tanabe &amp; Nishibayashi, 2021). The integration of proton-coupled electron transfer and catalyst design is moving towards mimicking biological efficiency, though challenges remain in reaction selectivity and turnover rates (Roux et al., 2017). Parallel research in endophytic diazotrophs and psychrophilic microbes further expands the environmental range of nitrogen fixation, from arid zones to polar ecosystems (Lima et al., 2024). These novel microbial discoveries highlight the need for deeper metagenomic exploration of extreme and </w:t>
      </w:r>
      <w:proofErr w:type="spellStart"/>
      <w:r w:rsidRPr="008B5F3A">
        <w:rPr>
          <w:rFonts w:ascii="Arial" w:hAnsi="Arial" w:cs="Arial"/>
        </w:rPr>
        <w:t>undercharacterized</w:t>
      </w:r>
      <w:proofErr w:type="spellEnd"/>
      <w:r w:rsidRPr="008B5F3A">
        <w:rPr>
          <w:rFonts w:ascii="Arial" w:hAnsi="Arial" w:cs="Arial"/>
        </w:rPr>
        <w:t xml:space="preserve"> environments.</w:t>
      </w:r>
    </w:p>
    <w:p w14:paraId="26183FEA" w14:textId="005AE4DC" w:rsidR="008B5F3A" w:rsidRPr="008B5F3A" w:rsidRDefault="008B5F3A" w:rsidP="008B5F3A">
      <w:pPr>
        <w:spacing w:after="120"/>
        <w:ind w:firstLine="567"/>
        <w:jc w:val="both"/>
        <w:rPr>
          <w:rFonts w:ascii="Arial" w:hAnsi="Arial" w:cs="Arial"/>
        </w:rPr>
      </w:pPr>
      <w:r w:rsidRPr="008B5F3A">
        <w:rPr>
          <w:rFonts w:ascii="Arial" w:hAnsi="Arial" w:cs="Arial"/>
        </w:rPr>
        <w:t>Despite these promising developments, real-world applications are hindered by scalability limitations, biosafety concerns, and regulatory complexities. Research must therefore prioritize long-term field validation, risk assessment, and context-specific deployment models to facilitate translation from laboratory innovation to agroecological impact (Pascual et al., 2024).</w:t>
      </w:r>
    </w:p>
    <w:p w14:paraId="0B58BCFE" w14:textId="6DF43C84" w:rsidR="008B5F3A" w:rsidRPr="008B5F3A" w:rsidRDefault="008B5F3A" w:rsidP="008B5F3A">
      <w:pPr>
        <w:pStyle w:val="ListParagraph"/>
        <w:numPr>
          <w:ilvl w:val="1"/>
          <w:numId w:val="32"/>
        </w:numPr>
        <w:spacing w:after="120"/>
        <w:jc w:val="both"/>
        <w:rPr>
          <w:rFonts w:ascii="Arial" w:hAnsi="Arial" w:cs="Arial"/>
          <w:sz w:val="22"/>
          <w:szCs w:val="22"/>
        </w:rPr>
      </w:pPr>
      <w:r w:rsidRPr="008B5F3A">
        <w:rPr>
          <w:rFonts w:ascii="Arial" w:hAnsi="Arial" w:cs="Arial"/>
          <w:sz w:val="22"/>
          <w:szCs w:val="22"/>
        </w:rPr>
        <w:t>Interdisciplinary Collaboration Opportunities</w:t>
      </w:r>
    </w:p>
    <w:p w14:paraId="71F9E693" w14:textId="77777777" w:rsidR="008B5F3A" w:rsidRPr="008B5F3A" w:rsidRDefault="008B5F3A" w:rsidP="008B5F3A">
      <w:pPr>
        <w:ind w:firstLine="567"/>
        <w:jc w:val="both"/>
        <w:rPr>
          <w:rFonts w:ascii="Arial" w:hAnsi="Arial" w:cs="Arial"/>
        </w:rPr>
      </w:pPr>
      <w:r w:rsidRPr="008B5F3A">
        <w:rPr>
          <w:rFonts w:ascii="Arial" w:hAnsi="Arial" w:cs="Arial"/>
        </w:rPr>
        <w:t>Nitrogen fixation research is inherently multidisciplinary, involving microbiology, agronomy, bioinformatics, climate science, and socioeconomics. Future breakthroughs will likely emerge from integrated approaches that bridge these disciplines. For instance, systems-level nutrient management models can be enhanced through collaboration between soil scientists, ecologists, and data scientists, enabling dynamic optimization of nitrogen inputs across spatial and temporal scales (</w:t>
      </w:r>
      <w:proofErr w:type="spellStart"/>
      <w:r w:rsidRPr="008B5F3A">
        <w:rPr>
          <w:rFonts w:ascii="Arial" w:hAnsi="Arial" w:cs="Arial"/>
        </w:rPr>
        <w:t>Viancelli</w:t>
      </w:r>
      <w:proofErr w:type="spellEnd"/>
      <w:r w:rsidRPr="008B5F3A">
        <w:rPr>
          <w:rFonts w:ascii="Arial" w:hAnsi="Arial" w:cs="Arial"/>
        </w:rPr>
        <w:t xml:space="preserve"> &amp; </w:t>
      </w:r>
      <w:proofErr w:type="spellStart"/>
      <w:r w:rsidRPr="008B5F3A">
        <w:rPr>
          <w:rFonts w:ascii="Arial" w:hAnsi="Arial" w:cs="Arial"/>
        </w:rPr>
        <w:t>Michelon</w:t>
      </w:r>
      <w:proofErr w:type="spellEnd"/>
      <w:r w:rsidRPr="008B5F3A">
        <w:rPr>
          <w:rFonts w:ascii="Arial" w:hAnsi="Arial" w:cs="Arial"/>
        </w:rPr>
        <w:t>, 2024).</w:t>
      </w:r>
    </w:p>
    <w:p w14:paraId="714015F1" w14:textId="77777777" w:rsidR="008B5F3A" w:rsidRPr="008B5F3A" w:rsidRDefault="008B5F3A" w:rsidP="008B5F3A">
      <w:pPr>
        <w:ind w:firstLine="567"/>
        <w:jc w:val="both"/>
        <w:rPr>
          <w:rFonts w:ascii="Arial" w:hAnsi="Arial" w:cs="Arial"/>
        </w:rPr>
      </w:pPr>
      <w:r w:rsidRPr="008B5F3A">
        <w:rPr>
          <w:rFonts w:ascii="Arial" w:hAnsi="Arial" w:cs="Arial"/>
        </w:rPr>
        <w:t>Advancements in artificial intelligence (AI) and machine learning (ML) also necessitate collaboration between computational scientists and agricultural researchers. AI-driven nitrogen mapping, crop simulation models, and real-time decision support systems depend on high-quality environmental data, robust algorithms, and agronomic validation (</w:t>
      </w:r>
      <w:proofErr w:type="spellStart"/>
      <w:r w:rsidRPr="008B5F3A">
        <w:rPr>
          <w:rFonts w:ascii="Arial" w:hAnsi="Arial" w:cs="Arial"/>
        </w:rPr>
        <w:t>Nasiro</w:t>
      </w:r>
      <w:proofErr w:type="spellEnd"/>
      <w:r w:rsidRPr="008B5F3A">
        <w:rPr>
          <w:rFonts w:ascii="Arial" w:hAnsi="Arial" w:cs="Arial"/>
        </w:rPr>
        <w:t xml:space="preserve"> &amp; </w:t>
      </w:r>
      <w:proofErr w:type="spellStart"/>
      <w:r w:rsidRPr="008B5F3A">
        <w:rPr>
          <w:rFonts w:ascii="Arial" w:hAnsi="Arial" w:cs="Arial"/>
        </w:rPr>
        <w:t>Mohammednur</w:t>
      </w:r>
      <w:proofErr w:type="spellEnd"/>
      <w:r w:rsidRPr="008B5F3A">
        <w:rPr>
          <w:rFonts w:ascii="Arial" w:hAnsi="Arial" w:cs="Arial"/>
        </w:rPr>
        <w:t>, 2024). Simultaneously, climate scientists contribute by refining simulation chains that forecast the impacts of climatic stressors on nitrogen dynamics, ensuring adaptive nitrogen management strategies are climate-resilient (Timlin et al., 2024).</w:t>
      </w:r>
    </w:p>
    <w:p w14:paraId="1D13231C" w14:textId="77777777" w:rsidR="008B5F3A" w:rsidRPr="008B5F3A" w:rsidRDefault="008B5F3A" w:rsidP="008B5F3A">
      <w:pPr>
        <w:ind w:firstLine="567"/>
        <w:jc w:val="both"/>
        <w:rPr>
          <w:rFonts w:ascii="Arial" w:hAnsi="Arial" w:cs="Arial"/>
        </w:rPr>
      </w:pPr>
      <w:r w:rsidRPr="008B5F3A">
        <w:rPr>
          <w:rFonts w:ascii="Arial" w:hAnsi="Arial" w:cs="Arial"/>
        </w:rPr>
        <w:t>Microbiome engineering offers another fertile ground for interdisciplinary collaboration. Precision agriculture can benefit from partnerships between molecular biologists, plant physiologists, and ecological modelers to tailor microbiome solutions for different crops and soils (French et al., 2021; Trivedi et al., 2021). These partnerships can also address the persistent variability in microbiome performance across environments, which remains a critical research gap (Hanif et al., 2024).</w:t>
      </w:r>
    </w:p>
    <w:p w14:paraId="4AE961D5" w14:textId="3003CE6E" w:rsidR="008B5F3A" w:rsidRPr="008B5F3A" w:rsidRDefault="008B5F3A" w:rsidP="008B5F3A">
      <w:pPr>
        <w:ind w:firstLine="567"/>
        <w:jc w:val="both"/>
        <w:rPr>
          <w:rFonts w:ascii="Arial" w:hAnsi="Arial" w:cs="Arial"/>
        </w:rPr>
      </w:pPr>
      <w:r w:rsidRPr="008B5F3A">
        <w:rPr>
          <w:rFonts w:ascii="Arial" w:hAnsi="Arial" w:cs="Arial"/>
        </w:rPr>
        <w:t>Lastly, effective translation of SNF strategies into practice requires close collaboration with economists, policymakers, and social scientists. Participatory research frameworks can bridge scientific innovation with local knowledge and socio-economic realities, particularly in resource-constrained settings (</w:t>
      </w:r>
      <w:proofErr w:type="spellStart"/>
      <w:r w:rsidRPr="008B5F3A">
        <w:rPr>
          <w:rFonts w:ascii="Arial" w:hAnsi="Arial" w:cs="Arial"/>
        </w:rPr>
        <w:t>Viancelli</w:t>
      </w:r>
      <w:proofErr w:type="spellEnd"/>
      <w:r w:rsidRPr="008B5F3A">
        <w:rPr>
          <w:rFonts w:ascii="Arial" w:hAnsi="Arial" w:cs="Arial"/>
        </w:rPr>
        <w:t xml:space="preserve"> &amp; </w:t>
      </w:r>
      <w:proofErr w:type="spellStart"/>
      <w:r w:rsidRPr="008B5F3A">
        <w:rPr>
          <w:rFonts w:ascii="Arial" w:hAnsi="Arial" w:cs="Arial"/>
        </w:rPr>
        <w:t>Michelon</w:t>
      </w:r>
      <w:proofErr w:type="spellEnd"/>
      <w:r w:rsidRPr="008B5F3A">
        <w:rPr>
          <w:rFonts w:ascii="Arial" w:hAnsi="Arial" w:cs="Arial"/>
        </w:rPr>
        <w:t xml:space="preserve">, 2024). This is essential for designing </w:t>
      </w:r>
      <w:r w:rsidRPr="008B5F3A">
        <w:rPr>
          <w:rFonts w:ascii="Arial" w:hAnsi="Arial" w:cs="Arial"/>
        </w:rPr>
        <w:lastRenderedPageBreak/>
        <w:t>inclusive policies and fostering behavioral changes that support sustainable nitrogen practices.</w:t>
      </w:r>
    </w:p>
    <w:p w14:paraId="765B14F2" w14:textId="3E9A04C4" w:rsidR="008B5F3A" w:rsidRPr="008B5F3A" w:rsidRDefault="008B5F3A" w:rsidP="008B5F3A">
      <w:pPr>
        <w:pStyle w:val="ListParagraph"/>
        <w:numPr>
          <w:ilvl w:val="1"/>
          <w:numId w:val="32"/>
        </w:numPr>
        <w:spacing w:before="120" w:after="120"/>
        <w:jc w:val="both"/>
        <w:rPr>
          <w:rFonts w:ascii="Arial" w:hAnsi="Arial" w:cs="Arial"/>
          <w:sz w:val="22"/>
          <w:szCs w:val="22"/>
        </w:rPr>
      </w:pPr>
      <w:r w:rsidRPr="008B5F3A">
        <w:rPr>
          <w:rFonts w:ascii="Arial" w:hAnsi="Arial" w:cs="Arial"/>
          <w:sz w:val="22"/>
          <w:szCs w:val="22"/>
        </w:rPr>
        <w:t>Ethical and Ecological Considerations</w:t>
      </w:r>
    </w:p>
    <w:p w14:paraId="0309F426" w14:textId="77777777" w:rsidR="008B5F3A" w:rsidRPr="008B5F3A" w:rsidRDefault="008B5F3A" w:rsidP="008B5F3A">
      <w:pPr>
        <w:ind w:firstLine="567"/>
        <w:jc w:val="both"/>
        <w:rPr>
          <w:rFonts w:ascii="Arial" w:hAnsi="Arial" w:cs="Arial"/>
        </w:rPr>
      </w:pPr>
      <w:r w:rsidRPr="008B5F3A">
        <w:rPr>
          <w:rFonts w:ascii="Arial" w:hAnsi="Arial" w:cs="Arial"/>
        </w:rPr>
        <w:t>As nitrogen fixation technologies evolve, ethical and ecological considerations must be integral to research design and implementation. The deployment of genetically modified organisms (GMOs), particularly CRISPR-edited microbes and engineered crops, raises biosafety concerns related to horizontal gene transfer, ecosystem disruption, and long-term soil health (Agricultural Microbiomes, 2023; Li et al., 2024). Transparent regulatory frameworks and rigorous ecological risk assessments are therefore imperative.</w:t>
      </w:r>
    </w:p>
    <w:p w14:paraId="04D6E676" w14:textId="77777777" w:rsidR="008B5F3A" w:rsidRPr="008B5F3A" w:rsidRDefault="008B5F3A" w:rsidP="008B5F3A">
      <w:pPr>
        <w:ind w:firstLine="567"/>
        <w:jc w:val="both"/>
        <w:rPr>
          <w:rFonts w:ascii="Arial" w:hAnsi="Arial" w:cs="Arial"/>
        </w:rPr>
      </w:pPr>
      <w:r w:rsidRPr="008B5F3A">
        <w:rPr>
          <w:rFonts w:ascii="Arial" w:hAnsi="Arial" w:cs="Arial"/>
        </w:rPr>
        <w:t>Moreover, nanotechnology-based interventions and synthetic fertilizers, though promising, may introduce novel environmental contaminants. The long-term effects of nanoparticle accumulation on soil biota, nutrient cycles, and food safety remain poorly understood (Saini &amp; Devi, 2022). Ethical research mandates precautionary principles, robust environmental monitoring, and life-cycle assessments before large-scale deployment.</w:t>
      </w:r>
    </w:p>
    <w:p w14:paraId="170C8A67" w14:textId="77777777" w:rsidR="008B5F3A" w:rsidRPr="008B5F3A" w:rsidRDefault="008B5F3A" w:rsidP="008B5F3A">
      <w:pPr>
        <w:ind w:firstLine="567"/>
        <w:jc w:val="both"/>
        <w:rPr>
          <w:rFonts w:ascii="Arial" w:hAnsi="Arial" w:cs="Arial"/>
        </w:rPr>
      </w:pPr>
      <w:r w:rsidRPr="008B5F3A">
        <w:rPr>
          <w:rFonts w:ascii="Arial" w:hAnsi="Arial" w:cs="Arial"/>
        </w:rPr>
        <w:t>From a socio-ethical perspective, equitable access to SNF technologies is critical. High-tech innovations such as AI platforms or synthetic microbial inoculants may be inaccessible to smallholder farmers due to cost, infrastructure, or digital literacy barriers (</w:t>
      </w:r>
      <w:proofErr w:type="spellStart"/>
      <w:r w:rsidRPr="008B5F3A">
        <w:rPr>
          <w:rFonts w:ascii="Arial" w:hAnsi="Arial" w:cs="Arial"/>
        </w:rPr>
        <w:t>Nasiro</w:t>
      </w:r>
      <w:proofErr w:type="spellEnd"/>
      <w:r w:rsidRPr="008B5F3A">
        <w:rPr>
          <w:rFonts w:ascii="Arial" w:hAnsi="Arial" w:cs="Arial"/>
        </w:rPr>
        <w:t xml:space="preserve"> &amp; </w:t>
      </w:r>
      <w:proofErr w:type="spellStart"/>
      <w:r w:rsidRPr="008B5F3A">
        <w:rPr>
          <w:rFonts w:ascii="Arial" w:hAnsi="Arial" w:cs="Arial"/>
        </w:rPr>
        <w:t>Mohammednur</w:t>
      </w:r>
      <w:proofErr w:type="spellEnd"/>
      <w:r w:rsidRPr="008B5F3A">
        <w:rPr>
          <w:rFonts w:ascii="Arial" w:hAnsi="Arial" w:cs="Arial"/>
        </w:rPr>
        <w:t>, 2024). Research must therefore address distributive justice by developing scalable, low-cost alternatives and fostering inclusive innovation ecosystems.</w:t>
      </w:r>
    </w:p>
    <w:p w14:paraId="7A97F8AA" w14:textId="57706C65" w:rsidR="008B5F3A" w:rsidRPr="008B5F3A" w:rsidRDefault="008B5F3A" w:rsidP="008B5F3A">
      <w:pPr>
        <w:spacing w:after="120"/>
        <w:ind w:firstLine="567"/>
        <w:jc w:val="both"/>
        <w:rPr>
          <w:rFonts w:ascii="Arial" w:hAnsi="Arial" w:cs="Arial"/>
        </w:rPr>
      </w:pPr>
      <w:r w:rsidRPr="008B5F3A">
        <w:rPr>
          <w:rFonts w:ascii="Arial" w:hAnsi="Arial" w:cs="Arial"/>
        </w:rPr>
        <w:t>Notably, ecological ethics demand that SNF strategies prioritize biodiversity and ecosystem integrity. Practices such as agroforestry, legume intercropping, and landscape-scale nitrogen cycling not only enhance nitrogen retention but also support carbon sequestration, pollination, and habitat conservation (</w:t>
      </w:r>
      <w:proofErr w:type="spellStart"/>
      <w:r w:rsidRPr="008B5F3A">
        <w:rPr>
          <w:rFonts w:ascii="Arial" w:hAnsi="Arial" w:cs="Arial"/>
        </w:rPr>
        <w:t>Hallin</w:t>
      </w:r>
      <w:proofErr w:type="spellEnd"/>
      <w:r w:rsidRPr="008B5F3A">
        <w:rPr>
          <w:rFonts w:ascii="Arial" w:hAnsi="Arial" w:cs="Arial"/>
        </w:rPr>
        <w:t xml:space="preserve"> &amp; </w:t>
      </w:r>
      <w:proofErr w:type="spellStart"/>
      <w:r w:rsidRPr="008B5F3A">
        <w:rPr>
          <w:rFonts w:ascii="Arial" w:hAnsi="Arial" w:cs="Arial"/>
        </w:rPr>
        <w:t>Saghaï</w:t>
      </w:r>
      <w:proofErr w:type="spellEnd"/>
      <w:r w:rsidRPr="008B5F3A">
        <w:rPr>
          <w:rFonts w:ascii="Arial" w:hAnsi="Arial" w:cs="Arial"/>
        </w:rPr>
        <w:t>, 2023). Future research must continue to align SNF innovations with broader sustainability goals, ensuring that they contribute to resilient, regenerative agricultural systems.</w:t>
      </w:r>
    </w:p>
    <w:p w14:paraId="72737537" w14:textId="65288E39" w:rsidR="008B5F3A" w:rsidRPr="008B5F3A" w:rsidRDefault="008B5F3A" w:rsidP="008B5F3A">
      <w:pPr>
        <w:pStyle w:val="ListParagraph"/>
        <w:numPr>
          <w:ilvl w:val="0"/>
          <w:numId w:val="32"/>
        </w:numPr>
        <w:spacing w:before="240" w:after="120"/>
        <w:jc w:val="both"/>
        <w:rPr>
          <w:rFonts w:ascii="Arial" w:hAnsi="Arial" w:cs="Arial"/>
          <w:b/>
          <w:bCs/>
          <w:sz w:val="22"/>
          <w:szCs w:val="22"/>
        </w:rPr>
      </w:pPr>
      <w:r w:rsidRPr="008B5F3A">
        <w:rPr>
          <w:rFonts w:ascii="Arial" w:hAnsi="Arial" w:cs="Arial"/>
          <w:b/>
          <w:bCs/>
          <w:sz w:val="22"/>
          <w:szCs w:val="22"/>
        </w:rPr>
        <w:t>Conclusion</w:t>
      </w:r>
    </w:p>
    <w:p w14:paraId="79D5A1BB" w14:textId="77777777" w:rsidR="00EC1D04" w:rsidRDefault="008B5F3A" w:rsidP="00EC1D04">
      <w:pPr>
        <w:ind w:firstLine="567"/>
        <w:jc w:val="both"/>
        <w:rPr>
          <w:rFonts w:ascii="Arial" w:hAnsi="Arial" w:cs="Arial"/>
        </w:rPr>
      </w:pPr>
      <w:r w:rsidRPr="008B5F3A">
        <w:rPr>
          <w:rFonts w:ascii="Arial" w:hAnsi="Arial" w:cs="Arial"/>
        </w:rPr>
        <w:t>Addressing the dual imperatives of agricultural productivity and environmental sustainability in the context of climate change necessitates a fundamental shift in nitrogen management paradigms. This review has synthesized breakthrough approaches to sustainable nitrogen fixation (SNF), ranging from classical symbiotic mechanisms to cutting-edge innovations in synthetic biology, nanotechnology, and artificial intelligence. Together, these strategies represent a multidimensional advancement in enhancing nitrogen-use efficiency, minimizing environmental degradation, and fostering soil health across diverse agroecosystems.</w:t>
      </w:r>
    </w:p>
    <w:p w14:paraId="01DE8726" w14:textId="77777777" w:rsidR="00EC1D04" w:rsidRDefault="008B5F3A" w:rsidP="00EC1D04">
      <w:pPr>
        <w:ind w:firstLine="567"/>
        <w:jc w:val="both"/>
        <w:rPr>
          <w:rFonts w:ascii="Arial" w:hAnsi="Arial" w:cs="Arial"/>
        </w:rPr>
      </w:pPr>
      <w:r w:rsidRPr="008B5F3A">
        <w:rPr>
          <w:rFonts w:ascii="Arial" w:hAnsi="Arial" w:cs="Arial"/>
        </w:rPr>
        <w:t>The transformative potential of integrated nitrogen fixation strategies lies in their ability to converge biological, technological, and ecological disciplines. Innovations such as CRISPR-mediated gene editing, microbial consortia design, nano-enabled fertilizers, and AI-driven nutrient modeling are not isolated advancements but components of a holistic system capable of delivering adaptive, precise, and environmentally responsible nitrogen inputs. When coupled with climate-smart practices—such as cover cropping, agroforestry, and circular nutrient loops—these technologies can reconfigure nitrogen management from a pollutant-intensive input model to a regenerative cycle grounded in natural processes and data-driven optimization.</w:t>
      </w:r>
    </w:p>
    <w:p w14:paraId="32B530C2" w14:textId="77777777" w:rsidR="00EC1D04" w:rsidRDefault="008B5F3A" w:rsidP="00EC1D04">
      <w:pPr>
        <w:ind w:firstLine="567"/>
        <w:jc w:val="both"/>
        <w:rPr>
          <w:rFonts w:ascii="Arial" w:hAnsi="Arial" w:cs="Arial"/>
        </w:rPr>
      </w:pPr>
      <w:r w:rsidRPr="008B5F3A">
        <w:rPr>
          <w:rFonts w:ascii="Arial" w:hAnsi="Arial" w:cs="Arial"/>
        </w:rPr>
        <w:t>Realizing this transformation requires more than technological breakthroughs; it demands systemic change in research priorities, policy frameworks, and stakeholder engagement. Future efforts must embrace interdisciplinary collaboration, ensure ethical deployment, and prioritize equity in access and implementation. By aligning innovation with ecological integrity and social inclusion, sustainable nitrogen fixation can emerge as a cornerstone of the next-generation agricultural systems.</w:t>
      </w:r>
    </w:p>
    <w:p w14:paraId="728F6A97" w14:textId="165AC145" w:rsidR="008B5F3A" w:rsidRPr="008B5F3A" w:rsidRDefault="008B5F3A" w:rsidP="00EC1D04">
      <w:pPr>
        <w:ind w:firstLine="567"/>
        <w:jc w:val="both"/>
        <w:rPr>
          <w:rFonts w:ascii="Arial" w:hAnsi="Arial" w:cs="Arial"/>
        </w:rPr>
      </w:pPr>
      <w:r w:rsidRPr="008B5F3A">
        <w:rPr>
          <w:rFonts w:ascii="Arial" w:hAnsi="Arial" w:cs="Arial"/>
        </w:rPr>
        <w:t xml:space="preserve">Ultimately, the path forward calls for holistic, innovative solutions that integrate scientific rigor with local knowledge and global sustainability goals. Investing in resilient nitrogen fixation </w:t>
      </w:r>
      <w:r w:rsidRPr="008B5F3A">
        <w:rPr>
          <w:rFonts w:ascii="Arial" w:hAnsi="Arial" w:cs="Arial"/>
        </w:rPr>
        <w:lastRenderedPageBreak/>
        <w:t>strategies today will not only safeguard food security and ecosystem services but also contribute to a more sustainable and climate-resilient agricultural future.</w:t>
      </w:r>
    </w:p>
    <w:p w14:paraId="33AD990B" w14:textId="77777777" w:rsidR="008B5F3A" w:rsidRPr="00EC1D04" w:rsidRDefault="008B5F3A" w:rsidP="00EC1D04">
      <w:pPr>
        <w:spacing w:before="240"/>
        <w:jc w:val="both"/>
        <w:rPr>
          <w:rFonts w:ascii="Arial" w:hAnsi="Arial" w:cs="Arial"/>
          <w:b/>
          <w:bCs/>
          <w:sz w:val="22"/>
          <w:szCs w:val="22"/>
        </w:rPr>
      </w:pPr>
      <w:r w:rsidRPr="00EC1D04">
        <w:rPr>
          <w:rFonts w:ascii="Arial" w:hAnsi="Arial" w:cs="Arial"/>
          <w:b/>
          <w:bCs/>
          <w:sz w:val="22"/>
          <w:szCs w:val="22"/>
        </w:rPr>
        <w:t xml:space="preserve">References </w:t>
      </w:r>
    </w:p>
    <w:p w14:paraId="25D50BFF" w14:textId="42EC56B1" w:rsidR="008B5F3A" w:rsidRPr="008B5F3A" w:rsidRDefault="008B5F3A" w:rsidP="00EC1D04">
      <w:pPr>
        <w:pStyle w:val="ListParagraph"/>
        <w:numPr>
          <w:ilvl w:val="0"/>
          <w:numId w:val="46"/>
        </w:numPr>
        <w:spacing w:after="200"/>
        <w:jc w:val="both"/>
        <w:rPr>
          <w:rFonts w:ascii="Arial" w:hAnsi="Arial" w:cs="Arial"/>
        </w:rPr>
      </w:pPr>
      <w:proofErr w:type="spellStart"/>
      <w:r w:rsidRPr="008B5F3A">
        <w:rPr>
          <w:rFonts w:ascii="Arial" w:hAnsi="Arial" w:cs="Arial"/>
        </w:rPr>
        <w:t>Aasfar</w:t>
      </w:r>
      <w:proofErr w:type="spellEnd"/>
      <w:r w:rsidRPr="008B5F3A">
        <w:rPr>
          <w:rFonts w:ascii="Arial" w:hAnsi="Arial" w:cs="Arial"/>
        </w:rPr>
        <w:t xml:space="preserve">, A., </w:t>
      </w:r>
      <w:proofErr w:type="spellStart"/>
      <w:r w:rsidRPr="008B5F3A">
        <w:rPr>
          <w:rFonts w:ascii="Arial" w:hAnsi="Arial" w:cs="Arial"/>
        </w:rPr>
        <w:t>Bargaz</w:t>
      </w:r>
      <w:proofErr w:type="spellEnd"/>
      <w:r w:rsidRPr="008B5F3A">
        <w:rPr>
          <w:rFonts w:ascii="Arial" w:hAnsi="Arial" w:cs="Arial"/>
        </w:rPr>
        <w:t xml:space="preserve">, A., </w:t>
      </w:r>
      <w:proofErr w:type="spellStart"/>
      <w:r w:rsidRPr="008B5F3A">
        <w:rPr>
          <w:rFonts w:ascii="Arial" w:hAnsi="Arial" w:cs="Arial"/>
        </w:rPr>
        <w:t>Yaakoubi</w:t>
      </w:r>
      <w:proofErr w:type="spellEnd"/>
      <w:r w:rsidRPr="008B5F3A">
        <w:rPr>
          <w:rFonts w:ascii="Arial" w:hAnsi="Arial" w:cs="Arial"/>
        </w:rPr>
        <w:t xml:space="preserve">, K., Hilali, A., Bennis, I., Zeroual, Y., &amp; </w:t>
      </w:r>
      <w:proofErr w:type="spellStart"/>
      <w:r w:rsidRPr="008B5F3A">
        <w:rPr>
          <w:rFonts w:ascii="Arial" w:hAnsi="Arial" w:cs="Arial"/>
        </w:rPr>
        <w:t>Kadmiri</w:t>
      </w:r>
      <w:proofErr w:type="spellEnd"/>
      <w:r w:rsidRPr="008B5F3A">
        <w:rPr>
          <w:rFonts w:ascii="Arial" w:hAnsi="Arial" w:cs="Arial"/>
        </w:rPr>
        <w:t>, I. (2021). Nitrogen Fixing Azotobacter Species as Potential Soil Biological Enhancers for Crop Nutrition and Yield Stability. </w:t>
      </w:r>
      <w:r w:rsidRPr="008B5F3A">
        <w:rPr>
          <w:rFonts w:ascii="Arial" w:hAnsi="Arial" w:cs="Arial"/>
          <w:i/>
          <w:iCs/>
        </w:rPr>
        <w:t>Frontiers in Microbiology</w:t>
      </w:r>
      <w:r w:rsidRPr="008B5F3A">
        <w:rPr>
          <w:rFonts w:ascii="Arial" w:hAnsi="Arial" w:cs="Arial"/>
        </w:rPr>
        <w:t>. </w:t>
      </w:r>
      <w:hyperlink r:id="rId21" w:tgtFrame="_blank" w:history="1">
        <w:r w:rsidRPr="008B5F3A">
          <w:rPr>
            <w:rStyle w:val="Hyperlink"/>
            <w:rFonts w:ascii="Arial" w:hAnsi="Arial" w:cs="Arial"/>
          </w:rPr>
          <w:t>https://doi.org/10.3389/FMICB.2021.628379</w:t>
        </w:r>
      </w:hyperlink>
    </w:p>
    <w:p w14:paraId="793A0DAD" w14:textId="77777777"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Abd-</w:t>
      </w:r>
      <w:proofErr w:type="spellStart"/>
      <w:r w:rsidRPr="008B5F3A">
        <w:rPr>
          <w:rFonts w:ascii="Arial" w:hAnsi="Arial" w:cs="Arial"/>
        </w:rPr>
        <w:t>Alla</w:t>
      </w:r>
      <w:proofErr w:type="spellEnd"/>
      <w:r w:rsidRPr="008B5F3A">
        <w:rPr>
          <w:rFonts w:ascii="Arial" w:hAnsi="Arial" w:cs="Arial"/>
        </w:rPr>
        <w:t>, M. H., Al-Amri, S. M., &amp; El-</w:t>
      </w:r>
      <w:proofErr w:type="spellStart"/>
      <w:r w:rsidRPr="008B5F3A">
        <w:rPr>
          <w:rFonts w:ascii="Arial" w:hAnsi="Arial" w:cs="Arial"/>
        </w:rPr>
        <w:t>Enany</w:t>
      </w:r>
      <w:proofErr w:type="spellEnd"/>
      <w:r w:rsidRPr="008B5F3A">
        <w:rPr>
          <w:rFonts w:ascii="Arial" w:hAnsi="Arial" w:cs="Arial"/>
        </w:rPr>
        <w:t>, A. E. (2023). Enhancing Rhizobium–Legume Symbiosis and Reducing Nitrogen Fertilizer Use Are Potential Options for Mitigating Climate Change. </w:t>
      </w:r>
      <w:r w:rsidRPr="008B5F3A">
        <w:rPr>
          <w:rFonts w:ascii="Arial" w:hAnsi="Arial" w:cs="Arial"/>
          <w:i/>
          <w:iCs/>
        </w:rPr>
        <w:t>Agriculture</w:t>
      </w:r>
      <w:r w:rsidRPr="008B5F3A">
        <w:rPr>
          <w:rFonts w:ascii="Arial" w:hAnsi="Arial" w:cs="Arial"/>
        </w:rPr>
        <w:t>. </w:t>
      </w:r>
      <w:hyperlink r:id="rId22" w:tgtFrame="_blank" w:history="1">
        <w:r w:rsidRPr="008B5F3A">
          <w:rPr>
            <w:rStyle w:val="Hyperlink"/>
            <w:rFonts w:ascii="Arial" w:hAnsi="Arial" w:cs="Arial"/>
          </w:rPr>
          <w:t>https://doi.org/10.3390/agriculture13112092</w:t>
        </w:r>
      </w:hyperlink>
    </w:p>
    <w:p w14:paraId="432B9019" w14:textId="49A26F57"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Abdul-Rahaman, I., &amp; Owusu-Sekyere, E. (2017). Climate variability and sustainable food production: Insights from north-eastern Ghana. </w:t>
      </w:r>
      <w:hyperlink r:id="rId23" w:tgtFrame="_blank" w:history="1">
        <w:r w:rsidRPr="008B5F3A">
          <w:rPr>
            <w:rStyle w:val="Hyperlink"/>
            <w:rFonts w:ascii="Arial" w:hAnsi="Arial" w:cs="Arial"/>
          </w:rPr>
          <w:t>https://doi.org/10.4314/GJG.V9I2</w:t>
        </w:r>
      </w:hyperlink>
    </w:p>
    <w:p w14:paraId="7943D86F" w14:textId="247F6FEC"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 xml:space="preserve">Abell, R., </w:t>
      </w:r>
      <w:proofErr w:type="spellStart"/>
      <w:r w:rsidRPr="008B5F3A">
        <w:rPr>
          <w:rFonts w:ascii="Arial" w:hAnsi="Arial" w:cs="Arial"/>
        </w:rPr>
        <w:t>Vigerstol</w:t>
      </w:r>
      <w:proofErr w:type="spellEnd"/>
      <w:r w:rsidRPr="008B5F3A">
        <w:rPr>
          <w:rFonts w:ascii="Arial" w:hAnsi="Arial" w:cs="Arial"/>
        </w:rPr>
        <w:t>, K., Higgins, J. V., Kang, S., Karres, N., Lehner, B., Sridhar, A., &amp; Chapin, E. (2019). Freshwater biodiversity conservation through source water protection: Quantifying the potential and addressing the challenges. *Aquatic Conservation-Marine and Freshwater Ecosystems. </w:t>
      </w:r>
      <w:hyperlink r:id="rId24" w:tgtFrame="_blank" w:history="1">
        <w:r w:rsidRPr="008B5F3A">
          <w:rPr>
            <w:rStyle w:val="Hyperlink"/>
            <w:rFonts w:ascii="Arial" w:hAnsi="Arial" w:cs="Arial"/>
          </w:rPr>
          <w:t>https://doi.org/10.1002/AQC.3091</w:t>
        </w:r>
      </w:hyperlink>
    </w:p>
    <w:p w14:paraId="3AD313DC" w14:textId="754AA843" w:rsidR="008B5F3A" w:rsidRPr="008B5F3A" w:rsidRDefault="008B5F3A" w:rsidP="00EC1D04">
      <w:pPr>
        <w:pStyle w:val="ListParagraph"/>
        <w:numPr>
          <w:ilvl w:val="0"/>
          <w:numId w:val="46"/>
        </w:numPr>
        <w:spacing w:after="200"/>
        <w:jc w:val="both"/>
        <w:rPr>
          <w:rFonts w:ascii="Arial" w:hAnsi="Arial" w:cs="Arial"/>
        </w:rPr>
      </w:pPr>
      <w:proofErr w:type="spellStart"/>
      <w:r w:rsidRPr="008B5F3A">
        <w:rPr>
          <w:rFonts w:ascii="Arial" w:hAnsi="Arial" w:cs="Arial"/>
        </w:rPr>
        <w:t>Aboutayeb</w:t>
      </w:r>
      <w:proofErr w:type="spellEnd"/>
      <w:r w:rsidRPr="008B5F3A">
        <w:rPr>
          <w:rFonts w:ascii="Arial" w:hAnsi="Arial" w:cs="Arial"/>
        </w:rPr>
        <w:t>, R., Boutarfa, A., &amp; Mrabet, R. (2023). Carbon Sequestration Strategies in Agricultural Lands. IGI Global. </w:t>
      </w:r>
      <w:hyperlink r:id="rId25" w:tgtFrame="_blank" w:history="1">
        <w:r w:rsidRPr="008B5F3A">
          <w:rPr>
            <w:rStyle w:val="Hyperlink"/>
            <w:rFonts w:ascii="Arial" w:hAnsi="Arial" w:cs="Arial"/>
          </w:rPr>
          <w:t>https://doi.org/10.4018/978-1-6684-9838-5.ch002</w:t>
        </w:r>
      </w:hyperlink>
    </w:p>
    <w:p w14:paraId="4EADAA60" w14:textId="77777777"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Abubakari, F. (2015). Effects of climate changing on food crop production system in Ghana. </w:t>
      </w:r>
      <w:r w:rsidRPr="008B5F3A">
        <w:rPr>
          <w:rFonts w:ascii="Arial" w:hAnsi="Arial" w:cs="Arial"/>
          <w:i/>
          <w:iCs/>
        </w:rPr>
        <w:t>Social Science Research Network</w:t>
      </w:r>
      <w:r w:rsidRPr="008B5F3A">
        <w:rPr>
          <w:rFonts w:ascii="Arial" w:hAnsi="Arial" w:cs="Arial"/>
        </w:rPr>
        <w:t>. </w:t>
      </w:r>
      <w:hyperlink r:id="rId26" w:tgtFrame="_blank" w:history="1">
        <w:r w:rsidRPr="008B5F3A">
          <w:rPr>
            <w:rStyle w:val="Hyperlink"/>
            <w:rFonts w:ascii="Arial" w:hAnsi="Arial" w:cs="Arial"/>
          </w:rPr>
          <w:t>https://papers.ssrn.com/sol3/papers.cfm?abstract_id=2587250</w:t>
        </w:r>
      </w:hyperlink>
    </w:p>
    <w:p w14:paraId="776DFB57" w14:textId="08FBA884"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Afridi, M. S., et al. (2022). New opportunities in plant microbiome engineering. </w:t>
      </w:r>
      <w:r w:rsidRPr="008B5F3A">
        <w:rPr>
          <w:rFonts w:ascii="Arial" w:hAnsi="Arial" w:cs="Arial"/>
          <w:i/>
          <w:iCs/>
        </w:rPr>
        <w:t>Frontiers in Plant Science</w:t>
      </w:r>
      <w:r w:rsidR="00EC1D04">
        <w:rPr>
          <w:rFonts w:ascii="Arial" w:hAnsi="Arial" w:cs="Arial"/>
          <w:i/>
          <w:iCs/>
        </w:rPr>
        <w:t>.</w:t>
      </w:r>
      <w:r w:rsidRPr="008B5F3A">
        <w:rPr>
          <w:rFonts w:ascii="Arial" w:hAnsi="Arial" w:cs="Arial"/>
        </w:rPr>
        <w:t> </w:t>
      </w:r>
      <w:hyperlink r:id="rId27" w:tgtFrame="_blank" w:history="1">
        <w:r w:rsidRPr="008B5F3A">
          <w:rPr>
            <w:rStyle w:val="Hyperlink"/>
            <w:rFonts w:ascii="Arial" w:hAnsi="Arial" w:cs="Arial"/>
          </w:rPr>
          <w:t>https://doi.org/10.3389/fpls.2022.899464</w:t>
        </w:r>
      </w:hyperlink>
    </w:p>
    <w:p w14:paraId="515029F9" w14:textId="75404B28"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Alomari, S. M., Hasan, R. S., Al-Najim, A. N., &amp; Saadi, A. M. (2024). Nitrogen-fixing Bacteria and their Applications in the Environment: A Review. </w:t>
      </w:r>
      <w:r w:rsidRPr="008B5F3A">
        <w:rPr>
          <w:rFonts w:ascii="Arial" w:hAnsi="Arial" w:cs="Arial"/>
          <w:i/>
          <w:iCs/>
        </w:rPr>
        <w:t>International Journal of Medical and All Body Health Research</w:t>
      </w:r>
      <w:r w:rsidRPr="008B5F3A">
        <w:rPr>
          <w:rFonts w:ascii="Arial" w:hAnsi="Arial" w:cs="Arial"/>
        </w:rPr>
        <w:t>. </w:t>
      </w:r>
      <w:hyperlink r:id="rId28" w:tgtFrame="_blank" w:history="1">
        <w:r w:rsidRPr="008B5F3A">
          <w:rPr>
            <w:rStyle w:val="Hyperlink"/>
            <w:rFonts w:ascii="Arial" w:hAnsi="Arial" w:cs="Arial"/>
          </w:rPr>
          <w:t>https://doi.org/10.54660/ijmbhr.2024.5.4.178-187</w:t>
        </w:r>
      </w:hyperlink>
    </w:p>
    <w:p w14:paraId="15F3B5D7" w14:textId="3CBD0031"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Annie, M., &amp; Pal, R. K. (2023). Assessing the impact of climate change on agriculture. </w:t>
      </w:r>
      <w:r w:rsidRPr="008B5F3A">
        <w:rPr>
          <w:rFonts w:ascii="Arial" w:hAnsi="Arial" w:cs="Arial"/>
          <w:i/>
          <w:iCs/>
        </w:rPr>
        <w:t>Int. J. Environ. Climate Change</w:t>
      </w:r>
      <w:r w:rsidRPr="008B5F3A">
        <w:rPr>
          <w:rFonts w:ascii="Arial" w:hAnsi="Arial" w:cs="Arial"/>
        </w:rPr>
        <w:t>. </w:t>
      </w:r>
      <w:hyperlink r:id="rId29" w:tgtFrame="_blank" w:history="1">
        <w:r w:rsidRPr="008B5F3A">
          <w:rPr>
            <w:rStyle w:val="Hyperlink"/>
            <w:rFonts w:ascii="Arial" w:hAnsi="Arial" w:cs="Arial"/>
          </w:rPr>
          <w:t>https://doi.org/10.9734/ijecc/2023/v13i71906</w:t>
        </w:r>
      </w:hyperlink>
    </w:p>
    <w:p w14:paraId="4193A889" w14:textId="003DB052"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 xml:space="preserve">Arnold, W., Rump, A., Klipp, W., Priefer, U. B., &amp; </w:t>
      </w:r>
      <w:proofErr w:type="spellStart"/>
      <w:r w:rsidRPr="008B5F3A">
        <w:rPr>
          <w:rFonts w:ascii="Arial" w:hAnsi="Arial" w:cs="Arial"/>
        </w:rPr>
        <w:t>Pühler</w:t>
      </w:r>
      <w:proofErr w:type="spellEnd"/>
      <w:r w:rsidRPr="008B5F3A">
        <w:rPr>
          <w:rFonts w:ascii="Arial" w:hAnsi="Arial" w:cs="Arial"/>
        </w:rPr>
        <w:t>, A. (1988). Nucleotide sequence of a 24,206-base-pair DNA fragment carrying the entire nitrogen fixation gene cluster of Klebsiella pneumoniae. </w:t>
      </w:r>
      <w:r w:rsidRPr="008B5F3A">
        <w:rPr>
          <w:rFonts w:ascii="Arial" w:hAnsi="Arial" w:cs="Arial"/>
          <w:i/>
          <w:iCs/>
        </w:rPr>
        <w:t>J. Mol. Biol</w:t>
      </w:r>
      <w:r w:rsidRPr="008B5F3A">
        <w:rPr>
          <w:rFonts w:ascii="Arial" w:hAnsi="Arial" w:cs="Arial"/>
        </w:rPr>
        <w:t>. </w:t>
      </w:r>
      <w:hyperlink r:id="rId30" w:tgtFrame="_blank" w:history="1">
        <w:r w:rsidRPr="008B5F3A">
          <w:rPr>
            <w:rStyle w:val="Hyperlink"/>
            <w:rFonts w:ascii="Arial" w:hAnsi="Arial" w:cs="Arial"/>
          </w:rPr>
          <w:t>https://doi.org/10.1016/0022-2836(88)90205-7</w:t>
        </w:r>
      </w:hyperlink>
    </w:p>
    <w:p w14:paraId="58B57449" w14:textId="626970FF" w:rsidR="008B5F3A" w:rsidRPr="008B5F3A" w:rsidRDefault="008B5F3A" w:rsidP="00EC1D04">
      <w:pPr>
        <w:pStyle w:val="ListParagraph"/>
        <w:numPr>
          <w:ilvl w:val="0"/>
          <w:numId w:val="46"/>
        </w:numPr>
        <w:spacing w:after="200"/>
        <w:jc w:val="both"/>
        <w:rPr>
          <w:rFonts w:ascii="Arial" w:hAnsi="Arial" w:cs="Arial"/>
        </w:rPr>
      </w:pPr>
      <w:proofErr w:type="spellStart"/>
      <w:r w:rsidRPr="008B5F3A">
        <w:rPr>
          <w:rFonts w:ascii="Arial" w:hAnsi="Arial" w:cs="Arial"/>
        </w:rPr>
        <w:t>Atakora</w:t>
      </w:r>
      <w:proofErr w:type="spellEnd"/>
      <w:r w:rsidRPr="008B5F3A">
        <w:rPr>
          <w:rFonts w:ascii="Arial" w:hAnsi="Arial" w:cs="Arial"/>
        </w:rPr>
        <w:t xml:space="preserve">, W. K., Kwakye, P. K., Weymann, D., &amp; Brüggemann, N. (2019). Stimulus of nitrogen fertilizers and soil characteristics on maize yield and nitrous oxide emission from Ferric </w:t>
      </w:r>
      <w:proofErr w:type="spellStart"/>
      <w:r w:rsidRPr="008B5F3A">
        <w:rPr>
          <w:rFonts w:ascii="Arial" w:hAnsi="Arial" w:cs="Arial"/>
        </w:rPr>
        <w:t>Luvisol</w:t>
      </w:r>
      <w:proofErr w:type="spellEnd"/>
      <w:r w:rsidRPr="008B5F3A">
        <w:rPr>
          <w:rFonts w:ascii="Arial" w:hAnsi="Arial" w:cs="Arial"/>
        </w:rPr>
        <w:t xml:space="preserve"> in the Guinea Savanna </w:t>
      </w:r>
      <w:proofErr w:type="spellStart"/>
      <w:r w:rsidRPr="008B5F3A">
        <w:rPr>
          <w:rFonts w:ascii="Arial" w:hAnsi="Arial" w:cs="Arial"/>
        </w:rPr>
        <w:t>agro</w:t>
      </w:r>
      <w:proofErr w:type="spellEnd"/>
      <w:r w:rsidRPr="008B5F3A">
        <w:rPr>
          <w:rFonts w:ascii="Arial" w:hAnsi="Arial" w:cs="Arial"/>
        </w:rPr>
        <w:t>-ecological zone of Ghana. </w:t>
      </w:r>
      <w:hyperlink r:id="rId31" w:tgtFrame="_blank" w:history="1">
        <w:r w:rsidRPr="008B5F3A">
          <w:rPr>
            <w:rStyle w:val="Hyperlink"/>
            <w:rFonts w:ascii="Arial" w:hAnsi="Arial" w:cs="Arial"/>
          </w:rPr>
          <w:t>https://doi.org/10.1016/J.SCIAF.2019.E00141</w:t>
        </w:r>
      </w:hyperlink>
    </w:p>
    <w:p w14:paraId="443AF4E1" w14:textId="14A7BDAB"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 xml:space="preserve">Austin, S., Buck, M., Cannon, W., </w:t>
      </w:r>
      <w:proofErr w:type="spellStart"/>
      <w:r w:rsidRPr="008B5F3A">
        <w:rPr>
          <w:rFonts w:ascii="Arial" w:hAnsi="Arial" w:cs="Arial"/>
        </w:rPr>
        <w:t>Eydmann</w:t>
      </w:r>
      <w:proofErr w:type="spellEnd"/>
      <w:r w:rsidRPr="008B5F3A">
        <w:rPr>
          <w:rFonts w:ascii="Arial" w:hAnsi="Arial" w:cs="Arial"/>
        </w:rPr>
        <w:t xml:space="preserve">, T., &amp; Dixon, R. (1994). Purification and in vitro activities of the native nitrogen fixation control proteins </w:t>
      </w:r>
      <w:proofErr w:type="spellStart"/>
      <w:r w:rsidRPr="008B5F3A">
        <w:rPr>
          <w:rFonts w:ascii="Arial" w:hAnsi="Arial" w:cs="Arial"/>
        </w:rPr>
        <w:t>NifA</w:t>
      </w:r>
      <w:proofErr w:type="spellEnd"/>
      <w:r w:rsidRPr="008B5F3A">
        <w:rPr>
          <w:rFonts w:ascii="Arial" w:hAnsi="Arial" w:cs="Arial"/>
        </w:rPr>
        <w:t xml:space="preserve"> and </w:t>
      </w:r>
      <w:proofErr w:type="spellStart"/>
      <w:r w:rsidRPr="008B5F3A">
        <w:rPr>
          <w:rFonts w:ascii="Arial" w:hAnsi="Arial" w:cs="Arial"/>
        </w:rPr>
        <w:t>NifL</w:t>
      </w:r>
      <w:proofErr w:type="spellEnd"/>
      <w:r w:rsidRPr="008B5F3A">
        <w:rPr>
          <w:rFonts w:ascii="Arial" w:hAnsi="Arial" w:cs="Arial"/>
        </w:rPr>
        <w:t>. </w:t>
      </w:r>
      <w:r w:rsidRPr="008B5F3A">
        <w:rPr>
          <w:rFonts w:ascii="Arial" w:hAnsi="Arial" w:cs="Arial"/>
          <w:i/>
          <w:iCs/>
        </w:rPr>
        <w:t xml:space="preserve">J. </w:t>
      </w:r>
      <w:proofErr w:type="spellStart"/>
      <w:r w:rsidRPr="008B5F3A">
        <w:rPr>
          <w:rFonts w:ascii="Arial" w:hAnsi="Arial" w:cs="Arial"/>
          <w:i/>
          <w:iCs/>
        </w:rPr>
        <w:t>Bacteriol</w:t>
      </w:r>
      <w:proofErr w:type="spellEnd"/>
      <w:r w:rsidRPr="008B5F3A">
        <w:rPr>
          <w:rFonts w:ascii="Arial" w:hAnsi="Arial" w:cs="Arial"/>
        </w:rPr>
        <w:t>. </w:t>
      </w:r>
      <w:hyperlink r:id="rId32" w:tgtFrame="_blank" w:history="1">
        <w:r w:rsidRPr="008B5F3A">
          <w:rPr>
            <w:rStyle w:val="Hyperlink"/>
            <w:rFonts w:ascii="Arial" w:hAnsi="Arial" w:cs="Arial"/>
          </w:rPr>
          <w:t>https://doi.org/10.1128/jb.176.11.3460-3465.1994</w:t>
        </w:r>
      </w:hyperlink>
    </w:p>
    <w:p w14:paraId="24D125D8" w14:textId="19F4E448"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 xml:space="preserve">Banchero, J. D., Lee, P. S., Wang, A. C., Doucleff, M., &amp; Wemmer, D. E. (2013). Structural mechanism of GAF-regulated </w:t>
      </w:r>
      <w:proofErr w:type="gramStart"/>
      <w:r w:rsidRPr="008B5F3A">
        <w:rPr>
          <w:rFonts w:ascii="Arial" w:hAnsi="Arial" w:cs="Arial"/>
        </w:rPr>
        <w:t>sigma(</w:t>
      </w:r>
      <w:proofErr w:type="gramEnd"/>
      <w:r w:rsidRPr="008B5F3A">
        <w:rPr>
          <w:rFonts w:ascii="Arial" w:hAnsi="Arial" w:cs="Arial"/>
        </w:rPr>
        <w:t xml:space="preserve">54) activators from </w:t>
      </w:r>
      <w:proofErr w:type="spellStart"/>
      <w:r w:rsidRPr="008B5F3A">
        <w:rPr>
          <w:rFonts w:ascii="Arial" w:hAnsi="Arial" w:cs="Arial"/>
        </w:rPr>
        <w:t>Aquifex</w:t>
      </w:r>
      <w:proofErr w:type="spellEnd"/>
      <w:r w:rsidRPr="008B5F3A">
        <w:rPr>
          <w:rFonts w:ascii="Arial" w:hAnsi="Arial" w:cs="Arial"/>
        </w:rPr>
        <w:t xml:space="preserve"> </w:t>
      </w:r>
      <w:proofErr w:type="spellStart"/>
      <w:r w:rsidRPr="008B5F3A">
        <w:rPr>
          <w:rFonts w:ascii="Arial" w:hAnsi="Arial" w:cs="Arial"/>
        </w:rPr>
        <w:t>aeolicus</w:t>
      </w:r>
      <w:proofErr w:type="spellEnd"/>
      <w:r w:rsidRPr="008B5F3A">
        <w:rPr>
          <w:rFonts w:ascii="Arial" w:hAnsi="Arial" w:cs="Arial"/>
        </w:rPr>
        <w:t>. </w:t>
      </w:r>
      <w:r w:rsidRPr="008B5F3A">
        <w:rPr>
          <w:rFonts w:ascii="Arial" w:hAnsi="Arial" w:cs="Arial"/>
          <w:i/>
          <w:iCs/>
        </w:rPr>
        <w:t>J. Mol. Biol</w:t>
      </w:r>
      <w:r w:rsidRPr="008B5F3A">
        <w:rPr>
          <w:rFonts w:ascii="Arial" w:hAnsi="Arial" w:cs="Arial"/>
        </w:rPr>
        <w:t>. </w:t>
      </w:r>
      <w:hyperlink r:id="rId33" w:tgtFrame="_blank" w:history="1">
        <w:r w:rsidRPr="008B5F3A">
          <w:rPr>
            <w:rStyle w:val="Hyperlink"/>
            <w:rFonts w:ascii="Arial" w:hAnsi="Arial" w:cs="Arial"/>
          </w:rPr>
          <w:t>https://doi.org/10.1016/j.jmb.2012.10.019</w:t>
        </w:r>
      </w:hyperlink>
    </w:p>
    <w:p w14:paraId="06A59B9A" w14:textId="1403CD02"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Banerjee, P., &amp; Mukhopadhyay, A. (2021). Microalgal Photobioreactors as an Integrated Approach for Simultaneous Wastewater Treatment, Carbon Sequestration, and Recovery of Valuable Resources. IGI Global. </w:t>
      </w:r>
      <w:hyperlink r:id="rId34" w:tgtFrame="_blank" w:history="1">
        <w:r w:rsidRPr="008B5F3A">
          <w:rPr>
            <w:rStyle w:val="Hyperlink"/>
            <w:rFonts w:ascii="Arial" w:hAnsi="Arial" w:cs="Arial"/>
          </w:rPr>
          <w:t>https://doi.org/10.4018/978-1-7998-4921-6.CH008</w:t>
        </w:r>
      </w:hyperlink>
    </w:p>
    <w:p w14:paraId="1A4F050A" w14:textId="2BB3CE1D"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Barron, S., et al. (2024). </w:t>
      </w:r>
      <w:proofErr w:type="spellStart"/>
      <w:r w:rsidRPr="008B5F3A">
        <w:rPr>
          <w:rFonts w:ascii="Arial" w:hAnsi="Arial" w:cs="Arial"/>
        </w:rPr>
        <w:t>Azotobacter</w:t>
      </w:r>
      <w:proofErr w:type="spellEnd"/>
      <w:r w:rsidRPr="008B5F3A">
        <w:rPr>
          <w:rFonts w:ascii="Arial" w:hAnsi="Arial" w:cs="Arial"/>
        </w:rPr>
        <w:t xml:space="preserve"> </w:t>
      </w:r>
      <w:proofErr w:type="spellStart"/>
      <w:r w:rsidRPr="008B5F3A">
        <w:rPr>
          <w:rFonts w:ascii="Arial" w:hAnsi="Arial" w:cs="Arial"/>
        </w:rPr>
        <w:t>vinelandii</w:t>
      </w:r>
      <w:proofErr w:type="spellEnd"/>
      <w:r w:rsidRPr="008B5F3A">
        <w:rPr>
          <w:rFonts w:ascii="Arial" w:hAnsi="Arial" w:cs="Arial"/>
        </w:rPr>
        <w:t>—A blueprint for nitrogen-fixing plants? </w:t>
      </w:r>
      <w:r w:rsidRPr="008B5F3A">
        <w:rPr>
          <w:rFonts w:ascii="Arial" w:hAnsi="Arial" w:cs="Arial"/>
          <w:i/>
          <w:iCs/>
        </w:rPr>
        <w:t>Microorganisms</w:t>
      </w:r>
      <w:r w:rsidRPr="008B5F3A">
        <w:rPr>
          <w:rFonts w:ascii="Arial" w:hAnsi="Arial" w:cs="Arial"/>
        </w:rPr>
        <w:t>. </w:t>
      </w:r>
      <w:hyperlink r:id="rId35" w:tgtFrame="_blank" w:history="1">
        <w:r w:rsidRPr="008B5F3A">
          <w:rPr>
            <w:rStyle w:val="Hyperlink"/>
            <w:rFonts w:ascii="Arial" w:hAnsi="Arial" w:cs="Arial"/>
          </w:rPr>
          <w:t>https://doi.org/10.3390/microorganisms12102087</w:t>
        </w:r>
      </w:hyperlink>
    </w:p>
    <w:p w14:paraId="483EED09" w14:textId="6C2CF0F8"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lastRenderedPageBreak/>
        <w:t xml:space="preserve">Batchelor, J. D., Lee, P. S., Wang, A. C., Doucleff, M., &amp; Wemmer, D. E. (2013). Structural mechanism of GAF-regulated </w:t>
      </w:r>
      <w:proofErr w:type="gramStart"/>
      <w:r w:rsidRPr="008B5F3A">
        <w:rPr>
          <w:rFonts w:ascii="Arial" w:hAnsi="Arial" w:cs="Arial"/>
        </w:rPr>
        <w:t>sigma(</w:t>
      </w:r>
      <w:proofErr w:type="gramEnd"/>
      <w:r w:rsidRPr="008B5F3A">
        <w:rPr>
          <w:rFonts w:ascii="Arial" w:hAnsi="Arial" w:cs="Arial"/>
        </w:rPr>
        <w:t xml:space="preserve">54) activators from </w:t>
      </w:r>
      <w:proofErr w:type="spellStart"/>
      <w:r w:rsidRPr="008B5F3A">
        <w:rPr>
          <w:rFonts w:ascii="Arial" w:hAnsi="Arial" w:cs="Arial"/>
        </w:rPr>
        <w:t>Aquifex</w:t>
      </w:r>
      <w:proofErr w:type="spellEnd"/>
      <w:r w:rsidRPr="008B5F3A">
        <w:rPr>
          <w:rFonts w:ascii="Arial" w:hAnsi="Arial" w:cs="Arial"/>
        </w:rPr>
        <w:t xml:space="preserve"> </w:t>
      </w:r>
      <w:proofErr w:type="spellStart"/>
      <w:r w:rsidRPr="008B5F3A">
        <w:rPr>
          <w:rFonts w:ascii="Arial" w:hAnsi="Arial" w:cs="Arial"/>
        </w:rPr>
        <w:t>aeolicus</w:t>
      </w:r>
      <w:proofErr w:type="spellEnd"/>
      <w:r w:rsidRPr="008B5F3A">
        <w:rPr>
          <w:rFonts w:ascii="Arial" w:hAnsi="Arial" w:cs="Arial"/>
        </w:rPr>
        <w:t>. </w:t>
      </w:r>
      <w:r w:rsidRPr="008B5F3A">
        <w:rPr>
          <w:rFonts w:ascii="Arial" w:hAnsi="Arial" w:cs="Arial"/>
          <w:i/>
          <w:iCs/>
        </w:rPr>
        <w:t>J. Mol. Biol.</w:t>
      </w:r>
      <w:r w:rsidR="00EC1D04">
        <w:rPr>
          <w:rFonts w:ascii="Arial" w:hAnsi="Arial" w:cs="Arial"/>
          <w:i/>
          <w:iCs/>
        </w:rPr>
        <w:t xml:space="preserve"> </w:t>
      </w:r>
      <w:hyperlink r:id="rId36" w:tgtFrame="_blank" w:history="1">
        <w:r w:rsidRPr="008B5F3A">
          <w:rPr>
            <w:rStyle w:val="Hyperlink"/>
            <w:rFonts w:ascii="Arial" w:hAnsi="Arial" w:cs="Arial"/>
          </w:rPr>
          <w:t>https://doi.org/10.1016/j.jmb.2012.10.019</w:t>
        </w:r>
      </w:hyperlink>
    </w:p>
    <w:p w14:paraId="31185CAB" w14:textId="1C7F0559"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Beyer, U., &amp; Ullrich, O. (2023). Raising awareness through simulation games. </w:t>
      </w:r>
      <w:r w:rsidRPr="008B5F3A">
        <w:rPr>
          <w:rFonts w:ascii="Arial" w:hAnsi="Arial" w:cs="Arial"/>
          <w:i/>
          <w:iCs/>
        </w:rPr>
        <w:t>Simulation Notes Europe</w:t>
      </w:r>
      <w:r w:rsidR="00EC1D04">
        <w:rPr>
          <w:rFonts w:ascii="Arial" w:hAnsi="Arial" w:cs="Arial"/>
          <w:i/>
          <w:iCs/>
        </w:rPr>
        <w:t>.</w:t>
      </w:r>
      <w:r w:rsidRPr="008B5F3A">
        <w:rPr>
          <w:rFonts w:ascii="Arial" w:hAnsi="Arial" w:cs="Arial"/>
        </w:rPr>
        <w:t> </w:t>
      </w:r>
      <w:hyperlink r:id="rId37" w:tgtFrame="_blank" w:history="1">
        <w:r w:rsidRPr="008B5F3A">
          <w:rPr>
            <w:rStyle w:val="Hyperlink"/>
            <w:rFonts w:ascii="Arial" w:hAnsi="Arial" w:cs="Arial"/>
          </w:rPr>
          <w:t>https://doi.org/10.11128/sne.33.tn.10644</w:t>
        </w:r>
      </w:hyperlink>
    </w:p>
    <w:p w14:paraId="0EA7E344" w14:textId="77777777" w:rsidR="008B5F3A" w:rsidRPr="008B5F3A" w:rsidRDefault="008B5F3A" w:rsidP="00EC1D04">
      <w:pPr>
        <w:pStyle w:val="ListParagraph"/>
        <w:numPr>
          <w:ilvl w:val="0"/>
          <w:numId w:val="46"/>
        </w:numPr>
        <w:spacing w:after="200"/>
        <w:jc w:val="both"/>
        <w:rPr>
          <w:rFonts w:ascii="Arial" w:hAnsi="Arial" w:cs="Arial"/>
        </w:rPr>
      </w:pPr>
      <w:proofErr w:type="spellStart"/>
      <w:r w:rsidRPr="008B5F3A">
        <w:rPr>
          <w:rFonts w:ascii="Arial" w:hAnsi="Arial" w:cs="Arial"/>
        </w:rPr>
        <w:t>Biaotang</w:t>
      </w:r>
      <w:proofErr w:type="spellEnd"/>
      <w:r w:rsidRPr="008B5F3A">
        <w:rPr>
          <w:rFonts w:ascii="Arial" w:hAnsi="Arial" w:cs="Arial"/>
        </w:rPr>
        <w:t xml:space="preserve">, W., &amp; </w:t>
      </w:r>
      <w:proofErr w:type="spellStart"/>
      <w:r w:rsidRPr="008B5F3A">
        <w:rPr>
          <w:rFonts w:ascii="Arial" w:hAnsi="Arial" w:cs="Arial"/>
        </w:rPr>
        <w:t>Kongyao</w:t>
      </w:r>
      <w:proofErr w:type="spellEnd"/>
      <w:r w:rsidRPr="008B5F3A">
        <w:rPr>
          <w:rFonts w:ascii="Arial" w:hAnsi="Arial" w:cs="Arial"/>
        </w:rPr>
        <w:t>, X. (2017). Intelligent fertilizer dispensing system.</w:t>
      </w:r>
    </w:p>
    <w:p w14:paraId="59C664B2" w14:textId="66AD0BB1"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 xml:space="preserve">Bonilla Cedrez, C., Chamberlin, J., Guo, Z., &amp; </w:t>
      </w:r>
      <w:proofErr w:type="spellStart"/>
      <w:r w:rsidRPr="008B5F3A">
        <w:rPr>
          <w:rFonts w:ascii="Arial" w:hAnsi="Arial" w:cs="Arial"/>
        </w:rPr>
        <w:t>Hijmans</w:t>
      </w:r>
      <w:proofErr w:type="spellEnd"/>
      <w:r w:rsidRPr="008B5F3A">
        <w:rPr>
          <w:rFonts w:ascii="Arial" w:hAnsi="Arial" w:cs="Arial"/>
        </w:rPr>
        <w:t>, R. J. (2020). Spatial variation in fertilizer prices in Sub-Saharan Africa. </w:t>
      </w:r>
      <w:proofErr w:type="spellStart"/>
      <w:r w:rsidRPr="008B5F3A">
        <w:rPr>
          <w:rFonts w:ascii="Arial" w:hAnsi="Arial" w:cs="Arial"/>
          <w:i/>
          <w:iCs/>
        </w:rPr>
        <w:t>PLoS</w:t>
      </w:r>
      <w:proofErr w:type="spellEnd"/>
      <w:r w:rsidRPr="008B5F3A">
        <w:rPr>
          <w:rFonts w:ascii="Arial" w:hAnsi="Arial" w:cs="Arial"/>
          <w:i/>
          <w:iCs/>
        </w:rPr>
        <w:t xml:space="preserve"> ONE</w:t>
      </w:r>
      <w:r w:rsidRPr="008B5F3A">
        <w:rPr>
          <w:rFonts w:ascii="Arial" w:hAnsi="Arial" w:cs="Arial"/>
        </w:rPr>
        <w:t>. </w:t>
      </w:r>
      <w:hyperlink r:id="rId38" w:tgtFrame="_blank" w:history="1">
        <w:r w:rsidRPr="008B5F3A">
          <w:rPr>
            <w:rStyle w:val="Hyperlink"/>
            <w:rFonts w:ascii="Arial" w:hAnsi="Arial" w:cs="Arial"/>
          </w:rPr>
          <w:t>https://doi.org/10.1371/journal.pone.0227764</w:t>
        </w:r>
      </w:hyperlink>
    </w:p>
    <w:p w14:paraId="2B11D4F6" w14:textId="4E7D1762"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 xml:space="preserve">Bonea, D. (2024). Improving crop drought tolerance through genome editing technology. *Annals of the University of Craiova - Agriculture, </w:t>
      </w:r>
      <w:proofErr w:type="spellStart"/>
      <w:r w:rsidRPr="008B5F3A">
        <w:rPr>
          <w:rFonts w:ascii="Arial" w:hAnsi="Arial" w:cs="Arial"/>
        </w:rPr>
        <w:t>Montanology</w:t>
      </w:r>
      <w:proofErr w:type="spellEnd"/>
      <w:r w:rsidRPr="008B5F3A">
        <w:rPr>
          <w:rFonts w:ascii="Arial" w:hAnsi="Arial" w:cs="Arial"/>
        </w:rPr>
        <w:t xml:space="preserve">, </w:t>
      </w:r>
      <w:proofErr w:type="spellStart"/>
      <w:r w:rsidRPr="008B5F3A">
        <w:rPr>
          <w:rFonts w:ascii="Arial" w:hAnsi="Arial" w:cs="Arial"/>
        </w:rPr>
        <w:t>Cadastre</w:t>
      </w:r>
      <w:proofErr w:type="spellEnd"/>
      <w:r w:rsidRPr="008B5F3A">
        <w:rPr>
          <w:rFonts w:ascii="Arial" w:hAnsi="Arial" w:cs="Arial"/>
        </w:rPr>
        <w:t xml:space="preserve"> Series. </w:t>
      </w:r>
      <w:hyperlink r:id="rId39" w:tgtFrame="_blank" w:history="1">
        <w:r w:rsidRPr="008B5F3A">
          <w:rPr>
            <w:rStyle w:val="Hyperlink"/>
            <w:rFonts w:ascii="Arial" w:hAnsi="Arial" w:cs="Arial"/>
          </w:rPr>
          <w:t>https://doi.org/10.52846/aamc.v54i1.1534</w:t>
        </w:r>
      </w:hyperlink>
    </w:p>
    <w:p w14:paraId="6623A21A" w14:textId="122716DB"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Boyd, E. S., Hamilton, T. L., &amp; Peters, J. W. (2011). An alternative path for the evolution of biological nitrogen fixation. </w:t>
      </w:r>
      <w:r w:rsidRPr="008B5F3A">
        <w:rPr>
          <w:rFonts w:ascii="Arial" w:hAnsi="Arial" w:cs="Arial"/>
          <w:i/>
          <w:iCs/>
        </w:rPr>
        <w:t>Front. Microbiol</w:t>
      </w:r>
      <w:r w:rsidRPr="008B5F3A">
        <w:rPr>
          <w:rFonts w:ascii="Arial" w:hAnsi="Arial" w:cs="Arial"/>
        </w:rPr>
        <w:t>. </w:t>
      </w:r>
      <w:hyperlink r:id="rId40" w:tgtFrame="_blank" w:history="1">
        <w:r w:rsidRPr="008B5F3A">
          <w:rPr>
            <w:rStyle w:val="Hyperlink"/>
            <w:rFonts w:ascii="Arial" w:hAnsi="Arial" w:cs="Arial"/>
          </w:rPr>
          <w:t>https://doi.org/10.3389/fmicb.2011.00205</w:t>
        </w:r>
      </w:hyperlink>
    </w:p>
    <w:p w14:paraId="000EBD41" w14:textId="1A92EB81"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Bueno Batista, M., &amp; Dixon, R. (2019). Manipulating nitrogen regulation in diazotrophic bacteria for agronomic benefit. </w:t>
      </w:r>
      <w:proofErr w:type="spellStart"/>
      <w:r w:rsidRPr="008B5F3A">
        <w:rPr>
          <w:rFonts w:ascii="Arial" w:hAnsi="Arial" w:cs="Arial"/>
          <w:i/>
          <w:iCs/>
        </w:rPr>
        <w:t>Biochem</w:t>
      </w:r>
      <w:proofErr w:type="spellEnd"/>
      <w:r w:rsidRPr="008B5F3A">
        <w:rPr>
          <w:rFonts w:ascii="Arial" w:hAnsi="Arial" w:cs="Arial"/>
          <w:i/>
          <w:iCs/>
        </w:rPr>
        <w:t>. Soc. Trans.</w:t>
      </w:r>
      <w:r w:rsidRPr="008B5F3A">
        <w:rPr>
          <w:rFonts w:ascii="Arial" w:hAnsi="Arial" w:cs="Arial"/>
        </w:rPr>
        <w:t> </w:t>
      </w:r>
      <w:hyperlink r:id="rId41" w:tgtFrame="_blank" w:history="1">
        <w:r w:rsidRPr="008B5F3A">
          <w:rPr>
            <w:rStyle w:val="Hyperlink"/>
            <w:rFonts w:ascii="Arial" w:hAnsi="Arial" w:cs="Arial"/>
          </w:rPr>
          <w:t>https://doi.org/10.1042/BST20180342</w:t>
        </w:r>
      </w:hyperlink>
    </w:p>
    <w:p w14:paraId="507F191D" w14:textId="691B7261"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Burris, R. H., &amp; Roberts, G. P. (1993). Biological Nitrogen Fixation. </w:t>
      </w:r>
      <w:r w:rsidRPr="008B5F3A">
        <w:rPr>
          <w:rFonts w:ascii="Arial" w:hAnsi="Arial" w:cs="Arial"/>
          <w:i/>
          <w:iCs/>
        </w:rPr>
        <w:t xml:space="preserve">Annu. Rev. </w:t>
      </w:r>
      <w:proofErr w:type="spellStart"/>
      <w:r w:rsidRPr="008B5F3A">
        <w:rPr>
          <w:rFonts w:ascii="Arial" w:hAnsi="Arial" w:cs="Arial"/>
          <w:i/>
          <w:iCs/>
        </w:rPr>
        <w:t>Nutr</w:t>
      </w:r>
      <w:proofErr w:type="spellEnd"/>
      <w:r w:rsidRPr="008B5F3A">
        <w:rPr>
          <w:rFonts w:ascii="Arial" w:hAnsi="Arial" w:cs="Arial"/>
        </w:rPr>
        <w:t>. </w:t>
      </w:r>
      <w:hyperlink r:id="rId42" w:tgtFrame="_blank" w:history="1">
        <w:r w:rsidRPr="008B5F3A">
          <w:rPr>
            <w:rStyle w:val="Hyperlink"/>
            <w:rFonts w:ascii="Arial" w:hAnsi="Arial" w:cs="Arial"/>
          </w:rPr>
          <w:t>https://doi.org/10.1146/ANNUREV.NU.13.070193.001533</w:t>
        </w:r>
      </w:hyperlink>
    </w:p>
    <w:p w14:paraId="36F357B6" w14:textId="52338D4E"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Canfield, D. E., Glazer, A. N., &amp; Falkowski, P. G. (2010). The evolution and future of Earth’s nitrogen cycle. </w:t>
      </w:r>
      <w:r w:rsidRPr="008B5F3A">
        <w:rPr>
          <w:rFonts w:ascii="Arial" w:hAnsi="Arial" w:cs="Arial"/>
          <w:i/>
          <w:iCs/>
        </w:rPr>
        <w:t>Science</w:t>
      </w:r>
      <w:r w:rsidR="00EC1D04">
        <w:rPr>
          <w:rFonts w:ascii="Arial" w:hAnsi="Arial" w:cs="Arial"/>
          <w:i/>
          <w:iCs/>
        </w:rPr>
        <w:t xml:space="preserve">. </w:t>
      </w:r>
      <w:hyperlink r:id="rId43" w:tgtFrame="_blank" w:history="1">
        <w:r w:rsidRPr="008B5F3A">
          <w:rPr>
            <w:rStyle w:val="Hyperlink"/>
            <w:rFonts w:ascii="Arial" w:hAnsi="Arial" w:cs="Arial"/>
          </w:rPr>
          <w:t>https://doi.org/10.1126/science.1186120</w:t>
        </w:r>
      </w:hyperlink>
    </w:p>
    <w:p w14:paraId="3078B0FE" w14:textId="737F2114" w:rsidR="008B5F3A" w:rsidRPr="008B5F3A" w:rsidRDefault="008B5F3A" w:rsidP="00EC1D04">
      <w:pPr>
        <w:pStyle w:val="ListParagraph"/>
        <w:numPr>
          <w:ilvl w:val="0"/>
          <w:numId w:val="46"/>
        </w:numPr>
        <w:spacing w:after="200"/>
        <w:jc w:val="both"/>
        <w:rPr>
          <w:rFonts w:ascii="Arial" w:hAnsi="Arial" w:cs="Arial"/>
        </w:rPr>
      </w:pPr>
      <w:proofErr w:type="spellStart"/>
      <w:r w:rsidRPr="008B5F3A">
        <w:rPr>
          <w:rFonts w:ascii="Arial" w:hAnsi="Arial" w:cs="Arial"/>
        </w:rPr>
        <w:t>Česálková</w:t>
      </w:r>
      <w:proofErr w:type="spellEnd"/>
      <w:r w:rsidRPr="008B5F3A">
        <w:rPr>
          <w:rFonts w:ascii="Arial" w:hAnsi="Arial" w:cs="Arial"/>
        </w:rPr>
        <w:t>, L. (2023). Orchestration of the plant microbiome. In </w:t>
      </w:r>
      <w:r w:rsidRPr="008B5F3A">
        <w:rPr>
          <w:rFonts w:ascii="Arial" w:hAnsi="Arial" w:cs="Arial"/>
          <w:i/>
          <w:iCs/>
        </w:rPr>
        <w:t>Microbiomes for Sustainable Agriculture</w:t>
      </w:r>
      <w:r w:rsidR="00EC1D04">
        <w:rPr>
          <w:rFonts w:ascii="Arial" w:hAnsi="Arial" w:cs="Arial"/>
        </w:rPr>
        <w:t>.</w:t>
      </w:r>
      <w:r w:rsidRPr="008B5F3A">
        <w:rPr>
          <w:rFonts w:ascii="Arial" w:hAnsi="Arial" w:cs="Arial"/>
        </w:rPr>
        <w:t> </w:t>
      </w:r>
      <w:hyperlink r:id="rId44" w:tgtFrame="_blank" w:history="1">
        <w:r w:rsidRPr="008B5F3A">
          <w:rPr>
            <w:rStyle w:val="Hyperlink"/>
            <w:rFonts w:ascii="Arial" w:hAnsi="Arial" w:cs="Arial"/>
          </w:rPr>
          <w:t>https://doi.org/10.1007/978-3-031-24181-9_2</w:t>
        </w:r>
      </w:hyperlink>
    </w:p>
    <w:p w14:paraId="212ACBE1" w14:textId="50D0980E"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 xml:space="preserve">Chelle, S. R., Kishore, C. V. L., Reddy, G., Akshay, D. V. S., Kalpana, K., Lavanya, P., &amp; </w:t>
      </w:r>
      <w:proofErr w:type="spellStart"/>
      <w:r w:rsidRPr="008B5F3A">
        <w:rPr>
          <w:rFonts w:ascii="Arial" w:hAnsi="Arial" w:cs="Arial"/>
        </w:rPr>
        <w:t>Choragudi</w:t>
      </w:r>
      <w:proofErr w:type="spellEnd"/>
      <w:r w:rsidRPr="008B5F3A">
        <w:rPr>
          <w:rFonts w:ascii="Arial" w:hAnsi="Arial" w:cs="Arial"/>
        </w:rPr>
        <w:t>, K. H. (2024). Symbiotic Relationships between Nitrogen-fixing Bacteria and Leguminous Plants Ecological and Evolutionary Perspectives: A Review. </w:t>
      </w:r>
      <w:r w:rsidRPr="008B5F3A">
        <w:rPr>
          <w:rFonts w:ascii="Arial" w:hAnsi="Arial" w:cs="Arial"/>
          <w:i/>
          <w:iCs/>
        </w:rPr>
        <w:t>Uttar Pradesh Journal of Zoology</w:t>
      </w:r>
      <w:r w:rsidRPr="008B5F3A">
        <w:rPr>
          <w:rFonts w:ascii="Arial" w:hAnsi="Arial" w:cs="Arial"/>
        </w:rPr>
        <w:t>. </w:t>
      </w:r>
      <w:hyperlink r:id="rId45" w:tgtFrame="_blank" w:history="1">
        <w:r w:rsidRPr="008B5F3A">
          <w:rPr>
            <w:rStyle w:val="Hyperlink"/>
            <w:rFonts w:ascii="Arial" w:hAnsi="Arial" w:cs="Arial"/>
          </w:rPr>
          <w:t>https://doi.org/10.56557/upjoz/2024/v45i134143</w:t>
        </w:r>
      </w:hyperlink>
    </w:p>
    <w:p w14:paraId="01DC34C8" w14:textId="27BA8E6D"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 xml:space="preserve">Chen, X., Pu, H., </w:t>
      </w:r>
      <w:proofErr w:type="spellStart"/>
      <w:r w:rsidRPr="008B5F3A">
        <w:rPr>
          <w:rFonts w:ascii="Arial" w:hAnsi="Arial" w:cs="Arial"/>
        </w:rPr>
        <w:t>Zipeng</w:t>
      </w:r>
      <w:proofErr w:type="spellEnd"/>
      <w:r w:rsidRPr="008B5F3A">
        <w:rPr>
          <w:rFonts w:ascii="Arial" w:hAnsi="Arial" w:cs="Arial"/>
        </w:rPr>
        <w:t>, F., et al. (2018). Real-time and selective detection of nitrates in water using graphene-based field-effect transistor sensors. </w:t>
      </w:r>
      <w:r w:rsidRPr="008B5F3A">
        <w:rPr>
          <w:rFonts w:ascii="Arial" w:hAnsi="Arial" w:cs="Arial"/>
          <w:i/>
          <w:iCs/>
        </w:rPr>
        <w:t>Environmental Science: Nano</w:t>
      </w:r>
      <w:r w:rsidRPr="008B5F3A">
        <w:rPr>
          <w:rFonts w:ascii="Arial" w:hAnsi="Arial" w:cs="Arial"/>
        </w:rPr>
        <w:t>. </w:t>
      </w:r>
      <w:hyperlink r:id="rId46" w:tgtFrame="_blank" w:history="1">
        <w:r w:rsidRPr="008B5F3A">
          <w:rPr>
            <w:rStyle w:val="Hyperlink"/>
            <w:rFonts w:ascii="Arial" w:hAnsi="Arial" w:cs="Arial"/>
          </w:rPr>
          <w:t>https://doi.org/10.1039/C8EN00588E</w:t>
        </w:r>
      </w:hyperlink>
    </w:p>
    <w:p w14:paraId="77E19F6A" w14:textId="1638D1AD"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Cheng, X., Liu, Y., &amp; Wang, H. (2019). Atmospheric nitrogen deposition and its impact on ecosystem nutrient cycles. </w:t>
      </w:r>
      <w:r w:rsidRPr="008B5F3A">
        <w:rPr>
          <w:rFonts w:ascii="Arial" w:hAnsi="Arial" w:cs="Arial"/>
          <w:i/>
          <w:iCs/>
        </w:rPr>
        <w:t>Environmental Science &amp; Technology</w:t>
      </w:r>
      <w:r w:rsidRPr="008B5F3A">
        <w:rPr>
          <w:rFonts w:ascii="Arial" w:hAnsi="Arial" w:cs="Arial"/>
        </w:rPr>
        <w:t>.</w:t>
      </w:r>
    </w:p>
    <w:p w14:paraId="25AD9FA5" w14:textId="758BF29A"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Cocking, E. C., &amp; Stone, P. J. (2014). Mitigating Increases in Nitrogen Deposition: The Challenge of Extending Symbiotic Nitrogen Fixation to Cereals and Other Non-legume Crops. Springer. </w:t>
      </w:r>
      <w:hyperlink r:id="rId47" w:tgtFrame="_blank" w:history="1">
        <w:r w:rsidRPr="008B5F3A">
          <w:rPr>
            <w:rStyle w:val="Hyperlink"/>
            <w:rFonts w:ascii="Arial" w:hAnsi="Arial" w:cs="Arial"/>
          </w:rPr>
          <w:t>https://doi.org/10.1007/978-94-007-7939-6_47</w:t>
        </w:r>
      </w:hyperlink>
    </w:p>
    <w:p w14:paraId="6E7ADDCB" w14:textId="6E13B890"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Das, H., Singh, S. K., Priyadarshini, E., et al. (2024). Nanotechnology Facilitated Real Time Soil Monitoring for Optimized Crop Production. </w:t>
      </w:r>
      <w:r w:rsidRPr="008B5F3A">
        <w:rPr>
          <w:rFonts w:ascii="Arial" w:hAnsi="Arial" w:cs="Arial"/>
          <w:i/>
          <w:iCs/>
        </w:rPr>
        <w:t>Asian Journal of Soil Science and Plant Nutrition</w:t>
      </w:r>
      <w:r w:rsidR="00EC1D04">
        <w:rPr>
          <w:rFonts w:ascii="Arial" w:hAnsi="Arial" w:cs="Arial"/>
          <w:i/>
          <w:iCs/>
        </w:rPr>
        <w:t xml:space="preserve">. </w:t>
      </w:r>
      <w:hyperlink r:id="rId48" w:tgtFrame="_blank" w:history="1">
        <w:r w:rsidRPr="008B5F3A">
          <w:rPr>
            <w:rStyle w:val="Hyperlink"/>
            <w:rFonts w:ascii="Arial" w:hAnsi="Arial" w:cs="Arial"/>
          </w:rPr>
          <w:t>https://doi.org/10.9734/ajsspn/2024/v10i2315</w:t>
        </w:r>
      </w:hyperlink>
    </w:p>
    <w:p w14:paraId="7A9BAE0D" w14:textId="5746B8D1"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Das, H. K. (2019). Azotobacters as biofertilizer. </w:t>
      </w:r>
      <w:r w:rsidRPr="008B5F3A">
        <w:rPr>
          <w:rFonts w:ascii="Arial" w:hAnsi="Arial" w:cs="Arial"/>
          <w:i/>
          <w:iCs/>
        </w:rPr>
        <w:t>Adv. Appl. Microbiol</w:t>
      </w:r>
      <w:r w:rsidRPr="008B5F3A">
        <w:rPr>
          <w:rFonts w:ascii="Arial" w:hAnsi="Arial" w:cs="Arial"/>
        </w:rPr>
        <w:t>. </w:t>
      </w:r>
      <w:hyperlink r:id="rId49" w:tgtFrame="_blank" w:history="1">
        <w:r w:rsidRPr="008B5F3A">
          <w:rPr>
            <w:rStyle w:val="Hyperlink"/>
            <w:rFonts w:ascii="Arial" w:hAnsi="Arial" w:cs="Arial"/>
          </w:rPr>
          <w:t>https://doi.org/10.1016/bs.aambs.2019.07.001</w:t>
        </w:r>
      </w:hyperlink>
    </w:p>
    <w:p w14:paraId="41712BEC" w14:textId="4D150576"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 xml:space="preserve">David, R. H. A., Ceasar, S. A., </w:t>
      </w:r>
      <w:proofErr w:type="spellStart"/>
      <w:r w:rsidRPr="008B5F3A">
        <w:rPr>
          <w:rFonts w:ascii="Arial" w:hAnsi="Arial" w:cs="Arial"/>
        </w:rPr>
        <w:t>Thirugnanasambandham</w:t>
      </w:r>
      <w:proofErr w:type="spellEnd"/>
      <w:r w:rsidRPr="008B5F3A">
        <w:rPr>
          <w:rFonts w:ascii="Arial" w:hAnsi="Arial" w:cs="Arial"/>
        </w:rPr>
        <w:t xml:space="preserve">, K., &amp; </w:t>
      </w:r>
      <w:proofErr w:type="spellStart"/>
      <w:r w:rsidRPr="008B5F3A">
        <w:rPr>
          <w:rFonts w:ascii="Arial" w:hAnsi="Arial" w:cs="Arial"/>
        </w:rPr>
        <w:t>Ignacimuthu</w:t>
      </w:r>
      <w:proofErr w:type="spellEnd"/>
      <w:r w:rsidRPr="008B5F3A">
        <w:rPr>
          <w:rFonts w:ascii="Arial" w:hAnsi="Arial" w:cs="Arial"/>
        </w:rPr>
        <w:t>, S. (2016). Genetic Engineering of Crop Plants for Drought Tolerance: Role of Transcription Factors. </w:t>
      </w:r>
      <w:r w:rsidRPr="008B5F3A">
        <w:rPr>
          <w:rFonts w:ascii="Arial" w:hAnsi="Arial" w:cs="Arial"/>
          <w:i/>
          <w:iCs/>
        </w:rPr>
        <w:t>South Indian Journal of Biological Sciences</w:t>
      </w:r>
      <w:r w:rsidRPr="008B5F3A">
        <w:rPr>
          <w:rFonts w:ascii="Arial" w:hAnsi="Arial" w:cs="Arial"/>
        </w:rPr>
        <w:t>. </w:t>
      </w:r>
      <w:hyperlink r:id="rId50" w:tgtFrame="_blank" w:history="1">
        <w:r w:rsidRPr="008B5F3A">
          <w:rPr>
            <w:rStyle w:val="Hyperlink"/>
            <w:rFonts w:ascii="Arial" w:hAnsi="Arial" w:cs="Arial"/>
          </w:rPr>
          <w:t>https://doi.org/10.22205/SIJBS/2016/V2/I2/100317</w:t>
        </w:r>
      </w:hyperlink>
    </w:p>
    <w:p w14:paraId="2DAED8AC" w14:textId="727E6262"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Davis, R., Smith, G., &amp; White, L. (2020). Regenerative agriculture and nitrogen efficiency. </w:t>
      </w:r>
      <w:r w:rsidRPr="008B5F3A">
        <w:rPr>
          <w:rFonts w:ascii="Arial" w:hAnsi="Arial" w:cs="Arial"/>
          <w:i/>
          <w:iCs/>
        </w:rPr>
        <w:t>Agronomy Journal</w:t>
      </w:r>
      <w:r w:rsidR="00EC1D04">
        <w:rPr>
          <w:rFonts w:ascii="Arial" w:hAnsi="Arial" w:cs="Arial"/>
          <w:i/>
          <w:iCs/>
        </w:rPr>
        <w:t>.</w:t>
      </w:r>
    </w:p>
    <w:p w14:paraId="27BB1374" w14:textId="6C7328F5"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 xml:space="preserve">Deak, E. A., Martin, T. N., </w:t>
      </w:r>
      <w:proofErr w:type="spellStart"/>
      <w:r w:rsidRPr="008B5F3A">
        <w:rPr>
          <w:rFonts w:ascii="Arial" w:hAnsi="Arial" w:cs="Arial"/>
        </w:rPr>
        <w:t>Fipke</w:t>
      </w:r>
      <w:proofErr w:type="spellEnd"/>
      <w:r w:rsidRPr="008B5F3A">
        <w:rPr>
          <w:rFonts w:ascii="Arial" w:hAnsi="Arial" w:cs="Arial"/>
        </w:rPr>
        <w:t xml:space="preserve">, G. M., Stecca, J. D. L., </w:t>
      </w:r>
      <w:proofErr w:type="spellStart"/>
      <w:r w:rsidRPr="008B5F3A">
        <w:rPr>
          <w:rFonts w:ascii="Arial" w:hAnsi="Arial" w:cs="Arial"/>
        </w:rPr>
        <w:t>Tabaldi</w:t>
      </w:r>
      <w:proofErr w:type="spellEnd"/>
      <w:r w:rsidRPr="008B5F3A">
        <w:rPr>
          <w:rFonts w:ascii="Arial" w:hAnsi="Arial" w:cs="Arial"/>
        </w:rPr>
        <w:t>, L. A., Nunes, U. R., Winck, J. E. M., &amp; Grando, L. F. T. (2019). Effects of soil temperature and moisture on biological nitrogen fixation in soybean crop. </w:t>
      </w:r>
      <w:r w:rsidRPr="008B5F3A">
        <w:rPr>
          <w:rFonts w:ascii="Arial" w:hAnsi="Arial" w:cs="Arial"/>
          <w:i/>
          <w:iCs/>
        </w:rPr>
        <w:t>Australian Journal of Crop Science</w:t>
      </w:r>
      <w:r w:rsidRPr="008B5F3A">
        <w:rPr>
          <w:rFonts w:ascii="Arial" w:hAnsi="Arial" w:cs="Arial"/>
        </w:rPr>
        <w:t>. </w:t>
      </w:r>
      <w:hyperlink r:id="rId51" w:tgtFrame="_blank" w:history="1">
        <w:r w:rsidRPr="008B5F3A">
          <w:rPr>
            <w:rStyle w:val="Hyperlink"/>
            <w:rFonts w:ascii="Arial" w:hAnsi="Arial" w:cs="Arial"/>
          </w:rPr>
          <w:t>https://doi.org/10.21475/AJCS.19.13.08.P1739</w:t>
        </w:r>
      </w:hyperlink>
    </w:p>
    <w:p w14:paraId="4EE6223B" w14:textId="77777777"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lastRenderedPageBreak/>
        <w:t xml:space="preserve">Diaz-Caravantes, R. E., &amp; Sánchez-Flores, E. (2011). Water for Biodiversity Conservation and Livelihoods: Protecting Northernmost Tropical Deciduous Forest Relicts in Mexico. </w:t>
      </w:r>
      <w:proofErr w:type="spellStart"/>
      <w:r w:rsidRPr="008B5F3A">
        <w:rPr>
          <w:rFonts w:ascii="Arial" w:hAnsi="Arial" w:cs="Arial"/>
        </w:rPr>
        <w:t>InTech</w:t>
      </w:r>
      <w:proofErr w:type="spellEnd"/>
      <w:r w:rsidRPr="008B5F3A">
        <w:rPr>
          <w:rFonts w:ascii="Arial" w:hAnsi="Arial" w:cs="Arial"/>
        </w:rPr>
        <w:t>. </w:t>
      </w:r>
      <w:hyperlink r:id="rId52" w:tgtFrame="_blank" w:history="1">
        <w:r w:rsidRPr="008B5F3A">
          <w:rPr>
            <w:rStyle w:val="Hyperlink"/>
            <w:rFonts w:ascii="Arial" w:hAnsi="Arial" w:cs="Arial"/>
          </w:rPr>
          <w:t>https://doi.org/10.5772/24037</w:t>
        </w:r>
      </w:hyperlink>
    </w:p>
    <w:p w14:paraId="6DBC0A25" w14:textId="77777777"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 xml:space="preserve">Dighe, N. S., Shukla, D., </w:t>
      </w:r>
      <w:proofErr w:type="spellStart"/>
      <w:r w:rsidRPr="008B5F3A">
        <w:rPr>
          <w:rFonts w:ascii="Arial" w:hAnsi="Arial" w:cs="Arial"/>
        </w:rPr>
        <w:t>Kalkotwar</w:t>
      </w:r>
      <w:proofErr w:type="spellEnd"/>
      <w:r w:rsidRPr="008B5F3A">
        <w:rPr>
          <w:rFonts w:ascii="Arial" w:hAnsi="Arial" w:cs="Arial"/>
        </w:rPr>
        <w:t>, R. S., Laware, R. B., Bhawar, S. B., &amp; Gaikwad, R. W. (2010). Nitrogenase Enzyme: A Review. *1*(1). </w:t>
      </w:r>
      <w:hyperlink r:id="rId53" w:tgtFrame="_blank" w:history="1">
        <w:r w:rsidRPr="008B5F3A">
          <w:rPr>
            <w:rStyle w:val="Hyperlink"/>
            <w:rFonts w:ascii="Arial" w:hAnsi="Arial" w:cs="Arial"/>
          </w:rPr>
          <w:t>https://www.imedpub.com/abstract/nitrogenase-enzyme-a-review-16887.html</w:t>
        </w:r>
      </w:hyperlink>
    </w:p>
    <w:p w14:paraId="61DE300A" w14:textId="77777777"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Dong, Y., Zhang, J., Xu, X., Dong, Q., Zhang, A., &amp; Xiong, Z. (2024). Symbiotic nitrogen fixation enhanced crop production and mitigated nitrous oxide emissions from paddy crops. </w:t>
      </w:r>
      <w:hyperlink r:id="rId54" w:tgtFrame="_blank" w:history="1">
        <w:r w:rsidRPr="008B5F3A">
          <w:rPr>
            <w:rStyle w:val="Hyperlink"/>
            <w:rFonts w:ascii="Arial" w:hAnsi="Arial" w:cs="Arial"/>
          </w:rPr>
          <w:t>https://doi.org/10.1016/j.fcr.2024.109261</w:t>
        </w:r>
      </w:hyperlink>
    </w:p>
    <w:p w14:paraId="23E5E08D" w14:textId="77777777"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Du, Y., et al. (2024). Microbiome-mediated plant disease resistance. </w:t>
      </w:r>
      <w:r w:rsidRPr="008B5F3A">
        <w:rPr>
          <w:rFonts w:ascii="Arial" w:hAnsi="Arial" w:cs="Arial"/>
          <w:i/>
          <w:iCs/>
        </w:rPr>
        <w:t>Journal of General Plant Pathology</w:t>
      </w:r>
      <w:r w:rsidRPr="008B5F3A">
        <w:rPr>
          <w:rFonts w:ascii="Arial" w:hAnsi="Arial" w:cs="Arial"/>
        </w:rPr>
        <w:t>. </w:t>
      </w:r>
      <w:hyperlink r:id="rId55" w:tgtFrame="_blank" w:history="1">
        <w:r w:rsidRPr="008B5F3A">
          <w:rPr>
            <w:rStyle w:val="Hyperlink"/>
            <w:rFonts w:ascii="Arial" w:hAnsi="Arial" w:cs="Arial"/>
          </w:rPr>
          <w:t>https://doi.org/10.1007/s10327-024-01204-1</w:t>
        </w:r>
      </w:hyperlink>
    </w:p>
    <w:p w14:paraId="44E450CC" w14:textId="760E61FC"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Dwamena, H. A., Tawiah, K., &amp; Kodua, A. S. A. (2022). The Effect of Rainfall, Temperature, and Relative Humidity on the Yield of Cassava, Yam, and Maize in the Ashanti Region of Ghana. </w:t>
      </w:r>
      <w:r w:rsidRPr="008B5F3A">
        <w:rPr>
          <w:rFonts w:ascii="Arial" w:hAnsi="Arial" w:cs="Arial"/>
          <w:i/>
          <w:iCs/>
        </w:rPr>
        <w:t>International Journal of Agronomy</w:t>
      </w:r>
      <w:r w:rsidRPr="008B5F3A">
        <w:rPr>
          <w:rFonts w:ascii="Arial" w:hAnsi="Arial" w:cs="Arial"/>
        </w:rPr>
        <w:t>. </w:t>
      </w:r>
      <w:hyperlink r:id="rId56" w:tgtFrame="_blank" w:history="1">
        <w:r w:rsidRPr="008B5F3A">
          <w:rPr>
            <w:rStyle w:val="Hyperlink"/>
            <w:rFonts w:ascii="Arial" w:hAnsi="Arial" w:cs="Arial"/>
          </w:rPr>
          <w:t>https://doi.org/10.1155/2022/9077383</w:t>
        </w:r>
      </w:hyperlink>
    </w:p>
    <w:p w14:paraId="05FC7835" w14:textId="77777777" w:rsidR="008B5F3A" w:rsidRPr="008B5F3A" w:rsidRDefault="008B5F3A" w:rsidP="00EC1D04">
      <w:pPr>
        <w:pStyle w:val="ListParagraph"/>
        <w:numPr>
          <w:ilvl w:val="0"/>
          <w:numId w:val="46"/>
        </w:numPr>
        <w:spacing w:after="200"/>
        <w:jc w:val="both"/>
        <w:rPr>
          <w:rFonts w:ascii="Arial" w:hAnsi="Arial" w:cs="Arial"/>
        </w:rPr>
      </w:pPr>
      <w:proofErr w:type="spellStart"/>
      <w:r w:rsidRPr="008B5F3A">
        <w:rPr>
          <w:rFonts w:ascii="Arial" w:hAnsi="Arial" w:cs="Arial"/>
        </w:rPr>
        <w:t>Echeverría-Progulakis</w:t>
      </w:r>
      <w:proofErr w:type="spellEnd"/>
      <w:r w:rsidRPr="008B5F3A">
        <w:rPr>
          <w:rFonts w:ascii="Arial" w:hAnsi="Arial" w:cs="Arial"/>
        </w:rPr>
        <w:t>, S., Martínez</w:t>
      </w:r>
      <w:r w:rsidRPr="008B5F3A">
        <w:rPr>
          <w:rFonts w:ascii="Cambria Math" w:hAnsi="Cambria Math" w:cs="Cambria Math"/>
        </w:rPr>
        <w:t>‐</w:t>
      </w:r>
      <w:r w:rsidRPr="008B5F3A">
        <w:rPr>
          <w:rFonts w:ascii="Arial" w:hAnsi="Arial" w:cs="Arial"/>
        </w:rPr>
        <w:t>Eixarch, M., &amp; Pérez</w:t>
      </w:r>
      <w:r w:rsidRPr="008B5F3A">
        <w:rPr>
          <w:rFonts w:ascii="Cambria Math" w:hAnsi="Cambria Math" w:cs="Cambria Math"/>
        </w:rPr>
        <w:t>‐</w:t>
      </w:r>
      <w:r w:rsidRPr="008B5F3A">
        <w:rPr>
          <w:rFonts w:ascii="Arial" w:hAnsi="Arial" w:cs="Arial"/>
        </w:rPr>
        <w:t>Méndez, N. (2024). Reconciling climate change mitigation, biodiversity conservation and rice production through changes in water management strategies. </w:t>
      </w:r>
      <w:hyperlink r:id="rId57" w:tgtFrame="_blank" w:history="1">
        <w:r w:rsidRPr="008B5F3A">
          <w:rPr>
            <w:rStyle w:val="Hyperlink"/>
            <w:rFonts w:ascii="Arial" w:hAnsi="Arial" w:cs="Arial"/>
          </w:rPr>
          <w:t>https://doi.org/10.5194/egusphere-egu24-6070</w:t>
        </w:r>
      </w:hyperlink>
    </w:p>
    <w:p w14:paraId="419C316A" w14:textId="77777777"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Engineering Drought Tolerance in Crops Using CRISPR Cas systems. (2023). </w:t>
      </w:r>
      <w:r w:rsidRPr="008B5F3A">
        <w:rPr>
          <w:rFonts w:ascii="Arial" w:hAnsi="Arial" w:cs="Arial"/>
          <w:i/>
          <w:iCs/>
        </w:rPr>
        <w:t>Plant Science Today</w:t>
      </w:r>
      <w:r w:rsidRPr="008B5F3A">
        <w:rPr>
          <w:rFonts w:ascii="Arial" w:hAnsi="Arial" w:cs="Arial"/>
        </w:rPr>
        <w:t>. </w:t>
      </w:r>
      <w:hyperlink r:id="rId58" w:tgtFrame="_blank" w:history="1">
        <w:r w:rsidRPr="008B5F3A">
          <w:rPr>
            <w:rStyle w:val="Hyperlink"/>
            <w:rFonts w:ascii="Arial" w:hAnsi="Arial" w:cs="Arial"/>
          </w:rPr>
          <w:t>https://doi.org/10.14719/pst.2524</w:t>
        </w:r>
      </w:hyperlink>
    </w:p>
    <w:p w14:paraId="20209723" w14:textId="48FDB0F4"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Fan, K., Delgado-Baquerizo, M., Guo, X., Wang, D., Wu, Y., Zhu, M., Yu, W., Yao, H., Zhu, Y. G., &amp; Chu, H. (2019). Suppressed N fixation and diazotrophs after four decades of fertilization. </w:t>
      </w:r>
      <w:r w:rsidRPr="008B5F3A">
        <w:rPr>
          <w:rFonts w:ascii="Arial" w:hAnsi="Arial" w:cs="Arial"/>
          <w:i/>
          <w:iCs/>
        </w:rPr>
        <w:t>Microbiome</w:t>
      </w:r>
      <w:r w:rsidRPr="008B5F3A">
        <w:rPr>
          <w:rFonts w:ascii="Arial" w:hAnsi="Arial" w:cs="Arial"/>
        </w:rPr>
        <w:t>. </w:t>
      </w:r>
      <w:hyperlink r:id="rId59" w:tgtFrame="_blank" w:history="1">
        <w:r w:rsidRPr="008B5F3A">
          <w:rPr>
            <w:rStyle w:val="Hyperlink"/>
            <w:rFonts w:ascii="Arial" w:hAnsi="Arial" w:cs="Arial"/>
          </w:rPr>
          <w:t>https://doi.org/10.1186/s40168-019-0757-8</w:t>
        </w:r>
      </w:hyperlink>
    </w:p>
    <w:p w14:paraId="1D52D536" w14:textId="5B16B612"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Feldmann, H., et al. (2024). High-resolution climate simulation ensemble. In </w:t>
      </w:r>
      <w:r w:rsidRPr="008B5F3A">
        <w:rPr>
          <w:rFonts w:ascii="Arial" w:hAnsi="Arial" w:cs="Arial"/>
          <w:i/>
          <w:iCs/>
        </w:rPr>
        <w:t>Urban Climate Transitions</w:t>
      </w:r>
      <w:r w:rsidRPr="008B5F3A">
        <w:rPr>
          <w:rFonts w:ascii="Arial" w:hAnsi="Arial" w:cs="Arial"/>
        </w:rPr>
        <w:t>. </w:t>
      </w:r>
      <w:hyperlink r:id="rId60" w:tgtFrame="_blank" w:history="1">
        <w:r w:rsidRPr="008B5F3A">
          <w:rPr>
            <w:rStyle w:val="Hyperlink"/>
            <w:rFonts w:ascii="Arial" w:hAnsi="Arial" w:cs="Arial"/>
          </w:rPr>
          <w:t>https://doi.org/10.1007/978-3-031-46870-4_20</w:t>
        </w:r>
      </w:hyperlink>
    </w:p>
    <w:p w14:paraId="0DCA34A3" w14:textId="5346E5AF"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Fernandez, P., Green, T., &amp; Allen, K. (2021). Riparian buffers as nitrogen sinks: Effectiveness and management practices. </w:t>
      </w:r>
      <w:r w:rsidRPr="008B5F3A">
        <w:rPr>
          <w:rFonts w:ascii="Arial" w:hAnsi="Arial" w:cs="Arial"/>
          <w:i/>
          <w:iCs/>
        </w:rPr>
        <w:t>Water Resources Research</w:t>
      </w:r>
      <w:r w:rsidR="00EC1D04">
        <w:rPr>
          <w:rFonts w:ascii="Arial" w:hAnsi="Arial" w:cs="Arial"/>
          <w:i/>
          <w:iCs/>
        </w:rPr>
        <w:t>.</w:t>
      </w:r>
    </w:p>
    <w:p w14:paraId="215217A6" w14:textId="77777777"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Fosu-Mensah, B. Y. (2013). Reducing climate change impact on food production in Ghana. </w:t>
      </w:r>
      <w:hyperlink r:id="rId61" w:tgtFrame="_blank" w:history="1">
        <w:r w:rsidRPr="008B5F3A">
          <w:rPr>
            <w:rStyle w:val="Hyperlink"/>
            <w:rFonts w:ascii="Arial" w:hAnsi="Arial" w:cs="Arial"/>
          </w:rPr>
          <w:t>https://collections.unu.edu/eserv/UNU:2746/PolicyBriefFosuNo3_Final.pdf</w:t>
        </w:r>
      </w:hyperlink>
    </w:p>
    <w:p w14:paraId="65620B40" w14:textId="48F8D454"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French, E., et al. (2021). Strategies for precision microbiome management. </w:t>
      </w:r>
      <w:r w:rsidRPr="008B5F3A">
        <w:rPr>
          <w:rFonts w:ascii="Arial" w:hAnsi="Arial" w:cs="Arial"/>
          <w:i/>
          <w:iCs/>
        </w:rPr>
        <w:t>Nature Plants</w:t>
      </w:r>
      <w:r w:rsidRPr="008B5F3A">
        <w:rPr>
          <w:rFonts w:ascii="Arial" w:hAnsi="Arial" w:cs="Arial"/>
        </w:rPr>
        <w:t>. </w:t>
      </w:r>
      <w:hyperlink r:id="rId62" w:tgtFrame="_blank" w:history="1">
        <w:r w:rsidRPr="008B5F3A">
          <w:rPr>
            <w:rStyle w:val="Hyperlink"/>
            <w:rFonts w:ascii="Arial" w:hAnsi="Arial" w:cs="Arial"/>
          </w:rPr>
          <w:t>https://doi.org/10.1038/S41477-020-00830-9</w:t>
        </w:r>
      </w:hyperlink>
    </w:p>
    <w:p w14:paraId="7D568F2E" w14:textId="24FAECF3"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Gao, F., Danson, A. E., Ye, F., Jovanovic, M., Buck, M., &amp; Zhang, X. (2020). Bacterial Enhancer Binding Proteins-</w:t>
      </w:r>
      <w:proofErr w:type="gramStart"/>
      <w:r w:rsidRPr="008B5F3A">
        <w:rPr>
          <w:rFonts w:ascii="Arial" w:hAnsi="Arial" w:cs="Arial"/>
        </w:rPr>
        <w:t>AAA(</w:t>
      </w:r>
      <w:proofErr w:type="gramEnd"/>
      <w:r w:rsidRPr="008B5F3A">
        <w:rPr>
          <w:rFonts w:ascii="Arial" w:hAnsi="Arial" w:cs="Arial"/>
        </w:rPr>
        <w:t>+) Proteins in Transcription Activation. </w:t>
      </w:r>
      <w:r w:rsidRPr="008B5F3A">
        <w:rPr>
          <w:rFonts w:ascii="Arial" w:hAnsi="Arial" w:cs="Arial"/>
          <w:i/>
          <w:iCs/>
        </w:rPr>
        <w:t>Biomolecules</w:t>
      </w:r>
      <w:r w:rsidRPr="008B5F3A">
        <w:rPr>
          <w:rFonts w:ascii="Arial" w:hAnsi="Arial" w:cs="Arial"/>
        </w:rPr>
        <w:t>. </w:t>
      </w:r>
      <w:hyperlink r:id="rId63" w:tgtFrame="_blank" w:history="1">
        <w:r w:rsidRPr="008B5F3A">
          <w:rPr>
            <w:rStyle w:val="Hyperlink"/>
            <w:rFonts w:ascii="Arial" w:hAnsi="Arial" w:cs="Arial"/>
          </w:rPr>
          <w:t>https://doi.org/10.3390/biom10030351</w:t>
        </w:r>
      </w:hyperlink>
    </w:p>
    <w:p w14:paraId="201D4825" w14:textId="77777777"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 xml:space="preserve">Ghafoor, A. Z., Javed, H. H., Karim, H., Studnicki, M., Ali, I., Yue, H., Xiao, P., Asghar, M. A., Brock, C., &amp; Wu, Y. (2024). Biological Nitrogen Fixation for Sustainable Agriculture Development Under Climate Change—New Insights </w:t>
      </w:r>
      <w:proofErr w:type="gramStart"/>
      <w:r w:rsidRPr="008B5F3A">
        <w:rPr>
          <w:rFonts w:ascii="Arial" w:hAnsi="Arial" w:cs="Arial"/>
        </w:rPr>
        <w:t>From</w:t>
      </w:r>
      <w:proofErr w:type="gramEnd"/>
      <w:r w:rsidRPr="008B5F3A">
        <w:rPr>
          <w:rFonts w:ascii="Arial" w:hAnsi="Arial" w:cs="Arial"/>
        </w:rPr>
        <w:t xml:space="preserve"> a Meta</w:t>
      </w:r>
      <w:r w:rsidRPr="008B5F3A">
        <w:rPr>
          <w:rFonts w:ascii="Cambria Math" w:hAnsi="Cambria Math" w:cs="Cambria Math"/>
        </w:rPr>
        <w:t>‐</w:t>
      </w:r>
      <w:r w:rsidRPr="008B5F3A">
        <w:rPr>
          <w:rFonts w:ascii="Arial" w:hAnsi="Arial" w:cs="Arial"/>
        </w:rPr>
        <w:t>Analysis. </w:t>
      </w:r>
      <w:r w:rsidRPr="008B5F3A">
        <w:rPr>
          <w:rFonts w:ascii="Arial" w:hAnsi="Arial" w:cs="Arial"/>
          <w:i/>
          <w:iCs/>
        </w:rPr>
        <w:t>Journal of Agronomy and Crop Science</w:t>
      </w:r>
      <w:r w:rsidRPr="008B5F3A">
        <w:rPr>
          <w:rFonts w:ascii="Arial" w:hAnsi="Arial" w:cs="Arial"/>
        </w:rPr>
        <w:t>. </w:t>
      </w:r>
      <w:hyperlink r:id="rId64" w:tgtFrame="_blank" w:history="1">
        <w:r w:rsidRPr="008B5F3A">
          <w:rPr>
            <w:rStyle w:val="Hyperlink"/>
            <w:rFonts w:ascii="Arial" w:hAnsi="Arial" w:cs="Arial"/>
          </w:rPr>
          <w:t>https://doi.org/10.1111/jac.12754</w:t>
        </w:r>
      </w:hyperlink>
    </w:p>
    <w:p w14:paraId="1E657E5F" w14:textId="76A6BAB7" w:rsidR="008B5F3A" w:rsidRPr="008B5F3A" w:rsidRDefault="008B5F3A" w:rsidP="00EC1D04">
      <w:pPr>
        <w:pStyle w:val="ListParagraph"/>
        <w:numPr>
          <w:ilvl w:val="0"/>
          <w:numId w:val="46"/>
        </w:numPr>
        <w:spacing w:after="200"/>
        <w:jc w:val="both"/>
        <w:rPr>
          <w:rFonts w:ascii="Arial" w:hAnsi="Arial" w:cs="Arial"/>
        </w:rPr>
      </w:pPr>
      <w:proofErr w:type="spellStart"/>
      <w:r w:rsidRPr="008B5F3A">
        <w:rPr>
          <w:rFonts w:ascii="Arial" w:hAnsi="Arial" w:cs="Arial"/>
        </w:rPr>
        <w:t>Giannoccaro</w:t>
      </w:r>
      <w:proofErr w:type="spellEnd"/>
      <w:r w:rsidRPr="008B5F3A">
        <w:rPr>
          <w:rFonts w:ascii="Arial" w:hAnsi="Arial" w:cs="Arial"/>
        </w:rPr>
        <w:t xml:space="preserve">, N. I., Persico, G., </w:t>
      </w:r>
      <w:proofErr w:type="spellStart"/>
      <w:r w:rsidRPr="008B5F3A">
        <w:rPr>
          <w:rFonts w:ascii="Arial" w:hAnsi="Arial" w:cs="Arial"/>
        </w:rPr>
        <w:t>Strazzella</w:t>
      </w:r>
      <w:proofErr w:type="spellEnd"/>
      <w:r w:rsidRPr="008B5F3A">
        <w:rPr>
          <w:rFonts w:ascii="Arial" w:hAnsi="Arial" w:cs="Arial"/>
        </w:rPr>
        <w:t>, S., et al. (2020). A system for optimizing fertilizer dosing in innovative smart fertigation pipelines. </w:t>
      </w:r>
      <w:r w:rsidRPr="008B5F3A">
        <w:rPr>
          <w:rFonts w:ascii="Arial" w:hAnsi="Arial" w:cs="Arial"/>
          <w:i/>
          <w:iCs/>
        </w:rPr>
        <w:t>International Journal of Precision Engineering and Manufacturing</w:t>
      </w:r>
      <w:r w:rsidRPr="008B5F3A">
        <w:rPr>
          <w:rFonts w:ascii="Arial" w:hAnsi="Arial" w:cs="Arial"/>
        </w:rPr>
        <w:t>. </w:t>
      </w:r>
      <w:hyperlink r:id="rId65" w:tgtFrame="_blank" w:history="1">
        <w:r w:rsidRPr="008B5F3A">
          <w:rPr>
            <w:rStyle w:val="Hyperlink"/>
            <w:rFonts w:ascii="Arial" w:hAnsi="Arial" w:cs="Arial"/>
          </w:rPr>
          <w:t>https://doi.org/10.1007/S12541-020-00349-1</w:t>
        </w:r>
      </w:hyperlink>
    </w:p>
    <w:p w14:paraId="36ADCE91" w14:textId="77777777"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 xml:space="preserve">Glass, J. B., &amp; </w:t>
      </w:r>
      <w:proofErr w:type="spellStart"/>
      <w:r w:rsidRPr="008B5F3A">
        <w:rPr>
          <w:rFonts w:ascii="Arial" w:hAnsi="Arial" w:cs="Arial"/>
        </w:rPr>
        <w:t>Rousk</w:t>
      </w:r>
      <w:proofErr w:type="spellEnd"/>
      <w:r w:rsidRPr="008B5F3A">
        <w:rPr>
          <w:rFonts w:ascii="Arial" w:hAnsi="Arial" w:cs="Arial"/>
        </w:rPr>
        <w:t>, K. (2024). Microbial nitrogen transformation processes across environments: more than just a cycle. </w:t>
      </w:r>
      <w:r w:rsidRPr="008B5F3A">
        <w:rPr>
          <w:rFonts w:ascii="Arial" w:hAnsi="Arial" w:cs="Arial"/>
          <w:i/>
          <w:iCs/>
        </w:rPr>
        <w:t>Trends in Microbiology</w:t>
      </w:r>
      <w:r w:rsidRPr="008B5F3A">
        <w:rPr>
          <w:rFonts w:ascii="Arial" w:hAnsi="Arial" w:cs="Arial"/>
        </w:rPr>
        <w:t>. </w:t>
      </w:r>
      <w:hyperlink r:id="rId66" w:tgtFrame="_blank" w:history="1">
        <w:r w:rsidRPr="008B5F3A">
          <w:rPr>
            <w:rStyle w:val="Hyperlink"/>
            <w:rFonts w:ascii="Arial" w:hAnsi="Arial" w:cs="Arial"/>
          </w:rPr>
          <w:t>https://doi.org/10.1016/j.tim.2024.04.006</w:t>
        </w:r>
      </w:hyperlink>
    </w:p>
    <w:p w14:paraId="44DA522A" w14:textId="6EB14CE1"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Glyde, R., Ye, F., Darbari, V. C., Zhang, N., Buck, M., &amp; Zhang, X. (2017). Structures of RNA Polymerase Closed and Intermediate Complexes Reveal Mechanisms of DNA Opening and Transcription Initiation. </w:t>
      </w:r>
      <w:r w:rsidRPr="008B5F3A">
        <w:rPr>
          <w:rFonts w:ascii="Arial" w:hAnsi="Arial" w:cs="Arial"/>
          <w:i/>
          <w:iCs/>
        </w:rPr>
        <w:t>Mol. Cell</w:t>
      </w:r>
      <w:r w:rsidRPr="008B5F3A">
        <w:rPr>
          <w:rFonts w:ascii="Arial" w:hAnsi="Arial" w:cs="Arial"/>
        </w:rPr>
        <w:t>. </w:t>
      </w:r>
      <w:hyperlink r:id="rId67" w:tgtFrame="_blank" w:history="1">
        <w:r w:rsidRPr="008B5F3A">
          <w:rPr>
            <w:rStyle w:val="Hyperlink"/>
            <w:rFonts w:ascii="Arial" w:hAnsi="Arial" w:cs="Arial"/>
          </w:rPr>
          <w:t>https://doi.org/10.1016/j.molcel.2017.05.010</w:t>
        </w:r>
      </w:hyperlink>
    </w:p>
    <w:p w14:paraId="068EE5A9" w14:textId="150BD9EF"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lastRenderedPageBreak/>
        <w:t>Gorenflo, L. J., &amp; Warner, D. B. (2016). Integrating biodiversity conservation and water development: in search of long</w:t>
      </w:r>
      <w:r w:rsidRPr="008B5F3A">
        <w:rPr>
          <w:rFonts w:ascii="Cambria Math" w:hAnsi="Cambria Math" w:cs="Cambria Math"/>
        </w:rPr>
        <w:t>‐</w:t>
      </w:r>
      <w:r w:rsidRPr="008B5F3A">
        <w:rPr>
          <w:rFonts w:ascii="Arial" w:hAnsi="Arial" w:cs="Arial"/>
        </w:rPr>
        <w:t>term solutions. </w:t>
      </w:r>
      <w:r w:rsidRPr="008B5F3A">
        <w:rPr>
          <w:rFonts w:ascii="Arial" w:hAnsi="Arial" w:cs="Arial"/>
          <w:i/>
          <w:iCs/>
        </w:rPr>
        <w:t>Wiley Interdisciplinary Reviews: Water</w:t>
      </w:r>
      <w:r w:rsidRPr="008B5F3A">
        <w:rPr>
          <w:rFonts w:ascii="Arial" w:hAnsi="Arial" w:cs="Arial"/>
        </w:rPr>
        <w:t>. </w:t>
      </w:r>
      <w:hyperlink r:id="rId68" w:tgtFrame="_blank" w:history="1">
        <w:r w:rsidRPr="008B5F3A">
          <w:rPr>
            <w:rStyle w:val="Hyperlink"/>
            <w:rFonts w:ascii="Arial" w:hAnsi="Arial" w:cs="Arial"/>
          </w:rPr>
          <w:t>https://doi.org/10.1002/WAT2.1142</w:t>
        </w:r>
      </w:hyperlink>
    </w:p>
    <w:p w14:paraId="330D340D" w14:textId="77777777"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 xml:space="preserve">Hallin, S., &amp; </w:t>
      </w:r>
      <w:proofErr w:type="spellStart"/>
      <w:r w:rsidRPr="008B5F3A">
        <w:rPr>
          <w:rFonts w:ascii="Arial" w:hAnsi="Arial" w:cs="Arial"/>
        </w:rPr>
        <w:t>Saghaï</w:t>
      </w:r>
      <w:proofErr w:type="spellEnd"/>
      <w:r w:rsidRPr="008B5F3A">
        <w:rPr>
          <w:rFonts w:ascii="Arial" w:hAnsi="Arial" w:cs="Arial"/>
        </w:rPr>
        <w:t>, A. (2023). Can nitrate</w:t>
      </w:r>
      <w:r w:rsidRPr="008B5F3A">
        <w:rPr>
          <w:rFonts w:ascii="Cambria Math" w:hAnsi="Cambria Math" w:cs="Cambria Math"/>
        </w:rPr>
        <w:t>‐</w:t>
      </w:r>
      <w:r w:rsidRPr="008B5F3A">
        <w:rPr>
          <w:rFonts w:ascii="Arial" w:hAnsi="Arial" w:cs="Arial"/>
        </w:rPr>
        <w:t>reducing ammonifiers increase nitrogen retention in soil and support ammonium</w:t>
      </w:r>
      <w:r w:rsidRPr="008B5F3A">
        <w:rPr>
          <w:rFonts w:ascii="Cambria Math" w:hAnsi="Cambria Math" w:cs="Cambria Math"/>
        </w:rPr>
        <w:t>‐</w:t>
      </w:r>
      <w:r w:rsidRPr="008B5F3A">
        <w:rPr>
          <w:rFonts w:ascii="Arial" w:hAnsi="Arial" w:cs="Arial"/>
        </w:rPr>
        <w:t>based cropping systems? </w:t>
      </w:r>
      <w:r w:rsidRPr="008B5F3A">
        <w:rPr>
          <w:rFonts w:ascii="Arial" w:hAnsi="Arial" w:cs="Arial"/>
          <w:i/>
          <w:iCs/>
        </w:rPr>
        <w:t>Journal of Sustainable Agriculture and Environment</w:t>
      </w:r>
      <w:r w:rsidRPr="008B5F3A">
        <w:rPr>
          <w:rFonts w:ascii="Arial" w:hAnsi="Arial" w:cs="Arial"/>
        </w:rPr>
        <w:t>. </w:t>
      </w:r>
      <w:hyperlink r:id="rId69" w:tgtFrame="_blank" w:history="1">
        <w:r w:rsidRPr="008B5F3A">
          <w:rPr>
            <w:rStyle w:val="Hyperlink"/>
            <w:rFonts w:ascii="Arial" w:hAnsi="Arial" w:cs="Arial"/>
          </w:rPr>
          <w:t>https://doi.org/10.1002/sae2.12073</w:t>
        </w:r>
      </w:hyperlink>
    </w:p>
    <w:p w14:paraId="1C929E48" w14:textId="029E440B"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 xml:space="preserve">Hamilton, T. L., Ludwig, M., Dixon, R., Boyd, E. S., Dos Santos, P. C., Setubal, J. C., Bryant, D. A., Dean, D. R., &amp; Peters, J. W. (2011). Transcriptional Profiling of Nitrogen Fixation in </w:t>
      </w:r>
      <w:proofErr w:type="spellStart"/>
      <w:r w:rsidRPr="008B5F3A">
        <w:rPr>
          <w:rFonts w:ascii="Arial" w:hAnsi="Arial" w:cs="Arial"/>
        </w:rPr>
        <w:t>Azotobacter</w:t>
      </w:r>
      <w:proofErr w:type="spellEnd"/>
      <w:r w:rsidRPr="008B5F3A">
        <w:rPr>
          <w:rFonts w:ascii="Arial" w:hAnsi="Arial" w:cs="Arial"/>
        </w:rPr>
        <w:t xml:space="preserve"> </w:t>
      </w:r>
      <w:proofErr w:type="spellStart"/>
      <w:r w:rsidRPr="008B5F3A">
        <w:rPr>
          <w:rFonts w:ascii="Arial" w:hAnsi="Arial" w:cs="Arial"/>
        </w:rPr>
        <w:t>vinelandii</w:t>
      </w:r>
      <w:proofErr w:type="spellEnd"/>
      <w:r w:rsidRPr="008B5F3A">
        <w:rPr>
          <w:rFonts w:ascii="Arial" w:hAnsi="Arial" w:cs="Arial"/>
        </w:rPr>
        <w:t>. </w:t>
      </w:r>
      <w:r w:rsidRPr="008B5F3A">
        <w:rPr>
          <w:rFonts w:ascii="Arial" w:hAnsi="Arial" w:cs="Arial"/>
          <w:i/>
          <w:iCs/>
        </w:rPr>
        <w:t>Journal of Bacteriology</w:t>
      </w:r>
      <w:r w:rsidRPr="008B5F3A">
        <w:rPr>
          <w:rFonts w:ascii="Arial" w:hAnsi="Arial" w:cs="Arial"/>
        </w:rPr>
        <w:t>. </w:t>
      </w:r>
      <w:hyperlink r:id="rId70" w:tgtFrame="_blank" w:history="1">
        <w:r w:rsidRPr="008B5F3A">
          <w:rPr>
            <w:rStyle w:val="Hyperlink"/>
            <w:rFonts w:ascii="Arial" w:hAnsi="Arial" w:cs="Arial"/>
          </w:rPr>
          <w:t>https://doi.org/10.1128/JB.05099-11</w:t>
        </w:r>
      </w:hyperlink>
    </w:p>
    <w:p w14:paraId="3FCEF58A" w14:textId="70DCF9E8"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Hanif, M. S., et al. (2024). Plant microbiome technology. </w:t>
      </w:r>
      <w:r w:rsidRPr="008B5F3A">
        <w:rPr>
          <w:rFonts w:ascii="Arial" w:hAnsi="Arial" w:cs="Arial"/>
          <w:i/>
          <w:iCs/>
        </w:rPr>
        <w:t>Frontiers in Microbiology</w:t>
      </w:r>
      <w:r w:rsidRPr="008B5F3A">
        <w:rPr>
          <w:rFonts w:ascii="Arial" w:hAnsi="Arial" w:cs="Arial"/>
        </w:rPr>
        <w:t>. </w:t>
      </w:r>
      <w:hyperlink r:id="rId71" w:tgtFrame="_blank" w:history="1">
        <w:r w:rsidRPr="008B5F3A">
          <w:rPr>
            <w:rStyle w:val="Hyperlink"/>
            <w:rFonts w:ascii="Arial" w:hAnsi="Arial" w:cs="Arial"/>
          </w:rPr>
          <w:t>https://doi.org/10.3389/fmicb.2024.1500260</w:t>
        </w:r>
      </w:hyperlink>
    </w:p>
    <w:p w14:paraId="01AE909E" w14:textId="18C52840"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Hardarson, G. (1993). Methods for enhancing symbiotic nitrogen fixation. Springer. </w:t>
      </w:r>
      <w:hyperlink r:id="rId72" w:tgtFrame="_blank" w:history="1">
        <w:r w:rsidRPr="008B5F3A">
          <w:rPr>
            <w:rStyle w:val="Hyperlink"/>
            <w:rFonts w:ascii="Arial" w:hAnsi="Arial" w:cs="Arial"/>
          </w:rPr>
          <w:t>https://doi.org/10.1007/978-94-011-2100-2_1</w:t>
        </w:r>
      </w:hyperlink>
    </w:p>
    <w:p w14:paraId="20EEBCF1" w14:textId="4E2F05F8"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Harwood, C. S. (2020). Iron-Only and Vanadium Nitrogenases: Fail-Safe Enzymes or Something More? </w:t>
      </w:r>
      <w:r w:rsidRPr="008B5F3A">
        <w:rPr>
          <w:rFonts w:ascii="Arial" w:hAnsi="Arial" w:cs="Arial"/>
          <w:i/>
          <w:iCs/>
        </w:rPr>
        <w:t>Annu. Rev. Microbiol</w:t>
      </w:r>
      <w:r w:rsidRPr="008B5F3A">
        <w:rPr>
          <w:rFonts w:ascii="Arial" w:hAnsi="Arial" w:cs="Arial"/>
        </w:rPr>
        <w:t>. </w:t>
      </w:r>
      <w:hyperlink r:id="rId73" w:tgtFrame="_blank" w:history="1">
        <w:r w:rsidRPr="008B5F3A">
          <w:rPr>
            <w:rStyle w:val="Hyperlink"/>
            <w:rFonts w:ascii="Arial" w:hAnsi="Arial" w:cs="Arial"/>
          </w:rPr>
          <w:t>https://doi.org/10.1146/annurev-micro-022620-014348</w:t>
        </w:r>
      </w:hyperlink>
    </w:p>
    <w:p w14:paraId="01F55B6C" w14:textId="12320C5A"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Hernandez, L., Scott, N., &amp; Miller, T. (2023). Agricultural resilience to climate change: The role of nitrogen cycling. </w:t>
      </w:r>
      <w:r w:rsidRPr="008B5F3A">
        <w:rPr>
          <w:rFonts w:ascii="Arial" w:hAnsi="Arial" w:cs="Arial"/>
          <w:i/>
          <w:iCs/>
        </w:rPr>
        <w:t>Climatic Change</w:t>
      </w:r>
      <w:r w:rsidR="0048769A">
        <w:rPr>
          <w:rFonts w:ascii="Arial" w:hAnsi="Arial" w:cs="Arial"/>
          <w:i/>
          <w:iCs/>
        </w:rPr>
        <w:t>.</w:t>
      </w:r>
    </w:p>
    <w:p w14:paraId="509869B4" w14:textId="61AA93B5"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Hubbell, D. H. (1995). Extension of symbiotic biological nitrogen fixation technology in developing countries. Springer. </w:t>
      </w:r>
      <w:hyperlink r:id="rId74" w:tgtFrame="_blank" w:history="1">
        <w:r w:rsidRPr="008B5F3A">
          <w:rPr>
            <w:rStyle w:val="Hyperlink"/>
            <w:rFonts w:ascii="Arial" w:hAnsi="Arial" w:cs="Arial"/>
          </w:rPr>
          <w:t>https://doi.org/10.1007/978-94-009-1706-4_23</w:t>
        </w:r>
      </w:hyperlink>
    </w:p>
    <w:p w14:paraId="021C11EF" w14:textId="77777777"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Huhn, A. (2022). Symbiotic nitrogen fixation. Elsevier eBooks. </w:t>
      </w:r>
      <w:hyperlink r:id="rId75" w:tgtFrame="_blank" w:history="1">
        <w:r w:rsidRPr="008B5F3A">
          <w:rPr>
            <w:rStyle w:val="Hyperlink"/>
            <w:rFonts w:ascii="Arial" w:hAnsi="Arial" w:cs="Arial"/>
          </w:rPr>
          <w:t>https://doi.org/10.1016/b978-0-12-822974-3.00056-2</w:t>
        </w:r>
      </w:hyperlink>
    </w:p>
    <w:p w14:paraId="09E8B4C0" w14:textId="7306440F"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Hu, Y., &amp; Ribbe, M. W. (2016). Biosynthesis of the Metalloclusters of Nitrogenases. </w:t>
      </w:r>
      <w:r w:rsidRPr="008B5F3A">
        <w:rPr>
          <w:rFonts w:ascii="Arial" w:hAnsi="Arial" w:cs="Arial"/>
          <w:i/>
          <w:iCs/>
        </w:rPr>
        <w:t xml:space="preserve">Annu. Rev. </w:t>
      </w:r>
      <w:proofErr w:type="spellStart"/>
      <w:r w:rsidRPr="008B5F3A">
        <w:rPr>
          <w:rFonts w:ascii="Arial" w:hAnsi="Arial" w:cs="Arial"/>
          <w:i/>
          <w:iCs/>
        </w:rPr>
        <w:t>Biochem</w:t>
      </w:r>
      <w:proofErr w:type="spellEnd"/>
      <w:r w:rsidRPr="008B5F3A">
        <w:rPr>
          <w:rFonts w:ascii="Arial" w:hAnsi="Arial" w:cs="Arial"/>
        </w:rPr>
        <w:t>. </w:t>
      </w:r>
      <w:hyperlink r:id="rId76" w:tgtFrame="_blank" w:history="1">
        <w:r w:rsidRPr="008B5F3A">
          <w:rPr>
            <w:rStyle w:val="Hyperlink"/>
            <w:rFonts w:ascii="Arial" w:hAnsi="Arial" w:cs="Arial"/>
          </w:rPr>
          <w:t>https://doi.org/10.1146/annurev-biochem-060713-035558</w:t>
        </w:r>
      </w:hyperlink>
    </w:p>
    <w:p w14:paraId="0287B94D" w14:textId="77777777"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 xml:space="preserve">Islam, M. A., &amp; </w:t>
      </w:r>
      <w:proofErr w:type="spellStart"/>
      <w:r w:rsidRPr="008B5F3A">
        <w:rPr>
          <w:rFonts w:ascii="Arial" w:hAnsi="Arial" w:cs="Arial"/>
        </w:rPr>
        <w:t>Adjesiwor</w:t>
      </w:r>
      <w:proofErr w:type="spellEnd"/>
      <w:r w:rsidRPr="008B5F3A">
        <w:rPr>
          <w:rFonts w:ascii="Arial" w:hAnsi="Arial" w:cs="Arial"/>
        </w:rPr>
        <w:t xml:space="preserve">, A. T. (2018). Nitrogen Fixation and Transfer in Agricultural Production Systems. </w:t>
      </w:r>
      <w:proofErr w:type="spellStart"/>
      <w:r w:rsidRPr="008B5F3A">
        <w:rPr>
          <w:rFonts w:ascii="Arial" w:hAnsi="Arial" w:cs="Arial"/>
        </w:rPr>
        <w:t>IntechOpen</w:t>
      </w:r>
      <w:proofErr w:type="spellEnd"/>
      <w:r w:rsidRPr="008B5F3A">
        <w:rPr>
          <w:rFonts w:ascii="Arial" w:hAnsi="Arial" w:cs="Arial"/>
        </w:rPr>
        <w:t>. </w:t>
      </w:r>
      <w:hyperlink r:id="rId77" w:tgtFrame="_blank" w:history="1">
        <w:r w:rsidRPr="008B5F3A">
          <w:rPr>
            <w:rStyle w:val="Hyperlink"/>
            <w:rFonts w:ascii="Arial" w:hAnsi="Arial" w:cs="Arial"/>
          </w:rPr>
          <w:t>https://doi.org/10.5772/INTECHOPEN.71766</w:t>
        </w:r>
      </w:hyperlink>
    </w:p>
    <w:p w14:paraId="2BDC5FB8" w14:textId="77777777"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Jana, S., et al. (2015). Climate impact simulation in India. </w:t>
      </w:r>
      <w:r w:rsidRPr="008B5F3A">
        <w:rPr>
          <w:rFonts w:ascii="Arial" w:hAnsi="Arial" w:cs="Arial"/>
          <w:i/>
          <w:iCs/>
        </w:rPr>
        <w:t>International Journal of Hydrology Science and Technology</w:t>
      </w:r>
      <w:r w:rsidRPr="008B5F3A">
        <w:rPr>
          <w:rFonts w:ascii="Arial" w:hAnsi="Arial" w:cs="Arial"/>
        </w:rPr>
        <w:t>. </w:t>
      </w:r>
      <w:hyperlink r:id="rId78" w:tgtFrame="_blank" w:history="1">
        <w:r w:rsidRPr="008B5F3A">
          <w:rPr>
            <w:rStyle w:val="Hyperlink"/>
            <w:rFonts w:ascii="Arial" w:hAnsi="Arial" w:cs="Arial"/>
          </w:rPr>
          <w:t>https://www.inderscienceonline.com/doi/abs/10.1504/IJHST.2015.072631</w:t>
        </w:r>
      </w:hyperlink>
    </w:p>
    <w:p w14:paraId="4050D7C9" w14:textId="360029C1"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Jones, D., &amp; Brown, P. (2018). Soil microbial contributions to nitrogen fixation and cycling. </w:t>
      </w:r>
      <w:r w:rsidRPr="008B5F3A">
        <w:rPr>
          <w:rFonts w:ascii="Arial" w:hAnsi="Arial" w:cs="Arial"/>
          <w:i/>
          <w:iCs/>
        </w:rPr>
        <w:t>Soil Biology &amp; Biochemistry</w:t>
      </w:r>
      <w:r w:rsidRPr="008B5F3A">
        <w:rPr>
          <w:rFonts w:ascii="Arial" w:hAnsi="Arial" w:cs="Arial"/>
        </w:rPr>
        <w:t>.</w:t>
      </w:r>
    </w:p>
    <w:p w14:paraId="7872FE80" w14:textId="356C8542"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Joshi, R. K., Sutar Bharat, S., &amp; Mishra, R. (2020). Engineering drought tolerance in plants through CRISPR/Cas genome editing. </w:t>
      </w:r>
      <w:hyperlink r:id="rId79" w:tgtFrame="_blank" w:history="1">
        <w:r w:rsidRPr="008B5F3A">
          <w:rPr>
            <w:rStyle w:val="Hyperlink"/>
            <w:rFonts w:ascii="Arial" w:hAnsi="Arial" w:cs="Arial"/>
          </w:rPr>
          <w:t>https://doi.org/10.1007/S13205-020-02390-3</w:t>
        </w:r>
      </w:hyperlink>
    </w:p>
    <w:p w14:paraId="6E9A7573" w14:textId="7F28DB21"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Kabir, A. H., et al. (2024). Future strategies in microbiome-assisted agriculture. </w:t>
      </w:r>
      <w:r w:rsidRPr="008B5F3A">
        <w:rPr>
          <w:rFonts w:ascii="Arial" w:hAnsi="Arial" w:cs="Arial"/>
          <w:i/>
          <w:iCs/>
        </w:rPr>
        <w:t>New Crops</w:t>
      </w:r>
      <w:r w:rsidRPr="008B5F3A">
        <w:rPr>
          <w:rFonts w:ascii="Arial" w:hAnsi="Arial" w:cs="Arial"/>
        </w:rPr>
        <w:t>. </w:t>
      </w:r>
      <w:hyperlink r:id="rId80" w:tgtFrame="_blank" w:history="1">
        <w:r w:rsidRPr="008B5F3A">
          <w:rPr>
            <w:rStyle w:val="Hyperlink"/>
            <w:rFonts w:ascii="Arial" w:hAnsi="Arial" w:cs="Arial"/>
          </w:rPr>
          <w:t>https://doi.org/10.1016/j.ncrops.2024.100013</w:t>
        </w:r>
      </w:hyperlink>
    </w:p>
    <w:p w14:paraId="3698ADD8" w14:textId="3259D3DF"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Khan, S., Anwar, S., Shaobo, Y., Sun, M., Yang, Z., &amp; Gao, Z. (2019). Development of Drought-Tolerant Transgenic Wheat: Achievements and Limitations. </w:t>
      </w:r>
      <w:r w:rsidRPr="008B5F3A">
        <w:rPr>
          <w:rFonts w:ascii="Arial" w:hAnsi="Arial" w:cs="Arial"/>
          <w:i/>
          <w:iCs/>
        </w:rPr>
        <w:t>International Journal of Molecular Sciences</w:t>
      </w:r>
      <w:r w:rsidRPr="008B5F3A">
        <w:rPr>
          <w:rFonts w:ascii="Arial" w:hAnsi="Arial" w:cs="Arial"/>
        </w:rPr>
        <w:t>. </w:t>
      </w:r>
      <w:hyperlink r:id="rId81" w:tgtFrame="_blank" w:history="1">
        <w:r w:rsidRPr="008B5F3A">
          <w:rPr>
            <w:rStyle w:val="Hyperlink"/>
            <w:rFonts w:ascii="Arial" w:hAnsi="Arial" w:cs="Arial"/>
          </w:rPr>
          <w:t>https://doi.org/10.3390/IJMS20133350</w:t>
        </w:r>
      </w:hyperlink>
    </w:p>
    <w:p w14:paraId="1A52150F" w14:textId="678B7C26"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Kim, J., Lopez, F., &amp; Turner, D. (2021). Agroecological perspectives on nitrogen sustainability. </w:t>
      </w:r>
      <w:r w:rsidRPr="008B5F3A">
        <w:rPr>
          <w:rFonts w:ascii="Arial" w:hAnsi="Arial" w:cs="Arial"/>
          <w:i/>
          <w:iCs/>
        </w:rPr>
        <w:t>Journal of Agricultural Science</w:t>
      </w:r>
      <w:r w:rsidRPr="008B5F3A">
        <w:rPr>
          <w:rFonts w:ascii="Arial" w:hAnsi="Arial" w:cs="Arial"/>
        </w:rPr>
        <w:t>.</w:t>
      </w:r>
    </w:p>
    <w:p w14:paraId="59FE8EE7" w14:textId="458C4B63"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Kumar, M., Tomar, R. S., Lade, H., &amp; Paul, D. (2016). Methylotrophic bacteria in sustainable agriculture. </w:t>
      </w:r>
      <w:r w:rsidRPr="008B5F3A">
        <w:rPr>
          <w:rFonts w:ascii="Arial" w:hAnsi="Arial" w:cs="Arial"/>
          <w:i/>
          <w:iCs/>
        </w:rPr>
        <w:t xml:space="preserve">World J. Microbiol. </w:t>
      </w:r>
      <w:proofErr w:type="spellStart"/>
      <w:r w:rsidRPr="008B5F3A">
        <w:rPr>
          <w:rFonts w:ascii="Arial" w:hAnsi="Arial" w:cs="Arial"/>
          <w:i/>
          <w:iCs/>
        </w:rPr>
        <w:t>Biotechnol</w:t>
      </w:r>
      <w:proofErr w:type="spellEnd"/>
      <w:r w:rsidRPr="008B5F3A">
        <w:rPr>
          <w:rFonts w:ascii="Arial" w:hAnsi="Arial" w:cs="Arial"/>
        </w:rPr>
        <w:t>. </w:t>
      </w:r>
      <w:hyperlink r:id="rId82" w:tgtFrame="_blank" w:history="1">
        <w:r w:rsidRPr="008B5F3A">
          <w:rPr>
            <w:rStyle w:val="Hyperlink"/>
            <w:rFonts w:ascii="Arial" w:hAnsi="Arial" w:cs="Arial"/>
          </w:rPr>
          <w:t>https://doi.org/10.1007/s11274-016-2074-8</w:t>
        </w:r>
      </w:hyperlink>
    </w:p>
    <w:p w14:paraId="15BD2570" w14:textId="28988909"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Kumar, R., Singh, C. K., Misra, S., Singh, B. P., Bhardwaj, A. K., &amp; Chandra, K. (2024). Water biodiversity: ecosystem services, threats, and conservation. </w:t>
      </w:r>
      <w:hyperlink r:id="rId83" w:tgtFrame="_blank" w:history="1">
        <w:r w:rsidRPr="008B5F3A">
          <w:rPr>
            <w:rStyle w:val="Hyperlink"/>
            <w:rFonts w:ascii="Arial" w:hAnsi="Arial" w:cs="Arial"/>
          </w:rPr>
          <w:t>https://doi.org/10.1016/b978-0-323-95482-2.00016-x</w:t>
        </w:r>
      </w:hyperlink>
    </w:p>
    <w:p w14:paraId="1451F449" w14:textId="061E64FC"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Lee, K., Zhang, M., &amp; Foster, C. (2017). Interconnectivity of nitrogen cycles in agroecosystems. </w:t>
      </w:r>
      <w:r w:rsidRPr="008B5F3A">
        <w:rPr>
          <w:rFonts w:ascii="Arial" w:hAnsi="Arial" w:cs="Arial"/>
          <w:i/>
          <w:iCs/>
        </w:rPr>
        <w:t>Global Ecology and Biogeography</w:t>
      </w:r>
      <w:r w:rsidRPr="008B5F3A">
        <w:rPr>
          <w:rFonts w:ascii="Arial" w:hAnsi="Arial" w:cs="Arial"/>
        </w:rPr>
        <w:t>.</w:t>
      </w:r>
    </w:p>
    <w:p w14:paraId="76B71076" w14:textId="77777777"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lastRenderedPageBreak/>
        <w:t>Li, X., et al. (2024). Rational microbiome management. </w:t>
      </w:r>
      <w:r w:rsidRPr="008B5F3A">
        <w:rPr>
          <w:rFonts w:ascii="Arial" w:hAnsi="Arial" w:cs="Arial"/>
          <w:i/>
          <w:iCs/>
        </w:rPr>
        <w:t>Plant Communications</w:t>
      </w:r>
      <w:r w:rsidRPr="008B5F3A">
        <w:rPr>
          <w:rFonts w:ascii="Arial" w:hAnsi="Arial" w:cs="Arial"/>
        </w:rPr>
        <w:t>. </w:t>
      </w:r>
      <w:hyperlink r:id="rId84" w:tgtFrame="_blank" w:history="1">
        <w:r w:rsidRPr="008B5F3A">
          <w:rPr>
            <w:rStyle w:val="Hyperlink"/>
            <w:rFonts w:ascii="Arial" w:hAnsi="Arial" w:cs="Arial"/>
          </w:rPr>
          <w:t>https://doi.org/10.1016/j.xplc.2024.100812</w:t>
        </w:r>
      </w:hyperlink>
    </w:p>
    <w:p w14:paraId="67FF70AE" w14:textId="5C0C5F31"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Li, Y.-N., He, L.-N., Diao, Z.-F., &amp; Yang, Z. (2014). Carbon Capture with Simultaneous Activation and Its Subsequent Transformation. Academic Press. </w:t>
      </w:r>
      <w:hyperlink r:id="rId85" w:tgtFrame="_blank" w:history="1">
        <w:r w:rsidRPr="008B5F3A">
          <w:rPr>
            <w:rStyle w:val="Hyperlink"/>
            <w:rFonts w:ascii="Arial" w:hAnsi="Arial" w:cs="Arial"/>
          </w:rPr>
          <w:t>https://doi.org/10.1016/B978-0-12-420221-4.00009-3</w:t>
        </w:r>
      </w:hyperlink>
    </w:p>
    <w:p w14:paraId="4D92C01E" w14:textId="15A0AFCB"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Lima, J., et al. (2024). Diazotrophic diversity in agriculture. </w:t>
      </w:r>
      <w:r w:rsidRPr="008B5F3A">
        <w:rPr>
          <w:rFonts w:ascii="Arial" w:hAnsi="Arial" w:cs="Arial"/>
          <w:i/>
          <w:iCs/>
        </w:rPr>
        <w:t>Australian Journal of Crop Science</w:t>
      </w:r>
      <w:r w:rsidRPr="008B5F3A">
        <w:rPr>
          <w:rFonts w:ascii="Arial" w:hAnsi="Arial" w:cs="Arial"/>
        </w:rPr>
        <w:t>. </w:t>
      </w:r>
      <w:hyperlink r:id="rId86" w:tgtFrame="_blank" w:history="1">
        <w:r w:rsidRPr="008B5F3A">
          <w:rPr>
            <w:rStyle w:val="Hyperlink"/>
            <w:rFonts w:ascii="Arial" w:hAnsi="Arial" w:cs="Arial"/>
          </w:rPr>
          <w:t>https://doi.org/10.21475/ajcs.24.18.06.p4104</w:t>
        </w:r>
      </w:hyperlink>
    </w:p>
    <w:p w14:paraId="025109EA" w14:textId="46360AE0" w:rsidR="008B5F3A" w:rsidRPr="008B5F3A" w:rsidRDefault="008B5F3A" w:rsidP="00EC1D04">
      <w:pPr>
        <w:pStyle w:val="ListParagraph"/>
        <w:numPr>
          <w:ilvl w:val="0"/>
          <w:numId w:val="46"/>
        </w:numPr>
        <w:spacing w:after="200"/>
        <w:jc w:val="both"/>
        <w:rPr>
          <w:rFonts w:ascii="Arial" w:hAnsi="Arial" w:cs="Arial"/>
        </w:rPr>
      </w:pPr>
      <w:proofErr w:type="spellStart"/>
      <w:r w:rsidRPr="008B5F3A">
        <w:rPr>
          <w:rFonts w:ascii="Arial" w:hAnsi="Arial" w:cs="Arial"/>
        </w:rPr>
        <w:t>Mainstone</w:t>
      </w:r>
      <w:proofErr w:type="spellEnd"/>
      <w:r w:rsidRPr="008B5F3A">
        <w:rPr>
          <w:rFonts w:ascii="Arial" w:hAnsi="Arial" w:cs="Arial"/>
        </w:rPr>
        <w:t>, C. P. (2017). Developing a coherent narrative for conserving freshwater and wetland habitats: experiences in the UK. </w:t>
      </w:r>
      <w:r w:rsidRPr="008B5F3A">
        <w:rPr>
          <w:rFonts w:ascii="Arial" w:hAnsi="Arial" w:cs="Arial"/>
          <w:i/>
          <w:iCs/>
        </w:rPr>
        <w:t>Wiley Interdisciplinary Reviews: Water</w:t>
      </w:r>
      <w:r w:rsidRPr="008B5F3A">
        <w:rPr>
          <w:rFonts w:ascii="Arial" w:hAnsi="Arial" w:cs="Arial"/>
        </w:rPr>
        <w:t>. </w:t>
      </w:r>
      <w:hyperlink r:id="rId87" w:tgtFrame="_blank" w:history="1">
        <w:r w:rsidRPr="008B5F3A">
          <w:rPr>
            <w:rStyle w:val="Hyperlink"/>
            <w:rFonts w:ascii="Arial" w:hAnsi="Arial" w:cs="Arial"/>
          </w:rPr>
          <w:t>https://doi.org/10.1002/WAT2.1189</w:t>
        </w:r>
      </w:hyperlink>
    </w:p>
    <w:p w14:paraId="79F613BF" w14:textId="31A6DE33"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Manavalan, L. P., &amp; Nguyen, H. T. (2012). Drought tolerance in crops: physiology to genomics. CABI. </w:t>
      </w:r>
      <w:hyperlink r:id="rId88" w:tgtFrame="_blank" w:history="1">
        <w:r w:rsidRPr="008B5F3A">
          <w:rPr>
            <w:rStyle w:val="Hyperlink"/>
            <w:rFonts w:ascii="Arial" w:hAnsi="Arial" w:cs="Arial"/>
          </w:rPr>
          <w:t>https://doi.org/10.1079/9781845939953.0001</w:t>
        </w:r>
      </w:hyperlink>
    </w:p>
    <w:p w14:paraId="70607A00" w14:textId="77777777"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Mani, C., Shanthini, B., Hemamalini, R. R., &amp; Partheeban, P. (2022). Design and fabrication of nano-sensors for real time air quality monitoring. </w:t>
      </w:r>
      <w:r w:rsidRPr="008B5F3A">
        <w:rPr>
          <w:rFonts w:ascii="Arial" w:hAnsi="Arial" w:cs="Arial"/>
          <w:i/>
          <w:iCs/>
        </w:rPr>
        <w:t>IEEE</w:t>
      </w:r>
      <w:r w:rsidRPr="008B5F3A">
        <w:rPr>
          <w:rFonts w:ascii="Arial" w:hAnsi="Arial" w:cs="Arial"/>
        </w:rPr>
        <w:t>. </w:t>
      </w:r>
      <w:hyperlink r:id="rId89" w:tgtFrame="_blank" w:history="1">
        <w:r w:rsidRPr="008B5F3A">
          <w:rPr>
            <w:rStyle w:val="Hyperlink"/>
            <w:rFonts w:ascii="Arial" w:hAnsi="Arial" w:cs="Arial"/>
          </w:rPr>
          <w:t>https://doi.org/10.1109/ICDSAAI55433.2022.10028948</w:t>
        </w:r>
      </w:hyperlink>
    </w:p>
    <w:p w14:paraId="40354D42" w14:textId="77777777"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Marino, R., &amp; Sperotto, A. (2022). Nitrogen Fixation. Elsevier eBooks. </w:t>
      </w:r>
      <w:hyperlink r:id="rId90" w:tgtFrame="_blank" w:history="1">
        <w:r w:rsidRPr="008B5F3A">
          <w:rPr>
            <w:rStyle w:val="Hyperlink"/>
            <w:rFonts w:ascii="Arial" w:hAnsi="Arial" w:cs="Arial"/>
          </w:rPr>
          <w:t>https://doi.org/10.1016/b978-0-12-819166-8.00137-7</w:t>
        </w:r>
      </w:hyperlink>
    </w:p>
    <w:p w14:paraId="080A0ECB" w14:textId="2B149EAB"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Miller, R., &amp; Zhao, X. (2020). Microbial innovations for enhanced nitrogen management. </w:t>
      </w:r>
      <w:r w:rsidRPr="008B5F3A">
        <w:rPr>
          <w:rFonts w:ascii="Arial" w:hAnsi="Arial" w:cs="Arial"/>
          <w:i/>
          <w:iCs/>
        </w:rPr>
        <w:t>Applied Microbiology and Biotechnology</w:t>
      </w:r>
      <w:r w:rsidRPr="008B5F3A">
        <w:rPr>
          <w:rFonts w:ascii="Arial" w:hAnsi="Arial" w:cs="Arial"/>
        </w:rPr>
        <w:t>.</w:t>
      </w:r>
    </w:p>
    <w:p w14:paraId="04E63321" w14:textId="77777777"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Misu, I. J., et al. (2024). Microbiome strategies for rice. </w:t>
      </w:r>
      <w:r w:rsidRPr="008B5F3A">
        <w:rPr>
          <w:rFonts w:ascii="Arial" w:hAnsi="Arial" w:cs="Arial"/>
          <w:i/>
          <w:iCs/>
        </w:rPr>
        <w:t>Preprints</w:t>
      </w:r>
      <w:r w:rsidRPr="008B5F3A">
        <w:rPr>
          <w:rFonts w:ascii="Arial" w:hAnsi="Arial" w:cs="Arial"/>
        </w:rPr>
        <w:t>. </w:t>
      </w:r>
      <w:hyperlink r:id="rId91" w:tgtFrame="_blank" w:history="1">
        <w:r w:rsidRPr="008B5F3A">
          <w:rPr>
            <w:rStyle w:val="Hyperlink"/>
            <w:rFonts w:ascii="Arial" w:hAnsi="Arial" w:cs="Arial"/>
          </w:rPr>
          <w:t>https://doi.org/10.20944/preprints202412.0442.v1</w:t>
        </w:r>
      </w:hyperlink>
    </w:p>
    <w:p w14:paraId="0E442101" w14:textId="61D76B4E"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Mohammadi, H., et al. (2018). EMS simulation under climate scenarios. </w:t>
      </w:r>
      <w:r w:rsidRPr="008B5F3A">
        <w:rPr>
          <w:rFonts w:ascii="Arial" w:hAnsi="Arial" w:cs="Arial"/>
          <w:i/>
          <w:iCs/>
        </w:rPr>
        <w:t>Health Scope</w:t>
      </w:r>
      <w:r w:rsidR="00B92F08">
        <w:rPr>
          <w:rFonts w:ascii="Arial" w:hAnsi="Arial" w:cs="Arial"/>
          <w:i/>
          <w:iCs/>
        </w:rPr>
        <w:t xml:space="preserve">. </w:t>
      </w:r>
      <w:hyperlink r:id="rId92" w:tgtFrame="_blank" w:history="1">
        <w:r w:rsidRPr="008B5F3A">
          <w:rPr>
            <w:rStyle w:val="Hyperlink"/>
            <w:rFonts w:ascii="Arial" w:hAnsi="Arial" w:cs="Arial"/>
          </w:rPr>
          <w:t>https://doi.org/10.5812/JHEALTHSCOPE.57786</w:t>
        </w:r>
      </w:hyperlink>
    </w:p>
    <w:p w14:paraId="66B2D6B0" w14:textId="38413454"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 xml:space="preserve">Mohammadi, K., Sohrabi, Y., Heidari, G., </w:t>
      </w:r>
      <w:proofErr w:type="spellStart"/>
      <w:r w:rsidRPr="008B5F3A">
        <w:rPr>
          <w:rFonts w:ascii="Arial" w:hAnsi="Arial" w:cs="Arial"/>
        </w:rPr>
        <w:t>Khalesro</w:t>
      </w:r>
      <w:proofErr w:type="spellEnd"/>
      <w:r w:rsidRPr="008B5F3A">
        <w:rPr>
          <w:rFonts w:ascii="Arial" w:hAnsi="Arial" w:cs="Arial"/>
        </w:rPr>
        <w:t>, S., &amp; Majidi, M. M. (2012). Effective factors on biological nitrogen fixation. </w:t>
      </w:r>
      <w:r w:rsidRPr="008B5F3A">
        <w:rPr>
          <w:rFonts w:ascii="Arial" w:hAnsi="Arial" w:cs="Arial"/>
          <w:i/>
          <w:iCs/>
        </w:rPr>
        <w:t>African Journal of Agricultural Research</w:t>
      </w:r>
      <w:r w:rsidRPr="008B5F3A">
        <w:rPr>
          <w:rFonts w:ascii="Arial" w:hAnsi="Arial" w:cs="Arial"/>
        </w:rPr>
        <w:t>. </w:t>
      </w:r>
      <w:hyperlink r:id="rId93" w:tgtFrame="_blank" w:history="1">
        <w:r w:rsidRPr="008B5F3A">
          <w:rPr>
            <w:rStyle w:val="Hyperlink"/>
            <w:rFonts w:ascii="Arial" w:hAnsi="Arial" w:cs="Arial"/>
          </w:rPr>
          <w:t>https://doi.org/10.5897/AJARX11.034</w:t>
        </w:r>
      </w:hyperlink>
    </w:p>
    <w:p w14:paraId="75E30808" w14:textId="2523011D"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Møller, L. R., et al. (2017). Optimal decision-making under climate change. </w:t>
      </w:r>
      <w:r w:rsidRPr="008B5F3A">
        <w:rPr>
          <w:rFonts w:ascii="Arial" w:hAnsi="Arial" w:cs="Arial"/>
          <w:i/>
          <w:iCs/>
        </w:rPr>
        <w:t>Environmental Management</w:t>
      </w:r>
      <w:r w:rsidRPr="008B5F3A">
        <w:rPr>
          <w:rFonts w:ascii="Arial" w:hAnsi="Arial" w:cs="Arial"/>
        </w:rPr>
        <w:t>. </w:t>
      </w:r>
      <w:hyperlink r:id="rId94" w:tgtFrame="_blank" w:history="1">
        <w:r w:rsidRPr="008B5F3A">
          <w:rPr>
            <w:rStyle w:val="Hyperlink"/>
            <w:rFonts w:ascii="Arial" w:hAnsi="Arial" w:cs="Arial"/>
          </w:rPr>
          <w:t>https://doi.org/10.1007/S00267-017-0852-1</w:t>
        </w:r>
      </w:hyperlink>
    </w:p>
    <w:p w14:paraId="21B822E7" w14:textId="4C751C30"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rPr>
        <w:t xml:space="preserve">Mus, F., Crook, M. B., Garcia, K., Garcia Costas, A. M., Geddes, B. A., Kouri, E. D., Paramasivan, P., Ryu, M.-H., Oldroyd, G. E. D., Poole, P. S., Udvardi, M. K., Voigt, C. A., </w:t>
      </w:r>
      <w:proofErr w:type="spellStart"/>
      <w:r w:rsidRPr="008B5F3A">
        <w:rPr>
          <w:rFonts w:ascii="Arial" w:hAnsi="Arial" w:cs="Arial"/>
        </w:rPr>
        <w:t>Ané</w:t>
      </w:r>
      <w:proofErr w:type="spellEnd"/>
      <w:r w:rsidRPr="008B5F3A">
        <w:rPr>
          <w:rFonts w:ascii="Arial" w:hAnsi="Arial" w:cs="Arial"/>
        </w:rPr>
        <w:t>, J.-M., &amp; Peters, J. W. (2016). Symbiotic Nitrogen Fixation and the Challenges to Its Extension to Nonlegumes. </w:t>
      </w:r>
      <w:r w:rsidRPr="008B5F3A">
        <w:rPr>
          <w:rFonts w:ascii="Arial" w:hAnsi="Arial" w:cs="Arial"/>
          <w:i/>
          <w:iCs/>
        </w:rPr>
        <w:t>Applied and Environmental Microbiology</w:t>
      </w:r>
      <w:r w:rsidRPr="008B5F3A">
        <w:rPr>
          <w:rFonts w:ascii="Arial" w:hAnsi="Arial" w:cs="Arial"/>
        </w:rPr>
        <w:t>. </w:t>
      </w:r>
      <w:hyperlink r:id="rId95" w:tgtFrame="_blank" w:history="1">
        <w:r w:rsidRPr="008B5F3A">
          <w:rPr>
            <w:rStyle w:val="Hyperlink"/>
            <w:rFonts w:ascii="Arial" w:hAnsi="Arial" w:cs="Arial"/>
          </w:rPr>
          <w:t>https://doi.org/10.1128/AEM.01055-16</w:t>
        </w:r>
      </w:hyperlink>
    </w:p>
    <w:p w14:paraId="301FC578" w14:textId="4239FAAC" w:rsidR="008B5F3A" w:rsidRPr="008B5F3A" w:rsidRDefault="008B5F3A" w:rsidP="00EC1D04">
      <w:pPr>
        <w:pStyle w:val="ListParagraph"/>
        <w:numPr>
          <w:ilvl w:val="0"/>
          <w:numId w:val="46"/>
        </w:numPr>
        <w:spacing w:after="200"/>
        <w:jc w:val="both"/>
        <w:rPr>
          <w:rFonts w:ascii="Arial" w:hAnsi="Arial" w:cs="Arial"/>
        </w:rPr>
      </w:pPr>
      <w:proofErr w:type="spellStart"/>
      <w:r w:rsidRPr="008B5F3A">
        <w:rPr>
          <w:rFonts w:ascii="Arial" w:hAnsi="Arial" w:cs="Arial"/>
        </w:rPr>
        <w:t>Nasiro</w:t>
      </w:r>
      <w:proofErr w:type="spellEnd"/>
      <w:r w:rsidRPr="008B5F3A">
        <w:rPr>
          <w:rFonts w:ascii="Arial" w:hAnsi="Arial" w:cs="Arial"/>
        </w:rPr>
        <w:t xml:space="preserve">, K., &amp; </w:t>
      </w:r>
      <w:proofErr w:type="spellStart"/>
      <w:r w:rsidRPr="008B5F3A">
        <w:rPr>
          <w:rFonts w:ascii="Arial" w:hAnsi="Arial" w:cs="Arial"/>
        </w:rPr>
        <w:t>Mohammednur</w:t>
      </w:r>
      <w:proofErr w:type="spellEnd"/>
      <w:r w:rsidRPr="008B5F3A">
        <w:rPr>
          <w:rFonts w:ascii="Arial" w:hAnsi="Arial" w:cs="Arial"/>
        </w:rPr>
        <w:t>, T. (2024). Precision Nutrient Management Amid Climate Change Challenges: A Review. </w:t>
      </w:r>
      <w:r w:rsidRPr="008B5F3A">
        <w:rPr>
          <w:rFonts w:ascii="Arial" w:hAnsi="Arial" w:cs="Arial"/>
          <w:i/>
          <w:iCs/>
        </w:rPr>
        <w:t>Science Frontiers</w:t>
      </w:r>
      <w:r w:rsidRPr="008B5F3A">
        <w:rPr>
          <w:rFonts w:ascii="Arial" w:hAnsi="Arial" w:cs="Arial"/>
        </w:rPr>
        <w:t>. </w:t>
      </w:r>
      <w:hyperlink r:id="rId96" w:tgtFrame="_blank" w:history="1">
        <w:r w:rsidRPr="008B5F3A">
          <w:rPr>
            <w:rStyle w:val="Hyperlink"/>
            <w:rFonts w:ascii="Arial" w:hAnsi="Arial" w:cs="Arial"/>
          </w:rPr>
          <w:t>https://doi.org/10.11648/j.sf.20240503.12</w:t>
        </w:r>
      </w:hyperlink>
    </w:p>
    <w:p w14:paraId="41E9A391" w14:textId="2B4B5F3E"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Miller, R., &amp; Zhao, X. (2020). Microbial innovations for enhanced nitrogen management. Applied Microbiology and Biotechnology.</w:t>
      </w:r>
    </w:p>
    <w:p w14:paraId="3B34C0F4" w14:textId="210803A5"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Mishra, A. K., Kaushik, M. S., &amp; Tiwari, D. N. (2019). Nitrogenase and Hydrogenase: Enzymes for Nitrogen Fixation and Hydrogen Production in Cyanobacteria. Academic Press.</w:t>
      </w:r>
    </w:p>
    <w:p w14:paraId="71DB1652" w14:textId="77777777"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Misu, I. J., et al. (2024). Microbiome strategies for rice. Preprints.</w:t>
      </w:r>
    </w:p>
    <w:p w14:paraId="7CF44524" w14:textId="71F3F149"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Mohammadi, H., et al. (2018). EMS simulation under climate scenarios. Health Scope</w:t>
      </w:r>
      <w:r w:rsidR="00B92F08">
        <w:rPr>
          <w:rFonts w:ascii="Arial" w:hAnsi="Arial" w:cs="Arial"/>
          <w:sz w:val="22"/>
          <w:szCs w:val="22"/>
        </w:rPr>
        <w:t>.</w:t>
      </w:r>
    </w:p>
    <w:p w14:paraId="420D71EF" w14:textId="7746A562"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 xml:space="preserve">Mohammadi, K., Sohrabi, Y., Heidari, G., </w:t>
      </w:r>
      <w:proofErr w:type="spellStart"/>
      <w:r w:rsidRPr="008B5F3A">
        <w:rPr>
          <w:rFonts w:ascii="Arial" w:hAnsi="Arial" w:cs="Arial"/>
          <w:sz w:val="22"/>
          <w:szCs w:val="22"/>
        </w:rPr>
        <w:t>Khalesro</w:t>
      </w:r>
      <w:proofErr w:type="spellEnd"/>
      <w:r w:rsidRPr="008B5F3A">
        <w:rPr>
          <w:rFonts w:ascii="Arial" w:hAnsi="Arial" w:cs="Arial"/>
          <w:sz w:val="22"/>
          <w:szCs w:val="22"/>
        </w:rPr>
        <w:t xml:space="preserve">, S., &amp; Majidi, M. M. (2012). Effective factors on biological nitrogen fixation. African Journal of Agricultural Research. </w:t>
      </w:r>
      <w:hyperlink r:id="rId97" w:history="1">
        <w:r w:rsidR="00B92F08" w:rsidRPr="001743E6">
          <w:rPr>
            <w:rStyle w:val="Hyperlink"/>
            <w:rFonts w:ascii="Arial" w:hAnsi="Arial" w:cs="Arial"/>
            <w:sz w:val="22"/>
            <w:szCs w:val="22"/>
          </w:rPr>
          <w:t>https://doi.org/10.5897/AJARX11.034</w:t>
        </w:r>
      </w:hyperlink>
      <w:r w:rsidR="00B92F08">
        <w:rPr>
          <w:rFonts w:ascii="Arial" w:hAnsi="Arial" w:cs="Arial"/>
          <w:sz w:val="22"/>
          <w:szCs w:val="22"/>
        </w:rPr>
        <w:t xml:space="preserve"> </w:t>
      </w:r>
    </w:p>
    <w:p w14:paraId="18D8C168" w14:textId="26F47F6A"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 xml:space="preserve">Mus, F., Crook, M. B., Garcia, K., Garcia Costas, A. M., Geddes, B. A., Kouri, E. D., Paramasivan, P., Ryu, M.-H., Oldroyd, G. E. D., Poole, P. S., Udvardi, M. K., Voigt, C. A., </w:t>
      </w:r>
      <w:proofErr w:type="spellStart"/>
      <w:r w:rsidRPr="008B5F3A">
        <w:rPr>
          <w:rFonts w:ascii="Arial" w:hAnsi="Arial" w:cs="Arial"/>
          <w:sz w:val="22"/>
          <w:szCs w:val="22"/>
        </w:rPr>
        <w:t>Ané</w:t>
      </w:r>
      <w:proofErr w:type="spellEnd"/>
      <w:r w:rsidRPr="008B5F3A">
        <w:rPr>
          <w:rFonts w:ascii="Arial" w:hAnsi="Arial" w:cs="Arial"/>
          <w:sz w:val="22"/>
          <w:szCs w:val="22"/>
        </w:rPr>
        <w:t xml:space="preserve">, J.-M., &amp; Peters, J. W. (2016). Symbiotic Nitrogen Fixation and the Challenges to Its Extension to Nonlegumes. Applied and Environmental Microbiology. </w:t>
      </w:r>
      <w:hyperlink r:id="rId98" w:history="1">
        <w:r w:rsidR="00B92F08" w:rsidRPr="001743E6">
          <w:rPr>
            <w:rStyle w:val="Hyperlink"/>
            <w:rFonts w:ascii="Arial" w:hAnsi="Arial" w:cs="Arial"/>
            <w:sz w:val="22"/>
            <w:szCs w:val="22"/>
          </w:rPr>
          <w:t>https://doi.org/10.1128/AEM.01055-16</w:t>
        </w:r>
      </w:hyperlink>
      <w:r w:rsidR="00B92F08">
        <w:rPr>
          <w:rFonts w:ascii="Arial" w:hAnsi="Arial" w:cs="Arial"/>
          <w:sz w:val="22"/>
          <w:szCs w:val="22"/>
        </w:rPr>
        <w:t xml:space="preserve"> </w:t>
      </w:r>
    </w:p>
    <w:p w14:paraId="4E80759E" w14:textId="4A978E8B"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lastRenderedPageBreak/>
        <w:t>Møller, L. R., et al. (2017). Optimal decision-making under climate change. Environmental Management.</w:t>
      </w:r>
    </w:p>
    <w:p w14:paraId="312D0923" w14:textId="3131A0CB" w:rsidR="008B5F3A" w:rsidRPr="008B5F3A" w:rsidRDefault="008B5F3A" w:rsidP="00EC1D04">
      <w:pPr>
        <w:pStyle w:val="ListParagraph"/>
        <w:numPr>
          <w:ilvl w:val="0"/>
          <w:numId w:val="46"/>
        </w:numPr>
        <w:spacing w:after="200"/>
        <w:jc w:val="both"/>
        <w:rPr>
          <w:rFonts w:ascii="Arial" w:hAnsi="Arial" w:cs="Arial"/>
          <w:sz w:val="22"/>
          <w:szCs w:val="22"/>
        </w:rPr>
      </w:pPr>
      <w:proofErr w:type="spellStart"/>
      <w:r w:rsidRPr="008B5F3A">
        <w:rPr>
          <w:rFonts w:ascii="Arial" w:hAnsi="Arial" w:cs="Arial"/>
          <w:sz w:val="22"/>
          <w:szCs w:val="22"/>
        </w:rPr>
        <w:t>Nasiro</w:t>
      </w:r>
      <w:proofErr w:type="spellEnd"/>
      <w:r w:rsidRPr="008B5F3A">
        <w:rPr>
          <w:rFonts w:ascii="Arial" w:hAnsi="Arial" w:cs="Arial"/>
          <w:sz w:val="22"/>
          <w:szCs w:val="22"/>
        </w:rPr>
        <w:t xml:space="preserve">, K., &amp; </w:t>
      </w:r>
      <w:proofErr w:type="spellStart"/>
      <w:r w:rsidRPr="008B5F3A">
        <w:rPr>
          <w:rFonts w:ascii="Arial" w:hAnsi="Arial" w:cs="Arial"/>
          <w:sz w:val="22"/>
          <w:szCs w:val="22"/>
        </w:rPr>
        <w:t>Mohammednur</w:t>
      </w:r>
      <w:proofErr w:type="spellEnd"/>
      <w:r w:rsidRPr="008B5F3A">
        <w:rPr>
          <w:rFonts w:ascii="Arial" w:hAnsi="Arial" w:cs="Arial"/>
          <w:sz w:val="22"/>
          <w:szCs w:val="22"/>
        </w:rPr>
        <w:t xml:space="preserve">, T. (2024). Precision Nutrient Management Amid Climate Change Challenges: A Review. Science Frontiers. </w:t>
      </w:r>
      <w:hyperlink r:id="rId99" w:history="1">
        <w:r w:rsidR="00B92F08" w:rsidRPr="001743E6">
          <w:rPr>
            <w:rStyle w:val="Hyperlink"/>
            <w:rFonts w:ascii="Arial" w:hAnsi="Arial" w:cs="Arial"/>
            <w:sz w:val="22"/>
            <w:szCs w:val="22"/>
          </w:rPr>
          <w:t>https://doi.org/10.11648/j.sf.20240503.12</w:t>
        </w:r>
      </w:hyperlink>
      <w:r w:rsidR="00B92F08">
        <w:rPr>
          <w:rFonts w:ascii="Arial" w:hAnsi="Arial" w:cs="Arial"/>
          <w:sz w:val="22"/>
          <w:szCs w:val="22"/>
        </w:rPr>
        <w:t xml:space="preserve"> </w:t>
      </w:r>
    </w:p>
    <w:p w14:paraId="27C45C48" w14:textId="117CC780"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Nelson, W., &amp; Roberts, A. (2019). Policy approaches for sustainable nitrogen management. Environmental Policy Review.</w:t>
      </w:r>
    </w:p>
    <w:p w14:paraId="33150475" w14:textId="77777777"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Ning, W., Liu, Y., Wang, J., &amp; Wang, Z. (2013). Intelligent fertilizer distribution system.</w:t>
      </w:r>
    </w:p>
    <w:p w14:paraId="4858CF39" w14:textId="7730D82C"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 xml:space="preserve">Núñez-Muñoz, L. A., Calderón-Pérez, B., Ruiz-Medrano, R., &amp; </w:t>
      </w:r>
      <w:proofErr w:type="spellStart"/>
      <w:r w:rsidRPr="008B5F3A">
        <w:rPr>
          <w:rFonts w:ascii="Arial" w:hAnsi="Arial" w:cs="Arial"/>
          <w:sz w:val="22"/>
          <w:szCs w:val="22"/>
        </w:rPr>
        <w:t>Xoconostle-Cázares</w:t>
      </w:r>
      <w:proofErr w:type="spellEnd"/>
      <w:r w:rsidRPr="008B5F3A">
        <w:rPr>
          <w:rFonts w:ascii="Arial" w:hAnsi="Arial" w:cs="Arial"/>
          <w:sz w:val="22"/>
          <w:szCs w:val="22"/>
        </w:rPr>
        <w:t xml:space="preserve">, B. (2022). Gene editing to improve drought tolerance. Cab Reviews: Perspectives in Agriculture, Veterinary Science, Nutrition and Natural Resources. </w:t>
      </w:r>
      <w:hyperlink r:id="rId100" w:history="1">
        <w:r w:rsidR="0048769A" w:rsidRPr="001743E6">
          <w:rPr>
            <w:rStyle w:val="Hyperlink"/>
            <w:rFonts w:ascii="Arial" w:hAnsi="Arial" w:cs="Arial"/>
            <w:sz w:val="22"/>
            <w:szCs w:val="22"/>
          </w:rPr>
          <w:t>https://doi.org/10.1079/cabireviews202217048</w:t>
        </w:r>
      </w:hyperlink>
      <w:r w:rsidR="0048769A">
        <w:rPr>
          <w:rFonts w:ascii="Arial" w:hAnsi="Arial" w:cs="Arial"/>
          <w:sz w:val="22"/>
          <w:szCs w:val="22"/>
        </w:rPr>
        <w:t xml:space="preserve"> </w:t>
      </w:r>
    </w:p>
    <w:p w14:paraId="1212ABEE" w14:textId="1C5B8BC3"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 xml:space="preserve">Pascual, L., Accardo, E., &amp; </w:t>
      </w:r>
      <w:proofErr w:type="spellStart"/>
      <w:r w:rsidRPr="008B5F3A">
        <w:rPr>
          <w:rFonts w:ascii="Arial" w:hAnsi="Arial" w:cs="Arial"/>
          <w:sz w:val="22"/>
          <w:szCs w:val="22"/>
        </w:rPr>
        <w:t>Baldoví</w:t>
      </w:r>
      <w:proofErr w:type="spellEnd"/>
      <w:r w:rsidRPr="008B5F3A">
        <w:rPr>
          <w:rFonts w:ascii="Arial" w:hAnsi="Arial" w:cs="Arial"/>
          <w:sz w:val="22"/>
          <w:szCs w:val="22"/>
        </w:rPr>
        <w:t xml:space="preserve">, H. G. (2024). Sustainable nitrogen fixation: Agrochemical research in food production adapted to planetary limits. </w:t>
      </w:r>
      <w:proofErr w:type="spellStart"/>
      <w:r w:rsidRPr="008B5F3A">
        <w:rPr>
          <w:rFonts w:ascii="Arial" w:hAnsi="Arial" w:cs="Arial"/>
          <w:sz w:val="22"/>
          <w:szCs w:val="22"/>
        </w:rPr>
        <w:t>Mètode</w:t>
      </w:r>
      <w:proofErr w:type="spellEnd"/>
      <w:r w:rsidRPr="008B5F3A">
        <w:rPr>
          <w:rFonts w:ascii="Arial" w:hAnsi="Arial" w:cs="Arial"/>
          <w:sz w:val="22"/>
          <w:szCs w:val="22"/>
        </w:rPr>
        <w:t xml:space="preserve"> Science Studies Journal: Annual Review. </w:t>
      </w:r>
      <w:hyperlink r:id="rId101" w:history="1">
        <w:r w:rsidR="0048769A" w:rsidRPr="001743E6">
          <w:rPr>
            <w:rStyle w:val="Hyperlink"/>
            <w:rFonts w:ascii="Arial" w:hAnsi="Arial" w:cs="Arial"/>
            <w:sz w:val="22"/>
            <w:szCs w:val="22"/>
          </w:rPr>
          <w:t>https://doi.org/10.7203/metode.15.27595</w:t>
        </w:r>
      </w:hyperlink>
      <w:r w:rsidR="0048769A">
        <w:rPr>
          <w:rFonts w:ascii="Arial" w:hAnsi="Arial" w:cs="Arial"/>
          <w:sz w:val="22"/>
          <w:szCs w:val="22"/>
        </w:rPr>
        <w:t xml:space="preserve">  </w:t>
      </w:r>
    </w:p>
    <w:p w14:paraId="1FDA0F23" w14:textId="0C249B5D"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 xml:space="preserve">Rabara, R. C., Tripathi, P., &amp; Rushton, P. J. (2014). The Potential of Transcription Factor-Based Genetic Engineering in Improving Crop Tolerance to Drought. Omics A Journal of Integrative Biology. </w:t>
      </w:r>
      <w:hyperlink r:id="rId102" w:history="1">
        <w:r w:rsidR="0048769A" w:rsidRPr="001743E6">
          <w:rPr>
            <w:rStyle w:val="Hyperlink"/>
            <w:rFonts w:ascii="Arial" w:hAnsi="Arial" w:cs="Arial"/>
            <w:sz w:val="22"/>
            <w:szCs w:val="22"/>
          </w:rPr>
          <w:t>https://doi.org/10.1089/OMI.2013.0177</w:t>
        </w:r>
      </w:hyperlink>
      <w:r w:rsidR="0048769A">
        <w:rPr>
          <w:rFonts w:ascii="Arial" w:hAnsi="Arial" w:cs="Arial"/>
          <w:sz w:val="22"/>
          <w:szCs w:val="22"/>
        </w:rPr>
        <w:t xml:space="preserve"> </w:t>
      </w:r>
    </w:p>
    <w:p w14:paraId="0B836259" w14:textId="0AAD47B3"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 xml:space="preserve">Rahimullah, Md. M., Alexander, K. S., Ahi, S., &amp; Belal, M. U. (2017). Rain Water Harvesting for Sustainable Biodiversity Conservation at </w:t>
      </w:r>
      <w:proofErr w:type="spellStart"/>
      <w:r w:rsidRPr="008B5F3A">
        <w:rPr>
          <w:rFonts w:ascii="Arial" w:hAnsi="Arial" w:cs="Arial"/>
          <w:sz w:val="22"/>
          <w:szCs w:val="22"/>
        </w:rPr>
        <w:t>Lawachara</w:t>
      </w:r>
      <w:proofErr w:type="spellEnd"/>
      <w:r w:rsidRPr="008B5F3A">
        <w:rPr>
          <w:rFonts w:ascii="Arial" w:hAnsi="Arial" w:cs="Arial"/>
          <w:sz w:val="22"/>
          <w:szCs w:val="22"/>
        </w:rPr>
        <w:t xml:space="preserve"> National Park in Bangladesh: A Study on Policy Challenges. Social Science Research Network. </w:t>
      </w:r>
      <w:hyperlink r:id="rId103" w:history="1">
        <w:r w:rsidR="0048769A" w:rsidRPr="001743E6">
          <w:rPr>
            <w:rStyle w:val="Hyperlink"/>
            <w:rFonts w:ascii="Arial" w:hAnsi="Arial" w:cs="Arial"/>
            <w:sz w:val="22"/>
            <w:szCs w:val="22"/>
          </w:rPr>
          <w:t>https://ir.unimas.my/id/eprint/15616/</w:t>
        </w:r>
      </w:hyperlink>
      <w:r w:rsidR="0048769A">
        <w:rPr>
          <w:rFonts w:ascii="Arial" w:hAnsi="Arial" w:cs="Arial"/>
          <w:sz w:val="22"/>
          <w:szCs w:val="22"/>
        </w:rPr>
        <w:t xml:space="preserve"> </w:t>
      </w:r>
    </w:p>
    <w:p w14:paraId="19FCF8CC" w14:textId="0F4A4E3C"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Rezzoug, W., &amp; Benoit, G. (2015). Climate impact simulation using DSSAT. European Scientific Journal.</w:t>
      </w:r>
      <w:r w:rsidRPr="008B5F3A">
        <w:rPr>
          <w:rFonts w:ascii="Arial" w:hAnsi="Arial" w:cs="Arial"/>
        </w:rPr>
        <w:t xml:space="preserve"> </w:t>
      </w:r>
      <w:hyperlink r:id="rId104" w:history="1">
        <w:r w:rsidRPr="008B5F3A">
          <w:rPr>
            <w:rStyle w:val="Hyperlink"/>
            <w:rFonts w:ascii="Arial" w:hAnsi="Arial" w:cs="Arial"/>
          </w:rPr>
          <w:t>https://doi.org/10.19044/esj.2015.v11n9p%25p</w:t>
        </w:r>
      </w:hyperlink>
      <w:r w:rsidRPr="008B5F3A">
        <w:rPr>
          <w:rFonts w:ascii="Arial" w:hAnsi="Arial" w:cs="Arial"/>
        </w:rPr>
        <w:t xml:space="preserve"> </w:t>
      </w:r>
    </w:p>
    <w:p w14:paraId="18E1629C" w14:textId="2D21A2DC"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Rodriguez, S., Patel, R., &amp; Kumar, V. (2021). Biological nitrogen fixation as a strategy for reducing synthetic fertilizer use. Plant and Soil.</w:t>
      </w:r>
      <w:r w:rsidRPr="008B5F3A">
        <w:rPr>
          <w:rFonts w:ascii="Arial" w:hAnsi="Arial" w:cs="Arial"/>
        </w:rPr>
        <w:t xml:space="preserve"> </w:t>
      </w:r>
      <w:hyperlink r:id="rId105" w:history="1">
        <w:r w:rsidRPr="008B5F3A">
          <w:rPr>
            <w:rStyle w:val="Hyperlink"/>
            <w:rFonts w:ascii="Arial" w:hAnsi="Arial" w:cs="Arial"/>
          </w:rPr>
          <w:t>https://doi.org/10.1007/s11104-020-04880-2</w:t>
        </w:r>
      </w:hyperlink>
      <w:r w:rsidRPr="008B5F3A">
        <w:rPr>
          <w:rFonts w:ascii="Arial" w:hAnsi="Arial" w:cs="Arial"/>
        </w:rPr>
        <w:t xml:space="preserve"> </w:t>
      </w:r>
    </w:p>
    <w:p w14:paraId="1990AC80" w14:textId="74432DF8"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 xml:space="preserve">Rojas-Pirela, M.; Rigden, D.J.; Michels, P.A.; Caceres, A.J.; Concepcion, J.L.; Quinones, W. Structure and function of Per-ARNT-Sim domains and their possible role in the life-cycle biology of Trypanosoma cruzi. Mol. </w:t>
      </w:r>
      <w:proofErr w:type="spellStart"/>
      <w:r w:rsidRPr="008B5F3A">
        <w:rPr>
          <w:rFonts w:ascii="Arial" w:hAnsi="Arial" w:cs="Arial"/>
          <w:sz w:val="22"/>
          <w:szCs w:val="22"/>
        </w:rPr>
        <w:t>Biochem</w:t>
      </w:r>
      <w:proofErr w:type="spellEnd"/>
      <w:r w:rsidRPr="008B5F3A">
        <w:rPr>
          <w:rFonts w:ascii="Arial" w:hAnsi="Arial" w:cs="Arial"/>
          <w:sz w:val="22"/>
          <w:szCs w:val="22"/>
        </w:rPr>
        <w:t xml:space="preserve">. </w:t>
      </w:r>
      <w:proofErr w:type="spellStart"/>
      <w:r w:rsidRPr="008B5F3A">
        <w:rPr>
          <w:rFonts w:ascii="Arial" w:hAnsi="Arial" w:cs="Arial"/>
          <w:sz w:val="22"/>
          <w:szCs w:val="22"/>
        </w:rPr>
        <w:t>Parasitol</w:t>
      </w:r>
      <w:proofErr w:type="spellEnd"/>
      <w:r w:rsidRPr="008B5F3A">
        <w:rPr>
          <w:rFonts w:ascii="Arial" w:hAnsi="Arial" w:cs="Arial"/>
          <w:sz w:val="22"/>
          <w:szCs w:val="22"/>
        </w:rPr>
        <w:t xml:space="preserve">. 2018. </w:t>
      </w:r>
      <w:hyperlink r:id="rId106" w:history="1">
        <w:r w:rsidRPr="008B5F3A">
          <w:rPr>
            <w:rStyle w:val="Hyperlink"/>
            <w:rFonts w:ascii="Arial" w:hAnsi="Arial" w:cs="Arial"/>
          </w:rPr>
          <w:t>https://doi.org/10.1007/s11104-020-04880-2</w:t>
        </w:r>
      </w:hyperlink>
      <w:r w:rsidRPr="008B5F3A">
        <w:rPr>
          <w:rFonts w:ascii="Arial" w:hAnsi="Arial" w:cs="Arial"/>
        </w:rPr>
        <w:t xml:space="preserve"> </w:t>
      </w:r>
    </w:p>
    <w:p w14:paraId="5E367C52" w14:textId="77777777" w:rsidR="008B5F3A" w:rsidRPr="008B5F3A" w:rsidRDefault="008B5F3A" w:rsidP="00EC1D04">
      <w:pPr>
        <w:pStyle w:val="ListParagraph"/>
        <w:jc w:val="both"/>
        <w:rPr>
          <w:rFonts w:ascii="Arial" w:hAnsi="Arial" w:cs="Arial"/>
          <w:sz w:val="22"/>
          <w:szCs w:val="22"/>
        </w:rPr>
      </w:pPr>
    </w:p>
    <w:p w14:paraId="6B4C3D1D" w14:textId="24B502AF"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 xml:space="preserve">Romero-Perdomo, F.; Abril, J.; Camelo, M.; Moreno-Galvan, A.; Pastrana, I.; Rojas-Tapias, D.; Bonilla, R. </w:t>
      </w:r>
      <w:proofErr w:type="spellStart"/>
      <w:r w:rsidRPr="008B5F3A">
        <w:rPr>
          <w:rFonts w:ascii="Arial" w:hAnsi="Arial" w:cs="Arial"/>
          <w:sz w:val="22"/>
          <w:szCs w:val="22"/>
        </w:rPr>
        <w:t>Azotobacter</w:t>
      </w:r>
      <w:proofErr w:type="spellEnd"/>
      <w:r w:rsidRPr="008B5F3A">
        <w:rPr>
          <w:rFonts w:ascii="Arial" w:hAnsi="Arial" w:cs="Arial"/>
          <w:sz w:val="22"/>
          <w:szCs w:val="22"/>
        </w:rPr>
        <w:t xml:space="preserve"> </w:t>
      </w:r>
      <w:proofErr w:type="spellStart"/>
      <w:r w:rsidRPr="008B5F3A">
        <w:rPr>
          <w:rFonts w:ascii="Arial" w:hAnsi="Arial" w:cs="Arial"/>
          <w:sz w:val="22"/>
          <w:szCs w:val="22"/>
        </w:rPr>
        <w:t>chroococcum</w:t>
      </w:r>
      <w:proofErr w:type="spellEnd"/>
      <w:r w:rsidRPr="008B5F3A">
        <w:rPr>
          <w:rFonts w:ascii="Arial" w:hAnsi="Arial" w:cs="Arial"/>
          <w:sz w:val="22"/>
          <w:szCs w:val="22"/>
        </w:rPr>
        <w:t xml:space="preserve"> as a potentially useful bacterial biofertilizer for cotton (Gossypium hirsutum): Effect in reducing N fertilization. Rev. Argent. Microbiol. 2017. </w:t>
      </w:r>
      <w:hyperlink r:id="rId107" w:history="1">
        <w:r w:rsidRPr="008B5F3A">
          <w:rPr>
            <w:rStyle w:val="Hyperlink"/>
            <w:rFonts w:ascii="Arial" w:hAnsi="Arial" w:cs="Arial"/>
          </w:rPr>
          <w:t>https://doi.org/10.1016/j.ram.2017.04.006</w:t>
        </w:r>
      </w:hyperlink>
      <w:r w:rsidRPr="008B5F3A">
        <w:rPr>
          <w:rFonts w:ascii="Arial" w:hAnsi="Arial" w:cs="Arial"/>
        </w:rPr>
        <w:t xml:space="preserve"> </w:t>
      </w:r>
    </w:p>
    <w:p w14:paraId="66D16DE1" w14:textId="247AFB5F"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 xml:space="preserve">Roux, Y., </w:t>
      </w:r>
      <w:proofErr w:type="spellStart"/>
      <w:r w:rsidRPr="008B5F3A">
        <w:rPr>
          <w:rFonts w:ascii="Arial" w:hAnsi="Arial" w:cs="Arial"/>
          <w:sz w:val="22"/>
          <w:szCs w:val="22"/>
        </w:rPr>
        <w:t>Duboc</w:t>
      </w:r>
      <w:proofErr w:type="spellEnd"/>
      <w:r w:rsidRPr="008B5F3A">
        <w:rPr>
          <w:rFonts w:ascii="Arial" w:hAnsi="Arial" w:cs="Arial"/>
          <w:sz w:val="22"/>
          <w:szCs w:val="22"/>
        </w:rPr>
        <w:t xml:space="preserve">, C., &amp; Gennari, M. (2017). Molecular Catalysts for N2 Reduction: State of the Art, Mechanism, and Challenges. </w:t>
      </w:r>
      <w:proofErr w:type="spellStart"/>
      <w:r w:rsidRPr="008B5F3A">
        <w:rPr>
          <w:rFonts w:ascii="Arial" w:hAnsi="Arial" w:cs="Arial"/>
          <w:sz w:val="22"/>
          <w:szCs w:val="22"/>
        </w:rPr>
        <w:t>ChemPhysChem</w:t>
      </w:r>
      <w:proofErr w:type="spellEnd"/>
      <w:r w:rsidRPr="008B5F3A">
        <w:rPr>
          <w:rFonts w:ascii="Arial" w:hAnsi="Arial" w:cs="Arial"/>
          <w:sz w:val="22"/>
          <w:szCs w:val="22"/>
        </w:rPr>
        <w:t xml:space="preserve">. </w:t>
      </w:r>
      <w:hyperlink r:id="rId108" w:history="1">
        <w:r w:rsidRPr="008B5F3A">
          <w:rPr>
            <w:rStyle w:val="Hyperlink"/>
            <w:rFonts w:ascii="Arial" w:hAnsi="Arial" w:cs="Arial"/>
          </w:rPr>
          <w:t>https://doi.org/10.1002/CPHC.201700665</w:t>
        </w:r>
      </w:hyperlink>
      <w:r w:rsidRPr="008B5F3A">
        <w:rPr>
          <w:rFonts w:ascii="Arial" w:hAnsi="Arial" w:cs="Arial"/>
        </w:rPr>
        <w:t xml:space="preserve"> </w:t>
      </w:r>
    </w:p>
    <w:p w14:paraId="134115FD" w14:textId="03DF2932"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 xml:space="preserve">Rutledge, H.L.; Cook, B.D.; Nguyen, H.P.M.; Herzik, M.A., Jr.; Tezcan, F.A. Structures of the nitrogenase complex prepared under catalytic turnover conditions. Science 2022. </w:t>
      </w:r>
      <w:hyperlink r:id="rId109" w:history="1">
        <w:r w:rsidRPr="008B5F3A">
          <w:rPr>
            <w:rStyle w:val="Hyperlink"/>
            <w:rFonts w:ascii="Arial" w:hAnsi="Arial" w:cs="Arial"/>
          </w:rPr>
          <w:t>https://doi.org/10.1126/science.abq7641</w:t>
        </w:r>
      </w:hyperlink>
      <w:r w:rsidRPr="008B5F3A">
        <w:rPr>
          <w:rFonts w:ascii="Arial" w:hAnsi="Arial" w:cs="Arial"/>
        </w:rPr>
        <w:t xml:space="preserve"> </w:t>
      </w:r>
    </w:p>
    <w:p w14:paraId="42F53A57" w14:textId="33E80E07"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lastRenderedPageBreak/>
        <w:t>Saha, B., Saha, S., Das, A., Bhattacharyya, P. K., Basak, N., Sinha, A. K., &amp; Poddar, P. (2017). Biological Nitrogen Fixation for Sustainable Agriculture. Springer, Singapore.</w:t>
      </w:r>
      <w:r w:rsidRPr="008B5F3A">
        <w:rPr>
          <w:rFonts w:ascii="Arial" w:hAnsi="Arial" w:cs="Arial"/>
        </w:rPr>
        <w:t xml:space="preserve"> </w:t>
      </w:r>
      <w:hyperlink r:id="rId110" w:history="1">
        <w:r w:rsidRPr="008B5F3A">
          <w:rPr>
            <w:rStyle w:val="Hyperlink"/>
            <w:rFonts w:ascii="Arial" w:hAnsi="Arial" w:cs="Arial"/>
          </w:rPr>
          <w:t>https://doi.org/10.1007/978-981-10-5343-6_4</w:t>
        </w:r>
      </w:hyperlink>
      <w:r w:rsidRPr="008B5F3A">
        <w:rPr>
          <w:rFonts w:ascii="Arial" w:hAnsi="Arial" w:cs="Arial"/>
        </w:rPr>
        <w:t xml:space="preserve"> </w:t>
      </w:r>
    </w:p>
    <w:p w14:paraId="2F744983" w14:textId="05C95A90" w:rsidR="008B5F3A" w:rsidRPr="008B5F3A" w:rsidRDefault="008B5F3A" w:rsidP="00EC1D04">
      <w:pPr>
        <w:pStyle w:val="ListParagraph"/>
        <w:numPr>
          <w:ilvl w:val="0"/>
          <w:numId w:val="46"/>
        </w:numPr>
        <w:spacing w:after="200"/>
        <w:jc w:val="both"/>
        <w:rPr>
          <w:rFonts w:ascii="Arial" w:hAnsi="Arial" w:cs="Arial"/>
        </w:rPr>
      </w:pPr>
      <w:r w:rsidRPr="008B5F3A">
        <w:rPr>
          <w:rFonts w:ascii="Arial" w:hAnsi="Arial" w:cs="Arial"/>
          <w:sz w:val="22"/>
          <w:szCs w:val="22"/>
        </w:rPr>
        <w:t xml:space="preserve">Saini, R., &amp; Devi, P. (2022). </w:t>
      </w:r>
      <w:proofErr w:type="spellStart"/>
      <w:r w:rsidRPr="008B5F3A">
        <w:rPr>
          <w:rFonts w:ascii="Arial" w:hAnsi="Arial" w:cs="Arial"/>
          <w:sz w:val="22"/>
          <w:szCs w:val="22"/>
        </w:rPr>
        <w:t>Nanosensors</w:t>
      </w:r>
      <w:proofErr w:type="spellEnd"/>
      <w:r w:rsidRPr="008B5F3A">
        <w:rPr>
          <w:rFonts w:ascii="Arial" w:hAnsi="Arial" w:cs="Arial"/>
          <w:sz w:val="22"/>
          <w:szCs w:val="22"/>
        </w:rPr>
        <w:t xml:space="preserve"> for detecting nutrient losses from soil. In Elsevier.</w:t>
      </w:r>
      <w:r w:rsidRPr="008B5F3A">
        <w:rPr>
          <w:rFonts w:ascii="Arial" w:hAnsi="Arial" w:cs="Arial"/>
        </w:rPr>
        <w:t xml:space="preserve"> </w:t>
      </w:r>
      <w:hyperlink r:id="rId111" w:history="1">
        <w:r w:rsidRPr="008B5F3A">
          <w:rPr>
            <w:rStyle w:val="Hyperlink"/>
            <w:rFonts w:ascii="Arial" w:hAnsi="Arial" w:cs="Arial"/>
          </w:rPr>
          <w:t>https://doi.org/10.1016/B978-0-12-824554-5.00015-X</w:t>
        </w:r>
      </w:hyperlink>
      <w:r w:rsidRPr="008B5F3A">
        <w:rPr>
          <w:rFonts w:ascii="Arial" w:hAnsi="Arial" w:cs="Arial"/>
        </w:rPr>
        <w:t xml:space="preserve"> </w:t>
      </w:r>
    </w:p>
    <w:p w14:paraId="1B34E096" w14:textId="07EAF28C"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Salvador, R. W., &amp; Doong, R. (2024). Simultaneous achievement of energy recovery and carbon sequestration through municipal solid waste management: A review. Chemosphere.</w:t>
      </w:r>
      <w:r w:rsidRPr="008B5F3A">
        <w:rPr>
          <w:rFonts w:ascii="Arial" w:hAnsi="Arial" w:cs="Arial"/>
        </w:rPr>
        <w:t xml:space="preserve"> </w:t>
      </w:r>
      <w:hyperlink r:id="rId112" w:history="1">
        <w:r w:rsidRPr="008B5F3A">
          <w:rPr>
            <w:rStyle w:val="Hyperlink"/>
            <w:rFonts w:ascii="Arial" w:hAnsi="Arial" w:cs="Arial"/>
          </w:rPr>
          <w:t>https://doi.org/10.1016/j.chemosphere.2024.142478</w:t>
        </w:r>
      </w:hyperlink>
      <w:r w:rsidRPr="008B5F3A">
        <w:rPr>
          <w:rFonts w:ascii="Arial" w:hAnsi="Arial" w:cs="Arial"/>
        </w:rPr>
        <w:t xml:space="preserve"> </w:t>
      </w:r>
    </w:p>
    <w:p w14:paraId="5698A498" w14:textId="05566EDF"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Santos, P. C. D. (2011). Molecular Biology and Genetic Engineering in Nitrogen Fixation. Humana Press.</w:t>
      </w:r>
      <w:r w:rsidRPr="008B5F3A">
        <w:rPr>
          <w:rFonts w:ascii="Arial" w:hAnsi="Arial" w:cs="Arial"/>
        </w:rPr>
        <w:t xml:space="preserve"> </w:t>
      </w:r>
      <w:hyperlink r:id="rId113" w:history="1">
        <w:r w:rsidRPr="008B5F3A">
          <w:rPr>
            <w:rStyle w:val="Hyperlink"/>
            <w:rFonts w:ascii="Arial" w:hAnsi="Arial" w:cs="Arial"/>
          </w:rPr>
          <w:t>https://doi.org/10.1007/978-1-61779-194-9_6</w:t>
        </w:r>
      </w:hyperlink>
      <w:r w:rsidRPr="008B5F3A">
        <w:rPr>
          <w:rFonts w:ascii="Arial" w:hAnsi="Arial" w:cs="Arial"/>
        </w:rPr>
        <w:t xml:space="preserve"> </w:t>
      </w:r>
    </w:p>
    <w:p w14:paraId="38EF4DB6" w14:textId="32D35C84"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Santos, P. C., et al. (2012). Nitrogenase sequence distribution. BMC Genomics.</w:t>
      </w:r>
      <w:r w:rsidRPr="008B5F3A">
        <w:rPr>
          <w:rFonts w:ascii="Arial" w:hAnsi="Arial" w:cs="Arial"/>
        </w:rPr>
        <w:t xml:space="preserve"> </w:t>
      </w:r>
      <w:hyperlink r:id="rId114" w:history="1">
        <w:r w:rsidRPr="008B5F3A">
          <w:rPr>
            <w:rStyle w:val="Hyperlink"/>
            <w:rFonts w:ascii="Arial" w:hAnsi="Arial" w:cs="Arial"/>
          </w:rPr>
          <w:t>https://doi.org/10.1186/1471-2164-13-162</w:t>
        </w:r>
      </w:hyperlink>
      <w:r w:rsidRPr="008B5F3A">
        <w:rPr>
          <w:rFonts w:ascii="Arial" w:hAnsi="Arial" w:cs="Arial"/>
        </w:rPr>
        <w:t xml:space="preserve"> </w:t>
      </w:r>
    </w:p>
    <w:p w14:paraId="4F850792" w14:textId="5604AE61"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Seefeldt, L. C., Dean, D. R., &amp; Hoffman, B. M. (2016). CHAPTER 8:</w:t>
      </w:r>
      <w:r w:rsidRPr="008B5F3A">
        <w:rPr>
          <w:rFonts w:ascii="Arial" w:hAnsi="Arial" w:cs="Arial"/>
        </w:rPr>
        <w:t xml:space="preserve"> </w:t>
      </w:r>
      <w:r w:rsidRPr="008B5F3A">
        <w:rPr>
          <w:rFonts w:ascii="Arial" w:hAnsi="Arial" w:cs="Arial"/>
          <w:sz w:val="22"/>
          <w:szCs w:val="22"/>
        </w:rPr>
        <w:t xml:space="preserve">Nitrogenase Mechanism: Electron and Proton Accumulation and N2 Reduction. Royal Society of Chemistry. </w:t>
      </w:r>
      <w:hyperlink r:id="rId115" w:history="1">
        <w:r w:rsidRPr="008B5F3A">
          <w:rPr>
            <w:rStyle w:val="Hyperlink"/>
            <w:rFonts w:ascii="Arial" w:hAnsi="Arial" w:cs="Arial"/>
          </w:rPr>
          <w:t>https://doi.org/10.1039/9781782623915-00274</w:t>
        </w:r>
      </w:hyperlink>
      <w:r w:rsidRPr="008B5F3A">
        <w:rPr>
          <w:rFonts w:ascii="Arial" w:hAnsi="Arial" w:cs="Arial"/>
        </w:rPr>
        <w:t xml:space="preserve">  </w:t>
      </w:r>
    </w:p>
    <w:p w14:paraId="00BD0F9C" w14:textId="49A4E966"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 xml:space="preserve">Seefeldt, L. C., Yang, Z.-Y., Lukoyanov, D., Harris, D. F., Dean, D. R., </w:t>
      </w:r>
      <w:proofErr w:type="spellStart"/>
      <w:r w:rsidRPr="008B5F3A">
        <w:rPr>
          <w:rFonts w:ascii="Arial" w:hAnsi="Arial" w:cs="Arial"/>
          <w:sz w:val="22"/>
          <w:szCs w:val="22"/>
        </w:rPr>
        <w:t>Raugei</w:t>
      </w:r>
      <w:proofErr w:type="spellEnd"/>
      <w:r w:rsidRPr="008B5F3A">
        <w:rPr>
          <w:rFonts w:ascii="Arial" w:hAnsi="Arial" w:cs="Arial"/>
          <w:sz w:val="22"/>
          <w:szCs w:val="22"/>
        </w:rPr>
        <w:t xml:space="preserve">, S., &amp; Hoffman, B. M. (2020). Reduction of Substrates by Nitrogenases. Chemical Reviews. </w:t>
      </w:r>
      <w:hyperlink r:id="rId116" w:history="1">
        <w:r w:rsidRPr="008B5F3A">
          <w:rPr>
            <w:rStyle w:val="Hyperlink"/>
            <w:rFonts w:ascii="Arial" w:hAnsi="Arial" w:cs="Arial"/>
          </w:rPr>
          <w:t>https://doi.org/10.1021/ACS.CHEMREV.9B00556</w:t>
        </w:r>
      </w:hyperlink>
      <w:r w:rsidRPr="008B5F3A">
        <w:rPr>
          <w:rFonts w:ascii="Arial" w:hAnsi="Arial" w:cs="Arial"/>
        </w:rPr>
        <w:t xml:space="preserve"> </w:t>
      </w:r>
    </w:p>
    <w:p w14:paraId="2865141D" w14:textId="2AD45D41"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 xml:space="preserve">Seefeldt, L.C.; Yang, Z.Y.; Duval, S.; Dean, D.R. Nitrogenase reduction of carbon-containing compounds. </w:t>
      </w:r>
      <w:proofErr w:type="spellStart"/>
      <w:r w:rsidRPr="008B5F3A">
        <w:rPr>
          <w:rFonts w:ascii="Arial" w:hAnsi="Arial" w:cs="Arial"/>
          <w:sz w:val="22"/>
          <w:szCs w:val="22"/>
        </w:rPr>
        <w:t>Biochim</w:t>
      </w:r>
      <w:proofErr w:type="spellEnd"/>
      <w:r w:rsidRPr="008B5F3A">
        <w:rPr>
          <w:rFonts w:ascii="Arial" w:hAnsi="Arial" w:cs="Arial"/>
          <w:sz w:val="22"/>
          <w:szCs w:val="22"/>
        </w:rPr>
        <w:t xml:space="preserve">. </w:t>
      </w:r>
      <w:proofErr w:type="spellStart"/>
      <w:r w:rsidRPr="008B5F3A">
        <w:rPr>
          <w:rFonts w:ascii="Arial" w:hAnsi="Arial" w:cs="Arial"/>
          <w:sz w:val="22"/>
          <w:szCs w:val="22"/>
        </w:rPr>
        <w:t>Biophys</w:t>
      </w:r>
      <w:proofErr w:type="spellEnd"/>
      <w:r w:rsidRPr="008B5F3A">
        <w:rPr>
          <w:rFonts w:ascii="Arial" w:hAnsi="Arial" w:cs="Arial"/>
          <w:sz w:val="22"/>
          <w:szCs w:val="22"/>
        </w:rPr>
        <w:t>. Acta 2013. [</w:t>
      </w:r>
      <w:proofErr w:type="spellStart"/>
      <w:r w:rsidRPr="008B5F3A">
        <w:rPr>
          <w:rFonts w:ascii="Arial" w:hAnsi="Arial" w:cs="Arial"/>
          <w:sz w:val="22"/>
          <w:szCs w:val="22"/>
        </w:rPr>
        <w:t>CrossRef</w:t>
      </w:r>
      <w:proofErr w:type="spellEnd"/>
      <w:r w:rsidRPr="008B5F3A">
        <w:rPr>
          <w:rFonts w:ascii="Arial" w:hAnsi="Arial" w:cs="Arial"/>
          <w:sz w:val="22"/>
          <w:szCs w:val="22"/>
        </w:rPr>
        <w:t>]</w:t>
      </w:r>
    </w:p>
    <w:p w14:paraId="48C16524" w14:textId="29E3C6AD"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Sharma, L. K., Sharma, A. K., Ogram, A., &amp; Singh, H. (2023). Enhancing Biological Nitrogen Fixation to Improve Soil Nutrient Status. EDIS</w:t>
      </w:r>
      <w:r w:rsidR="00B92F08">
        <w:rPr>
          <w:rFonts w:ascii="Arial" w:hAnsi="Arial" w:cs="Arial"/>
          <w:sz w:val="22"/>
          <w:szCs w:val="22"/>
        </w:rPr>
        <w:t xml:space="preserve">. </w:t>
      </w:r>
      <w:hyperlink r:id="rId117" w:history="1">
        <w:r w:rsidRPr="008B5F3A">
          <w:rPr>
            <w:rStyle w:val="Hyperlink"/>
            <w:rFonts w:ascii="Arial" w:hAnsi="Arial" w:cs="Arial"/>
            <w:sz w:val="22"/>
            <w:szCs w:val="22"/>
          </w:rPr>
          <w:t>https://doi.org/10.32473/edis-ss714-2023</w:t>
        </w:r>
      </w:hyperlink>
      <w:r w:rsidRPr="008B5F3A">
        <w:rPr>
          <w:rFonts w:ascii="Arial" w:hAnsi="Arial" w:cs="Arial"/>
          <w:sz w:val="22"/>
          <w:szCs w:val="22"/>
        </w:rPr>
        <w:t xml:space="preserve"> </w:t>
      </w:r>
    </w:p>
    <w:p w14:paraId="3E51F04B" w14:textId="6BE11E3A"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 xml:space="preserve">Shi, S., Villamizar, L., Gerard, E., Ronson, C. W., Wakelin, S. A., Ballard, R., </w:t>
      </w:r>
      <w:proofErr w:type="spellStart"/>
      <w:r w:rsidRPr="008B5F3A">
        <w:rPr>
          <w:rFonts w:ascii="Arial" w:hAnsi="Arial" w:cs="Arial"/>
          <w:sz w:val="22"/>
          <w:szCs w:val="22"/>
        </w:rPr>
        <w:t>Caradus</w:t>
      </w:r>
      <w:proofErr w:type="spellEnd"/>
      <w:r w:rsidRPr="008B5F3A">
        <w:rPr>
          <w:rFonts w:ascii="Arial" w:hAnsi="Arial" w:cs="Arial"/>
          <w:sz w:val="22"/>
          <w:szCs w:val="22"/>
        </w:rPr>
        <w:t xml:space="preserve">, J. R., &amp; O’Callaghan, M. (2019). Increasing biological nitrogen fixation by white clover-rhizobia symbiosis. </w:t>
      </w:r>
      <w:hyperlink r:id="rId118" w:history="1">
        <w:r w:rsidRPr="008B5F3A">
          <w:rPr>
            <w:rStyle w:val="Hyperlink"/>
            <w:rFonts w:ascii="Arial" w:hAnsi="Arial" w:cs="Arial"/>
            <w:sz w:val="22"/>
            <w:szCs w:val="22"/>
          </w:rPr>
          <w:t>https://doi.org/10.33584/JNZG.2019.81.380</w:t>
        </w:r>
      </w:hyperlink>
      <w:r w:rsidRPr="008B5F3A">
        <w:rPr>
          <w:rFonts w:ascii="Arial" w:hAnsi="Arial" w:cs="Arial"/>
          <w:sz w:val="22"/>
          <w:szCs w:val="22"/>
        </w:rPr>
        <w:t xml:space="preserve"> </w:t>
      </w:r>
    </w:p>
    <w:p w14:paraId="687C3B65" w14:textId="77777777"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 xml:space="preserve">Shil, S., Shashank, A., Rambabu, B., </w:t>
      </w:r>
      <w:proofErr w:type="spellStart"/>
      <w:r w:rsidRPr="008B5F3A">
        <w:rPr>
          <w:rFonts w:ascii="Arial" w:hAnsi="Arial" w:cs="Arial"/>
          <w:sz w:val="22"/>
          <w:szCs w:val="22"/>
        </w:rPr>
        <w:t>Ponaganti</w:t>
      </w:r>
      <w:proofErr w:type="spellEnd"/>
      <w:r w:rsidRPr="008B5F3A">
        <w:rPr>
          <w:rFonts w:ascii="Arial" w:hAnsi="Arial" w:cs="Arial"/>
          <w:sz w:val="22"/>
          <w:szCs w:val="22"/>
        </w:rPr>
        <w:t xml:space="preserve">, S. K., &amp; Dewanjee, S. (2024). Developing Drought Tolerance in Field Crops towards Current Century: An Integrated Bio-Molecular Approach. International Journal of Bio-Resource and Stress Management. </w:t>
      </w:r>
      <w:hyperlink r:id="rId119" w:history="1">
        <w:r w:rsidRPr="008B5F3A">
          <w:rPr>
            <w:rStyle w:val="Hyperlink"/>
            <w:rFonts w:ascii="Arial" w:hAnsi="Arial" w:cs="Arial"/>
            <w:sz w:val="22"/>
            <w:szCs w:val="22"/>
          </w:rPr>
          <w:t>https://doi.org/10.23910/1.2024.5124</w:t>
        </w:r>
      </w:hyperlink>
      <w:r w:rsidRPr="008B5F3A">
        <w:rPr>
          <w:rFonts w:ascii="Arial" w:hAnsi="Arial" w:cs="Arial"/>
          <w:sz w:val="22"/>
          <w:szCs w:val="22"/>
        </w:rPr>
        <w:t xml:space="preserve"> </w:t>
      </w:r>
    </w:p>
    <w:p w14:paraId="00FF7CD8" w14:textId="6E5F24EE"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Simon, A. (2022). Nitrogen-Fixing Archaea and Sustainable Agriculture.</w:t>
      </w:r>
    </w:p>
    <w:p w14:paraId="64651434" w14:textId="19030F37"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 xml:space="preserve">Smith, B. E., Campbell, F., Eady, R. R., Eldridge, M. E., Ford, C. M., Hill, S., Kavanagh, E. P., Lowe, D. J., Miller, R. W., Richardson, T., Robson, R. L., </w:t>
      </w:r>
      <w:proofErr w:type="spellStart"/>
      <w:r w:rsidRPr="008B5F3A">
        <w:rPr>
          <w:rFonts w:ascii="Arial" w:hAnsi="Arial" w:cs="Arial"/>
          <w:sz w:val="22"/>
          <w:szCs w:val="22"/>
        </w:rPr>
        <w:t>Thorneley</w:t>
      </w:r>
      <w:proofErr w:type="spellEnd"/>
      <w:r w:rsidRPr="008B5F3A">
        <w:rPr>
          <w:rFonts w:ascii="Arial" w:hAnsi="Arial" w:cs="Arial"/>
          <w:sz w:val="22"/>
          <w:szCs w:val="22"/>
        </w:rPr>
        <w:t xml:space="preserve">, R. N. F., &amp; Yates, M. G. (1987). Biochemistry of nitrogenase and the physiology of related metabolism. Philosophical Transactions of the Royal Society B. </w:t>
      </w:r>
      <w:hyperlink r:id="rId120" w:history="1">
        <w:r w:rsidRPr="008B5F3A">
          <w:rPr>
            <w:rStyle w:val="Hyperlink"/>
            <w:rFonts w:ascii="Arial" w:hAnsi="Arial" w:cs="Arial"/>
          </w:rPr>
          <w:t>https://doi.org/10.1098/RSTB.1987.0052</w:t>
        </w:r>
      </w:hyperlink>
      <w:r w:rsidRPr="008B5F3A">
        <w:rPr>
          <w:rFonts w:ascii="Arial" w:hAnsi="Arial" w:cs="Arial"/>
        </w:rPr>
        <w:t xml:space="preserve"> </w:t>
      </w:r>
    </w:p>
    <w:p w14:paraId="14C4EF67" w14:textId="3E9D857B"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Smith, L., Wang, J., &amp; Davis, P. (2020). Nitrogen's role in agricultural and ecological sustainability. Agricultural Systems.</w:t>
      </w:r>
    </w:p>
    <w:p w14:paraId="6220FF8F" w14:textId="51B2555F"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 xml:space="preserve">Sysoeva, T.A.; Chowdhury, S.; Guo, L.; Nixon, B.T. Nucleotide-induced asymmetry within ATPase activator ring drives sigma54- RNAP interaction and ATP hydrolysis. Genes. Dev. 2013. </w:t>
      </w:r>
      <w:hyperlink r:id="rId121" w:history="1">
        <w:r w:rsidRPr="008B5F3A">
          <w:rPr>
            <w:rStyle w:val="Hyperlink"/>
            <w:rFonts w:ascii="Arial" w:hAnsi="Arial" w:cs="Arial"/>
          </w:rPr>
          <w:t>https://doi.org/10.1007/978-1-61779-194-9_6</w:t>
        </w:r>
      </w:hyperlink>
      <w:r w:rsidRPr="008B5F3A">
        <w:rPr>
          <w:rFonts w:ascii="Arial" w:hAnsi="Arial" w:cs="Arial"/>
        </w:rPr>
        <w:t xml:space="preserve"> </w:t>
      </w:r>
    </w:p>
    <w:p w14:paraId="26F8F32F" w14:textId="15D41B0B"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lastRenderedPageBreak/>
        <w:t>Takakura, J., et al. (2021). Economic climate impact simulation. Geoscientific Model Development.</w:t>
      </w:r>
    </w:p>
    <w:p w14:paraId="37960A92" w14:textId="2A8EE0E5"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 xml:space="preserve">Tanabe, Y., &amp; Nishibayashi, Y. (2021). Comprehensive insights into synthetic nitrogen fixation assisted by molecular catalysts under ambient or mild conditions. Chemical Society Reviews. </w:t>
      </w:r>
      <w:hyperlink r:id="rId122" w:history="1">
        <w:r w:rsidRPr="008B5F3A">
          <w:rPr>
            <w:rStyle w:val="Hyperlink"/>
            <w:rFonts w:ascii="Arial" w:hAnsi="Arial" w:cs="Arial"/>
          </w:rPr>
          <w:t>https://doi.org/10.1039/D0CS01341B</w:t>
        </w:r>
      </w:hyperlink>
      <w:r w:rsidRPr="008B5F3A">
        <w:rPr>
          <w:rFonts w:ascii="Arial" w:hAnsi="Arial" w:cs="Arial"/>
        </w:rPr>
        <w:t xml:space="preserve"> </w:t>
      </w:r>
    </w:p>
    <w:p w14:paraId="12205B3C" w14:textId="404181BB"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Thakur, S., et al. (2014). Exploring symbiotic diazotrophs. In Biological Nitrogen Fixation.</w:t>
      </w:r>
      <w:r w:rsidRPr="008B5F3A">
        <w:rPr>
          <w:rFonts w:ascii="Arial" w:hAnsi="Arial" w:cs="Arial"/>
        </w:rPr>
        <w:t xml:space="preserve"> </w:t>
      </w:r>
      <w:hyperlink r:id="rId123" w:history="1">
        <w:r w:rsidRPr="008B5F3A">
          <w:rPr>
            <w:rStyle w:val="Hyperlink"/>
            <w:rFonts w:ascii="Arial" w:hAnsi="Arial" w:cs="Arial"/>
          </w:rPr>
          <w:t>https://doi.org/10.1007/978-1-61779-194-9_6</w:t>
        </w:r>
      </w:hyperlink>
      <w:r w:rsidRPr="008B5F3A">
        <w:rPr>
          <w:rFonts w:ascii="Arial" w:hAnsi="Arial" w:cs="Arial"/>
        </w:rPr>
        <w:t xml:space="preserve"> </w:t>
      </w:r>
    </w:p>
    <w:p w14:paraId="7E58B840" w14:textId="46BD355E"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 xml:space="preserve">Thiranagama, G., Jayathilaka, D., Sandaruwan, C., &amp; </w:t>
      </w:r>
      <w:proofErr w:type="spellStart"/>
      <w:r w:rsidRPr="008B5F3A">
        <w:rPr>
          <w:rFonts w:ascii="Arial" w:hAnsi="Arial" w:cs="Arial"/>
          <w:sz w:val="22"/>
          <w:szCs w:val="22"/>
        </w:rPr>
        <w:t>Kottegoda</w:t>
      </w:r>
      <w:proofErr w:type="spellEnd"/>
      <w:r w:rsidRPr="008B5F3A">
        <w:rPr>
          <w:rFonts w:ascii="Arial" w:hAnsi="Arial" w:cs="Arial"/>
          <w:sz w:val="22"/>
          <w:szCs w:val="22"/>
        </w:rPr>
        <w:t>, N. (2023). Nanotechnology for precision farming and smart delivery systems. In CABI.</w:t>
      </w:r>
      <w:r w:rsidRPr="008B5F3A">
        <w:rPr>
          <w:rFonts w:ascii="Arial" w:hAnsi="Arial" w:cs="Arial"/>
        </w:rPr>
        <w:t xml:space="preserve"> </w:t>
      </w:r>
      <w:hyperlink r:id="rId124" w:history="1">
        <w:r w:rsidRPr="008B5F3A">
          <w:rPr>
            <w:rStyle w:val="Hyperlink"/>
            <w:rFonts w:ascii="Arial" w:hAnsi="Arial" w:cs="Arial"/>
          </w:rPr>
          <w:t>https://doi.org/10.1007/978-1-61779-194-9_88</w:t>
        </w:r>
      </w:hyperlink>
      <w:r w:rsidRPr="008B5F3A">
        <w:rPr>
          <w:rFonts w:ascii="Arial" w:hAnsi="Arial" w:cs="Arial"/>
        </w:rPr>
        <w:t xml:space="preserve"> </w:t>
      </w:r>
    </w:p>
    <w:p w14:paraId="2CA17CF1" w14:textId="7CE87796"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Thompson, B., Wallace, H., &amp; Green, L. (2018). Climate change and nitrogen fluxes. Journal of Environmental Science.</w:t>
      </w:r>
    </w:p>
    <w:p w14:paraId="4A42EF9C" w14:textId="77777777"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Timlin, D., et al. (2024). Crop simulation for climate adaptation. Agricultural &amp; Environmental Letters.</w:t>
      </w:r>
      <w:r w:rsidRPr="008B5F3A">
        <w:rPr>
          <w:rFonts w:ascii="Arial" w:hAnsi="Arial" w:cs="Arial"/>
        </w:rPr>
        <w:t xml:space="preserve"> </w:t>
      </w:r>
      <w:hyperlink r:id="rId125" w:history="1">
        <w:r w:rsidRPr="008B5F3A">
          <w:rPr>
            <w:rStyle w:val="Hyperlink"/>
            <w:rFonts w:ascii="Arial" w:hAnsi="Arial" w:cs="Arial"/>
          </w:rPr>
          <w:t>https://doi.org/10.1007/978-1-61779-194-9</w:t>
        </w:r>
      </w:hyperlink>
      <w:r w:rsidRPr="008B5F3A">
        <w:rPr>
          <w:rFonts w:ascii="Arial" w:hAnsi="Arial" w:cs="Arial"/>
        </w:rPr>
        <w:t xml:space="preserve"> </w:t>
      </w:r>
    </w:p>
    <w:p w14:paraId="04EF0725" w14:textId="4C6166FC"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Trivedi, P., et al. (2021). Microbiome-based sustainability. New Phytologist.</w:t>
      </w:r>
      <w:r w:rsidRPr="008B5F3A">
        <w:rPr>
          <w:rFonts w:ascii="Arial" w:hAnsi="Arial" w:cs="Arial"/>
        </w:rPr>
        <w:t xml:space="preserve"> </w:t>
      </w:r>
      <w:hyperlink r:id="rId126" w:history="1">
        <w:r w:rsidRPr="008B5F3A">
          <w:rPr>
            <w:rStyle w:val="Hyperlink"/>
            <w:rFonts w:ascii="Arial" w:hAnsi="Arial" w:cs="Arial"/>
          </w:rPr>
          <w:t>https://doi.org/10.1007/978-1-61779-194-9_6</w:t>
        </w:r>
      </w:hyperlink>
      <w:r w:rsidRPr="008B5F3A">
        <w:rPr>
          <w:rFonts w:ascii="Arial" w:hAnsi="Arial" w:cs="Arial"/>
        </w:rPr>
        <w:t xml:space="preserve"> </w:t>
      </w:r>
    </w:p>
    <w:p w14:paraId="60F1D741" w14:textId="134A5F40"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 xml:space="preserve">Tufail, M. A., Ayyub, M., Tariq, L., Iltaf, J., Asbat, A., Bashir, I., &amp; Umar, W. (2024). Nitrogen fertilizers and the future of sustainable agriculture: a deep dive into production, pollution, and mitigation measures. Soil Science and Plant Nutrition. </w:t>
      </w:r>
      <w:hyperlink r:id="rId127" w:history="1">
        <w:r w:rsidRPr="008B5F3A">
          <w:rPr>
            <w:rStyle w:val="Hyperlink"/>
            <w:rFonts w:ascii="Arial" w:hAnsi="Arial" w:cs="Arial"/>
          </w:rPr>
          <w:t>https://doi.org/10.1080/00380768.2024.2361068</w:t>
        </w:r>
      </w:hyperlink>
      <w:r w:rsidRPr="008B5F3A">
        <w:rPr>
          <w:rFonts w:ascii="Arial" w:hAnsi="Arial" w:cs="Arial"/>
        </w:rPr>
        <w:t xml:space="preserve"> </w:t>
      </w:r>
    </w:p>
    <w:p w14:paraId="38DBB706" w14:textId="77777777"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 xml:space="preserve">Usman, N. I., &amp; Wali, M. M. (2024). Nitrogen Fixation by Rhizobacterial </w:t>
      </w:r>
      <w:proofErr w:type="spellStart"/>
      <w:r w:rsidRPr="008B5F3A">
        <w:rPr>
          <w:rFonts w:ascii="Arial" w:hAnsi="Arial" w:cs="Arial"/>
          <w:sz w:val="22"/>
          <w:szCs w:val="22"/>
        </w:rPr>
        <w:t>Nif</w:t>
      </w:r>
      <w:proofErr w:type="spellEnd"/>
      <w:r w:rsidRPr="008B5F3A">
        <w:rPr>
          <w:rFonts w:ascii="Arial" w:hAnsi="Arial" w:cs="Arial"/>
          <w:sz w:val="22"/>
          <w:szCs w:val="22"/>
        </w:rPr>
        <w:t xml:space="preserve"> Mechanism: An Advanced Genetic Perspective. </w:t>
      </w:r>
      <w:proofErr w:type="spellStart"/>
      <w:r w:rsidRPr="008B5F3A">
        <w:rPr>
          <w:rFonts w:ascii="Arial" w:hAnsi="Arial" w:cs="Arial"/>
          <w:sz w:val="22"/>
          <w:szCs w:val="22"/>
        </w:rPr>
        <w:t>IntechOpen</w:t>
      </w:r>
      <w:proofErr w:type="spellEnd"/>
      <w:r w:rsidRPr="008B5F3A">
        <w:rPr>
          <w:rFonts w:ascii="Arial" w:hAnsi="Arial" w:cs="Arial"/>
          <w:sz w:val="22"/>
          <w:szCs w:val="22"/>
        </w:rPr>
        <w:t xml:space="preserve">. </w:t>
      </w:r>
      <w:hyperlink r:id="rId128" w:history="1">
        <w:r w:rsidRPr="008B5F3A">
          <w:rPr>
            <w:rStyle w:val="Hyperlink"/>
            <w:rFonts w:ascii="Arial" w:hAnsi="Arial" w:cs="Arial"/>
          </w:rPr>
          <w:t>https://doi.org/10.5772/intechopen.1004087</w:t>
        </w:r>
      </w:hyperlink>
      <w:r w:rsidRPr="008B5F3A">
        <w:rPr>
          <w:rFonts w:ascii="Arial" w:hAnsi="Arial" w:cs="Arial"/>
        </w:rPr>
        <w:t xml:space="preserve">  </w:t>
      </w:r>
    </w:p>
    <w:p w14:paraId="5C668948" w14:textId="13F39875"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 xml:space="preserve">Verma, M. P., M’hamdi, N., </w:t>
      </w:r>
      <w:proofErr w:type="spellStart"/>
      <w:r w:rsidRPr="008B5F3A">
        <w:rPr>
          <w:rFonts w:ascii="Arial" w:hAnsi="Arial" w:cs="Arial"/>
          <w:sz w:val="22"/>
          <w:szCs w:val="22"/>
        </w:rPr>
        <w:t>Dkhili</w:t>
      </w:r>
      <w:proofErr w:type="spellEnd"/>
      <w:r w:rsidRPr="008B5F3A">
        <w:rPr>
          <w:rFonts w:ascii="Arial" w:hAnsi="Arial" w:cs="Arial"/>
          <w:sz w:val="22"/>
          <w:szCs w:val="22"/>
        </w:rPr>
        <w:t xml:space="preserve">, Z., Brar, S. K., &amp; Misra, K. (2014). Thermochemical Transformation of </w:t>
      </w:r>
      <w:proofErr w:type="spellStart"/>
      <w:r w:rsidRPr="008B5F3A">
        <w:rPr>
          <w:rFonts w:ascii="Arial" w:hAnsi="Arial" w:cs="Arial"/>
          <w:sz w:val="22"/>
          <w:szCs w:val="22"/>
        </w:rPr>
        <w:t>Agro</w:t>
      </w:r>
      <w:proofErr w:type="spellEnd"/>
      <w:r w:rsidRPr="008B5F3A">
        <w:rPr>
          <w:rFonts w:ascii="Arial" w:hAnsi="Arial" w:cs="Arial"/>
          <w:sz w:val="22"/>
          <w:szCs w:val="22"/>
        </w:rPr>
        <w:t>-biomass into Biochar: Simultaneous Carbon Sequestration and Soil Amendment. Springer, New York, NY.</w:t>
      </w:r>
    </w:p>
    <w:p w14:paraId="64AD743C" w14:textId="77777777"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 xml:space="preserve">Viancelli, A., &amp; Michelon, W. (2024). Climate Change and Nitrogen Dynamics: Challenges and Strategies for a Sustainable Future. Nitrogen. </w:t>
      </w:r>
      <w:hyperlink r:id="rId129" w:history="1">
        <w:r w:rsidRPr="008B5F3A">
          <w:rPr>
            <w:rStyle w:val="Hyperlink"/>
            <w:rFonts w:ascii="Arial" w:hAnsi="Arial" w:cs="Arial"/>
          </w:rPr>
          <w:t>https://doi.org/10.3390/nitrogen5030045</w:t>
        </w:r>
      </w:hyperlink>
      <w:r w:rsidRPr="008B5F3A">
        <w:rPr>
          <w:rFonts w:ascii="Arial" w:hAnsi="Arial" w:cs="Arial"/>
        </w:rPr>
        <w:t xml:space="preserve"> </w:t>
      </w:r>
    </w:p>
    <w:p w14:paraId="57034BB0" w14:textId="77777777"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 xml:space="preserve">Wang, G., Ma, G., Gao, J., et al. (2024). Enhanced sensitivity of electrochemical sensors for ammonia-nitrogen via in-situ synthesis </w:t>
      </w:r>
      <w:proofErr w:type="spellStart"/>
      <w:r w:rsidRPr="008B5F3A">
        <w:rPr>
          <w:rFonts w:ascii="Arial" w:hAnsi="Arial" w:cs="Arial"/>
          <w:sz w:val="22"/>
          <w:szCs w:val="22"/>
        </w:rPr>
        <w:t>PtNi</w:t>
      </w:r>
      <w:proofErr w:type="spellEnd"/>
      <w:r w:rsidRPr="008B5F3A">
        <w:rPr>
          <w:rFonts w:ascii="Arial" w:hAnsi="Arial" w:cs="Arial"/>
          <w:sz w:val="22"/>
          <w:szCs w:val="22"/>
        </w:rPr>
        <w:t xml:space="preserve"> </w:t>
      </w:r>
      <w:proofErr w:type="spellStart"/>
      <w:r w:rsidRPr="008B5F3A">
        <w:rPr>
          <w:rFonts w:ascii="Arial" w:hAnsi="Arial" w:cs="Arial"/>
          <w:sz w:val="22"/>
          <w:szCs w:val="22"/>
        </w:rPr>
        <w:t>nanoleaves</w:t>
      </w:r>
      <w:proofErr w:type="spellEnd"/>
      <w:r w:rsidRPr="008B5F3A">
        <w:rPr>
          <w:rFonts w:ascii="Arial" w:hAnsi="Arial" w:cs="Arial"/>
          <w:sz w:val="22"/>
          <w:szCs w:val="22"/>
        </w:rPr>
        <w:t xml:space="preserve"> on carbon cloth. Sensors, 24(2).</w:t>
      </w:r>
    </w:p>
    <w:p w14:paraId="347B7F12" w14:textId="3111978B"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 xml:space="preserve">Wang, L.; Zhang, L.; Liu, Z.; Zhao, D.; Liu, X.; Zhang, B.; Xie, J.; Hong, Y.; Li, P.; Chen, S.; et al. A minimal nitrogen fixation gene cluster from </w:t>
      </w:r>
      <w:proofErr w:type="spellStart"/>
      <w:r w:rsidRPr="008B5F3A">
        <w:rPr>
          <w:rFonts w:ascii="Arial" w:hAnsi="Arial" w:cs="Arial"/>
          <w:sz w:val="22"/>
          <w:szCs w:val="22"/>
        </w:rPr>
        <w:t>Paenibacillus</w:t>
      </w:r>
      <w:proofErr w:type="spellEnd"/>
      <w:r w:rsidRPr="008B5F3A">
        <w:rPr>
          <w:rFonts w:ascii="Arial" w:hAnsi="Arial" w:cs="Arial"/>
          <w:sz w:val="22"/>
          <w:szCs w:val="22"/>
        </w:rPr>
        <w:t xml:space="preserve"> sp. WLY78 enables expression of active nitrogenase in Escherichia coli. </w:t>
      </w:r>
      <w:proofErr w:type="spellStart"/>
      <w:r w:rsidRPr="008B5F3A">
        <w:rPr>
          <w:rFonts w:ascii="Arial" w:hAnsi="Arial" w:cs="Arial"/>
          <w:sz w:val="22"/>
          <w:szCs w:val="22"/>
        </w:rPr>
        <w:t>PLoS</w:t>
      </w:r>
      <w:proofErr w:type="spellEnd"/>
      <w:r w:rsidRPr="008B5F3A">
        <w:rPr>
          <w:rFonts w:ascii="Arial" w:hAnsi="Arial" w:cs="Arial"/>
          <w:sz w:val="22"/>
          <w:szCs w:val="22"/>
        </w:rPr>
        <w:t xml:space="preserve"> Genet. </w:t>
      </w:r>
      <w:hyperlink r:id="rId130" w:history="1">
        <w:r w:rsidRPr="008B5F3A">
          <w:rPr>
            <w:rStyle w:val="Hyperlink"/>
            <w:rFonts w:ascii="Arial" w:hAnsi="Arial" w:cs="Arial"/>
          </w:rPr>
          <w:t>https://doi.org/10.1007/978-1-61779-194-9_6</w:t>
        </w:r>
      </w:hyperlink>
      <w:r w:rsidRPr="008B5F3A">
        <w:rPr>
          <w:rFonts w:ascii="Arial" w:hAnsi="Arial" w:cs="Arial"/>
        </w:rPr>
        <w:t xml:space="preserve"> </w:t>
      </w:r>
    </w:p>
    <w:p w14:paraId="61850AEF" w14:textId="0E7827B7"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Williams, J., &amp; Martinez, F. (2020). Variability in biological nitrogen fixation across landscapes. Soil Ecology Letters. </w:t>
      </w:r>
      <w:hyperlink r:id="rId131" w:tgtFrame="_blank" w:history="1">
        <w:r w:rsidRPr="008B5F3A">
          <w:rPr>
            <w:rStyle w:val="Hyperlink"/>
            <w:rFonts w:ascii="Arial" w:hAnsi="Arial" w:cs="Arial"/>
            <w:sz w:val="22"/>
            <w:szCs w:val="22"/>
          </w:rPr>
          <w:t>https://doi.org/10.1007/s42832-020-0061-3</w:t>
        </w:r>
      </w:hyperlink>
    </w:p>
    <w:p w14:paraId="48016085" w14:textId="2E0D8BFB"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Wilson, P.W.; Burris, R.H.; Lind, C.J. The Dissociation Constant in Nitrogen Fixation by Azotobacter. Proc. Natl. Acad. Sci. USA.  </w:t>
      </w:r>
      <w:hyperlink r:id="rId132" w:tgtFrame="_blank" w:history="1">
        <w:r w:rsidRPr="008B5F3A">
          <w:rPr>
            <w:rStyle w:val="Hyperlink"/>
            <w:rFonts w:ascii="Arial" w:hAnsi="Arial" w:cs="Arial"/>
            <w:sz w:val="22"/>
            <w:szCs w:val="22"/>
          </w:rPr>
          <w:t>https://doi.org/10.1073/pnas.28.6.243</w:t>
        </w:r>
      </w:hyperlink>
    </w:p>
    <w:p w14:paraId="77E0B09F" w14:textId="77777777"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Xiangyang, L., Jin, L., &amp; Yun, T. (2019). Method for improving nitrogen fixation capacity of nitrogen fixation microorganisms.</w:t>
      </w:r>
    </w:p>
    <w:p w14:paraId="01E4A998" w14:textId="77777777"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Xie, H. (2014). Preliminary study of co_2 geological sequestration and enhancement of geothermal exploitation integration in china. Chinese Journal of Rock Mechanics and Engineering.</w:t>
      </w:r>
      <w:r w:rsidRPr="008B5F3A">
        <w:rPr>
          <w:rFonts w:ascii="Arial" w:hAnsi="Arial" w:cs="Arial"/>
          <w:color w:val="404040"/>
          <w:shd w:val="clear" w:color="auto" w:fill="FFFFFF"/>
        </w:rPr>
        <w:t xml:space="preserve"> </w:t>
      </w:r>
      <w:r w:rsidRPr="008B5F3A">
        <w:rPr>
          <w:rFonts w:ascii="Arial" w:hAnsi="Arial" w:cs="Arial"/>
          <w:sz w:val="22"/>
          <w:szCs w:val="22"/>
        </w:rPr>
        <w:t> </w:t>
      </w:r>
      <w:hyperlink r:id="rId133" w:tgtFrame="_blank" w:history="1">
        <w:r w:rsidRPr="008B5F3A">
          <w:rPr>
            <w:rStyle w:val="Hyperlink"/>
            <w:rFonts w:ascii="Arial" w:hAnsi="Arial" w:cs="Arial"/>
            <w:sz w:val="22"/>
            <w:szCs w:val="22"/>
          </w:rPr>
          <w:t>https://doi.org/10.13722/j.cnki.jrme.2014.08.023</w:t>
        </w:r>
      </w:hyperlink>
    </w:p>
    <w:p w14:paraId="16AB40F2" w14:textId="3D57DBD4"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lastRenderedPageBreak/>
        <w:t xml:space="preserve">Ye, Y.; Ngo, H.H.; Guo, W.; Chang, S.W.; Nguyen, D.D.; </w:t>
      </w:r>
      <w:proofErr w:type="spellStart"/>
      <w:r w:rsidRPr="008B5F3A">
        <w:rPr>
          <w:rFonts w:ascii="Arial" w:hAnsi="Arial" w:cs="Arial"/>
          <w:sz w:val="22"/>
          <w:szCs w:val="22"/>
        </w:rPr>
        <w:t>Varjani</w:t>
      </w:r>
      <w:proofErr w:type="spellEnd"/>
      <w:r w:rsidRPr="008B5F3A">
        <w:rPr>
          <w:rFonts w:ascii="Arial" w:hAnsi="Arial" w:cs="Arial"/>
          <w:sz w:val="22"/>
          <w:szCs w:val="22"/>
        </w:rPr>
        <w:t>, S.; Ding, A.; Bui, X.T.; Nguyen, D.P. Bio-membrane based integrated systems for nitrogen recovery in wastewater treatment: Current applications and future perspectives. Chemosphere 2021.  </w:t>
      </w:r>
      <w:hyperlink r:id="rId134" w:tgtFrame="_blank" w:history="1">
        <w:r w:rsidRPr="008B5F3A">
          <w:rPr>
            <w:rStyle w:val="Hyperlink"/>
            <w:rFonts w:ascii="Arial" w:hAnsi="Arial" w:cs="Arial"/>
            <w:sz w:val="22"/>
            <w:szCs w:val="22"/>
          </w:rPr>
          <w:t>https://doi.org/10.1016/j.chemosphere.2020.129076</w:t>
        </w:r>
      </w:hyperlink>
    </w:p>
    <w:p w14:paraId="42E752F7" w14:textId="1960DF98"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 xml:space="preserve">Yu, T., &amp; Zhuang, Q. (2020). Modeling global biological nitrogen fixation. </w:t>
      </w:r>
      <w:proofErr w:type="spellStart"/>
      <w:r w:rsidRPr="008B5F3A">
        <w:rPr>
          <w:rFonts w:ascii="Arial" w:hAnsi="Arial" w:cs="Arial"/>
          <w:sz w:val="22"/>
          <w:szCs w:val="22"/>
        </w:rPr>
        <w:t>Biogeosciences</w:t>
      </w:r>
      <w:proofErr w:type="spellEnd"/>
      <w:r w:rsidRPr="008B5F3A">
        <w:rPr>
          <w:rFonts w:ascii="Arial" w:hAnsi="Arial" w:cs="Arial"/>
          <w:sz w:val="22"/>
          <w:szCs w:val="22"/>
        </w:rPr>
        <w:t>.</w:t>
      </w:r>
      <w:r w:rsidRPr="008B5F3A">
        <w:rPr>
          <w:rFonts w:ascii="Arial" w:hAnsi="Arial" w:cs="Arial"/>
          <w:color w:val="404040"/>
          <w:shd w:val="clear" w:color="auto" w:fill="FFFFFF"/>
        </w:rPr>
        <w:t xml:space="preserve"> </w:t>
      </w:r>
      <w:r w:rsidRPr="008B5F3A">
        <w:rPr>
          <w:rFonts w:ascii="Arial" w:hAnsi="Arial" w:cs="Arial"/>
          <w:sz w:val="22"/>
          <w:szCs w:val="22"/>
        </w:rPr>
        <w:t> </w:t>
      </w:r>
      <w:hyperlink r:id="rId135" w:tgtFrame="_blank" w:history="1">
        <w:r w:rsidRPr="008B5F3A">
          <w:rPr>
            <w:rStyle w:val="Hyperlink"/>
            <w:rFonts w:ascii="Arial" w:hAnsi="Arial" w:cs="Arial"/>
            <w:sz w:val="22"/>
            <w:szCs w:val="22"/>
          </w:rPr>
          <w:t>https://doi.org/10.5194/bg-17-3643-2020</w:t>
        </w:r>
      </w:hyperlink>
    </w:p>
    <w:p w14:paraId="3F669969" w14:textId="44736A4D"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 xml:space="preserve">Zambrano-Mendoza, J.L.; </w:t>
      </w:r>
      <w:proofErr w:type="spellStart"/>
      <w:r w:rsidRPr="008B5F3A">
        <w:rPr>
          <w:rFonts w:ascii="Arial" w:hAnsi="Arial" w:cs="Arial"/>
          <w:sz w:val="22"/>
          <w:szCs w:val="22"/>
        </w:rPr>
        <w:t>Sangoquiza-Caiza</w:t>
      </w:r>
      <w:proofErr w:type="spellEnd"/>
      <w:r w:rsidRPr="008B5F3A">
        <w:rPr>
          <w:rFonts w:ascii="Arial" w:hAnsi="Arial" w:cs="Arial"/>
          <w:sz w:val="22"/>
          <w:szCs w:val="22"/>
        </w:rPr>
        <w:t xml:space="preserve">, C.A.; </w:t>
      </w:r>
      <w:proofErr w:type="spellStart"/>
      <w:r w:rsidRPr="008B5F3A">
        <w:rPr>
          <w:rFonts w:ascii="Arial" w:hAnsi="Arial" w:cs="Arial"/>
          <w:sz w:val="22"/>
          <w:szCs w:val="22"/>
        </w:rPr>
        <w:t>Campaa</w:t>
      </w:r>
      <w:proofErr w:type="spellEnd"/>
      <w:r w:rsidRPr="008B5F3A">
        <w:rPr>
          <w:rFonts w:ascii="Arial" w:hAnsi="Arial" w:cs="Arial"/>
          <w:sz w:val="22"/>
          <w:szCs w:val="22"/>
        </w:rPr>
        <w:t xml:space="preserve">-Cruz, D.F.; </w:t>
      </w:r>
      <w:proofErr w:type="spellStart"/>
      <w:r w:rsidRPr="008B5F3A">
        <w:rPr>
          <w:rFonts w:ascii="Arial" w:hAnsi="Arial" w:cs="Arial"/>
          <w:sz w:val="22"/>
          <w:szCs w:val="22"/>
        </w:rPr>
        <w:t>Yánez</w:t>
      </w:r>
      <w:proofErr w:type="spellEnd"/>
      <w:r w:rsidRPr="008B5F3A">
        <w:rPr>
          <w:rFonts w:ascii="Arial" w:hAnsi="Arial" w:cs="Arial"/>
          <w:sz w:val="22"/>
          <w:szCs w:val="22"/>
        </w:rPr>
        <w:t xml:space="preserve">-Guzmán, C.F. Use of Biofertilizers in Agricultural Production. In Technology in Agriculture; </w:t>
      </w:r>
      <w:proofErr w:type="spellStart"/>
      <w:r w:rsidRPr="008B5F3A">
        <w:rPr>
          <w:rFonts w:ascii="Arial" w:hAnsi="Arial" w:cs="Arial"/>
          <w:sz w:val="22"/>
          <w:szCs w:val="22"/>
        </w:rPr>
        <w:t>IntechOpen</w:t>
      </w:r>
      <w:proofErr w:type="spellEnd"/>
      <w:r w:rsidRPr="008B5F3A">
        <w:rPr>
          <w:rFonts w:ascii="Arial" w:hAnsi="Arial" w:cs="Arial"/>
          <w:sz w:val="22"/>
          <w:szCs w:val="22"/>
        </w:rPr>
        <w:t>: London, UK, 2021.</w:t>
      </w:r>
      <w:r w:rsidRPr="008B5F3A">
        <w:rPr>
          <w:rFonts w:ascii="Arial" w:hAnsi="Arial" w:cs="Arial"/>
          <w:color w:val="404040"/>
          <w:shd w:val="clear" w:color="auto" w:fill="FFFFFF"/>
        </w:rPr>
        <w:t xml:space="preserve"> </w:t>
      </w:r>
      <w:r w:rsidRPr="008B5F3A">
        <w:rPr>
          <w:rFonts w:ascii="Arial" w:hAnsi="Arial" w:cs="Arial"/>
          <w:sz w:val="22"/>
          <w:szCs w:val="22"/>
        </w:rPr>
        <w:t> </w:t>
      </w:r>
      <w:hyperlink r:id="rId136" w:tgtFrame="_blank" w:history="1">
        <w:r w:rsidRPr="008B5F3A">
          <w:rPr>
            <w:rStyle w:val="Hyperlink"/>
            <w:rFonts w:ascii="Arial" w:hAnsi="Arial" w:cs="Arial"/>
            <w:sz w:val="22"/>
            <w:szCs w:val="22"/>
          </w:rPr>
          <w:t>https://doi.org/10.5772/intechopen.97803</w:t>
        </w:r>
      </w:hyperlink>
    </w:p>
    <w:p w14:paraId="5E181627" w14:textId="77777777"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 xml:space="preserve">Zehr, J. P., &amp; Capone, D. G. (2021). Fundamentals of N 2 Fixation (pp. 9–29). Springer, Cham. </w:t>
      </w:r>
      <w:hyperlink r:id="rId137" w:history="1">
        <w:r w:rsidRPr="008B5F3A">
          <w:rPr>
            <w:rStyle w:val="Hyperlink"/>
            <w:rFonts w:ascii="Arial" w:hAnsi="Arial" w:cs="Arial"/>
            <w:sz w:val="22"/>
            <w:szCs w:val="22"/>
          </w:rPr>
          <w:t>https://doi.org/10.1007/978-3-030-67746-6_2</w:t>
        </w:r>
      </w:hyperlink>
      <w:r w:rsidRPr="008B5F3A">
        <w:rPr>
          <w:rFonts w:ascii="Arial" w:hAnsi="Arial" w:cs="Arial"/>
          <w:sz w:val="22"/>
          <w:szCs w:val="22"/>
        </w:rPr>
        <w:t xml:space="preserve"> </w:t>
      </w:r>
    </w:p>
    <w:p w14:paraId="5D16BB2B" w14:textId="770840DC"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Zhang, C., Nelson, T., &amp; Liu, P. (2019). Mitigating nitrogen pollution in agricultural landscapes. Environmental Management.</w:t>
      </w:r>
      <w:r w:rsidRPr="008B5F3A">
        <w:rPr>
          <w:rFonts w:ascii="Arial" w:hAnsi="Arial" w:cs="Arial"/>
          <w:color w:val="8B8B8B"/>
          <w:sz w:val="21"/>
          <w:szCs w:val="21"/>
          <w:shd w:val="clear" w:color="auto" w:fill="FFFFFF"/>
        </w:rPr>
        <w:t xml:space="preserve"> </w:t>
      </w:r>
      <w:hyperlink r:id="rId138" w:history="1">
        <w:r w:rsidRPr="008B5F3A">
          <w:rPr>
            <w:rStyle w:val="Hyperlink"/>
            <w:rFonts w:ascii="Arial" w:hAnsi="Arial" w:cs="Arial"/>
            <w:sz w:val="22"/>
            <w:szCs w:val="22"/>
          </w:rPr>
          <w:t>https://doi.org/10.1007/s00267-019-01128-z</w:t>
        </w:r>
      </w:hyperlink>
      <w:r w:rsidRPr="008B5F3A">
        <w:rPr>
          <w:rFonts w:ascii="Arial" w:hAnsi="Arial" w:cs="Arial"/>
          <w:sz w:val="22"/>
          <w:szCs w:val="22"/>
        </w:rPr>
        <w:t xml:space="preserve"> </w:t>
      </w:r>
    </w:p>
    <w:p w14:paraId="4C175B21" w14:textId="531B4EE8"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 xml:space="preserve">Zhang, W., Chen, Y., Huang, K., Wang, F., &amp; Mei, Z. (2023). Molecular Mechanism and Agricultural Application of the </w:t>
      </w:r>
      <w:proofErr w:type="spellStart"/>
      <w:r w:rsidRPr="008B5F3A">
        <w:rPr>
          <w:rFonts w:ascii="Arial" w:hAnsi="Arial" w:cs="Arial"/>
          <w:sz w:val="22"/>
          <w:szCs w:val="22"/>
        </w:rPr>
        <w:t>NifA</w:t>
      </w:r>
      <w:proofErr w:type="spellEnd"/>
      <w:r w:rsidRPr="008B5F3A">
        <w:rPr>
          <w:rFonts w:ascii="Arial" w:hAnsi="Arial" w:cs="Arial"/>
          <w:sz w:val="22"/>
          <w:szCs w:val="22"/>
        </w:rPr>
        <w:t>–</w:t>
      </w:r>
      <w:proofErr w:type="spellStart"/>
      <w:r w:rsidRPr="008B5F3A">
        <w:rPr>
          <w:rFonts w:ascii="Arial" w:hAnsi="Arial" w:cs="Arial"/>
          <w:sz w:val="22"/>
          <w:szCs w:val="22"/>
        </w:rPr>
        <w:t>NifL</w:t>
      </w:r>
      <w:proofErr w:type="spellEnd"/>
      <w:r w:rsidRPr="008B5F3A">
        <w:rPr>
          <w:rFonts w:ascii="Arial" w:hAnsi="Arial" w:cs="Arial"/>
          <w:sz w:val="22"/>
          <w:szCs w:val="22"/>
        </w:rPr>
        <w:t xml:space="preserve"> System for Nitrogen Fixation. International Journal of Molecular Sciences. </w:t>
      </w:r>
      <w:hyperlink r:id="rId139" w:history="1">
        <w:r w:rsidRPr="008B5F3A">
          <w:rPr>
            <w:rStyle w:val="Hyperlink"/>
            <w:rFonts w:ascii="Arial" w:hAnsi="Arial" w:cs="Arial"/>
            <w:sz w:val="22"/>
            <w:szCs w:val="22"/>
          </w:rPr>
          <w:t>https://doi.org/10.3390/ijms24020907</w:t>
        </w:r>
      </w:hyperlink>
      <w:r w:rsidRPr="008B5F3A">
        <w:rPr>
          <w:rFonts w:ascii="Arial" w:hAnsi="Arial" w:cs="Arial"/>
          <w:sz w:val="22"/>
          <w:szCs w:val="22"/>
        </w:rPr>
        <w:t xml:space="preserve"> </w:t>
      </w:r>
    </w:p>
    <w:p w14:paraId="370FDA27" w14:textId="4A69D8C6"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 xml:space="preserve">Zhang, W., Chen, Y., Huang, K., Wang, F., &amp; Mei, Z. (2023). Molecular Mechanism and Agricultural Application of the </w:t>
      </w:r>
      <w:proofErr w:type="spellStart"/>
      <w:r w:rsidRPr="008B5F3A">
        <w:rPr>
          <w:rFonts w:ascii="Arial" w:hAnsi="Arial" w:cs="Arial"/>
          <w:sz w:val="22"/>
          <w:szCs w:val="22"/>
        </w:rPr>
        <w:t>NifA</w:t>
      </w:r>
      <w:proofErr w:type="spellEnd"/>
      <w:r w:rsidRPr="008B5F3A">
        <w:rPr>
          <w:rFonts w:ascii="Arial" w:hAnsi="Arial" w:cs="Arial"/>
          <w:sz w:val="22"/>
          <w:szCs w:val="22"/>
        </w:rPr>
        <w:t>–</w:t>
      </w:r>
      <w:proofErr w:type="spellStart"/>
      <w:r w:rsidRPr="008B5F3A">
        <w:rPr>
          <w:rFonts w:ascii="Arial" w:hAnsi="Arial" w:cs="Arial"/>
          <w:sz w:val="22"/>
          <w:szCs w:val="22"/>
        </w:rPr>
        <w:t>NifL</w:t>
      </w:r>
      <w:proofErr w:type="spellEnd"/>
      <w:r w:rsidRPr="008B5F3A">
        <w:rPr>
          <w:rFonts w:ascii="Arial" w:hAnsi="Arial" w:cs="Arial"/>
          <w:sz w:val="22"/>
          <w:szCs w:val="22"/>
        </w:rPr>
        <w:t xml:space="preserve"> System for Nitrogen Fixation. International Journal of Molecular Sciences. </w:t>
      </w:r>
      <w:hyperlink r:id="rId140" w:history="1">
        <w:r w:rsidRPr="008B5F3A">
          <w:rPr>
            <w:rStyle w:val="Hyperlink"/>
            <w:rFonts w:ascii="Arial" w:hAnsi="Arial" w:cs="Arial"/>
            <w:sz w:val="22"/>
            <w:szCs w:val="22"/>
          </w:rPr>
          <w:t>https://doi.org/10.3390/ijms24020907</w:t>
        </w:r>
      </w:hyperlink>
      <w:r w:rsidRPr="008B5F3A">
        <w:rPr>
          <w:rFonts w:ascii="Arial" w:hAnsi="Arial" w:cs="Arial"/>
          <w:sz w:val="22"/>
          <w:szCs w:val="22"/>
        </w:rPr>
        <w:t xml:space="preserve"> </w:t>
      </w:r>
    </w:p>
    <w:p w14:paraId="7630E9D9" w14:textId="1ADE0F8C"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 xml:space="preserve">Zhang, W., Chen, Y., Huang, K., Wang, F., &amp; Mei, Z. (2023). Molecular Mechanism and Agricultural Application of the </w:t>
      </w:r>
      <w:proofErr w:type="spellStart"/>
      <w:r w:rsidRPr="008B5F3A">
        <w:rPr>
          <w:rFonts w:ascii="Arial" w:hAnsi="Arial" w:cs="Arial"/>
          <w:sz w:val="22"/>
          <w:szCs w:val="22"/>
        </w:rPr>
        <w:t>NifA</w:t>
      </w:r>
      <w:proofErr w:type="spellEnd"/>
      <w:r w:rsidRPr="008B5F3A">
        <w:rPr>
          <w:rFonts w:ascii="Arial" w:hAnsi="Arial" w:cs="Arial"/>
          <w:sz w:val="22"/>
          <w:szCs w:val="22"/>
        </w:rPr>
        <w:t>–</w:t>
      </w:r>
      <w:proofErr w:type="spellStart"/>
      <w:r w:rsidRPr="008B5F3A">
        <w:rPr>
          <w:rFonts w:ascii="Arial" w:hAnsi="Arial" w:cs="Arial"/>
          <w:sz w:val="22"/>
          <w:szCs w:val="22"/>
        </w:rPr>
        <w:t>NifL</w:t>
      </w:r>
      <w:proofErr w:type="spellEnd"/>
      <w:r w:rsidRPr="008B5F3A">
        <w:rPr>
          <w:rFonts w:ascii="Arial" w:hAnsi="Arial" w:cs="Arial"/>
          <w:sz w:val="22"/>
          <w:szCs w:val="22"/>
        </w:rPr>
        <w:t xml:space="preserve"> System for Nitrogen Fixation. International Journal of Molecular Sciences. </w:t>
      </w:r>
      <w:hyperlink r:id="rId141" w:history="1">
        <w:r w:rsidRPr="008B5F3A">
          <w:rPr>
            <w:rStyle w:val="Hyperlink"/>
            <w:rFonts w:ascii="Arial" w:hAnsi="Arial" w:cs="Arial"/>
            <w:sz w:val="22"/>
            <w:szCs w:val="22"/>
          </w:rPr>
          <w:t>https://doi.org/10.3390/ijms24020907</w:t>
        </w:r>
      </w:hyperlink>
      <w:r w:rsidRPr="008B5F3A">
        <w:rPr>
          <w:rFonts w:ascii="Arial" w:hAnsi="Arial" w:cs="Arial"/>
          <w:sz w:val="22"/>
          <w:szCs w:val="22"/>
        </w:rPr>
        <w:t xml:space="preserve"> </w:t>
      </w:r>
    </w:p>
    <w:p w14:paraId="4D88284F" w14:textId="6F1E99E8"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Zollo, A. L., et al. (2014). Climate change and landslide simulation. In Natural Hazard Modeling.</w:t>
      </w:r>
      <w:r w:rsidRPr="008B5F3A">
        <w:rPr>
          <w:rFonts w:ascii="Arial" w:hAnsi="Arial" w:cs="Arial"/>
          <w:color w:val="8B8B8B"/>
          <w:sz w:val="21"/>
          <w:szCs w:val="21"/>
          <w:shd w:val="clear" w:color="auto" w:fill="FFFFFF"/>
        </w:rPr>
        <w:t xml:space="preserve"> </w:t>
      </w:r>
      <w:hyperlink r:id="rId142" w:history="1">
        <w:r w:rsidRPr="008B5F3A">
          <w:rPr>
            <w:rStyle w:val="Hyperlink"/>
            <w:rFonts w:ascii="Arial" w:hAnsi="Arial" w:cs="Arial"/>
            <w:sz w:val="22"/>
            <w:szCs w:val="22"/>
          </w:rPr>
          <w:t>https://doi.org/10.1007/978-3-319-04999-1_39</w:t>
        </w:r>
      </w:hyperlink>
      <w:r w:rsidRPr="008B5F3A">
        <w:rPr>
          <w:rFonts w:ascii="Arial" w:hAnsi="Arial" w:cs="Arial"/>
          <w:sz w:val="22"/>
          <w:szCs w:val="22"/>
        </w:rPr>
        <w:t xml:space="preserve"> </w:t>
      </w:r>
    </w:p>
    <w:p w14:paraId="7B7F4FEA" w14:textId="3637299C" w:rsidR="008B5F3A" w:rsidRPr="008B5F3A" w:rsidRDefault="008B5F3A" w:rsidP="00EC1D04">
      <w:pPr>
        <w:pStyle w:val="ListParagraph"/>
        <w:numPr>
          <w:ilvl w:val="0"/>
          <w:numId w:val="46"/>
        </w:numPr>
        <w:spacing w:after="200"/>
        <w:jc w:val="both"/>
        <w:rPr>
          <w:rFonts w:ascii="Arial" w:hAnsi="Arial" w:cs="Arial"/>
          <w:sz w:val="22"/>
          <w:szCs w:val="22"/>
        </w:rPr>
      </w:pPr>
      <w:r w:rsidRPr="008B5F3A">
        <w:rPr>
          <w:rFonts w:ascii="Arial" w:hAnsi="Arial" w:cs="Arial"/>
          <w:sz w:val="22"/>
          <w:szCs w:val="22"/>
        </w:rPr>
        <w:t>Zou, X., Dong, H.-G., Li, J., &amp; Wang, J. (2015). Simultaneous Design and Planning of CO2 Transport Pipeline Network for Carbon Dioxide Capture and Sequestration Project</w:t>
      </w:r>
      <w:r w:rsidR="00EC1D04">
        <w:rPr>
          <w:rFonts w:ascii="Arial" w:hAnsi="Arial" w:cs="Arial"/>
          <w:sz w:val="22"/>
          <w:szCs w:val="22"/>
        </w:rPr>
        <w:t xml:space="preserve">. </w:t>
      </w:r>
      <w:r w:rsidRPr="008B5F3A">
        <w:rPr>
          <w:rFonts w:ascii="Arial" w:hAnsi="Arial" w:cs="Arial"/>
          <w:sz w:val="22"/>
          <w:szCs w:val="22"/>
        </w:rPr>
        <w:t>Elsevier.</w:t>
      </w:r>
      <w:r w:rsidRPr="008B5F3A">
        <w:rPr>
          <w:rFonts w:ascii="Arial" w:hAnsi="Arial" w:cs="Arial"/>
          <w:color w:val="8B8B8B"/>
          <w:sz w:val="21"/>
          <w:szCs w:val="21"/>
          <w:shd w:val="clear" w:color="auto" w:fill="FFFFFF"/>
        </w:rPr>
        <w:t xml:space="preserve"> </w:t>
      </w:r>
      <w:hyperlink r:id="rId143" w:history="1">
        <w:r w:rsidRPr="008B5F3A">
          <w:rPr>
            <w:rStyle w:val="Hyperlink"/>
            <w:rFonts w:ascii="Arial" w:hAnsi="Arial" w:cs="Arial"/>
            <w:sz w:val="22"/>
            <w:szCs w:val="22"/>
          </w:rPr>
          <w:t>https://doi.org/10.1016/B978-0-444-63576-1.50112-6</w:t>
        </w:r>
      </w:hyperlink>
      <w:r w:rsidRPr="008B5F3A">
        <w:rPr>
          <w:rFonts w:ascii="Arial" w:hAnsi="Arial" w:cs="Arial"/>
          <w:sz w:val="22"/>
          <w:szCs w:val="22"/>
        </w:rPr>
        <w:t xml:space="preserve">. </w:t>
      </w:r>
    </w:p>
    <w:p w14:paraId="2CCD55E2" w14:textId="77777777" w:rsidR="002019AF" w:rsidRDefault="008B5F3A" w:rsidP="002019AF">
      <w:pPr>
        <w:pStyle w:val="ListParagraph"/>
        <w:numPr>
          <w:ilvl w:val="0"/>
          <w:numId w:val="46"/>
        </w:numPr>
        <w:spacing w:after="200"/>
        <w:jc w:val="both"/>
        <w:rPr>
          <w:rFonts w:ascii="Arial" w:hAnsi="Arial" w:cs="Arial"/>
          <w:sz w:val="22"/>
          <w:szCs w:val="22"/>
        </w:rPr>
      </w:pPr>
      <w:proofErr w:type="spellStart"/>
      <w:r w:rsidRPr="008B5F3A">
        <w:rPr>
          <w:rFonts w:ascii="Arial" w:hAnsi="Arial" w:cs="Arial"/>
          <w:sz w:val="22"/>
          <w:szCs w:val="22"/>
        </w:rPr>
        <w:t>Česálková</w:t>
      </w:r>
      <w:proofErr w:type="spellEnd"/>
      <w:r w:rsidRPr="008B5F3A">
        <w:rPr>
          <w:rFonts w:ascii="Arial" w:hAnsi="Arial" w:cs="Arial"/>
          <w:sz w:val="22"/>
          <w:szCs w:val="22"/>
        </w:rPr>
        <w:t xml:space="preserve">, L. (2023). Orchestration of the plant microbiome. In Microbiomes for Sustainable Agriculture. </w:t>
      </w:r>
      <w:hyperlink r:id="rId144" w:history="1">
        <w:r w:rsidRPr="009A394E">
          <w:rPr>
            <w:rStyle w:val="Hyperlink"/>
            <w:rFonts w:ascii="Arial" w:hAnsi="Arial" w:cs="Arial"/>
            <w:color w:val="FF00FF"/>
            <w:sz w:val="22"/>
            <w:szCs w:val="22"/>
          </w:rPr>
          <w:t>https://doi.org/10.1007/978-3-031-24181-9_2</w:t>
        </w:r>
      </w:hyperlink>
      <w:r w:rsidRPr="009A394E">
        <w:rPr>
          <w:rFonts w:ascii="Arial" w:hAnsi="Arial" w:cs="Arial"/>
          <w:color w:val="FF00FF"/>
          <w:sz w:val="22"/>
          <w:szCs w:val="22"/>
        </w:rPr>
        <w:t xml:space="preserve"> </w:t>
      </w:r>
    </w:p>
    <w:p w14:paraId="4BC91823" w14:textId="2B5B2A3F" w:rsidR="002019AF" w:rsidRPr="002019AF" w:rsidRDefault="002019AF" w:rsidP="0094413F">
      <w:pPr>
        <w:pStyle w:val="ListParagraph"/>
        <w:numPr>
          <w:ilvl w:val="0"/>
          <w:numId w:val="46"/>
        </w:numPr>
        <w:spacing w:after="200"/>
        <w:jc w:val="both"/>
        <w:rPr>
          <w:rFonts w:ascii="Arial" w:hAnsi="Arial" w:cs="Arial"/>
          <w:sz w:val="22"/>
          <w:szCs w:val="22"/>
        </w:rPr>
      </w:pPr>
      <w:r w:rsidRPr="002019AF">
        <w:rPr>
          <w:rFonts w:ascii="Arial" w:hAnsi="Arial" w:cs="Arial"/>
          <w:color w:val="333A3F"/>
          <w:spacing w:val="1"/>
          <w:sz w:val="24"/>
          <w:szCs w:val="24"/>
          <w:shd w:val="clear" w:color="auto" w:fill="FFFFFF"/>
        </w:rPr>
        <w:t xml:space="preserve">Battaglia, G. and Joos, F. (2018). Marine n2o emissions from nitrification and denitrification constrained by modern observations and projected in multimillennial global warming simulations. Global Biogeochemical Cycles, 32(1), 92-121. </w:t>
      </w:r>
      <w:r w:rsidRPr="009A394E">
        <w:rPr>
          <w:rFonts w:ascii="Arial" w:hAnsi="Arial" w:cs="Arial"/>
          <w:color w:val="FF33CC"/>
          <w:spacing w:val="1"/>
          <w:sz w:val="24"/>
          <w:szCs w:val="24"/>
          <w:u w:val="single"/>
          <w:shd w:val="clear" w:color="auto" w:fill="FFFFFF"/>
        </w:rPr>
        <w:t>https://doi.org/10.1002/2017gb00567</w:t>
      </w:r>
      <w:r w:rsidR="0094413F" w:rsidRPr="009A394E">
        <w:rPr>
          <w:rFonts w:ascii="Arial" w:hAnsi="Arial" w:cs="Arial"/>
          <w:color w:val="FF33CC"/>
          <w:spacing w:val="1"/>
          <w:sz w:val="24"/>
          <w:szCs w:val="24"/>
          <w:u w:val="single"/>
          <w:shd w:val="clear" w:color="auto" w:fill="FFFFFF"/>
        </w:rPr>
        <w:t>1</w:t>
      </w:r>
      <w:r w:rsidR="0094413F">
        <w:rPr>
          <w:rFonts w:ascii="Arial" w:hAnsi="Arial" w:cs="Arial"/>
          <w:color w:val="333A3F"/>
          <w:spacing w:val="1"/>
          <w:sz w:val="24"/>
          <w:szCs w:val="24"/>
          <w:shd w:val="clear" w:color="auto" w:fill="FFFFFF"/>
        </w:rPr>
        <w:t xml:space="preserve">  </w:t>
      </w:r>
      <w:r w:rsidR="00F063A8">
        <w:rPr>
          <w:rFonts w:ascii="Arial" w:hAnsi="Arial" w:cs="Arial"/>
          <w:color w:val="333A3F"/>
          <w:spacing w:val="1"/>
          <w:sz w:val="24"/>
          <w:szCs w:val="24"/>
          <w:shd w:val="clear" w:color="auto" w:fill="FFFFFF"/>
        </w:rPr>
        <w:t xml:space="preserve"> </w:t>
      </w:r>
    </w:p>
    <w:p w14:paraId="11441151" w14:textId="3F8B0EAB" w:rsidR="002019AF" w:rsidRPr="009A394E" w:rsidRDefault="002019AF" w:rsidP="002019AF">
      <w:pPr>
        <w:pStyle w:val="ListParagraph"/>
        <w:numPr>
          <w:ilvl w:val="0"/>
          <w:numId w:val="46"/>
        </w:numPr>
        <w:spacing w:after="200"/>
        <w:jc w:val="both"/>
        <w:rPr>
          <w:rFonts w:ascii="Arial" w:hAnsi="Arial" w:cs="Arial"/>
          <w:sz w:val="22"/>
          <w:szCs w:val="22"/>
        </w:rPr>
      </w:pPr>
      <w:r w:rsidRPr="002019AF">
        <w:rPr>
          <w:rFonts w:ascii="Arial" w:hAnsi="Arial" w:cs="Arial"/>
          <w:color w:val="333A3F"/>
          <w:spacing w:val="1"/>
          <w:sz w:val="24"/>
          <w:szCs w:val="24"/>
          <w:shd w:val="clear" w:color="auto" w:fill="FFFFFF"/>
        </w:rPr>
        <w:t>Behnke, G., Kim, N., Riggins, C., Zabaloy, M., Rodriguez</w:t>
      </w:r>
      <w:r w:rsidRPr="002019AF">
        <w:rPr>
          <w:rFonts w:ascii="Cambria Math" w:hAnsi="Cambria Math" w:cs="Cambria Math"/>
          <w:color w:val="333A3F"/>
          <w:spacing w:val="1"/>
          <w:sz w:val="24"/>
          <w:szCs w:val="24"/>
          <w:shd w:val="clear" w:color="auto" w:fill="FFFFFF"/>
        </w:rPr>
        <w:t>‐</w:t>
      </w:r>
      <w:r w:rsidRPr="002019AF">
        <w:rPr>
          <w:rFonts w:ascii="Arial" w:hAnsi="Arial" w:cs="Arial"/>
          <w:color w:val="333A3F"/>
          <w:spacing w:val="1"/>
          <w:sz w:val="24"/>
          <w:szCs w:val="24"/>
          <w:shd w:val="clear" w:color="auto" w:fill="FFFFFF"/>
        </w:rPr>
        <w:t xml:space="preserve">Zas, S., &amp; Villamil, M. (2022). A longitudinal study of the microbial basis of nitrous oxide emissions within a long-term agricultural experiment. Frontiers in Agronomy, 4. </w:t>
      </w:r>
      <w:r w:rsidRPr="009A394E">
        <w:rPr>
          <w:rFonts w:ascii="Arial" w:hAnsi="Arial" w:cs="Arial"/>
          <w:color w:val="FF33CC"/>
          <w:spacing w:val="1"/>
          <w:sz w:val="24"/>
          <w:szCs w:val="24"/>
          <w:u w:val="single"/>
          <w:shd w:val="clear" w:color="auto" w:fill="FFFFFF"/>
        </w:rPr>
        <w:t>https://doi.org/10.3389/fagro.2022.833338</w:t>
      </w:r>
      <w:r w:rsidR="009A394E" w:rsidRPr="009A394E">
        <w:rPr>
          <w:rFonts w:ascii="Arial" w:hAnsi="Arial" w:cs="Arial"/>
          <w:color w:val="FF33CC"/>
          <w:spacing w:val="1"/>
          <w:sz w:val="24"/>
          <w:szCs w:val="24"/>
          <w:shd w:val="clear" w:color="auto" w:fill="FFFFFF"/>
        </w:rPr>
        <w:t xml:space="preserve"> </w:t>
      </w:r>
    </w:p>
    <w:p w14:paraId="01965B01" w14:textId="77777777" w:rsidR="009A394E" w:rsidRPr="002019AF" w:rsidRDefault="009A394E" w:rsidP="009A394E">
      <w:pPr>
        <w:pStyle w:val="ListParagraph"/>
        <w:spacing w:after="200"/>
        <w:jc w:val="both"/>
        <w:rPr>
          <w:rFonts w:ascii="Arial" w:hAnsi="Arial" w:cs="Arial"/>
          <w:sz w:val="22"/>
          <w:szCs w:val="22"/>
        </w:rPr>
      </w:pPr>
    </w:p>
    <w:p w14:paraId="654C4089" w14:textId="1EEC947A" w:rsidR="002019AF" w:rsidRPr="002019AF" w:rsidRDefault="002019AF" w:rsidP="002019AF">
      <w:pPr>
        <w:pStyle w:val="ListParagraph"/>
        <w:numPr>
          <w:ilvl w:val="0"/>
          <w:numId w:val="46"/>
        </w:numPr>
        <w:spacing w:after="200"/>
        <w:jc w:val="both"/>
        <w:rPr>
          <w:rFonts w:ascii="Arial" w:hAnsi="Arial" w:cs="Arial"/>
          <w:sz w:val="22"/>
          <w:szCs w:val="22"/>
        </w:rPr>
      </w:pPr>
      <w:proofErr w:type="spellStart"/>
      <w:r w:rsidRPr="002019AF">
        <w:rPr>
          <w:rFonts w:ascii="Arial" w:hAnsi="Arial" w:cs="Arial"/>
          <w:color w:val="333A3F"/>
          <w:spacing w:val="1"/>
          <w:sz w:val="24"/>
          <w:szCs w:val="24"/>
          <w:shd w:val="clear" w:color="auto" w:fill="FFFFFF"/>
        </w:rPr>
        <w:lastRenderedPageBreak/>
        <w:t>Conthe</w:t>
      </w:r>
      <w:proofErr w:type="spellEnd"/>
      <w:r w:rsidRPr="002019AF">
        <w:rPr>
          <w:rFonts w:ascii="Arial" w:hAnsi="Arial" w:cs="Arial"/>
          <w:color w:val="333A3F"/>
          <w:spacing w:val="1"/>
          <w:sz w:val="24"/>
          <w:szCs w:val="24"/>
          <w:shd w:val="clear" w:color="auto" w:fill="FFFFFF"/>
        </w:rPr>
        <w:t xml:space="preserve">, M., </w:t>
      </w:r>
      <w:proofErr w:type="spellStart"/>
      <w:r w:rsidRPr="002019AF">
        <w:rPr>
          <w:rFonts w:ascii="Arial" w:hAnsi="Arial" w:cs="Arial"/>
          <w:color w:val="333A3F"/>
          <w:spacing w:val="1"/>
          <w:sz w:val="24"/>
          <w:szCs w:val="24"/>
          <w:shd w:val="clear" w:color="auto" w:fill="FFFFFF"/>
        </w:rPr>
        <w:t>Wittorf</w:t>
      </w:r>
      <w:proofErr w:type="spellEnd"/>
      <w:r w:rsidRPr="002019AF">
        <w:rPr>
          <w:rFonts w:ascii="Arial" w:hAnsi="Arial" w:cs="Arial"/>
          <w:color w:val="333A3F"/>
          <w:spacing w:val="1"/>
          <w:sz w:val="24"/>
          <w:szCs w:val="24"/>
          <w:shd w:val="clear" w:color="auto" w:fill="FFFFFF"/>
        </w:rPr>
        <w:t xml:space="preserve">, L., Kuenen, J., </w:t>
      </w:r>
      <w:proofErr w:type="spellStart"/>
      <w:r w:rsidRPr="002019AF">
        <w:rPr>
          <w:rFonts w:ascii="Arial" w:hAnsi="Arial" w:cs="Arial"/>
          <w:color w:val="333A3F"/>
          <w:spacing w:val="1"/>
          <w:sz w:val="24"/>
          <w:szCs w:val="24"/>
          <w:shd w:val="clear" w:color="auto" w:fill="FFFFFF"/>
        </w:rPr>
        <w:t>Kleerebezem</w:t>
      </w:r>
      <w:proofErr w:type="spellEnd"/>
      <w:r w:rsidRPr="002019AF">
        <w:rPr>
          <w:rFonts w:ascii="Arial" w:hAnsi="Arial" w:cs="Arial"/>
          <w:color w:val="333A3F"/>
          <w:spacing w:val="1"/>
          <w:sz w:val="24"/>
          <w:szCs w:val="24"/>
          <w:shd w:val="clear" w:color="auto" w:fill="FFFFFF"/>
        </w:rPr>
        <w:t xml:space="preserve">, R., </w:t>
      </w:r>
      <w:proofErr w:type="spellStart"/>
      <w:r w:rsidRPr="002019AF">
        <w:rPr>
          <w:rFonts w:ascii="Arial" w:hAnsi="Arial" w:cs="Arial"/>
          <w:color w:val="333A3F"/>
          <w:spacing w:val="1"/>
          <w:sz w:val="24"/>
          <w:szCs w:val="24"/>
          <w:shd w:val="clear" w:color="auto" w:fill="FFFFFF"/>
        </w:rPr>
        <w:t>Loosdrecht</w:t>
      </w:r>
      <w:proofErr w:type="spellEnd"/>
      <w:r w:rsidRPr="002019AF">
        <w:rPr>
          <w:rFonts w:ascii="Arial" w:hAnsi="Arial" w:cs="Arial"/>
          <w:color w:val="333A3F"/>
          <w:spacing w:val="1"/>
          <w:sz w:val="24"/>
          <w:szCs w:val="24"/>
          <w:shd w:val="clear" w:color="auto" w:fill="FFFFFF"/>
        </w:rPr>
        <w:t xml:space="preserve">, M., &amp; Hallin, S. (2018). Life on n2o: deciphering the ecophysiology of n2o respiring bacterial communities in a continuous culture. The Isme Journal, 12(4), 1142-1153. </w:t>
      </w:r>
      <w:r w:rsidRPr="009A394E">
        <w:rPr>
          <w:rFonts w:ascii="Arial" w:hAnsi="Arial" w:cs="Arial"/>
          <w:color w:val="FF33CC"/>
          <w:spacing w:val="1"/>
          <w:sz w:val="24"/>
          <w:szCs w:val="24"/>
          <w:u w:val="single"/>
          <w:shd w:val="clear" w:color="auto" w:fill="FFFFFF"/>
        </w:rPr>
        <w:t>https://doi.org/10.1038/s41396-018-0063-7</w:t>
      </w:r>
      <w:r w:rsidR="009A394E" w:rsidRPr="009A394E">
        <w:rPr>
          <w:rFonts w:ascii="Arial" w:hAnsi="Arial" w:cs="Arial"/>
          <w:color w:val="FF33CC"/>
          <w:spacing w:val="1"/>
          <w:sz w:val="24"/>
          <w:szCs w:val="24"/>
          <w:shd w:val="clear" w:color="auto" w:fill="FFFFFF"/>
        </w:rPr>
        <w:t xml:space="preserve"> </w:t>
      </w:r>
      <w:r w:rsidRPr="009A394E">
        <w:rPr>
          <w:rFonts w:ascii="Arial" w:hAnsi="Arial" w:cs="Arial"/>
          <w:color w:val="FF33CC"/>
          <w:spacing w:val="1"/>
          <w:sz w:val="24"/>
          <w:szCs w:val="24"/>
          <w:shd w:val="clear" w:color="auto" w:fill="FFFFFF"/>
        </w:rPr>
        <w:t xml:space="preserve"> </w:t>
      </w:r>
    </w:p>
    <w:p w14:paraId="423548A6" w14:textId="40429A1A" w:rsidR="002019AF" w:rsidRPr="002019AF" w:rsidRDefault="002019AF" w:rsidP="002019AF">
      <w:pPr>
        <w:pStyle w:val="ListParagraph"/>
        <w:numPr>
          <w:ilvl w:val="0"/>
          <w:numId w:val="46"/>
        </w:numPr>
        <w:spacing w:after="200"/>
        <w:jc w:val="both"/>
        <w:rPr>
          <w:rFonts w:ascii="Arial" w:hAnsi="Arial" w:cs="Arial"/>
          <w:sz w:val="22"/>
          <w:szCs w:val="22"/>
        </w:rPr>
      </w:pPr>
      <w:r w:rsidRPr="002019AF">
        <w:rPr>
          <w:rFonts w:ascii="Arial" w:hAnsi="Arial" w:cs="Arial"/>
          <w:color w:val="333A3F"/>
          <w:spacing w:val="1"/>
          <w:sz w:val="24"/>
          <w:szCs w:val="24"/>
          <w:shd w:val="clear" w:color="auto" w:fill="FFFFFF"/>
        </w:rPr>
        <w:t xml:space="preserve">Duan, H., Zhao, Y., Koch, K., Wells, G., Zheng, M., Yuan, Z., … &amp; Ye, L. (2021). Insights into nitrous oxide mitigation strategies in wastewater treatment and challenges for wider implementation. Environmental Science &amp; Technology, 55(11), 7208-7224. </w:t>
      </w:r>
      <w:r w:rsidRPr="009A394E">
        <w:rPr>
          <w:rFonts w:ascii="Arial" w:hAnsi="Arial" w:cs="Arial"/>
          <w:color w:val="FF33CC"/>
          <w:spacing w:val="1"/>
          <w:sz w:val="24"/>
          <w:szCs w:val="24"/>
          <w:u w:val="single"/>
          <w:shd w:val="clear" w:color="auto" w:fill="FFFFFF"/>
        </w:rPr>
        <w:t>https://doi.org/10.1021/acs.est.1c00840</w:t>
      </w:r>
      <w:r w:rsidR="00F063A8" w:rsidRPr="009A394E">
        <w:rPr>
          <w:rFonts w:ascii="Arial" w:hAnsi="Arial" w:cs="Arial"/>
          <w:color w:val="FF33CC"/>
          <w:spacing w:val="1"/>
          <w:sz w:val="24"/>
          <w:szCs w:val="24"/>
          <w:shd w:val="clear" w:color="auto" w:fill="FFFFFF"/>
        </w:rPr>
        <w:t xml:space="preserve"> </w:t>
      </w:r>
    </w:p>
    <w:p w14:paraId="25346D40" w14:textId="55A652C5" w:rsidR="002019AF" w:rsidRPr="002019AF" w:rsidRDefault="002019AF" w:rsidP="002019AF">
      <w:pPr>
        <w:pStyle w:val="ListParagraph"/>
        <w:numPr>
          <w:ilvl w:val="0"/>
          <w:numId w:val="46"/>
        </w:numPr>
        <w:spacing w:after="200"/>
        <w:jc w:val="both"/>
        <w:rPr>
          <w:rFonts w:ascii="Arial" w:hAnsi="Arial" w:cs="Arial"/>
          <w:sz w:val="22"/>
          <w:szCs w:val="22"/>
        </w:rPr>
      </w:pPr>
      <w:r w:rsidRPr="002019AF">
        <w:rPr>
          <w:rFonts w:ascii="Arial" w:hAnsi="Arial" w:cs="Arial"/>
          <w:color w:val="333A3F"/>
          <w:spacing w:val="1"/>
          <w:sz w:val="24"/>
          <w:szCs w:val="24"/>
          <w:shd w:val="clear" w:color="auto" w:fill="FFFFFF"/>
        </w:rPr>
        <w:t xml:space="preserve">Einzmann, T. (2025). Non-canonical reductive nitrous oxide production pathways in a seasonally stratified lake </w:t>
      </w:r>
      <w:proofErr w:type="gramStart"/>
      <w:r w:rsidRPr="002019AF">
        <w:rPr>
          <w:rFonts w:ascii="Arial" w:hAnsi="Arial" w:cs="Arial"/>
          <w:color w:val="333A3F"/>
          <w:spacing w:val="1"/>
          <w:sz w:val="24"/>
          <w:szCs w:val="24"/>
          <w:shd w:val="clear" w:color="auto" w:fill="FFFFFF"/>
        </w:rPr>
        <w:t>basin..</w:t>
      </w:r>
      <w:proofErr w:type="gramEnd"/>
      <w:r w:rsidRPr="002019AF">
        <w:rPr>
          <w:rFonts w:ascii="Arial" w:hAnsi="Arial" w:cs="Arial"/>
          <w:color w:val="333A3F"/>
          <w:spacing w:val="1"/>
          <w:sz w:val="24"/>
          <w:szCs w:val="24"/>
          <w:shd w:val="clear" w:color="auto" w:fill="FFFFFF"/>
        </w:rPr>
        <w:t xml:space="preserve"> </w:t>
      </w:r>
      <w:r w:rsidRPr="009A394E">
        <w:rPr>
          <w:rFonts w:ascii="Arial" w:hAnsi="Arial" w:cs="Arial"/>
          <w:color w:val="FF33CC"/>
          <w:spacing w:val="1"/>
          <w:sz w:val="24"/>
          <w:szCs w:val="24"/>
          <w:u w:val="single"/>
          <w:shd w:val="clear" w:color="auto" w:fill="FFFFFF"/>
        </w:rPr>
        <w:t>https://doi.org/10.1101/2025.08.15.670496</w:t>
      </w:r>
      <w:r w:rsidR="009A394E" w:rsidRPr="009A394E">
        <w:rPr>
          <w:rFonts w:ascii="Arial" w:hAnsi="Arial" w:cs="Arial"/>
          <w:color w:val="FF33CC"/>
          <w:spacing w:val="1"/>
          <w:sz w:val="24"/>
          <w:szCs w:val="24"/>
          <w:shd w:val="clear" w:color="auto" w:fill="FFFFFF"/>
        </w:rPr>
        <w:t xml:space="preserve"> </w:t>
      </w:r>
    </w:p>
    <w:p w14:paraId="5635DF43" w14:textId="77777777" w:rsidR="002019AF" w:rsidRPr="002019AF" w:rsidRDefault="002019AF" w:rsidP="002019AF">
      <w:pPr>
        <w:pStyle w:val="ListParagraph"/>
        <w:numPr>
          <w:ilvl w:val="0"/>
          <w:numId w:val="46"/>
        </w:numPr>
        <w:spacing w:after="200"/>
        <w:jc w:val="both"/>
        <w:rPr>
          <w:rFonts w:ascii="Arial" w:hAnsi="Arial" w:cs="Arial"/>
          <w:sz w:val="22"/>
          <w:szCs w:val="22"/>
        </w:rPr>
      </w:pPr>
      <w:proofErr w:type="spellStart"/>
      <w:r w:rsidRPr="002019AF">
        <w:rPr>
          <w:rFonts w:ascii="Arial" w:hAnsi="Arial" w:cs="Arial"/>
          <w:color w:val="333A3F"/>
          <w:spacing w:val="1"/>
          <w:sz w:val="24"/>
          <w:szCs w:val="24"/>
          <w:shd w:val="clear" w:color="auto" w:fill="FFFFFF"/>
        </w:rPr>
        <w:t>Hamouti</w:t>
      </w:r>
      <w:proofErr w:type="spellEnd"/>
      <w:r w:rsidRPr="002019AF">
        <w:rPr>
          <w:rFonts w:ascii="Arial" w:hAnsi="Arial" w:cs="Arial"/>
          <w:color w:val="333A3F"/>
          <w:spacing w:val="1"/>
          <w:sz w:val="24"/>
          <w:szCs w:val="24"/>
          <w:shd w:val="clear" w:color="auto" w:fill="FFFFFF"/>
        </w:rPr>
        <w:t>, C., Castellano</w:t>
      </w:r>
      <w:r w:rsidRPr="002019AF">
        <w:rPr>
          <w:rFonts w:ascii="Cambria Math" w:hAnsi="Cambria Math" w:cs="Cambria Math"/>
          <w:color w:val="333A3F"/>
          <w:spacing w:val="1"/>
          <w:sz w:val="24"/>
          <w:szCs w:val="24"/>
          <w:shd w:val="clear" w:color="auto" w:fill="FFFFFF"/>
        </w:rPr>
        <w:t>‐</w:t>
      </w:r>
      <w:r w:rsidRPr="002019AF">
        <w:rPr>
          <w:rFonts w:ascii="Arial" w:hAnsi="Arial" w:cs="Arial"/>
          <w:color w:val="333A3F"/>
          <w:spacing w:val="1"/>
          <w:sz w:val="24"/>
          <w:szCs w:val="24"/>
          <w:shd w:val="clear" w:color="auto" w:fill="FFFFFF"/>
        </w:rPr>
        <w:t xml:space="preserve">Hinojosa, A., </w:t>
      </w:r>
      <w:proofErr w:type="spellStart"/>
      <w:r w:rsidRPr="002019AF">
        <w:rPr>
          <w:rFonts w:ascii="Arial" w:hAnsi="Arial" w:cs="Arial"/>
          <w:color w:val="333A3F"/>
          <w:spacing w:val="1"/>
          <w:sz w:val="24"/>
          <w:szCs w:val="24"/>
          <w:shd w:val="clear" w:color="auto" w:fill="FFFFFF"/>
        </w:rPr>
        <w:t>Mabrouki</w:t>
      </w:r>
      <w:proofErr w:type="spellEnd"/>
      <w:r w:rsidRPr="002019AF">
        <w:rPr>
          <w:rFonts w:ascii="Arial" w:hAnsi="Arial" w:cs="Arial"/>
          <w:color w:val="333A3F"/>
          <w:spacing w:val="1"/>
          <w:sz w:val="24"/>
          <w:szCs w:val="24"/>
          <w:shd w:val="clear" w:color="auto" w:fill="FFFFFF"/>
        </w:rPr>
        <w:t xml:space="preserve">‍, Y., </w:t>
      </w:r>
      <w:proofErr w:type="spellStart"/>
      <w:r w:rsidRPr="002019AF">
        <w:rPr>
          <w:rFonts w:ascii="Arial" w:hAnsi="Arial" w:cs="Arial"/>
          <w:color w:val="333A3F"/>
          <w:spacing w:val="1"/>
          <w:sz w:val="24"/>
          <w:szCs w:val="24"/>
          <w:shd w:val="clear" w:color="auto" w:fill="FFFFFF"/>
        </w:rPr>
        <w:t>Chaouni</w:t>
      </w:r>
      <w:proofErr w:type="spellEnd"/>
      <w:r w:rsidRPr="002019AF">
        <w:rPr>
          <w:rFonts w:ascii="Arial" w:hAnsi="Arial" w:cs="Arial"/>
          <w:color w:val="333A3F"/>
          <w:spacing w:val="1"/>
          <w:sz w:val="24"/>
          <w:szCs w:val="24"/>
          <w:shd w:val="clear" w:color="auto" w:fill="FFFFFF"/>
        </w:rPr>
        <w:t xml:space="preserve">, B., Ghazal, H., Boukhatem, N., … &amp; Bedmar, E. (2023). Anthropogenic nitrate contamination impacts nitrous oxide emissions and microbial communities in the </w:t>
      </w:r>
      <w:proofErr w:type="spellStart"/>
      <w:r w:rsidRPr="002019AF">
        <w:rPr>
          <w:rFonts w:ascii="Arial" w:hAnsi="Arial" w:cs="Arial"/>
          <w:color w:val="333A3F"/>
          <w:spacing w:val="1"/>
          <w:sz w:val="24"/>
          <w:szCs w:val="24"/>
          <w:shd w:val="clear" w:color="auto" w:fill="FFFFFF"/>
        </w:rPr>
        <w:t>marchica</w:t>
      </w:r>
      <w:proofErr w:type="spellEnd"/>
      <w:r w:rsidRPr="002019AF">
        <w:rPr>
          <w:rFonts w:ascii="Arial" w:hAnsi="Arial" w:cs="Arial"/>
          <w:color w:val="333A3F"/>
          <w:spacing w:val="1"/>
          <w:sz w:val="24"/>
          <w:szCs w:val="24"/>
          <w:shd w:val="clear" w:color="auto" w:fill="FFFFFF"/>
        </w:rPr>
        <w:t xml:space="preserve"> lagoon (morocco). Sustainability, 15(5), 4077. </w:t>
      </w:r>
      <w:r w:rsidRPr="009A394E">
        <w:rPr>
          <w:rFonts w:ascii="Arial" w:hAnsi="Arial" w:cs="Arial"/>
          <w:color w:val="FF33CC"/>
          <w:spacing w:val="1"/>
          <w:sz w:val="24"/>
          <w:szCs w:val="24"/>
          <w:u w:val="single"/>
          <w:shd w:val="clear" w:color="auto" w:fill="FFFFFF"/>
        </w:rPr>
        <w:t>https://doi.org/10.3390/su15054077</w:t>
      </w:r>
    </w:p>
    <w:p w14:paraId="715CEC41" w14:textId="02F40241" w:rsidR="002019AF" w:rsidRPr="002019AF" w:rsidRDefault="002019AF" w:rsidP="002019AF">
      <w:pPr>
        <w:pStyle w:val="ListParagraph"/>
        <w:numPr>
          <w:ilvl w:val="0"/>
          <w:numId w:val="46"/>
        </w:numPr>
        <w:spacing w:after="200"/>
        <w:jc w:val="both"/>
        <w:rPr>
          <w:rFonts w:ascii="Arial" w:hAnsi="Arial" w:cs="Arial"/>
          <w:sz w:val="22"/>
          <w:szCs w:val="22"/>
        </w:rPr>
      </w:pPr>
      <w:proofErr w:type="spellStart"/>
      <w:r w:rsidRPr="002019AF">
        <w:rPr>
          <w:rFonts w:ascii="Arial" w:hAnsi="Arial" w:cs="Arial"/>
          <w:color w:val="333A3F"/>
          <w:spacing w:val="1"/>
          <w:sz w:val="24"/>
          <w:szCs w:val="24"/>
          <w:shd w:val="clear" w:color="auto" w:fill="FFFFFF"/>
        </w:rPr>
        <w:t>Hergoualc’h</w:t>
      </w:r>
      <w:proofErr w:type="spellEnd"/>
      <w:r w:rsidRPr="002019AF">
        <w:rPr>
          <w:rFonts w:ascii="Arial" w:hAnsi="Arial" w:cs="Arial"/>
          <w:color w:val="333A3F"/>
          <w:spacing w:val="1"/>
          <w:sz w:val="24"/>
          <w:szCs w:val="24"/>
          <w:shd w:val="clear" w:color="auto" w:fill="FFFFFF"/>
        </w:rPr>
        <w:t xml:space="preserve">, K., Mueller, N., </w:t>
      </w:r>
      <w:proofErr w:type="spellStart"/>
      <w:r w:rsidRPr="002019AF">
        <w:rPr>
          <w:rFonts w:ascii="Arial" w:hAnsi="Arial" w:cs="Arial"/>
          <w:color w:val="333A3F"/>
          <w:spacing w:val="1"/>
          <w:sz w:val="24"/>
          <w:szCs w:val="24"/>
          <w:shd w:val="clear" w:color="auto" w:fill="FFFFFF"/>
        </w:rPr>
        <w:t>Bernoux</w:t>
      </w:r>
      <w:proofErr w:type="spellEnd"/>
      <w:r w:rsidRPr="002019AF">
        <w:rPr>
          <w:rFonts w:ascii="Arial" w:hAnsi="Arial" w:cs="Arial"/>
          <w:color w:val="333A3F"/>
          <w:spacing w:val="1"/>
          <w:sz w:val="24"/>
          <w:szCs w:val="24"/>
          <w:shd w:val="clear" w:color="auto" w:fill="FFFFFF"/>
        </w:rPr>
        <w:t xml:space="preserve">, M., Kasimir, Å., </w:t>
      </w:r>
      <w:proofErr w:type="spellStart"/>
      <w:r w:rsidRPr="002019AF">
        <w:rPr>
          <w:rFonts w:ascii="Arial" w:hAnsi="Arial" w:cs="Arial"/>
          <w:color w:val="333A3F"/>
          <w:spacing w:val="1"/>
          <w:sz w:val="24"/>
          <w:szCs w:val="24"/>
          <w:shd w:val="clear" w:color="auto" w:fill="FFFFFF"/>
        </w:rPr>
        <w:t>Weerden</w:t>
      </w:r>
      <w:proofErr w:type="spellEnd"/>
      <w:r w:rsidRPr="002019AF">
        <w:rPr>
          <w:rFonts w:ascii="Arial" w:hAnsi="Arial" w:cs="Arial"/>
          <w:color w:val="333A3F"/>
          <w:spacing w:val="1"/>
          <w:sz w:val="24"/>
          <w:szCs w:val="24"/>
          <w:shd w:val="clear" w:color="auto" w:fill="FFFFFF"/>
        </w:rPr>
        <w:t xml:space="preserve">, T., &amp; Ogle, S. (2021). Improved accuracy and reduced uncertainty in greenhouse gas inventories by refining the </w:t>
      </w:r>
      <w:proofErr w:type="spellStart"/>
      <w:r w:rsidRPr="002019AF">
        <w:rPr>
          <w:rFonts w:ascii="Arial" w:hAnsi="Arial" w:cs="Arial"/>
          <w:color w:val="333A3F"/>
          <w:spacing w:val="1"/>
          <w:sz w:val="24"/>
          <w:szCs w:val="24"/>
          <w:shd w:val="clear" w:color="auto" w:fill="FFFFFF"/>
        </w:rPr>
        <w:t>ipcc</w:t>
      </w:r>
      <w:proofErr w:type="spellEnd"/>
      <w:r w:rsidRPr="002019AF">
        <w:rPr>
          <w:rFonts w:ascii="Arial" w:hAnsi="Arial" w:cs="Arial"/>
          <w:color w:val="333A3F"/>
          <w:spacing w:val="1"/>
          <w:sz w:val="24"/>
          <w:szCs w:val="24"/>
          <w:shd w:val="clear" w:color="auto" w:fill="FFFFFF"/>
        </w:rPr>
        <w:t xml:space="preserve"> emission factor for direct n2o emissions from nitrogen inputs to managed soils. Global Change Biology, 27(24), 6536-6550.</w:t>
      </w:r>
      <w:r w:rsidR="00F063A8">
        <w:rPr>
          <w:rFonts w:ascii="Arial" w:hAnsi="Arial" w:cs="Arial"/>
          <w:color w:val="333A3F"/>
          <w:spacing w:val="1"/>
          <w:sz w:val="24"/>
          <w:szCs w:val="24"/>
          <w:shd w:val="clear" w:color="auto" w:fill="FFFFFF"/>
        </w:rPr>
        <w:t xml:space="preserve"> </w:t>
      </w:r>
      <w:r w:rsidRPr="009A394E">
        <w:rPr>
          <w:rFonts w:ascii="Arial" w:hAnsi="Arial" w:cs="Arial"/>
          <w:color w:val="FF33CC"/>
          <w:spacing w:val="1"/>
          <w:sz w:val="24"/>
          <w:szCs w:val="24"/>
          <w:u w:val="single"/>
          <w:shd w:val="clear" w:color="auto" w:fill="FFFFFF"/>
        </w:rPr>
        <w:t>https://doi.org/10.1111/gcb.1588</w:t>
      </w:r>
      <w:r w:rsidR="00F063A8" w:rsidRPr="009A394E">
        <w:rPr>
          <w:rFonts w:ascii="Arial" w:hAnsi="Arial" w:cs="Arial"/>
          <w:color w:val="FF33CC"/>
          <w:spacing w:val="1"/>
          <w:sz w:val="24"/>
          <w:szCs w:val="24"/>
          <w:u w:val="single"/>
          <w:shd w:val="clear" w:color="auto" w:fill="FFFFFF"/>
        </w:rPr>
        <w:t>4</w:t>
      </w:r>
      <w:r w:rsidR="00F063A8" w:rsidRPr="009A394E">
        <w:rPr>
          <w:rFonts w:ascii="Arial" w:hAnsi="Arial" w:cs="Arial"/>
          <w:color w:val="FF33CC"/>
          <w:spacing w:val="1"/>
          <w:sz w:val="24"/>
          <w:szCs w:val="24"/>
          <w:shd w:val="clear" w:color="auto" w:fill="FFFFFF"/>
        </w:rPr>
        <w:t xml:space="preserve">  </w:t>
      </w:r>
    </w:p>
    <w:p w14:paraId="25049F84" w14:textId="0806C6CC" w:rsidR="002019AF" w:rsidRPr="002019AF" w:rsidRDefault="002019AF" w:rsidP="002019AF">
      <w:pPr>
        <w:pStyle w:val="ListParagraph"/>
        <w:numPr>
          <w:ilvl w:val="0"/>
          <w:numId w:val="46"/>
        </w:numPr>
        <w:spacing w:after="200"/>
        <w:jc w:val="both"/>
        <w:rPr>
          <w:rFonts w:ascii="Arial" w:hAnsi="Arial" w:cs="Arial"/>
          <w:sz w:val="22"/>
          <w:szCs w:val="22"/>
        </w:rPr>
      </w:pPr>
      <w:r w:rsidRPr="002019AF">
        <w:rPr>
          <w:rFonts w:ascii="Arial" w:hAnsi="Arial" w:cs="Arial"/>
          <w:color w:val="333A3F"/>
          <w:spacing w:val="1"/>
          <w:sz w:val="24"/>
          <w:szCs w:val="24"/>
          <w:shd w:val="clear" w:color="auto" w:fill="FFFFFF"/>
        </w:rPr>
        <w:t xml:space="preserve">Hu, J., Jin, V., Konkel, J., Schaeffer, S., Schneider, L., &amp; DeBruyn, J. (2021). Soil health management enhances microbial nitrogen cycling capacity and activity. </w:t>
      </w:r>
      <w:proofErr w:type="spellStart"/>
      <w:r w:rsidRPr="002019AF">
        <w:rPr>
          <w:rFonts w:ascii="Arial" w:hAnsi="Arial" w:cs="Arial"/>
          <w:color w:val="333A3F"/>
          <w:spacing w:val="1"/>
          <w:sz w:val="24"/>
          <w:szCs w:val="24"/>
          <w:shd w:val="clear" w:color="auto" w:fill="FFFFFF"/>
        </w:rPr>
        <w:t>Msphere</w:t>
      </w:r>
      <w:proofErr w:type="spellEnd"/>
      <w:r w:rsidRPr="002019AF">
        <w:rPr>
          <w:rFonts w:ascii="Arial" w:hAnsi="Arial" w:cs="Arial"/>
          <w:color w:val="333A3F"/>
          <w:spacing w:val="1"/>
          <w:sz w:val="24"/>
          <w:szCs w:val="24"/>
          <w:shd w:val="clear" w:color="auto" w:fill="FFFFFF"/>
        </w:rPr>
        <w:t xml:space="preserve">, 6(1). </w:t>
      </w:r>
      <w:r w:rsidRPr="009A394E">
        <w:rPr>
          <w:rFonts w:ascii="Arial" w:hAnsi="Arial" w:cs="Arial"/>
          <w:color w:val="FF33CC"/>
          <w:spacing w:val="1"/>
          <w:sz w:val="24"/>
          <w:szCs w:val="24"/>
          <w:u w:val="single"/>
          <w:shd w:val="clear" w:color="auto" w:fill="FFFFFF"/>
        </w:rPr>
        <w:t>https://doi.org/10.1128/msphere.01237-20</w:t>
      </w:r>
      <w:r w:rsidR="009A394E" w:rsidRPr="009A394E">
        <w:rPr>
          <w:rFonts w:ascii="Arial" w:hAnsi="Arial" w:cs="Arial"/>
          <w:color w:val="FF33CC"/>
          <w:spacing w:val="1"/>
          <w:sz w:val="24"/>
          <w:szCs w:val="24"/>
          <w:shd w:val="clear" w:color="auto" w:fill="FFFFFF"/>
        </w:rPr>
        <w:t xml:space="preserve"> </w:t>
      </w:r>
    </w:p>
    <w:p w14:paraId="689540D1" w14:textId="242D82D7" w:rsidR="002019AF" w:rsidRPr="002019AF" w:rsidRDefault="002019AF" w:rsidP="002019AF">
      <w:pPr>
        <w:pStyle w:val="ListParagraph"/>
        <w:numPr>
          <w:ilvl w:val="0"/>
          <w:numId w:val="46"/>
        </w:numPr>
        <w:spacing w:after="200"/>
        <w:jc w:val="both"/>
        <w:rPr>
          <w:rFonts w:ascii="Arial" w:hAnsi="Arial" w:cs="Arial"/>
          <w:sz w:val="22"/>
          <w:szCs w:val="22"/>
        </w:rPr>
      </w:pPr>
      <w:r w:rsidRPr="002019AF">
        <w:rPr>
          <w:rFonts w:ascii="Arial" w:hAnsi="Arial" w:cs="Arial"/>
          <w:color w:val="333A3F"/>
          <w:spacing w:val="1"/>
          <w:sz w:val="24"/>
          <w:szCs w:val="24"/>
          <w:shd w:val="clear" w:color="auto" w:fill="FFFFFF"/>
        </w:rPr>
        <w:t xml:space="preserve">Huang, Y., Ren, W., Lindsey, L., Wang, L., Hui, D., Tao, B., … &amp; Tian, H. (2024). No-tillage farming enhances widespread nitrate leaching in the us </w:t>
      </w:r>
      <w:proofErr w:type="spellStart"/>
      <w:r w:rsidRPr="002019AF">
        <w:rPr>
          <w:rFonts w:ascii="Arial" w:hAnsi="Arial" w:cs="Arial"/>
          <w:color w:val="333A3F"/>
          <w:spacing w:val="1"/>
          <w:sz w:val="24"/>
          <w:szCs w:val="24"/>
          <w:shd w:val="clear" w:color="auto" w:fill="FFFFFF"/>
        </w:rPr>
        <w:t>midwest</w:t>
      </w:r>
      <w:proofErr w:type="spellEnd"/>
      <w:r w:rsidRPr="002019AF">
        <w:rPr>
          <w:rFonts w:ascii="Arial" w:hAnsi="Arial" w:cs="Arial"/>
          <w:color w:val="333A3F"/>
          <w:spacing w:val="1"/>
          <w:sz w:val="24"/>
          <w:szCs w:val="24"/>
          <w:shd w:val="clear" w:color="auto" w:fill="FFFFFF"/>
        </w:rPr>
        <w:t xml:space="preserve">. Environmental Research Letters, 19(10), 104062. </w:t>
      </w:r>
      <w:r w:rsidRPr="009A394E">
        <w:rPr>
          <w:rFonts w:ascii="Arial" w:hAnsi="Arial" w:cs="Arial"/>
          <w:color w:val="FF33CC"/>
          <w:spacing w:val="1"/>
          <w:sz w:val="24"/>
          <w:szCs w:val="24"/>
          <w:u w:val="single"/>
          <w:shd w:val="clear" w:color="auto" w:fill="FFFFFF"/>
        </w:rPr>
        <w:t>https://doi.org/10.1088/1748-9326/ad751d</w:t>
      </w:r>
    </w:p>
    <w:p w14:paraId="63A2DB34" w14:textId="30402E4C" w:rsidR="002019AF" w:rsidRPr="002019AF" w:rsidRDefault="002019AF" w:rsidP="002019AF">
      <w:pPr>
        <w:pStyle w:val="ListParagraph"/>
        <w:numPr>
          <w:ilvl w:val="0"/>
          <w:numId w:val="46"/>
        </w:numPr>
        <w:spacing w:after="200"/>
        <w:jc w:val="both"/>
        <w:rPr>
          <w:rFonts w:ascii="Arial" w:hAnsi="Arial" w:cs="Arial"/>
          <w:sz w:val="22"/>
          <w:szCs w:val="22"/>
        </w:rPr>
      </w:pPr>
      <w:proofErr w:type="spellStart"/>
      <w:r w:rsidRPr="002019AF">
        <w:rPr>
          <w:rFonts w:ascii="Arial" w:hAnsi="Arial" w:cs="Arial"/>
          <w:color w:val="333A3F"/>
          <w:spacing w:val="1"/>
          <w:sz w:val="24"/>
          <w:szCs w:val="24"/>
          <w:shd w:val="clear" w:color="auto" w:fill="FFFFFF"/>
        </w:rPr>
        <w:t>LaSarre</w:t>
      </w:r>
      <w:proofErr w:type="spellEnd"/>
      <w:r w:rsidRPr="002019AF">
        <w:rPr>
          <w:rFonts w:ascii="Arial" w:hAnsi="Arial" w:cs="Arial"/>
          <w:color w:val="333A3F"/>
          <w:spacing w:val="1"/>
          <w:sz w:val="24"/>
          <w:szCs w:val="24"/>
          <w:shd w:val="clear" w:color="auto" w:fill="FFFFFF"/>
        </w:rPr>
        <w:t xml:space="preserve">, B., Morlen, R., Neumann, G., Harwood, C., &amp; McKinlay, J. (2022). Nitrous oxide reduction by two partial denitrifying bacteria requires denitrification intermediates that cannot be </w:t>
      </w:r>
      <w:proofErr w:type="gramStart"/>
      <w:r w:rsidRPr="002019AF">
        <w:rPr>
          <w:rFonts w:ascii="Arial" w:hAnsi="Arial" w:cs="Arial"/>
          <w:color w:val="333A3F"/>
          <w:spacing w:val="1"/>
          <w:sz w:val="24"/>
          <w:szCs w:val="24"/>
          <w:shd w:val="clear" w:color="auto" w:fill="FFFFFF"/>
        </w:rPr>
        <w:t>respired..</w:t>
      </w:r>
      <w:proofErr w:type="gramEnd"/>
      <w:r w:rsidRPr="002019AF">
        <w:rPr>
          <w:rFonts w:ascii="Arial" w:hAnsi="Arial" w:cs="Arial"/>
          <w:color w:val="333A3F"/>
          <w:spacing w:val="1"/>
          <w:sz w:val="24"/>
          <w:szCs w:val="24"/>
          <w:shd w:val="clear" w:color="auto" w:fill="FFFFFF"/>
        </w:rPr>
        <w:t xml:space="preserve"> </w:t>
      </w:r>
      <w:r w:rsidRPr="009A394E">
        <w:rPr>
          <w:rFonts w:ascii="Arial" w:hAnsi="Arial" w:cs="Arial"/>
          <w:color w:val="FF33CC"/>
          <w:spacing w:val="1"/>
          <w:sz w:val="24"/>
          <w:szCs w:val="24"/>
          <w:u w:val="single"/>
          <w:shd w:val="clear" w:color="auto" w:fill="FFFFFF"/>
        </w:rPr>
        <w:t>https://doi.org/10.1101/2022.06.21.497020</w:t>
      </w:r>
      <w:r w:rsidR="009A394E" w:rsidRPr="009A394E">
        <w:rPr>
          <w:rFonts w:ascii="Arial" w:hAnsi="Arial" w:cs="Arial"/>
          <w:color w:val="FF33CC"/>
          <w:spacing w:val="1"/>
          <w:sz w:val="24"/>
          <w:szCs w:val="24"/>
          <w:shd w:val="clear" w:color="auto" w:fill="FFFFFF"/>
        </w:rPr>
        <w:t xml:space="preserve"> </w:t>
      </w:r>
    </w:p>
    <w:p w14:paraId="0846CD77" w14:textId="68027715" w:rsidR="002019AF" w:rsidRPr="002019AF" w:rsidRDefault="002019AF" w:rsidP="002019AF">
      <w:pPr>
        <w:pStyle w:val="ListParagraph"/>
        <w:numPr>
          <w:ilvl w:val="0"/>
          <w:numId w:val="46"/>
        </w:numPr>
        <w:spacing w:after="200"/>
        <w:jc w:val="both"/>
        <w:rPr>
          <w:rFonts w:ascii="Arial" w:hAnsi="Arial" w:cs="Arial"/>
          <w:sz w:val="22"/>
          <w:szCs w:val="22"/>
        </w:rPr>
      </w:pPr>
      <w:r w:rsidRPr="002019AF">
        <w:rPr>
          <w:rFonts w:ascii="Arial" w:hAnsi="Arial" w:cs="Arial"/>
          <w:color w:val="333A3F"/>
          <w:spacing w:val="1"/>
          <w:sz w:val="24"/>
          <w:szCs w:val="24"/>
          <w:shd w:val="clear" w:color="auto" w:fill="FFFFFF"/>
        </w:rPr>
        <w:t xml:space="preserve">Lui, L., Majumder, E., Smith, H., Carlson, H., Netzer, F., Fields, M., … &amp; Arkin, A. (2021). Mechanism across scales: a holistic modeling framework integrating laboratory and field studies for microbial ecology. Frontiers in Microbiology, 12. </w:t>
      </w:r>
      <w:r w:rsidRPr="009A394E">
        <w:rPr>
          <w:rFonts w:ascii="Arial" w:hAnsi="Arial" w:cs="Arial"/>
          <w:color w:val="FF33CC"/>
          <w:spacing w:val="1"/>
          <w:sz w:val="24"/>
          <w:szCs w:val="24"/>
          <w:u w:val="single"/>
          <w:shd w:val="clear" w:color="auto" w:fill="FFFFFF"/>
        </w:rPr>
        <w:t>https://doi.org/10.3389/fmicb.2021.642422</w:t>
      </w:r>
      <w:r w:rsidRPr="009A394E">
        <w:rPr>
          <w:rFonts w:ascii="Arial" w:hAnsi="Arial" w:cs="Arial"/>
          <w:color w:val="FF33CC"/>
          <w:spacing w:val="1"/>
          <w:sz w:val="24"/>
          <w:szCs w:val="24"/>
          <w:shd w:val="clear" w:color="auto" w:fill="FFFFFF"/>
        </w:rPr>
        <w:t xml:space="preserve"> </w:t>
      </w:r>
    </w:p>
    <w:p w14:paraId="417FEC32" w14:textId="4AB5231F" w:rsidR="002019AF" w:rsidRPr="009A394E" w:rsidRDefault="002019AF" w:rsidP="002019AF">
      <w:pPr>
        <w:pStyle w:val="ListParagraph"/>
        <w:numPr>
          <w:ilvl w:val="0"/>
          <w:numId w:val="46"/>
        </w:numPr>
        <w:spacing w:after="200"/>
        <w:jc w:val="both"/>
        <w:rPr>
          <w:rFonts w:ascii="Arial" w:hAnsi="Arial" w:cs="Arial"/>
          <w:color w:val="FF33CC"/>
          <w:sz w:val="22"/>
          <w:szCs w:val="22"/>
          <w:u w:val="single"/>
        </w:rPr>
      </w:pPr>
      <w:r w:rsidRPr="002019AF">
        <w:rPr>
          <w:rFonts w:ascii="Arial" w:hAnsi="Arial" w:cs="Arial"/>
          <w:color w:val="333A3F"/>
          <w:spacing w:val="1"/>
          <w:sz w:val="24"/>
          <w:szCs w:val="24"/>
          <w:shd w:val="clear" w:color="auto" w:fill="FFFFFF"/>
        </w:rPr>
        <w:t>Olaya</w:t>
      </w:r>
      <w:r w:rsidRPr="002019AF">
        <w:rPr>
          <w:rFonts w:ascii="Cambria Math" w:hAnsi="Cambria Math" w:cs="Cambria Math"/>
          <w:color w:val="333A3F"/>
          <w:spacing w:val="1"/>
          <w:sz w:val="24"/>
          <w:szCs w:val="24"/>
          <w:shd w:val="clear" w:color="auto" w:fill="FFFFFF"/>
        </w:rPr>
        <w:t>‐</w:t>
      </w:r>
      <w:r w:rsidRPr="002019AF">
        <w:rPr>
          <w:rFonts w:ascii="Arial" w:hAnsi="Arial" w:cs="Arial"/>
          <w:color w:val="333A3F"/>
          <w:spacing w:val="1"/>
          <w:sz w:val="24"/>
          <w:szCs w:val="24"/>
          <w:shd w:val="clear" w:color="auto" w:fill="FFFFFF"/>
        </w:rPr>
        <w:t>Abril, A., Hidalgo-Carrillo, J., Luque</w:t>
      </w:r>
      <w:r w:rsidRPr="002019AF">
        <w:rPr>
          <w:rFonts w:ascii="Cambria Math" w:hAnsi="Cambria Math" w:cs="Cambria Math"/>
          <w:color w:val="333A3F"/>
          <w:spacing w:val="1"/>
          <w:sz w:val="24"/>
          <w:szCs w:val="24"/>
          <w:shd w:val="clear" w:color="auto" w:fill="FFFFFF"/>
        </w:rPr>
        <w:t>‐</w:t>
      </w:r>
      <w:r w:rsidRPr="002019AF">
        <w:rPr>
          <w:rFonts w:ascii="Arial" w:hAnsi="Arial" w:cs="Arial"/>
          <w:color w:val="333A3F"/>
          <w:spacing w:val="1"/>
          <w:sz w:val="24"/>
          <w:szCs w:val="24"/>
          <w:shd w:val="clear" w:color="auto" w:fill="FFFFFF"/>
        </w:rPr>
        <w:t>Almagro, V., Fuentes-Almagro, C., Urbano, F., Moreno</w:t>
      </w:r>
      <w:r w:rsidRPr="002019AF">
        <w:rPr>
          <w:rFonts w:ascii="Cambria Math" w:hAnsi="Cambria Math" w:cs="Cambria Math"/>
          <w:color w:val="333A3F"/>
          <w:spacing w:val="1"/>
          <w:sz w:val="24"/>
          <w:szCs w:val="24"/>
          <w:shd w:val="clear" w:color="auto" w:fill="FFFFFF"/>
        </w:rPr>
        <w:t>‐</w:t>
      </w:r>
      <w:r w:rsidRPr="002019AF">
        <w:rPr>
          <w:rFonts w:ascii="Arial" w:hAnsi="Arial" w:cs="Arial"/>
          <w:color w:val="333A3F"/>
          <w:spacing w:val="1"/>
          <w:sz w:val="24"/>
          <w:szCs w:val="24"/>
          <w:shd w:val="clear" w:color="auto" w:fill="FFFFFF"/>
        </w:rPr>
        <w:t xml:space="preserve">Vivián, C., … &amp; Roldán, M. (2021). Effect of </w:t>
      </w:r>
      <w:proofErr w:type="spellStart"/>
      <w:r w:rsidRPr="002019AF">
        <w:rPr>
          <w:rFonts w:ascii="Arial" w:hAnsi="Arial" w:cs="Arial"/>
          <w:color w:val="333A3F"/>
          <w:spacing w:val="1"/>
          <w:sz w:val="24"/>
          <w:szCs w:val="24"/>
          <w:shd w:val="clear" w:color="auto" w:fill="FFFFFF"/>
        </w:rPr>
        <w:t>ph</w:t>
      </w:r>
      <w:proofErr w:type="spellEnd"/>
      <w:r w:rsidRPr="002019AF">
        <w:rPr>
          <w:rFonts w:ascii="Arial" w:hAnsi="Arial" w:cs="Arial"/>
          <w:color w:val="333A3F"/>
          <w:spacing w:val="1"/>
          <w:sz w:val="24"/>
          <w:szCs w:val="24"/>
          <w:shd w:val="clear" w:color="auto" w:fill="FFFFFF"/>
        </w:rPr>
        <w:t xml:space="preserve"> on the denitrification proteome of the soil bacterium </w:t>
      </w:r>
      <w:proofErr w:type="spellStart"/>
      <w:r w:rsidRPr="002019AF">
        <w:rPr>
          <w:rFonts w:ascii="Arial" w:hAnsi="Arial" w:cs="Arial"/>
          <w:color w:val="333A3F"/>
          <w:spacing w:val="1"/>
          <w:sz w:val="24"/>
          <w:szCs w:val="24"/>
          <w:shd w:val="clear" w:color="auto" w:fill="FFFFFF"/>
        </w:rPr>
        <w:lastRenderedPageBreak/>
        <w:t>paracoccus</w:t>
      </w:r>
      <w:proofErr w:type="spellEnd"/>
      <w:r w:rsidRPr="002019AF">
        <w:rPr>
          <w:rFonts w:ascii="Arial" w:hAnsi="Arial" w:cs="Arial"/>
          <w:color w:val="333A3F"/>
          <w:spacing w:val="1"/>
          <w:sz w:val="24"/>
          <w:szCs w:val="24"/>
          <w:shd w:val="clear" w:color="auto" w:fill="FFFFFF"/>
        </w:rPr>
        <w:t xml:space="preserve"> </w:t>
      </w:r>
      <w:proofErr w:type="spellStart"/>
      <w:r w:rsidRPr="002019AF">
        <w:rPr>
          <w:rFonts w:ascii="Arial" w:hAnsi="Arial" w:cs="Arial"/>
          <w:color w:val="333A3F"/>
          <w:spacing w:val="1"/>
          <w:sz w:val="24"/>
          <w:szCs w:val="24"/>
          <w:shd w:val="clear" w:color="auto" w:fill="FFFFFF"/>
        </w:rPr>
        <w:t>denitrificans</w:t>
      </w:r>
      <w:proofErr w:type="spellEnd"/>
      <w:r w:rsidRPr="002019AF">
        <w:rPr>
          <w:rFonts w:ascii="Arial" w:hAnsi="Arial" w:cs="Arial"/>
          <w:color w:val="333A3F"/>
          <w:spacing w:val="1"/>
          <w:sz w:val="24"/>
          <w:szCs w:val="24"/>
          <w:shd w:val="clear" w:color="auto" w:fill="FFFFFF"/>
        </w:rPr>
        <w:t xml:space="preserve"> pd1222. Scientific Reports, 11(1). </w:t>
      </w:r>
      <w:r w:rsidRPr="009A394E">
        <w:rPr>
          <w:rFonts w:ascii="Arial" w:hAnsi="Arial" w:cs="Arial"/>
          <w:color w:val="FF33CC"/>
          <w:spacing w:val="1"/>
          <w:sz w:val="24"/>
          <w:szCs w:val="24"/>
          <w:u w:val="single"/>
          <w:shd w:val="clear" w:color="auto" w:fill="FFFFFF"/>
        </w:rPr>
        <w:t xml:space="preserve">https://doi.org/10.1038/s41598-021-96559-2  </w:t>
      </w:r>
    </w:p>
    <w:p w14:paraId="35CAF9E3" w14:textId="65FF49C7" w:rsidR="002019AF" w:rsidRPr="002019AF" w:rsidRDefault="002019AF" w:rsidP="002019AF">
      <w:pPr>
        <w:pStyle w:val="ListParagraph"/>
        <w:numPr>
          <w:ilvl w:val="0"/>
          <w:numId w:val="46"/>
        </w:numPr>
        <w:spacing w:after="200"/>
        <w:jc w:val="both"/>
        <w:rPr>
          <w:rFonts w:ascii="Arial" w:hAnsi="Arial" w:cs="Arial"/>
          <w:sz w:val="22"/>
          <w:szCs w:val="22"/>
        </w:rPr>
      </w:pPr>
      <w:r w:rsidRPr="002019AF">
        <w:rPr>
          <w:rFonts w:ascii="Arial" w:hAnsi="Arial" w:cs="Arial"/>
          <w:color w:val="333A3F"/>
          <w:spacing w:val="1"/>
          <w:sz w:val="24"/>
          <w:szCs w:val="24"/>
          <w:shd w:val="clear" w:color="auto" w:fill="FFFFFF"/>
        </w:rPr>
        <w:t>Olaya</w:t>
      </w:r>
      <w:r w:rsidRPr="002019AF">
        <w:rPr>
          <w:rFonts w:ascii="Cambria Math" w:hAnsi="Cambria Math" w:cs="Cambria Math"/>
          <w:color w:val="333A3F"/>
          <w:spacing w:val="1"/>
          <w:sz w:val="24"/>
          <w:szCs w:val="24"/>
          <w:shd w:val="clear" w:color="auto" w:fill="FFFFFF"/>
        </w:rPr>
        <w:t>‐</w:t>
      </w:r>
      <w:r w:rsidRPr="002019AF">
        <w:rPr>
          <w:rFonts w:ascii="Arial" w:hAnsi="Arial" w:cs="Arial"/>
          <w:color w:val="333A3F"/>
          <w:spacing w:val="1"/>
          <w:sz w:val="24"/>
          <w:szCs w:val="24"/>
          <w:shd w:val="clear" w:color="auto" w:fill="FFFFFF"/>
        </w:rPr>
        <w:t>Abril, A., Luque</w:t>
      </w:r>
      <w:r w:rsidRPr="002019AF">
        <w:rPr>
          <w:rFonts w:ascii="Cambria Math" w:hAnsi="Cambria Math" w:cs="Cambria Math"/>
          <w:color w:val="333A3F"/>
          <w:spacing w:val="1"/>
          <w:sz w:val="24"/>
          <w:szCs w:val="24"/>
          <w:shd w:val="clear" w:color="auto" w:fill="FFFFFF"/>
        </w:rPr>
        <w:t>‐</w:t>
      </w:r>
      <w:r w:rsidRPr="002019AF">
        <w:rPr>
          <w:rFonts w:ascii="Arial" w:hAnsi="Arial" w:cs="Arial"/>
          <w:color w:val="333A3F"/>
          <w:spacing w:val="1"/>
          <w:sz w:val="24"/>
          <w:szCs w:val="24"/>
          <w:shd w:val="clear" w:color="auto" w:fill="FFFFFF"/>
        </w:rPr>
        <w:t>Almagro, V., Hidalgo-Carrillo, J., Chicano</w:t>
      </w:r>
      <w:r w:rsidRPr="002019AF">
        <w:rPr>
          <w:rFonts w:ascii="Cambria Math" w:hAnsi="Cambria Math" w:cs="Cambria Math"/>
          <w:color w:val="333A3F"/>
          <w:spacing w:val="1"/>
          <w:sz w:val="24"/>
          <w:szCs w:val="24"/>
          <w:shd w:val="clear" w:color="auto" w:fill="FFFFFF"/>
        </w:rPr>
        <w:t>‐</w:t>
      </w:r>
      <w:r w:rsidRPr="002019AF">
        <w:rPr>
          <w:rFonts w:ascii="Arial" w:hAnsi="Arial" w:cs="Arial"/>
          <w:color w:val="333A3F"/>
          <w:spacing w:val="1"/>
          <w:sz w:val="24"/>
          <w:szCs w:val="24"/>
          <w:shd w:val="clear" w:color="auto" w:fill="FFFFFF"/>
        </w:rPr>
        <w:t>Gálvez, E., Urbano, F., Moreno</w:t>
      </w:r>
      <w:r w:rsidRPr="002019AF">
        <w:rPr>
          <w:rFonts w:ascii="Cambria Math" w:hAnsi="Cambria Math" w:cs="Cambria Math"/>
          <w:color w:val="333A3F"/>
          <w:spacing w:val="1"/>
          <w:sz w:val="24"/>
          <w:szCs w:val="24"/>
          <w:shd w:val="clear" w:color="auto" w:fill="FFFFFF"/>
        </w:rPr>
        <w:t>‐</w:t>
      </w:r>
      <w:r w:rsidRPr="002019AF">
        <w:rPr>
          <w:rFonts w:ascii="Arial" w:hAnsi="Arial" w:cs="Arial"/>
          <w:color w:val="333A3F"/>
          <w:spacing w:val="1"/>
          <w:sz w:val="24"/>
          <w:szCs w:val="24"/>
          <w:shd w:val="clear" w:color="auto" w:fill="FFFFFF"/>
        </w:rPr>
        <w:t xml:space="preserve">Vivián, C., … &amp; Roldán, M. (2022). The </w:t>
      </w:r>
      <w:proofErr w:type="spellStart"/>
      <w:r w:rsidRPr="002019AF">
        <w:rPr>
          <w:rFonts w:ascii="Arial" w:hAnsi="Arial" w:cs="Arial"/>
          <w:color w:val="333A3F"/>
          <w:spacing w:val="1"/>
          <w:sz w:val="24"/>
          <w:szCs w:val="24"/>
          <w:shd w:val="clear" w:color="auto" w:fill="FFFFFF"/>
        </w:rPr>
        <w:t>ntryx</w:t>
      </w:r>
      <w:proofErr w:type="spellEnd"/>
      <w:r w:rsidRPr="002019AF">
        <w:rPr>
          <w:rFonts w:ascii="Arial" w:hAnsi="Arial" w:cs="Arial"/>
          <w:color w:val="333A3F"/>
          <w:spacing w:val="1"/>
          <w:sz w:val="24"/>
          <w:szCs w:val="24"/>
          <w:shd w:val="clear" w:color="auto" w:fill="FFFFFF"/>
        </w:rPr>
        <w:t xml:space="preserve"> two-component system of </w:t>
      </w:r>
      <w:proofErr w:type="spellStart"/>
      <w:r w:rsidRPr="002019AF">
        <w:rPr>
          <w:rFonts w:ascii="Arial" w:hAnsi="Arial" w:cs="Arial"/>
          <w:color w:val="333A3F"/>
          <w:spacing w:val="1"/>
          <w:sz w:val="24"/>
          <w:szCs w:val="24"/>
          <w:shd w:val="clear" w:color="auto" w:fill="FFFFFF"/>
        </w:rPr>
        <w:t>paracoccus</w:t>
      </w:r>
      <w:proofErr w:type="spellEnd"/>
      <w:r w:rsidRPr="002019AF">
        <w:rPr>
          <w:rFonts w:ascii="Arial" w:hAnsi="Arial" w:cs="Arial"/>
          <w:color w:val="333A3F"/>
          <w:spacing w:val="1"/>
          <w:sz w:val="24"/>
          <w:szCs w:val="24"/>
          <w:shd w:val="clear" w:color="auto" w:fill="FFFFFF"/>
        </w:rPr>
        <w:t xml:space="preserve"> </w:t>
      </w:r>
      <w:proofErr w:type="spellStart"/>
      <w:r w:rsidRPr="002019AF">
        <w:rPr>
          <w:rFonts w:ascii="Arial" w:hAnsi="Arial" w:cs="Arial"/>
          <w:color w:val="333A3F"/>
          <w:spacing w:val="1"/>
          <w:sz w:val="24"/>
          <w:szCs w:val="24"/>
          <w:shd w:val="clear" w:color="auto" w:fill="FFFFFF"/>
        </w:rPr>
        <w:t>denitrificans</w:t>
      </w:r>
      <w:proofErr w:type="spellEnd"/>
      <w:r w:rsidRPr="002019AF">
        <w:rPr>
          <w:rFonts w:ascii="Arial" w:hAnsi="Arial" w:cs="Arial"/>
          <w:color w:val="333A3F"/>
          <w:spacing w:val="1"/>
          <w:sz w:val="24"/>
          <w:szCs w:val="24"/>
          <w:shd w:val="clear" w:color="auto" w:fill="FFFFFF"/>
        </w:rPr>
        <w:t xml:space="preserve"> is required for the maintenance of cellular iron homeostasis and for a complete denitrification under iron-limited conditions. International Journal of Molecular Sciences, 23(16), 9172. </w:t>
      </w:r>
      <w:hyperlink r:id="rId145" w:history="1">
        <w:r w:rsidRPr="00970E98">
          <w:rPr>
            <w:rStyle w:val="Hyperlink"/>
            <w:rFonts w:ascii="Arial" w:hAnsi="Arial" w:cs="Arial"/>
            <w:spacing w:val="1"/>
            <w:sz w:val="24"/>
            <w:szCs w:val="24"/>
            <w:shd w:val="clear" w:color="auto" w:fill="FFFFFF"/>
          </w:rPr>
          <w:t>https://doi.org/10.3390/ijms23169172</w:t>
        </w:r>
      </w:hyperlink>
    </w:p>
    <w:p w14:paraId="630DE300" w14:textId="47B84609" w:rsidR="002019AF" w:rsidRPr="002019AF" w:rsidRDefault="002019AF" w:rsidP="002019AF">
      <w:pPr>
        <w:pStyle w:val="ListParagraph"/>
        <w:numPr>
          <w:ilvl w:val="0"/>
          <w:numId w:val="46"/>
        </w:numPr>
        <w:spacing w:after="200"/>
        <w:jc w:val="both"/>
        <w:rPr>
          <w:rFonts w:ascii="Arial" w:hAnsi="Arial" w:cs="Arial"/>
          <w:sz w:val="22"/>
          <w:szCs w:val="22"/>
        </w:rPr>
      </w:pPr>
      <w:r w:rsidRPr="002019AF">
        <w:rPr>
          <w:rFonts w:ascii="Arial" w:hAnsi="Arial" w:cs="Arial"/>
          <w:color w:val="333A3F"/>
          <w:spacing w:val="1"/>
          <w:sz w:val="24"/>
          <w:szCs w:val="24"/>
          <w:shd w:val="clear" w:color="auto" w:fill="FFFFFF"/>
        </w:rPr>
        <w:t xml:space="preserve">Pan, S., He, K., Lin, K., Fan, C., &amp; Chang, C. (2022). Addressing nitrogenous gases from croplands toward low-emission agriculture. NPJ Climate and Atmospheric Science, 5(1). </w:t>
      </w:r>
      <w:hyperlink r:id="rId146" w:history="1">
        <w:r w:rsidRPr="00970E98">
          <w:rPr>
            <w:rStyle w:val="Hyperlink"/>
            <w:rFonts w:ascii="Arial" w:hAnsi="Arial" w:cs="Arial"/>
            <w:spacing w:val="1"/>
            <w:sz w:val="24"/>
            <w:szCs w:val="24"/>
            <w:shd w:val="clear" w:color="auto" w:fill="FFFFFF"/>
          </w:rPr>
          <w:t>https://doi.org/10.1038/s41612-022-00265-3</w:t>
        </w:r>
      </w:hyperlink>
    </w:p>
    <w:p w14:paraId="2A167538" w14:textId="77777777" w:rsidR="00B05D08" w:rsidRPr="00B05D08" w:rsidRDefault="002019AF" w:rsidP="00B05D08">
      <w:pPr>
        <w:pStyle w:val="ListParagraph"/>
        <w:numPr>
          <w:ilvl w:val="0"/>
          <w:numId w:val="46"/>
        </w:numPr>
        <w:spacing w:after="200"/>
        <w:jc w:val="both"/>
        <w:rPr>
          <w:rFonts w:ascii="Arial" w:hAnsi="Arial" w:cs="Arial"/>
          <w:sz w:val="22"/>
          <w:szCs w:val="22"/>
        </w:rPr>
      </w:pPr>
      <w:r w:rsidRPr="002019AF">
        <w:rPr>
          <w:rFonts w:ascii="Arial" w:hAnsi="Arial" w:cs="Arial"/>
          <w:color w:val="333A3F"/>
          <w:spacing w:val="1"/>
          <w:sz w:val="24"/>
          <w:szCs w:val="24"/>
          <w:shd w:val="clear" w:color="auto" w:fill="FFFFFF"/>
        </w:rPr>
        <w:t xml:space="preserve">Prosser, J., Hink, L., </w:t>
      </w:r>
      <w:proofErr w:type="spellStart"/>
      <w:r w:rsidRPr="002019AF">
        <w:rPr>
          <w:rFonts w:ascii="Arial" w:hAnsi="Arial" w:cs="Arial"/>
          <w:color w:val="333A3F"/>
          <w:spacing w:val="1"/>
          <w:sz w:val="24"/>
          <w:szCs w:val="24"/>
          <w:shd w:val="clear" w:color="auto" w:fill="FFFFFF"/>
        </w:rPr>
        <w:t>Gubry</w:t>
      </w:r>
      <w:r w:rsidRPr="002019AF">
        <w:rPr>
          <w:rFonts w:ascii="Cambria Math" w:hAnsi="Cambria Math" w:cs="Cambria Math"/>
          <w:color w:val="333A3F"/>
          <w:spacing w:val="1"/>
          <w:sz w:val="24"/>
          <w:szCs w:val="24"/>
          <w:shd w:val="clear" w:color="auto" w:fill="FFFFFF"/>
        </w:rPr>
        <w:t>‐</w:t>
      </w:r>
      <w:r w:rsidRPr="002019AF">
        <w:rPr>
          <w:rFonts w:ascii="Arial" w:hAnsi="Arial" w:cs="Arial"/>
          <w:color w:val="333A3F"/>
          <w:spacing w:val="1"/>
          <w:sz w:val="24"/>
          <w:szCs w:val="24"/>
          <w:shd w:val="clear" w:color="auto" w:fill="FFFFFF"/>
        </w:rPr>
        <w:t>Rangin</w:t>
      </w:r>
      <w:proofErr w:type="spellEnd"/>
      <w:r w:rsidRPr="002019AF">
        <w:rPr>
          <w:rFonts w:ascii="Arial" w:hAnsi="Arial" w:cs="Arial"/>
          <w:color w:val="333A3F"/>
          <w:spacing w:val="1"/>
          <w:sz w:val="24"/>
          <w:szCs w:val="24"/>
          <w:shd w:val="clear" w:color="auto" w:fill="FFFFFF"/>
        </w:rPr>
        <w:t xml:space="preserve">, C., &amp; Nicol, G. (2019). Nitrous oxide production by ammonia oxidizers: physiological diversity, niche differentiation and potential mitigation strategies. Global Change Biology, 26(1), 103-118. </w:t>
      </w:r>
      <w:hyperlink r:id="rId147" w:history="1">
        <w:r w:rsidRPr="00970E98">
          <w:rPr>
            <w:rStyle w:val="Hyperlink"/>
            <w:rFonts w:ascii="Arial" w:hAnsi="Arial" w:cs="Arial"/>
            <w:spacing w:val="1"/>
            <w:sz w:val="24"/>
            <w:szCs w:val="24"/>
            <w:shd w:val="clear" w:color="auto" w:fill="FFFFFF"/>
          </w:rPr>
          <w:t>https://doi.org/10.1111/gcb.14877</w:t>
        </w:r>
      </w:hyperlink>
      <w:r>
        <w:rPr>
          <w:rFonts w:ascii="Arial" w:hAnsi="Arial" w:cs="Arial"/>
          <w:color w:val="333A3F"/>
          <w:spacing w:val="1"/>
          <w:sz w:val="24"/>
          <w:szCs w:val="24"/>
          <w:shd w:val="clear" w:color="auto" w:fill="FFFFFF"/>
        </w:rPr>
        <w:t xml:space="preserve"> </w:t>
      </w:r>
    </w:p>
    <w:p w14:paraId="577FD7E2" w14:textId="77777777" w:rsidR="00F063A8" w:rsidRPr="00F063A8" w:rsidRDefault="00B05D08" w:rsidP="00F063A8">
      <w:pPr>
        <w:pStyle w:val="ListParagraph"/>
        <w:numPr>
          <w:ilvl w:val="0"/>
          <w:numId w:val="46"/>
        </w:numPr>
        <w:spacing w:after="200"/>
        <w:jc w:val="both"/>
        <w:rPr>
          <w:rFonts w:ascii="Arial" w:hAnsi="Arial" w:cs="Arial"/>
          <w:sz w:val="22"/>
          <w:szCs w:val="22"/>
        </w:rPr>
      </w:pPr>
      <w:r w:rsidRPr="00B05D08">
        <w:rPr>
          <w:rFonts w:ascii="Arial" w:hAnsi="Arial" w:cs="Arial"/>
          <w:color w:val="333A3F"/>
          <w:spacing w:val="1"/>
          <w:sz w:val="24"/>
          <w:szCs w:val="24"/>
          <w:shd w:val="clear" w:color="auto" w:fill="FFFFFF"/>
        </w:rPr>
        <w:t xml:space="preserve">Zhalnina, K., Louie, K., Hao, Z., Mansoori, N., Rocha, U., Shi, S., … &amp; Brodie, E. (2018). Dynamic root exudate chemistry and microbial substrate preferences drive patterns in rhizosphere microbial community assembly. Nature Microbiology, 3(4), 470-480. </w:t>
      </w:r>
      <w:hyperlink r:id="rId148" w:history="1">
        <w:r w:rsidRPr="00970E98">
          <w:rPr>
            <w:rStyle w:val="Hyperlink"/>
            <w:rFonts w:ascii="Arial" w:hAnsi="Arial" w:cs="Arial"/>
            <w:spacing w:val="1"/>
            <w:sz w:val="24"/>
            <w:szCs w:val="24"/>
            <w:shd w:val="clear" w:color="auto" w:fill="FFFFFF"/>
          </w:rPr>
          <w:t>https://doi.org/10.1038/s41564-018-0129-3</w:t>
        </w:r>
      </w:hyperlink>
      <w:r>
        <w:rPr>
          <w:rFonts w:ascii="Arial" w:hAnsi="Arial" w:cs="Arial"/>
          <w:color w:val="333A3F"/>
          <w:spacing w:val="1"/>
          <w:sz w:val="24"/>
          <w:szCs w:val="24"/>
          <w:shd w:val="clear" w:color="auto" w:fill="FFFFFF"/>
        </w:rPr>
        <w:t xml:space="preserve"> </w:t>
      </w:r>
    </w:p>
    <w:p w14:paraId="33D9527B" w14:textId="6F5230F8" w:rsidR="00F063A8" w:rsidRPr="00F063A8" w:rsidRDefault="00F063A8" w:rsidP="00F063A8">
      <w:pPr>
        <w:pStyle w:val="ListParagraph"/>
        <w:numPr>
          <w:ilvl w:val="0"/>
          <w:numId w:val="46"/>
        </w:numPr>
        <w:spacing w:after="200"/>
        <w:jc w:val="both"/>
        <w:rPr>
          <w:rFonts w:ascii="Arial" w:hAnsi="Arial" w:cs="Arial"/>
          <w:sz w:val="22"/>
          <w:szCs w:val="22"/>
        </w:rPr>
      </w:pPr>
      <w:r w:rsidRPr="00F063A8">
        <w:rPr>
          <w:rFonts w:ascii="Arial" w:hAnsi="Arial" w:cs="Arial"/>
          <w:color w:val="333A3F"/>
          <w:spacing w:val="1"/>
          <w:sz w:val="24"/>
          <w:szCs w:val="24"/>
          <w:shd w:val="clear" w:color="auto" w:fill="FFFFFF"/>
        </w:rPr>
        <w:t>Chen, S., Liu, D., &amp; Peng, T. (2020). Fundamentals and recent progress of photocatalytic nitrogen</w:t>
      </w:r>
      <w:r w:rsidRPr="00F063A8">
        <w:rPr>
          <w:rFonts w:ascii="Cambria Math" w:hAnsi="Cambria Math" w:cs="Cambria Math"/>
          <w:color w:val="333A3F"/>
          <w:spacing w:val="1"/>
          <w:sz w:val="24"/>
          <w:szCs w:val="24"/>
          <w:shd w:val="clear" w:color="auto" w:fill="FFFFFF"/>
        </w:rPr>
        <w:t>‐</w:t>
      </w:r>
      <w:r w:rsidRPr="00F063A8">
        <w:rPr>
          <w:rFonts w:ascii="Arial" w:hAnsi="Arial" w:cs="Arial"/>
          <w:color w:val="333A3F"/>
          <w:spacing w:val="1"/>
          <w:sz w:val="24"/>
          <w:szCs w:val="24"/>
          <w:shd w:val="clear" w:color="auto" w:fill="FFFFFF"/>
        </w:rPr>
        <w:t xml:space="preserve">fixation reaction over semiconductors. Solar RRL, 5(2). </w:t>
      </w:r>
      <w:r w:rsidRPr="009A394E">
        <w:rPr>
          <w:rFonts w:ascii="Arial" w:hAnsi="Arial" w:cs="Arial"/>
          <w:color w:val="FF33CC"/>
          <w:spacing w:val="1"/>
          <w:sz w:val="24"/>
          <w:szCs w:val="24"/>
          <w:u w:val="single"/>
          <w:shd w:val="clear" w:color="auto" w:fill="FFFFFF"/>
        </w:rPr>
        <w:t>https://doi.org/10.1002/solr.202000487</w:t>
      </w:r>
      <w:r w:rsidR="009A394E" w:rsidRPr="009A394E">
        <w:rPr>
          <w:rFonts w:ascii="Arial" w:hAnsi="Arial" w:cs="Arial"/>
          <w:color w:val="FF33CC"/>
          <w:spacing w:val="1"/>
          <w:sz w:val="24"/>
          <w:szCs w:val="24"/>
          <w:shd w:val="clear" w:color="auto" w:fill="FFFFFF"/>
        </w:rPr>
        <w:t xml:space="preserve"> </w:t>
      </w:r>
      <w:r w:rsidRPr="009A394E">
        <w:rPr>
          <w:rFonts w:ascii="Arial" w:hAnsi="Arial" w:cs="Arial"/>
          <w:color w:val="FF33CC"/>
          <w:spacing w:val="1"/>
          <w:sz w:val="24"/>
          <w:szCs w:val="24"/>
          <w:shd w:val="clear" w:color="auto" w:fill="FFFFFF"/>
        </w:rPr>
        <w:t xml:space="preserve"> </w:t>
      </w:r>
    </w:p>
    <w:p w14:paraId="63729D02" w14:textId="77777777" w:rsidR="00F063A8" w:rsidRPr="00F063A8" w:rsidRDefault="00F063A8" w:rsidP="00F063A8">
      <w:pPr>
        <w:pStyle w:val="ListParagraph"/>
        <w:numPr>
          <w:ilvl w:val="0"/>
          <w:numId w:val="46"/>
        </w:numPr>
        <w:spacing w:after="200"/>
        <w:jc w:val="both"/>
        <w:rPr>
          <w:rFonts w:ascii="Arial" w:hAnsi="Arial" w:cs="Arial"/>
          <w:sz w:val="22"/>
          <w:szCs w:val="22"/>
        </w:rPr>
      </w:pPr>
      <w:r w:rsidRPr="00F063A8">
        <w:rPr>
          <w:rFonts w:ascii="Arial" w:hAnsi="Arial" w:cs="Arial"/>
          <w:color w:val="333A3F"/>
          <w:spacing w:val="1"/>
          <w:sz w:val="24"/>
          <w:szCs w:val="24"/>
          <w:shd w:val="clear" w:color="auto" w:fill="FFFFFF"/>
        </w:rPr>
        <w:t xml:space="preserve">Ding, W., Yang, Y., Li, X., Yuan, S., Shi, R., Liu, Z., … &amp; Luo, M. (2024). Single-atom </w:t>
      </w:r>
      <w:proofErr w:type="spellStart"/>
      <w:r w:rsidRPr="00F063A8">
        <w:rPr>
          <w:rFonts w:ascii="Arial" w:hAnsi="Arial" w:cs="Arial"/>
          <w:color w:val="333A3F"/>
          <w:spacing w:val="1"/>
          <w:sz w:val="24"/>
          <w:szCs w:val="24"/>
          <w:shd w:val="clear" w:color="auto" w:fill="FFFFFF"/>
        </w:rPr>
        <w:t>mo</w:t>
      </w:r>
      <w:proofErr w:type="spellEnd"/>
      <w:r w:rsidRPr="00F063A8">
        <w:rPr>
          <w:rFonts w:ascii="Arial" w:hAnsi="Arial" w:cs="Arial"/>
          <w:color w:val="333A3F"/>
          <w:spacing w:val="1"/>
          <w:sz w:val="24"/>
          <w:szCs w:val="24"/>
          <w:shd w:val="clear" w:color="auto" w:fill="FFFFFF"/>
        </w:rPr>
        <w:t xml:space="preserve"> supported by tio2 for photocatalytic nitrogen fixation. Langmuir, 41(1), 340-349. </w:t>
      </w:r>
      <w:r w:rsidRPr="009A394E">
        <w:rPr>
          <w:rFonts w:ascii="Arial" w:hAnsi="Arial" w:cs="Arial"/>
          <w:color w:val="FF33CC"/>
          <w:spacing w:val="1"/>
          <w:sz w:val="24"/>
          <w:szCs w:val="24"/>
          <w:u w:val="single"/>
          <w:shd w:val="clear" w:color="auto" w:fill="FFFFFF"/>
        </w:rPr>
        <w:t>https://doi.org/10.1021/acs.langmuir.4c03624</w:t>
      </w:r>
      <w:r w:rsidRPr="009A394E">
        <w:rPr>
          <w:rFonts w:ascii="Arial" w:hAnsi="Arial" w:cs="Arial"/>
          <w:color w:val="FF33CC"/>
          <w:spacing w:val="1"/>
          <w:sz w:val="24"/>
          <w:szCs w:val="24"/>
          <w:shd w:val="clear" w:color="auto" w:fill="FFFFFF"/>
        </w:rPr>
        <w:t xml:space="preserve">  </w:t>
      </w:r>
    </w:p>
    <w:p w14:paraId="3C23A45D" w14:textId="41652271" w:rsidR="00F063A8" w:rsidRPr="00F063A8" w:rsidRDefault="00F063A8" w:rsidP="00F063A8">
      <w:pPr>
        <w:pStyle w:val="ListParagraph"/>
        <w:numPr>
          <w:ilvl w:val="0"/>
          <w:numId w:val="46"/>
        </w:numPr>
        <w:spacing w:after="200"/>
        <w:jc w:val="both"/>
        <w:rPr>
          <w:rFonts w:ascii="Arial" w:hAnsi="Arial" w:cs="Arial"/>
          <w:sz w:val="22"/>
          <w:szCs w:val="22"/>
        </w:rPr>
      </w:pPr>
      <w:r w:rsidRPr="00F063A8">
        <w:rPr>
          <w:rFonts w:ascii="Arial" w:hAnsi="Arial" w:cs="Arial"/>
          <w:color w:val="333A3F"/>
          <w:spacing w:val="1"/>
          <w:sz w:val="24"/>
          <w:szCs w:val="24"/>
          <w:shd w:val="clear" w:color="auto" w:fill="FFFFFF"/>
        </w:rPr>
        <w:t xml:space="preserve">Hu, T., Cheng, X., Luo, J., Yan, Y., Zhang, Q., &amp; Yang, L. (2024). Fe-based materials for photocatalytic nitrogen reduction to ammonia: unique advantages, challenges, and perspectives. Acs Catalysis, 14(19), 14539-14563. </w:t>
      </w:r>
      <w:r w:rsidRPr="009A394E">
        <w:rPr>
          <w:rFonts w:ascii="Arial" w:hAnsi="Arial" w:cs="Arial"/>
          <w:color w:val="FF33CC"/>
          <w:spacing w:val="1"/>
          <w:sz w:val="24"/>
          <w:szCs w:val="24"/>
          <w:u w:val="single"/>
          <w:shd w:val="clear" w:color="auto" w:fill="FFFFFF"/>
        </w:rPr>
        <w:t>https://doi.org/10.1021/acscatal.4c03431</w:t>
      </w:r>
      <w:r w:rsidR="009A394E" w:rsidRPr="009A394E">
        <w:rPr>
          <w:rFonts w:ascii="Arial" w:hAnsi="Arial" w:cs="Arial"/>
          <w:color w:val="FF33CC"/>
          <w:spacing w:val="1"/>
          <w:sz w:val="24"/>
          <w:szCs w:val="24"/>
          <w:shd w:val="clear" w:color="auto" w:fill="FFFFFF"/>
        </w:rPr>
        <w:t xml:space="preserve"> </w:t>
      </w:r>
    </w:p>
    <w:p w14:paraId="1C295DF3" w14:textId="282010A3" w:rsidR="00F063A8" w:rsidRPr="00F063A8" w:rsidRDefault="00F063A8" w:rsidP="00F063A8">
      <w:pPr>
        <w:pStyle w:val="ListParagraph"/>
        <w:numPr>
          <w:ilvl w:val="0"/>
          <w:numId w:val="46"/>
        </w:numPr>
        <w:spacing w:after="200"/>
        <w:jc w:val="both"/>
        <w:rPr>
          <w:rFonts w:ascii="Arial" w:hAnsi="Arial" w:cs="Arial"/>
          <w:sz w:val="22"/>
          <w:szCs w:val="22"/>
        </w:rPr>
      </w:pPr>
      <w:r w:rsidRPr="00F063A8">
        <w:rPr>
          <w:rFonts w:ascii="Arial" w:hAnsi="Arial" w:cs="Arial"/>
          <w:color w:val="333A3F"/>
          <w:spacing w:val="1"/>
          <w:sz w:val="24"/>
          <w:szCs w:val="24"/>
          <w:shd w:val="clear" w:color="auto" w:fill="FFFFFF"/>
        </w:rPr>
        <w:t xml:space="preserve">Li, J., Guo, X., Gan, L., Huang, Z., Pan, L., Shi, C., … &amp; Zou, J. (2022). Fundamentals and advances in emerging crystalline porous materials for photocatalytic and electrocatalytic nitrogen fixation. Acs Applied Energy Materials, 5(8), 9241-9265. </w:t>
      </w:r>
      <w:r w:rsidRPr="009A394E">
        <w:rPr>
          <w:rFonts w:ascii="Arial" w:hAnsi="Arial" w:cs="Arial"/>
          <w:color w:val="FF33CC"/>
          <w:spacing w:val="1"/>
          <w:sz w:val="24"/>
          <w:szCs w:val="24"/>
          <w:u w:val="single"/>
          <w:shd w:val="clear" w:color="auto" w:fill="FFFFFF"/>
        </w:rPr>
        <w:t>https://doi.org/10.1021/acsaem.2c01346</w:t>
      </w:r>
      <w:r w:rsidR="009A394E" w:rsidRPr="009A394E">
        <w:rPr>
          <w:rFonts w:ascii="Arial" w:hAnsi="Arial" w:cs="Arial"/>
          <w:color w:val="FF33CC"/>
          <w:spacing w:val="1"/>
          <w:sz w:val="24"/>
          <w:szCs w:val="24"/>
          <w:shd w:val="clear" w:color="auto" w:fill="FFFFFF"/>
        </w:rPr>
        <w:t xml:space="preserve"> </w:t>
      </w:r>
      <w:r w:rsidRPr="009A394E">
        <w:rPr>
          <w:rFonts w:ascii="Arial" w:hAnsi="Arial" w:cs="Arial"/>
          <w:color w:val="FF33CC"/>
          <w:spacing w:val="1"/>
          <w:sz w:val="24"/>
          <w:szCs w:val="24"/>
          <w:shd w:val="clear" w:color="auto" w:fill="FFFFFF"/>
        </w:rPr>
        <w:t xml:space="preserve">   </w:t>
      </w:r>
    </w:p>
    <w:p w14:paraId="148D905A" w14:textId="33B9856F" w:rsidR="00F063A8" w:rsidRPr="00F063A8" w:rsidRDefault="00F063A8" w:rsidP="00F063A8">
      <w:pPr>
        <w:pStyle w:val="ListParagraph"/>
        <w:numPr>
          <w:ilvl w:val="0"/>
          <w:numId w:val="46"/>
        </w:numPr>
        <w:spacing w:after="200"/>
        <w:jc w:val="both"/>
        <w:rPr>
          <w:rFonts w:ascii="Arial" w:hAnsi="Arial" w:cs="Arial"/>
          <w:sz w:val="22"/>
          <w:szCs w:val="22"/>
        </w:rPr>
      </w:pPr>
      <w:r w:rsidRPr="00F063A8">
        <w:rPr>
          <w:rFonts w:ascii="Arial" w:hAnsi="Arial" w:cs="Arial"/>
          <w:color w:val="333A3F"/>
          <w:spacing w:val="1"/>
          <w:sz w:val="24"/>
          <w:szCs w:val="24"/>
          <w:shd w:val="clear" w:color="auto" w:fill="FFFFFF"/>
        </w:rPr>
        <w:t>Liu, C., Hao, D., Jin, Y., Ye, S., Zhou, F., Xie, H., … &amp; Sun, C. (2023). Knowledge</w:t>
      </w:r>
      <w:r w:rsidRPr="00F063A8">
        <w:rPr>
          <w:rFonts w:ascii="Cambria Math" w:hAnsi="Cambria Math" w:cs="Cambria Math"/>
          <w:color w:val="333A3F"/>
          <w:spacing w:val="1"/>
          <w:sz w:val="24"/>
          <w:szCs w:val="24"/>
          <w:shd w:val="clear" w:color="auto" w:fill="FFFFFF"/>
        </w:rPr>
        <w:t>‐</w:t>
      </w:r>
      <w:r w:rsidRPr="00F063A8">
        <w:rPr>
          <w:rFonts w:ascii="Arial" w:hAnsi="Arial" w:cs="Arial"/>
          <w:color w:val="333A3F"/>
          <w:spacing w:val="1"/>
          <w:sz w:val="24"/>
          <w:szCs w:val="24"/>
          <w:shd w:val="clear" w:color="auto" w:fill="FFFFFF"/>
        </w:rPr>
        <w:t>driven design and lab</w:t>
      </w:r>
      <w:r w:rsidRPr="00F063A8">
        <w:rPr>
          <w:rFonts w:ascii="Cambria Math" w:hAnsi="Cambria Math" w:cs="Cambria Math"/>
          <w:color w:val="333A3F"/>
          <w:spacing w:val="1"/>
          <w:sz w:val="24"/>
          <w:szCs w:val="24"/>
          <w:shd w:val="clear" w:color="auto" w:fill="FFFFFF"/>
        </w:rPr>
        <w:t>‐</w:t>
      </w:r>
      <w:r w:rsidRPr="00F063A8">
        <w:rPr>
          <w:rFonts w:ascii="Arial" w:hAnsi="Arial" w:cs="Arial"/>
          <w:color w:val="333A3F"/>
          <w:spacing w:val="1"/>
          <w:sz w:val="24"/>
          <w:szCs w:val="24"/>
          <w:shd w:val="clear" w:color="auto" w:fill="FFFFFF"/>
        </w:rPr>
        <w:t>based evaluation of b</w:t>
      </w:r>
      <w:r w:rsidRPr="00F063A8">
        <w:rPr>
          <w:rFonts w:ascii="Cambria Math" w:hAnsi="Cambria Math" w:cs="Cambria Math"/>
          <w:color w:val="333A3F"/>
          <w:spacing w:val="1"/>
          <w:sz w:val="24"/>
          <w:szCs w:val="24"/>
          <w:shd w:val="clear" w:color="auto" w:fill="FFFFFF"/>
        </w:rPr>
        <w:t>‐</w:t>
      </w:r>
      <w:r w:rsidRPr="00F063A8">
        <w:rPr>
          <w:rFonts w:ascii="Arial" w:hAnsi="Arial" w:cs="Arial"/>
          <w:color w:val="333A3F"/>
          <w:spacing w:val="1"/>
          <w:sz w:val="24"/>
          <w:szCs w:val="24"/>
          <w:shd w:val="clear" w:color="auto" w:fill="FFFFFF"/>
        </w:rPr>
        <w:t xml:space="preserve">doped tio2 photocatalysts for ammonia synthesis. Advanced Energy Materials, 13(8). </w:t>
      </w:r>
      <w:r w:rsidRPr="009A394E">
        <w:rPr>
          <w:rFonts w:ascii="Arial" w:hAnsi="Arial" w:cs="Arial"/>
          <w:color w:val="FF33CC"/>
          <w:spacing w:val="1"/>
          <w:sz w:val="24"/>
          <w:szCs w:val="24"/>
          <w:u w:val="single"/>
          <w:shd w:val="clear" w:color="auto" w:fill="FFFFFF"/>
        </w:rPr>
        <w:t>https://doi.org/10.1002/aenm.202204126</w:t>
      </w:r>
      <w:r w:rsidR="009A394E" w:rsidRPr="009A394E">
        <w:rPr>
          <w:rFonts w:ascii="Arial" w:hAnsi="Arial" w:cs="Arial"/>
          <w:color w:val="FF33CC"/>
          <w:spacing w:val="1"/>
          <w:sz w:val="24"/>
          <w:szCs w:val="24"/>
          <w:shd w:val="clear" w:color="auto" w:fill="FFFFFF"/>
        </w:rPr>
        <w:t xml:space="preserve"> </w:t>
      </w:r>
      <w:r w:rsidRPr="009A394E">
        <w:rPr>
          <w:rFonts w:ascii="Arial" w:hAnsi="Arial" w:cs="Arial"/>
          <w:color w:val="FF33CC"/>
          <w:spacing w:val="1"/>
          <w:sz w:val="24"/>
          <w:szCs w:val="24"/>
          <w:shd w:val="clear" w:color="auto" w:fill="FFFFFF"/>
        </w:rPr>
        <w:t xml:space="preserve"> </w:t>
      </w:r>
    </w:p>
    <w:p w14:paraId="059FC631" w14:textId="6D909491" w:rsidR="00F063A8" w:rsidRPr="00F063A8" w:rsidRDefault="00F063A8" w:rsidP="00F063A8">
      <w:pPr>
        <w:pStyle w:val="ListParagraph"/>
        <w:numPr>
          <w:ilvl w:val="0"/>
          <w:numId w:val="46"/>
        </w:numPr>
        <w:spacing w:after="200"/>
        <w:jc w:val="both"/>
        <w:rPr>
          <w:rFonts w:ascii="Arial" w:hAnsi="Arial" w:cs="Arial"/>
          <w:sz w:val="22"/>
          <w:szCs w:val="22"/>
        </w:rPr>
      </w:pPr>
      <w:r w:rsidRPr="00F063A8">
        <w:rPr>
          <w:rFonts w:ascii="Arial" w:hAnsi="Arial" w:cs="Arial"/>
          <w:color w:val="333A3F"/>
          <w:spacing w:val="1"/>
          <w:sz w:val="24"/>
          <w:szCs w:val="24"/>
          <w:shd w:val="clear" w:color="auto" w:fill="FFFFFF"/>
        </w:rPr>
        <w:lastRenderedPageBreak/>
        <w:t xml:space="preserve">Strandgaard, M., Seumer, J., Benediktsson, B., Bhowmik, A., Vegge, T., &amp; Jensen, J. (2023). Genetic algorithm-based re-optimization of the </w:t>
      </w:r>
      <w:proofErr w:type="spellStart"/>
      <w:r w:rsidRPr="00F063A8">
        <w:rPr>
          <w:rFonts w:ascii="Arial" w:hAnsi="Arial" w:cs="Arial"/>
          <w:color w:val="333A3F"/>
          <w:spacing w:val="1"/>
          <w:sz w:val="24"/>
          <w:szCs w:val="24"/>
          <w:shd w:val="clear" w:color="auto" w:fill="FFFFFF"/>
        </w:rPr>
        <w:t>schrock</w:t>
      </w:r>
      <w:proofErr w:type="spellEnd"/>
      <w:r w:rsidRPr="00F063A8">
        <w:rPr>
          <w:rFonts w:ascii="Arial" w:hAnsi="Arial" w:cs="Arial"/>
          <w:color w:val="333A3F"/>
          <w:spacing w:val="1"/>
          <w:sz w:val="24"/>
          <w:szCs w:val="24"/>
          <w:shd w:val="clear" w:color="auto" w:fill="FFFFFF"/>
        </w:rPr>
        <w:t xml:space="preserve"> catalyst for dinitrogen </w:t>
      </w:r>
      <w:proofErr w:type="gramStart"/>
      <w:r w:rsidRPr="00F063A8">
        <w:rPr>
          <w:rFonts w:ascii="Arial" w:hAnsi="Arial" w:cs="Arial"/>
          <w:color w:val="333A3F"/>
          <w:spacing w:val="1"/>
          <w:sz w:val="24"/>
          <w:szCs w:val="24"/>
          <w:shd w:val="clear" w:color="auto" w:fill="FFFFFF"/>
        </w:rPr>
        <w:t>fixation..</w:t>
      </w:r>
      <w:proofErr w:type="gramEnd"/>
      <w:r w:rsidRPr="00F063A8">
        <w:rPr>
          <w:rFonts w:ascii="Arial" w:hAnsi="Arial" w:cs="Arial"/>
          <w:color w:val="333A3F"/>
          <w:spacing w:val="1"/>
          <w:sz w:val="24"/>
          <w:szCs w:val="24"/>
          <w:shd w:val="clear" w:color="auto" w:fill="FFFFFF"/>
        </w:rPr>
        <w:t xml:space="preserve"> </w:t>
      </w:r>
      <w:hyperlink r:id="rId149" w:history="1">
        <w:r w:rsidR="009A394E" w:rsidRPr="00970E98">
          <w:rPr>
            <w:rStyle w:val="Hyperlink"/>
            <w:rFonts w:ascii="Arial" w:hAnsi="Arial" w:cs="Arial"/>
            <w:spacing w:val="1"/>
            <w:sz w:val="24"/>
            <w:szCs w:val="24"/>
            <w:shd w:val="clear" w:color="auto" w:fill="FFFFFF"/>
          </w:rPr>
          <w:t>https://doi.org/10.26434/chemrxiv-2023-t73mw</w:t>
        </w:r>
      </w:hyperlink>
      <w:r w:rsidR="009A394E">
        <w:rPr>
          <w:rFonts w:ascii="Arial" w:hAnsi="Arial" w:cs="Arial"/>
          <w:color w:val="333A3F"/>
          <w:spacing w:val="1"/>
          <w:sz w:val="24"/>
          <w:szCs w:val="24"/>
          <w:shd w:val="clear" w:color="auto" w:fill="FFFFFF"/>
        </w:rPr>
        <w:t xml:space="preserve"> </w:t>
      </w:r>
      <w:r>
        <w:rPr>
          <w:rFonts w:ascii="Arial" w:hAnsi="Arial" w:cs="Arial"/>
          <w:color w:val="333A3F"/>
          <w:spacing w:val="1"/>
          <w:sz w:val="24"/>
          <w:szCs w:val="24"/>
          <w:shd w:val="clear" w:color="auto" w:fill="FFFFFF"/>
        </w:rPr>
        <w:t xml:space="preserve"> </w:t>
      </w:r>
    </w:p>
    <w:p w14:paraId="3DD82FBA" w14:textId="77777777" w:rsidR="00F063A8" w:rsidRPr="00F063A8" w:rsidRDefault="00F063A8" w:rsidP="00F063A8">
      <w:pPr>
        <w:pStyle w:val="ListParagraph"/>
        <w:numPr>
          <w:ilvl w:val="0"/>
          <w:numId w:val="46"/>
        </w:numPr>
        <w:spacing w:after="200"/>
        <w:jc w:val="both"/>
        <w:rPr>
          <w:rFonts w:ascii="Arial" w:hAnsi="Arial" w:cs="Arial"/>
          <w:sz w:val="22"/>
          <w:szCs w:val="22"/>
        </w:rPr>
      </w:pPr>
      <w:r w:rsidRPr="00F063A8">
        <w:rPr>
          <w:rFonts w:ascii="Arial" w:hAnsi="Arial" w:cs="Arial"/>
          <w:color w:val="333A3F"/>
          <w:spacing w:val="1"/>
          <w:sz w:val="24"/>
          <w:szCs w:val="24"/>
          <w:shd w:val="clear" w:color="auto" w:fill="FFFFFF"/>
        </w:rPr>
        <w:t xml:space="preserve">Zhang, X., Su, R., Li, J., Huang, L., Yang, W., </w:t>
      </w:r>
      <w:proofErr w:type="spellStart"/>
      <w:r w:rsidRPr="00F063A8">
        <w:rPr>
          <w:rFonts w:ascii="Arial" w:hAnsi="Arial" w:cs="Arial"/>
          <w:color w:val="333A3F"/>
          <w:spacing w:val="1"/>
          <w:sz w:val="24"/>
          <w:szCs w:val="24"/>
          <w:shd w:val="clear" w:color="auto" w:fill="FFFFFF"/>
        </w:rPr>
        <w:t>Chingin</w:t>
      </w:r>
      <w:proofErr w:type="spellEnd"/>
      <w:r w:rsidRPr="00F063A8">
        <w:rPr>
          <w:rFonts w:ascii="Arial" w:hAnsi="Arial" w:cs="Arial"/>
          <w:color w:val="333A3F"/>
          <w:spacing w:val="1"/>
          <w:sz w:val="24"/>
          <w:szCs w:val="24"/>
          <w:shd w:val="clear" w:color="auto" w:fill="FFFFFF"/>
        </w:rPr>
        <w:t xml:space="preserve">, K., … &amp; Chen, H. (2024). Efficient catalyst-free n2 fixation by water radical cations under ambient conditions. Nature Communications, 15(1). </w:t>
      </w:r>
      <w:hyperlink r:id="rId150" w:history="1">
        <w:r w:rsidRPr="00F063A8">
          <w:rPr>
            <w:rStyle w:val="Hyperlink"/>
            <w:rFonts w:ascii="Arial" w:hAnsi="Arial" w:cs="Arial"/>
            <w:spacing w:val="1"/>
            <w:sz w:val="24"/>
            <w:szCs w:val="24"/>
            <w:shd w:val="clear" w:color="auto" w:fill="FFFFFF"/>
          </w:rPr>
          <w:t>https://doi.org/10.1038/s41467-024-45832-9</w:t>
        </w:r>
      </w:hyperlink>
      <w:r w:rsidRPr="00F063A8">
        <w:rPr>
          <w:rFonts w:ascii="Arial" w:hAnsi="Arial" w:cs="Arial"/>
          <w:color w:val="333A3F"/>
          <w:spacing w:val="1"/>
          <w:sz w:val="24"/>
          <w:szCs w:val="24"/>
          <w:shd w:val="clear" w:color="auto" w:fill="FFFFFF"/>
        </w:rPr>
        <w:t xml:space="preserve"> </w:t>
      </w:r>
    </w:p>
    <w:p w14:paraId="02DFA5D2" w14:textId="3CF92A4A" w:rsidR="00F063A8" w:rsidRPr="00F063A8" w:rsidRDefault="00F063A8" w:rsidP="00F063A8">
      <w:pPr>
        <w:pStyle w:val="ListParagraph"/>
        <w:numPr>
          <w:ilvl w:val="0"/>
          <w:numId w:val="46"/>
        </w:numPr>
        <w:spacing w:after="200"/>
        <w:jc w:val="both"/>
        <w:rPr>
          <w:rFonts w:ascii="Arial" w:hAnsi="Arial" w:cs="Arial"/>
          <w:sz w:val="22"/>
          <w:szCs w:val="22"/>
        </w:rPr>
      </w:pPr>
      <w:r w:rsidRPr="00F063A8">
        <w:rPr>
          <w:rFonts w:ascii="Arial" w:hAnsi="Arial" w:cs="Arial"/>
          <w:color w:val="333A3F"/>
          <w:spacing w:val="1"/>
          <w:sz w:val="24"/>
          <w:szCs w:val="24"/>
          <w:shd w:val="clear" w:color="auto" w:fill="FFFFFF"/>
        </w:rPr>
        <w:t xml:space="preserve">Zhu, Y., Ji, H., Huang, T., Sun, Y., &amp; Pang, H. (2024). Research progress on the application of </w:t>
      </w:r>
      <w:proofErr w:type="spellStart"/>
      <w:r w:rsidRPr="00F063A8">
        <w:rPr>
          <w:rFonts w:ascii="Arial" w:hAnsi="Arial" w:cs="Arial"/>
          <w:color w:val="333A3F"/>
          <w:spacing w:val="1"/>
          <w:sz w:val="24"/>
          <w:szCs w:val="24"/>
          <w:shd w:val="clear" w:color="auto" w:fill="FFFFFF"/>
        </w:rPr>
        <w:t>mof</w:t>
      </w:r>
      <w:proofErr w:type="spellEnd"/>
      <w:r w:rsidRPr="00F063A8">
        <w:rPr>
          <w:rFonts w:ascii="Arial" w:hAnsi="Arial" w:cs="Arial"/>
          <w:color w:val="333A3F"/>
          <w:spacing w:val="1"/>
          <w:sz w:val="24"/>
          <w:szCs w:val="24"/>
          <w:shd w:val="clear" w:color="auto" w:fill="FFFFFF"/>
        </w:rPr>
        <w:t xml:space="preserve"> and </w:t>
      </w:r>
      <w:proofErr w:type="spellStart"/>
      <w:r w:rsidRPr="00F063A8">
        <w:rPr>
          <w:rFonts w:ascii="Arial" w:hAnsi="Arial" w:cs="Arial"/>
          <w:color w:val="333A3F"/>
          <w:spacing w:val="1"/>
          <w:sz w:val="24"/>
          <w:szCs w:val="24"/>
          <w:shd w:val="clear" w:color="auto" w:fill="FFFFFF"/>
        </w:rPr>
        <w:t>mof</w:t>
      </w:r>
      <w:proofErr w:type="spellEnd"/>
      <w:r w:rsidRPr="00F063A8">
        <w:rPr>
          <w:rFonts w:ascii="Cambria Math" w:hAnsi="Cambria Math" w:cs="Cambria Math"/>
          <w:color w:val="333A3F"/>
          <w:spacing w:val="1"/>
          <w:sz w:val="24"/>
          <w:szCs w:val="24"/>
          <w:shd w:val="clear" w:color="auto" w:fill="FFFFFF"/>
        </w:rPr>
        <w:t>‐</w:t>
      </w:r>
      <w:r w:rsidRPr="00F063A8">
        <w:rPr>
          <w:rFonts w:ascii="Arial" w:hAnsi="Arial" w:cs="Arial"/>
          <w:color w:val="333A3F"/>
          <w:spacing w:val="1"/>
          <w:sz w:val="24"/>
          <w:szCs w:val="24"/>
          <w:shd w:val="clear" w:color="auto" w:fill="FFFFFF"/>
        </w:rPr>
        <w:t xml:space="preserve">based materials in nitrogen reduction. Advanced Sustainable Systems. </w:t>
      </w:r>
      <w:hyperlink r:id="rId151" w:history="1">
        <w:r w:rsidRPr="00F063A8">
          <w:rPr>
            <w:rStyle w:val="Hyperlink"/>
            <w:rFonts w:ascii="Arial" w:hAnsi="Arial" w:cs="Arial"/>
            <w:spacing w:val="1"/>
            <w:sz w:val="24"/>
            <w:szCs w:val="24"/>
            <w:shd w:val="clear" w:color="auto" w:fill="FFFFFF"/>
          </w:rPr>
          <w:t>https://doi.org/10.1002/adsu.202400225</w:t>
        </w:r>
      </w:hyperlink>
      <w:r w:rsidRPr="00F063A8">
        <w:rPr>
          <w:rFonts w:ascii="Arial" w:hAnsi="Arial" w:cs="Arial"/>
          <w:color w:val="333A3F"/>
          <w:spacing w:val="1"/>
          <w:sz w:val="24"/>
          <w:szCs w:val="24"/>
          <w:shd w:val="clear" w:color="auto" w:fill="FFFFFF"/>
        </w:rPr>
        <w:t xml:space="preserve"> </w:t>
      </w:r>
    </w:p>
    <w:sectPr w:rsidR="00F063A8" w:rsidRPr="00F063A8" w:rsidSect="004151A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CBDE6" w14:textId="77777777" w:rsidR="0030112C" w:rsidRDefault="0030112C" w:rsidP="00C37E61">
      <w:r>
        <w:separator/>
      </w:r>
    </w:p>
  </w:endnote>
  <w:endnote w:type="continuationSeparator" w:id="0">
    <w:p w14:paraId="66D63848" w14:textId="77777777" w:rsidR="0030112C" w:rsidRDefault="0030112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C81AD" w14:textId="77777777" w:rsidR="004151A3" w:rsidRDefault="004151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231D9" w14:textId="77777777" w:rsidR="004151A3" w:rsidRDefault="004151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847C7" w14:textId="2A9EAA33" w:rsidR="00754C9A" w:rsidRPr="006F25AE" w:rsidRDefault="00754C9A" w:rsidP="006F25AE">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FF9E64" w14:textId="77777777" w:rsidR="0030112C" w:rsidRDefault="0030112C" w:rsidP="00C37E61">
      <w:r>
        <w:separator/>
      </w:r>
    </w:p>
  </w:footnote>
  <w:footnote w:type="continuationSeparator" w:id="0">
    <w:p w14:paraId="28D80E26" w14:textId="77777777" w:rsidR="0030112C" w:rsidRDefault="0030112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54DED" w14:textId="0396CC65" w:rsidR="004151A3" w:rsidRDefault="004151A3">
    <w:pPr>
      <w:pStyle w:val="Header"/>
    </w:pPr>
    <w:r>
      <w:rPr>
        <w:noProof/>
      </w:rPr>
      <w:pict w14:anchorId="683CE7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69896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AA350" w14:textId="28685BA1" w:rsidR="004151A3" w:rsidRDefault="004151A3">
    <w:pPr>
      <w:pStyle w:val="Header"/>
    </w:pPr>
    <w:r>
      <w:rPr>
        <w:noProof/>
      </w:rPr>
      <w:pict w14:anchorId="78B3E5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69897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9F0FD" w14:textId="778285FC" w:rsidR="00296529" w:rsidRPr="00296529" w:rsidRDefault="004151A3" w:rsidP="00296529">
    <w:pPr>
      <w:ind w:left="2160"/>
      <w:jc w:val="center"/>
      <w:rPr>
        <w:rFonts w:ascii="Times New Roman" w:eastAsia="Calibri" w:hAnsi="Times New Roman"/>
        <w:i/>
        <w:sz w:val="18"/>
        <w:szCs w:val="22"/>
      </w:rPr>
    </w:pPr>
    <w:r>
      <w:rPr>
        <w:noProof/>
      </w:rPr>
      <w:pict w14:anchorId="2BBFC8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69896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80EC69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9E48C6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FEB428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F65141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3C042F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1D5052C"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6A05DA"/>
    <w:multiLevelType w:val="multilevel"/>
    <w:tmpl w:val="E320C7B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BAD2EC0"/>
    <w:multiLevelType w:val="multilevel"/>
    <w:tmpl w:val="DD7EC9D8"/>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8855529"/>
    <w:multiLevelType w:val="hybridMultilevel"/>
    <w:tmpl w:val="A64E76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9CB308C"/>
    <w:multiLevelType w:val="hybridMultilevel"/>
    <w:tmpl w:val="71600346"/>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1E20564A"/>
    <w:multiLevelType w:val="hybridMultilevel"/>
    <w:tmpl w:val="9984ED1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4AF4F24"/>
    <w:multiLevelType w:val="multilevel"/>
    <w:tmpl w:val="E320C7B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37C12B99"/>
    <w:multiLevelType w:val="hybridMultilevel"/>
    <w:tmpl w:val="5568CC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AD956D5"/>
    <w:multiLevelType w:val="hybridMultilevel"/>
    <w:tmpl w:val="1F58FA84"/>
    <w:lvl w:ilvl="0" w:tplc="0809000F">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A612BA3"/>
    <w:multiLevelType w:val="hybridMultilevel"/>
    <w:tmpl w:val="5568CC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4D8B1839"/>
    <w:multiLevelType w:val="multilevel"/>
    <w:tmpl w:val="DD7EC9D8"/>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2C0D4D"/>
    <w:multiLevelType w:val="multilevel"/>
    <w:tmpl w:val="DD7EC9D8"/>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15:restartNumberingAfterBreak="0">
    <w:nsid w:val="5A913BAE"/>
    <w:multiLevelType w:val="hybridMultilevel"/>
    <w:tmpl w:val="A3764D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A55244"/>
    <w:multiLevelType w:val="hybridMultilevel"/>
    <w:tmpl w:val="620012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60FE43D6"/>
    <w:multiLevelType w:val="multilevel"/>
    <w:tmpl w:val="DD7EC9D8"/>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15:restartNumberingAfterBreak="0">
    <w:nsid w:val="66261C5D"/>
    <w:multiLevelType w:val="multilevel"/>
    <w:tmpl w:val="DD7EC9D8"/>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15:restartNumberingAfterBreak="0">
    <w:nsid w:val="6986062A"/>
    <w:multiLevelType w:val="multilevel"/>
    <w:tmpl w:val="3E8A7F4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6C4012B7"/>
    <w:multiLevelType w:val="hybridMultilevel"/>
    <w:tmpl w:val="5568CC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4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3" w15:restartNumberingAfterBreak="0">
    <w:nsid w:val="79364D9F"/>
    <w:multiLevelType w:val="multilevel"/>
    <w:tmpl w:val="3E8A7F4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79AE526B"/>
    <w:multiLevelType w:val="hybridMultilevel"/>
    <w:tmpl w:val="5568C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4"/>
  </w:num>
  <w:num w:numId="3">
    <w:abstractNumId w:val="4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1"/>
  </w:num>
  <w:num w:numId="8">
    <w:abstractNumId w:val="17"/>
  </w:num>
  <w:num w:numId="9">
    <w:abstractNumId w:val="42"/>
  </w:num>
  <w:num w:numId="10">
    <w:abstractNumId w:val="2"/>
  </w:num>
  <w:num w:numId="11">
    <w:abstractNumId w:val="34"/>
  </w:num>
  <w:num w:numId="12">
    <w:abstractNumId w:val="3"/>
  </w:num>
  <w:num w:numId="13">
    <w:abstractNumId w:val="30"/>
  </w:num>
  <w:num w:numId="14">
    <w:abstractNumId w:val="12"/>
  </w:num>
  <w:num w:numId="15">
    <w:abstractNumId w:val="38"/>
  </w:num>
  <w:num w:numId="16">
    <w:abstractNumId w:val="6"/>
  </w:num>
  <w:num w:numId="17">
    <w:abstractNumId w:val="39"/>
  </w:num>
  <w:num w:numId="18">
    <w:abstractNumId w:val="19"/>
  </w:num>
  <w:num w:numId="19">
    <w:abstractNumId w:val="47"/>
  </w:num>
  <w:num w:numId="20">
    <w:abstractNumId w:val="16"/>
  </w:num>
  <w:num w:numId="21">
    <w:abstractNumId w:val="14"/>
  </w:num>
  <w:num w:numId="22">
    <w:abstractNumId w:val="18"/>
  </w:num>
  <w:num w:numId="23">
    <w:abstractNumId w:val="36"/>
  </w:num>
  <w:num w:numId="24">
    <w:abstractNumId w:val="45"/>
  </w:num>
  <w:num w:numId="25">
    <w:abstractNumId w:val="4"/>
  </w:num>
  <w:num w:numId="26">
    <w:abstractNumId w:val="26"/>
  </w:num>
  <w:num w:numId="27">
    <w:abstractNumId w:val="37"/>
  </w:num>
  <w:num w:numId="28">
    <w:abstractNumId w:val="46"/>
  </w:num>
  <w:num w:numId="29">
    <w:abstractNumId w:val="41"/>
  </w:num>
  <w:num w:numId="30">
    <w:abstractNumId w:val="15"/>
  </w:num>
  <w:num w:numId="31">
    <w:abstractNumId w:val="28"/>
  </w:num>
  <w:num w:numId="32">
    <w:abstractNumId w:val="27"/>
  </w:num>
  <w:num w:numId="33">
    <w:abstractNumId w:val="5"/>
  </w:num>
  <w:num w:numId="34">
    <w:abstractNumId w:val="29"/>
  </w:num>
  <w:num w:numId="35">
    <w:abstractNumId w:val="13"/>
  </w:num>
  <w:num w:numId="36">
    <w:abstractNumId w:val="20"/>
  </w:num>
  <w:num w:numId="37">
    <w:abstractNumId w:val="33"/>
  </w:num>
  <w:num w:numId="38">
    <w:abstractNumId w:val="43"/>
  </w:num>
  <w:num w:numId="39">
    <w:abstractNumId w:val="22"/>
  </w:num>
  <w:num w:numId="40">
    <w:abstractNumId w:val="9"/>
  </w:num>
  <w:num w:numId="41">
    <w:abstractNumId w:val="11"/>
  </w:num>
  <w:num w:numId="42">
    <w:abstractNumId w:val="32"/>
  </w:num>
  <w:num w:numId="43">
    <w:abstractNumId w:val="31"/>
  </w:num>
  <w:num w:numId="44">
    <w:abstractNumId w:val="7"/>
  </w:num>
  <w:num w:numId="45">
    <w:abstractNumId w:val="25"/>
  </w:num>
  <w:num w:numId="46">
    <w:abstractNumId w:val="44"/>
  </w:num>
  <w:num w:numId="47">
    <w:abstractNumId w:val="35"/>
  </w:num>
  <w:num w:numId="48">
    <w:abstractNumId w:val="23"/>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306"/>
    <w:rsid w:val="000B1E33"/>
    <w:rsid w:val="000D689F"/>
    <w:rsid w:val="000E7B7B"/>
    <w:rsid w:val="000E7D62"/>
    <w:rsid w:val="0010196B"/>
    <w:rsid w:val="00103357"/>
    <w:rsid w:val="00123C9F"/>
    <w:rsid w:val="00126190"/>
    <w:rsid w:val="00130F17"/>
    <w:rsid w:val="001320BF"/>
    <w:rsid w:val="00163BC4"/>
    <w:rsid w:val="00191062"/>
    <w:rsid w:val="00192B72"/>
    <w:rsid w:val="001A29D8"/>
    <w:rsid w:val="001A5CAA"/>
    <w:rsid w:val="001B0427"/>
    <w:rsid w:val="001D1B86"/>
    <w:rsid w:val="001D3A51"/>
    <w:rsid w:val="001D5C80"/>
    <w:rsid w:val="001E10D2"/>
    <w:rsid w:val="001E25B4"/>
    <w:rsid w:val="001E44FE"/>
    <w:rsid w:val="00200595"/>
    <w:rsid w:val="002019AF"/>
    <w:rsid w:val="00204835"/>
    <w:rsid w:val="00231920"/>
    <w:rsid w:val="0023195C"/>
    <w:rsid w:val="0024282C"/>
    <w:rsid w:val="002460DC"/>
    <w:rsid w:val="00250985"/>
    <w:rsid w:val="00253726"/>
    <w:rsid w:val="002556F6"/>
    <w:rsid w:val="002723E6"/>
    <w:rsid w:val="00283105"/>
    <w:rsid w:val="00284C4C"/>
    <w:rsid w:val="00287E68"/>
    <w:rsid w:val="00296529"/>
    <w:rsid w:val="002B27FB"/>
    <w:rsid w:val="002B685A"/>
    <w:rsid w:val="002C57D2"/>
    <w:rsid w:val="002C75BE"/>
    <w:rsid w:val="002E0D56"/>
    <w:rsid w:val="002E474C"/>
    <w:rsid w:val="0030112C"/>
    <w:rsid w:val="00315186"/>
    <w:rsid w:val="00323DC6"/>
    <w:rsid w:val="00325013"/>
    <w:rsid w:val="0033343E"/>
    <w:rsid w:val="003512C2"/>
    <w:rsid w:val="00362CA4"/>
    <w:rsid w:val="00371FB6"/>
    <w:rsid w:val="003763C1"/>
    <w:rsid w:val="00376BBE"/>
    <w:rsid w:val="0039224F"/>
    <w:rsid w:val="003A43A4"/>
    <w:rsid w:val="003A7E18"/>
    <w:rsid w:val="003C4C86"/>
    <w:rsid w:val="003C6258"/>
    <w:rsid w:val="003E2904"/>
    <w:rsid w:val="00401927"/>
    <w:rsid w:val="0041027F"/>
    <w:rsid w:val="00412475"/>
    <w:rsid w:val="004151A3"/>
    <w:rsid w:val="00423789"/>
    <w:rsid w:val="00440F43"/>
    <w:rsid w:val="00441B6F"/>
    <w:rsid w:val="00446221"/>
    <w:rsid w:val="00450E62"/>
    <w:rsid w:val="004539DB"/>
    <w:rsid w:val="00471A80"/>
    <w:rsid w:val="0048769A"/>
    <w:rsid w:val="004D305E"/>
    <w:rsid w:val="004D4277"/>
    <w:rsid w:val="004F3665"/>
    <w:rsid w:val="00502516"/>
    <w:rsid w:val="00505F06"/>
    <w:rsid w:val="00506828"/>
    <w:rsid w:val="005269CB"/>
    <w:rsid w:val="0053056E"/>
    <w:rsid w:val="00554FDA"/>
    <w:rsid w:val="005C784C"/>
    <w:rsid w:val="005D0CEB"/>
    <w:rsid w:val="005D17F6"/>
    <w:rsid w:val="005E5539"/>
    <w:rsid w:val="005F2F3C"/>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1272"/>
    <w:rsid w:val="006F11EC"/>
    <w:rsid w:val="006F25AE"/>
    <w:rsid w:val="0070082C"/>
    <w:rsid w:val="00727520"/>
    <w:rsid w:val="00733F02"/>
    <w:rsid w:val="007369E6"/>
    <w:rsid w:val="00746E59"/>
    <w:rsid w:val="00747CCB"/>
    <w:rsid w:val="00754C9A"/>
    <w:rsid w:val="0075599A"/>
    <w:rsid w:val="00761D52"/>
    <w:rsid w:val="0077749E"/>
    <w:rsid w:val="00790ADA"/>
    <w:rsid w:val="007B2FED"/>
    <w:rsid w:val="007D2288"/>
    <w:rsid w:val="007D6343"/>
    <w:rsid w:val="007E088F"/>
    <w:rsid w:val="007E44FB"/>
    <w:rsid w:val="007E63FB"/>
    <w:rsid w:val="007F7B32"/>
    <w:rsid w:val="00804BC2"/>
    <w:rsid w:val="0081431A"/>
    <w:rsid w:val="0083216F"/>
    <w:rsid w:val="00860000"/>
    <w:rsid w:val="00863BD3"/>
    <w:rsid w:val="008641ED"/>
    <w:rsid w:val="00866D66"/>
    <w:rsid w:val="008671C6"/>
    <w:rsid w:val="00875803"/>
    <w:rsid w:val="008B459E"/>
    <w:rsid w:val="008B5F3A"/>
    <w:rsid w:val="008E13AE"/>
    <w:rsid w:val="008E1506"/>
    <w:rsid w:val="008E710C"/>
    <w:rsid w:val="008F69D6"/>
    <w:rsid w:val="00902823"/>
    <w:rsid w:val="00915CA6"/>
    <w:rsid w:val="009165F7"/>
    <w:rsid w:val="00927834"/>
    <w:rsid w:val="0094413F"/>
    <w:rsid w:val="009500A6"/>
    <w:rsid w:val="00957C18"/>
    <w:rsid w:val="009659BA"/>
    <w:rsid w:val="009757BB"/>
    <w:rsid w:val="00983040"/>
    <w:rsid w:val="009A394E"/>
    <w:rsid w:val="009B3FB9"/>
    <w:rsid w:val="009C2465"/>
    <w:rsid w:val="009D35A0"/>
    <w:rsid w:val="009D7EB7"/>
    <w:rsid w:val="009E048A"/>
    <w:rsid w:val="009E08E9"/>
    <w:rsid w:val="009E3DB9"/>
    <w:rsid w:val="009E6E35"/>
    <w:rsid w:val="009F0D07"/>
    <w:rsid w:val="009F0EDA"/>
    <w:rsid w:val="00A03B96"/>
    <w:rsid w:val="00A05B19"/>
    <w:rsid w:val="00A1134E"/>
    <w:rsid w:val="00A24E7E"/>
    <w:rsid w:val="00A258C3"/>
    <w:rsid w:val="00A34628"/>
    <w:rsid w:val="00A347C0"/>
    <w:rsid w:val="00A5005F"/>
    <w:rsid w:val="00A51431"/>
    <w:rsid w:val="00A53489"/>
    <w:rsid w:val="00A539AD"/>
    <w:rsid w:val="00A94063"/>
    <w:rsid w:val="00AA6219"/>
    <w:rsid w:val="00AA74E0"/>
    <w:rsid w:val="00AB703F"/>
    <w:rsid w:val="00AC6BB8"/>
    <w:rsid w:val="00AE008F"/>
    <w:rsid w:val="00B01FCD"/>
    <w:rsid w:val="00B05D08"/>
    <w:rsid w:val="00B1776C"/>
    <w:rsid w:val="00B52583"/>
    <w:rsid w:val="00B52896"/>
    <w:rsid w:val="00B92F08"/>
    <w:rsid w:val="00B95236"/>
    <w:rsid w:val="00B96BD9"/>
    <w:rsid w:val="00BA0712"/>
    <w:rsid w:val="00BA1B01"/>
    <w:rsid w:val="00BA2641"/>
    <w:rsid w:val="00BB37AA"/>
    <w:rsid w:val="00BC53A0"/>
    <w:rsid w:val="00BD29C4"/>
    <w:rsid w:val="00BE50FC"/>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457E"/>
    <w:rsid w:val="00CE793C"/>
    <w:rsid w:val="00CF193C"/>
    <w:rsid w:val="00D173F1"/>
    <w:rsid w:val="00D22F3A"/>
    <w:rsid w:val="00D74CB0"/>
    <w:rsid w:val="00D8295D"/>
    <w:rsid w:val="00DC2A65"/>
    <w:rsid w:val="00DE15F0"/>
    <w:rsid w:val="00DE5663"/>
    <w:rsid w:val="00DE78AA"/>
    <w:rsid w:val="00E01679"/>
    <w:rsid w:val="00E053D0"/>
    <w:rsid w:val="00E15994"/>
    <w:rsid w:val="00E3114E"/>
    <w:rsid w:val="00E31A70"/>
    <w:rsid w:val="00E35B02"/>
    <w:rsid w:val="00E66496"/>
    <w:rsid w:val="00E66B35"/>
    <w:rsid w:val="00E66E10"/>
    <w:rsid w:val="00E769F6"/>
    <w:rsid w:val="00E8407C"/>
    <w:rsid w:val="00E84F3C"/>
    <w:rsid w:val="00EA012C"/>
    <w:rsid w:val="00EC1D04"/>
    <w:rsid w:val="00EC6A55"/>
    <w:rsid w:val="00ED0288"/>
    <w:rsid w:val="00EE52CB"/>
    <w:rsid w:val="00EF581D"/>
    <w:rsid w:val="00EF7FD8"/>
    <w:rsid w:val="00F020B2"/>
    <w:rsid w:val="00F063A8"/>
    <w:rsid w:val="00F06F59"/>
    <w:rsid w:val="00F1615E"/>
    <w:rsid w:val="00F17988"/>
    <w:rsid w:val="00F340AC"/>
    <w:rsid w:val="00F469F0"/>
    <w:rsid w:val="00F53273"/>
    <w:rsid w:val="00F54B02"/>
    <w:rsid w:val="00F755E4"/>
    <w:rsid w:val="00F77D02"/>
    <w:rsid w:val="00F84B08"/>
    <w:rsid w:val="00FB3A86"/>
    <w:rsid w:val="00FB6148"/>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E78AFD3"/>
  <w15:docId w15:val="{68AFBD9C-3B58-4535-BDAA-DBD56476B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5269CB"/>
    <w:pPr>
      <w:ind w:left="720"/>
      <w:contextualSpacing/>
    </w:pPr>
  </w:style>
  <w:style w:type="table" w:customStyle="1" w:styleId="Style1">
    <w:name w:val="Style1"/>
    <w:basedOn w:val="TableSimple1"/>
    <w:uiPriority w:val="99"/>
    <w:rsid w:val="00F340AC"/>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semiHidden/>
    <w:unhideWhenUsed/>
    <w:rsid w:val="00F340A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NormalWeb">
    <w:name w:val="Normal (Web)"/>
    <w:basedOn w:val="Normal"/>
    <w:semiHidden/>
    <w:unhideWhenUsed/>
    <w:rsid w:val="002019AF"/>
    <w:rPr>
      <w:rFonts w:ascii="Times New Roman" w:hAnsi="Times New Roman"/>
      <w:sz w:val="24"/>
      <w:szCs w:val="24"/>
    </w:rPr>
  </w:style>
  <w:style w:type="character" w:customStyle="1" w:styleId="15">
    <w:name w:val="15"/>
    <w:basedOn w:val="DefaultParagraphFont"/>
    <w:rsid w:val="00BE50FC"/>
    <w:rPr>
      <w:rFonts w:ascii="Times New Roman" w:hAnsi="Times New Roman" w:cs="Times New Roman" w:hint="default"/>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5182674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9038160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61592542">
      <w:bodyDiv w:val="1"/>
      <w:marLeft w:val="0"/>
      <w:marRight w:val="0"/>
      <w:marTop w:val="0"/>
      <w:marBottom w:val="0"/>
      <w:divBdr>
        <w:top w:val="none" w:sz="0" w:space="0" w:color="auto"/>
        <w:left w:val="none" w:sz="0" w:space="0" w:color="auto"/>
        <w:bottom w:val="none" w:sz="0" w:space="0" w:color="auto"/>
        <w:right w:val="none" w:sz="0" w:space="0" w:color="auto"/>
      </w:divBdr>
    </w:div>
    <w:div w:id="171588806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32473/edis-ss714-2023" TargetMode="External"/><Relationship Id="rId21" Type="http://schemas.openxmlformats.org/officeDocument/2006/relationships/hyperlink" Target="https://doi.org/10.3389/FMICB.2021.628379" TargetMode="External"/><Relationship Id="rId42" Type="http://schemas.openxmlformats.org/officeDocument/2006/relationships/hyperlink" Target="https://doi.org/10.1146/ANNUREV.NU.13.070193.001533" TargetMode="External"/><Relationship Id="rId63" Type="http://schemas.openxmlformats.org/officeDocument/2006/relationships/hyperlink" Target="https://doi.org/10.3390/biom10030351" TargetMode="External"/><Relationship Id="rId84" Type="http://schemas.openxmlformats.org/officeDocument/2006/relationships/hyperlink" Target="https://doi.org/10.1016/j.xplc.2024.100812" TargetMode="External"/><Relationship Id="rId138" Type="http://schemas.openxmlformats.org/officeDocument/2006/relationships/hyperlink" Target="https://doi.org/10.1007/s00267-019-01128-z" TargetMode="External"/><Relationship Id="rId107" Type="http://schemas.openxmlformats.org/officeDocument/2006/relationships/hyperlink" Target="https://doi.org/10.1016/j.ram.2017.04.006" TargetMode="External"/><Relationship Id="rId11" Type="http://schemas.openxmlformats.org/officeDocument/2006/relationships/footer" Target="footer2.xml"/><Relationship Id="rId32" Type="http://schemas.openxmlformats.org/officeDocument/2006/relationships/hyperlink" Target="https://doi.org/10.1128/jb.176.11.3460-3465.1994" TargetMode="External"/><Relationship Id="rId53" Type="http://schemas.openxmlformats.org/officeDocument/2006/relationships/hyperlink" Target="https://www.imedpub.com/abstract/nitrogenase-enzyme-a-review-16887.html" TargetMode="External"/><Relationship Id="rId74" Type="http://schemas.openxmlformats.org/officeDocument/2006/relationships/hyperlink" Target="https://doi.org/10.1007/978-94-009-1706-4_23" TargetMode="External"/><Relationship Id="rId128" Type="http://schemas.openxmlformats.org/officeDocument/2006/relationships/hyperlink" Target="https://doi.org/10.5772/intechopen.1004087" TargetMode="External"/><Relationship Id="rId149" Type="http://schemas.openxmlformats.org/officeDocument/2006/relationships/hyperlink" Target="https://doi.org/10.26434/chemrxiv-2023-t73mw" TargetMode="External"/><Relationship Id="rId5" Type="http://schemas.openxmlformats.org/officeDocument/2006/relationships/webSettings" Target="webSettings.xml"/><Relationship Id="rId95" Type="http://schemas.openxmlformats.org/officeDocument/2006/relationships/hyperlink" Target="https://doi.org/10.1128/AEM.01055-16" TargetMode="External"/><Relationship Id="rId22" Type="http://schemas.openxmlformats.org/officeDocument/2006/relationships/hyperlink" Target="https://doi.org/10.3390/agriculture13112092" TargetMode="External"/><Relationship Id="rId27" Type="http://schemas.openxmlformats.org/officeDocument/2006/relationships/hyperlink" Target="https://doi.org/10.3389/fpls.2022.899464" TargetMode="External"/><Relationship Id="rId43" Type="http://schemas.openxmlformats.org/officeDocument/2006/relationships/hyperlink" Target="https://doi.org/10.1126/science.1186120" TargetMode="External"/><Relationship Id="rId48" Type="http://schemas.openxmlformats.org/officeDocument/2006/relationships/hyperlink" Target="https://doi.org/10.9734/ajsspn/2024/v10i2315" TargetMode="External"/><Relationship Id="rId64" Type="http://schemas.openxmlformats.org/officeDocument/2006/relationships/hyperlink" Target="https://doi.org/10.1111/jac.12754" TargetMode="External"/><Relationship Id="rId69" Type="http://schemas.openxmlformats.org/officeDocument/2006/relationships/hyperlink" Target="https://doi.org/10.1002/sae2.12073" TargetMode="External"/><Relationship Id="rId113" Type="http://schemas.openxmlformats.org/officeDocument/2006/relationships/hyperlink" Target="https://doi.org/10.1007/978-1-61779-194-9_6" TargetMode="External"/><Relationship Id="rId118" Type="http://schemas.openxmlformats.org/officeDocument/2006/relationships/hyperlink" Target="https://doi.org/10.33584/JNZG.2019.81.380" TargetMode="External"/><Relationship Id="rId134" Type="http://schemas.openxmlformats.org/officeDocument/2006/relationships/hyperlink" Target="https://doi.org/10.1016/j.chemosphere.2020.129076" TargetMode="External"/><Relationship Id="rId139" Type="http://schemas.openxmlformats.org/officeDocument/2006/relationships/hyperlink" Target="https://doi.org/10.3390/ijms24020907" TargetMode="External"/><Relationship Id="rId80" Type="http://schemas.openxmlformats.org/officeDocument/2006/relationships/hyperlink" Target="https://doi.org/10.1016/j.ncrops.2024.100013" TargetMode="External"/><Relationship Id="rId85" Type="http://schemas.openxmlformats.org/officeDocument/2006/relationships/hyperlink" Target="https://doi.org/10.1016/B978-0-12-420221-4.00009-3" TargetMode="External"/><Relationship Id="rId150" Type="http://schemas.openxmlformats.org/officeDocument/2006/relationships/hyperlink" Target="https://doi.org/10.1038/s41467-024-45832-9" TargetMode="External"/><Relationship Id="rId12" Type="http://schemas.openxmlformats.org/officeDocument/2006/relationships/header" Target="header3.xml"/><Relationship Id="rId17" Type="http://schemas.openxmlformats.org/officeDocument/2006/relationships/image" Target="media/image3.jpeg"/><Relationship Id="rId33" Type="http://schemas.openxmlformats.org/officeDocument/2006/relationships/hyperlink" Target="https://doi.org/10.1016/j.jmb.2012.10.019" TargetMode="External"/><Relationship Id="rId38" Type="http://schemas.openxmlformats.org/officeDocument/2006/relationships/hyperlink" Target="https://doi.org/10.1371/journal.pone.0227764" TargetMode="External"/><Relationship Id="rId59" Type="http://schemas.openxmlformats.org/officeDocument/2006/relationships/hyperlink" Target="https://doi.org/10.1186/s40168-019-0757-8" TargetMode="External"/><Relationship Id="rId103" Type="http://schemas.openxmlformats.org/officeDocument/2006/relationships/hyperlink" Target="https://ir.unimas.my/id/eprint/15616/" TargetMode="External"/><Relationship Id="rId108" Type="http://schemas.openxmlformats.org/officeDocument/2006/relationships/hyperlink" Target="https://doi.org/10.1002/CPHC.201700665" TargetMode="External"/><Relationship Id="rId124" Type="http://schemas.openxmlformats.org/officeDocument/2006/relationships/hyperlink" Target="https://doi.org/10.1007/978-1-61779-194-9_88" TargetMode="External"/><Relationship Id="rId129" Type="http://schemas.openxmlformats.org/officeDocument/2006/relationships/hyperlink" Target="https://doi.org/10.3390/nitrogen5030045" TargetMode="External"/><Relationship Id="rId54" Type="http://schemas.openxmlformats.org/officeDocument/2006/relationships/hyperlink" Target="https://doi.org/10.1016/j.fcr.2024.109261" TargetMode="External"/><Relationship Id="rId70" Type="http://schemas.openxmlformats.org/officeDocument/2006/relationships/hyperlink" Target="https://doi.org/10.1128/JB.05099-11" TargetMode="External"/><Relationship Id="rId75" Type="http://schemas.openxmlformats.org/officeDocument/2006/relationships/hyperlink" Target="https://doi.org/10.1016/b978-0-12-822974-3.00056-2" TargetMode="External"/><Relationship Id="rId91" Type="http://schemas.openxmlformats.org/officeDocument/2006/relationships/hyperlink" Target="https://doi.org/10.20944/preprints202412.0442.v1" TargetMode="External"/><Relationship Id="rId96" Type="http://schemas.openxmlformats.org/officeDocument/2006/relationships/hyperlink" Target="https://doi.org/10.11648/j.sf.20240503.12" TargetMode="External"/><Relationship Id="rId140" Type="http://schemas.openxmlformats.org/officeDocument/2006/relationships/hyperlink" Target="https://doi.org/10.3390/ijms24020907" TargetMode="External"/><Relationship Id="rId145" Type="http://schemas.openxmlformats.org/officeDocument/2006/relationships/hyperlink" Target="https://doi.org/10.3390/ijms2316917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4314/GJG.V9I2" TargetMode="External"/><Relationship Id="rId28" Type="http://schemas.openxmlformats.org/officeDocument/2006/relationships/hyperlink" Target="https://doi.org/10.54660/ijmbhr.2024.5.4.178-187" TargetMode="External"/><Relationship Id="rId49" Type="http://schemas.openxmlformats.org/officeDocument/2006/relationships/hyperlink" Target="https://doi.org/10.1016/bs.aambs.2019.07.001" TargetMode="External"/><Relationship Id="rId114" Type="http://schemas.openxmlformats.org/officeDocument/2006/relationships/hyperlink" Target="https://doi.org/10.1186/1471-2164-13-162" TargetMode="External"/><Relationship Id="rId119" Type="http://schemas.openxmlformats.org/officeDocument/2006/relationships/hyperlink" Target="https://doi.org/10.23910/1.2024.5124" TargetMode="External"/><Relationship Id="rId44" Type="http://schemas.openxmlformats.org/officeDocument/2006/relationships/hyperlink" Target="https://doi.org/10.1007/978-3-031-24181-9_2" TargetMode="External"/><Relationship Id="rId60" Type="http://schemas.openxmlformats.org/officeDocument/2006/relationships/hyperlink" Target="https://doi.org/10.1007/978-3-031-46870-4_20" TargetMode="External"/><Relationship Id="rId65" Type="http://schemas.openxmlformats.org/officeDocument/2006/relationships/hyperlink" Target="https://doi.org/10.1007/S12541-020-00349-1" TargetMode="External"/><Relationship Id="rId81" Type="http://schemas.openxmlformats.org/officeDocument/2006/relationships/hyperlink" Target="https://doi.org/10.3390/IJMS20133350" TargetMode="External"/><Relationship Id="rId86" Type="http://schemas.openxmlformats.org/officeDocument/2006/relationships/hyperlink" Target="https://doi.org/10.21475/ajcs.24.18.06.p4104" TargetMode="External"/><Relationship Id="rId130" Type="http://schemas.openxmlformats.org/officeDocument/2006/relationships/hyperlink" Target="https://doi.org/10.1007/978-1-61779-194-9_6" TargetMode="External"/><Relationship Id="rId135" Type="http://schemas.openxmlformats.org/officeDocument/2006/relationships/hyperlink" Target="https://doi.org/10.5194/bg-17-3643-2020" TargetMode="External"/><Relationship Id="rId151" Type="http://schemas.openxmlformats.org/officeDocument/2006/relationships/hyperlink" Target="https://doi.org/10.1002/adsu.202400225" TargetMode="External"/><Relationship Id="rId13" Type="http://schemas.openxmlformats.org/officeDocument/2006/relationships/footer" Target="footer3.xml"/><Relationship Id="rId18" Type="http://schemas.openxmlformats.org/officeDocument/2006/relationships/image" Target="media/image4.jpeg"/><Relationship Id="rId39" Type="http://schemas.openxmlformats.org/officeDocument/2006/relationships/hyperlink" Target="https://doi.org/10.52846/aamc.v54i1.1534" TargetMode="External"/><Relationship Id="rId109" Type="http://schemas.openxmlformats.org/officeDocument/2006/relationships/hyperlink" Target="https://doi.org/10.1126/science.abq7641" TargetMode="External"/><Relationship Id="rId34" Type="http://schemas.openxmlformats.org/officeDocument/2006/relationships/hyperlink" Target="https://doi.org/10.4018/978-1-7998-4921-6.CH008" TargetMode="External"/><Relationship Id="rId50" Type="http://schemas.openxmlformats.org/officeDocument/2006/relationships/hyperlink" Target="https://doi.org/10.22205/SIJBS/2016/V2/I2/100317" TargetMode="External"/><Relationship Id="rId55" Type="http://schemas.openxmlformats.org/officeDocument/2006/relationships/hyperlink" Target="https://doi.org/10.1007/s10327-024-01204-1" TargetMode="External"/><Relationship Id="rId76" Type="http://schemas.openxmlformats.org/officeDocument/2006/relationships/hyperlink" Target="https://doi.org/10.1146/annurev-biochem-060713-035558" TargetMode="External"/><Relationship Id="rId97" Type="http://schemas.openxmlformats.org/officeDocument/2006/relationships/hyperlink" Target="https://doi.org/10.5897/AJARX11.034" TargetMode="External"/><Relationship Id="rId104" Type="http://schemas.openxmlformats.org/officeDocument/2006/relationships/hyperlink" Target="https://doi.org/10.19044/esj.2015.v11n9p%25p" TargetMode="External"/><Relationship Id="rId120" Type="http://schemas.openxmlformats.org/officeDocument/2006/relationships/hyperlink" Target="https://doi.org/10.1098/RSTB.1987.0052" TargetMode="External"/><Relationship Id="rId125" Type="http://schemas.openxmlformats.org/officeDocument/2006/relationships/hyperlink" Target="https://doi.org/10.1007/978-1-61779-194-9" TargetMode="External"/><Relationship Id="rId141" Type="http://schemas.openxmlformats.org/officeDocument/2006/relationships/hyperlink" Target="https://doi.org/10.3390/ijms24020907" TargetMode="External"/><Relationship Id="rId146" Type="http://schemas.openxmlformats.org/officeDocument/2006/relationships/hyperlink" Target="https://doi.org/10.1038/s41612-022-00265-3" TargetMode="External"/><Relationship Id="rId7" Type="http://schemas.openxmlformats.org/officeDocument/2006/relationships/endnotes" Target="endnotes.xml"/><Relationship Id="rId71" Type="http://schemas.openxmlformats.org/officeDocument/2006/relationships/hyperlink" Target="https://doi.org/10.3389/fmicb.2024.1500260" TargetMode="External"/><Relationship Id="rId92" Type="http://schemas.openxmlformats.org/officeDocument/2006/relationships/hyperlink" Target="https://doi.org/10.5812/JHEALTHSCOPE.57786" TargetMode="External"/><Relationship Id="rId2" Type="http://schemas.openxmlformats.org/officeDocument/2006/relationships/numbering" Target="numbering.xml"/><Relationship Id="rId29" Type="http://schemas.openxmlformats.org/officeDocument/2006/relationships/hyperlink" Target="https://doi.org/10.9734/ijecc/2023/v13i71906" TargetMode="External"/><Relationship Id="rId24" Type="http://schemas.openxmlformats.org/officeDocument/2006/relationships/hyperlink" Target="https://doi.org/10.1002/AQC.3091" TargetMode="External"/><Relationship Id="rId40" Type="http://schemas.openxmlformats.org/officeDocument/2006/relationships/hyperlink" Target="https://doi.org/10.3389/fmicb.2011.00205" TargetMode="External"/><Relationship Id="rId45" Type="http://schemas.openxmlformats.org/officeDocument/2006/relationships/hyperlink" Target="https://doi.org/10.56557/upjoz/2024/v45i134143" TargetMode="External"/><Relationship Id="rId66" Type="http://schemas.openxmlformats.org/officeDocument/2006/relationships/hyperlink" Target="https://doi.org/10.1016/j.tim.2024.04.006" TargetMode="External"/><Relationship Id="rId87" Type="http://schemas.openxmlformats.org/officeDocument/2006/relationships/hyperlink" Target="https://doi.org/10.1002/WAT2.1189" TargetMode="External"/><Relationship Id="rId110" Type="http://schemas.openxmlformats.org/officeDocument/2006/relationships/hyperlink" Target="https://doi.org/10.1007/978-981-10-5343-6_4" TargetMode="External"/><Relationship Id="rId115" Type="http://schemas.openxmlformats.org/officeDocument/2006/relationships/hyperlink" Target="https://doi.org/10.1039/9781782623915-00274" TargetMode="External"/><Relationship Id="rId131" Type="http://schemas.openxmlformats.org/officeDocument/2006/relationships/hyperlink" Target="https://doi.org/10.1007/s42832-020-0061-3" TargetMode="External"/><Relationship Id="rId136" Type="http://schemas.openxmlformats.org/officeDocument/2006/relationships/hyperlink" Target="https://doi.org/10.5772/intechopen.97803" TargetMode="External"/><Relationship Id="rId61" Type="http://schemas.openxmlformats.org/officeDocument/2006/relationships/hyperlink" Target="https://collections.unu.edu/eserv/UNU:2746/PolicyBriefFosuNo3_Final.pdf" TargetMode="External"/><Relationship Id="rId82" Type="http://schemas.openxmlformats.org/officeDocument/2006/relationships/hyperlink" Target="https://doi.org/10.1007/s11274-016-2074-8" TargetMode="External"/><Relationship Id="rId152"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image" Target="media/image1.png"/><Relationship Id="rId30" Type="http://schemas.openxmlformats.org/officeDocument/2006/relationships/hyperlink" Target="https://doi.org/10.1016/0022-2836(88)90205-7" TargetMode="External"/><Relationship Id="rId35" Type="http://schemas.openxmlformats.org/officeDocument/2006/relationships/hyperlink" Target="https://doi.org/10.3390/microorganisms12102087" TargetMode="External"/><Relationship Id="rId56" Type="http://schemas.openxmlformats.org/officeDocument/2006/relationships/hyperlink" Target="https://doi.org/10.1155/2022/9077383" TargetMode="External"/><Relationship Id="rId77" Type="http://schemas.openxmlformats.org/officeDocument/2006/relationships/hyperlink" Target="https://doi.org/10.5772/INTECHOPEN.71766" TargetMode="External"/><Relationship Id="rId100" Type="http://schemas.openxmlformats.org/officeDocument/2006/relationships/hyperlink" Target="https://doi.org/10.1079/cabireviews202217048" TargetMode="External"/><Relationship Id="rId105" Type="http://schemas.openxmlformats.org/officeDocument/2006/relationships/hyperlink" Target="https://doi.org/10.1007/s11104-020-04880-2" TargetMode="External"/><Relationship Id="rId126" Type="http://schemas.openxmlformats.org/officeDocument/2006/relationships/hyperlink" Target="https://doi.org/10.1007/978-1-61779-194-9_6" TargetMode="External"/><Relationship Id="rId147" Type="http://schemas.openxmlformats.org/officeDocument/2006/relationships/hyperlink" Target="https://doi.org/10.1111/gcb.14877" TargetMode="External"/><Relationship Id="rId8" Type="http://schemas.openxmlformats.org/officeDocument/2006/relationships/header" Target="header1.xml"/><Relationship Id="rId51" Type="http://schemas.openxmlformats.org/officeDocument/2006/relationships/hyperlink" Target="https://doi.org/10.21475/AJCS.19.13.08.P1739" TargetMode="External"/><Relationship Id="rId72" Type="http://schemas.openxmlformats.org/officeDocument/2006/relationships/hyperlink" Target="https://doi.org/10.1007/978-94-011-2100-2_1" TargetMode="External"/><Relationship Id="rId93" Type="http://schemas.openxmlformats.org/officeDocument/2006/relationships/hyperlink" Target="https://doi.org/10.5897/AJARX11.034" TargetMode="External"/><Relationship Id="rId98" Type="http://schemas.openxmlformats.org/officeDocument/2006/relationships/hyperlink" Target="https://doi.org/10.1128/AEM.01055-16" TargetMode="External"/><Relationship Id="rId121" Type="http://schemas.openxmlformats.org/officeDocument/2006/relationships/hyperlink" Target="https://doi.org/10.1007/978-1-61779-194-9_6" TargetMode="External"/><Relationship Id="rId142" Type="http://schemas.openxmlformats.org/officeDocument/2006/relationships/hyperlink" Target="https://doi.org/10.1007/978-3-319-04999-1_39" TargetMode="External"/><Relationship Id="rId3" Type="http://schemas.openxmlformats.org/officeDocument/2006/relationships/styles" Target="styles.xml"/><Relationship Id="rId25" Type="http://schemas.openxmlformats.org/officeDocument/2006/relationships/hyperlink" Target="https://doi.org/10.4018/978-1-6684-9838-5.ch002" TargetMode="External"/><Relationship Id="rId46" Type="http://schemas.openxmlformats.org/officeDocument/2006/relationships/hyperlink" Target="https://doi.org/10.1039/C8EN00588E" TargetMode="External"/><Relationship Id="rId67" Type="http://schemas.openxmlformats.org/officeDocument/2006/relationships/hyperlink" Target="https://doi.org/10.1016/j.molcel.2017.05.010" TargetMode="External"/><Relationship Id="rId116" Type="http://schemas.openxmlformats.org/officeDocument/2006/relationships/hyperlink" Target="https://doi.org/10.1021/ACS.CHEMREV.9B00556" TargetMode="External"/><Relationship Id="rId137" Type="http://schemas.openxmlformats.org/officeDocument/2006/relationships/hyperlink" Target="https://doi.org/10.1007/978-3-030-67746-6_2" TargetMode="External"/><Relationship Id="rId20" Type="http://schemas.openxmlformats.org/officeDocument/2006/relationships/image" Target="media/image6.jpeg"/><Relationship Id="rId41" Type="http://schemas.openxmlformats.org/officeDocument/2006/relationships/hyperlink" Target="https://doi.org/10.1042/BST20180342" TargetMode="External"/><Relationship Id="rId62" Type="http://schemas.openxmlformats.org/officeDocument/2006/relationships/hyperlink" Target="https://doi.org/10.1038/S41477-020-00830-9" TargetMode="External"/><Relationship Id="rId83" Type="http://schemas.openxmlformats.org/officeDocument/2006/relationships/hyperlink" Target="https://doi.org/10.1016/b978-0-323-95482-2.00016-x" TargetMode="External"/><Relationship Id="rId88" Type="http://schemas.openxmlformats.org/officeDocument/2006/relationships/hyperlink" Target="https://doi.org/10.1079/9781845939953.0001" TargetMode="External"/><Relationship Id="rId111" Type="http://schemas.openxmlformats.org/officeDocument/2006/relationships/hyperlink" Target="https://doi.org/10.1016/B978-0-12-824554-5.00015-X" TargetMode="External"/><Relationship Id="rId132" Type="http://schemas.openxmlformats.org/officeDocument/2006/relationships/hyperlink" Target="https://doi.org/10.1073/pnas.28.6.243" TargetMode="External"/><Relationship Id="rId153" Type="http://schemas.openxmlformats.org/officeDocument/2006/relationships/theme" Target="theme/theme1.xml"/><Relationship Id="rId15" Type="http://schemas.openxmlformats.org/officeDocument/2006/relationships/hyperlink" Target="https://scite.ai/reports/10.1016/j.jmarsys.2014.09.004" TargetMode="External"/><Relationship Id="rId36" Type="http://schemas.openxmlformats.org/officeDocument/2006/relationships/hyperlink" Target="https://doi.org/10.1016/j.jmb.2012.10.019" TargetMode="External"/><Relationship Id="rId57" Type="http://schemas.openxmlformats.org/officeDocument/2006/relationships/hyperlink" Target="https://doi.org/10.5194/egusphere-egu24-6070" TargetMode="External"/><Relationship Id="rId106" Type="http://schemas.openxmlformats.org/officeDocument/2006/relationships/hyperlink" Target="https://doi.org/10.1007/s11104-020-04880-2" TargetMode="External"/><Relationship Id="rId127" Type="http://schemas.openxmlformats.org/officeDocument/2006/relationships/hyperlink" Target="https://doi.org/10.1080/00380768.2024.2361068" TargetMode="External"/><Relationship Id="rId10" Type="http://schemas.openxmlformats.org/officeDocument/2006/relationships/footer" Target="footer1.xml"/><Relationship Id="rId31" Type="http://schemas.openxmlformats.org/officeDocument/2006/relationships/hyperlink" Target="https://doi.org/10.1016/J.SCIAF.2019.E00141" TargetMode="External"/><Relationship Id="rId52" Type="http://schemas.openxmlformats.org/officeDocument/2006/relationships/hyperlink" Target="https://doi.org/10.5772/24037" TargetMode="External"/><Relationship Id="rId73" Type="http://schemas.openxmlformats.org/officeDocument/2006/relationships/hyperlink" Target="https://doi.org/10.1146/annurev-micro-022620-014348" TargetMode="External"/><Relationship Id="rId78" Type="http://schemas.openxmlformats.org/officeDocument/2006/relationships/hyperlink" Target="https://www.inderscienceonline.com/doi/abs/10.1504/IJHST.2015.072631" TargetMode="External"/><Relationship Id="rId94" Type="http://schemas.openxmlformats.org/officeDocument/2006/relationships/hyperlink" Target="https://doi.org/10.1007/S00267-017-0852-1" TargetMode="External"/><Relationship Id="rId99" Type="http://schemas.openxmlformats.org/officeDocument/2006/relationships/hyperlink" Target="https://doi.org/10.11648/j.sf.20240503.12" TargetMode="External"/><Relationship Id="rId101" Type="http://schemas.openxmlformats.org/officeDocument/2006/relationships/hyperlink" Target="https://doi.org/10.7203/metode.15.27595" TargetMode="External"/><Relationship Id="rId122" Type="http://schemas.openxmlformats.org/officeDocument/2006/relationships/hyperlink" Target="https://doi.org/10.1039/D0CS01341B" TargetMode="External"/><Relationship Id="rId143" Type="http://schemas.openxmlformats.org/officeDocument/2006/relationships/hyperlink" Target="https://doi.org/10.1016/B978-0-444-63576-1.50112-6" TargetMode="External"/><Relationship Id="rId148" Type="http://schemas.openxmlformats.org/officeDocument/2006/relationships/hyperlink" Target="https://doi.org/10.1038/s41564-018-0129-3"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yperlink" Target="https://papers.ssrn.com/sol3/papers.cfm?abstract_id=2587250" TargetMode="External"/><Relationship Id="rId47" Type="http://schemas.openxmlformats.org/officeDocument/2006/relationships/hyperlink" Target="https://doi.org/10.1007/978-94-007-7939-6_47" TargetMode="External"/><Relationship Id="rId68" Type="http://schemas.openxmlformats.org/officeDocument/2006/relationships/hyperlink" Target="https://doi.org/10.1002/WAT2.1142" TargetMode="External"/><Relationship Id="rId89" Type="http://schemas.openxmlformats.org/officeDocument/2006/relationships/hyperlink" Target="https://doi.org/10.1109/ICDSAAI55433.2022.10028948" TargetMode="External"/><Relationship Id="rId112" Type="http://schemas.openxmlformats.org/officeDocument/2006/relationships/hyperlink" Target="https://doi.org/10.1016/j.chemosphere.2024.142478" TargetMode="External"/><Relationship Id="rId133" Type="http://schemas.openxmlformats.org/officeDocument/2006/relationships/hyperlink" Target="https://doi.org/10.13722/j.cnki.jrme.2014.08.023" TargetMode="External"/><Relationship Id="rId16" Type="http://schemas.openxmlformats.org/officeDocument/2006/relationships/image" Target="media/image2.png"/><Relationship Id="rId37" Type="http://schemas.openxmlformats.org/officeDocument/2006/relationships/hyperlink" Target="https://doi.org/10.11128/sne.33.tn.10644" TargetMode="External"/><Relationship Id="rId58" Type="http://schemas.openxmlformats.org/officeDocument/2006/relationships/hyperlink" Target="https://doi.org/10.14719/pst.2524" TargetMode="External"/><Relationship Id="rId79" Type="http://schemas.openxmlformats.org/officeDocument/2006/relationships/hyperlink" Target="https://doi.org/10.1007/S13205-020-02390-3" TargetMode="External"/><Relationship Id="rId102" Type="http://schemas.openxmlformats.org/officeDocument/2006/relationships/hyperlink" Target="https://doi.org/10.1089/OMI.2013.0177" TargetMode="External"/><Relationship Id="rId123" Type="http://schemas.openxmlformats.org/officeDocument/2006/relationships/hyperlink" Target="https://doi.org/10.1007/978-1-61779-194-9_6" TargetMode="External"/><Relationship Id="rId144" Type="http://schemas.openxmlformats.org/officeDocument/2006/relationships/hyperlink" Target="https://doi.org/10.1007/978-3-031-24181-9_2" TargetMode="External"/><Relationship Id="rId90" Type="http://schemas.openxmlformats.org/officeDocument/2006/relationships/hyperlink" Target="https://doi.org/10.1016/b978-0-12-819166-8.00137-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0F1DB-F2DC-44F3-B77E-72AE248CF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181</TotalTime>
  <Pages>31</Pages>
  <Words>15738</Words>
  <Characters>89708</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105236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16</cp:revision>
  <cp:lastPrinted>1999-07-06T11:00:00Z</cp:lastPrinted>
  <dcterms:created xsi:type="dcterms:W3CDTF">2025-08-27T13:18:00Z</dcterms:created>
  <dcterms:modified xsi:type="dcterms:W3CDTF">2025-09-18T11:43:00Z</dcterms:modified>
</cp:coreProperties>
</file>