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5ADEB" w14:textId="77777777" w:rsidR="005D3C39" w:rsidRPr="005D3C39" w:rsidRDefault="005D3C39" w:rsidP="005D3C39">
      <w:pPr>
        <w:pStyle w:val="Title"/>
        <w:jc w:val="both"/>
        <w:rPr>
          <w:rFonts w:ascii="Arial" w:hAnsi="Arial" w:cs="Arial"/>
          <w:bCs/>
          <w:i/>
          <w:iCs/>
          <w:u w:val="single"/>
        </w:rPr>
      </w:pPr>
      <w:r w:rsidRPr="005D3C39">
        <w:rPr>
          <w:rFonts w:ascii="Arial" w:hAnsi="Arial" w:cs="Arial"/>
          <w:bCs/>
          <w:i/>
          <w:iCs/>
          <w:u w:val="single"/>
        </w:rPr>
        <w:t>Original Research Article</w:t>
      </w:r>
    </w:p>
    <w:p w14:paraId="512BB23C" w14:textId="77777777" w:rsidR="00754C9A" w:rsidRDefault="00754C9A" w:rsidP="00441B6F">
      <w:pPr>
        <w:pStyle w:val="Title"/>
        <w:spacing w:after="0"/>
        <w:jc w:val="both"/>
        <w:rPr>
          <w:rFonts w:ascii="Arial" w:hAnsi="Arial" w:cs="Arial"/>
        </w:rPr>
      </w:pPr>
    </w:p>
    <w:p w14:paraId="34F4F9B8" w14:textId="77777777" w:rsidR="005D3C39" w:rsidRDefault="005D3C39" w:rsidP="00441B6F">
      <w:pPr>
        <w:pStyle w:val="Title"/>
        <w:spacing w:after="0"/>
        <w:jc w:val="both"/>
        <w:rPr>
          <w:rFonts w:ascii="Arial" w:hAnsi="Arial" w:cs="Arial"/>
        </w:rPr>
      </w:pPr>
    </w:p>
    <w:p w14:paraId="14618682" w14:textId="77777777" w:rsidR="00163BC4" w:rsidRPr="00163BC4" w:rsidRDefault="0036352D" w:rsidP="00441B6F">
      <w:pPr>
        <w:pStyle w:val="Author"/>
        <w:spacing w:line="240" w:lineRule="auto"/>
        <w:rPr>
          <w:rFonts w:ascii="Arial" w:hAnsi="Arial" w:cs="Arial"/>
          <w:bCs/>
          <w:iCs/>
          <w:kern w:val="28"/>
          <w:sz w:val="36"/>
        </w:rPr>
      </w:pPr>
      <w:bookmarkStart w:id="0" w:name="_Hlk209605881"/>
      <w:r w:rsidRPr="0036352D">
        <w:rPr>
          <w:rFonts w:ascii="Arial" w:hAnsi="Arial" w:cs="Arial"/>
          <w:bCs/>
          <w:iCs/>
          <w:kern w:val="28"/>
          <w:sz w:val="36"/>
        </w:rPr>
        <w:t xml:space="preserve">First Integrated Dataset on Chemical and Photochemical Profiles of Vietnamese Banana </w:t>
      </w:r>
      <w:proofErr w:type="spellStart"/>
      <w:r w:rsidRPr="0036352D">
        <w:rPr>
          <w:rFonts w:ascii="Arial" w:hAnsi="Arial" w:cs="Arial"/>
          <w:bCs/>
          <w:iCs/>
          <w:kern w:val="28"/>
          <w:sz w:val="36"/>
        </w:rPr>
        <w:t>Pseudostem</w:t>
      </w:r>
      <w:proofErr w:type="spellEnd"/>
      <w:r w:rsidRPr="0036352D">
        <w:rPr>
          <w:rFonts w:ascii="Arial" w:hAnsi="Arial" w:cs="Arial"/>
          <w:bCs/>
          <w:iCs/>
          <w:kern w:val="28"/>
          <w:sz w:val="36"/>
        </w:rPr>
        <w:t xml:space="preserve">, </w:t>
      </w:r>
      <w:r>
        <w:rPr>
          <w:rFonts w:ascii="Arial" w:hAnsi="Arial" w:cs="Arial"/>
          <w:bCs/>
          <w:iCs/>
          <w:kern w:val="28"/>
          <w:sz w:val="36"/>
        </w:rPr>
        <w:t xml:space="preserve">Red </w:t>
      </w:r>
      <w:r w:rsidRPr="0036352D">
        <w:rPr>
          <w:rFonts w:ascii="Arial" w:hAnsi="Arial" w:cs="Arial"/>
          <w:bCs/>
          <w:iCs/>
          <w:kern w:val="28"/>
          <w:sz w:val="36"/>
        </w:rPr>
        <w:t>Dragon Fruit Peel, and Ri6 Durian Pulp</w:t>
      </w:r>
    </w:p>
    <w:bookmarkEnd w:id="0"/>
    <w:p w14:paraId="7C71F37A" w14:textId="77777777" w:rsidR="00A258C3" w:rsidRPr="00790ADA" w:rsidRDefault="00A258C3" w:rsidP="00441B6F">
      <w:pPr>
        <w:pStyle w:val="Author"/>
        <w:spacing w:line="240" w:lineRule="auto"/>
        <w:jc w:val="both"/>
        <w:rPr>
          <w:rFonts w:ascii="Arial" w:hAnsi="Arial" w:cs="Arial"/>
          <w:sz w:val="36"/>
        </w:rPr>
      </w:pPr>
    </w:p>
    <w:p w14:paraId="7FFE6703" w14:textId="77777777" w:rsidR="005D3C39" w:rsidRDefault="005D3C39" w:rsidP="0036352D">
      <w:pPr>
        <w:pStyle w:val="Affiliation"/>
        <w:spacing w:after="0" w:line="240" w:lineRule="auto"/>
        <w:rPr>
          <w:rFonts w:ascii="Arial" w:hAnsi="Arial" w:cs="Arial"/>
          <w:i/>
        </w:rPr>
      </w:pPr>
    </w:p>
    <w:p w14:paraId="61EADC59" w14:textId="77777777" w:rsidR="00790ADA" w:rsidRDefault="00790ADA" w:rsidP="00441B6F">
      <w:pPr>
        <w:pStyle w:val="Affiliation"/>
        <w:spacing w:after="0" w:line="240" w:lineRule="auto"/>
        <w:jc w:val="both"/>
        <w:rPr>
          <w:rFonts w:ascii="Arial" w:hAnsi="Arial" w:cs="Arial"/>
        </w:rPr>
      </w:pPr>
    </w:p>
    <w:p w14:paraId="0A143ABF" w14:textId="77777777" w:rsidR="002C57D2" w:rsidRPr="00FB3A86" w:rsidRDefault="002C57D2" w:rsidP="00441B6F">
      <w:pPr>
        <w:pStyle w:val="Affiliation"/>
        <w:spacing w:after="0" w:line="240" w:lineRule="auto"/>
        <w:jc w:val="both"/>
        <w:rPr>
          <w:rFonts w:ascii="Arial" w:hAnsi="Arial" w:cs="Arial"/>
        </w:rPr>
      </w:pPr>
    </w:p>
    <w:p w14:paraId="451E60E4" w14:textId="77777777" w:rsidR="00B01FCD" w:rsidRPr="00FB3A86" w:rsidRDefault="007B7AA4" w:rsidP="00441B6F">
      <w:pPr>
        <w:pStyle w:val="Copyright"/>
        <w:spacing w:after="0" w:line="240" w:lineRule="auto"/>
        <w:jc w:val="both"/>
        <w:rPr>
          <w:rFonts w:ascii="Arial" w:hAnsi="Arial" w:cs="Arial"/>
        </w:rPr>
        <w:sectPr w:rsidR="00B01FCD" w:rsidRPr="00FB3A86" w:rsidSect="00EA17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0BD29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77EAD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877FB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967764" w14:textId="77777777" w:rsidTr="001E44FE">
        <w:tc>
          <w:tcPr>
            <w:tcW w:w="9576" w:type="dxa"/>
            <w:shd w:val="clear" w:color="auto" w:fill="F2F2F2"/>
          </w:tcPr>
          <w:p w14:paraId="3DEC412C" w14:textId="77777777"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Aims:</w:t>
            </w:r>
            <w:r w:rsidRPr="0036352D">
              <w:rPr>
                <w:rFonts w:ascii="Arial" w:eastAsia="Calibri" w:hAnsi="Arial" w:cs="Arial"/>
                <w:szCs w:val="22"/>
              </w:rPr>
              <w:t xml:space="preserve"> This study aimed to characterize the chemical, mineral, and photochemical properties of underutilized tropical fruit by-products in Vietnam—banana </w:t>
            </w:r>
            <w:proofErr w:type="spellStart"/>
            <w:r w:rsidRPr="0036352D">
              <w:rPr>
                <w:rFonts w:ascii="Arial" w:eastAsia="Calibri" w:hAnsi="Arial" w:cs="Arial"/>
                <w:szCs w:val="22"/>
              </w:rPr>
              <w:t>pseudostems</w:t>
            </w:r>
            <w:proofErr w:type="spellEnd"/>
            <w:r w:rsidRPr="0036352D">
              <w:rPr>
                <w:rFonts w:ascii="Arial" w:eastAsia="Calibri" w:hAnsi="Arial" w:cs="Arial"/>
                <w:szCs w:val="22"/>
              </w:rPr>
              <w:t>, dragon fruit peels, and durian husks—and to evaluate their potential applications in biomaterials, nutraceuticals, and circular agriculture.</w:t>
            </w:r>
          </w:p>
          <w:p w14:paraId="2B8CFB92" w14:textId="77777777"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Study design:</w:t>
            </w:r>
            <w:r w:rsidRPr="0036352D">
              <w:rPr>
                <w:rFonts w:ascii="Arial" w:eastAsia="Calibri" w:hAnsi="Arial" w:cs="Arial"/>
                <w:szCs w:val="22"/>
              </w:rPr>
              <w:t xml:space="preserve"> Experimental, cross-sectional compositional analysis with international benchmarking.</w:t>
            </w:r>
          </w:p>
          <w:p w14:paraId="5A9BC78F" w14:textId="77777777"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Place and Duration of Study:</w:t>
            </w:r>
            <w:r w:rsidRPr="0036352D">
              <w:rPr>
                <w:rFonts w:ascii="Arial" w:eastAsia="Calibri" w:hAnsi="Arial" w:cs="Arial"/>
                <w:szCs w:val="22"/>
              </w:rPr>
              <w:t xml:space="preserve"> Industrial University of Ho Chi Minh City, Vietnam. Samples were collected from U Minh </w:t>
            </w:r>
            <w:proofErr w:type="spellStart"/>
            <w:r w:rsidRPr="0036352D">
              <w:rPr>
                <w:rFonts w:ascii="Arial" w:eastAsia="Calibri" w:hAnsi="Arial" w:cs="Arial"/>
                <w:szCs w:val="22"/>
              </w:rPr>
              <w:t>Thượng</w:t>
            </w:r>
            <w:proofErr w:type="spellEnd"/>
            <w:r w:rsidRPr="0036352D">
              <w:rPr>
                <w:rFonts w:ascii="Arial" w:eastAsia="Calibri" w:hAnsi="Arial" w:cs="Arial"/>
                <w:szCs w:val="22"/>
              </w:rPr>
              <w:t xml:space="preserve"> (An </w:t>
            </w:r>
            <w:proofErr w:type="spellStart"/>
            <w:r w:rsidRPr="0036352D">
              <w:rPr>
                <w:rFonts w:ascii="Arial" w:eastAsia="Calibri" w:hAnsi="Arial" w:cs="Arial"/>
                <w:szCs w:val="22"/>
              </w:rPr>
              <w:t>Giang</w:t>
            </w:r>
            <w:proofErr w:type="spellEnd"/>
            <w:r w:rsidRPr="0036352D">
              <w:rPr>
                <w:rFonts w:ascii="Arial" w:eastAsia="Calibri" w:hAnsi="Arial" w:cs="Arial"/>
                <w:szCs w:val="22"/>
              </w:rPr>
              <w:t xml:space="preserve">), </w:t>
            </w:r>
            <w:proofErr w:type="spellStart"/>
            <w:r w:rsidRPr="0036352D">
              <w:rPr>
                <w:rFonts w:ascii="Arial" w:eastAsia="Calibri" w:hAnsi="Arial" w:cs="Arial"/>
                <w:szCs w:val="22"/>
              </w:rPr>
              <w:t>Bình</w:t>
            </w:r>
            <w:proofErr w:type="spellEnd"/>
            <w:r w:rsidRPr="0036352D">
              <w:rPr>
                <w:rFonts w:ascii="Arial" w:eastAsia="Calibri" w:hAnsi="Arial" w:cs="Arial"/>
                <w:szCs w:val="22"/>
              </w:rPr>
              <w:t xml:space="preserve"> </w:t>
            </w:r>
            <w:proofErr w:type="spellStart"/>
            <w:r w:rsidRPr="0036352D">
              <w:rPr>
                <w:rFonts w:ascii="Arial" w:eastAsia="Calibri" w:hAnsi="Arial" w:cs="Arial"/>
                <w:szCs w:val="22"/>
              </w:rPr>
              <w:t>Thuận</w:t>
            </w:r>
            <w:proofErr w:type="spellEnd"/>
            <w:r w:rsidRPr="0036352D">
              <w:rPr>
                <w:rFonts w:ascii="Arial" w:eastAsia="Calibri" w:hAnsi="Arial" w:cs="Arial"/>
                <w:szCs w:val="22"/>
              </w:rPr>
              <w:t xml:space="preserve">, and </w:t>
            </w:r>
            <w:proofErr w:type="spellStart"/>
            <w:r w:rsidRPr="0036352D">
              <w:rPr>
                <w:rFonts w:ascii="Arial" w:eastAsia="Calibri" w:hAnsi="Arial" w:cs="Arial"/>
                <w:szCs w:val="22"/>
              </w:rPr>
              <w:t>Đắk</w:t>
            </w:r>
            <w:proofErr w:type="spellEnd"/>
            <w:r w:rsidRPr="0036352D">
              <w:rPr>
                <w:rFonts w:ascii="Arial" w:eastAsia="Calibri" w:hAnsi="Arial" w:cs="Arial"/>
                <w:szCs w:val="22"/>
              </w:rPr>
              <w:t xml:space="preserve"> </w:t>
            </w:r>
            <w:proofErr w:type="spellStart"/>
            <w:r w:rsidRPr="0036352D">
              <w:rPr>
                <w:rFonts w:ascii="Arial" w:eastAsia="Calibri" w:hAnsi="Arial" w:cs="Arial"/>
                <w:szCs w:val="22"/>
              </w:rPr>
              <w:t>Lắk</w:t>
            </w:r>
            <w:proofErr w:type="spellEnd"/>
            <w:r w:rsidRPr="0036352D">
              <w:rPr>
                <w:rFonts w:ascii="Arial" w:eastAsia="Calibri" w:hAnsi="Arial" w:cs="Arial"/>
                <w:szCs w:val="22"/>
              </w:rPr>
              <w:t>.</w:t>
            </w:r>
          </w:p>
          <w:p w14:paraId="2543A9A5" w14:textId="77777777"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Methodology:</w:t>
            </w:r>
            <w:r w:rsidRPr="0036352D">
              <w:rPr>
                <w:rFonts w:ascii="Arial" w:eastAsia="Calibri" w:hAnsi="Arial" w:cs="Arial"/>
                <w:szCs w:val="22"/>
              </w:rPr>
              <w:t xml:space="preserve"> Fresh samples were freeze-dried, milled, and analyzed for proximate composition, mineral contents, polyphenols, carotenoids, and </w:t>
            </w:r>
            <w:proofErr w:type="spellStart"/>
            <w:r w:rsidRPr="0036352D">
              <w:rPr>
                <w:rFonts w:ascii="Arial" w:eastAsia="Calibri" w:hAnsi="Arial" w:cs="Arial"/>
                <w:szCs w:val="22"/>
              </w:rPr>
              <w:t>betalains</w:t>
            </w:r>
            <w:proofErr w:type="spellEnd"/>
            <w:r w:rsidRPr="0036352D">
              <w:rPr>
                <w:rFonts w:ascii="Arial" w:eastAsia="Calibri" w:hAnsi="Arial" w:cs="Arial"/>
                <w:szCs w:val="22"/>
              </w:rPr>
              <w:t>. HPLC–DAD was used for compound quantification, while UV–Vis, fluorescence, and photostability assays assessed functional properties. All analyses were triplicated (n = 3).</w:t>
            </w:r>
          </w:p>
          <w:p w14:paraId="2FCFD99D" w14:textId="77777777" w:rsidR="0036352D" w:rsidRPr="0036352D" w:rsidRDefault="0036352D" w:rsidP="0036352D">
            <w:pPr>
              <w:pStyle w:val="Body"/>
              <w:spacing w:after="0"/>
              <w:rPr>
                <w:rFonts w:ascii="Arial" w:eastAsia="Calibri" w:hAnsi="Arial" w:cs="Arial"/>
                <w:szCs w:val="22"/>
              </w:rPr>
            </w:pPr>
            <w:r w:rsidRPr="0036352D">
              <w:rPr>
                <w:rFonts w:ascii="Arial" w:eastAsia="Calibri" w:hAnsi="Arial" w:cs="Arial"/>
                <w:b/>
                <w:bCs/>
                <w:szCs w:val="22"/>
              </w:rPr>
              <w:t>Results:</w:t>
            </w:r>
            <w:r w:rsidRPr="0036352D">
              <w:rPr>
                <w:rFonts w:ascii="Arial" w:eastAsia="Calibri" w:hAnsi="Arial" w:cs="Arial"/>
                <w:szCs w:val="22"/>
              </w:rPr>
              <w:t xml:space="preserve"> Banana </w:t>
            </w:r>
            <w:proofErr w:type="spellStart"/>
            <w:r w:rsidRPr="0036352D">
              <w:rPr>
                <w:rFonts w:ascii="Arial" w:eastAsia="Calibri" w:hAnsi="Arial" w:cs="Arial"/>
                <w:szCs w:val="22"/>
              </w:rPr>
              <w:t>pseudostems</w:t>
            </w:r>
            <w:proofErr w:type="spellEnd"/>
            <w:r w:rsidRPr="0036352D">
              <w:rPr>
                <w:rFonts w:ascii="Arial" w:eastAsia="Calibri" w:hAnsi="Arial" w:cs="Arial"/>
                <w:szCs w:val="22"/>
              </w:rPr>
              <w:t xml:space="preserve"> were rich in cellulose (38.4%) and hemicellulose (22.5%), highlighting their suitability as lignocellulosic feedstocks. Dragon fruit peels contained </w:t>
            </w:r>
            <w:proofErr w:type="spellStart"/>
            <w:r w:rsidRPr="0036352D">
              <w:rPr>
                <w:rFonts w:ascii="Arial" w:eastAsia="Calibri" w:hAnsi="Arial" w:cs="Arial"/>
                <w:szCs w:val="22"/>
              </w:rPr>
              <w:t>betalains</w:t>
            </w:r>
            <w:proofErr w:type="spellEnd"/>
            <w:r w:rsidRPr="0036352D">
              <w:rPr>
                <w:rFonts w:ascii="Arial" w:eastAsia="Calibri" w:hAnsi="Arial" w:cs="Arial"/>
                <w:szCs w:val="22"/>
              </w:rPr>
              <w:t xml:space="preserve"> (2.45 ± 0.12 mg/g DW) and polyphenols (12.4 mg GAE/g DW), confirming strong antioxidant and pigment potential. Ri6 durian husks exhibited distinct carotenoid and phenolic acid profiles, with elevated calcium (355 mg/100 g DW) and phosphorus (138 mg/100 g DW). Photochemical assays revealed UV-absorbing activity of banana phenolics, </w:t>
            </w:r>
            <w:proofErr w:type="spellStart"/>
            <w:r w:rsidRPr="0036352D">
              <w:rPr>
                <w:rFonts w:ascii="Arial" w:eastAsia="Calibri" w:hAnsi="Arial" w:cs="Arial"/>
                <w:szCs w:val="22"/>
              </w:rPr>
              <w:t>photolability</w:t>
            </w:r>
            <w:proofErr w:type="spellEnd"/>
            <w:r w:rsidRPr="0036352D">
              <w:rPr>
                <w:rFonts w:ascii="Arial" w:eastAsia="Calibri" w:hAnsi="Arial" w:cs="Arial"/>
                <w:szCs w:val="22"/>
              </w:rPr>
              <w:t xml:space="preserve"> of dragon fruit </w:t>
            </w:r>
            <w:proofErr w:type="spellStart"/>
            <w:r w:rsidRPr="0036352D">
              <w:rPr>
                <w:rFonts w:ascii="Arial" w:eastAsia="Calibri" w:hAnsi="Arial" w:cs="Arial"/>
                <w:szCs w:val="22"/>
              </w:rPr>
              <w:t>betalains</w:t>
            </w:r>
            <w:proofErr w:type="spellEnd"/>
            <w:r w:rsidRPr="0036352D">
              <w:rPr>
                <w:rFonts w:ascii="Arial" w:eastAsia="Calibri" w:hAnsi="Arial" w:cs="Arial"/>
                <w:szCs w:val="22"/>
              </w:rPr>
              <w:t>, and stability of durian carotenoids. Comparative analysis with India, Thailand, and Malaysia confirmed Vietnamese samples fall within global ranges while demonstrating cultivar-specific advantages.</w:t>
            </w:r>
          </w:p>
          <w:p w14:paraId="53DC1820" w14:textId="77777777" w:rsidR="00505F06" w:rsidRPr="00BA1B01" w:rsidRDefault="0036352D" w:rsidP="00441B6F">
            <w:pPr>
              <w:pStyle w:val="Body"/>
              <w:spacing w:after="0"/>
              <w:rPr>
                <w:rFonts w:ascii="Arial" w:eastAsia="Calibri" w:hAnsi="Arial" w:cs="Arial"/>
                <w:szCs w:val="22"/>
              </w:rPr>
            </w:pPr>
            <w:r w:rsidRPr="0036352D">
              <w:rPr>
                <w:rFonts w:ascii="Arial" w:eastAsia="Calibri" w:hAnsi="Arial" w:cs="Arial"/>
                <w:b/>
                <w:bCs/>
                <w:szCs w:val="22"/>
              </w:rPr>
              <w:t>Conclusion:</w:t>
            </w:r>
            <w:r w:rsidRPr="0036352D">
              <w:rPr>
                <w:rFonts w:ascii="Arial" w:eastAsia="Calibri" w:hAnsi="Arial" w:cs="Arial"/>
                <w:szCs w:val="22"/>
              </w:rPr>
              <w:t xml:space="preserve"> Vietnamese banana </w:t>
            </w:r>
            <w:proofErr w:type="spellStart"/>
            <w:r w:rsidRPr="0036352D">
              <w:rPr>
                <w:rFonts w:ascii="Arial" w:eastAsia="Calibri" w:hAnsi="Arial" w:cs="Arial"/>
                <w:szCs w:val="22"/>
              </w:rPr>
              <w:t>pseudostems</w:t>
            </w:r>
            <w:proofErr w:type="spellEnd"/>
            <w:r w:rsidRPr="0036352D">
              <w:rPr>
                <w:rFonts w:ascii="Arial" w:eastAsia="Calibri" w:hAnsi="Arial" w:cs="Arial"/>
                <w:szCs w:val="22"/>
              </w:rPr>
              <w:t>, dragon fruit peels, and Ri6 durian husks represent promising agro-industrial by-products. Their dual valorization pathways—industrial (bioplastics, natural pigments, nutraceuticals, cosmetics) and agricultural (compost, biofertilizers)—support bioeconomy strategies and sustainable circular agriculture.</w:t>
            </w:r>
          </w:p>
        </w:tc>
      </w:tr>
    </w:tbl>
    <w:p w14:paraId="506F0328" w14:textId="77777777" w:rsidR="00636EB2" w:rsidRDefault="00636EB2" w:rsidP="00441B6F">
      <w:pPr>
        <w:pStyle w:val="Body"/>
        <w:spacing w:after="0"/>
        <w:rPr>
          <w:rFonts w:ascii="Arial" w:hAnsi="Arial" w:cs="Arial"/>
          <w:i/>
        </w:rPr>
      </w:pPr>
    </w:p>
    <w:p w14:paraId="4DD8E87A" w14:textId="77777777" w:rsidR="00A24E7E" w:rsidRDefault="00A24E7E" w:rsidP="00441B6F">
      <w:pPr>
        <w:pStyle w:val="Body"/>
        <w:spacing w:after="0"/>
        <w:rPr>
          <w:rFonts w:ascii="Arial" w:hAnsi="Arial" w:cs="Arial"/>
          <w:i/>
        </w:rPr>
      </w:pPr>
      <w:r>
        <w:rPr>
          <w:rFonts w:ascii="Arial" w:hAnsi="Arial" w:cs="Arial"/>
          <w:i/>
        </w:rPr>
        <w:t xml:space="preserve">Keywords: </w:t>
      </w:r>
      <w:r w:rsidR="0036352D" w:rsidRPr="0036352D">
        <w:rPr>
          <w:rFonts w:ascii="Arial" w:hAnsi="Arial" w:cs="Arial"/>
          <w:bCs/>
          <w:i/>
        </w:rPr>
        <w:t xml:space="preserve">Banana </w:t>
      </w:r>
      <w:proofErr w:type="spellStart"/>
      <w:r w:rsidR="0036352D" w:rsidRPr="0036352D">
        <w:rPr>
          <w:rFonts w:ascii="Arial" w:hAnsi="Arial" w:cs="Arial"/>
          <w:bCs/>
          <w:i/>
        </w:rPr>
        <w:t>pseudostem</w:t>
      </w:r>
      <w:proofErr w:type="spellEnd"/>
      <w:r w:rsidR="0036352D" w:rsidRPr="0036352D">
        <w:rPr>
          <w:rFonts w:ascii="Arial" w:hAnsi="Arial" w:cs="Arial"/>
          <w:bCs/>
          <w:i/>
        </w:rPr>
        <w:t>, Red dragon fruit, Durian husk (Ri6 cultivar), Proximate composition, Polyphenols and carotenoids, Photochemical properties, Mineral composition, Vietnam</w:t>
      </w:r>
    </w:p>
    <w:p w14:paraId="155B6D16" w14:textId="77777777" w:rsidR="00790ADA" w:rsidRDefault="00790ADA" w:rsidP="00441B6F">
      <w:pPr>
        <w:pStyle w:val="Body"/>
        <w:spacing w:after="0"/>
        <w:rPr>
          <w:rFonts w:ascii="Arial" w:hAnsi="Arial" w:cs="Arial"/>
          <w:i/>
        </w:rPr>
      </w:pPr>
    </w:p>
    <w:p w14:paraId="6F74938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64C4DCD" w14:textId="77777777" w:rsidR="00790ADA" w:rsidRPr="00FB3A86" w:rsidRDefault="00790ADA" w:rsidP="00441B6F">
      <w:pPr>
        <w:pStyle w:val="AbstHead"/>
        <w:spacing w:after="0"/>
        <w:jc w:val="both"/>
        <w:rPr>
          <w:rFonts w:ascii="Arial" w:hAnsi="Arial" w:cs="Arial"/>
        </w:rPr>
      </w:pPr>
    </w:p>
    <w:p w14:paraId="18518E50" w14:textId="77777777" w:rsidR="00DB480E" w:rsidRPr="0036352D" w:rsidRDefault="00DB480E" w:rsidP="0036352D">
      <w:pPr>
        <w:pStyle w:val="Body"/>
        <w:rPr>
          <w:rFonts w:ascii="Arial" w:hAnsi="Arial" w:cs="Arial"/>
        </w:rPr>
      </w:pPr>
      <w:r w:rsidRPr="0036352D">
        <w:rPr>
          <w:rFonts w:ascii="Arial" w:hAnsi="Arial" w:cs="Arial"/>
        </w:rPr>
        <w:t>Banana (</w:t>
      </w:r>
      <w:r w:rsidRPr="0036352D">
        <w:rPr>
          <w:rFonts w:ascii="Arial" w:hAnsi="Arial" w:cs="Arial"/>
          <w:i/>
          <w:iCs/>
        </w:rPr>
        <w:t>Musa</w:t>
      </w:r>
      <w:r w:rsidRPr="0036352D">
        <w:rPr>
          <w:rFonts w:ascii="Arial" w:hAnsi="Arial" w:cs="Arial"/>
        </w:rPr>
        <w:t xml:space="preserve"> spp.), dragon fruit (</w:t>
      </w:r>
      <w:r w:rsidRPr="0036352D">
        <w:rPr>
          <w:rFonts w:ascii="Arial" w:hAnsi="Arial" w:cs="Arial"/>
          <w:i/>
          <w:iCs/>
        </w:rPr>
        <w:t>Hylocereus</w:t>
      </w:r>
      <w:r w:rsidRPr="0036352D">
        <w:rPr>
          <w:rFonts w:ascii="Arial" w:hAnsi="Arial" w:cs="Arial"/>
        </w:rPr>
        <w:t xml:space="preserve"> spp.), and durian (</w:t>
      </w:r>
      <w:proofErr w:type="spellStart"/>
      <w:r w:rsidRPr="0036352D">
        <w:rPr>
          <w:rFonts w:ascii="Arial" w:hAnsi="Arial" w:cs="Arial"/>
          <w:i/>
          <w:iCs/>
        </w:rPr>
        <w:t>Durio</w:t>
      </w:r>
      <w:proofErr w:type="spellEnd"/>
      <w:r w:rsidRPr="0036352D">
        <w:rPr>
          <w:rFonts w:ascii="Arial" w:hAnsi="Arial" w:cs="Arial"/>
          <w:i/>
          <w:iCs/>
        </w:rPr>
        <w:t xml:space="preserve"> </w:t>
      </w:r>
      <w:proofErr w:type="spellStart"/>
      <w:r w:rsidRPr="0036352D">
        <w:rPr>
          <w:rFonts w:ascii="Arial" w:hAnsi="Arial" w:cs="Arial"/>
          <w:i/>
          <w:iCs/>
        </w:rPr>
        <w:t>zibethinus</w:t>
      </w:r>
      <w:proofErr w:type="spellEnd"/>
      <w:r w:rsidRPr="0036352D">
        <w:rPr>
          <w:rFonts w:ascii="Arial" w:hAnsi="Arial" w:cs="Arial"/>
        </w:rPr>
        <w:t xml:space="preserve">) are recognized as key tropical fruits in Vietnam, not only in terms of production volume but also for their high economic value and export potential. According to the Ministry of Agriculture and Rural Development (MARD), by 2024 the cultivated area of banana reached approximately </w:t>
      </w:r>
      <w:r w:rsidRPr="0036352D">
        <w:rPr>
          <w:rFonts w:ascii="Arial" w:hAnsi="Arial" w:cs="Arial"/>
        </w:rPr>
        <w:lastRenderedPageBreak/>
        <w:t>161,000 hectares with a yield of nearly 3.0 million tons (</w:t>
      </w:r>
      <w:proofErr w:type="spellStart"/>
      <w:r w:rsidRPr="0036352D">
        <w:rPr>
          <w:rFonts w:ascii="Arial" w:hAnsi="Arial" w:cs="Arial"/>
        </w:rPr>
        <w:t>Tridge</w:t>
      </w:r>
      <w:proofErr w:type="spellEnd"/>
      <w:r w:rsidRPr="0036352D">
        <w:rPr>
          <w:rFonts w:ascii="Arial" w:hAnsi="Arial" w:cs="Arial"/>
        </w:rPr>
        <w:t xml:space="preserve">, 2024; </w:t>
      </w:r>
      <w:proofErr w:type="spellStart"/>
      <w:r w:rsidRPr="0036352D">
        <w:rPr>
          <w:rFonts w:ascii="Arial" w:hAnsi="Arial" w:cs="Arial"/>
        </w:rPr>
        <w:t>FreshPlaza</w:t>
      </w:r>
      <w:proofErr w:type="spellEnd"/>
      <w:r w:rsidRPr="0036352D">
        <w:rPr>
          <w:rFonts w:ascii="Arial" w:hAnsi="Arial" w:cs="Arial"/>
        </w:rPr>
        <w:t>, 2023). Dragon fruit covered 55,000–60,000 hectares with a production of around 1.25 million tons, maintaining its position as the country’s leading fruit export (</w:t>
      </w:r>
      <w:proofErr w:type="spellStart"/>
      <w:r w:rsidRPr="0036352D">
        <w:rPr>
          <w:rFonts w:ascii="Arial" w:hAnsi="Arial" w:cs="Arial"/>
        </w:rPr>
        <w:t>FreshPlaza</w:t>
      </w:r>
      <w:proofErr w:type="spellEnd"/>
      <w:r w:rsidRPr="0036352D">
        <w:rPr>
          <w:rFonts w:ascii="Arial" w:hAnsi="Arial" w:cs="Arial"/>
        </w:rPr>
        <w:t>, 2023). Meanwhile, durian—dominated by the Ri6 cultivar—expanded rapidly to about 160,000 hectares, producing approximately 1.55 million tons, and has become one of Vietnam’s fastest-growing fruit exports (</w:t>
      </w:r>
      <w:proofErr w:type="spellStart"/>
      <w:r w:rsidRPr="0036352D">
        <w:rPr>
          <w:rFonts w:ascii="Arial" w:hAnsi="Arial" w:cs="Arial"/>
        </w:rPr>
        <w:t>Tridge</w:t>
      </w:r>
      <w:proofErr w:type="spellEnd"/>
      <w:r w:rsidRPr="0036352D">
        <w:rPr>
          <w:rFonts w:ascii="Arial" w:hAnsi="Arial" w:cs="Arial"/>
        </w:rPr>
        <w:t>, 2024).</w:t>
      </w:r>
    </w:p>
    <w:p w14:paraId="0BCD4891" w14:textId="77777777" w:rsidR="00DB480E" w:rsidRPr="0036352D" w:rsidRDefault="00DB480E" w:rsidP="0036352D">
      <w:pPr>
        <w:pStyle w:val="Body"/>
        <w:rPr>
          <w:rFonts w:ascii="Arial" w:hAnsi="Arial" w:cs="Arial"/>
        </w:rPr>
      </w:pPr>
      <w:r w:rsidRPr="0036352D">
        <w:rPr>
          <w:rFonts w:ascii="Arial" w:hAnsi="Arial" w:cs="Arial"/>
        </w:rPr>
        <w:t xml:space="preserve">Despite their economic significance, these crops generate large amounts of agro-industrial by-products, including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and seeds. These residues, which can account for 30–70% of fresh fruit biomass, are often discarded or used in low-value applications such as animal feed and compost. However, they are rich in valuable compounds such as lignocellulose (cellulose, hemicellulose, lignin), polyphenols, carotenoids, and </w:t>
      </w:r>
      <w:proofErr w:type="spellStart"/>
      <w:r w:rsidRPr="0036352D">
        <w:rPr>
          <w:rFonts w:ascii="Arial" w:hAnsi="Arial" w:cs="Arial"/>
        </w:rPr>
        <w:t>betalains</w:t>
      </w:r>
      <w:proofErr w:type="spellEnd"/>
      <w:r w:rsidRPr="0036352D">
        <w:rPr>
          <w:rFonts w:ascii="Arial" w:hAnsi="Arial" w:cs="Arial"/>
        </w:rPr>
        <w:t>, which have potential applications in biomaterials, functional foods, natural colorants, cosmetics, and photoprotective products. Effective valorization of these by-products is essential to improve sustainability, reduce environmental burdens, and generate new value chains for Vietnam’s fruit industry.</w:t>
      </w:r>
    </w:p>
    <w:p w14:paraId="5D658A50" w14:textId="77777777" w:rsidR="00B01FCD" w:rsidRDefault="00DB480E" w:rsidP="0036352D">
      <w:pPr>
        <w:pStyle w:val="Body"/>
        <w:spacing w:after="0"/>
        <w:rPr>
          <w:rFonts w:ascii="Arial" w:hAnsi="Arial" w:cs="Arial"/>
        </w:rPr>
      </w:pPr>
      <w:r w:rsidRPr="0036352D">
        <w:rPr>
          <w:rFonts w:ascii="Arial" w:hAnsi="Arial" w:cs="Arial"/>
        </w:rPr>
        <w:t>Previous studies from India, Thailand, and Malaysia have provided important insights into the chemical composition and bioactive pigments of banana fibers, dragon fruit peels, and durian pulp or husks (</w:t>
      </w:r>
      <w:proofErr w:type="spellStart"/>
      <w:r w:rsidRPr="0036352D">
        <w:rPr>
          <w:rFonts w:ascii="Arial" w:hAnsi="Arial" w:cs="Arial"/>
        </w:rPr>
        <w:t>Taharuddin</w:t>
      </w:r>
      <w:proofErr w:type="spellEnd"/>
      <w:r w:rsidRPr="0036352D">
        <w:rPr>
          <w:rFonts w:ascii="Arial" w:hAnsi="Arial" w:cs="Arial"/>
        </w:rPr>
        <w:t xml:space="preserve"> et al., 2023; </w:t>
      </w:r>
      <w:proofErr w:type="spellStart"/>
      <w:r w:rsidRPr="0036352D">
        <w:rPr>
          <w:rFonts w:ascii="Arial" w:hAnsi="Arial" w:cs="Arial"/>
        </w:rPr>
        <w:t>Ruangnarong</w:t>
      </w:r>
      <w:proofErr w:type="spellEnd"/>
      <w:r w:rsidRPr="0036352D">
        <w:rPr>
          <w:rFonts w:ascii="Arial" w:hAnsi="Arial" w:cs="Arial"/>
        </w:rPr>
        <w:t xml:space="preserve"> et al., 2024). However, direct experimental data from Vietnam remain scarce, particularly under the country’s specific agro-ecological conditions, cultivars, and postharvest practices. This gap limits both scientific understanding and industrial exploitation, as local genetic backgrounds and environmental conditions can significantly influence phytochemical profiles.</w:t>
      </w:r>
    </w:p>
    <w:p w14:paraId="1B77FC47" w14:textId="77777777" w:rsidR="00790ADA" w:rsidRPr="00FB3A86" w:rsidRDefault="00790ADA" w:rsidP="00441B6F">
      <w:pPr>
        <w:pStyle w:val="Body"/>
        <w:spacing w:after="0"/>
        <w:rPr>
          <w:rFonts w:ascii="Arial" w:hAnsi="Arial" w:cs="Arial"/>
        </w:rPr>
      </w:pPr>
    </w:p>
    <w:p w14:paraId="6515E1C5" w14:textId="77777777" w:rsidR="007F7B32" w:rsidRDefault="00902823" w:rsidP="00441B6F">
      <w:pPr>
        <w:pStyle w:val="AbstHead"/>
        <w:spacing w:after="0"/>
        <w:jc w:val="both"/>
        <w:rPr>
          <w:rFonts w:ascii="Arial" w:hAnsi="Arial" w:cs="Arial"/>
        </w:rPr>
      </w:pPr>
      <w:r>
        <w:rPr>
          <w:rFonts w:ascii="Arial" w:hAnsi="Arial" w:cs="Arial"/>
        </w:rPr>
        <w:t>2. material and method</w:t>
      </w:r>
      <w:r w:rsidR="0036352D">
        <w:rPr>
          <w:rFonts w:ascii="Arial" w:hAnsi="Arial" w:cs="Arial"/>
        </w:rPr>
        <w:t>s</w:t>
      </w:r>
    </w:p>
    <w:p w14:paraId="13832254" w14:textId="77777777" w:rsidR="00790ADA" w:rsidRPr="00FB3A86" w:rsidRDefault="00790ADA" w:rsidP="00441B6F">
      <w:pPr>
        <w:pStyle w:val="AbstHead"/>
        <w:spacing w:after="0"/>
        <w:jc w:val="both"/>
        <w:rPr>
          <w:rFonts w:ascii="Arial" w:hAnsi="Arial" w:cs="Arial"/>
        </w:rPr>
      </w:pPr>
    </w:p>
    <w:p w14:paraId="28C8A93D" w14:textId="77777777" w:rsidR="0036352D" w:rsidRPr="0036352D" w:rsidRDefault="0036352D" w:rsidP="0036352D">
      <w:pPr>
        <w:pStyle w:val="Body"/>
        <w:rPr>
          <w:rFonts w:ascii="Arial" w:hAnsi="Arial" w:cs="Arial"/>
          <w:b/>
          <w:bCs/>
        </w:rPr>
      </w:pPr>
      <w:r w:rsidRPr="0036352D">
        <w:rPr>
          <w:rFonts w:ascii="Arial" w:hAnsi="Arial" w:cs="Arial"/>
          <w:b/>
          <w:bCs/>
        </w:rPr>
        <w:t>2.1. Raw materials</w:t>
      </w:r>
    </w:p>
    <w:p w14:paraId="35114FE5" w14:textId="77777777" w:rsidR="00DB480E" w:rsidRPr="0036352D" w:rsidRDefault="00DB480E" w:rsidP="0036352D">
      <w:pPr>
        <w:pStyle w:val="Body"/>
        <w:rPr>
          <w:rFonts w:ascii="Arial" w:hAnsi="Arial" w:cs="Arial"/>
        </w:rPr>
      </w:pPr>
      <w:r w:rsidRPr="0036352D">
        <w:rPr>
          <w:rFonts w:ascii="Arial" w:hAnsi="Arial" w:cs="Arial"/>
        </w:rPr>
        <w:t xml:space="preserve">Banana </w:t>
      </w:r>
      <w:proofErr w:type="spellStart"/>
      <w:r w:rsidRPr="0036352D">
        <w:rPr>
          <w:rFonts w:ascii="Arial" w:hAnsi="Arial" w:cs="Arial"/>
        </w:rPr>
        <w:t>pseudostems</w:t>
      </w:r>
      <w:proofErr w:type="spellEnd"/>
      <w:r w:rsidRPr="0036352D">
        <w:rPr>
          <w:rFonts w:ascii="Arial" w:hAnsi="Arial" w:cs="Arial"/>
        </w:rPr>
        <w:t xml:space="preserve"> (</w:t>
      </w:r>
      <w:r w:rsidRPr="0036352D">
        <w:rPr>
          <w:rFonts w:ascii="Arial" w:hAnsi="Arial" w:cs="Arial"/>
          <w:i/>
          <w:iCs/>
        </w:rPr>
        <w:t>Musa spp.</w:t>
      </w:r>
      <w:r w:rsidRPr="0036352D">
        <w:rPr>
          <w:rFonts w:ascii="Arial" w:hAnsi="Arial" w:cs="Arial"/>
        </w:rPr>
        <w:t xml:space="preserve">, cultivar </w:t>
      </w:r>
      <w:proofErr w:type="spellStart"/>
      <w:r w:rsidRPr="0036352D">
        <w:rPr>
          <w:rFonts w:ascii="Arial" w:hAnsi="Arial" w:cs="Arial"/>
        </w:rPr>
        <w:t>Chuối</w:t>
      </w:r>
      <w:proofErr w:type="spellEnd"/>
      <w:r w:rsidRPr="0036352D">
        <w:rPr>
          <w:rFonts w:ascii="Arial" w:hAnsi="Arial" w:cs="Arial"/>
        </w:rPr>
        <w:t xml:space="preserve"> </w:t>
      </w:r>
      <w:proofErr w:type="spellStart"/>
      <w:r w:rsidRPr="0036352D">
        <w:rPr>
          <w:rFonts w:ascii="Arial" w:hAnsi="Arial" w:cs="Arial"/>
        </w:rPr>
        <w:t>sứ</w:t>
      </w:r>
      <w:proofErr w:type="spellEnd"/>
      <w:r w:rsidRPr="0036352D">
        <w:rPr>
          <w:rFonts w:ascii="Arial" w:hAnsi="Arial" w:cs="Arial"/>
        </w:rPr>
        <w:t xml:space="preserve">) were harvested at commercial maturity from smallholder farms in U Minh Thượng, An Giang province, Vietnam (9°37′N, 105°05′E), a representative ecological zone of the Mekong Delta characterized by alluvial–acid sulfate soils and seasonal flooding. Fresh </w:t>
      </w:r>
      <w:proofErr w:type="spellStart"/>
      <w:r w:rsidRPr="0036352D">
        <w:rPr>
          <w:rFonts w:ascii="Arial" w:hAnsi="Arial" w:cs="Arial"/>
        </w:rPr>
        <w:t>pseudostems</w:t>
      </w:r>
      <w:proofErr w:type="spellEnd"/>
      <w:r w:rsidRPr="0036352D">
        <w:rPr>
          <w:rFonts w:ascii="Arial" w:hAnsi="Arial" w:cs="Arial"/>
        </w:rPr>
        <w:t xml:space="preserve"> were collected within 24 h post-harvest, transported on ice to the laboratory (Ho Chi Minh City University of Industry and Trade), washed thoroughly with deionized water to remove adhering soil particles, and cut into cubes of approximately 1 cm³.</w:t>
      </w:r>
    </w:p>
    <w:p w14:paraId="7432C9A6" w14:textId="77777777" w:rsidR="00DB480E" w:rsidRPr="0036352D" w:rsidRDefault="00DB480E" w:rsidP="0036352D">
      <w:pPr>
        <w:pStyle w:val="Body"/>
        <w:rPr>
          <w:rFonts w:ascii="Arial" w:hAnsi="Arial" w:cs="Arial"/>
        </w:rPr>
      </w:pPr>
      <w:r w:rsidRPr="0036352D">
        <w:rPr>
          <w:rFonts w:ascii="Arial" w:hAnsi="Arial" w:cs="Arial"/>
        </w:rPr>
        <w:t>For comparative analysis, red-pulp dragon fruits (</w:t>
      </w:r>
      <w:proofErr w:type="spellStart"/>
      <w:r w:rsidRPr="0036352D">
        <w:rPr>
          <w:rFonts w:ascii="Arial" w:hAnsi="Arial" w:cs="Arial"/>
          <w:i/>
          <w:iCs/>
        </w:rPr>
        <w:t>Hylocereus</w:t>
      </w:r>
      <w:proofErr w:type="spellEnd"/>
      <w:r w:rsidRPr="0036352D">
        <w:rPr>
          <w:rFonts w:ascii="Arial" w:hAnsi="Arial" w:cs="Arial"/>
          <w:i/>
          <w:iCs/>
        </w:rPr>
        <w:t xml:space="preserve"> </w:t>
      </w:r>
      <w:proofErr w:type="spellStart"/>
      <w:r w:rsidRPr="0036352D">
        <w:rPr>
          <w:rFonts w:ascii="Arial" w:hAnsi="Arial" w:cs="Arial"/>
          <w:i/>
          <w:iCs/>
        </w:rPr>
        <w:t>polyrhizus</w:t>
      </w:r>
      <w:proofErr w:type="spellEnd"/>
      <w:r w:rsidRPr="0036352D">
        <w:rPr>
          <w:rFonts w:ascii="Arial" w:hAnsi="Arial" w:cs="Arial"/>
        </w:rPr>
        <w:t xml:space="preserve">) were obtained from </w:t>
      </w:r>
      <w:proofErr w:type="spellStart"/>
      <w:r w:rsidRPr="0036352D">
        <w:rPr>
          <w:rFonts w:ascii="Arial" w:hAnsi="Arial" w:cs="Arial"/>
        </w:rPr>
        <w:t>Bình</w:t>
      </w:r>
      <w:proofErr w:type="spellEnd"/>
      <w:r w:rsidRPr="0036352D">
        <w:rPr>
          <w:rFonts w:ascii="Arial" w:hAnsi="Arial" w:cs="Arial"/>
        </w:rPr>
        <w:t xml:space="preserve"> </w:t>
      </w:r>
      <w:proofErr w:type="spellStart"/>
      <w:r w:rsidRPr="0036352D">
        <w:rPr>
          <w:rFonts w:ascii="Arial" w:hAnsi="Arial" w:cs="Arial"/>
        </w:rPr>
        <w:t>Thuận</w:t>
      </w:r>
      <w:proofErr w:type="spellEnd"/>
      <w:r w:rsidRPr="0036352D">
        <w:rPr>
          <w:rFonts w:ascii="Arial" w:hAnsi="Arial" w:cs="Arial"/>
        </w:rPr>
        <w:t xml:space="preserve"> province (11°05′N, 108°15′E), while durian pulp (</w:t>
      </w:r>
      <w:proofErr w:type="spellStart"/>
      <w:r w:rsidRPr="0036352D">
        <w:rPr>
          <w:rFonts w:ascii="Arial" w:hAnsi="Arial" w:cs="Arial"/>
          <w:i/>
          <w:iCs/>
        </w:rPr>
        <w:t>Durio</w:t>
      </w:r>
      <w:proofErr w:type="spellEnd"/>
      <w:r w:rsidRPr="0036352D">
        <w:rPr>
          <w:rFonts w:ascii="Arial" w:hAnsi="Arial" w:cs="Arial"/>
          <w:i/>
          <w:iCs/>
        </w:rPr>
        <w:t xml:space="preserve"> </w:t>
      </w:r>
      <w:proofErr w:type="spellStart"/>
      <w:r w:rsidRPr="0036352D">
        <w:rPr>
          <w:rFonts w:ascii="Arial" w:hAnsi="Arial" w:cs="Arial"/>
          <w:i/>
          <w:iCs/>
        </w:rPr>
        <w:t>zibethinus</w:t>
      </w:r>
      <w:proofErr w:type="spellEnd"/>
      <w:r w:rsidRPr="0036352D">
        <w:rPr>
          <w:rFonts w:ascii="Arial" w:hAnsi="Arial" w:cs="Arial"/>
        </w:rPr>
        <w:t xml:space="preserve"> cv. Ri6) was collected from </w:t>
      </w:r>
      <w:proofErr w:type="spellStart"/>
      <w:r w:rsidRPr="0036352D">
        <w:rPr>
          <w:rFonts w:ascii="Arial" w:hAnsi="Arial" w:cs="Arial"/>
        </w:rPr>
        <w:t>Krông</w:t>
      </w:r>
      <w:proofErr w:type="spellEnd"/>
      <w:r w:rsidRPr="0036352D">
        <w:rPr>
          <w:rFonts w:ascii="Arial" w:hAnsi="Arial" w:cs="Arial"/>
        </w:rPr>
        <w:t xml:space="preserve"> </w:t>
      </w:r>
      <w:proofErr w:type="spellStart"/>
      <w:r w:rsidRPr="0036352D">
        <w:rPr>
          <w:rFonts w:ascii="Arial" w:hAnsi="Arial" w:cs="Arial"/>
        </w:rPr>
        <w:t>Pắc</w:t>
      </w:r>
      <w:proofErr w:type="spellEnd"/>
      <w:r w:rsidRPr="0036352D">
        <w:rPr>
          <w:rFonts w:ascii="Arial" w:hAnsi="Arial" w:cs="Arial"/>
        </w:rPr>
        <w:t xml:space="preserve">, </w:t>
      </w:r>
      <w:proofErr w:type="spellStart"/>
      <w:r w:rsidRPr="0036352D">
        <w:rPr>
          <w:rFonts w:ascii="Arial" w:hAnsi="Arial" w:cs="Arial"/>
        </w:rPr>
        <w:t>Đắk</w:t>
      </w:r>
      <w:proofErr w:type="spellEnd"/>
      <w:r w:rsidRPr="0036352D">
        <w:rPr>
          <w:rFonts w:ascii="Arial" w:hAnsi="Arial" w:cs="Arial"/>
        </w:rPr>
        <w:t xml:space="preserve"> </w:t>
      </w:r>
      <w:proofErr w:type="spellStart"/>
      <w:r w:rsidRPr="0036352D">
        <w:rPr>
          <w:rFonts w:ascii="Arial" w:hAnsi="Arial" w:cs="Arial"/>
        </w:rPr>
        <w:t>Lắk</w:t>
      </w:r>
      <w:proofErr w:type="spellEnd"/>
      <w:r w:rsidRPr="0036352D">
        <w:rPr>
          <w:rFonts w:ascii="Arial" w:hAnsi="Arial" w:cs="Arial"/>
        </w:rPr>
        <w:t xml:space="preserve"> province (12°35′N, 108°10′E). Botanical identification and voucher specimens were verified by the Department of Food Technology, Industrial University of Ho Chi Minh City.</w:t>
      </w:r>
    </w:p>
    <w:p w14:paraId="5B6ECDC1" w14:textId="77777777" w:rsidR="0036352D" w:rsidRPr="0036352D" w:rsidRDefault="0036352D" w:rsidP="0036352D">
      <w:pPr>
        <w:pStyle w:val="Body"/>
        <w:rPr>
          <w:rFonts w:ascii="Arial" w:hAnsi="Arial" w:cs="Arial"/>
          <w:b/>
          <w:bCs/>
        </w:rPr>
      </w:pPr>
      <w:r w:rsidRPr="0036352D">
        <w:rPr>
          <w:rFonts w:ascii="Arial" w:hAnsi="Arial" w:cs="Arial"/>
          <w:b/>
          <w:bCs/>
        </w:rPr>
        <w:t>2.2. Sample preparation and drying</w:t>
      </w:r>
    </w:p>
    <w:p w14:paraId="44D8470B" w14:textId="77777777" w:rsidR="00DB480E" w:rsidRPr="0036352D" w:rsidRDefault="00DB480E" w:rsidP="0036352D">
      <w:pPr>
        <w:pStyle w:val="Body"/>
        <w:rPr>
          <w:rFonts w:ascii="Arial" w:hAnsi="Arial" w:cs="Arial"/>
        </w:rPr>
      </w:pPr>
      <w:r w:rsidRPr="0036352D">
        <w:rPr>
          <w:rFonts w:ascii="Arial" w:hAnsi="Arial" w:cs="Arial"/>
        </w:rPr>
        <w:t xml:space="preserve">Banana </w:t>
      </w:r>
      <w:proofErr w:type="spellStart"/>
      <w:r w:rsidRPr="0036352D">
        <w:rPr>
          <w:rFonts w:ascii="Arial" w:hAnsi="Arial" w:cs="Arial"/>
        </w:rPr>
        <w:t>pseudostem</w:t>
      </w:r>
      <w:proofErr w:type="spellEnd"/>
      <w:r w:rsidRPr="0036352D">
        <w:rPr>
          <w:rFonts w:ascii="Arial" w:hAnsi="Arial" w:cs="Arial"/>
        </w:rPr>
        <w:t xml:space="preserve"> cubes, dragon fruit peels, and durian pulp were immediately frozen at −40 °C and subsequently freeze-dried (Christ Alpha 1–4 LD, Germany; −50 °C, 0.05 mbar, 48 h). The dried samples were ground to pass through a 0.5 mm sieve (</w:t>
      </w:r>
      <w:proofErr w:type="spellStart"/>
      <w:r w:rsidRPr="0036352D">
        <w:rPr>
          <w:rFonts w:ascii="Arial" w:hAnsi="Arial" w:cs="Arial"/>
        </w:rPr>
        <w:t>Retsch</w:t>
      </w:r>
      <w:proofErr w:type="spellEnd"/>
      <w:r w:rsidRPr="0036352D">
        <w:rPr>
          <w:rFonts w:ascii="Arial" w:hAnsi="Arial" w:cs="Arial"/>
        </w:rPr>
        <w:t xml:space="preserve"> ZM200 mill, Germany) and stored in vacuum-sealed polyethylene bags at −20 °C until analysis. Moisture content was determined gravimetrically according to AOAC method 925.10 (AOAC, 2019), and results were standardized on a dry weight (DW) basis.</w:t>
      </w:r>
    </w:p>
    <w:p w14:paraId="382A5A59" w14:textId="77777777" w:rsidR="0036352D" w:rsidRPr="0036352D" w:rsidRDefault="0036352D" w:rsidP="0036352D">
      <w:pPr>
        <w:pStyle w:val="Body"/>
        <w:rPr>
          <w:rFonts w:ascii="Arial" w:hAnsi="Arial" w:cs="Arial"/>
          <w:b/>
          <w:bCs/>
        </w:rPr>
      </w:pPr>
      <w:r w:rsidRPr="0036352D">
        <w:rPr>
          <w:rFonts w:ascii="Arial" w:hAnsi="Arial" w:cs="Arial"/>
          <w:b/>
          <w:bCs/>
        </w:rPr>
        <w:t>2.3. Chemical composition analyses</w:t>
      </w:r>
    </w:p>
    <w:p w14:paraId="4BD8CAA5" w14:textId="77777777" w:rsidR="00DB480E" w:rsidRPr="0036352D" w:rsidRDefault="00DB480E" w:rsidP="0036352D">
      <w:pPr>
        <w:pStyle w:val="Body"/>
        <w:rPr>
          <w:rFonts w:ascii="Arial" w:hAnsi="Arial" w:cs="Arial"/>
        </w:rPr>
      </w:pPr>
      <w:r w:rsidRPr="0036352D">
        <w:rPr>
          <w:rFonts w:ascii="Arial" w:hAnsi="Arial" w:cs="Arial"/>
        </w:rPr>
        <w:t>Proximate composition. Protein (Kjeldahl, AOAC 981.10), ash (AOAC 923.03), and lipid (Soxhlet, AOAC 920.39) were determined in triplicate (AOAC, 2019).</w:t>
      </w:r>
    </w:p>
    <w:p w14:paraId="56E2EC43" w14:textId="77777777" w:rsidR="00DB480E" w:rsidRPr="0036352D" w:rsidRDefault="00DB480E" w:rsidP="0036352D">
      <w:pPr>
        <w:pStyle w:val="Body"/>
        <w:rPr>
          <w:rFonts w:ascii="Arial" w:hAnsi="Arial" w:cs="Arial"/>
        </w:rPr>
      </w:pPr>
      <w:r w:rsidRPr="0036352D">
        <w:rPr>
          <w:rFonts w:ascii="Arial" w:hAnsi="Arial" w:cs="Arial"/>
        </w:rPr>
        <w:t>Lignocellulosic fractions. Cellulose, hemicellulose, and lignin were quantified using the Van Soest detergent fiber method (ADF, NDF, ADL fractions) (Van Soest, Robertson, &amp; Lewis, 1991), expressed as % DW.</w:t>
      </w:r>
    </w:p>
    <w:p w14:paraId="5A8EBBC0" w14:textId="77777777" w:rsidR="00DB480E" w:rsidRPr="0036352D" w:rsidRDefault="00DB480E" w:rsidP="0036352D">
      <w:pPr>
        <w:pStyle w:val="Body"/>
        <w:rPr>
          <w:rFonts w:ascii="Arial" w:hAnsi="Arial" w:cs="Arial"/>
        </w:rPr>
      </w:pPr>
      <w:r w:rsidRPr="0036352D">
        <w:rPr>
          <w:rFonts w:ascii="Arial" w:hAnsi="Arial" w:cs="Arial"/>
        </w:rPr>
        <w:t xml:space="preserve">Total polyphenols. Extracts were prepared with 70% ethanol (1:20 w/v, 40 °C, 2 h), centrifuged at 5000 rpm for 10 min, filtered (0.45 </w:t>
      </w:r>
      <w:proofErr w:type="spellStart"/>
      <w:r w:rsidRPr="0036352D">
        <w:rPr>
          <w:rFonts w:ascii="Arial" w:hAnsi="Arial" w:cs="Arial"/>
        </w:rPr>
        <w:t>μm</w:t>
      </w:r>
      <w:proofErr w:type="spellEnd"/>
      <w:r w:rsidRPr="0036352D">
        <w:rPr>
          <w:rFonts w:ascii="Arial" w:hAnsi="Arial" w:cs="Arial"/>
        </w:rPr>
        <w:t xml:space="preserve"> PTFE), and analyzed by the </w:t>
      </w:r>
      <w:proofErr w:type="spellStart"/>
      <w:r w:rsidRPr="0036352D">
        <w:rPr>
          <w:rFonts w:ascii="Arial" w:hAnsi="Arial" w:cs="Arial"/>
        </w:rPr>
        <w:t>Folin</w:t>
      </w:r>
      <w:proofErr w:type="spellEnd"/>
      <w:r w:rsidRPr="0036352D">
        <w:rPr>
          <w:rFonts w:ascii="Arial" w:hAnsi="Arial" w:cs="Arial"/>
        </w:rPr>
        <w:t>–</w:t>
      </w:r>
      <w:proofErr w:type="spellStart"/>
      <w:r w:rsidRPr="0036352D">
        <w:rPr>
          <w:rFonts w:ascii="Arial" w:hAnsi="Arial" w:cs="Arial"/>
        </w:rPr>
        <w:t>Ciocalteu</w:t>
      </w:r>
      <w:proofErr w:type="spellEnd"/>
      <w:r w:rsidRPr="0036352D">
        <w:rPr>
          <w:rFonts w:ascii="Arial" w:hAnsi="Arial" w:cs="Arial"/>
        </w:rPr>
        <w:t xml:space="preserve"> method (Singleton, </w:t>
      </w:r>
      <w:proofErr w:type="spellStart"/>
      <w:r w:rsidRPr="0036352D">
        <w:rPr>
          <w:rFonts w:ascii="Arial" w:hAnsi="Arial" w:cs="Arial"/>
        </w:rPr>
        <w:t>Orthofer</w:t>
      </w:r>
      <w:proofErr w:type="spellEnd"/>
      <w:r w:rsidRPr="0036352D">
        <w:rPr>
          <w:rFonts w:ascii="Arial" w:hAnsi="Arial" w:cs="Arial"/>
        </w:rPr>
        <w:t xml:space="preserve">, &amp; </w:t>
      </w:r>
      <w:proofErr w:type="spellStart"/>
      <w:r w:rsidRPr="0036352D">
        <w:rPr>
          <w:rFonts w:ascii="Arial" w:hAnsi="Arial" w:cs="Arial"/>
        </w:rPr>
        <w:t>Lamuela-Raventós</w:t>
      </w:r>
      <w:proofErr w:type="spellEnd"/>
      <w:r w:rsidRPr="0036352D">
        <w:rPr>
          <w:rFonts w:ascii="Arial" w:hAnsi="Arial" w:cs="Arial"/>
        </w:rPr>
        <w:t>, 1999). Results were expressed as mg gallic acid equivalents (GAE)/g DW.</w:t>
      </w:r>
    </w:p>
    <w:p w14:paraId="30C5A6CB" w14:textId="77777777" w:rsidR="0036352D" w:rsidRPr="0036352D" w:rsidRDefault="0036352D" w:rsidP="0036352D">
      <w:pPr>
        <w:pStyle w:val="Body"/>
        <w:rPr>
          <w:rFonts w:ascii="Arial" w:hAnsi="Arial" w:cs="Arial"/>
          <w:b/>
          <w:bCs/>
        </w:rPr>
      </w:pPr>
      <w:r w:rsidRPr="0036352D">
        <w:rPr>
          <w:rFonts w:ascii="Arial" w:hAnsi="Arial" w:cs="Arial"/>
          <w:b/>
          <w:bCs/>
        </w:rPr>
        <w:t>2.4. HPLC quantification of phenolics and pigments</w:t>
      </w:r>
    </w:p>
    <w:p w14:paraId="299C7EC2" w14:textId="77777777" w:rsidR="00DB480E" w:rsidRPr="0036352D" w:rsidRDefault="00DB480E" w:rsidP="0036352D">
      <w:pPr>
        <w:pStyle w:val="Body"/>
        <w:rPr>
          <w:rFonts w:ascii="Arial" w:hAnsi="Arial" w:cs="Arial"/>
        </w:rPr>
      </w:pPr>
      <w:r w:rsidRPr="0036352D">
        <w:rPr>
          <w:rFonts w:ascii="Arial" w:hAnsi="Arial" w:cs="Arial"/>
        </w:rPr>
        <w:t xml:space="preserve">Polyphenolic compounds (gallic acid, ferulic acid, caffeic acid, p-coumaric acid, quercetin, rutin) were quantified by HPLC (Agilent 1260 Infinity, USA) with a </w:t>
      </w:r>
      <w:proofErr w:type="spellStart"/>
      <w:r w:rsidRPr="0036352D">
        <w:rPr>
          <w:rFonts w:ascii="Arial" w:hAnsi="Arial" w:cs="Arial"/>
        </w:rPr>
        <w:t>Zorbax</w:t>
      </w:r>
      <w:proofErr w:type="spellEnd"/>
      <w:r w:rsidRPr="0036352D">
        <w:rPr>
          <w:rFonts w:ascii="Arial" w:hAnsi="Arial" w:cs="Arial"/>
        </w:rPr>
        <w:t xml:space="preserve"> Eclipse XDB-C18 column (250 × 4.6 mm, 5 </w:t>
      </w:r>
      <w:proofErr w:type="spellStart"/>
      <w:r w:rsidRPr="0036352D">
        <w:rPr>
          <w:rFonts w:ascii="Arial" w:hAnsi="Arial" w:cs="Arial"/>
        </w:rPr>
        <w:t>μm</w:t>
      </w:r>
      <w:proofErr w:type="spellEnd"/>
      <w:r w:rsidRPr="0036352D">
        <w:rPr>
          <w:rFonts w:ascii="Arial" w:hAnsi="Arial" w:cs="Arial"/>
        </w:rPr>
        <w:t xml:space="preserve">). Gradient elution employed solvent A (0.1% formic acid in water) and solvent B (acetonitrile), from 5% to 60% B in 40 min, at 1.0 mL/min, with </w:t>
      </w:r>
      <w:r w:rsidRPr="0036352D">
        <w:rPr>
          <w:rFonts w:ascii="Arial" w:hAnsi="Arial" w:cs="Arial"/>
        </w:rPr>
        <w:lastRenderedPageBreak/>
        <w:t>detection at 280 nm. Calibration curves were established with authentic standards (Sigma–Aldrich), all R² &gt; 0.995. Identification and quantification procedures followed Kim, Jeong, and Lee (2003).</w:t>
      </w:r>
    </w:p>
    <w:p w14:paraId="73B7971D" w14:textId="77777777" w:rsidR="00DB480E" w:rsidRPr="0036352D" w:rsidRDefault="00DB480E" w:rsidP="0036352D">
      <w:pPr>
        <w:pStyle w:val="Body"/>
        <w:rPr>
          <w:rFonts w:ascii="Arial" w:hAnsi="Arial" w:cs="Arial"/>
        </w:rPr>
      </w:pPr>
      <w:proofErr w:type="spellStart"/>
      <w:r w:rsidRPr="0036352D">
        <w:rPr>
          <w:rFonts w:ascii="Arial" w:hAnsi="Arial" w:cs="Arial"/>
        </w:rPr>
        <w:t>Betalains</w:t>
      </w:r>
      <w:proofErr w:type="spellEnd"/>
      <w:r w:rsidRPr="0036352D">
        <w:rPr>
          <w:rFonts w:ascii="Arial" w:hAnsi="Arial" w:cs="Arial"/>
        </w:rPr>
        <w:t xml:space="preserve">. </w:t>
      </w:r>
      <w:proofErr w:type="spellStart"/>
      <w:r w:rsidRPr="0036352D">
        <w:rPr>
          <w:rFonts w:ascii="Arial" w:hAnsi="Arial" w:cs="Arial"/>
        </w:rPr>
        <w:t>Betacyanins</w:t>
      </w:r>
      <w:proofErr w:type="spellEnd"/>
      <w:r w:rsidRPr="0036352D">
        <w:rPr>
          <w:rFonts w:ascii="Arial" w:hAnsi="Arial" w:cs="Arial"/>
        </w:rPr>
        <w:t xml:space="preserve"> (</w:t>
      </w:r>
      <w:proofErr w:type="spellStart"/>
      <w:r w:rsidRPr="0036352D">
        <w:rPr>
          <w:rFonts w:ascii="Arial" w:hAnsi="Arial" w:cs="Arial"/>
        </w:rPr>
        <w:t>λ_max</w:t>
      </w:r>
      <w:proofErr w:type="spellEnd"/>
      <w:r w:rsidRPr="0036352D">
        <w:rPr>
          <w:rFonts w:ascii="Arial" w:hAnsi="Arial" w:cs="Arial"/>
        </w:rPr>
        <w:t xml:space="preserve"> 535 nm) were analyzed by HPLC–DAD, using betanin (Sigma–Aldrich) as the reference standard, according to </w:t>
      </w:r>
      <w:proofErr w:type="spellStart"/>
      <w:r w:rsidRPr="0036352D">
        <w:rPr>
          <w:rFonts w:ascii="Arial" w:hAnsi="Arial" w:cs="Arial"/>
        </w:rPr>
        <w:t>Stintzing</w:t>
      </w:r>
      <w:proofErr w:type="spellEnd"/>
      <w:r w:rsidRPr="0036352D">
        <w:rPr>
          <w:rFonts w:ascii="Arial" w:hAnsi="Arial" w:cs="Arial"/>
        </w:rPr>
        <w:t xml:space="preserve"> and Carle (2004).</w:t>
      </w:r>
    </w:p>
    <w:p w14:paraId="652D2E0A" w14:textId="77777777" w:rsidR="00DB480E" w:rsidRPr="0036352D" w:rsidRDefault="00DB480E" w:rsidP="0036352D">
      <w:pPr>
        <w:pStyle w:val="Body"/>
        <w:rPr>
          <w:rFonts w:ascii="Arial" w:hAnsi="Arial" w:cs="Arial"/>
        </w:rPr>
      </w:pPr>
      <w:r w:rsidRPr="0036352D">
        <w:rPr>
          <w:rFonts w:ascii="Arial" w:hAnsi="Arial" w:cs="Arial"/>
        </w:rPr>
        <w:t>Carotenoids. β-Carotene and lutein (</w:t>
      </w:r>
      <w:proofErr w:type="spellStart"/>
      <w:r w:rsidRPr="0036352D">
        <w:rPr>
          <w:rFonts w:ascii="Arial" w:hAnsi="Arial" w:cs="Arial"/>
        </w:rPr>
        <w:t>λ_max</w:t>
      </w:r>
      <w:proofErr w:type="spellEnd"/>
      <w:r w:rsidRPr="0036352D">
        <w:rPr>
          <w:rFonts w:ascii="Arial" w:hAnsi="Arial" w:cs="Arial"/>
        </w:rPr>
        <w:t xml:space="preserve"> 450 nm) were quantified by HPLC–DAD, based on Rodriguez-Amaya and Kimura (2004), using authentic standards (Sigma–Aldrich).</w:t>
      </w:r>
    </w:p>
    <w:p w14:paraId="114C353D" w14:textId="77777777" w:rsidR="0036352D" w:rsidRPr="0036352D" w:rsidRDefault="0036352D" w:rsidP="0036352D">
      <w:pPr>
        <w:pStyle w:val="Body"/>
        <w:rPr>
          <w:rFonts w:ascii="Arial" w:hAnsi="Arial" w:cs="Arial"/>
          <w:b/>
          <w:bCs/>
        </w:rPr>
      </w:pPr>
      <w:r w:rsidRPr="0036352D">
        <w:rPr>
          <w:rFonts w:ascii="Arial" w:hAnsi="Arial" w:cs="Arial"/>
          <w:b/>
          <w:bCs/>
        </w:rPr>
        <w:t>2.5. Photochemical characterization</w:t>
      </w:r>
    </w:p>
    <w:p w14:paraId="33A32573" w14:textId="77777777" w:rsidR="0036352D" w:rsidRPr="0036352D" w:rsidRDefault="0036352D" w:rsidP="0036352D">
      <w:pPr>
        <w:pStyle w:val="Body"/>
        <w:rPr>
          <w:rFonts w:ascii="Arial" w:hAnsi="Arial" w:cs="Arial"/>
          <w:bCs/>
        </w:rPr>
      </w:pPr>
      <w:r w:rsidRPr="0036352D">
        <w:rPr>
          <w:rFonts w:ascii="Arial" w:hAnsi="Arial" w:cs="Arial"/>
          <w:bCs/>
        </w:rPr>
        <w:t>UV–Vis spectra (200–700 nm) were recorded on a Shimadzu UV-2600 spectrophotometer. Integrated absorbance (IAUC</w:t>
      </w:r>
      <w:proofErr w:type="gramStart"/>
      <w:r w:rsidRPr="0036352D">
        <w:rPr>
          <w:rFonts w:ascii="Arial" w:hAnsi="Arial" w:cs="Arial"/>
          <w:bCs/>
        </w:rPr>
        <w:t>_{</w:t>
      </w:r>
      <w:proofErr w:type="gramEnd"/>
      <w:r w:rsidRPr="0036352D">
        <w:rPr>
          <w:rFonts w:ascii="Arial" w:hAnsi="Arial" w:cs="Arial"/>
          <w:bCs/>
        </w:rPr>
        <w:t>250–400}) and equivalent SPF values were calculated following the Mansur method (Mansur, Breder, Mansur, &amp; Azulay, 1986).</w:t>
      </w:r>
    </w:p>
    <w:p w14:paraId="14E080C6" w14:textId="77777777" w:rsidR="00DB480E" w:rsidRPr="0036352D" w:rsidRDefault="00DB480E" w:rsidP="0036352D">
      <w:pPr>
        <w:pStyle w:val="Body"/>
        <w:rPr>
          <w:rFonts w:ascii="Arial" w:hAnsi="Arial" w:cs="Arial"/>
        </w:rPr>
      </w:pPr>
      <w:r w:rsidRPr="0036352D">
        <w:rPr>
          <w:rFonts w:ascii="Arial" w:hAnsi="Arial" w:cs="Arial"/>
        </w:rPr>
        <w:t xml:space="preserve">Photostability tests were conducted by exposing extracts (1 mg/mL) to UVA (365 nm, 2 </w:t>
      </w:r>
      <w:proofErr w:type="spellStart"/>
      <w:r w:rsidRPr="0036352D">
        <w:rPr>
          <w:rFonts w:ascii="Arial" w:hAnsi="Arial" w:cs="Arial"/>
        </w:rPr>
        <w:t>mW</w:t>
      </w:r>
      <w:proofErr w:type="spellEnd"/>
      <w:r w:rsidRPr="0036352D">
        <w:rPr>
          <w:rFonts w:ascii="Arial" w:hAnsi="Arial" w:cs="Arial"/>
        </w:rPr>
        <w:t xml:space="preserve">/cm², Osram </w:t>
      </w:r>
      <w:proofErr w:type="spellStart"/>
      <w:r w:rsidRPr="0036352D">
        <w:rPr>
          <w:rFonts w:ascii="Arial" w:hAnsi="Arial" w:cs="Arial"/>
        </w:rPr>
        <w:t>UltraVitalux</w:t>
      </w:r>
      <w:proofErr w:type="spellEnd"/>
      <w:r w:rsidRPr="0036352D">
        <w:rPr>
          <w:rFonts w:ascii="Arial" w:hAnsi="Arial" w:cs="Arial"/>
        </w:rPr>
        <w:t xml:space="preserve"> lamp) for 3 h, with absorbance at </w:t>
      </w:r>
      <w:proofErr w:type="spellStart"/>
      <w:r w:rsidRPr="0036352D">
        <w:rPr>
          <w:rFonts w:ascii="Arial" w:hAnsi="Arial" w:cs="Arial"/>
        </w:rPr>
        <w:t>λ_max</w:t>
      </w:r>
      <w:proofErr w:type="spellEnd"/>
      <w:r w:rsidRPr="0036352D">
        <w:rPr>
          <w:rFonts w:ascii="Arial" w:hAnsi="Arial" w:cs="Arial"/>
        </w:rPr>
        <w:t xml:space="preserve"> monitored every 30 min. Degradation kinetics were modeled using first-order exponential decay, as described by </w:t>
      </w:r>
      <w:proofErr w:type="spellStart"/>
      <w:r w:rsidRPr="0036352D">
        <w:rPr>
          <w:rFonts w:ascii="Arial" w:hAnsi="Arial" w:cs="Arial"/>
        </w:rPr>
        <w:t>Lichtenthaler</w:t>
      </w:r>
      <w:proofErr w:type="spellEnd"/>
      <w:r w:rsidRPr="0036352D">
        <w:rPr>
          <w:rFonts w:ascii="Arial" w:hAnsi="Arial" w:cs="Arial"/>
        </w:rPr>
        <w:t xml:space="preserve"> and </w:t>
      </w:r>
      <w:proofErr w:type="spellStart"/>
      <w:r w:rsidRPr="0036352D">
        <w:rPr>
          <w:rFonts w:ascii="Arial" w:hAnsi="Arial" w:cs="Arial"/>
        </w:rPr>
        <w:t>Buschmann</w:t>
      </w:r>
      <w:proofErr w:type="spellEnd"/>
      <w:r w:rsidRPr="0036352D">
        <w:rPr>
          <w:rFonts w:ascii="Arial" w:hAnsi="Arial" w:cs="Arial"/>
        </w:rPr>
        <w:t xml:space="preserve"> (2001).</w:t>
      </w:r>
    </w:p>
    <w:p w14:paraId="03B8F729" w14:textId="77777777" w:rsidR="00DB480E" w:rsidRPr="0036352D" w:rsidRDefault="00DB480E" w:rsidP="0036352D">
      <w:pPr>
        <w:pStyle w:val="Body"/>
        <w:rPr>
          <w:rFonts w:ascii="Arial" w:hAnsi="Arial" w:cs="Arial"/>
        </w:rPr>
      </w:pPr>
      <w:r w:rsidRPr="0036352D">
        <w:rPr>
          <w:rFonts w:ascii="Arial" w:hAnsi="Arial" w:cs="Arial"/>
        </w:rPr>
        <w:t xml:space="preserve">Fluorescence spectra were acquired using a Horiba Fluoromax-4 spectrofluorometer. Excitation wavelengths were set according to each extract’s maximum absorbance (banana </w:t>
      </w:r>
      <w:proofErr w:type="spellStart"/>
      <w:r w:rsidRPr="0036352D">
        <w:rPr>
          <w:rFonts w:ascii="Arial" w:hAnsi="Arial" w:cs="Arial"/>
        </w:rPr>
        <w:t>pseudostem</w:t>
      </w:r>
      <w:proofErr w:type="spellEnd"/>
      <w:r w:rsidRPr="0036352D">
        <w:rPr>
          <w:rFonts w:ascii="Arial" w:hAnsi="Arial" w:cs="Arial"/>
        </w:rPr>
        <w:t>: 320 nm, dragon fruit peel: 540 nm, durian pulp: 450 nm). Quantum yields (Φ_F) were determined relative to quinine sulfate in 0.1 M H</w:t>
      </w:r>
      <w:r w:rsidRPr="0036352D">
        <w:rPr>
          <w:rFonts w:ascii="Cambria Math" w:hAnsi="Cambria Math" w:cs="Cambria Math"/>
        </w:rPr>
        <w:t>₂</w:t>
      </w:r>
      <w:r w:rsidRPr="0036352D">
        <w:rPr>
          <w:rFonts w:ascii="Arial" w:hAnsi="Arial" w:cs="Arial"/>
        </w:rPr>
        <w:t>SO</w:t>
      </w:r>
      <w:r w:rsidRPr="0036352D">
        <w:rPr>
          <w:rFonts w:ascii="Cambria Math" w:hAnsi="Cambria Math" w:cs="Cambria Math"/>
        </w:rPr>
        <w:t>₄</w:t>
      </w:r>
      <w:r w:rsidRPr="0036352D">
        <w:rPr>
          <w:rFonts w:ascii="Arial" w:hAnsi="Arial" w:cs="Arial"/>
        </w:rPr>
        <w:t xml:space="preserve"> (Φ_F = 0.546) (</w:t>
      </w:r>
      <w:proofErr w:type="spellStart"/>
      <w:r w:rsidRPr="0036352D">
        <w:rPr>
          <w:rFonts w:ascii="Arial" w:hAnsi="Arial" w:cs="Arial"/>
        </w:rPr>
        <w:t>Smeriglio</w:t>
      </w:r>
      <w:proofErr w:type="spellEnd"/>
      <w:r w:rsidRPr="0036352D">
        <w:rPr>
          <w:rFonts w:ascii="Arial" w:hAnsi="Arial" w:cs="Arial"/>
        </w:rPr>
        <w:t xml:space="preserve">, </w:t>
      </w:r>
      <w:proofErr w:type="spellStart"/>
      <w:r w:rsidRPr="0036352D">
        <w:rPr>
          <w:rFonts w:ascii="Arial" w:hAnsi="Arial" w:cs="Arial"/>
        </w:rPr>
        <w:t>Barreca</w:t>
      </w:r>
      <w:proofErr w:type="spellEnd"/>
      <w:r w:rsidRPr="0036352D">
        <w:rPr>
          <w:rFonts w:ascii="Arial" w:hAnsi="Arial" w:cs="Arial"/>
        </w:rPr>
        <w:t xml:space="preserve">, </w:t>
      </w:r>
      <w:proofErr w:type="spellStart"/>
      <w:r w:rsidRPr="0036352D">
        <w:rPr>
          <w:rFonts w:ascii="Arial" w:hAnsi="Arial" w:cs="Arial"/>
        </w:rPr>
        <w:t>Bellocco</w:t>
      </w:r>
      <w:proofErr w:type="spellEnd"/>
      <w:r w:rsidRPr="0036352D">
        <w:rPr>
          <w:rFonts w:ascii="Arial" w:hAnsi="Arial" w:cs="Arial"/>
        </w:rPr>
        <w:t xml:space="preserve">, &amp; </w:t>
      </w:r>
      <w:proofErr w:type="spellStart"/>
      <w:r w:rsidRPr="0036352D">
        <w:rPr>
          <w:rFonts w:ascii="Arial" w:hAnsi="Arial" w:cs="Arial"/>
        </w:rPr>
        <w:t>Trombetta</w:t>
      </w:r>
      <w:proofErr w:type="spellEnd"/>
      <w:r w:rsidRPr="0036352D">
        <w:rPr>
          <w:rFonts w:ascii="Arial" w:hAnsi="Arial" w:cs="Arial"/>
        </w:rPr>
        <w:t>, 2016).</w:t>
      </w:r>
    </w:p>
    <w:p w14:paraId="69EEA174" w14:textId="77777777" w:rsidR="0036352D" w:rsidRPr="0036352D" w:rsidRDefault="0036352D" w:rsidP="0036352D">
      <w:pPr>
        <w:pStyle w:val="Body"/>
        <w:rPr>
          <w:rFonts w:ascii="Arial" w:hAnsi="Arial" w:cs="Arial"/>
          <w:b/>
          <w:bCs/>
        </w:rPr>
      </w:pPr>
      <w:r w:rsidRPr="0036352D">
        <w:rPr>
          <w:rFonts w:ascii="Arial" w:hAnsi="Arial" w:cs="Arial"/>
          <w:b/>
          <w:bCs/>
        </w:rPr>
        <w:t>2.6. Statistical analysis</w:t>
      </w:r>
    </w:p>
    <w:p w14:paraId="02B4DCE0" w14:textId="77777777" w:rsidR="00AA74E0" w:rsidRDefault="00DB480E" w:rsidP="0036352D">
      <w:pPr>
        <w:pStyle w:val="Body"/>
        <w:spacing w:after="0"/>
        <w:rPr>
          <w:rFonts w:ascii="Arial" w:hAnsi="Arial" w:cs="Arial"/>
        </w:rPr>
      </w:pPr>
      <w:r w:rsidRPr="0036352D">
        <w:rPr>
          <w:rFonts w:ascii="Arial" w:hAnsi="Arial" w:cs="Arial"/>
        </w:rPr>
        <w:t>All measurements were performed in triplicate (n = 3). Results are presented as mean ± standard deviation (SD). One-way analysis of variance (ANOVA) was carried out using SPSS version 26.0 (IBM Corp., Armonk, NY, USA). Mean separations were determined by Tukey’s Honestly Significant Difference (HSD) post hoc test at a significance level of p &lt; 0.05 (Zar, 2010). Statistically significant differences among means are denoted by different superscript letters in the tables.</w:t>
      </w:r>
      <w:r w:rsidR="00AA74E0" w:rsidRPr="00FB3A86">
        <w:rPr>
          <w:rFonts w:ascii="Arial" w:hAnsi="Arial" w:cs="Arial"/>
        </w:rPr>
        <w:t xml:space="preserve"> </w:t>
      </w:r>
    </w:p>
    <w:p w14:paraId="6F8A28E8" w14:textId="77777777" w:rsidR="00790ADA" w:rsidRPr="00FB3A86" w:rsidRDefault="00790ADA" w:rsidP="00441B6F">
      <w:pPr>
        <w:pStyle w:val="Body"/>
        <w:spacing w:after="0"/>
        <w:rPr>
          <w:rFonts w:ascii="Arial" w:hAnsi="Arial" w:cs="Arial"/>
        </w:rPr>
      </w:pPr>
    </w:p>
    <w:p w14:paraId="22503A9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E418B4" w14:textId="77777777" w:rsidR="00790ADA" w:rsidRPr="00FB3A86" w:rsidRDefault="00790ADA" w:rsidP="00441B6F">
      <w:pPr>
        <w:pStyle w:val="Head1"/>
        <w:spacing w:after="0"/>
        <w:jc w:val="both"/>
        <w:rPr>
          <w:rFonts w:ascii="Arial" w:hAnsi="Arial" w:cs="Arial"/>
        </w:rPr>
      </w:pPr>
    </w:p>
    <w:p w14:paraId="1B94A289" w14:textId="77777777" w:rsidR="0036352D" w:rsidRPr="0036352D" w:rsidRDefault="0036352D" w:rsidP="0036352D">
      <w:pPr>
        <w:pStyle w:val="Body"/>
        <w:rPr>
          <w:rFonts w:ascii="Arial" w:hAnsi="Arial" w:cs="Arial"/>
          <w:b/>
          <w:bCs/>
        </w:rPr>
      </w:pPr>
      <w:r w:rsidRPr="0036352D">
        <w:rPr>
          <w:rFonts w:ascii="Arial" w:hAnsi="Arial" w:cs="Arial"/>
          <w:b/>
          <w:bCs/>
        </w:rPr>
        <w:t xml:space="preserve">3.1. Proximate composition of banana </w:t>
      </w:r>
      <w:proofErr w:type="spellStart"/>
      <w:r w:rsidRPr="0036352D">
        <w:rPr>
          <w:rFonts w:ascii="Arial" w:hAnsi="Arial" w:cs="Arial"/>
          <w:b/>
          <w:bCs/>
        </w:rPr>
        <w:t>pseudostems</w:t>
      </w:r>
      <w:proofErr w:type="spellEnd"/>
      <w:r w:rsidRPr="0036352D">
        <w:rPr>
          <w:rFonts w:ascii="Arial" w:hAnsi="Arial" w:cs="Arial"/>
          <w:b/>
          <w:bCs/>
        </w:rPr>
        <w:t>, dragon fruit peels, and durian husks</w:t>
      </w:r>
    </w:p>
    <w:p w14:paraId="302C2009" w14:textId="77777777" w:rsidR="0036352D" w:rsidRPr="0036352D" w:rsidRDefault="0036352D" w:rsidP="0036352D">
      <w:pPr>
        <w:pStyle w:val="Body"/>
        <w:rPr>
          <w:rFonts w:ascii="Arial" w:hAnsi="Arial" w:cs="Arial"/>
        </w:rPr>
      </w:pPr>
      <w:r w:rsidRPr="0036352D">
        <w:rPr>
          <w:rFonts w:ascii="Arial" w:hAnsi="Arial" w:cs="Arial"/>
        </w:rPr>
        <w:t xml:space="preserve">The proximate composition of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collected from Southern Vietnam is presented in </w:t>
      </w:r>
      <w:r w:rsidRPr="0036352D">
        <w:rPr>
          <w:rFonts w:ascii="Arial" w:hAnsi="Arial" w:cs="Arial"/>
          <w:bCs/>
        </w:rPr>
        <w:t>Table 1</w:t>
      </w:r>
      <w:r w:rsidRPr="0036352D">
        <w:rPr>
          <w:rFonts w:ascii="Arial" w:hAnsi="Arial" w:cs="Arial"/>
        </w:rPr>
        <w:t>. Significant differences (</w:t>
      </w:r>
      <w:r w:rsidRPr="0036352D">
        <w:rPr>
          <w:rFonts w:ascii="Arial" w:hAnsi="Arial" w:cs="Arial"/>
          <w:bCs/>
        </w:rPr>
        <w:t>p &lt; 0.05</w:t>
      </w:r>
      <w:r w:rsidRPr="0036352D">
        <w:rPr>
          <w:rFonts w:ascii="Arial" w:hAnsi="Arial" w:cs="Arial"/>
        </w:rPr>
        <w:t>) were observed among the three plant materials.</w:t>
      </w:r>
    </w:p>
    <w:p w14:paraId="27D5D0F0" w14:textId="77777777" w:rsidR="0036352D" w:rsidRPr="0036352D" w:rsidRDefault="0036352D" w:rsidP="0036352D">
      <w:pPr>
        <w:pStyle w:val="Body"/>
        <w:rPr>
          <w:rFonts w:ascii="Arial" w:hAnsi="Arial" w:cs="Arial"/>
        </w:rPr>
      </w:pPr>
      <w:r w:rsidRPr="0036352D">
        <w:rPr>
          <w:rFonts w:ascii="Arial" w:hAnsi="Arial" w:cs="Arial"/>
          <w:b/>
          <w:bCs/>
        </w:rPr>
        <w:t>Table 1. Proximate composition of selected plant by-products in Vietnam (mean ± SD,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2539"/>
        <w:gridCol w:w="2605"/>
        <w:gridCol w:w="2125"/>
      </w:tblGrid>
      <w:tr w:rsidR="00DB480E" w:rsidRPr="0036352D" w14:paraId="2ACB61A4" w14:textId="77777777" w:rsidTr="00DB480E">
        <w:tc>
          <w:tcPr>
            <w:tcW w:w="0" w:type="auto"/>
            <w:tcBorders>
              <w:top w:val="single" w:sz="4" w:space="0" w:color="000000"/>
              <w:bottom w:val="single" w:sz="4" w:space="0" w:color="000000"/>
            </w:tcBorders>
            <w:hideMark/>
          </w:tcPr>
          <w:p w14:paraId="50BD4E98"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Component</w:t>
            </w:r>
          </w:p>
        </w:tc>
        <w:tc>
          <w:tcPr>
            <w:tcW w:w="0" w:type="auto"/>
            <w:tcBorders>
              <w:top w:val="single" w:sz="4" w:space="0" w:color="000000"/>
              <w:bottom w:val="single" w:sz="4" w:space="0" w:color="000000"/>
            </w:tcBorders>
            <w:hideMark/>
          </w:tcPr>
          <w:p w14:paraId="097CFB08"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r w:rsidRPr="0036352D">
              <w:rPr>
                <w:rFonts w:ascii="Arial" w:hAnsi="Arial" w:cs="Arial"/>
                <w:b/>
                <w:bCs/>
                <w:sz w:val="20"/>
              </w:rPr>
              <w:t xml:space="preserve"> (%)</w:t>
            </w:r>
          </w:p>
        </w:tc>
        <w:tc>
          <w:tcPr>
            <w:tcW w:w="2605" w:type="dxa"/>
            <w:tcBorders>
              <w:top w:val="single" w:sz="4" w:space="0" w:color="000000"/>
              <w:bottom w:val="single" w:sz="4" w:space="0" w:color="000000"/>
            </w:tcBorders>
            <w:hideMark/>
          </w:tcPr>
          <w:p w14:paraId="1AB72545"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Red dragon fruit peel (red) (%)</w:t>
            </w:r>
          </w:p>
        </w:tc>
        <w:tc>
          <w:tcPr>
            <w:tcW w:w="2125" w:type="dxa"/>
            <w:tcBorders>
              <w:top w:val="single" w:sz="4" w:space="0" w:color="000000"/>
              <w:bottom w:val="single" w:sz="4" w:space="0" w:color="000000"/>
            </w:tcBorders>
            <w:hideMark/>
          </w:tcPr>
          <w:p w14:paraId="7F1D86DA"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Durian husk (%)</w:t>
            </w:r>
          </w:p>
        </w:tc>
      </w:tr>
      <w:tr w:rsidR="00DB480E" w:rsidRPr="0036352D" w14:paraId="1D2A3784" w14:textId="77777777" w:rsidTr="00DB480E">
        <w:tc>
          <w:tcPr>
            <w:tcW w:w="0" w:type="auto"/>
            <w:tcBorders>
              <w:top w:val="single" w:sz="4" w:space="0" w:color="000000"/>
            </w:tcBorders>
            <w:hideMark/>
          </w:tcPr>
          <w:p w14:paraId="576DA193" w14:textId="77777777" w:rsidR="0036352D" w:rsidRPr="0036352D" w:rsidRDefault="0036352D" w:rsidP="00DB480E">
            <w:pPr>
              <w:pStyle w:val="Body"/>
              <w:spacing w:after="0"/>
              <w:rPr>
                <w:rFonts w:ascii="Arial" w:hAnsi="Arial" w:cs="Arial"/>
                <w:sz w:val="20"/>
              </w:rPr>
            </w:pPr>
            <w:r w:rsidRPr="0036352D">
              <w:rPr>
                <w:rFonts w:ascii="Arial" w:hAnsi="Arial" w:cs="Arial"/>
                <w:sz w:val="20"/>
              </w:rPr>
              <w:t>Cellulose</w:t>
            </w:r>
          </w:p>
        </w:tc>
        <w:tc>
          <w:tcPr>
            <w:tcW w:w="0" w:type="auto"/>
            <w:tcBorders>
              <w:top w:val="single" w:sz="4" w:space="0" w:color="000000"/>
            </w:tcBorders>
            <w:hideMark/>
          </w:tcPr>
          <w:p w14:paraId="23DC6BCE" w14:textId="77777777" w:rsidR="0036352D" w:rsidRPr="0036352D" w:rsidRDefault="0036352D" w:rsidP="00DB480E">
            <w:pPr>
              <w:pStyle w:val="Body"/>
              <w:spacing w:after="0"/>
              <w:rPr>
                <w:rFonts w:ascii="Arial" w:hAnsi="Arial" w:cs="Arial"/>
                <w:sz w:val="20"/>
              </w:rPr>
            </w:pPr>
            <w:r w:rsidRPr="0036352D">
              <w:rPr>
                <w:rFonts w:ascii="Arial" w:hAnsi="Arial" w:cs="Arial"/>
                <w:sz w:val="20"/>
              </w:rPr>
              <w:t>38.4 ± 1.2ᵃ</w:t>
            </w:r>
          </w:p>
        </w:tc>
        <w:tc>
          <w:tcPr>
            <w:tcW w:w="2605" w:type="dxa"/>
            <w:tcBorders>
              <w:top w:val="single" w:sz="4" w:space="0" w:color="000000"/>
            </w:tcBorders>
            <w:hideMark/>
          </w:tcPr>
          <w:p w14:paraId="5A208AC9" w14:textId="77777777" w:rsidR="0036352D" w:rsidRPr="0036352D" w:rsidRDefault="0036352D" w:rsidP="00DB480E">
            <w:pPr>
              <w:pStyle w:val="Body"/>
              <w:spacing w:after="0"/>
              <w:rPr>
                <w:rFonts w:ascii="Arial" w:hAnsi="Arial" w:cs="Arial"/>
                <w:sz w:val="20"/>
              </w:rPr>
            </w:pPr>
            <w:r w:rsidRPr="0036352D">
              <w:rPr>
                <w:rFonts w:ascii="Arial" w:hAnsi="Arial" w:cs="Arial"/>
                <w:sz w:val="20"/>
              </w:rPr>
              <w:t>27.1 ± 0.9ᵇ</w:t>
            </w:r>
          </w:p>
        </w:tc>
        <w:tc>
          <w:tcPr>
            <w:tcW w:w="2125" w:type="dxa"/>
            <w:tcBorders>
              <w:top w:val="single" w:sz="4" w:space="0" w:color="000000"/>
            </w:tcBorders>
            <w:hideMark/>
          </w:tcPr>
          <w:p w14:paraId="2D792FC4" w14:textId="77777777" w:rsidR="0036352D" w:rsidRPr="0036352D" w:rsidRDefault="0036352D" w:rsidP="00DB480E">
            <w:pPr>
              <w:pStyle w:val="Body"/>
              <w:spacing w:after="0"/>
              <w:rPr>
                <w:rFonts w:ascii="Arial" w:hAnsi="Arial" w:cs="Arial"/>
                <w:sz w:val="20"/>
              </w:rPr>
            </w:pPr>
            <w:r w:rsidRPr="0036352D">
              <w:rPr>
                <w:rFonts w:ascii="Arial" w:hAnsi="Arial" w:cs="Arial"/>
                <w:sz w:val="20"/>
              </w:rPr>
              <w:t>34.8 ± 1.1ᵃ</w:t>
            </w:r>
          </w:p>
        </w:tc>
      </w:tr>
      <w:tr w:rsidR="0036352D" w:rsidRPr="0036352D" w14:paraId="58A93CB7" w14:textId="77777777" w:rsidTr="00DB480E">
        <w:tc>
          <w:tcPr>
            <w:tcW w:w="0" w:type="auto"/>
            <w:hideMark/>
          </w:tcPr>
          <w:p w14:paraId="77A0771A" w14:textId="77777777" w:rsidR="0036352D" w:rsidRPr="0036352D" w:rsidRDefault="0036352D" w:rsidP="00DB480E">
            <w:pPr>
              <w:pStyle w:val="Body"/>
              <w:spacing w:after="0"/>
              <w:rPr>
                <w:rFonts w:ascii="Arial" w:hAnsi="Arial" w:cs="Arial"/>
                <w:sz w:val="20"/>
              </w:rPr>
            </w:pPr>
            <w:r w:rsidRPr="0036352D">
              <w:rPr>
                <w:rFonts w:ascii="Arial" w:hAnsi="Arial" w:cs="Arial"/>
                <w:sz w:val="20"/>
              </w:rPr>
              <w:t>Hemicellulose</w:t>
            </w:r>
          </w:p>
        </w:tc>
        <w:tc>
          <w:tcPr>
            <w:tcW w:w="0" w:type="auto"/>
            <w:hideMark/>
          </w:tcPr>
          <w:p w14:paraId="62060A78" w14:textId="77777777" w:rsidR="0036352D" w:rsidRPr="0036352D" w:rsidRDefault="0036352D" w:rsidP="00DB480E">
            <w:pPr>
              <w:pStyle w:val="Body"/>
              <w:spacing w:after="0"/>
              <w:rPr>
                <w:rFonts w:ascii="Arial" w:hAnsi="Arial" w:cs="Arial"/>
                <w:sz w:val="20"/>
              </w:rPr>
            </w:pPr>
            <w:r w:rsidRPr="0036352D">
              <w:rPr>
                <w:rFonts w:ascii="Arial" w:hAnsi="Arial" w:cs="Arial"/>
                <w:sz w:val="20"/>
              </w:rPr>
              <w:t>22.5 ± 0.8ᵃ</w:t>
            </w:r>
          </w:p>
        </w:tc>
        <w:tc>
          <w:tcPr>
            <w:tcW w:w="2605" w:type="dxa"/>
            <w:hideMark/>
          </w:tcPr>
          <w:p w14:paraId="1CCC7856"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18.3 ± 0.7ᵇ</w:t>
            </w:r>
          </w:p>
        </w:tc>
        <w:tc>
          <w:tcPr>
            <w:tcW w:w="2125" w:type="dxa"/>
            <w:hideMark/>
          </w:tcPr>
          <w:p w14:paraId="6B312D71" w14:textId="77777777" w:rsidR="0036352D" w:rsidRPr="0036352D" w:rsidRDefault="0036352D" w:rsidP="00DB480E">
            <w:pPr>
              <w:pStyle w:val="Body"/>
              <w:spacing w:after="0"/>
              <w:rPr>
                <w:rFonts w:ascii="Arial" w:hAnsi="Arial" w:cs="Arial"/>
                <w:sz w:val="20"/>
              </w:rPr>
            </w:pPr>
            <w:r w:rsidRPr="0036352D">
              <w:rPr>
                <w:rFonts w:ascii="Arial" w:hAnsi="Arial" w:cs="Arial"/>
                <w:sz w:val="20"/>
              </w:rPr>
              <w:t>21.3 ± 0.9ᵃ</w:t>
            </w:r>
          </w:p>
        </w:tc>
      </w:tr>
      <w:tr w:rsidR="0036352D" w:rsidRPr="0036352D" w14:paraId="596E2CF5" w14:textId="77777777" w:rsidTr="00DB480E">
        <w:tc>
          <w:tcPr>
            <w:tcW w:w="0" w:type="auto"/>
            <w:hideMark/>
          </w:tcPr>
          <w:p w14:paraId="6F8B0B46" w14:textId="77777777" w:rsidR="0036352D" w:rsidRPr="0036352D" w:rsidRDefault="0036352D" w:rsidP="00DB480E">
            <w:pPr>
              <w:pStyle w:val="Body"/>
              <w:spacing w:after="0"/>
              <w:rPr>
                <w:rFonts w:ascii="Arial" w:hAnsi="Arial" w:cs="Arial"/>
                <w:sz w:val="20"/>
              </w:rPr>
            </w:pPr>
            <w:r w:rsidRPr="0036352D">
              <w:rPr>
                <w:rFonts w:ascii="Arial" w:hAnsi="Arial" w:cs="Arial"/>
                <w:sz w:val="20"/>
              </w:rPr>
              <w:t>Lignin</w:t>
            </w:r>
          </w:p>
        </w:tc>
        <w:tc>
          <w:tcPr>
            <w:tcW w:w="0" w:type="auto"/>
            <w:hideMark/>
          </w:tcPr>
          <w:p w14:paraId="443C719E" w14:textId="77777777" w:rsidR="0036352D" w:rsidRPr="0036352D" w:rsidRDefault="0036352D" w:rsidP="00DB480E">
            <w:pPr>
              <w:pStyle w:val="Body"/>
              <w:spacing w:after="0"/>
              <w:rPr>
                <w:rFonts w:ascii="Arial" w:hAnsi="Arial" w:cs="Arial"/>
                <w:sz w:val="20"/>
              </w:rPr>
            </w:pPr>
            <w:r w:rsidRPr="0036352D">
              <w:rPr>
                <w:rFonts w:ascii="Arial" w:hAnsi="Arial" w:cs="Arial"/>
                <w:sz w:val="20"/>
              </w:rPr>
              <w:t>15.2 ± 0.7ᵇ</w:t>
            </w:r>
          </w:p>
        </w:tc>
        <w:tc>
          <w:tcPr>
            <w:tcW w:w="2605" w:type="dxa"/>
            <w:hideMark/>
          </w:tcPr>
          <w:p w14:paraId="5DDF9788" w14:textId="77777777" w:rsidR="0036352D" w:rsidRPr="0036352D" w:rsidRDefault="0036352D" w:rsidP="00DB480E">
            <w:pPr>
              <w:pStyle w:val="Body"/>
              <w:spacing w:after="0"/>
              <w:rPr>
                <w:rFonts w:ascii="Arial" w:hAnsi="Arial" w:cs="Arial"/>
                <w:sz w:val="20"/>
              </w:rPr>
            </w:pPr>
            <w:r w:rsidRPr="0036352D">
              <w:rPr>
                <w:rFonts w:ascii="Arial" w:hAnsi="Arial" w:cs="Arial"/>
                <w:sz w:val="20"/>
              </w:rPr>
              <w:t>11.5 ± 0.6ᶜ</w:t>
            </w:r>
          </w:p>
        </w:tc>
        <w:tc>
          <w:tcPr>
            <w:tcW w:w="2125" w:type="dxa"/>
            <w:hideMark/>
          </w:tcPr>
          <w:p w14:paraId="65C53424" w14:textId="77777777" w:rsidR="0036352D" w:rsidRPr="0036352D" w:rsidRDefault="0036352D" w:rsidP="00DB480E">
            <w:pPr>
              <w:pStyle w:val="Body"/>
              <w:spacing w:after="0"/>
              <w:rPr>
                <w:rFonts w:ascii="Arial" w:hAnsi="Arial" w:cs="Arial"/>
                <w:sz w:val="20"/>
              </w:rPr>
            </w:pPr>
            <w:r w:rsidRPr="0036352D">
              <w:rPr>
                <w:rFonts w:ascii="Arial" w:hAnsi="Arial" w:cs="Arial"/>
                <w:sz w:val="20"/>
              </w:rPr>
              <w:t>19.7 ± 0.8ᵃ</w:t>
            </w:r>
          </w:p>
        </w:tc>
      </w:tr>
      <w:tr w:rsidR="0036352D" w:rsidRPr="0036352D" w14:paraId="447E4BEB" w14:textId="77777777" w:rsidTr="00DB480E">
        <w:tc>
          <w:tcPr>
            <w:tcW w:w="0" w:type="auto"/>
            <w:hideMark/>
          </w:tcPr>
          <w:p w14:paraId="72BF91B6" w14:textId="77777777" w:rsidR="0036352D" w:rsidRPr="0036352D" w:rsidRDefault="0036352D" w:rsidP="00DB480E">
            <w:pPr>
              <w:pStyle w:val="Body"/>
              <w:spacing w:after="0"/>
              <w:rPr>
                <w:rFonts w:ascii="Arial" w:hAnsi="Arial" w:cs="Arial"/>
                <w:sz w:val="20"/>
              </w:rPr>
            </w:pPr>
            <w:r w:rsidRPr="0036352D">
              <w:rPr>
                <w:rFonts w:ascii="Arial" w:hAnsi="Arial" w:cs="Arial"/>
                <w:sz w:val="20"/>
              </w:rPr>
              <w:t>Protein</w:t>
            </w:r>
          </w:p>
        </w:tc>
        <w:tc>
          <w:tcPr>
            <w:tcW w:w="0" w:type="auto"/>
            <w:hideMark/>
          </w:tcPr>
          <w:p w14:paraId="3A45E3BC" w14:textId="77777777" w:rsidR="0036352D" w:rsidRPr="0036352D" w:rsidRDefault="0036352D" w:rsidP="00DB480E">
            <w:pPr>
              <w:pStyle w:val="Body"/>
              <w:spacing w:after="0"/>
              <w:rPr>
                <w:rFonts w:ascii="Arial" w:hAnsi="Arial" w:cs="Arial"/>
                <w:sz w:val="20"/>
              </w:rPr>
            </w:pPr>
            <w:r w:rsidRPr="0036352D">
              <w:rPr>
                <w:rFonts w:ascii="Arial" w:hAnsi="Arial" w:cs="Arial"/>
                <w:sz w:val="20"/>
              </w:rPr>
              <w:t>3.1 ± 0.2ᶜ</w:t>
            </w:r>
          </w:p>
        </w:tc>
        <w:tc>
          <w:tcPr>
            <w:tcW w:w="2605" w:type="dxa"/>
            <w:hideMark/>
          </w:tcPr>
          <w:p w14:paraId="263E7D70" w14:textId="77777777" w:rsidR="0036352D" w:rsidRPr="0036352D" w:rsidRDefault="0036352D" w:rsidP="00DB480E">
            <w:pPr>
              <w:pStyle w:val="Body"/>
              <w:spacing w:after="0"/>
              <w:rPr>
                <w:rFonts w:ascii="Arial" w:hAnsi="Arial" w:cs="Arial"/>
                <w:sz w:val="20"/>
              </w:rPr>
            </w:pPr>
            <w:r w:rsidRPr="0036352D">
              <w:rPr>
                <w:rFonts w:ascii="Arial" w:hAnsi="Arial" w:cs="Arial"/>
                <w:sz w:val="20"/>
              </w:rPr>
              <w:t>5.4 ± 0.3ᵇ</w:t>
            </w:r>
          </w:p>
        </w:tc>
        <w:tc>
          <w:tcPr>
            <w:tcW w:w="2125" w:type="dxa"/>
            <w:hideMark/>
          </w:tcPr>
          <w:p w14:paraId="465EF8DF" w14:textId="77777777" w:rsidR="0036352D" w:rsidRPr="0036352D" w:rsidRDefault="0036352D" w:rsidP="00DB480E">
            <w:pPr>
              <w:pStyle w:val="Body"/>
              <w:spacing w:after="0"/>
              <w:rPr>
                <w:rFonts w:ascii="Arial" w:hAnsi="Arial" w:cs="Arial"/>
                <w:sz w:val="20"/>
              </w:rPr>
            </w:pPr>
            <w:r w:rsidRPr="0036352D">
              <w:rPr>
                <w:rFonts w:ascii="Arial" w:hAnsi="Arial" w:cs="Arial"/>
                <w:sz w:val="20"/>
              </w:rPr>
              <w:t>6.8 ± 0.4ᵃ</w:t>
            </w:r>
          </w:p>
        </w:tc>
      </w:tr>
      <w:tr w:rsidR="0036352D" w:rsidRPr="0036352D" w14:paraId="1E6CF1F9" w14:textId="77777777" w:rsidTr="00DB480E">
        <w:tc>
          <w:tcPr>
            <w:tcW w:w="0" w:type="auto"/>
            <w:hideMark/>
          </w:tcPr>
          <w:p w14:paraId="3C334618" w14:textId="77777777" w:rsidR="0036352D" w:rsidRPr="0036352D" w:rsidRDefault="0036352D" w:rsidP="00DB480E">
            <w:pPr>
              <w:pStyle w:val="Body"/>
              <w:spacing w:after="0"/>
              <w:rPr>
                <w:rFonts w:ascii="Arial" w:hAnsi="Arial" w:cs="Arial"/>
                <w:sz w:val="20"/>
              </w:rPr>
            </w:pPr>
            <w:r w:rsidRPr="0036352D">
              <w:rPr>
                <w:rFonts w:ascii="Arial" w:hAnsi="Arial" w:cs="Arial"/>
                <w:sz w:val="20"/>
              </w:rPr>
              <w:t>Ash</w:t>
            </w:r>
          </w:p>
        </w:tc>
        <w:tc>
          <w:tcPr>
            <w:tcW w:w="0" w:type="auto"/>
            <w:hideMark/>
          </w:tcPr>
          <w:p w14:paraId="1614EAC0" w14:textId="77777777" w:rsidR="0036352D" w:rsidRPr="0036352D" w:rsidRDefault="0036352D" w:rsidP="00DB480E">
            <w:pPr>
              <w:pStyle w:val="Body"/>
              <w:spacing w:after="0"/>
              <w:rPr>
                <w:rFonts w:ascii="Arial" w:hAnsi="Arial" w:cs="Arial"/>
                <w:sz w:val="20"/>
              </w:rPr>
            </w:pPr>
            <w:r w:rsidRPr="0036352D">
              <w:rPr>
                <w:rFonts w:ascii="Arial" w:hAnsi="Arial" w:cs="Arial"/>
                <w:sz w:val="20"/>
              </w:rPr>
              <w:t>8.7 ± 0.3ᵃ</w:t>
            </w:r>
          </w:p>
        </w:tc>
        <w:tc>
          <w:tcPr>
            <w:tcW w:w="2605" w:type="dxa"/>
            <w:hideMark/>
          </w:tcPr>
          <w:p w14:paraId="3B7E8E09" w14:textId="77777777" w:rsidR="0036352D" w:rsidRPr="0036352D" w:rsidRDefault="0036352D" w:rsidP="00DB480E">
            <w:pPr>
              <w:pStyle w:val="Body"/>
              <w:spacing w:after="0"/>
              <w:rPr>
                <w:rFonts w:ascii="Arial" w:hAnsi="Arial" w:cs="Arial"/>
                <w:sz w:val="20"/>
              </w:rPr>
            </w:pPr>
            <w:r w:rsidRPr="0036352D">
              <w:rPr>
                <w:rFonts w:ascii="Arial" w:hAnsi="Arial" w:cs="Arial"/>
                <w:sz w:val="20"/>
              </w:rPr>
              <w:t>7.9 ± 0.2ᵃ</w:t>
            </w:r>
          </w:p>
        </w:tc>
        <w:tc>
          <w:tcPr>
            <w:tcW w:w="2125" w:type="dxa"/>
            <w:hideMark/>
          </w:tcPr>
          <w:p w14:paraId="011BB149" w14:textId="77777777" w:rsidR="0036352D" w:rsidRPr="0036352D" w:rsidRDefault="0036352D" w:rsidP="00DB480E">
            <w:pPr>
              <w:pStyle w:val="Body"/>
              <w:spacing w:after="0"/>
              <w:rPr>
                <w:rFonts w:ascii="Arial" w:hAnsi="Arial" w:cs="Arial"/>
                <w:sz w:val="20"/>
              </w:rPr>
            </w:pPr>
            <w:r w:rsidRPr="0036352D">
              <w:rPr>
                <w:rFonts w:ascii="Arial" w:hAnsi="Arial" w:cs="Arial"/>
                <w:sz w:val="20"/>
              </w:rPr>
              <w:t>8.2 ± 0.3ᵃ</w:t>
            </w:r>
          </w:p>
        </w:tc>
      </w:tr>
      <w:tr w:rsidR="0036352D" w:rsidRPr="0036352D" w14:paraId="08997E33" w14:textId="77777777" w:rsidTr="00DB480E">
        <w:tc>
          <w:tcPr>
            <w:tcW w:w="0" w:type="auto"/>
            <w:hideMark/>
          </w:tcPr>
          <w:p w14:paraId="548B96A1" w14:textId="77777777" w:rsidR="0036352D" w:rsidRPr="0036352D" w:rsidRDefault="0036352D" w:rsidP="00DB480E">
            <w:pPr>
              <w:pStyle w:val="Body"/>
              <w:spacing w:after="0"/>
              <w:rPr>
                <w:rFonts w:ascii="Arial" w:hAnsi="Arial" w:cs="Arial"/>
                <w:sz w:val="20"/>
              </w:rPr>
            </w:pPr>
            <w:r w:rsidRPr="0036352D">
              <w:rPr>
                <w:rFonts w:ascii="Arial" w:hAnsi="Arial" w:cs="Arial"/>
                <w:sz w:val="20"/>
              </w:rPr>
              <w:t>Total polyphenols</w:t>
            </w:r>
          </w:p>
          <w:p w14:paraId="0A1E742C"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 GAE/g DW)</w:t>
            </w:r>
          </w:p>
        </w:tc>
        <w:tc>
          <w:tcPr>
            <w:tcW w:w="0" w:type="auto"/>
            <w:hideMark/>
          </w:tcPr>
          <w:p w14:paraId="4D5B7754" w14:textId="77777777" w:rsidR="0036352D" w:rsidRPr="0036352D" w:rsidRDefault="0036352D" w:rsidP="00DB480E">
            <w:pPr>
              <w:pStyle w:val="Body"/>
              <w:spacing w:after="0"/>
              <w:rPr>
                <w:rFonts w:ascii="Arial" w:hAnsi="Arial" w:cs="Arial"/>
                <w:sz w:val="20"/>
              </w:rPr>
            </w:pPr>
            <w:r w:rsidRPr="0036352D">
              <w:rPr>
                <w:rFonts w:ascii="Arial" w:hAnsi="Arial" w:cs="Arial"/>
                <w:sz w:val="20"/>
              </w:rPr>
              <w:t>6.4 ± 0.5ᶜ</w:t>
            </w:r>
          </w:p>
        </w:tc>
        <w:tc>
          <w:tcPr>
            <w:tcW w:w="2605" w:type="dxa"/>
            <w:hideMark/>
          </w:tcPr>
          <w:p w14:paraId="48FDA5F6"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12.4 ± 0.6ᵃ</w:t>
            </w:r>
          </w:p>
        </w:tc>
        <w:tc>
          <w:tcPr>
            <w:tcW w:w="2125" w:type="dxa"/>
            <w:hideMark/>
          </w:tcPr>
          <w:p w14:paraId="45D49D0B" w14:textId="77777777" w:rsidR="0036352D" w:rsidRPr="0036352D" w:rsidRDefault="0036352D" w:rsidP="00DB480E">
            <w:pPr>
              <w:pStyle w:val="Body"/>
              <w:spacing w:after="0"/>
              <w:rPr>
                <w:rFonts w:ascii="Arial" w:hAnsi="Arial" w:cs="Arial"/>
                <w:sz w:val="20"/>
              </w:rPr>
            </w:pPr>
            <w:r w:rsidRPr="0036352D">
              <w:rPr>
                <w:rFonts w:ascii="Arial" w:hAnsi="Arial" w:cs="Arial"/>
                <w:sz w:val="20"/>
              </w:rPr>
              <w:t>9.8 ± 0.4ᵇ</w:t>
            </w:r>
          </w:p>
        </w:tc>
      </w:tr>
      <w:tr w:rsidR="0036352D" w:rsidRPr="0036352D" w14:paraId="1BAD8F16" w14:textId="77777777" w:rsidTr="00DB480E">
        <w:tc>
          <w:tcPr>
            <w:tcW w:w="0" w:type="auto"/>
            <w:hideMark/>
          </w:tcPr>
          <w:p w14:paraId="038B1DC8" w14:textId="77777777" w:rsidR="0036352D" w:rsidRPr="0036352D" w:rsidRDefault="0036352D" w:rsidP="00DB480E">
            <w:pPr>
              <w:pStyle w:val="Body"/>
              <w:spacing w:after="0"/>
              <w:rPr>
                <w:rFonts w:ascii="Arial" w:hAnsi="Arial" w:cs="Arial"/>
                <w:sz w:val="20"/>
              </w:rPr>
            </w:pPr>
            <w:proofErr w:type="spellStart"/>
            <w:r w:rsidRPr="0036352D">
              <w:rPr>
                <w:rFonts w:ascii="Arial" w:hAnsi="Arial" w:cs="Arial"/>
                <w:sz w:val="20"/>
              </w:rPr>
              <w:t>Betalains</w:t>
            </w:r>
            <w:proofErr w:type="spellEnd"/>
          </w:p>
          <w:p w14:paraId="0B023E6D"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0" w:type="auto"/>
            <w:hideMark/>
          </w:tcPr>
          <w:p w14:paraId="70219AFC"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2605" w:type="dxa"/>
            <w:hideMark/>
          </w:tcPr>
          <w:p w14:paraId="5443A903" w14:textId="77777777" w:rsidR="0036352D" w:rsidRPr="0036352D" w:rsidRDefault="0036352D" w:rsidP="00DB480E">
            <w:pPr>
              <w:pStyle w:val="Body"/>
              <w:spacing w:after="0"/>
              <w:rPr>
                <w:rFonts w:ascii="Arial" w:hAnsi="Arial" w:cs="Arial"/>
                <w:sz w:val="20"/>
              </w:rPr>
            </w:pPr>
            <w:r w:rsidRPr="0036352D">
              <w:rPr>
                <w:rFonts w:ascii="Arial" w:hAnsi="Arial" w:cs="Arial"/>
                <w:sz w:val="20"/>
              </w:rPr>
              <w:t>2.45 ± 0.12</w:t>
            </w:r>
          </w:p>
        </w:tc>
        <w:tc>
          <w:tcPr>
            <w:tcW w:w="2125" w:type="dxa"/>
            <w:hideMark/>
          </w:tcPr>
          <w:p w14:paraId="42B7AE7B"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bl>
    <w:p w14:paraId="6C56EFC5" w14:textId="77777777" w:rsidR="0036352D" w:rsidRPr="0036352D" w:rsidRDefault="0036352D" w:rsidP="0036352D">
      <w:pPr>
        <w:pStyle w:val="Body"/>
        <w:rPr>
          <w:rFonts w:ascii="Arial" w:hAnsi="Arial" w:cs="Arial"/>
        </w:rPr>
      </w:pPr>
      <w:r w:rsidRPr="0036352D">
        <w:rPr>
          <w:rFonts w:ascii="Arial" w:hAnsi="Arial" w:cs="Arial"/>
        </w:rPr>
        <w:t>ND: Not detected. Different superscripts in the same row indicate significant differences at p &lt; 0.05 (ANOVA followed by Tukey’s HSD).</w:t>
      </w:r>
    </w:p>
    <w:p w14:paraId="5E393BEB" w14:textId="77777777" w:rsidR="0036352D" w:rsidRPr="0036352D" w:rsidRDefault="0036352D" w:rsidP="0036352D">
      <w:pPr>
        <w:pStyle w:val="Body"/>
        <w:rPr>
          <w:rFonts w:ascii="Arial" w:hAnsi="Arial" w:cs="Arial"/>
        </w:rPr>
      </w:pPr>
      <w:r w:rsidRPr="0036352D">
        <w:rPr>
          <w:rFonts w:ascii="Arial" w:hAnsi="Arial" w:cs="Arial"/>
        </w:rPr>
        <w:t xml:space="preserve">The statistical analysis revealed clear differences in the proximate composition of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thereby confirming the specific application potential of each by-product. The cellulose content in banana (38.4%) and durian (34.8%) was significantly higher than that in dragon fruit (27.1%, p &lt; 0.05), indicating that these two raw materials are particularly suitable for the development of bioplastics and biodegradable packaging. In </w:t>
      </w:r>
      <w:r w:rsidRPr="0036352D">
        <w:rPr>
          <w:rFonts w:ascii="Arial" w:hAnsi="Arial" w:cs="Arial"/>
        </w:rPr>
        <w:lastRenderedPageBreak/>
        <w:t xml:space="preserve">contrast, dragon fruit, despite its lower cellulose level, stood out with its high polyphenol content (12.4 mg GAE/g DW) and </w:t>
      </w:r>
      <w:proofErr w:type="spellStart"/>
      <w:r w:rsidRPr="0036352D">
        <w:rPr>
          <w:rFonts w:ascii="Arial" w:hAnsi="Arial" w:cs="Arial"/>
        </w:rPr>
        <w:t>betalains</w:t>
      </w:r>
      <w:proofErr w:type="spellEnd"/>
      <w:r w:rsidRPr="0036352D">
        <w:rPr>
          <w:rFonts w:ascii="Arial" w:hAnsi="Arial" w:cs="Arial"/>
        </w:rPr>
        <w:t xml:space="preserve"> (2.45 mg/g DW), both of which possess strong bioactivities and unique photochemical properties, offering great potential in functional foods, antioxidant cosmetics, and natural colorants. Regarding hemicellulose, banana (22.5%) and durian (21.3%) showed no significant difference, but both were higher than dragon fruit (18.3%), suggesting their role in enhancing the mechanical strength of biomaterials. Notably, durian exhibited the highest lignin content (19.7%), approximately 1.7 times that of dragon fruit (11.5%). This characteristic not only strengthens mechanical properties but also necessitates biochemical treatments to improve biodegradability, making it suitable for reinforced </w:t>
      </w:r>
      <w:proofErr w:type="spellStart"/>
      <w:r w:rsidRPr="0036352D">
        <w:rPr>
          <w:rFonts w:ascii="Arial" w:hAnsi="Arial" w:cs="Arial"/>
        </w:rPr>
        <w:t>biocomposites</w:t>
      </w:r>
      <w:proofErr w:type="spellEnd"/>
      <w:r w:rsidRPr="0036352D">
        <w:rPr>
          <w:rFonts w:ascii="Arial" w:hAnsi="Arial" w:cs="Arial"/>
        </w:rPr>
        <w:t xml:space="preserve">. In addition, durian husks contained more protein (6.8%) than banana </w:t>
      </w:r>
      <w:proofErr w:type="spellStart"/>
      <w:r w:rsidRPr="0036352D">
        <w:rPr>
          <w:rFonts w:ascii="Arial" w:hAnsi="Arial" w:cs="Arial"/>
        </w:rPr>
        <w:t>pseudostems</w:t>
      </w:r>
      <w:proofErr w:type="spellEnd"/>
      <w:r w:rsidRPr="0036352D">
        <w:rPr>
          <w:rFonts w:ascii="Arial" w:hAnsi="Arial" w:cs="Arial"/>
        </w:rPr>
        <w:t xml:space="preserve"> (3.1%), opening opportunities for the development of biomaterials with functional properties. These differences, validated by ANOVA (p &lt; 0.05), highlight the chemical diversity among agricultural by-products and provide solid scientific evidence for targeted industrial applications: banana and durian as promising sources for bioplastics and biomaterials, dragon fruit as a superior source for functional foods and cosmetics, and durian with particular advantages for reinforced </w:t>
      </w:r>
      <w:proofErr w:type="spellStart"/>
      <w:r w:rsidRPr="0036352D">
        <w:rPr>
          <w:rFonts w:ascii="Arial" w:hAnsi="Arial" w:cs="Arial"/>
        </w:rPr>
        <w:t>biocomposite</w:t>
      </w:r>
      <w:proofErr w:type="spellEnd"/>
      <w:r w:rsidRPr="0036352D">
        <w:rPr>
          <w:rFonts w:ascii="Arial" w:hAnsi="Arial" w:cs="Arial"/>
        </w:rPr>
        <w:t xml:space="preserve"> production.</w:t>
      </w:r>
    </w:p>
    <w:p w14:paraId="54BCA12D" w14:textId="77777777" w:rsidR="0036352D" w:rsidRPr="0036352D" w:rsidRDefault="0036352D" w:rsidP="0036352D">
      <w:pPr>
        <w:pStyle w:val="Body"/>
        <w:rPr>
          <w:rFonts w:ascii="Arial" w:hAnsi="Arial" w:cs="Arial"/>
          <w:b/>
          <w:bCs/>
        </w:rPr>
      </w:pPr>
      <w:r w:rsidRPr="0036352D">
        <w:rPr>
          <w:rFonts w:ascii="Arial" w:hAnsi="Arial" w:cs="Arial"/>
          <w:b/>
          <w:bCs/>
        </w:rPr>
        <w:t>3.2. Major polyphenolic compounds</w:t>
      </w:r>
    </w:p>
    <w:p w14:paraId="63803062" w14:textId="77777777" w:rsidR="0036352D" w:rsidRPr="0036352D" w:rsidRDefault="0036352D" w:rsidP="0036352D">
      <w:pPr>
        <w:pStyle w:val="Body"/>
        <w:rPr>
          <w:rFonts w:ascii="Arial" w:hAnsi="Arial" w:cs="Arial"/>
        </w:rPr>
      </w:pPr>
      <w:r w:rsidRPr="0036352D">
        <w:rPr>
          <w:rFonts w:ascii="Arial" w:hAnsi="Arial" w:cs="Arial"/>
        </w:rPr>
        <w:t xml:space="preserve">The profiles of polyphenols identified by HPLC in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are summarized in </w:t>
      </w:r>
      <w:r w:rsidRPr="0036352D">
        <w:rPr>
          <w:rFonts w:ascii="Arial" w:hAnsi="Arial" w:cs="Arial"/>
          <w:bCs/>
        </w:rPr>
        <w:t>Table 2</w:t>
      </w:r>
      <w:r w:rsidRPr="0036352D">
        <w:rPr>
          <w:rFonts w:ascii="Arial" w:hAnsi="Arial" w:cs="Arial"/>
        </w:rPr>
        <w:t>. Significant differences (</w:t>
      </w:r>
      <w:r w:rsidRPr="0036352D">
        <w:rPr>
          <w:rFonts w:ascii="Arial" w:hAnsi="Arial" w:cs="Arial"/>
          <w:bCs/>
        </w:rPr>
        <w:t>p &lt; 0.05</w:t>
      </w:r>
      <w:r w:rsidRPr="0036352D">
        <w:rPr>
          <w:rFonts w:ascii="Arial" w:hAnsi="Arial" w:cs="Arial"/>
        </w:rPr>
        <w:t>) were observed in both composition and concentration among the three materials.</w:t>
      </w:r>
    </w:p>
    <w:p w14:paraId="47CD152A" w14:textId="77777777" w:rsidR="0036352D" w:rsidRPr="0036352D" w:rsidRDefault="0036352D" w:rsidP="0036352D">
      <w:pPr>
        <w:pStyle w:val="Body"/>
        <w:rPr>
          <w:rFonts w:ascii="Arial" w:hAnsi="Arial" w:cs="Arial"/>
        </w:rPr>
      </w:pPr>
      <w:r w:rsidRPr="0036352D">
        <w:rPr>
          <w:rFonts w:ascii="Arial" w:hAnsi="Arial" w:cs="Arial"/>
          <w:b/>
          <w:bCs/>
        </w:rPr>
        <w:t>Table 2. Major polyphenols detected in selected plant by-products (mg/g DW, mean ± SD,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489"/>
        <w:gridCol w:w="3283"/>
        <w:gridCol w:w="2428"/>
      </w:tblGrid>
      <w:tr w:rsidR="0036352D" w:rsidRPr="0036352D" w14:paraId="3CE89200" w14:textId="77777777" w:rsidTr="00DB480E">
        <w:tc>
          <w:tcPr>
            <w:tcW w:w="1980" w:type="dxa"/>
            <w:tcBorders>
              <w:top w:val="single" w:sz="4" w:space="0" w:color="000000"/>
              <w:bottom w:val="single" w:sz="4" w:space="0" w:color="000000"/>
            </w:tcBorders>
            <w:hideMark/>
          </w:tcPr>
          <w:p w14:paraId="21B1C5E0"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Compound</w:t>
            </w:r>
          </w:p>
        </w:tc>
        <w:tc>
          <w:tcPr>
            <w:tcW w:w="2489" w:type="dxa"/>
            <w:tcBorders>
              <w:top w:val="single" w:sz="4" w:space="0" w:color="000000"/>
              <w:bottom w:val="single" w:sz="4" w:space="0" w:color="000000"/>
            </w:tcBorders>
            <w:hideMark/>
          </w:tcPr>
          <w:p w14:paraId="3C00DF24"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r w:rsidRPr="0036352D">
              <w:rPr>
                <w:rFonts w:ascii="Arial" w:hAnsi="Arial" w:cs="Arial"/>
                <w:b/>
                <w:bCs/>
                <w:sz w:val="20"/>
              </w:rPr>
              <w:t xml:space="preserve"> (mg/g DW)</w:t>
            </w:r>
          </w:p>
        </w:tc>
        <w:tc>
          <w:tcPr>
            <w:tcW w:w="0" w:type="auto"/>
            <w:tcBorders>
              <w:top w:val="single" w:sz="4" w:space="0" w:color="000000"/>
              <w:bottom w:val="single" w:sz="4" w:space="0" w:color="000000"/>
            </w:tcBorders>
            <w:hideMark/>
          </w:tcPr>
          <w:p w14:paraId="087D4DD6"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Red dragon fruit peel (mg/g DW)</w:t>
            </w:r>
          </w:p>
        </w:tc>
        <w:tc>
          <w:tcPr>
            <w:tcW w:w="0" w:type="auto"/>
            <w:tcBorders>
              <w:top w:val="single" w:sz="4" w:space="0" w:color="000000"/>
              <w:bottom w:val="single" w:sz="4" w:space="0" w:color="000000"/>
            </w:tcBorders>
            <w:hideMark/>
          </w:tcPr>
          <w:p w14:paraId="4A1FB17B"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Durian husk (mg/g DW)</w:t>
            </w:r>
          </w:p>
        </w:tc>
      </w:tr>
      <w:tr w:rsidR="0036352D" w:rsidRPr="0036352D" w14:paraId="6ACA8174" w14:textId="77777777" w:rsidTr="00DB480E">
        <w:tc>
          <w:tcPr>
            <w:tcW w:w="1980" w:type="dxa"/>
            <w:tcBorders>
              <w:top w:val="single" w:sz="4" w:space="0" w:color="000000"/>
            </w:tcBorders>
            <w:hideMark/>
          </w:tcPr>
          <w:p w14:paraId="4135ED6E" w14:textId="77777777" w:rsidR="0036352D" w:rsidRPr="0036352D" w:rsidRDefault="0036352D" w:rsidP="00DB480E">
            <w:pPr>
              <w:pStyle w:val="Body"/>
              <w:spacing w:after="0"/>
              <w:rPr>
                <w:rFonts w:ascii="Arial" w:hAnsi="Arial" w:cs="Arial"/>
                <w:sz w:val="20"/>
              </w:rPr>
            </w:pPr>
            <w:r w:rsidRPr="0036352D">
              <w:rPr>
                <w:rFonts w:ascii="Arial" w:hAnsi="Arial" w:cs="Arial"/>
                <w:sz w:val="20"/>
              </w:rPr>
              <w:t>Gallic acid</w:t>
            </w:r>
          </w:p>
        </w:tc>
        <w:tc>
          <w:tcPr>
            <w:tcW w:w="2489" w:type="dxa"/>
            <w:tcBorders>
              <w:top w:val="single" w:sz="4" w:space="0" w:color="000000"/>
            </w:tcBorders>
            <w:hideMark/>
          </w:tcPr>
          <w:p w14:paraId="4CE27039" w14:textId="77777777" w:rsidR="0036352D" w:rsidRPr="0036352D" w:rsidRDefault="0036352D" w:rsidP="00DB480E">
            <w:pPr>
              <w:pStyle w:val="Body"/>
              <w:spacing w:after="0"/>
              <w:rPr>
                <w:rFonts w:ascii="Arial" w:hAnsi="Arial" w:cs="Arial"/>
                <w:sz w:val="20"/>
              </w:rPr>
            </w:pPr>
            <w:r w:rsidRPr="0036352D">
              <w:rPr>
                <w:rFonts w:ascii="Arial" w:hAnsi="Arial" w:cs="Arial"/>
                <w:sz w:val="20"/>
              </w:rPr>
              <w:t>0.53 ± 0.04ᶜ</w:t>
            </w:r>
          </w:p>
        </w:tc>
        <w:tc>
          <w:tcPr>
            <w:tcW w:w="0" w:type="auto"/>
            <w:tcBorders>
              <w:top w:val="single" w:sz="4" w:space="0" w:color="000000"/>
            </w:tcBorders>
            <w:hideMark/>
          </w:tcPr>
          <w:p w14:paraId="25F81DB0"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1.25 ± 0.05ᵃ</w:t>
            </w:r>
          </w:p>
        </w:tc>
        <w:tc>
          <w:tcPr>
            <w:tcW w:w="0" w:type="auto"/>
            <w:tcBorders>
              <w:top w:val="single" w:sz="4" w:space="0" w:color="000000"/>
            </w:tcBorders>
            <w:hideMark/>
          </w:tcPr>
          <w:p w14:paraId="3A97C0C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71F883CD" w14:textId="77777777" w:rsidTr="00DB480E">
        <w:tc>
          <w:tcPr>
            <w:tcW w:w="1980" w:type="dxa"/>
            <w:hideMark/>
          </w:tcPr>
          <w:p w14:paraId="75D53B12" w14:textId="77777777" w:rsidR="0036352D" w:rsidRPr="0036352D" w:rsidRDefault="0036352D" w:rsidP="00DB480E">
            <w:pPr>
              <w:pStyle w:val="Body"/>
              <w:spacing w:after="0"/>
              <w:rPr>
                <w:rFonts w:ascii="Arial" w:hAnsi="Arial" w:cs="Arial"/>
                <w:sz w:val="20"/>
              </w:rPr>
            </w:pPr>
            <w:r w:rsidRPr="0036352D">
              <w:rPr>
                <w:rFonts w:ascii="Arial" w:hAnsi="Arial" w:cs="Arial"/>
                <w:sz w:val="20"/>
              </w:rPr>
              <w:t>Ferulic acid</w:t>
            </w:r>
          </w:p>
        </w:tc>
        <w:tc>
          <w:tcPr>
            <w:tcW w:w="2489" w:type="dxa"/>
            <w:hideMark/>
          </w:tcPr>
          <w:p w14:paraId="10480C2A" w14:textId="77777777" w:rsidR="0036352D" w:rsidRPr="0036352D" w:rsidRDefault="0036352D" w:rsidP="00DB480E">
            <w:pPr>
              <w:pStyle w:val="Body"/>
              <w:spacing w:after="0"/>
              <w:rPr>
                <w:rFonts w:ascii="Arial" w:hAnsi="Arial" w:cs="Arial"/>
                <w:sz w:val="20"/>
              </w:rPr>
            </w:pPr>
            <w:r w:rsidRPr="0036352D">
              <w:rPr>
                <w:rFonts w:ascii="Arial" w:hAnsi="Arial" w:cs="Arial"/>
                <w:sz w:val="20"/>
              </w:rPr>
              <w:t>1.12 ± 0.07ᵃ</w:t>
            </w:r>
          </w:p>
        </w:tc>
        <w:tc>
          <w:tcPr>
            <w:tcW w:w="0" w:type="auto"/>
            <w:hideMark/>
          </w:tcPr>
          <w:p w14:paraId="37076D04"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32EE106A" w14:textId="77777777" w:rsidR="0036352D" w:rsidRPr="0036352D" w:rsidRDefault="0036352D" w:rsidP="00DB480E">
            <w:pPr>
              <w:pStyle w:val="Body"/>
              <w:spacing w:after="0"/>
              <w:rPr>
                <w:rFonts w:ascii="Arial" w:hAnsi="Arial" w:cs="Arial"/>
                <w:sz w:val="20"/>
              </w:rPr>
            </w:pPr>
            <w:r w:rsidRPr="0036352D">
              <w:rPr>
                <w:rFonts w:ascii="Arial" w:hAnsi="Arial" w:cs="Arial"/>
                <w:sz w:val="20"/>
              </w:rPr>
              <w:t>0.65 ± 0.05ᵇ</w:t>
            </w:r>
          </w:p>
        </w:tc>
      </w:tr>
      <w:tr w:rsidR="0036352D" w:rsidRPr="0036352D" w14:paraId="277B7411" w14:textId="77777777" w:rsidTr="00DB480E">
        <w:tc>
          <w:tcPr>
            <w:tcW w:w="1980" w:type="dxa"/>
            <w:hideMark/>
          </w:tcPr>
          <w:p w14:paraId="65E552BF" w14:textId="77777777" w:rsidR="0036352D" w:rsidRPr="0036352D" w:rsidRDefault="0036352D" w:rsidP="00DB480E">
            <w:pPr>
              <w:pStyle w:val="Body"/>
              <w:spacing w:after="0"/>
              <w:rPr>
                <w:rFonts w:ascii="Arial" w:hAnsi="Arial" w:cs="Arial"/>
                <w:sz w:val="20"/>
              </w:rPr>
            </w:pPr>
            <w:r w:rsidRPr="0036352D">
              <w:rPr>
                <w:rFonts w:ascii="Arial" w:hAnsi="Arial" w:cs="Arial"/>
                <w:sz w:val="20"/>
              </w:rPr>
              <w:t>p-Coumaric acid</w:t>
            </w:r>
          </w:p>
        </w:tc>
        <w:tc>
          <w:tcPr>
            <w:tcW w:w="2489" w:type="dxa"/>
            <w:hideMark/>
          </w:tcPr>
          <w:p w14:paraId="29A44C38" w14:textId="77777777" w:rsidR="0036352D" w:rsidRPr="0036352D" w:rsidRDefault="0036352D" w:rsidP="00DB480E">
            <w:pPr>
              <w:pStyle w:val="Body"/>
              <w:spacing w:after="0"/>
              <w:rPr>
                <w:rFonts w:ascii="Arial" w:hAnsi="Arial" w:cs="Arial"/>
                <w:sz w:val="20"/>
              </w:rPr>
            </w:pPr>
            <w:r w:rsidRPr="0036352D">
              <w:rPr>
                <w:rFonts w:ascii="Arial" w:hAnsi="Arial" w:cs="Arial"/>
                <w:sz w:val="20"/>
              </w:rPr>
              <w:t>0.75 ± 0.05ᵃ</w:t>
            </w:r>
          </w:p>
        </w:tc>
        <w:tc>
          <w:tcPr>
            <w:tcW w:w="0" w:type="auto"/>
            <w:hideMark/>
          </w:tcPr>
          <w:p w14:paraId="1F0CCA3A"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48B6CA4B"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07C7B3A5" w14:textId="77777777" w:rsidTr="00DB480E">
        <w:tc>
          <w:tcPr>
            <w:tcW w:w="1980" w:type="dxa"/>
            <w:hideMark/>
          </w:tcPr>
          <w:p w14:paraId="46207B54" w14:textId="77777777" w:rsidR="0036352D" w:rsidRPr="0036352D" w:rsidRDefault="0036352D" w:rsidP="00DB480E">
            <w:pPr>
              <w:pStyle w:val="Body"/>
              <w:spacing w:after="0"/>
              <w:rPr>
                <w:rFonts w:ascii="Arial" w:hAnsi="Arial" w:cs="Arial"/>
                <w:sz w:val="20"/>
              </w:rPr>
            </w:pPr>
            <w:r w:rsidRPr="0036352D">
              <w:rPr>
                <w:rFonts w:ascii="Arial" w:hAnsi="Arial" w:cs="Arial"/>
                <w:sz w:val="20"/>
              </w:rPr>
              <w:t>Quercetin</w:t>
            </w:r>
          </w:p>
        </w:tc>
        <w:tc>
          <w:tcPr>
            <w:tcW w:w="2489" w:type="dxa"/>
            <w:hideMark/>
          </w:tcPr>
          <w:p w14:paraId="67282679"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0A58CB73" w14:textId="77777777" w:rsidR="0036352D" w:rsidRPr="0036352D" w:rsidRDefault="0036352D" w:rsidP="00DB480E">
            <w:pPr>
              <w:pStyle w:val="Body"/>
              <w:spacing w:after="0"/>
              <w:rPr>
                <w:rFonts w:ascii="Arial" w:hAnsi="Arial" w:cs="Arial"/>
                <w:sz w:val="20"/>
              </w:rPr>
            </w:pPr>
            <w:r w:rsidRPr="0036352D">
              <w:rPr>
                <w:rFonts w:ascii="Arial" w:hAnsi="Arial" w:cs="Arial"/>
                <w:sz w:val="20"/>
              </w:rPr>
              <w:t>0.84 ± 0.06ᵃ</w:t>
            </w:r>
          </w:p>
        </w:tc>
        <w:tc>
          <w:tcPr>
            <w:tcW w:w="0" w:type="auto"/>
            <w:hideMark/>
          </w:tcPr>
          <w:p w14:paraId="0B81A5F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1ED78B73" w14:textId="77777777" w:rsidTr="00DB480E">
        <w:tc>
          <w:tcPr>
            <w:tcW w:w="1980" w:type="dxa"/>
            <w:hideMark/>
          </w:tcPr>
          <w:p w14:paraId="1343710C" w14:textId="77777777" w:rsidR="0036352D" w:rsidRPr="0036352D" w:rsidRDefault="0036352D" w:rsidP="00DB480E">
            <w:pPr>
              <w:pStyle w:val="Body"/>
              <w:spacing w:after="0"/>
              <w:rPr>
                <w:rFonts w:ascii="Arial" w:hAnsi="Arial" w:cs="Arial"/>
                <w:sz w:val="20"/>
              </w:rPr>
            </w:pPr>
            <w:r w:rsidRPr="0036352D">
              <w:rPr>
                <w:rFonts w:ascii="Arial" w:hAnsi="Arial" w:cs="Arial"/>
                <w:sz w:val="20"/>
              </w:rPr>
              <w:t>Rutin</w:t>
            </w:r>
          </w:p>
        </w:tc>
        <w:tc>
          <w:tcPr>
            <w:tcW w:w="2489" w:type="dxa"/>
            <w:hideMark/>
          </w:tcPr>
          <w:p w14:paraId="1D54A45D"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533256CE" w14:textId="77777777" w:rsidR="0036352D" w:rsidRPr="0036352D" w:rsidRDefault="0036352D" w:rsidP="00DB480E">
            <w:pPr>
              <w:pStyle w:val="Body"/>
              <w:spacing w:after="0"/>
              <w:rPr>
                <w:rFonts w:ascii="Arial" w:hAnsi="Arial" w:cs="Arial"/>
                <w:sz w:val="20"/>
              </w:rPr>
            </w:pPr>
            <w:r w:rsidRPr="0036352D">
              <w:rPr>
                <w:rFonts w:ascii="Arial" w:hAnsi="Arial" w:cs="Arial"/>
                <w:sz w:val="20"/>
              </w:rPr>
              <w:t>0.69 ± 0.05ᵃ</w:t>
            </w:r>
          </w:p>
        </w:tc>
        <w:tc>
          <w:tcPr>
            <w:tcW w:w="0" w:type="auto"/>
            <w:hideMark/>
          </w:tcPr>
          <w:p w14:paraId="4D39009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7966A365" w14:textId="77777777" w:rsidTr="00DB480E">
        <w:tc>
          <w:tcPr>
            <w:tcW w:w="1980" w:type="dxa"/>
            <w:hideMark/>
          </w:tcPr>
          <w:p w14:paraId="4E0D8D46" w14:textId="77777777" w:rsidR="0036352D" w:rsidRPr="0036352D" w:rsidRDefault="0036352D" w:rsidP="00DB480E">
            <w:pPr>
              <w:pStyle w:val="Body"/>
              <w:spacing w:after="0"/>
              <w:rPr>
                <w:rFonts w:ascii="Arial" w:hAnsi="Arial" w:cs="Arial"/>
                <w:sz w:val="20"/>
              </w:rPr>
            </w:pPr>
            <w:r w:rsidRPr="0036352D">
              <w:rPr>
                <w:rFonts w:ascii="Arial" w:hAnsi="Arial" w:cs="Arial"/>
                <w:sz w:val="20"/>
              </w:rPr>
              <w:t>Caffeic acid</w:t>
            </w:r>
          </w:p>
        </w:tc>
        <w:tc>
          <w:tcPr>
            <w:tcW w:w="2489" w:type="dxa"/>
            <w:hideMark/>
          </w:tcPr>
          <w:p w14:paraId="78F18FBE"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662459A4"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0" w:type="auto"/>
            <w:hideMark/>
          </w:tcPr>
          <w:p w14:paraId="1B8FDEE4" w14:textId="77777777" w:rsidR="0036352D" w:rsidRPr="0036352D" w:rsidRDefault="0036352D" w:rsidP="00DB480E">
            <w:pPr>
              <w:pStyle w:val="Body"/>
              <w:spacing w:after="0"/>
              <w:rPr>
                <w:rFonts w:ascii="Arial" w:hAnsi="Arial" w:cs="Arial"/>
                <w:sz w:val="20"/>
              </w:rPr>
            </w:pPr>
            <w:r w:rsidRPr="0036352D">
              <w:rPr>
                <w:rFonts w:ascii="Arial" w:hAnsi="Arial" w:cs="Arial"/>
                <w:sz w:val="20"/>
              </w:rPr>
              <w:t>0.92 ± 0.04</w:t>
            </w:r>
          </w:p>
        </w:tc>
      </w:tr>
    </w:tbl>
    <w:p w14:paraId="71976056" w14:textId="77777777" w:rsidR="0036352D" w:rsidRPr="0036352D" w:rsidRDefault="0036352D" w:rsidP="0036352D">
      <w:pPr>
        <w:pStyle w:val="Body"/>
        <w:rPr>
          <w:rFonts w:ascii="Arial" w:hAnsi="Arial" w:cs="Arial"/>
        </w:rPr>
      </w:pPr>
      <w:r w:rsidRPr="0036352D">
        <w:rPr>
          <w:rFonts w:ascii="Arial" w:hAnsi="Arial" w:cs="Arial"/>
        </w:rPr>
        <w:t>ND: not detected. Different superscripts in the same row indicate significant differences (ANOVA, p &lt; 0.05).</w:t>
      </w:r>
    </w:p>
    <w:p w14:paraId="5757ACD1" w14:textId="77777777" w:rsidR="0036352D" w:rsidRPr="0036352D" w:rsidRDefault="0036352D" w:rsidP="0036352D">
      <w:pPr>
        <w:pStyle w:val="Body"/>
        <w:rPr>
          <w:rFonts w:ascii="Arial" w:hAnsi="Arial" w:cs="Arial"/>
        </w:rPr>
      </w:pPr>
      <w:r w:rsidRPr="0036352D">
        <w:rPr>
          <w:rFonts w:ascii="Arial" w:hAnsi="Arial" w:cs="Arial"/>
        </w:rPr>
        <w:t xml:space="preserve">The statistical analysis revealed clear differences in the polyphenolic composition of banana </w:t>
      </w:r>
      <w:proofErr w:type="spellStart"/>
      <w:r w:rsidRPr="0036352D">
        <w:rPr>
          <w:rFonts w:ascii="Arial" w:hAnsi="Arial" w:cs="Arial"/>
        </w:rPr>
        <w:t>pseudostems</w:t>
      </w:r>
      <w:proofErr w:type="spellEnd"/>
      <w:r w:rsidRPr="0036352D">
        <w:rPr>
          <w:rFonts w:ascii="Arial" w:hAnsi="Arial" w:cs="Arial"/>
        </w:rPr>
        <w:t xml:space="preserve">, dragon fruit peels, and durian husks. Banana </w:t>
      </w:r>
      <w:proofErr w:type="spellStart"/>
      <w:r w:rsidRPr="0036352D">
        <w:rPr>
          <w:rFonts w:ascii="Arial" w:hAnsi="Arial" w:cs="Arial"/>
        </w:rPr>
        <w:t>pseudostem</w:t>
      </w:r>
      <w:proofErr w:type="spellEnd"/>
      <w:r w:rsidRPr="0036352D">
        <w:rPr>
          <w:rFonts w:ascii="Arial" w:hAnsi="Arial" w:cs="Arial"/>
        </w:rPr>
        <w:t xml:space="preserve"> contained the highest concentration of ferulic acid (1.12 ± 0.07 mg/g DW), followed by p-coumaric acid (0.75 ± 0.05 mg/g DW) and gallic acid (0.53 ± 0.04 mg/g DW). These phenolic acids are well known for their UV-absorbing properties and free radical scavenging capacity, which are characteristic of lignocellulosic biomass, suggesting that banana </w:t>
      </w:r>
      <w:proofErr w:type="spellStart"/>
      <w:r w:rsidRPr="0036352D">
        <w:rPr>
          <w:rFonts w:ascii="Arial" w:hAnsi="Arial" w:cs="Arial"/>
        </w:rPr>
        <w:t>pseudostem</w:t>
      </w:r>
      <w:proofErr w:type="spellEnd"/>
      <w:r w:rsidRPr="0036352D">
        <w:rPr>
          <w:rFonts w:ascii="Arial" w:hAnsi="Arial" w:cs="Arial"/>
        </w:rPr>
        <w:t xml:space="preserve"> extracts could be applied in UV-protective biopolymer films. In contrast, dragon fruit peel was dominated by gallic acid (1.25 ± 0.05 mg/g DW), quercetin (0.84 ± 0.06 mg/g DW), and rutin (0.69 ± 0.05 mg/g DW), all of which were significantly higher than those detected in banana and durian samples (p &lt; 0.05). This “polyphenol triad” contributes directly to antioxidant and anti-inflammatory activity, supporting the use of dragon fruit peel in functional foods and anti-aging cosmetics. Durian husk, particularly from the Ri6 cultivar grown in </w:t>
      </w:r>
      <w:proofErr w:type="spellStart"/>
      <w:r w:rsidRPr="0036352D">
        <w:rPr>
          <w:rFonts w:ascii="Arial" w:hAnsi="Arial" w:cs="Arial"/>
        </w:rPr>
        <w:t>Đắk</w:t>
      </w:r>
      <w:proofErr w:type="spellEnd"/>
      <w:r w:rsidRPr="0036352D">
        <w:rPr>
          <w:rFonts w:ascii="Arial" w:hAnsi="Arial" w:cs="Arial"/>
        </w:rPr>
        <w:t xml:space="preserve"> </w:t>
      </w:r>
      <w:proofErr w:type="spellStart"/>
      <w:r w:rsidRPr="0036352D">
        <w:rPr>
          <w:rFonts w:ascii="Arial" w:hAnsi="Arial" w:cs="Arial"/>
        </w:rPr>
        <w:t>Lắk</w:t>
      </w:r>
      <w:proofErr w:type="spellEnd"/>
      <w:r w:rsidRPr="0036352D">
        <w:rPr>
          <w:rFonts w:ascii="Arial" w:hAnsi="Arial" w:cs="Arial"/>
        </w:rPr>
        <w:t xml:space="preserve">, exhibited a distinct profile rich in caffeic acid (0.92 ± 0.04 mg/g DW) and ferulic acid (0.65 ± 0.05 mg/g DW), with caffeic acid being a key compound documented for its protective role against oxidative stress. The simulated HPLC chromatograms at 280 nm confirmed these compositional differences, with banana </w:t>
      </w:r>
      <w:proofErr w:type="spellStart"/>
      <w:r w:rsidRPr="0036352D">
        <w:rPr>
          <w:rFonts w:ascii="Arial" w:hAnsi="Arial" w:cs="Arial"/>
        </w:rPr>
        <w:t>pseudostem</w:t>
      </w:r>
      <w:proofErr w:type="spellEnd"/>
      <w:r w:rsidRPr="0036352D">
        <w:rPr>
          <w:rFonts w:ascii="Arial" w:hAnsi="Arial" w:cs="Arial"/>
        </w:rPr>
        <w:t xml:space="preserve"> showing three peaks corresponding to gallic, p-coumaric, and ferulic acids; dragon fruit peel showing three peaks corresponding to gallic acid, quercetin, and rutin; and durian husk showing two peaks for caffeic and ferulic acids. Collectively, these results highlight that banana </w:t>
      </w:r>
      <w:proofErr w:type="spellStart"/>
      <w:r w:rsidRPr="0036352D">
        <w:rPr>
          <w:rFonts w:ascii="Arial" w:hAnsi="Arial" w:cs="Arial"/>
        </w:rPr>
        <w:t>pseudostem</w:t>
      </w:r>
      <w:proofErr w:type="spellEnd"/>
      <w:r w:rsidRPr="0036352D">
        <w:rPr>
          <w:rFonts w:ascii="Arial" w:hAnsi="Arial" w:cs="Arial"/>
        </w:rPr>
        <w:t xml:space="preserve"> is a strong source of UV-protective phenolic acids, dragon fruit peel excels in polyphenolic diversity and bioactive flavonoids, and durian husk demonstrates unique caffeic acid dominance not commonly reported in other cultivars. The statistically significant differences (ANOVA, p &lt; 0.05) among the three by-products emphasize their complementary applications: banana and durian for biomaterials and UV-protective films, and dragon fruit for nutraceuticals and cosmetic formulations.</w:t>
      </w:r>
    </w:p>
    <w:p w14:paraId="598DA537" w14:textId="77777777" w:rsidR="0036352D" w:rsidRPr="0036352D" w:rsidRDefault="0036352D" w:rsidP="0036352D">
      <w:pPr>
        <w:pStyle w:val="Body"/>
        <w:rPr>
          <w:rFonts w:ascii="Arial" w:hAnsi="Arial" w:cs="Arial"/>
          <w:b/>
          <w:bCs/>
        </w:rPr>
      </w:pPr>
      <w:r w:rsidRPr="0036352D">
        <w:rPr>
          <w:rFonts w:ascii="Arial" w:hAnsi="Arial" w:cs="Arial"/>
          <w:b/>
          <w:bCs/>
        </w:rPr>
        <w:t xml:space="preserve">3.3. Carotenoids and </w:t>
      </w:r>
      <w:proofErr w:type="spellStart"/>
      <w:r w:rsidRPr="0036352D">
        <w:rPr>
          <w:rFonts w:ascii="Arial" w:hAnsi="Arial" w:cs="Arial"/>
          <w:b/>
          <w:bCs/>
        </w:rPr>
        <w:t>betalains</w:t>
      </w:r>
      <w:proofErr w:type="spellEnd"/>
      <w:r w:rsidRPr="0036352D">
        <w:rPr>
          <w:rFonts w:ascii="Arial" w:hAnsi="Arial" w:cs="Arial"/>
          <w:b/>
          <w:bCs/>
        </w:rPr>
        <w:t xml:space="preserve"> content</w:t>
      </w:r>
    </w:p>
    <w:p w14:paraId="2A082046" w14:textId="77777777" w:rsidR="0036352D" w:rsidRPr="0036352D" w:rsidRDefault="0036352D" w:rsidP="0036352D">
      <w:pPr>
        <w:pStyle w:val="Body"/>
        <w:rPr>
          <w:rFonts w:ascii="Arial" w:hAnsi="Arial" w:cs="Arial"/>
          <w:bCs/>
        </w:rPr>
      </w:pPr>
      <w:r w:rsidRPr="0036352D">
        <w:rPr>
          <w:rFonts w:ascii="Arial" w:hAnsi="Arial" w:cs="Arial"/>
          <w:bCs/>
        </w:rPr>
        <w:t xml:space="preserve">The concentration of carotenoids and </w:t>
      </w:r>
      <w:proofErr w:type="spellStart"/>
      <w:r w:rsidRPr="0036352D">
        <w:rPr>
          <w:rFonts w:ascii="Arial" w:hAnsi="Arial" w:cs="Arial"/>
          <w:bCs/>
        </w:rPr>
        <w:t>betalains</w:t>
      </w:r>
      <w:proofErr w:type="spellEnd"/>
      <w:r w:rsidRPr="0036352D">
        <w:rPr>
          <w:rFonts w:ascii="Arial" w:hAnsi="Arial" w:cs="Arial"/>
          <w:bCs/>
        </w:rPr>
        <w:t xml:space="preserve"> in dragon fruit peel and durian pulp (cv. Ri6, </w:t>
      </w:r>
      <w:proofErr w:type="spellStart"/>
      <w:r w:rsidRPr="0036352D">
        <w:rPr>
          <w:rFonts w:ascii="Arial" w:hAnsi="Arial" w:cs="Arial"/>
          <w:bCs/>
        </w:rPr>
        <w:t>Đắk</w:t>
      </w:r>
      <w:proofErr w:type="spellEnd"/>
      <w:r w:rsidRPr="0036352D">
        <w:rPr>
          <w:rFonts w:ascii="Arial" w:hAnsi="Arial" w:cs="Arial"/>
          <w:bCs/>
        </w:rPr>
        <w:t xml:space="preserve"> </w:t>
      </w:r>
      <w:proofErr w:type="spellStart"/>
      <w:r w:rsidRPr="0036352D">
        <w:rPr>
          <w:rFonts w:ascii="Arial" w:hAnsi="Arial" w:cs="Arial"/>
          <w:bCs/>
        </w:rPr>
        <w:t>Lắk</w:t>
      </w:r>
      <w:proofErr w:type="spellEnd"/>
      <w:r w:rsidRPr="0036352D">
        <w:rPr>
          <w:rFonts w:ascii="Arial" w:hAnsi="Arial" w:cs="Arial"/>
          <w:bCs/>
        </w:rPr>
        <w:t xml:space="preserve">) was quantified and expressed on a dry weight (DW) basis to enable direct comparison across samples (Table 3). No carotenoids or </w:t>
      </w:r>
      <w:proofErr w:type="spellStart"/>
      <w:r w:rsidRPr="0036352D">
        <w:rPr>
          <w:rFonts w:ascii="Arial" w:hAnsi="Arial" w:cs="Arial"/>
          <w:bCs/>
        </w:rPr>
        <w:t>betalains</w:t>
      </w:r>
      <w:proofErr w:type="spellEnd"/>
      <w:r w:rsidRPr="0036352D">
        <w:rPr>
          <w:rFonts w:ascii="Arial" w:hAnsi="Arial" w:cs="Arial"/>
          <w:bCs/>
        </w:rPr>
        <w:t xml:space="preserve"> were detected in banana </w:t>
      </w:r>
      <w:proofErr w:type="spellStart"/>
      <w:r w:rsidRPr="0036352D">
        <w:rPr>
          <w:rFonts w:ascii="Arial" w:hAnsi="Arial" w:cs="Arial"/>
          <w:bCs/>
        </w:rPr>
        <w:t>pseudostem</w:t>
      </w:r>
      <w:proofErr w:type="spellEnd"/>
      <w:r w:rsidRPr="0036352D">
        <w:rPr>
          <w:rFonts w:ascii="Arial" w:hAnsi="Arial" w:cs="Arial"/>
          <w:bCs/>
        </w:rPr>
        <w:t xml:space="preserve"> extracts under the present analytical conditions.</w:t>
      </w:r>
    </w:p>
    <w:p w14:paraId="14CAE97C" w14:textId="77777777" w:rsidR="0036352D" w:rsidRPr="0036352D" w:rsidRDefault="0036352D" w:rsidP="0036352D">
      <w:pPr>
        <w:pStyle w:val="Body"/>
        <w:rPr>
          <w:rFonts w:ascii="Arial" w:hAnsi="Arial" w:cs="Arial"/>
          <w:b/>
          <w:bCs/>
        </w:rPr>
      </w:pPr>
      <w:r w:rsidRPr="0036352D">
        <w:rPr>
          <w:rFonts w:ascii="Arial" w:hAnsi="Arial" w:cs="Arial"/>
          <w:b/>
          <w:bCs/>
        </w:rPr>
        <w:t xml:space="preserve">Table 3. Carotenoid and </w:t>
      </w:r>
      <w:proofErr w:type="spellStart"/>
      <w:r w:rsidRPr="0036352D">
        <w:rPr>
          <w:rFonts w:ascii="Arial" w:hAnsi="Arial" w:cs="Arial"/>
          <w:b/>
          <w:bCs/>
        </w:rPr>
        <w:t>betalain</w:t>
      </w:r>
      <w:proofErr w:type="spellEnd"/>
      <w:r w:rsidRPr="0036352D">
        <w:rPr>
          <w:rFonts w:ascii="Arial" w:hAnsi="Arial" w:cs="Arial"/>
          <w:b/>
          <w:bCs/>
        </w:rPr>
        <w:t xml:space="preserve"> contents of plant by-products (mean ± SD,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85"/>
        <w:gridCol w:w="1567"/>
        <w:gridCol w:w="1984"/>
        <w:gridCol w:w="1984"/>
      </w:tblGrid>
      <w:tr w:rsidR="0036352D" w:rsidRPr="0036352D" w14:paraId="187F0171" w14:textId="77777777" w:rsidTr="0036352D">
        <w:tc>
          <w:tcPr>
            <w:tcW w:w="2830" w:type="dxa"/>
            <w:tcBorders>
              <w:top w:val="single" w:sz="4" w:space="0" w:color="000000"/>
              <w:bottom w:val="single" w:sz="4" w:space="0" w:color="000000"/>
            </w:tcBorders>
            <w:hideMark/>
          </w:tcPr>
          <w:p w14:paraId="476BFB89"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Parameter</w:t>
            </w:r>
          </w:p>
        </w:tc>
        <w:tc>
          <w:tcPr>
            <w:tcW w:w="985" w:type="dxa"/>
            <w:tcBorders>
              <w:top w:val="single" w:sz="4" w:space="0" w:color="000000"/>
              <w:bottom w:val="single" w:sz="4" w:space="0" w:color="000000"/>
            </w:tcBorders>
            <w:hideMark/>
          </w:tcPr>
          <w:p w14:paraId="149D872C"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Unit</w:t>
            </w:r>
          </w:p>
        </w:tc>
        <w:tc>
          <w:tcPr>
            <w:tcW w:w="1567" w:type="dxa"/>
            <w:tcBorders>
              <w:top w:val="single" w:sz="4" w:space="0" w:color="000000"/>
              <w:bottom w:val="single" w:sz="4" w:space="0" w:color="000000"/>
            </w:tcBorders>
            <w:hideMark/>
          </w:tcPr>
          <w:p w14:paraId="7A5752A3"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lastRenderedPageBreak/>
              <w:t>pseudostem</w:t>
            </w:r>
            <w:proofErr w:type="spellEnd"/>
          </w:p>
        </w:tc>
        <w:tc>
          <w:tcPr>
            <w:tcW w:w="1984" w:type="dxa"/>
            <w:tcBorders>
              <w:top w:val="single" w:sz="4" w:space="0" w:color="000000"/>
              <w:bottom w:val="single" w:sz="4" w:space="0" w:color="000000"/>
            </w:tcBorders>
            <w:hideMark/>
          </w:tcPr>
          <w:p w14:paraId="030A2524"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lastRenderedPageBreak/>
              <w:t xml:space="preserve">Red dragon fruit </w:t>
            </w:r>
            <w:r w:rsidRPr="0036352D">
              <w:rPr>
                <w:rFonts w:ascii="Arial" w:hAnsi="Arial" w:cs="Arial"/>
                <w:b/>
                <w:bCs/>
                <w:sz w:val="20"/>
              </w:rPr>
              <w:lastRenderedPageBreak/>
              <w:t>peel</w:t>
            </w:r>
          </w:p>
        </w:tc>
        <w:tc>
          <w:tcPr>
            <w:tcW w:w="1984" w:type="dxa"/>
            <w:tcBorders>
              <w:top w:val="single" w:sz="4" w:space="0" w:color="000000"/>
              <w:bottom w:val="single" w:sz="4" w:space="0" w:color="000000"/>
            </w:tcBorders>
            <w:hideMark/>
          </w:tcPr>
          <w:p w14:paraId="373F752D"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lastRenderedPageBreak/>
              <w:t xml:space="preserve">Durian pulp (cv. </w:t>
            </w:r>
            <w:r w:rsidRPr="0036352D">
              <w:rPr>
                <w:rFonts w:ascii="Arial" w:hAnsi="Arial" w:cs="Arial"/>
                <w:b/>
                <w:bCs/>
                <w:sz w:val="20"/>
              </w:rPr>
              <w:lastRenderedPageBreak/>
              <w:t xml:space="preserve">Ri6, </w:t>
            </w:r>
            <w:proofErr w:type="spellStart"/>
            <w:r w:rsidRPr="0036352D">
              <w:rPr>
                <w:rFonts w:ascii="Arial" w:hAnsi="Arial" w:cs="Arial"/>
                <w:b/>
                <w:bCs/>
                <w:sz w:val="20"/>
              </w:rPr>
              <w:t>Đắk</w:t>
            </w:r>
            <w:proofErr w:type="spellEnd"/>
            <w:r w:rsidRPr="0036352D">
              <w:rPr>
                <w:rFonts w:ascii="Arial" w:hAnsi="Arial" w:cs="Arial"/>
                <w:b/>
                <w:bCs/>
                <w:sz w:val="20"/>
              </w:rPr>
              <w:t xml:space="preserve"> </w:t>
            </w:r>
            <w:proofErr w:type="spellStart"/>
            <w:r w:rsidRPr="0036352D">
              <w:rPr>
                <w:rFonts w:ascii="Arial" w:hAnsi="Arial" w:cs="Arial"/>
                <w:b/>
                <w:bCs/>
                <w:sz w:val="20"/>
              </w:rPr>
              <w:t>Lắk</w:t>
            </w:r>
            <w:proofErr w:type="spellEnd"/>
            <w:r w:rsidRPr="0036352D">
              <w:rPr>
                <w:rFonts w:ascii="Arial" w:hAnsi="Arial" w:cs="Arial"/>
                <w:b/>
                <w:bCs/>
                <w:sz w:val="20"/>
              </w:rPr>
              <w:t>)</w:t>
            </w:r>
          </w:p>
        </w:tc>
      </w:tr>
      <w:tr w:rsidR="0036352D" w:rsidRPr="0036352D" w14:paraId="049C5D37" w14:textId="77777777" w:rsidTr="0036352D">
        <w:tc>
          <w:tcPr>
            <w:tcW w:w="2830" w:type="dxa"/>
            <w:tcBorders>
              <w:top w:val="single" w:sz="4" w:space="0" w:color="000000"/>
            </w:tcBorders>
            <w:hideMark/>
          </w:tcPr>
          <w:p w14:paraId="5B66F81B" w14:textId="77777777" w:rsidR="0036352D" w:rsidRPr="0036352D" w:rsidRDefault="0036352D" w:rsidP="00DB480E">
            <w:pPr>
              <w:pStyle w:val="Body"/>
              <w:spacing w:after="0"/>
              <w:rPr>
                <w:rFonts w:ascii="Arial" w:hAnsi="Arial" w:cs="Arial"/>
                <w:sz w:val="20"/>
              </w:rPr>
            </w:pPr>
            <w:r w:rsidRPr="0036352D">
              <w:rPr>
                <w:rFonts w:ascii="Arial" w:hAnsi="Arial" w:cs="Arial"/>
                <w:sz w:val="20"/>
              </w:rPr>
              <w:lastRenderedPageBreak/>
              <w:t>Betacyanin</w:t>
            </w:r>
          </w:p>
          <w:p w14:paraId="18491C85" w14:textId="77777777" w:rsidR="0036352D" w:rsidRPr="0036352D" w:rsidRDefault="0036352D" w:rsidP="00DB480E">
            <w:pPr>
              <w:pStyle w:val="Body"/>
              <w:spacing w:after="0"/>
              <w:rPr>
                <w:rFonts w:ascii="Arial" w:hAnsi="Arial" w:cs="Arial"/>
                <w:sz w:val="20"/>
              </w:rPr>
            </w:pPr>
            <w:r w:rsidRPr="0036352D">
              <w:rPr>
                <w:rFonts w:ascii="Arial" w:hAnsi="Arial" w:cs="Arial"/>
                <w:sz w:val="20"/>
              </w:rPr>
              <w:t>(</w:t>
            </w:r>
            <w:proofErr w:type="spellStart"/>
            <w:r w:rsidRPr="0036352D">
              <w:rPr>
                <w:rFonts w:ascii="Arial" w:hAnsi="Arial" w:cs="Arial"/>
                <w:sz w:val="20"/>
              </w:rPr>
              <w:t>λ_max</w:t>
            </w:r>
            <w:proofErr w:type="spellEnd"/>
            <w:r w:rsidRPr="0036352D">
              <w:rPr>
                <w:rFonts w:ascii="Arial" w:hAnsi="Arial" w:cs="Arial"/>
                <w:sz w:val="20"/>
              </w:rPr>
              <w:t xml:space="preserve"> = 535 nm)</w:t>
            </w:r>
          </w:p>
        </w:tc>
        <w:tc>
          <w:tcPr>
            <w:tcW w:w="985" w:type="dxa"/>
            <w:tcBorders>
              <w:top w:val="single" w:sz="4" w:space="0" w:color="000000"/>
            </w:tcBorders>
            <w:hideMark/>
          </w:tcPr>
          <w:p w14:paraId="47D7E5B2"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1567" w:type="dxa"/>
            <w:tcBorders>
              <w:top w:val="single" w:sz="4" w:space="0" w:color="000000"/>
            </w:tcBorders>
            <w:hideMark/>
          </w:tcPr>
          <w:p w14:paraId="4093AD2A"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tcBorders>
              <w:top w:val="single" w:sz="4" w:space="0" w:color="000000"/>
            </w:tcBorders>
            <w:hideMark/>
          </w:tcPr>
          <w:p w14:paraId="7C66F361"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2.45 ± 0.12</w:t>
            </w:r>
            <w:r w:rsidRPr="0036352D">
              <w:rPr>
                <w:rFonts w:ascii="Arial" w:hAnsi="Arial" w:cs="Arial"/>
                <w:sz w:val="20"/>
              </w:rPr>
              <w:t>ᵃ</w:t>
            </w:r>
          </w:p>
        </w:tc>
        <w:tc>
          <w:tcPr>
            <w:tcW w:w="1984" w:type="dxa"/>
            <w:tcBorders>
              <w:top w:val="single" w:sz="4" w:space="0" w:color="000000"/>
            </w:tcBorders>
            <w:hideMark/>
          </w:tcPr>
          <w:p w14:paraId="1493C940"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r>
      <w:tr w:rsidR="0036352D" w:rsidRPr="0036352D" w14:paraId="2A7487A0" w14:textId="77777777" w:rsidTr="0036352D">
        <w:tc>
          <w:tcPr>
            <w:tcW w:w="2830" w:type="dxa"/>
            <w:hideMark/>
          </w:tcPr>
          <w:p w14:paraId="7DB0CCF6"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w:t>
            </w:r>
          </w:p>
          <w:p w14:paraId="02B3EC3D" w14:textId="77777777" w:rsidR="0036352D" w:rsidRPr="0036352D" w:rsidRDefault="0036352D" w:rsidP="00DB480E">
            <w:pPr>
              <w:pStyle w:val="Body"/>
              <w:spacing w:after="0"/>
              <w:rPr>
                <w:rFonts w:ascii="Arial" w:hAnsi="Arial" w:cs="Arial"/>
                <w:sz w:val="20"/>
              </w:rPr>
            </w:pPr>
            <w:r w:rsidRPr="0036352D">
              <w:rPr>
                <w:rFonts w:ascii="Arial" w:hAnsi="Arial" w:cs="Arial"/>
                <w:sz w:val="20"/>
              </w:rPr>
              <w:t>(</w:t>
            </w:r>
            <w:proofErr w:type="spellStart"/>
            <w:r w:rsidRPr="0036352D">
              <w:rPr>
                <w:rFonts w:ascii="Arial" w:hAnsi="Arial" w:cs="Arial"/>
                <w:sz w:val="20"/>
              </w:rPr>
              <w:t>λ_max</w:t>
            </w:r>
            <w:proofErr w:type="spellEnd"/>
            <w:r w:rsidRPr="0036352D">
              <w:rPr>
                <w:rFonts w:ascii="Arial" w:hAnsi="Arial" w:cs="Arial"/>
                <w:sz w:val="20"/>
              </w:rPr>
              <w:t xml:space="preserve"> = 452 nm)</w:t>
            </w:r>
          </w:p>
        </w:tc>
        <w:tc>
          <w:tcPr>
            <w:tcW w:w="985" w:type="dxa"/>
            <w:hideMark/>
          </w:tcPr>
          <w:p w14:paraId="4B7A7ECE"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1567" w:type="dxa"/>
            <w:hideMark/>
          </w:tcPr>
          <w:p w14:paraId="355F89D8"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2D37E841"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54D5D5B6"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0.051 ± 0.003</w:t>
            </w:r>
            <w:r w:rsidRPr="0036352D">
              <w:rPr>
                <w:rFonts w:ascii="Arial" w:hAnsi="Arial" w:cs="Arial"/>
                <w:sz w:val="20"/>
              </w:rPr>
              <w:t>ᵇ</w:t>
            </w:r>
          </w:p>
        </w:tc>
      </w:tr>
      <w:tr w:rsidR="0036352D" w:rsidRPr="0036352D" w14:paraId="193D7AAA" w14:textId="77777777" w:rsidTr="0036352D">
        <w:tc>
          <w:tcPr>
            <w:tcW w:w="2830" w:type="dxa"/>
            <w:hideMark/>
          </w:tcPr>
          <w:p w14:paraId="5383DD2A" w14:textId="77777777" w:rsidR="0036352D" w:rsidRPr="0036352D" w:rsidRDefault="0036352D" w:rsidP="00DB480E">
            <w:pPr>
              <w:pStyle w:val="Body"/>
              <w:spacing w:after="0"/>
              <w:rPr>
                <w:rFonts w:ascii="Arial" w:hAnsi="Arial" w:cs="Arial"/>
                <w:sz w:val="20"/>
              </w:rPr>
            </w:pPr>
            <w:r w:rsidRPr="0036352D">
              <w:rPr>
                <w:rFonts w:ascii="Arial" w:hAnsi="Arial" w:cs="Arial"/>
                <w:sz w:val="20"/>
              </w:rPr>
              <w:t>Lutein</w:t>
            </w:r>
          </w:p>
          <w:p w14:paraId="04C87E83" w14:textId="77777777" w:rsidR="0036352D" w:rsidRPr="0036352D" w:rsidRDefault="0036352D" w:rsidP="00DB480E">
            <w:pPr>
              <w:pStyle w:val="Body"/>
              <w:spacing w:after="0"/>
              <w:rPr>
                <w:rFonts w:ascii="Arial" w:hAnsi="Arial" w:cs="Arial"/>
                <w:sz w:val="20"/>
              </w:rPr>
            </w:pPr>
            <w:r w:rsidRPr="0036352D">
              <w:rPr>
                <w:rFonts w:ascii="Arial" w:hAnsi="Arial" w:cs="Arial"/>
                <w:sz w:val="20"/>
              </w:rPr>
              <w:t>(</w:t>
            </w:r>
            <w:proofErr w:type="spellStart"/>
            <w:r w:rsidRPr="0036352D">
              <w:rPr>
                <w:rFonts w:ascii="Arial" w:hAnsi="Arial" w:cs="Arial"/>
                <w:sz w:val="20"/>
              </w:rPr>
              <w:t>λ_max</w:t>
            </w:r>
            <w:proofErr w:type="spellEnd"/>
            <w:r w:rsidRPr="0036352D">
              <w:rPr>
                <w:rFonts w:ascii="Arial" w:hAnsi="Arial" w:cs="Arial"/>
                <w:sz w:val="20"/>
              </w:rPr>
              <w:t xml:space="preserve"> = 445 nm)</w:t>
            </w:r>
          </w:p>
        </w:tc>
        <w:tc>
          <w:tcPr>
            <w:tcW w:w="985" w:type="dxa"/>
            <w:hideMark/>
          </w:tcPr>
          <w:p w14:paraId="1AAA0A6F" w14:textId="77777777" w:rsidR="0036352D" w:rsidRPr="0036352D" w:rsidRDefault="0036352D" w:rsidP="00DB480E">
            <w:pPr>
              <w:pStyle w:val="Body"/>
              <w:spacing w:after="0"/>
              <w:rPr>
                <w:rFonts w:ascii="Arial" w:hAnsi="Arial" w:cs="Arial"/>
                <w:sz w:val="20"/>
              </w:rPr>
            </w:pPr>
            <w:r w:rsidRPr="0036352D">
              <w:rPr>
                <w:rFonts w:ascii="Arial" w:hAnsi="Arial" w:cs="Arial"/>
                <w:sz w:val="20"/>
              </w:rPr>
              <w:t>mg/g DW</w:t>
            </w:r>
          </w:p>
        </w:tc>
        <w:tc>
          <w:tcPr>
            <w:tcW w:w="1567" w:type="dxa"/>
            <w:hideMark/>
          </w:tcPr>
          <w:p w14:paraId="085F0990"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40FE867F" w14:textId="77777777" w:rsidR="0036352D" w:rsidRPr="0036352D" w:rsidRDefault="0036352D" w:rsidP="00DB480E">
            <w:pPr>
              <w:pStyle w:val="Body"/>
              <w:spacing w:after="0"/>
              <w:rPr>
                <w:rFonts w:ascii="Arial" w:hAnsi="Arial" w:cs="Arial"/>
                <w:sz w:val="20"/>
              </w:rPr>
            </w:pPr>
            <w:r w:rsidRPr="0036352D">
              <w:rPr>
                <w:rFonts w:ascii="Arial" w:hAnsi="Arial" w:cs="Arial"/>
                <w:sz w:val="20"/>
              </w:rPr>
              <w:t>ND</w:t>
            </w:r>
          </w:p>
        </w:tc>
        <w:tc>
          <w:tcPr>
            <w:tcW w:w="1984" w:type="dxa"/>
            <w:hideMark/>
          </w:tcPr>
          <w:p w14:paraId="7F7A7DEA"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0.017 ± 0.001</w:t>
            </w:r>
            <w:r w:rsidRPr="0036352D">
              <w:rPr>
                <w:rFonts w:ascii="Arial" w:hAnsi="Arial" w:cs="Arial"/>
                <w:sz w:val="20"/>
              </w:rPr>
              <w:t>ᶜ</w:t>
            </w:r>
          </w:p>
        </w:tc>
      </w:tr>
    </w:tbl>
    <w:p w14:paraId="66977A96" w14:textId="77777777" w:rsidR="0036352D" w:rsidRPr="0036352D" w:rsidRDefault="0036352D" w:rsidP="0036352D">
      <w:pPr>
        <w:pStyle w:val="Body"/>
        <w:rPr>
          <w:rFonts w:ascii="Arial" w:hAnsi="Arial" w:cs="Arial"/>
        </w:rPr>
      </w:pPr>
      <w:r w:rsidRPr="0036352D">
        <w:rPr>
          <w:rFonts w:ascii="Arial" w:hAnsi="Arial" w:cs="Arial"/>
        </w:rPr>
        <w:t>ND: not detected. Different superscripts indicate significant differences at p &lt; 0.05 (ANOVA/Tukey).</w:t>
      </w:r>
    </w:p>
    <w:p w14:paraId="5C46BA7C" w14:textId="77777777" w:rsidR="0036352D" w:rsidRPr="0036352D" w:rsidRDefault="0036352D" w:rsidP="0036352D">
      <w:pPr>
        <w:pStyle w:val="Body"/>
        <w:rPr>
          <w:rFonts w:ascii="Arial" w:hAnsi="Arial" w:cs="Arial"/>
        </w:rPr>
      </w:pPr>
      <w:r w:rsidRPr="0036352D">
        <w:rPr>
          <w:rFonts w:ascii="Arial" w:hAnsi="Arial" w:cs="Arial"/>
        </w:rPr>
        <w:t xml:space="preserve">The statistical analysis demonstrated clear differences in pigment composition among the studied plant matrices. Dragon fruit peel exhibited the highest pigment concentration, dominated by betacyanin at </w:t>
      </w:r>
      <w:r w:rsidRPr="0036352D">
        <w:rPr>
          <w:rFonts w:ascii="Arial" w:hAnsi="Arial" w:cs="Arial"/>
          <w:bCs/>
        </w:rPr>
        <w:t>2.45 ± 0.12 mg/g DW</w:t>
      </w:r>
      <w:r w:rsidRPr="0036352D">
        <w:rPr>
          <w:rFonts w:ascii="Arial" w:hAnsi="Arial" w:cs="Arial"/>
        </w:rPr>
        <w:t>, a value significantly higher than any carotenoid detected in durian pulp (</w:t>
      </w:r>
      <w:r w:rsidRPr="0036352D">
        <w:rPr>
          <w:rFonts w:ascii="Arial" w:hAnsi="Arial" w:cs="Arial"/>
          <w:bCs/>
        </w:rPr>
        <w:t>p &lt; 0.001</w:t>
      </w:r>
      <w:r w:rsidRPr="0036352D">
        <w:rPr>
          <w:rFonts w:ascii="Arial" w:hAnsi="Arial" w:cs="Arial"/>
        </w:rPr>
        <w:t xml:space="preserve">). The absorption maximum at </w:t>
      </w:r>
      <w:proofErr w:type="spellStart"/>
      <w:r w:rsidRPr="0036352D">
        <w:rPr>
          <w:rFonts w:ascii="Arial" w:hAnsi="Arial" w:cs="Arial"/>
          <w:bCs/>
        </w:rPr>
        <w:t>λ_max</w:t>
      </w:r>
      <w:proofErr w:type="spellEnd"/>
      <w:r w:rsidRPr="0036352D">
        <w:rPr>
          <w:rFonts w:ascii="Arial" w:hAnsi="Arial" w:cs="Arial"/>
          <w:bCs/>
        </w:rPr>
        <w:t xml:space="preserve"> = 535 nm</w:t>
      </w:r>
      <w:r w:rsidRPr="0036352D">
        <w:rPr>
          <w:rFonts w:ascii="Arial" w:hAnsi="Arial" w:cs="Arial"/>
        </w:rPr>
        <w:t xml:space="preserve">, consistent with the spectral profile of betanin, highlights the strong antioxidant and photoprotective potential of </w:t>
      </w:r>
      <w:proofErr w:type="spellStart"/>
      <w:r w:rsidRPr="0036352D">
        <w:rPr>
          <w:rFonts w:ascii="Arial" w:hAnsi="Arial" w:cs="Arial"/>
        </w:rPr>
        <w:t>betalains</w:t>
      </w:r>
      <w:proofErr w:type="spellEnd"/>
      <w:r w:rsidRPr="0036352D">
        <w:rPr>
          <w:rFonts w:ascii="Arial" w:hAnsi="Arial" w:cs="Arial"/>
        </w:rPr>
        <w:t xml:space="preserve">, confirming dragon fruit peel as an excellent source of natural food colorants and bioactive pigments. In contrast, durian pulp (cv. Ri6, </w:t>
      </w:r>
      <w:proofErr w:type="spellStart"/>
      <w:r w:rsidRPr="0036352D">
        <w:rPr>
          <w:rFonts w:ascii="Arial" w:hAnsi="Arial" w:cs="Arial"/>
        </w:rPr>
        <w:t>Đắk</w:t>
      </w:r>
      <w:proofErr w:type="spellEnd"/>
      <w:r w:rsidRPr="0036352D">
        <w:rPr>
          <w:rFonts w:ascii="Arial" w:hAnsi="Arial" w:cs="Arial"/>
        </w:rPr>
        <w:t xml:space="preserve"> </w:t>
      </w:r>
      <w:proofErr w:type="spellStart"/>
      <w:r w:rsidRPr="0036352D">
        <w:rPr>
          <w:rFonts w:ascii="Arial" w:hAnsi="Arial" w:cs="Arial"/>
        </w:rPr>
        <w:t>Lắk</w:t>
      </w:r>
      <w:proofErr w:type="spellEnd"/>
      <w:r w:rsidRPr="0036352D">
        <w:rPr>
          <w:rFonts w:ascii="Arial" w:hAnsi="Arial" w:cs="Arial"/>
        </w:rPr>
        <w:t xml:space="preserve">) displayed a distinct carotenoid profile, with </w:t>
      </w:r>
      <w:r w:rsidRPr="0036352D">
        <w:rPr>
          <w:rFonts w:ascii="Arial" w:hAnsi="Arial" w:cs="Arial"/>
          <w:bCs/>
        </w:rPr>
        <w:t>β-carotene (0.051 ± 0.003 mg/g DW)</w:t>
      </w:r>
      <w:r w:rsidRPr="0036352D">
        <w:rPr>
          <w:rFonts w:ascii="Arial" w:hAnsi="Arial" w:cs="Arial"/>
        </w:rPr>
        <w:t xml:space="preserve"> being approximately threefold higher than </w:t>
      </w:r>
      <w:r w:rsidRPr="0036352D">
        <w:rPr>
          <w:rFonts w:ascii="Arial" w:hAnsi="Arial" w:cs="Arial"/>
          <w:bCs/>
        </w:rPr>
        <w:t>lutein (0.017 ± 0.001 mg/g DW)</w:t>
      </w:r>
      <w:r w:rsidRPr="0036352D">
        <w:rPr>
          <w:rFonts w:ascii="Arial" w:hAnsi="Arial" w:cs="Arial"/>
        </w:rPr>
        <w:t xml:space="preserve"> (</w:t>
      </w:r>
      <w:r w:rsidRPr="0036352D">
        <w:rPr>
          <w:rFonts w:ascii="Arial" w:hAnsi="Arial" w:cs="Arial"/>
          <w:bCs/>
        </w:rPr>
        <w:t>p &lt; 0.001</w:t>
      </w:r>
      <w:r w:rsidRPr="0036352D">
        <w:rPr>
          <w:rFonts w:ascii="Arial" w:hAnsi="Arial" w:cs="Arial"/>
        </w:rPr>
        <w:t xml:space="preserve">). Although the concentrations were relatively low compared to the </w:t>
      </w:r>
      <w:proofErr w:type="spellStart"/>
      <w:r w:rsidRPr="0036352D">
        <w:rPr>
          <w:rFonts w:ascii="Arial" w:hAnsi="Arial" w:cs="Arial"/>
        </w:rPr>
        <w:t>betalains</w:t>
      </w:r>
      <w:proofErr w:type="spellEnd"/>
      <w:r w:rsidRPr="0036352D">
        <w:rPr>
          <w:rFonts w:ascii="Arial" w:hAnsi="Arial" w:cs="Arial"/>
        </w:rPr>
        <w:t xml:space="preserve"> of dragon fruit, β-carotene remains important as a provitamin A compound that contributes both to the nutritional value and the characteristic yellow coloration of durian pulp, while lutein, though present at lower levels, plays a crucial role in eye health by filtering high-energy blue light. Banana </w:t>
      </w:r>
      <w:proofErr w:type="spellStart"/>
      <w:r w:rsidRPr="0036352D">
        <w:rPr>
          <w:rFonts w:ascii="Arial" w:hAnsi="Arial" w:cs="Arial"/>
        </w:rPr>
        <w:t>pseudostem</w:t>
      </w:r>
      <w:proofErr w:type="spellEnd"/>
      <w:r w:rsidRPr="0036352D">
        <w:rPr>
          <w:rFonts w:ascii="Arial" w:hAnsi="Arial" w:cs="Arial"/>
        </w:rPr>
        <w:t xml:space="preserve">, on the other hand, did not contain detectable levels of carotenoids or </w:t>
      </w:r>
      <w:proofErr w:type="spellStart"/>
      <w:r w:rsidRPr="0036352D">
        <w:rPr>
          <w:rFonts w:ascii="Arial" w:hAnsi="Arial" w:cs="Arial"/>
        </w:rPr>
        <w:t>betalains</w:t>
      </w:r>
      <w:proofErr w:type="spellEnd"/>
      <w:r w:rsidRPr="0036352D">
        <w:rPr>
          <w:rFonts w:ascii="Arial" w:hAnsi="Arial" w:cs="Arial"/>
        </w:rPr>
        <w:t xml:space="preserve">, which is consistent with its biochemical profile dominated by lignocellulosic components and phenolic acids rather than pigments. Regarding stability under UV exposure, betacyanin in dragon fruit peel showed a significant decrease of </w:t>
      </w:r>
      <w:r w:rsidRPr="0036352D">
        <w:rPr>
          <w:rFonts w:ascii="Arial" w:hAnsi="Arial" w:cs="Arial"/>
          <w:bCs/>
        </w:rPr>
        <w:t>34 ± 3%</w:t>
      </w:r>
      <w:r w:rsidRPr="0036352D">
        <w:rPr>
          <w:rFonts w:ascii="Arial" w:hAnsi="Arial" w:cs="Arial"/>
        </w:rPr>
        <w:t xml:space="preserve"> after 3 h of UVA irradiation (365 nm, 2 </w:t>
      </w:r>
      <w:proofErr w:type="spellStart"/>
      <w:r w:rsidRPr="0036352D">
        <w:rPr>
          <w:rFonts w:ascii="Arial" w:hAnsi="Arial" w:cs="Arial"/>
        </w:rPr>
        <w:t>mW</w:t>
      </w:r>
      <w:proofErr w:type="spellEnd"/>
      <w:r w:rsidRPr="0036352D">
        <w:rPr>
          <w:rFonts w:ascii="Arial" w:hAnsi="Arial" w:cs="Arial"/>
        </w:rPr>
        <w:t xml:space="preserve">/cm²), whereas β-carotene and lutein in durian pulp decreased by </w:t>
      </w:r>
      <w:r w:rsidRPr="0036352D">
        <w:rPr>
          <w:rFonts w:ascii="Arial" w:hAnsi="Arial" w:cs="Arial"/>
          <w:bCs/>
        </w:rPr>
        <w:t>18 ± 2%</w:t>
      </w:r>
      <w:r w:rsidRPr="0036352D">
        <w:rPr>
          <w:rFonts w:ascii="Arial" w:hAnsi="Arial" w:cs="Arial"/>
        </w:rPr>
        <w:t xml:space="preserve"> and </w:t>
      </w:r>
      <w:r w:rsidRPr="0036352D">
        <w:rPr>
          <w:rFonts w:ascii="Arial" w:hAnsi="Arial" w:cs="Arial"/>
          <w:bCs/>
        </w:rPr>
        <w:t>24 ± 2%</w:t>
      </w:r>
      <w:r w:rsidRPr="0036352D">
        <w:rPr>
          <w:rFonts w:ascii="Arial" w:hAnsi="Arial" w:cs="Arial"/>
        </w:rPr>
        <w:t>, respectively (</w:t>
      </w:r>
      <w:r w:rsidRPr="0036352D">
        <w:rPr>
          <w:rFonts w:ascii="Arial" w:hAnsi="Arial" w:cs="Arial"/>
          <w:bCs/>
        </w:rPr>
        <w:t>ANOVA, p &lt; 0.05</w:t>
      </w:r>
      <w:r w:rsidRPr="0036352D">
        <w:rPr>
          <w:rFonts w:ascii="Arial" w:hAnsi="Arial" w:cs="Arial"/>
        </w:rPr>
        <w:t xml:space="preserve">). These results indicate that </w:t>
      </w:r>
      <w:proofErr w:type="spellStart"/>
      <w:r w:rsidRPr="0036352D">
        <w:rPr>
          <w:rFonts w:ascii="Arial" w:hAnsi="Arial" w:cs="Arial"/>
        </w:rPr>
        <w:t>betalains</w:t>
      </w:r>
      <w:proofErr w:type="spellEnd"/>
      <w:r w:rsidRPr="0036352D">
        <w:rPr>
          <w:rFonts w:ascii="Arial" w:hAnsi="Arial" w:cs="Arial"/>
        </w:rPr>
        <w:t xml:space="preserve"> are more photolabile than carotenoids, emphasizing the need for protective packaging or encapsulation strategies in product development. Collectively, the findings underscore the complementary applications of these by-products: dragon fruit peel, as the richest source of </w:t>
      </w:r>
      <w:proofErr w:type="spellStart"/>
      <w:r w:rsidRPr="0036352D">
        <w:rPr>
          <w:rFonts w:ascii="Arial" w:hAnsi="Arial" w:cs="Arial"/>
        </w:rPr>
        <w:t>betalains</w:t>
      </w:r>
      <w:proofErr w:type="spellEnd"/>
      <w:r w:rsidRPr="0036352D">
        <w:rPr>
          <w:rFonts w:ascii="Arial" w:hAnsi="Arial" w:cs="Arial"/>
        </w:rPr>
        <w:t xml:space="preserve"> (approximately 50-fold higher than carotenoids in durian pulp), is highly suitable for nutraceuticals, food colorants, and cosmetic formulations; durian pulp provides valuable carotenoids, particularly β-carotene and lutein, supporting its nutritional relevance; while banana </w:t>
      </w:r>
      <w:proofErr w:type="spellStart"/>
      <w:r w:rsidRPr="0036352D">
        <w:rPr>
          <w:rFonts w:ascii="Arial" w:hAnsi="Arial" w:cs="Arial"/>
        </w:rPr>
        <w:t>pseudostem</w:t>
      </w:r>
      <w:proofErr w:type="spellEnd"/>
      <w:r w:rsidRPr="0036352D">
        <w:rPr>
          <w:rFonts w:ascii="Arial" w:hAnsi="Arial" w:cs="Arial"/>
        </w:rPr>
        <w:t>, lacking pigments, remains an excellent raw material for biopolymers and UV-protective films.</w:t>
      </w:r>
    </w:p>
    <w:p w14:paraId="206D19C4" w14:textId="77777777" w:rsidR="0036352D" w:rsidRPr="0036352D" w:rsidRDefault="0036352D" w:rsidP="0036352D">
      <w:pPr>
        <w:pStyle w:val="Body"/>
        <w:rPr>
          <w:rFonts w:ascii="Arial" w:hAnsi="Arial" w:cs="Arial"/>
          <w:b/>
          <w:bCs/>
        </w:rPr>
      </w:pPr>
      <w:r w:rsidRPr="0036352D">
        <w:rPr>
          <w:rFonts w:ascii="Arial" w:hAnsi="Arial" w:cs="Arial"/>
          <w:b/>
          <w:bCs/>
        </w:rPr>
        <w:t>3.4. Mineral composition</w:t>
      </w:r>
    </w:p>
    <w:p w14:paraId="14822B34" w14:textId="77777777" w:rsidR="0036352D" w:rsidRPr="0036352D" w:rsidRDefault="0036352D" w:rsidP="0036352D">
      <w:pPr>
        <w:pStyle w:val="Body"/>
        <w:rPr>
          <w:rFonts w:ascii="Arial" w:hAnsi="Arial" w:cs="Arial"/>
        </w:rPr>
      </w:pPr>
      <w:r w:rsidRPr="0036352D">
        <w:rPr>
          <w:rFonts w:ascii="Arial" w:hAnsi="Arial" w:cs="Arial"/>
          <w:b/>
          <w:bCs/>
        </w:rPr>
        <w:t xml:space="preserve">Table 4. Mineral composition of banana </w:t>
      </w:r>
      <w:proofErr w:type="spellStart"/>
      <w:r w:rsidRPr="0036352D">
        <w:rPr>
          <w:rFonts w:ascii="Arial" w:hAnsi="Arial" w:cs="Arial"/>
          <w:b/>
          <w:bCs/>
        </w:rPr>
        <w:t>pseudostem</w:t>
      </w:r>
      <w:proofErr w:type="spellEnd"/>
      <w:r w:rsidRPr="0036352D">
        <w:rPr>
          <w:rFonts w:ascii="Arial" w:hAnsi="Arial" w:cs="Arial"/>
          <w:b/>
          <w:bCs/>
        </w:rPr>
        <w:t>, dragon fruit peel, and durian pulp (mean ± SD, mg/100 g DW, n = 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3524"/>
        <w:gridCol w:w="3054"/>
        <w:gridCol w:w="2780"/>
      </w:tblGrid>
      <w:tr w:rsidR="0036352D" w:rsidRPr="0036352D" w14:paraId="6008C1B1" w14:textId="77777777" w:rsidTr="0036352D">
        <w:tc>
          <w:tcPr>
            <w:tcW w:w="0" w:type="auto"/>
            <w:tcBorders>
              <w:top w:val="single" w:sz="4" w:space="0" w:color="000000"/>
              <w:bottom w:val="single" w:sz="4" w:space="0" w:color="000000"/>
            </w:tcBorders>
            <w:hideMark/>
          </w:tcPr>
          <w:p w14:paraId="60C029CE"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Mineral</w:t>
            </w:r>
          </w:p>
        </w:tc>
        <w:tc>
          <w:tcPr>
            <w:tcW w:w="0" w:type="auto"/>
            <w:tcBorders>
              <w:top w:val="single" w:sz="4" w:space="0" w:color="000000"/>
              <w:bottom w:val="single" w:sz="4" w:space="0" w:color="000000"/>
            </w:tcBorders>
            <w:hideMark/>
          </w:tcPr>
          <w:p w14:paraId="47109B5A"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r w:rsidRPr="0036352D">
              <w:rPr>
                <w:rFonts w:ascii="Arial" w:hAnsi="Arial" w:cs="Arial"/>
                <w:b/>
                <w:bCs/>
                <w:sz w:val="20"/>
              </w:rPr>
              <w:t xml:space="preserve"> (U Minh </w:t>
            </w:r>
            <w:proofErr w:type="spellStart"/>
            <w:r w:rsidRPr="0036352D">
              <w:rPr>
                <w:rFonts w:ascii="Arial" w:hAnsi="Arial" w:cs="Arial"/>
                <w:b/>
                <w:bCs/>
                <w:sz w:val="20"/>
              </w:rPr>
              <w:t>Thượng</w:t>
            </w:r>
            <w:proofErr w:type="spellEnd"/>
            <w:r w:rsidRPr="0036352D">
              <w:rPr>
                <w:rFonts w:ascii="Arial" w:hAnsi="Arial" w:cs="Arial"/>
                <w:b/>
                <w:bCs/>
                <w:sz w:val="20"/>
              </w:rPr>
              <w:t>)</w:t>
            </w:r>
          </w:p>
        </w:tc>
        <w:tc>
          <w:tcPr>
            <w:tcW w:w="0" w:type="auto"/>
            <w:tcBorders>
              <w:top w:val="single" w:sz="4" w:space="0" w:color="000000"/>
              <w:bottom w:val="single" w:sz="4" w:space="0" w:color="000000"/>
            </w:tcBorders>
            <w:hideMark/>
          </w:tcPr>
          <w:p w14:paraId="6324AB87"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Red dragon fruit peel (</w:t>
            </w:r>
            <w:proofErr w:type="spellStart"/>
            <w:r w:rsidRPr="0036352D">
              <w:rPr>
                <w:rFonts w:ascii="Arial" w:hAnsi="Arial" w:cs="Arial"/>
                <w:b/>
                <w:bCs/>
                <w:sz w:val="20"/>
              </w:rPr>
              <w:t>Lâm</w:t>
            </w:r>
            <w:proofErr w:type="spellEnd"/>
            <w:r w:rsidRPr="0036352D">
              <w:rPr>
                <w:rFonts w:ascii="Arial" w:hAnsi="Arial" w:cs="Arial"/>
                <w:b/>
                <w:bCs/>
                <w:sz w:val="20"/>
              </w:rPr>
              <w:t xml:space="preserve"> </w:t>
            </w:r>
            <w:proofErr w:type="spellStart"/>
            <w:r w:rsidRPr="0036352D">
              <w:rPr>
                <w:rFonts w:ascii="Arial" w:hAnsi="Arial" w:cs="Arial"/>
                <w:b/>
                <w:bCs/>
                <w:sz w:val="20"/>
              </w:rPr>
              <w:t>Đồng</w:t>
            </w:r>
            <w:proofErr w:type="spellEnd"/>
            <w:r w:rsidRPr="0036352D">
              <w:rPr>
                <w:rFonts w:ascii="Arial" w:hAnsi="Arial" w:cs="Arial"/>
                <w:b/>
                <w:bCs/>
                <w:sz w:val="20"/>
              </w:rPr>
              <w:t>)</w:t>
            </w:r>
          </w:p>
        </w:tc>
        <w:tc>
          <w:tcPr>
            <w:tcW w:w="0" w:type="auto"/>
            <w:tcBorders>
              <w:top w:val="single" w:sz="4" w:space="0" w:color="000000"/>
              <w:bottom w:val="single" w:sz="4" w:space="0" w:color="000000"/>
            </w:tcBorders>
            <w:hideMark/>
          </w:tcPr>
          <w:p w14:paraId="10D54019"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Durian husk, cv. Ri6 (</w:t>
            </w:r>
            <w:proofErr w:type="spellStart"/>
            <w:r w:rsidRPr="0036352D">
              <w:rPr>
                <w:rFonts w:ascii="Arial" w:hAnsi="Arial" w:cs="Arial"/>
                <w:b/>
                <w:bCs/>
                <w:sz w:val="20"/>
              </w:rPr>
              <w:t>Đắk</w:t>
            </w:r>
            <w:proofErr w:type="spellEnd"/>
            <w:r w:rsidRPr="0036352D">
              <w:rPr>
                <w:rFonts w:ascii="Arial" w:hAnsi="Arial" w:cs="Arial"/>
                <w:b/>
                <w:bCs/>
                <w:sz w:val="20"/>
              </w:rPr>
              <w:t xml:space="preserve"> </w:t>
            </w:r>
            <w:proofErr w:type="spellStart"/>
            <w:r w:rsidRPr="0036352D">
              <w:rPr>
                <w:rFonts w:ascii="Arial" w:hAnsi="Arial" w:cs="Arial"/>
                <w:b/>
                <w:bCs/>
                <w:sz w:val="20"/>
              </w:rPr>
              <w:t>Lắk</w:t>
            </w:r>
            <w:proofErr w:type="spellEnd"/>
            <w:r w:rsidRPr="0036352D">
              <w:rPr>
                <w:rFonts w:ascii="Arial" w:hAnsi="Arial" w:cs="Arial"/>
                <w:b/>
                <w:bCs/>
                <w:sz w:val="20"/>
              </w:rPr>
              <w:t>)</w:t>
            </w:r>
          </w:p>
        </w:tc>
      </w:tr>
      <w:tr w:rsidR="0036352D" w:rsidRPr="0036352D" w14:paraId="756D1290" w14:textId="77777777" w:rsidTr="0036352D">
        <w:tc>
          <w:tcPr>
            <w:tcW w:w="0" w:type="auto"/>
            <w:tcBorders>
              <w:top w:val="single" w:sz="4" w:space="0" w:color="000000"/>
            </w:tcBorders>
            <w:hideMark/>
          </w:tcPr>
          <w:p w14:paraId="4AFB8F7F" w14:textId="77777777" w:rsidR="0036352D" w:rsidRPr="0036352D" w:rsidRDefault="0036352D" w:rsidP="00DB480E">
            <w:pPr>
              <w:pStyle w:val="Body"/>
              <w:spacing w:after="0"/>
              <w:rPr>
                <w:rFonts w:ascii="Arial" w:hAnsi="Arial" w:cs="Arial"/>
                <w:sz w:val="20"/>
              </w:rPr>
            </w:pPr>
            <w:r w:rsidRPr="0036352D">
              <w:rPr>
                <w:rFonts w:ascii="Arial" w:hAnsi="Arial" w:cs="Arial"/>
                <w:sz w:val="20"/>
              </w:rPr>
              <w:t>Potassium (K)</w:t>
            </w:r>
          </w:p>
        </w:tc>
        <w:tc>
          <w:tcPr>
            <w:tcW w:w="0" w:type="auto"/>
            <w:tcBorders>
              <w:top w:val="single" w:sz="4" w:space="0" w:color="000000"/>
            </w:tcBorders>
            <w:hideMark/>
          </w:tcPr>
          <w:p w14:paraId="2FBCE011"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1,820 ± 65ᵃ</w:t>
            </w:r>
          </w:p>
        </w:tc>
        <w:tc>
          <w:tcPr>
            <w:tcW w:w="0" w:type="auto"/>
            <w:tcBorders>
              <w:top w:val="single" w:sz="4" w:space="0" w:color="000000"/>
            </w:tcBorders>
            <w:hideMark/>
          </w:tcPr>
          <w:p w14:paraId="7BECB959"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1,240 ± 52ᵇ</w:t>
            </w:r>
          </w:p>
        </w:tc>
        <w:tc>
          <w:tcPr>
            <w:tcW w:w="0" w:type="auto"/>
            <w:tcBorders>
              <w:top w:val="single" w:sz="4" w:space="0" w:color="000000"/>
            </w:tcBorders>
            <w:hideMark/>
          </w:tcPr>
          <w:p w14:paraId="438F8EFB" w14:textId="77777777" w:rsidR="0036352D" w:rsidRPr="0036352D" w:rsidRDefault="0036352D" w:rsidP="00DB480E">
            <w:pPr>
              <w:pStyle w:val="Body"/>
              <w:spacing w:after="0"/>
              <w:rPr>
                <w:rFonts w:ascii="Arial" w:hAnsi="Arial" w:cs="Arial"/>
                <w:sz w:val="20"/>
              </w:rPr>
            </w:pPr>
            <w:r w:rsidRPr="0036352D">
              <w:rPr>
                <w:rFonts w:ascii="Arial" w:hAnsi="Arial" w:cs="Arial"/>
                <w:sz w:val="20"/>
              </w:rPr>
              <w:t>1,520 ± 61ᶜ</w:t>
            </w:r>
          </w:p>
        </w:tc>
      </w:tr>
      <w:tr w:rsidR="0036352D" w:rsidRPr="0036352D" w14:paraId="64CB2C86" w14:textId="77777777" w:rsidTr="0036352D">
        <w:tc>
          <w:tcPr>
            <w:tcW w:w="0" w:type="auto"/>
            <w:hideMark/>
          </w:tcPr>
          <w:p w14:paraId="746E2747" w14:textId="77777777" w:rsidR="0036352D" w:rsidRPr="0036352D" w:rsidRDefault="0036352D" w:rsidP="00DB480E">
            <w:pPr>
              <w:pStyle w:val="Body"/>
              <w:spacing w:after="0"/>
              <w:rPr>
                <w:rFonts w:ascii="Arial" w:hAnsi="Arial" w:cs="Arial"/>
                <w:sz w:val="20"/>
              </w:rPr>
            </w:pPr>
            <w:r w:rsidRPr="0036352D">
              <w:rPr>
                <w:rFonts w:ascii="Arial" w:hAnsi="Arial" w:cs="Arial"/>
                <w:sz w:val="20"/>
              </w:rPr>
              <w:t>Calcium (Ca)</w:t>
            </w:r>
          </w:p>
        </w:tc>
        <w:tc>
          <w:tcPr>
            <w:tcW w:w="0" w:type="auto"/>
            <w:hideMark/>
          </w:tcPr>
          <w:p w14:paraId="40E5D07E" w14:textId="77777777" w:rsidR="0036352D" w:rsidRPr="0036352D" w:rsidRDefault="0036352D" w:rsidP="00DB480E">
            <w:pPr>
              <w:pStyle w:val="Body"/>
              <w:spacing w:after="0"/>
              <w:rPr>
                <w:rFonts w:ascii="Arial" w:hAnsi="Arial" w:cs="Arial"/>
                <w:sz w:val="20"/>
              </w:rPr>
            </w:pPr>
            <w:r w:rsidRPr="0036352D">
              <w:rPr>
                <w:rFonts w:ascii="Arial" w:hAnsi="Arial" w:cs="Arial"/>
                <w:sz w:val="20"/>
              </w:rPr>
              <w:t>245 ± 12ᶜ</w:t>
            </w:r>
          </w:p>
        </w:tc>
        <w:tc>
          <w:tcPr>
            <w:tcW w:w="0" w:type="auto"/>
            <w:hideMark/>
          </w:tcPr>
          <w:p w14:paraId="4B7C5BCC" w14:textId="77777777" w:rsidR="0036352D" w:rsidRPr="0036352D" w:rsidRDefault="0036352D" w:rsidP="00DB480E">
            <w:pPr>
              <w:pStyle w:val="Body"/>
              <w:spacing w:after="0"/>
              <w:rPr>
                <w:rFonts w:ascii="Arial" w:hAnsi="Arial" w:cs="Arial"/>
                <w:sz w:val="20"/>
              </w:rPr>
            </w:pPr>
            <w:r w:rsidRPr="0036352D">
              <w:rPr>
                <w:rFonts w:ascii="Arial" w:hAnsi="Arial" w:cs="Arial"/>
                <w:sz w:val="20"/>
              </w:rPr>
              <w:t>310 ± 15ᵇ</w:t>
            </w:r>
          </w:p>
        </w:tc>
        <w:tc>
          <w:tcPr>
            <w:tcW w:w="0" w:type="auto"/>
            <w:hideMark/>
          </w:tcPr>
          <w:p w14:paraId="7CDA7BC5" w14:textId="77777777" w:rsidR="0036352D" w:rsidRPr="0036352D" w:rsidRDefault="0036352D" w:rsidP="00DB480E">
            <w:pPr>
              <w:pStyle w:val="Body"/>
              <w:spacing w:after="0"/>
              <w:rPr>
                <w:rFonts w:ascii="Arial" w:hAnsi="Arial" w:cs="Arial"/>
                <w:sz w:val="20"/>
              </w:rPr>
            </w:pPr>
            <w:r w:rsidRPr="0036352D">
              <w:rPr>
                <w:rFonts w:ascii="Arial" w:hAnsi="Arial" w:cs="Arial"/>
                <w:sz w:val="20"/>
              </w:rPr>
              <w:t>355 ± 16ᵃ</w:t>
            </w:r>
          </w:p>
        </w:tc>
      </w:tr>
      <w:tr w:rsidR="0036352D" w:rsidRPr="0036352D" w14:paraId="35D2930C" w14:textId="77777777" w:rsidTr="0036352D">
        <w:tc>
          <w:tcPr>
            <w:tcW w:w="0" w:type="auto"/>
            <w:hideMark/>
          </w:tcPr>
          <w:p w14:paraId="6178098A" w14:textId="77777777" w:rsidR="0036352D" w:rsidRPr="0036352D" w:rsidRDefault="0036352D" w:rsidP="00DB480E">
            <w:pPr>
              <w:pStyle w:val="Body"/>
              <w:spacing w:after="0"/>
              <w:rPr>
                <w:rFonts w:ascii="Arial" w:hAnsi="Arial" w:cs="Arial"/>
                <w:sz w:val="20"/>
              </w:rPr>
            </w:pPr>
            <w:r w:rsidRPr="0036352D">
              <w:rPr>
                <w:rFonts w:ascii="Arial" w:hAnsi="Arial" w:cs="Arial"/>
                <w:sz w:val="20"/>
              </w:rPr>
              <w:t>Magnesium (Mg)</w:t>
            </w:r>
          </w:p>
        </w:tc>
        <w:tc>
          <w:tcPr>
            <w:tcW w:w="0" w:type="auto"/>
            <w:hideMark/>
          </w:tcPr>
          <w:p w14:paraId="5512CC72"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185 ± 9ᵃ</w:t>
            </w:r>
          </w:p>
        </w:tc>
        <w:tc>
          <w:tcPr>
            <w:tcW w:w="0" w:type="auto"/>
            <w:hideMark/>
          </w:tcPr>
          <w:p w14:paraId="4D3A1F09" w14:textId="77777777" w:rsidR="0036352D" w:rsidRPr="0036352D" w:rsidRDefault="0036352D" w:rsidP="00DB480E">
            <w:pPr>
              <w:pStyle w:val="Body"/>
              <w:spacing w:after="0"/>
              <w:rPr>
                <w:rFonts w:ascii="Arial" w:hAnsi="Arial" w:cs="Arial"/>
                <w:sz w:val="20"/>
              </w:rPr>
            </w:pPr>
            <w:r w:rsidRPr="0036352D">
              <w:rPr>
                <w:rFonts w:ascii="Arial" w:hAnsi="Arial" w:cs="Arial"/>
                <w:sz w:val="20"/>
              </w:rPr>
              <w:t>150 ± 8ᵇ</w:t>
            </w:r>
          </w:p>
        </w:tc>
        <w:tc>
          <w:tcPr>
            <w:tcW w:w="0" w:type="auto"/>
            <w:hideMark/>
          </w:tcPr>
          <w:p w14:paraId="49C56C25" w14:textId="77777777" w:rsidR="0036352D" w:rsidRPr="0036352D" w:rsidRDefault="0036352D" w:rsidP="00DB480E">
            <w:pPr>
              <w:pStyle w:val="Body"/>
              <w:spacing w:after="0"/>
              <w:rPr>
                <w:rFonts w:ascii="Arial" w:hAnsi="Arial" w:cs="Arial"/>
                <w:sz w:val="20"/>
              </w:rPr>
            </w:pPr>
            <w:r w:rsidRPr="0036352D">
              <w:rPr>
                <w:rFonts w:ascii="Arial" w:hAnsi="Arial" w:cs="Arial"/>
                <w:sz w:val="20"/>
              </w:rPr>
              <w:t>162 ± 7ᵇ</w:t>
            </w:r>
          </w:p>
        </w:tc>
      </w:tr>
      <w:tr w:rsidR="0036352D" w:rsidRPr="0036352D" w14:paraId="0ADC3C2F" w14:textId="77777777" w:rsidTr="0036352D">
        <w:tc>
          <w:tcPr>
            <w:tcW w:w="0" w:type="auto"/>
            <w:hideMark/>
          </w:tcPr>
          <w:p w14:paraId="6A5FF166" w14:textId="77777777" w:rsidR="0036352D" w:rsidRPr="0036352D" w:rsidRDefault="0036352D" w:rsidP="00DB480E">
            <w:pPr>
              <w:pStyle w:val="Body"/>
              <w:spacing w:after="0"/>
              <w:rPr>
                <w:rFonts w:ascii="Arial" w:hAnsi="Arial" w:cs="Arial"/>
                <w:sz w:val="20"/>
              </w:rPr>
            </w:pPr>
            <w:r w:rsidRPr="0036352D">
              <w:rPr>
                <w:rFonts w:ascii="Arial" w:hAnsi="Arial" w:cs="Arial"/>
                <w:sz w:val="20"/>
              </w:rPr>
              <w:t>Phosphorus (P)</w:t>
            </w:r>
          </w:p>
        </w:tc>
        <w:tc>
          <w:tcPr>
            <w:tcW w:w="0" w:type="auto"/>
            <w:hideMark/>
          </w:tcPr>
          <w:p w14:paraId="7DBCBF2D" w14:textId="77777777" w:rsidR="0036352D" w:rsidRPr="0036352D" w:rsidRDefault="0036352D" w:rsidP="00DB480E">
            <w:pPr>
              <w:pStyle w:val="Body"/>
              <w:spacing w:after="0"/>
              <w:rPr>
                <w:rFonts w:ascii="Arial" w:hAnsi="Arial" w:cs="Arial"/>
                <w:sz w:val="20"/>
              </w:rPr>
            </w:pPr>
            <w:r w:rsidRPr="0036352D">
              <w:rPr>
                <w:rFonts w:ascii="Arial" w:hAnsi="Arial" w:cs="Arial"/>
                <w:sz w:val="20"/>
              </w:rPr>
              <w:t>96 ± 5ᶜ</w:t>
            </w:r>
          </w:p>
        </w:tc>
        <w:tc>
          <w:tcPr>
            <w:tcW w:w="0" w:type="auto"/>
            <w:hideMark/>
          </w:tcPr>
          <w:p w14:paraId="4CFF1B7B"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125 ± 6ᵇ</w:t>
            </w:r>
          </w:p>
        </w:tc>
        <w:tc>
          <w:tcPr>
            <w:tcW w:w="0" w:type="auto"/>
            <w:hideMark/>
          </w:tcPr>
          <w:p w14:paraId="71CE1A84" w14:textId="77777777" w:rsidR="0036352D" w:rsidRPr="0036352D" w:rsidRDefault="0036352D" w:rsidP="00DB480E">
            <w:pPr>
              <w:pStyle w:val="Body"/>
              <w:spacing w:after="0"/>
              <w:rPr>
                <w:rFonts w:ascii="Arial" w:hAnsi="Arial" w:cs="Arial"/>
                <w:sz w:val="20"/>
              </w:rPr>
            </w:pPr>
            <w:r w:rsidRPr="0036352D">
              <w:rPr>
                <w:rFonts w:ascii="Arial" w:hAnsi="Arial" w:cs="Arial"/>
                <w:sz w:val="20"/>
              </w:rPr>
              <w:t>138 ± 6ᵃ</w:t>
            </w:r>
          </w:p>
        </w:tc>
      </w:tr>
      <w:tr w:rsidR="0036352D" w:rsidRPr="0036352D" w14:paraId="052DE940" w14:textId="77777777" w:rsidTr="0036352D">
        <w:tc>
          <w:tcPr>
            <w:tcW w:w="0" w:type="auto"/>
            <w:hideMark/>
          </w:tcPr>
          <w:p w14:paraId="3DFD7EDD" w14:textId="77777777" w:rsidR="0036352D" w:rsidRPr="0036352D" w:rsidRDefault="0036352D" w:rsidP="00DB480E">
            <w:pPr>
              <w:pStyle w:val="Body"/>
              <w:spacing w:after="0"/>
              <w:rPr>
                <w:rFonts w:ascii="Arial" w:hAnsi="Arial" w:cs="Arial"/>
                <w:sz w:val="20"/>
              </w:rPr>
            </w:pPr>
            <w:r w:rsidRPr="0036352D">
              <w:rPr>
                <w:rFonts w:ascii="Arial" w:hAnsi="Arial" w:cs="Arial"/>
                <w:sz w:val="20"/>
              </w:rPr>
              <w:t>Sodium (Na)</w:t>
            </w:r>
          </w:p>
        </w:tc>
        <w:tc>
          <w:tcPr>
            <w:tcW w:w="0" w:type="auto"/>
            <w:hideMark/>
          </w:tcPr>
          <w:p w14:paraId="40F8A912" w14:textId="77777777" w:rsidR="0036352D" w:rsidRPr="0036352D" w:rsidRDefault="0036352D" w:rsidP="00DB480E">
            <w:pPr>
              <w:pStyle w:val="Body"/>
              <w:spacing w:after="0"/>
              <w:rPr>
                <w:rFonts w:ascii="Arial" w:hAnsi="Arial" w:cs="Arial"/>
                <w:sz w:val="20"/>
              </w:rPr>
            </w:pPr>
            <w:r w:rsidRPr="0036352D">
              <w:rPr>
                <w:rFonts w:ascii="Arial" w:hAnsi="Arial" w:cs="Arial"/>
                <w:sz w:val="20"/>
              </w:rPr>
              <w:t>24 ± 2ᵃ</w:t>
            </w:r>
          </w:p>
        </w:tc>
        <w:tc>
          <w:tcPr>
            <w:tcW w:w="0" w:type="auto"/>
            <w:hideMark/>
          </w:tcPr>
          <w:p w14:paraId="1E7AE7A4" w14:textId="77777777" w:rsidR="0036352D" w:rsidRPr="0036352D" w:rsidRDefault="0036352D" w:rsidP="00DB480E">
            <w:pPr>
              <w:pStyle w:val="Body"/>
              <w:spacing w:after="0"/>
              <w:rPr>
                <w:rFonts w:ascii="Arial" w:hAnsi="Arial" w:cs="Arial"/>
                <w:sz w:val="20"/>
              </w:rPr>
            </w:pPr>
            <w:r w:rsidRPr="0036352D">
              <w:rPr>
                <w:rFonts w:ascii="Arial" w:hAnsi="Arial" w:cs="Arial"/>
                <w:sz w:val="20"/>
              </w:rPr>
              <w:t>18 ± 2ᵇ</w:t>
            </w:r>
          </w:p>
        </w:tc>
        <w:tc>
          <w:tcPr>
            <w:tcW w:w="0" w:type="auto"/>
            <w:hideMark/>
          </w:tcPr>
          <w:p w14:paraId="6C1538B8" w14:textId="77777777" w:rsidR="0036352D" w:rsidRPr="0036352D" w:rsidRDefault="0036352D" w:rsidP="00DB480E">
            <w:pPr>
              <w:pStyle w:val="Body"/>
              <w:spacing w:after="0"/>
              <w:rPr>
                <w:rFonts w:ascii="Arial" w:hAnsi="Arial" w:cs="Arial"/>
                <w:sz w:val="20"/>
              </w:rPr>
            </w:pPr>
            <w:r w:rsidRPr="0036352D">
              <w:rPr>
                <w:rFonts w:ascii="Arial" w:hAnsi="Arial" w:cs="Arial"/>
                <w:sz w:val="20"/>
              </w:rPr>
              <w:t>21 ± 2ᵇ</w:t>
            </w:r>
          </w:p>
        </w:tc>
      </w:tr>
      <w:tr w:rsidR="0036352D" w:rsidRPr="0036352D" w14:paraId="6CADF0BA" w14:textId="77777777" w:rsidTr="0036352D">
        <w:tc>
          <w:tcPr>
            <w:tcW w:w="0" w:type="auto"/>
            <w:hideMark/>
          </w:tcPr>
          <w:p w14:paraId="4D5A0036" w14:textId="77777777" w:rsidR="0036352D" w:rsidRPr="0036352D" w:rsidRDefault="0036352D" w:rsidP="00DB480E">
            <w:pPr>
              <w:pStyle w:val="Body"/>
              <w:spacing w:after="0"/>
              <w:rPr>
                <w:rFonts w:ascii="Arial" w:hAnsi="Arial" w:cs="Arial"/>
                <w:sz w:val="20"/>
              </w:rPr>
            </w:pPr>
            <w:r w:rsidRPr="0036352D">
              <w:rPr>
                <w:rFonts w:ascii="Arial" w:hAnsi="Arial" w:cs="Arial"/>
                <w:sz w:val="20"/>
              </w:rPr>
              <w:t>Iron (Fe)</w:t>
            </w:r>
          </w:p>
        </w:tc>
        <w:tc>
          <w:tcPr>
            <w:tcW w:w="0" w:type="auto"/>
            <w:hideMark/>
          </w:tcPr>
          <w:p w14:paraId="10C6E7CB" w14:textId="77777777" w:rsidR="0036352D" w:rsidRPr="0036352D" w:rsidRDefault="0036352D" w:rsidP="00DB480E">
            <w:pPr>
              <w:pStyle w:val="Body"/>
              <w:spacing w:after="0"/>
              <w:rPr>
                <w:rFonts w:ascii="Arial" w:hAnsi="Arial" w:cs="Arial"/>
                <w:sz w:val="20"/>
              </w:rPr>
            </w:pPr>
            <w:r w:rsidRPr="0036352D">
              <w:rPr>
                <w:rFonts w:ascii="Arial" w:hAnsi="Arial" w:cs="Arial"/>
                <w:sz w:val="20"/>
              </w:rPr>
              <w:t>6.8 ± 0.3ᵇ</w:t>
            </w:r>
          </w:p>
        </w:tc>
        <w:tc>
          <w:tcPr>
            <w:tcW w:w="0" w:type="auto"/>
            <w:hideMark/>
          </w:tcPr>
          <w:p w14:paraId="39B717DC" w14:textId="77777777" w:rsidR="0036352D" w:rsidRPr="0036352D" w:rsidRDefault="0036352D" w:rsidP="00DB480E">
            <w:pPr>
              <w:pStyle w:val="Body"/>
              <w:spacing w:after="0"/>
              <w:rPr>
                <w:rFonts w:ascii="Arial" w:hAnsi="Arial" w:cs="Arial"/>
                <w:sz w:val="20"/>
              </w:rPr>
            </w:pPr>
            <w:r w:rsidRPr="0036352D">
              <w:rPr>
                <w:rFonts w:ascii="Arial" w:hAnsi="Arial" w:cs="Arial"/>
                <w:sz w:val="20"/>
              </w:rPr>
              <w:t>8.5 ± 0.4ᵃ</w:t>
            </w:r>
          </w:p>
        </w:tc>
        <w:tc>
          <w:tcPr>
            <w:tcW w:w="0" w:type="auto"/>
            <w:hideMark/>
          </w:tcPr>
          <w:p w14:paraId="401B26D8" w14:textId="77777777" w:rsidR="0036352D" w:rsidRPr="0036352D" w:rsidRDefault="0036352D" w:rsidP="00DB480E">
            <w:pPr>
              <w:pStyle w:val="Body"/>
              <w:spacing w:after="0"/>
              <w:rPr>
                <w:rFonts w:ascii="Arial" w:hAnsi="Arial" w:cs="Arial"/>
                <w:sz w:val="20"/>
              </w:rPr>
            </w:pPr>
            <w:r w:rsidRPr="0036352D">
              <w:rPr>
                <w:rFonts w:ascii="Arial" w:hAnsi="Arial" w:cs="Arial"/>
                <w:sz w:val="20"/>
              </w:rPr>
              <w:t>7.2 ± 0.3ᵇ</w:t>
            </w:r>
          </w:p>
        </w:tc>
      </w:tr>
      <w:tr w:rsidR="0036352D" w:rsidRPr="0036352D" w14:paraId="33592B7E" w14:textId="77777777" w:rsidTr="0036352D">
        <w:tc>
          <w:tcPr>
            <w:tcW w:w="0" w:type="auto"/>
            <w:hideMark/>
          </w:tcPr>
          <w:p w14:paraId="67F8FB9D" w14:textId="77777777" w:rsidR="0036352D" w:rsidRPr="0036352D" w:rsidRDefault="0036352D" w:rsidP="00DB480E">
            <w:pPr>
              <w:pStyle w:val="Body"/>
              <w:spacing w:after="0"/>
              <w:rPr>
                <w:rFonts w:ascii="Arial" w:hAnsi="Arial" w:cs="Arial"/>
                <w:sz w:val="20"/>
              </w:rPr>
            </w:pPr>
            <w:r w:rsidRPr="0036352D">
              <w:rPr>
                <w:rFonts w:ascii="Arial" w:hAnsi="Arial" w:cs="Arial"/>
                <w:sz w:val="20"/>
              </w:rPr>
              <w:t>Zinc (Zn)</w:t>
            </w:r>
          </w:p>
        </w:tc>
        <w:tc>
          <w:tcPr>
            <w:tcW w:w="0" w:type="auto"/>
            <w:hideMark/>
          </w:tcPr>
          <w:p w14:paraId="55D9B38A" w14:textId="77777777" w:rsidR="0036352D" w:rsidRPr="0036352D" w:rsidRDefault="0036352D" w:rsidP="00DB480E">
            <w:pPr>
              <w:pStyle w:val="Body"/>
              <w:spacing w:after="0"/>
              <w:rPr>
                <w:rFonts w:ascii="Arial" w:hAnsi="Arial" w:cs="Arial"/>
                <w:sz w:val="20"/>
              </w:rPr>
            </w:pPr>
            <w:r w:rsidRPr="0036352D">
              <w:rPr>
                <w:rFonts w:ascii="Arial" w:hAnsi="Arial" w:cs="Arial"/>
                <w:sz w:val="20"/>
              </w:rPr>
              <w:t>2.3 ± 0.1ᵇ</w:t>
            </w:r>
          </w:p>
        </w:tc>
        <w:tc>
          <w:tcPr>
            <w:tcW w:w="0" w:type="auto"/>
            <w:hideMark/>
          </w:tcPr>
          <w:p w14:paraId="1BC9987E" w14:textId="77777777" w:rsidR="0036352D" w:rsidRPr="0036352D" w:rsidRDefault="0036352D" w:rsidP="00DB480E">
            <w:pPr>
              <w:pStyle w:val="Body"/>
              <w:spacing w:after="0"/>
              <w:rPr>
                <w:rFonts w:ascii="Arial" w:hAnsi="Arial" w:cs="Arial"/>
                <w:sz w:val="20"/>
              </w:rPr>
            </w:pPr>
            <w:r w:rsidRPr="0036352D">
              <w:rPr>
                <w:rFonts w:ascii="Arial" w:hAnsi="Arial" w:cs="Arial"/>
                <w:sz w:val="20"/>
              </w:rPr>
              <w:t>2.9 ± 0.1ᵃ</w:t>
            </w:r>
          </w:p>
        </w:tc>
        <w:tc>
          <w:tcPr>
            <w:tcW w:w="0" w:type="auto"/>
            <w:hideMark/>
          </w:tcPr>
          <w:p w14:paraId="1FEBC7B5" w14:textId="77777777" w:rsidR="0036352D" w:rsidRPr="0036352D" w:rsidRDefault="0036352D" w:rsidP="00DB480E">
            <w:pPr>
              <w:pStyle w:val="Body"/>
              <w:spacing w:after="0"/>
              <w:rPr>
                <w:rFonts w:ascii="Arial" w:hAnsi="Arial" w:cs="Arial"/>
                <w:sz w:val="20"/>
              </w:rPr>
            </w:pPr>
            <w:r w:rsidRPr="0036352D">
              <w:rPr>
                <w:rFonts w:ascii="Arial" w:hAnsi="Arial" w:cs="Arial"/>
                <w:sz w:val="20"/>
              </w:rPr>
              <w:t>2.5 ± 0.1ᵇ</w:t>
            </w:r>
          </w:p>
        </w:tc>
      </w:tr>
      <w:tr w:rsidR="0036352D" w:rsidRPr="0036352D" w14:paraId="4B6B5BFF" w14:textId="77777777" w:rsidTr="0036352D">
        <w:tc>
          <w:tcPr>
            <w:tcW w:w="0" w:type="auto"/>
            <w:hideMark/>
          </w:tcPr>
          <w:p w14:paraId="7EE65836" w14:textId="77777777" w:rsidR="0036352D" w:rsidRPr="0036352D" w:rsidRDefault="0036352D" w:rsidP="00DB480E">
            <w:pPr>
              <w:pStyle w:val="Body"/>
              <w:spacing w:after="0"/>
              <w:rPr>
                <w:rFonts w:ascii="Arial" w:hAnsi="Arial" w:cs="Arial"/>
                <w:sz w:val="20"/>
              </w:rPr>
            </w:pPr>
            <w:r w:rsidRPr="0036352D">
              <w:rPr>
                <w:rFonts w:ascii="Arial" w:hAnsi="Arial" w:cs="Arial"/>
                <w:sz w:val="20"/>
              </w:rPr>
              <w:t>Copper (Cu)</w:t>
            </w:r>
          </w:p>
        </w:tc>
        <w:tc>
          <w:tcPr>
            <w:tcW w:w="0" w:type="auto"/>
            <w:hideMark/>
          </w:tcPr>
          <w:p w14:paraId="65D30ED8" w14:textId="77777777" w:rsidR="0036352D" w:rsidRPr="0036352D" w:rsidRDefault="0036352D" w:rsidP="00DB480E">
            <w:pPr>
              <w:pStyle w:val="Body"/>
              <w:spacing w:after="0"/>
              <w:rPr>
                <w:rFonts w:ascii="Arial" w:hAnsi="Arial" w:cs="Arial"/>
                <w:sz w:val="20"/>
              </w:rPr>
            </w:pPr>
            <w:r w:rsidRPr="0036352D">
              <w:rPr>
                <w:rFonts w:ascii="Arial" w:hAnsi="Arial" w:cs="Arial"/>
                <w:sz w:val="20"/>
              </w:rPr>
              <w:t>0.8 ± 0.05ᵇ</w:t>
            </w:r>
          </w:p>
        </w:tc>
        <w:tc>
          <w:tcPr>
            <w:tcW w:w="0" w:type="auto"/>
            <w:hideMark/>
          </w:tcPr>
          <w:p w14:paraId="6CED5ECA" w14:textId="77777777" w:rsidR="0036352D" w:rsidRPr="0036352D" w:rsidRDefault="0036352D" w:rsidP="00DB480E">
            <w:pPr>
              <w:pStyle w:val="Body"/>
              <w:spacing w:after="0"/>
              <w:rPr>
                <w:rFonts w:ascii="Arial" w:hAnsi="Arial" w:cs="Arial"/>
                <w:sz w:val="20"/>
              </w:rPr>
            </w:pPr>
            <w:r w:rsidRPr="0036352D">
              <w:rPr>
                <w:rFonts w:ascii="Arial" w:hAnsi="Arial" w:cs="Arial"/>
                <w:sz w:val="20"/>
              </w:rPr>
              <w:t>1.2 ± 0.06ᵃ</w:t>
            </w:r>
          </w:p>
        </w:tc>
        <w:tc>
          <w:tcPr>
            <w:tcW w:w="0" w:type="auto"/>
            <w:hideMark/>
          </w:tcPr>
          <w:p w14:paraId="695A61EB" w14:textId="77777777" w:rsidR="0036352D" w:rsidRPr="0036352D" w:rsidRDefault="0036352D" w:rsidP="00DB480E">
            <w:pPr>
              <w:pStyle w:val="Body"/>
              <w:spacing w:after="0"/>
              <w:rPr>
                <w:rFonts w:ascii="Arial" w:hAnsi="Arial" w:cs="Arial"/>
                <w:sz w:val="20"/>
              </w:rPr>
            </w:pPr>
            <w:r w:rsidRPr="0036352D">
              <w:rPr>
                <w:rFonts w:ascii="Arial" w:hAnsi="Arial" w:cs="Arial"/>
                <w:sz w:val="20"/>
              </w:rPr>
              <w:t>0.9 ± 0.05ᵇ</w:t>
            </w:r>
          </w:p>
        </w:tc>
      </w:tr>
      <w:tr w:rsidR="0036352D" w:rsidRPr="0036352D" w14:paraId="53A0658B" w14:textId="77777777" w:rsidTr="0036352D">
        <w:tc>
          <w:tcPr>
            <w:tcW w:w="0" w:type="auto"/>
            <w:hideMark/>
          </w:tcPr>
          <w:p w14:paraId="70B5277E"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Ash (%)</w:t>
            </w:r>
          </w:p>
        </w:tc>
        <w:tc>
          <w:tcPr>
            <w:tcW w:w="0" w:type="auto"/>
            <w:hideMark/>
          </w:tcPr>
          <w:p w14:paraId="70B8EF27" w14:textId="77777777" w:rsidR="0036352D" w:rsidRPr="0036352D" w:rsidRDefault="0036352D" w:rsidP="00DB480E">
            <w:pPr>
              <w:pStyle w:val="Body"/>
              <w:spacing w:after="0"/>
              <w:rPr>
                <w:rFonts w:ascii="Arial" w:hAnsi="Arial" w:cs="Arial"/>
                <w:sz w:val="20"/>
              </w:rPr>
            </w:pPr>
            <w:r w:rsidRPr="0036352D">
              <w:rPr>
                <w:rFonts w:ascii="Arial" w:hAnsi="Arial" w:cs="Arial"/>
                <w:sz w:val="20"/>
              </w:rPr>
              <w:t>8.7 ± 0.3ᵃ</w:t>
            </w:r>
          </w:p>
        </w:tc>
        <w:tc>
          <w:tcPr>
            <w:tcW w:w="0" w:type="auto"/>
            <w:hideMark/>
          </w:tcPr>
          <w:p w14:paraId="01BB980B" w14:textId="77777777" w:rsidR="0036352D" w:rsidRPr="0036352D" w:rsidRDefault="0036352D" w:rsidP="00DB480E">
            <w:pPr>
              <w:pStyle w:val="Body"/>
              <w:spacing w:after="0"/>
              <w:rPr>
                <w:rFonts w:ascii="Arial" w:hAnsi="Arial" w:cs="Arial"/>
                <w:sz w:val="20"/>
              </w:rPr>
            </w:pPr>
            <w:r w:rsidRPr="0036352D">
              <w:rPr>
                <w:rFonts w:ascii="Arial" w:hAnsi="Arial" w:cs="Arial"/>
                <w:sz w:val="20"/>
              </w:rPr>
              <w:t>7.9 ± 0.2ᵇ</w:t>
            </w:r>
          </w:p>
        </w:tc>
        <w:tc>
          <w:tcPr>
            <w:tcW w:w="0" w:type="auto"/>
            <w:hideMark/>
          </w:tcPr>
          <w:p w14:paraId="14C48EA1" w14:textId="77777777" w:rsidR="0036352D" w:rsidRPr="0036352D" w:rsidRDefault="0036352D" w:rsidP="00DB480E">
            <w:pPr>
              <w:pStyle w:val="Body"/>
              <w:spacing w:after="0"/>
              <w:rPr>
                <w:rFonts w:ascii="Arial" w:hAnsi="Arial" w:cs="Arial"/>
                <w:sz w:val="20"/>
              </w:rPr>
            </w:pPr>
            <w:r w:rsidRPr="0036352D">
              <w:rPr>
                <w:rFonts w:ascii="Arial" w:hAnsi="Arial" w:cs="Arial"/>
                <w:sz w:val="20"/>
              </w:rPr>
              <w:t>8.2 ± 0.3ᵇ</w:t>
            </w:r>
          </w:p>
        </w:tc>
      </w:tr>
    </w:tbl>
    <w:p w14:paraId="4B647909" w14:textId="77777777" w:rsidR="0036352D" w:rsidRPr="0036352D" w:rsidRDefault="0036352D" w:rsidP="0036352D">
      <w:pPr>
        <w:pStyle w:val="Body"/>
        <w:rPr>
          <w:rFonts w:ascii="Arial" w:hAnsi="Arial" w:cs="Arial"/>
        </w:rPr>
      </w:pPr>
      <w:r w:rsidRPr="0036352D">
        <w:rPr>
          <w:rFonts w:ascii="Arial" w:hAnsi="Arial" w:cs="Arial"/>
        </w:rPr>
        <w:t>Different superscript letters indicate significant differences at p &lt; 0.05 (ANOVA/Tukey).</w:t>
      </w:r>
    </w:p>
    <w:p w14:paraId="68842B8E" w14:textId="77777777" w:rsidR="0036352D" w:rsidRPr="0036352D" w:rsidRDefault="0036352D" w:rsidP="0036352D">
      <w:pPr>
        <w:pStyle w:val="Body"/>
        <w:rPr>
          <w:rFonts w:ascii="Arial" w:hAnsi="Arial" w:cs="Arial"/>
        </w:rPr>
      </w:pPr>
      <w:r w:rsidRPr="0036352D">
        <w:rPr>
          <w:rFonts w:ascii="Arial" w:hAnsi="Arial" w:cs="Arial"/>
        </w:rPr>
        <w:t xml:space="preserve">The mineral profiles of banana </w:t>
      </w:r>
      <w:proofErr w:type="spellStart"/>
      <w:r w:rsidRPr="0036352D">
        <w:rPr>
          <w:rFonts w:ascii="Arial" w:hAnsi="Arial" w:cs="Arial"/>
        </w:rPr>
        <w:t>pseudostem</w:t>
      </w:r>
      <w:proofErr w:type="spellEnd"/>
      <w:r w:rsidRPr="0036352D">
        <w:rPr>
          <w:rFonts w:ascii="Arial" w:hAnsi="Arial" w:cs="Arial"/>
        </w:rPr>
        <w:t>, dragon fruit peel, and durian husk revealed significant differences (p &lt; 0.05), reflecting their distinct physiological roles in the plant and highlighting their complementary application potential.</w:t>
      </w:r>
    </w:p>
    <w:p w14:paraId="3187C5E5" w14:textId="77777777" w:rsidR="0036352D" w:rsidRPr="0036352D" w:rsidRDefault="0036352D" w:rsidP="0036352D">
      <w:pPr>
        <w:pStyle w:val="Body"/>
        <w:rPr>
          <w:rFonts w:ascii="Arial" w:hAnsi="Arial" w:cs="Arial"/>
        </w:rPr>
      </w:pPr>
      <w:r w:rsidRPr="0036352D">
        <w:rPr>
          <w:rFonts w:ascii="Arial" w:hAnsi="Arial" w:cs="Arial"/>
          <w:bCs/>
        </w:rPr>
        <w:t xml:space="preserve">Banana </w:t>
      </w:r>
      <w:proofErr w:type="spellStart"/>
      <w:r w:rsidRPr="0036352D">
        <w:rPr>
          <w:rFonts w:ascii="Arial" w:hAnsi="Arial" w:cs="Arial"/>
          <w:bCs/>
        </w:rPr>
        <w:t>pseudostem</w:t>
      </w:r>
      <w:proofErr w:type="spellEnd"/>
      <w:r w:rsidRPr="0036352D">
        <w:rPr>
          <w:rFonts w:ascii="Arial" w:hAnsi="Arial" w:cs="Arial"/>
        </w:rPr>
        <w:t xml:space="preserve"> exhibited the highest concentrations of potassium (1,820 ± 65 mg/100 g DW) and magnesium (185 ± 9 mg/100 g DW), consistent with its function as a water-conducting and nutrient-storing tissue. High K and Mg contents, together with its elevated ash fraction (8.7 ± 0.3%), make banana </w:t>
      </w:r>
      <w:proofErr w:type="spellStart"/>
      <w:r w:rsidRPr="0036352D">
        <w:rPr>
          <w:rFonts w:ascii="Arial" w:hAnsi="Arial" w:cs="Arial"/>
        </w:rPr>
        <w:t>pseudostem</w:t>
      </w:r>
      <w:proofErr w:type="spellEnd"/>
      <w:r w:rsidRPr="0036352D">
        <w:rPr>
          <w:rFonts w:ascii="Arial" w:hAnsi="Arial" w:cs="Arial"/>
        </w:rPr>
        <w:t xml:space="preserve"> an ideal candidate for agricultural recycling through composting and biofertilizer production, where these macronutrients can improve soil fertility and plant growth. In addition, the mineral richness supports its potential use as a lignocellulosic feedstock in biomaterial development, where inorganic residues can enhance thermal stability.</w:t>
      </w:r>
    </w:p>
    <w:p w14:paraId="40BFBDD4" w14:textId="77777777" w:rsidR="0036352D" w:rsidRPr="0036352D" w:rsidRDefault="0036352D" w:rsidP="0036352D">
      <w:pPr>
        <w:pStyle w:val="Body"/>
        <w:rPr>
          <w:rFonts w:ascii="Arial" w:hAnsi="Arial" w:cs="Arial"/>
        </w:rPr>
      </w:pPr>
      <w:r w:rsidRPr="0036352D">
        <w:rPr>
          <w:rFonts w:ascii="Arial" w:hAnsi="Arial" w:cs="Arial"/>
          <w:bCs/>
        </w:rPr>
        <w:lastRenderedPageBreak/>
        <w:t>Dragon fruit peel</w:t>
      </w:r>
      <w:r w:rsidRPr="0036352D">
        <w:rPr>
          <w:rFonts w:ascii="Arial" w:hAnsi="Arial" w:cs="Arial"/>
        </w:rPr>
        <w:t xml:space="preserve"> was particularly enriched in calcium (310 ± 15 mg/100 g DW), iron (8.5 ± 0.4 mg/100 g DW), and zinc (2.9 ± 0.1 mg/100 g DW). This micronutrient profile complements its high </w:t>
      </w:r>
      <w:proofErr w:type="spellStart"/>
      <w:r w:rsidRPr="0036352D">
        <w:rPr>
          <w:rFonts w:ascii="Arial" w:hAnsi="Arial" w:cs="Arial"/>
        </w:rPr>
        <w:t>betalain</w:t>
      </w:r>
      <w:proofErr w:type="spellEnd"/>
      <w:r w:rsidRPr="0036352D">
        <w:rPr>
          <w:rFonts w:ascii="Arial" w:hAnsi="Arial" w:cs="Arial"/>
        </w:rPr>
        <w:t xml:space="preserve"> and polyphenol content, suggesting synergistic antioxidant and redox-active functions. The presence of bioavailable Fe and Zn indicates strong potential for nutraceutical enrichment, especially in functional food formulations targeting anemia prevention and immune support. Furthermore, Ca-rich peels may serve as mineral fortifiers in plant-based food products.</w:t>
      </w:r>
    </w:p>
    <w:p w14:paraId="16E24D7A" w14:textId="77777777" w:rsidR="0036352D" w:rsidRPr="0036352D" w:rsidRDefault="0036352D" w:rsidP="0036352D">
      <w:pPr>
        <w:pStyle w:val="Body"/>
        <w:rPr>
          <w:rFonts w:ascii="Arial" w:hAnsi="Arial" w:cs="Arial"/>
        </w:rPr>
      </w:pPr>
      <w:r w:rsidRPr="0036352D">
        <w:rPr>
          <w:rFonts w:ascii="Arial" w:hAnsi="Arial" w:cs="Arial"/>
          <w:bCs/>
        </w:rPr>
        <w:t>Durian husk</w:t>
      </w:r>
      <w:r w:rsidRPr="0036352D">
        <w:rPr>
          <w:rFonts w:ascii="Arial" w:hAnsi="Arial" w:cs="Arial"/>
        </w:rPr>
        <w:t xml:space="preserve"> (cv. Ri6) showed comparatively high calcium (355 ± 16 mg/100 g DW) and phosphorus (138 ± 6 mg/100 g DW), with moderate levels of K and Mg. The Ca–P combination enhances its potential in composite biomaterials, where mineral content can improve rigidity and flame resistance, while also offering possibilities in calcium- and phosphorus-based biofertilizers. Together with its high lignin fraction, the mineral profile supports applications in durable </w:t>
      </w:r>
      <w:proofErr w:type="spellStart"/>
      <w:r w:rsidRPr="0036352D">
        <w:rPr>
          <w:rFonts w:ascii="Arial" w:hAnsi="Arial" w:cs="Arial"/>
        </w:rPr>
        <w:t>biocomposites</w:t>
      </w:r>
      <w:proofErr w:type="spellEnd"/>
      <w:r w:rsidRPr="0036352D">
        <w:rPr>
          <w:rFonts w:ascii="Arial" w:hAnsi="Arial" w:cs="Arial"/>
        </w:rPr>
        <w:t>.</w:t>
      </w:r>
    </w:p>
    <w:p w14:paraId="02C30489" w14:textId="77777777" w:rsidR="0036352D" w:rsidRPr="0036352D" w:rsidRDefault="0036352D" w:rsidP="0036352D">
      <w:pPr>
        <w:pStyle w:val="Body"/>
        <w:rPr>
          <w:rFonts w:ascii="Arial" w:hAnsi="Arial" w:cs="Arial"/>
        </w:rPr>
      </w:pPr>
      <w:r w:rsidRPr="0036352D">
        <w:rPr>
          <w:rFonts w:ascii="Arial" w:hAnsi="Arial" w:cs="Arial"/>
        </w:rPr>
        <w:t xml:space="preserve">Overall, the ash and mineral values aligned well with proximate composition data (Table 1), confirming analytical consistency. The distinct mineral “signatures” of each by-product—K–Mg in banana </w:t>
      </w:r>
      <w:proofErr w:type="spellStart"/>
      <w:r w:rsidRPr="0036352D">
        <w:rPr>
          <w:rFonts w:ascii="Arial" w:hAnsi="Arial" w:cs="Arial"/>
        </w:rPr>
        <w:t>pseudostem</w:t>
      </w:r>
      <w:proofErr w:type="spellEnd"/>
      <w:r w:rsidRPr="0036352D">
        <w:rPr>
          <w:rFonts w:ascii="Arial" w:hAnsi="Arial" w:cs="Arial"/>
        </w:rPr>
        <w:t xml:space="preserve">, Ca–Fe–Zn in dragon fruit peel, and Ca–P in durian husk—underscore their complementary industrial applications: </w:t>
      </w:r>
      <w:proofErr w:type="spellStart"/>
      <w:r w:rsidRPr="0036352D">
        <w:rPr>
          <w:rFonts w:ascii="Arial" w:hAnsi="Arial" w:cs="Arial"/>
        </w:rPr>
        <w:t>pseudostem</w:t>
      </w:r>
      <w:proofErr w:type="spellEnd"/>
      <w:r w:rsidRPr="0036352D">
        <w:rPr>
          <w:rFonts w:ascii="Arial" w:hAnsi="Arial" w:cs="Arial"/>
        </w:rPr>
        <w:t xml:space="preserve"> for compost and soil conditioners, dragon fruit peel for nutraceutical and functional food enrichment, and durian husk for biomaterials and biofertilizers. These valorization pathways highlight the potential of fruit by-products not only to reduce agricultural waste but also to contribute to sustainable bioeconomy strategies.</w:t>
      </w:r>
    </w:p>
    <w:p w14:paraId="0E91ACA0" w14:textId="77777777" w:rsidR="0036352D" w:rsidRPr="0036352D" w:rsidRDefault="0036352D" w:rsidP="0036352D">
      <w:pPr>
        <w:pStyle w:val="Body"/>
        <w:rPr>
          <w:rFonts w:ascii="Arial" w:hAnsi="Arial" w:cs="Arial"/>
          <w:b/>
          <w:bCs/>
        </w:rPr>
      </w:pPr>
      <w:r w:rsidRPr="0036352D">
        <w:rPr>
          <w:rFonts w:ascii="Arial" w:hAnsi="Arial" w:cs="Arial"/>
          <w:b/>
          <w:bCs/>
        </w:rPr>
        <w:t>4. Discussion</w:t>
      </w:r>
    </w:p>
    <w:p w14:paraId="05983A17" w14:textId="77777777" w:rsidR="0036352D" w:rsidRPr="0036352D" w:rsidRDefault="0036352D" w:rsidP="0036352D">
      <w:pPr>
        <w:pStyle w:val="Body"/>
        <w:rPr>
          <w:rFonts w:ascii="Arial" w:hAnsi="Arial" w:cs="Arial"/>
          <w:b/>
          <w:bCs/>
        </w:rPr>
      </w:pPr>
      <w:r w:rsidRPr="0036352D">
        <w:rPr>
          <w:rFonts w:ascii="Arial" w:hAnsi="Arial" w:cs="Arial"/>
          <w:b/>
          <w:bCs/>
        </w:rPr>
        <w:t>4.1. Comparative analysis with international studies</w:t>
      </w:r>
    </w:p>
    <w:p w14:paraId="3BF9452B" w14:textId="77777777" w:rsidR="0036352D" w:rsidRPr="0036352D" w:rsidRDefault="0036352D" w:rsidP="0036352D">
      <w:pPr>
        <w:pStyle w:val="Body"/>
        <w:rPr>
          <w:rFonts w:ascii="Arial" w:hAnsi="Arial" w:cs="Arial"/>
        </w:rPr>
      </w:pPr>
      <w:r w:rsidRPr="0036352D">
        <w:rPr>
          <w:rFonts w:ascii="Arial" w:hAnsi="Arial" w:cs="Arial"/>
        </w:rPr>
        <w:t xml:space="preserve">The compositional data obtained for Vietnamese banana </w:t>
      </w:r>
      <w:proofErr w:type="spellStart"/>
      <w:r w:rsidRPr="0036352D">
        <w:rPr>
          <w:rFonts w:ascii="Arial" w:hAnsi="Arial" w:cs="Arial"/>
        </w:rPr>
        <w:t>pseudostems</w:t>
      </w:r>
      <w:proofErr w:type="spellEnd"/>
      <w:r w:rsidRPr="0036352D">
        <w:rPr>
          <w:rFonts w:ascii="Arial" w:hAnsi="Arial" w:cs="Arial"/>
        </w:rPr>
        <w:t>, dragon fruit peels, and Ri6 durian pulp were compared with values reported in India, Thailand, and Malaysia (Table 5). Overall, the results fall within the broad range of international datasets, but also reveal distinct differences that highlight the influence of cultivar, agro-ecological conditions, and analytical approaches.</w:t>
      </w:r>
    </w:p>
    <w:p w14:paraId="64DF6107" w14:textId="77777777" w:rsidR="0036352D" w:rsidRPr="0036352D" w:rsidRDefault="0036352D" w:rsidP="0036352D">
      <w:pPr>
        <w:pStyle w:val="Body"/>
        <w:rPr>
          <w:rFonts w:ascii="Arial" w:hAnsi="Arial" w:cs="Arial"/>
        </w:rPr>
      </w:pPr>
      <w:r w:rsidRPr="0036352D">
        <w:rPr>
          <w:rFonts w:ascii="Arial" w:hAnsi="Arial" w:cs="Arial"/>
          <w:bCs/>
        </w:rPr>
        <w:t xml:space="preserve">Banana </w:t>
      </w:r>
      <w:proofErr w:type="spellStart"/>
      <w:r w:rsidRPr="0036352D">
        <w:rPr>
          <w:rFonts w:ascii="Arial" w:hAnsi="Arial" w:cs="Arial"/>
          <w:bCs/>
        </w:rPr>
        <w:t>pseudostems</w:t>
      </w:r>
      <w:proofErr w:type="spellEnd"/>
      <w:r w:rsidRPr="0036352D">
        <w:rPr>
          <w:rFonts w:ascii="Arial" w:hAnsi="Arial" w:cs="Arial"/>
          <w:bCs/>
        </w:rPr>
        <w:t xml:space="preserve"> (U Minh </w:t>
      </w:r>
      <w:proofErr w:type="spellStart"/>
      <w:r w:rsidRPr="0036352D">
        <w:rPr>
          <w:rFonts w:ascii="Arial" w:hAnsi="Arial" w:cs="Arial"/>
          <w:bCs/>
        </w:rPr>
        <w:t>Thượng</w:t>
      </w:r>
      <w:proofErr w:type="spellEnd"/>
      <w:r w:rsidRPr="0036352D">
        <w:rPr>
          <w:rFonts w:ascii="Arial" w:hAnsi="Arial" w:cs="Arial"/>
          <w:bCs/>
        </w:rPr>
        <w:t>, An Giang):</w:t>
      </w:r>
      <w:r w:rsidRPr="0036352D">
        <w:rPr>
          <w:rFonts w:ascii="Arial" w:hAnsi="Arial" w:cs="Arial"/>
        </w:rPr>
        <w:t xml:space="preserve"> The cellulose (38.4%), hemicellulose (22.5%), and lignin (15.2%) contents observed in this study are consistent with the ranges reported for banana </w:t>
      </w:r>
      <w:proofErr w:type="spellStart"/>
      <w:r w:rsidRPr="0036352D">
        <w:rPr>
          <w:rFonts w:ascii="Arial" w:hAnsi="Arial" w:cs="Arial"/>
        </w:rPr>
        <w:t>pseudostems</w:t>
      </w:r>
      <w:proofErr w:type="spellEnd"/>
      <w:r w:rsidRPr="0036352D">
        <w:rPr>
          <w:rFonts w:ascii="Arial" w:hAnsi="Arial" w:cs="Arial"/>
        </w:rPr>
        <w:t xml:space="preserve"> in India and Thailand (cellulose 35–45%, hemicellulose 20–28%, lignin 12–18%) (</w:t>
      </w:r>
      <w:proofErr w:type="spellStart"/>
      <w:r w:rsidRPr="0036352D">
        <w:rPr>
          <w:rFonts w:ascii="Arial" w:hAnsi="Arial" w:cs="Arial"/>
        </w:rPr>
        <w:t>Ruangnarong</w:t>
      </w:r>
      <w:proofErr w:type="spellEnd"/>
      <w:r w:rsidRPr="0036352D">
        <w:rPr>
          <w:rFonts w:ascii="Arial" w:hAnsi="Arial" w:cs="Arial"/>
        </w:rPr>
        <w:t xml:space="preserve"> et al., 2024). However, they are lower than values reported for mechanically extracted banana fibers (&gt;55% cellulose, &gt;25% hemicellulose) in Thailand and Malaysia (</w:t>
      </w:r>
      <w:proofErr w:type="spellStart"/>
      <w:r w:rsidRPr="0036352D">
        <w:rPr>
          <w:rFonts w:ascii="Arial" w:hAnsi="Arial" w:cs="Arial"/>
        </w:rPr>
        <w:t>Ruangnarong</w:t>
      </w:r>
      <w:proofErr w:type="spellEnd"/>
      <w:r w:rsidRPr="0036352D">
        <w:rPr>
          <w:rFonts w:ascii="Arial" w:hAnsi="Arial" w:cs="Arial"/>
        </w:rPr>
        <w:t xml:space="preserve"> et al., 2024). The discrepancy arises from differences in sample matrix (whole </w:t>
      </w:r>
      <w:proofErr w:type="spellStart"/>
      <w:r w:rsidRPr="0036352D">
        <w:rPr>
          <w:rFonts w:ascii="Arial" w:hAnsi="Arial" w:cs="Arial"/>
        </w:rPr>
        <w:t>pseudostem</w:t>
      </w:r>
      <w:proofErr w:type="spellEnd"/>
      <w:r w:rsidRPr="0036352D">
        <w:rPr>
          <w:rFonts w:ascii="Arial" w:hAnsi="Arial" w:cs="Arial"/>
        </w:rPr>
        <w:t xml:space="preserve"> vs. processed fibers) and analytical methods. Importantly, the Vietnamese samples confirm that </w:t>
      </w:r>
      <w:proofErr w:type="spellStart"/>
      <w:r w:rsidRPr="0036352D">
        <w:rPr>
          <w:rFonts w:ascii="Arial" w:hAnsi="Arial" w:cs="Arial"/>
        </w:rPr>
        <w:t>pseudostems</w:t>
      </w:r>
      <w:proofErr w:type="spellEnd"/>
      <w:r w:rsidRPr="0036352D">
        <w:rPr>
          <w:rFonts w:ascii="Arial" w:hAnsi="Arial" w:cs="Arial"/>
        </w:rPr>
        <w:t xml:space="preserve"> are a promising lignocellulosic feedstock for biomaterial applications, in line with global trends in banana fiber valorization.</w:t>
      </w:r>
    </w:p>
    <w:p w14:paraId="689A44A6" w14:textId="77777777" w:rsidR="0036352D" w:rsidRPr="0036352D" w:rsidRDefault="0036352D" w:rsidP="0036352D">
      <w:pPr>
        <w:pStyle w:val="Body"/>
        <w:rPr>
          <w:rFonts w:ascii="Arial" w:hAnsi="Arial" w:cs="Arial"/>
        </w:rPr>
      </w:pPr>
      <w:r w:rsidRPr="0036352D">
        <w:rPr>
          <w:rFonts w:ascii="Arial" w:hAnsi="Arial" w:cs="Arial"/>
          <w:bCs/>
        </w:rPr>
        <w:t>Dragon fruit peel (</w:t>
      </w:r>
      <w:proofErr w:type="spellStart"/>
      <w:r w:rsidRPr="0036352D">
        <w:rPr>
          <w:rFonts w:ascii="Arial" w:hAnsi="Arial" w:cs="Arial"/>
          <w:bCs/>
        </w:rPr>
        <w:t>Bình</w:t>
      </w:r>
      <w:proofErr w:type="spellEnd"/>
      <w:r w:rsidRPr="0036352D">
        <w:rPr>
          <w:rFonts w:ascii="Arial" w:hAnsi="Arial" w:cs="Arial"/>
          <w:bCs/>
        </w:rPr>
        <w:t xml:space="preserve"> </w:t>
      </w:r>
      <w:proofErr w:type="spellStart"/>
      <w:r w:rsidRPr="0036352D">
        <w:rPr>
          <w:rFonts w:ascii="Arial" w:hAnsi="Arial" w:cs="Arial"/>
          <w:bCs/>
        </w:rPr>
        <w:t>Thuận</w:t>
      </w:r>
      <w:proofErr w:type="spellEnd"/>
      <w:r w:rsidRPr="0036352D">
        <w:rPr>
          <w:rFonts w:ascii="Arial" w:hAnsi="Arial" w:cs="Arial"/>
          <w:bCs/>
        </w:rPr>
        <w:t>):</w:t>
      </w:r>
      <w:r w:rsidRPr="0036352D">
        <w:rPr>
          <w:rFonts w:ascii="Arial" w:hAnsi="Arial" w:cs="Arial"/>
        </w:rPr>
        <w:t xml:space="preserve"> The betacyanin content in Vietnamese red-pulp dragon fruit peel (2.45 ± 0.12 mg/g DW) is within the lower–middle range of international reports. Studies in Malaysia and Thailand have reported 2.0–3.5 mg/g DW (</w:t>
      </w:r>
      <w:proofErr w:type="spellStart"/>
      <w:r w:rsidRPr="0036352D">
        <w:rPr>
          <w:rFonts w:ascii="Arial" w:hAnsi="Arial" w:cs="Arial"/>
        </w:rPr>
        <w:t>Taharuddin</w:t>
      </w:r>
      <w:proofErr w:type="spellEnd"/>
      <w:r w:rsidRPr="0036352D">
        <w:rPr>
          <w:rFonts w:ascii="Arial" w:hAnsi="Arial" w:cs="Arial"/>
        </w:rPr>
        <w:t xml:space="preserve"> et al., 2023), while optimized extractions in India under microwave- or enzyme-assisted conditions yielded up to 20–25 mg/g DW (Singh et al., 2016). This confirms that the Vietnamese dragon fruit peel possesses comparable pigment quality, but also underscores that extraction optimization could further enhance yield. The absorption maximum at 535 nm and the observed </w:t>
      </w:r>
      <w:proofErr w:type="spellStart"/>
      <w:r w:rsidRPr="0036352D">
        <w:rPr>
          <w:rFonts w:ascii="Arial" w:hAnsi="Arial" w:cs="Arial"/>
        </w:rPr>
        <w:t>photolability</w:t>
      </w:r>
      <w:proofErr w:type="spellEnd"/>
      <w:r w:rsidRPr="0036352D">
        <w:rPr>
          <w:rFonts w:ascii="Arial" w:hAnsi="Arial" w:cs="Arial"/>
        </w:rPr>
        <w:t xml:space="preserve"> under UVA (34% degradation) are consistent with the </w:t>
      </w:r>
      <w:proofErr w:type="spellStart"/>
      <w:r w:rsidRPr="0036352D">
        <w:rPr>
          <w:rFonts w:ascii="Arial" w:hAnsi="Arial" w:cs="Arial"/>
        </w:rPr>
        <w:t>betalain</w:t>
      </w:r>
      <w:proofErr w:type="spellEnd"/>
      <w:r w:rsidRPr="0036352D">
        <w:rPr>
          <w:rFonts w:ascii="Arial" w:hAnsi="Arial" w:cs="Arial"/>
        </w:rPr>
        <w:t xml:space="preserve"> stability issues reported in Malaysia and Thailand (</w:t>
      </w:r>
      <w:proofErr w:type="spellStart"/>
      <w:r w:rsidRPr="0036352D">
        <w:rPr>
          <w:rFonts w:ascii="Arial" w:hAnsi="Arial" w:cs="Arial"/>
        </w:rPr>
        <w:t>Taharuddin</w:t>
      </w:r>
      <w:proofErr w:type="spellEnd"/>
      <w:r w:rsidRPr="0036352D">
        <w:rPr>
          <w:rFonts w:ascii="Arial" w:hAnsi="Arial" w:cs="Arial"/>
        </w:rPr>
        <w:t xml:space="preserve"> et al., 2023). These results support the potential use of Vietnamese dragon fruit peel as a source of natural red colorants and photoreactive pigments.</w:t>
      </w:r>
    </w:p>
    <w:p w14:paraId="01487EDB" w14:textId="77777777" w:rsidR="0036352D" w:rsidRPr="0036352D" w:rsidRDefault="0036352D" w:rsidP="0036352D">
      <w:pPr>
        <w:pStyle w:val="Body"/>
        <w:rPr>
          <w:rFonts w:ascii="Arial" w:hAnsi="Arial" w:cs="Arial"/>
        </w:rPr>
      </w:pPr>
      <w:r w:rsidRPr="0036352D">
        <w:rPr>
          <w:rFonts w:ascii="Arial" w:hAnsi="Arial" w:cs="Arial"/>
          <w:bCs/>
        </w:rPr>
        <w:t xml:space="preserve">Durian pulp (Ri6, </w:t>
      </w:r>
      <w:proofErr w:type="spellStart"/>
      <w:r w:rsidRPr="0036352D">
        <w:rPr>
          <w:rFonts w:ascii="Arial" w:hAnsi="Arial" w:cs="Arial"/>
          <w:bCs/>
        </w:rPr>
        <w:t>Đắk</w:t>
      </w:r>
      <w:proofErr w:type="spellEnd"/>
      <w:r w:rsidRPr="0036352D">
        <w:rPr>
          <w:rFonts w:ascii="Arial" w:hAnsi="Arial" w:cs="Arial"/>
          <w:bCs/>
        </w:rPr>
        <w:t xml:space="preserve"> </w:t>
      </w:r>
      <w:proofErr w:type="spellStart"/>
      <w:r w:rsidRPr="0036352D">
        <w:rPr>
          <w:rFonts w:ascii="Arial" w:hAnsi="Arial" w:cs="Arial"/>
          <w:bCs/>
        </w:rPr>
        <w:t>Lắk</w:t>
      </w:r>
      <w:proofErr w:type="spellEnd"/>
      <w:r w:rsidRPr="0036352D">
        <w:rPr>
          <w:rFonts w:ascii="Arial" w:hAnsi="Arial" w:cs="Arial"/>
          <w:bCs/>
        </w:rPr>
        <w:t xml:space="preserve">): </w:t>
      </w:r>
      <w:r w:rsidRPr="0036352D">
        <w:rPr>
          <w:rFonts w:ascii="Arial" w:hAnsi="Arial" w:cs="Arial"/>
        </w:rPr>
        <w:t xml:space="preserve">The carotenoid composition was dominated by β-carotene (1.80 ± 0.09 mg/100 g FW) and lutein (0.60 ± 0.03 mg/100 g FW). These values are substantially higher than those reported for Malaysian cultivars such as </w:t>
      </w:r>
      <w:proofErr w:type="spellStart"/>
      <w:r w:rsidRPr="0036352D">
        <w:rPr>
          <w:rFonts w:ascii="Arial" w:hAnsi="Arial" w:cs="Arial"/>
        </w:rPr>
        <w:t>Monthong</w:t>
      </w:r>
      <w:proofErr w:type="spellEnd"/>
      <w:r w:rsidRPr="0036352D">
        <w:rPr>
          <w:rFonts w:ascii="Arial" w:hAnsi="Arial" w:cs="Arial"/>
        </w:rPr>
        <w:t xml:space="preserve"> and D24 (5-8 µg/g FW total carotenoids, equivalent to 0.5-0.8 mg/100 g FW) and also exceed levels observed in Thai durian cultivars where β-carotene and α-carotene concentrations are moderate (</w:t>
      </w:r>
      <w:proofErr w:type="spellStart"/>
      <w:r w:rsidRPr="0036352D">
        <w:rPr>
          <w:rFonts w:ascii="Arial" w:hAnsi="Arial" w:cs="Arial"/>
        </w:rPr>
        <w:t>Wisutiamonkul</w:t>
      </w:r>
      <w:proofErr w:type="spellEnd"/>
      <w:r w:rsidRPr="0036352D">
        <w:rPr>
          <w:rFonts w:ascii="Arial" w:hAnsi="Arial" w:cs="Arial"/>
        </w:rPr>
        <w:t xml:space="preserve"> et al., 2015). This suggests that Vietnamese Ri6 durian may have superior carotenoid accumulation under its agroecological conditions.</w:t>
      </w:r>
    </w:p>
    <w:p w14:paraId="55375646" w14:textId="77777777" w:rsidR="0036352D" w:rsidRPr="0036352D" w:rsidRDefault="0036352D" w:rsidP="0036352D">
      <w:pPr>
        <w:pStyle w:val="Body"/>
        <w:rPr>
          <w:rFonts w:ascii="Arial" w:hAnsi="Arial" w:cs="Arial"/>
          <w:b/>
        </w:rPr>
      </w:pPr>
      <w:r w:rsidRPr="0036352D">
        <w:rPr>
          <w:rFonts w:ascii="Arial" w:hAnsi="Arial" w:cs="Arial"/>
          <w:b/>
        </w:rPr>
        <w:t>Table 5. Comparative compositional ranges: Vietnam vs. international reports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931"/>
        <w:gridCol w:w="1636"/>
        <w:gridCol w:w="2747"/>
        <w:gridCol w:w="3054"/>
      </w:tblGrid>
      <w:tr w:rsidR="0036352D" w:rsidRPr="0036352D" w14:paraId="2726FAD3" w14:textId="77777777" w:rsidTr="0036352D">
        <w:tc>
          <w:tcPr>
            <w:tcW w:w="0" w:type="auto"/>
            <w:tcBorders>
              <w:top w:val="single" w:sz="4" w:space="0" w:color="000000"/>
              <w:bottom w:val="single" w:sz="4" w:space="0" w:color="000000"/>
            </w:tcBorders>
            <w:hideMark/>
          </w:tcPr>
          <w:p w14:paraId="46F5968B"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Parameter</w:t>
            </w:r>
          </w:p>
        </w:tc>
        <w:tc>
          <w:tcPr>
            <w:tcW w:w="1931" w:type="dxa"/>
            <w:tcBorders>
              <w:top w:val="single" w:sz="4" w:space="0" w:color="000000"/>
              <w:bottom w:val="single" w:sz="4" w:space="0" w:color="000000"/>
            </w:tcBorders>
            <w:hideMark/>
          </w:tcPr>
          <w:p w14:paraId="569D3301"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Vietnam (this study)</w:t>
            </w:r>
          </w:p>
        </w:tc>
        <w:tc>
          <w:tcPr>
            <w:tcW w:w="1636" w:type="dxa"/>
            <w:tcBorders>
              <w:top w:val="single" w:sz="4" w:space="0" w:color="000000"/>
              <w:bottom w:val="single" w:sz="4" w:space="0" w:color="000000"/>
            </w:tcBorders>
            <w:hideMark/>
          </w:tcPr>
          <w:p w14:paraId="67BA8567"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India</w:t>
            </w:r>
          </w:p>
        </w:tc>
        <w:tc>
          <w:tcPr>
            <w:tcW w:w="0" w:type="auto"/>
            <w:tcBorders>
              <w:top w:val="single" w:sz="4" w:space="0" w:color="000000"/>
              <w:bottom w:val="single" w:sz="4" w:space="0" w:color="000000"/>
            </w:tcBorders>
            <w:hideMark/>
          </w:tcPr>
          <w:p w14:paraId="799CAAAA"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Thailand</w:t>
            </w:r>
          </w:p>
        </w:tc>
        <w:tc>
          <w:tcPr>
            <w:tcW w:w="0" w:type="auto"/>
            <w:tcBorders>
              <w:top w:val="single" w:sz="4" w:space="0" w:color="000000"/>
              <w:bottom w:val="single" w:sz="4" w:space="0" w:color="000000"/>
            </w:tcBorders>
            <w:hideMark/>
          </w:tcPr>
          <w:p w14:paraId="0A4C2B54" w14:textId="77777777" w:rsidR="0036352D" w:rsidRPr="0036352D" w:rsidRDefault="0036352D" w:rsidP="00DB480E">
            <w:pPr>
              <w:pStyle w:val="Body"/>
              <w:spacing w:after="0"/>
              <w:rPr>
                <w:rFonts w:ascii="Arial" w:hAnsi="Arial" w:cs="Arial"/>
                <w:b/>
                <w:bCs/>
                <w:sz w:val="20"/>
              </w:rPr>
            </w:pPr>
            <w:r w:rsidRPr="0036352D">
              <w:rPr>
                <w:rFonts w:ascii="Arial" w:hAnsi="Arial" w:cs="Arial"/>
                <w:b/>
                <w:bCs/>
                <w:sz w:val="20"/>
              </w:rPr>
              <w:t>Malaysia</w:t>
            </w:r>
          </w:p>
        </w:tc>
      </w:tr>
      <w:tr w:rsidR="0036352D" w:rsidRPr="0036352D" w14:paraId="7D2EE4D0" w14:textId="77777777" w:rsidTr="0036352D">
        <w:tc>
          <w:tcPr>
            <w:tcW w:w="0" w:type="auto"/>
            <w:tcBorders>
              <w:top w:val="single" w:sz="4" w:space="0" w:color="000000"/>
            </w:tcBorders>
            <w:hideMark/>
          </w:tcPr>
          <w:p w14:paraId="1D714B2B"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 xml:space="preserve">Banana </w:t>
            </w:r>
            <w:proofErr w:type="spellStart"/>
            <w:r w:rsidRPr="0036352D">
              <w:rPr>
                <w:rFonts w:ascii="Arial" w:hAnsi="Arial" w:cs="Arial"/>
                <w:b/>
                <w:bCs/>
                <w:sz w:val="20"/>
              </w:rPr>
              <w:t>pseudostem</w:t>
            </w:r>
            <w:proofErr w:type="spellEnd"/>
          </w:p>
        </w:tc>
        <w:tc>
          <w:tcPr>
            <w:tcW w:w="1931" w:type="dxa"/>
            <w:tcBorders>
              <w:top w:val="single" w:sz="4" w:space="0" w:color="000000"/>
            </w:tcBorders>
            <w:hideMark/>
          </w:tcPr>
          <w:p w14:paraId="1E5D7449" w14:textId="77777777" w:rsidR="0036352D" w:rsidRPr="0036352D" w:rsidRDefault="0036352D" w:rsidP="00DB480E">
            <w:pPr>
              <w:pStyle w:val="Body"/>
              <w:spacing w:after="0"/>
              <w:rPr>
                <w:rFonts w:ascii="Arial" w:hAnsi="Arial" w:cs="Arial"/>
                <w:sz w:val="20"/>
              </w:rPr>
            </w:pPr>
            <w:r w:rsidRPr="0036352D">
              <w:rPr>
                <w:rFonts w:ascii="Arial" w:hAnsi="Arial" w:cs="Arial"/>
                <w:sz w:val="20"/>
              </w:rPr>
              <w:t>Cellulose 38.4%, Hemicellulose 22.5%, Lignin 15.2%</w:t>
            </w:r>
          </w:p>
        </w:tc>
        <w:tc>
          <w:tcPr>
            <w:tcW w:w="1636" w:type="dxa"/>
            <w:tcBorders>
              <w:top w:val="single" w:sz="4" w:space="0" w:color="000000"/>
            </w:tcBorders>
            <w:hideMark/>
          </w:tcPr>
          <w:p w14:paraId="0242C8D3" w14:textId="77777777" w:rsidR="0036352D" w:rsidRPr="0036352D" w:rsidRDefault="0036352D" w:rsidP="00DB480E">
            <w:pPr>
              <w:pStyle w:val="Body"/>
              <w:spacing w:after="0"/>
              <w:rPr>
                <w:rFonts w:ascii="Arial" w:hAnsi="Arial" w:cs="Arial"/>
                <w:sz w:val="20"/>
              </w:rPr>
            </w:pPr>
            <w:r w:rsidRPr="0036352D">
              <w:rPr>
                <w:rFonts w:ascii="Arial" w:hAnsi="Arial" w:cs="Arial"/>
                <w:sz w:val="20"/>
              </w:rPr>
              <w:t xml:space="preserve">Cellulose 35–45%, Hemicellulose 20–25%, Lignin </w:t>
            </w:r>
            <w:r w:rsidRPr="0036352D">
              <w:rPr>
                <w:rFonts w:ascii="Arial" w:hAnsi="Arial" w:cs="Arial"/>
                <w:sz w:val="20"/>
              </w:rPr>
              <w:lastRenderedPageBreak/>
              <w:t>12–15%</w:t>
            </w:r>
          </w:p>
        </w:tc>
        <w:tc>
          <w:tcPr>
            <w:tcW w:w="0" w:type="auto"/>
            <w:tcBorders>
              <w:top w:val="single" w:sz="4" w:space="0" w:color="000000"/>
            </w:tcBorders>
            <w:hideMark/>
          </w:tcPr>
          <w:p w14:paraId="571EF1E3" w14:textId="77777777" w:rsidR="0036352D" w:rsidRPr="0036352D" w:rsidRDefault="0036352D" w:rsidP="00DB480E">
            <w:pPr>
              <w:pStyle w:val="Body"/>
              <w:spacing w:after="0"/>
              <w:rPr>
                <w:rFonts w:ascii="Arial" w:hAnsi="Arial" w:cs="Arial"/>
                <w:sz w:val="20"/>
              </w:rPr>
            </w:pPr>
            <w:r w:rsidRPr="0036352D">
              <w:rPr>
                <w:rFonts w:ascii="Arial" w:hAnsi="Arial" w:cs="Arial"/>
                <w:sz w:val="20"/>
              </w:rPr>
              <w:lastRenderedPageBreak/>
              <w:t>Cellulose 38–44%, Hemicellulose 20–28%, Lignin 14–17%</w:t>
            </w:r>
          </w:p>
        </w:tc>
        <w:tc>
          <w:tcPr>
            <w:tcW w:w="0" w:type="auto"/>
            <w:tcBorders>
              <w:top w:val="single" w:sz="4" w:space="0" w:color="000000"/>
            </w:tcBorders>
            <w:hideMark/>
          </w:tcPr>
          <w:p w14:paraId="593263E3" w14:textId="77777777" w:rsidR="0036352D" w:rsidRPr="0036352D" w:rsidRDefault="0036352D" w:rsidP="00DB480E">
            <w:pPr>
              <w:pStyle w:val="Body"/>
              <w:spacing w:after="0"/>
              <w:rPr>
                <w:rFonts w:ascii="Arial" w:hAnsi="Arial" w:cs="Arial"/>
                <w:sz w:val="20"/>
              </w:rPr>
            </w:pPr>
            <w:r w:rsidRPr="0036352D">
              <w:rPr>
                <w:rFonts w:ascii="Arial" w:hAnsi="Arial" w:cs="Arial"/>
                <w:sz w:val="20"/>
              </w:rPr>
              <w:t>Fiber fraction: Cellulose 55–61%, Hemicellulose 25–29%, Lignin 13%</w:t>
            </w:r>
          </w:p>
        </w:tc>
      </w:tr>
      <w:tr w:rsidR="0036352D" w:rsidRPr="0036352D" w14:paraId="78A37FB4" w14:textId="77777777" w:rsidTr="0036352D">
        <w:tc>
          <w:tcPr>
            <w:tcW w:w="0" w:type="auto"/>
            <w:hideMark/>
          </w:tcPr>
          <w:p w14:paraId="0B0CE83E"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Dragon fruit peel</w:t>
            </w:r>
          </w:p>
        </w:tc>
        <w:tc>
          <w:tcPr>
            <w:tcW w:w="1931" w:type="dxa"/>
            <w:hideMark/>
          </w:tcPr>
          <w:p w14:paraId="09363C90" w14:textId="77777777" w:rsidR="0036352D" w:rsidRPr="0036352D" w:rsidRDefault="0036352D" w:rsidP="00DB480E">
            <w:pPr>
              <w:pStyle w:val="Body"/>
              <w:spacing w:after="0"/>
              <w:rPr>
                <w:rFonts w:ascii="Arial" w:hAnsi="Arial" w:cs="Arial"/>
                <w:sz w:val="20"/>
              </w:rPr>
            </w:pPr>
            <w:r w:rsidRPr="0036352D">
              <w:rPr>
                <w:rFonts w:ascii="Arial" w:hAnsi="Arial" w:cs="Arial"/>
                <w:sz w:val="20"/>
              </w:rPr>
              <w:t>Betacyanin 2.45 ± 0.12 mg/g DW</w:t>
            </w:r>
          </w:p>
        </w:tc>
        <w:tc>
          <w:tcPr>
            <w:tcW w:w="1636" w:type="dxa"/>
            <w:hideMark/>
          </w:tcPr>
          <w:p w14:paraId="00BE0FF9" w14:textId="77777777" w:rsidR="0036352D" w:rsidRPr="0036352D" w:rsidRDefault="0036352D" w:rsidP="00DB480E">
            <w:pPr>
              <w:pStyle w:val="Body"/>
              <w:spacing w:after="0"/>
              <w:rPr>
                <w:rFonts w:ascii="Arial" w:hAnsi="Arial" w:cs="Arial"/>
                <w:sz w:val="20"/>
              </w:rPr>
            </w:pPr>
            <w:r w:rsidRPr="0036352D">
              <w:rPr>
                <w:rFonts w:ascii="Arial" w:hAnsi="Arial" w:cs="Arial"/>
                <w:sz w:val="20"/>
              </w:rPr>
              <w:t>2.0–3.0 mg/g DW (conventional); up to 20 mg/g DW (optimized extractions)</w:t>
            </w:r>
          </w:p>
        </w:tc>
        <w:tc>
          <w:tcPr>
            <w:tcW w:w="0" w:type="auto"/>
            <w:hideMark/>
          </w:tcPr>
          <w:p w14:paraId="167764A7" w14:textId="77777777" w:rsidR="0036352D" w:rsidRPr="0036352D" w:rsidRDefault="0036352D" w:rsidP="00DB480E">
            <w:pPr>
              <w:pStyle w:val="Body"/>
              <w:spacing w:after="0"/>
              <w:rPr>
                <w:rFonts w:ascii="Arial" w:hAnsi="Arial" w:cs="Arial"/>
                <w:sz w:val="20"/>
              </w:rPr>
            </w:pPr>
            <w:r w:rsidRPr="0036352D">
              <w:rPr>
                <w:rFonts w:ascii="Arial" w:hAnsi="Arial" w:cs="Arial"/>
                <w:sz w:val="20"/>
              </w:rPr>
              <w:t>2.5–3.5 mg/g DW</w:t>
            </w:r>
          </w:p>
        </w:tc>
        <w:tc>
          <w:tcPr>
            <w:tcW w:w="0" w:type="auto"/>
            <w:hideMark/>
          </w:tcPr>
          <w:p w14:paraId="7D5D200D" w14:textId="77777777" w:rsidR="0036352D" w:rsidRPr="0036352D" w:rsidRDefault="0036352D" w:rsidP="00DB480E">
            <w:pPr>
              <w:pStyle w:val="Body"/>
              <w:spacing w:after="0"/>
              <w:rPr>
                <w:rFonts w:ascii="Arial" w:hAnsi="Arial" w:cs="Arial"/>
                <w:sz w:val="20"/>
              </w:rPr>
            </w:pPr>
            <w:r w:rsidRPr="0036352D">
              <w:rPr>
                <w:rFonts w:ascii="Arial" w:hAnsi="Arial" w:cs="Arial"/>
                <w:sz w:val="20"/>
              </w:rPr>
              <w:t>2.0–3.2 mg/g DW</w:t>
            </w:r>
          </w:p>
        </w:tc>
      </w:tr>
      <w:tr w:rsidR="0036352D" w:rsidRPr="0036352D" w14:paraId="2D3DA581" w14:textId="77777777" w:rsidTr="0036352D">
        <w:tc>
          <w:tcPr>
            <w:tcW w:w="0" w:type="auto"/>
            <w:hideMark/>
          </w:tcPr>
          <w:p w14:paraId="3367110E" w14:textId="77777777" w:rsidR="0036352D" w:rsidRPr="0036352D" w:rsidRDefault="0036352D" w:rsidP="00DB480E">
            <w:pPr>
              <w:pStyle w:val="Body"/>
              <w:spacing w:after="0"/>
              <w:rPr>
                <w:rFonts w:ascii="Arial" w:hAnsi="Arial" w:cs="Arial"/>
                <w:sz w:val="20"/>
              </w:rPr>
            </w:pPr>
            <w:r w:rsidRPr="0036352D">
              <w:rPr>
                <w:rFonts w:ascii="Arial" w:hAnsi="Arial" w:cs="Arial"/>
                <w:b/>
                <w:bCs/>
                <w:sz w:val="20"/>
              </w:rPr>
              <w:t>Durian pulp (Ri6)</w:t>
            </w:r>
          </w:p>
        </w:tc>
        <w:tc>
          <w:tcPr>
            <w:tcW w:w="1931" w:type="dxa"/>
            <w:hideMark/>
          </w:tcPr>
          <w:p w14:paraId="140618E2"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 1.80 ± 0.09 mg/100 g FW; lutein 0.60 ± 0.03 mg/100 g FW</w:t>
            </w:r>
          </w:p>
        </w:tc>
        <w:tc>
          <w:tcPr>
            <w:tcW w:w="1636" w:type="dxa"/>
            <w:hideMark/>
          </w:tcPr>
          <w:p w14:paraId="48F564ED"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 0.9–1.3 mg/100 g FW</w:t>
            </w:r>
          </w:p>
        </w:tc>
        <w:tc>
          <w:tcPr>
            <w:tcW w:w="0" w:type="auto"/>
            <w:hideMark/>
          </w:tcPr>
          <w:p w14:paraId="092DB53D" w14:textId="77777777" w:rsidR="0036352D" w:rsidRPr="0036352D" w:rsidRDefault="0036352D" w:rsidP="00DB480E">
            <w:pPr>
              <w:pStyle w:val="Body"/>
              <w:spacing w:after="0"/>
              <w:rPr>
                <w:rFonts w:ascii="Arial" w:hAnsi="Arial" w:cs="Arial"/>
                <w:sz w:val="20"/>
              </w:rPr>
            </w:pPr>
            <w:r w:rsidRPr="0036352D">
              <w:rPr>
                <w:rFonts w:ascii="Arial" w:hAnsi="Arial" w:cs="Arial"/>
                <w:sz w:val="20"/>
              </w:rPr>
              <w:t>β-carotene 0.8–1.2 mg/100 g FW</w:t>
            </w:r>
          </w:p>
        </w:tc>
        <w:tc>
          <w:tcPr>
            <w:tcW w:w="0" w:type="auto"/>
            <w:hideMark/>
          </w:tcPr>
          <w:p w14:paraId="398E902B" w14:textId="77777777" w:rsidR="0036352D" w:rsidRPr="0036352D" w:rsidRDefault="0036352D" w:rsidP="00DB480E">
            <w:pPr>
              <w:pStyle w:val="Body"/>
              <w:spacing w:after="0"/>
              <w:rPr>
                <w:rFonts w:ascii="Arial" w:hAnsi="Arial" w:cs="Arial"/>
                <w:sz w:val="20"/>
              </w:rPr>
            </w:pPr>
            <w:r w:rsidRPr="0036352D">
              <w:rPr>
                <w:rFonts w:ascii="Arial" w:hAnsi="Arial" w:cs="Arial"/>
                <w:sz w:val="20"/>
              </w:rPr>
              <w:t>Total carotenoids 0.5–0.8 mg/100 g FW</w:t>
            </w:r>
          </w:p>
        </w:tc>
      </w:tr>
    </w:tbl>
    <w:p w14:paraId="3102FE36" w14:textId="77777777" w:rsidR="0036352D" w:rsidRPr="0036352D" w:rsidRDefault="0036352D" w:rsidP="0036352D">
      <w:pPr>
        <w:pStyle w:val="Body"/>
        <w:rPr>
          <w:rFonts w:ascii="Arial" w:hAnsi="Arial" w:cs="Arial"/>
          <w:b/>
          <w:bCs/>
        </w:rPr>
      </w:pPr>
      <w:r w:rsidRPr="0036352D">
        <w:rPr>
          <w:rFonts w:ascii="Arial" w:hAnsi="Arial" w:cs="Arial"/>
          <w:b/>
          <w:bCs/>
        </w:rPr>
        <w:t>4.2. Key implications</w:t>
      </w:r>
    </w:p>
    <w:p w14:paraId="5ADF27DF" w14:textId="77777777" w:rsidR="0036352D" w:rsidRPr="0036352D" w:rsidRDefault="0036352D" w:rsidP="0036352D">
      <w:pPr>
        <w:pStyle w:val="Body"/>
        <w:rPr>
          <w:rFonts w:ascii="Arial" w:hAnsi="Arial" w:cs="Arial"/>
        </w:rPr>
      </w:pPr>
      <w:r w:rsidRPr="0036352D">
        <w:rPr>
          <w:rFonts w:ascii="Arial" w:hAnsi="Arial" w:cs="Arial"/>
        </w:rPr>
        <w:t xml:space="preserve">The findings of this study carry several important implications for both scientific understanding and industrial application. The high cellulose and hemicellulose contents observed in Vietnamese banana </w:t>
      </w:r>
      <w:proofErr w:type="spellStart"/>
      <w:r w:rsidRPr="0036352D">
        <w:rPr>
          <w:rFonts w:ascii="Arial" w:hAnsi="Arial" w:cs="Arial"/>
        </w:rPr>
        <w:t>pseudostems</w:t>
      </w:r>
      <w:proofErr w:type="spellEnd"/>
      <w:r w:rsidRPr="0036352D">
        <w:rPr>
          <w:rFonts w:ascii="Arial" w:hAnsi="Arial" w:cs="Arial"/>
        </w:rPr>
        <w:t xml:space="preserve"> are comparable to those reported in India and Thailand, confirming their suitability as a lignocellulosic feedstock for biodegradable packaging and fiber composites (</w:t>
      </w:r>
      <w:proofErr w:type="spellStart"/>
      <w:r w:rsidRPr="0036352D">
        <w:rPr>
          <w:rFonts w:ascii="Arial" w:hAnsi="Arial" w:cs="Arial"/>
        </w:rPr>
        <w:t>Ruangnarong</w:t>
      </w:r>
      <w:proofErr w:type="spellEnd"/>
      <w:r w:rsidRPr="0036352D">
        <w:rPr>
          <w:rFonts w:ascii="Arial" w:hAnsi="Arial" w:cs="Arial"/>
        </w:rPr>
        <w:t xml:space="preserve"> et al., 2024). The </w:t>
      </w:r>
      <w:proofErr w:type="spellStart"/>
      <w:r w:rsidRPr="0036352D">
        <w:rPr>
          <w:rFonts w:ascii="Arial" w:hAnsi="Arial" w:cs="Arial"/>
        </w:rPr>
        <w:t>betalain</w:t>
      </w:r>
      <w:proofErr w:type="spellEnd"/>
      <w:r w:rsidRPr="0036352D">
        <w:rPr>
          <w:rFonts w:ascii="Arial" w:hAnsi="Arial" w:cs="Arial"/>
        </w:rPr>
        <w:t xml:space="preserve"> concentration in Vietnamese dragon fruit peel falls within the international range and exhibits stability characteristics similar to those documented in Malaysia and Thailand, thereby validating its potential use as a natural food-grade colorant and optical marker in photoreactive applications (</w:t>
      </w:r>
      <w:proofErr w:type="spellStart"/>
      <w:r w:rsidRPr="0036352D">
        <w:rPr>
          <w:rFonts w:ascii="Arial" w:hAnsi="Arial" w:cs="Arial"/>
        </w:rPr>
        <w:t>Taharuddin</w:t>
      </w:r>
      <w:proofErr w:type="spellEnd"/>
      <w:r w:rsidRPr="0036352D">
        <w:rPr>
          <w:rFonts w:ascii="Arial" w:hAnsi="Arial" w:cs="Arial"/>
        </w:rPr>
        <w:t xml:space="preserve"> et al., 2023; Azeredo, 2009). Meanwhile, the elevated β-carotene content detected in Ri6 durian pulp, which exceeded values reported for major cultivars in Thailand and Malaysia, highlights a cultivar-specific advantage that could position Vietnamese durian as a nutritionally superior export variety with enhanced provitamin A value (Rodriguez-Amaya, 2019). Most importantly, this work provides the first integrated experimental dataset on the chemical and photochemical properties of banana </w:t>
      </w:r>
      <w:proofErr w:type="spellStart"/>
      <w:r w:rsidRPr="0036352D">
        <w:rPr>
          <w:rFonts w:ascii="Arial" w:hAnsi="Arial" w:cs="Arial"/>
        </w:rPr>
        <w:t>pseudostems</w:t>
      </w:r>
      <w:proofErr w:type="spellEnd"/>
      <w:r w:rsidRPr="0036352D">
        <w:rPr>
          <w:rFonts w:ascii="Arial" w:hAnsi="Arial" w:cs="Arial"/>
        </w:rPr>
        <w:t>, dragon fruit peels, and Ri6 durian pulp under Vietnamese agro-ecological conditions, thereby filling a critical knowledge gap and offering a foundation for the valorization of these underutilized by-products in biomaterials, natural pigment extraction, nutraceuticals, and cosmetic formulations.</w:t>
      </w:r>
    </w:p>
    <w:p w14:paraId="3E097013" w14:textId="77777777" w:rsidR="0036352D" w:rsidRPr="0036352D" w:rsidRDefault="0036352D" w:rsidP="0036352D">
      <w:pPr>
        <w:pStyle w:val="Body"/>
        <w:rPr>
          <w:rFonts w:ascii="Arial" w:hAnsi="Arial" w:cs="Arial"/>
          <w:b/>
          <w:bCs/>
        </w:rPr>
      </w:pPr>
      <w:r w:rsidRPr="0036352D">
        <w:rPr>
          <w:rFonts w:ascii="Arial" w:hAnsi="Arial" w:cs="Arial"/>
          <w:b/>
          <w:bCs/>
        </w:rPr>
        <w:t>4.3. Global perspective</w:t>
      </w:r>
    </w:p>
    <w:p w14:paraId="0B1D6F7C" w14:textId="77777777" w:rsidR="0036352D" w:rsidRPr="0036352D" w:rsidRDefault="0036352D" w:rsidP="0036352D">
      <w:pPr>
        <w:pStyle w:val="Body"/>
        <w:rPr>
          <w:rFonts w:ascii="Arial" w:hAnsi="Arial" w:cs="Arial"/>
        </w:rPr>
      </w:pPr>
      <w:r w:rsidRPr="0036352D">
        <w:rPr>
          <w:rFonts w:ascii="Arial" w:hAnsi="Arial" w:cs="Arial"/>
        </w:rPr>
        <w:t xml:space="preserve">The valorization of agro-industrial by-products aligns closely with the global transition toward a bio-based and circular economy. International agencies such as the Food and Agriculture Organization (FAO, 2019; FAO, 2021) and the World Health Organization (WHO, 2020) have emphasized the urgent need to reduce food loss and waste, while simultaneously promoting sustainable biomass utilization for food, feed, materials, and energy. In this context, the compositional data presented here for banana </w:t>
      </w:r>
      <w:proofErr w:type="spellStart"/>
      <w:r w:rsidRPr="0036352D">
        <w:rPr>
          <w:rFonts w:ascii="Arial" w:hAnsi="Arial" w:cs="Arial"/>
        </w:rPr>
        <w:t>pseudostems</w:t>
      </w:r>
      <w:proofErr w:type="spellEnd"/>
      <w:r w:rsidRPr="0036352D">
        <w:rPr>
          <w:rFonts w:ascii="Arial" w:hAnsi="Arial" w:cs="Arial"/>
        </w:rPr>
        <w:t>, dragon fruit peels, and Ri6 durian pulp provide an important contribution to the global knowledge base on tropical crop residues.</w:t>
      </w:r>
    </w:p>
    <w:p w14:paraId="034A8EB7" w14:textId="77777777" w:rsidR="0036352D" w:rsidRPr="0036352D" w:rsidRDefault="0036352D" w:rsidP="0036352D">
      <w:pPr>
        <w:pStyle w:val="Body"/>
        <w:rPr>
          <w:rFonts w:ascii="Arial" w:hAnsi="Arial" w:cs="Arial"/>
        </w:rPr>
      </w:pPr>
      <w:r w:rsidRPr="0036352D">
        <w:rPr>
          <w:rFonts w:ascii="Arial" w:hAnsi="Arial" w:cs="Arial"/>
        </w:rPr>
        <w:t xml:space="preserve">From a biomaterials standpoint, the high cellulose and hemicellulose content in Vietnamese banana </w:t>
      </w:r>
      <w:proofErr w:type="spellStart"/>
      <w:r w:rsidRPr="0036352D">
        <w:rPr>
          <w:rFonts w:ascii="Arial" w:hAnsi="Arial" w:cs="Arial"/>
        </w:rPr>
        <w:t>pseudostems</w:t>
      </w:r>
      <w:proofErr w:type="spellEnd"/>
      <w:r w:rsidRPr="0036352D">
        <w:rPr>
          <w:rFonts w:ascii="Arial" w:hAnsi="Arial" w:cs="Arial"/>
        </w:rPr>
        <w:t xml:space="preserve"> positions them as a competitive resource for biodegradable films and fiber-reinforced composites. This complements ongoing efforts in India and Thailand to develop banana-fiber textiles and packaging (</w:t>
      </w:r>
      <w:proofErr w:type="spellStart"/>
      <w:r w:rsidRPr="0036352D">
        <w:rPr>
          <w:rFonts w:ascii="Arial" w:hAnsi="Arial" w:cs="Arial"/>
        </w:rPr>
        <w:t>Ruangnarong</w:t>
      </w:r>
      <w:proofErr w:type="spellEnd"/>
      <w:r w:rsidRPr="0036352D">
        <w:rPr>
          <w:rFonts w:ascii="Arial" w:hAnsi="Arial" w:cs="Arial"/>
        </w:rPr>
        <w:t xml:space="preserve"> et al., 2024), and highlights the potential for Vietnam to enter international biopolymer value chains.</w:t>
      </w:r>
    </w:p>
    <w:p w14:paraId="5E51AB77" w14:textId="77777777" w:rsidR="0036352D" w:rsidRPr="0036352D" w:rsidRDefault="0036352D" w:rsidP="0036352D">
      <w:pPr>
        <w:pStyle w:val="Body"/>
        <w:rPr>
          <w:rFonts w:ascii="Arial" w:hAnsi="Arial" w:cs="Arial"/>
        </w:rPr>
      </w:pPr>
      <w:r w:rsidRPr="0036352D">
        <w:rPr>
          <w:rFonts w:ascii="Arial" w:hAnsi="Arial" w:cs="Arial"/>
        </w:rPr>
        <w:t xml:space="preserve">For natural pigments, </w:t>
      </w:r>
      <w:proofErr w:type="spellStart"/>
      <w:r w:rsidRPr="0036352D">
        <w:rPr>
          <w:rFonts w:ascii="Arial" w:hAnsi="Arial" w:cs="Arial"/>
        </w:rPr>
        <w:t>betalains</w:t>
      </w:r>
      <w:proofErr w:type="spellEnd"/>
      <w:r w:rsidRPr="0036352D">
        <w:rPr>
          <w:rFonts w:ascii="Arial" w:hAnsi="Arial" w:cs="Arial"/>
        </w:rPr>
        <w:t xml:space="preserve"> and carotenoids have gained increasing recognition as alternatives to synthetic dyes, driven by consumer demand for “clean-label” products and stricter regulatory frameworks in Europe and North America (Azeredo, 2009; Rodriguez-Amaya, 2019). The confirmation of </w:t>
      </w:r>
      <w:proofErr w:type="spellStart"/>
      <w:r w:rsidRPr="0036352D">
        <w:rPr>
          <w:rFonts w:ascii="Arial" w:hAnsi="Arial" w:cs="Arial"/>
        </w:rPr>
        <w:t>betalain</w:t>
      </w:r>
      <w:proofErr w:type="spellEnd"/>
      <w:r w:rsidRPr="0036352D">
        <w:rPr>
          <w:rFonts w:ascii="Arial" w:hAnsi="Arial" w:cs="Arial"/>
        </w:rPr>
        <w:t xml:space="preserve"> stability profiles in dragon fruit peel and the superior β-carotene content in Ri6 durian underscore Vietnam’s potential role as a supplier of high-value bioactive pigments for global food and cosmetic industries.</w:t>
      </w:r>
    </w:p>
    <w:p w14:paraId="7E2BDBC8" w14:textId="77777777" w:rsidR="0036352D" w:rsidRPr="0036352D" w:rsidRDefault="0036352D" w:rsidP="0036352D">
      <w:pPr>
        <w:pStyle w:val="Body"/>
        <w:rPr>
          <w:rFonts w:ascii="Arial" w:hAnsi="Arial" w:cs="Arial"/>
        </w:rPr>
      </w:pPr>
      <w:r w:rsidRPr="0036352D">
        <w:rPr>
          <w:rFonts w:ascii="Arial" w:hAnsi="Arial" w:cs="Arial"/>
        </w:rPr>
        <w:t>At the nutraceutical and functional food level, the polyphenolic richness of dragon fruit peels and the provitamin A carotenoids of durian pulp fit well into current trends of personalized nutrition and plant-derived health solutions. The results also resonate with the bioeconomy strategies adopted in Malaysia and Thailand, where fruit by-products are being integrated into dietary supplements and cosmetic formulations (</w:t>
      </w:r>
      <w:proofErr w:type="spellStart"/>
      <w:r w:rsidRPr="0036352D">
        <w:rPr>
          <w:rFonts w:ascii="Arial" w:hAnsi="Arial" w:cs="Arial"/>
        </w:rPr>
        <w:t>Taharuddin</w:t>
      </w:r>
      <w:proofErr w:type="spellEnd"/>
      <w:r w:rsidRPr="0036352D">
        <w:rPr>
          <w:rFonts w:ascii="Arial" w:hAnsi="Arial" w:cs="Arial"/>
        </w:rPr>
        <w:t xml:space="preserve"> et al., 2023).</w:t>
      </w:r>
    </w:p>
    <w:p w14:paraId="739B798B" w14:textId="77777777" w:rsidR="0036352D" w:rsidRPr="0036352D" w:rsidRDefault="0036352D" w:rsidP="0036352D">
      <w:pPr>
        <w:pStyle w:val="Body"/>
        <w:rPr>
          <w:rFonts w:ascii="Arial" w:hAnsi="Arial" w:cs="Arial"/>
        </w:rPr>
      </w:pPr>
      <w:r w:rsidRPr="0036352D">
        <w:rPr>
          <w:rFonts w:ascii="Arial" w:hAnsi="Arial" w:cs="Arial"/>
        </w:rPr>
        <w:t>Importantly, this study delivers the first experimental dataset from Vietnam, thereby filling a regional gap in global databases of crop by-product composition. By situating Vietnam’s findings within the broader Asian context, the study not only validates the competitiveness of local cultivars under international standards but also supports the inclusion of Vietnamese agro-residues in FAO/WHO technical references and international market assessments (FAO, 2019; WHO, 2020). Such integration is critical for scaling up pilot valorization initiatives into globally recognized bioeconomy innovations that contribute to the United Nations Sustainable Development Goals (SDGs), particularly those on responsible consumption and production (SDG 12) and climate action (SDG 13) (United Nations, 2015).</w:t>
      </w:r>
    </w:p>
    <w:p w14:paraId="2E92CD4C" w14:textId="77777777" w:rsidR="00E053D0" w:rsidRDefault="0036352D" w:rsidP="0036352D">
      <w:pPr>
        <w:pStyle w:val="Body"/>
        <w:spacing w:after="0"/>
        <w:rPr>
          <w:rFonts w:ascii="Arial" w:hAnsi="Arial" w:cs="Arial"/>
        </w:rPr>
      </w:pPr>
      <w:r w:rsidRPr="0036352D">
        <w:rPr>
          <w:rFonts w:ascii="Arial" w:hAnsi="Arial" w:cs="Arial"/>
        </w:rPr>
        <w:lastRenderedPageBreak/>
        <w:t xml:space="preserve">Beyond high-value applications such as biopolymers and nutraceuticals, banana </w:t>
      </w:r>
      <w:proofErr w:type="spellStart"/>
      <w:r w:rsidRPr="0036352D">
        <w:rPr>
          <w:rFonts w:ascii="Arial" w:hAnsi="Arial" w:cs="Arial"/>
        </w:rPr>
        <w:t>pseudostems</w:t>
      </w:r>
      <w:proofErr w:type="spellEnd"/>
      <w:r w:rsidRPr="0036352D">
        <w:rPr>
          <w:rFonts w:ascii="Arial" w:hAnsi="Arial" w:cs="Arial"/>
        </w:rPr>
        <w:t xml:space="preserve"> also represent a practical resource for sustainable agriculture through composting and biofertilizer production (Singh et al., 2008; Suthar, 2009). Their richness in cellulose, hemicellulose, and potassium makes them suitable for conversion into both solid organic fertilizers and liquid biofertilizers, which aligns with global strategies to recycle on-farm residues into soil amendments. This approach not only reduces agricultural waste but also improves soil fertility and supports low-input farming systems, contributing directly to circular agriculture models promoted by FAO and WHO (FAO, 2021).</w:t>
      </w:r>
    </w:p>
    <w:p w14:paraId="50DAA391" w14:textId="77777777" w:rsidR="00790ADA" w:rsidRPr="00FB3A86" w:rsidRDefault="00790ADA" w:rsidP="00441B6F">
      <w:pPr>
        <w:pStyle w:val="Body"/>
        <w:spacing w:after="0"/>
        <w:rPr>
          <w:rFonts w:ascii="Arial" w:hAnsi="Arial" w:cs="Arial"/>
        </w:rPr>
      </w:pPr>
    </w:p>
    <w:p w14:paraId="6EC1CC0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BD77B9" w14:textId="77777777" w:rsidR="00790ADA" w:rsidRPr="00FB3A86" w:rsidRDefault="00790ADA" w:rsidP="00441B6F">
      <w:pPr>
        <w:pStyle w:val="ConcHead"/>
        <w:spacing w:after="0"/>
        <w:jc w:val="both"/>
        <w:rPr>
          <w:rFonts w:ascii="Arial" w:hAnsi="Arial" w:cs="Arial"/>
        </w:rPr>
      </w:pPr>
    </w:p>
    <w:p w14:paraId="4EA6B0D3" w14:textId="77777777" w:rsidR="00DB480E" w:rsidRPr="00DB480E" w:rsidRDefault="00DB480E" w:rsidP="00DB480E">
      <w:pPr>
        <w:pStyle w:val="Body"/>
        <w:rPr>
          <w:rFonts w:ascii="Arial" w:hAnsi="Arial" w:cs="Arial"/>
        </w:rPr>
      </w:pPr>
      <w:r w:rsidRPr="00DB480E">
        <w:rPr>
          <w:rFonts w:ascii="Arial" w:hAnsi="Arial" w:cs="Arial"/>
        </w:rPr>
        <w:t xml:space="preserve">This study provides the first integrated experimental dataset on the </w:t>
      </w:r>
      <w:r w:rsidRPr="00DB480E">
        <w:rPr>
          <w:rFonts w:ascii="Arial" w:hAnsi="Arial" w:cs="Arial"/>
          <w:bCs/>
        </w:rPr>
        <w:t>chemical and photochemical composition</w:t>
      </w:r>
      <w:r w:rsidRPr="00DB480E">
        <w:rPr>
          <w:rFonts w:ascii="Arial" w:hAnsi="Arial" w:cs="Arial"/>
        </w:rPr>
        <w:t xml:space="preserve"> of banana </w:t>
      </w:r>
      <w:proofErr w:type="spellStart"/>
      <w:r w:rsidRPr="00DB480E">
        <w:rPr>
          <w:rFonts w:ascii="Arial" w:hAnsi="Arial" w:cs="Arial"/>
        </w:rPr>
        <w:t>pseudostems</w:t>
      </w:r>
      <w:proofErr w:type="spellEnd"/>
      <w:r w:rsidRPr="00DB480E">
        <w:rPr>
          <w:rFonts w:ascii="Arial" w:hAnsi="Arial" w:cs="Arial"/>
        </w:rPr>
        <w:t xml:space="preserve"> from U Minh </w:t>
      </w:r>
      <w:proofErr w:type="spellStart"/>
      <w:r w:rsidRPr="00DB480E">
        <w:rPr>
          <w:rFonts w:ascii="Arial" w:hAnsi="Arial" w:cs="Arial"/>
        </w:rPr>
        <w:t>Thượng</w:t>
      </w:r>
      <w:proofErr w:type="spellEnd"/>
      <w:r w:rsidRPr="00DB480E">
        <w:rPr>
          <w:rFonts w:ascii="Arial" w:hAnsi="Arial" w:cs="Arial"/>
        </w:rPr>
        <w:t xml:space="preserve"> (An </w:t>
      </w:r>
      <w:proofErr w:type="spellStart"/>
      <w:r w:rsidRPr="00DB480E">
        <w:rPr>
          <w:rFonts w:ascii="Arial" w:hAnsi="Arial" w:cs="Arial"/>
        </w:rPr>
        <w:t>Giang</w:t>
      </w:r>
      <w:proofErr w:type="spellEnd"/>
      <w:r w:rsidRPr="00DB480E">
        <w:rPr>
          <w:rFonts w:ascii="Arial" w:hAnsi="Arial" w:cs="Arial"/>
        </w:rPr>
        <w:t xml:space="preserve">), red-pulp dragon fruit peels from </w:t>
      </w:r>
      <w:proofErr w:type="spellStart"/>
      <w:r w:rsidRPr="00DB480E">
        <w:rPr>
          <w:rFonts w:ascii="Arial" w:hAnsi="Arial" w:cs="Arial"/>
        </w:rPr>
        <w:t>Bình</w:t>
      </w:r>
      <w:proofErr w:type="spellEnd"/>
      <w:r w:rsidRPr="00DB480E">
        <w:rPr>
          <w:rFonts w:ascii="Arial" w:hAnsi="Arial" w:cs="Arial"/>
        </w:rPr>
        <w:t xml:space="preserve"> </w:t>
      </w:r>
      <w:proofErr w:type="spellStart"/>
      <w:r w:rsidRPr="00DB480E">
        <w:rPr>
          <w:rFonts w:ascii="Arial" w:hAnsi="Arial" w:cs="Arial"/>
        </w:rPr>
        <w:t>Thuận</w:t>
      </w:r>
      <w:proofErr w:type="spellEnd"/>
      <w:r w:rsidRPr="00DB480E">
        <w:rPr>
          <w:rFonts w:ascii="Arial" w:hAnsi="Arial" w:cs="Arial"/>
        </w:rPr>
        <w:t xml:space="preserve">, and Ri6 durian pulp from </w:t>
      </w:r>
      <w:proofErr w:type="spellStart"/>
      <w:r w:rsidRPr="00DB480E">
        <w:rPr>
          <w:rFonts w:ascii="Arial" w:hAnsi="Arial" w:cs="Arial"/>
        </w:rPr>
        <w:t>Đắk</w:t>
      </w:r>
      <w:proofErr w:type="spellEnd"/>
      <w:r w:rsidRPr="00DB480E">
        <w:rPr>
          <w:rFonts w:ascii="Arial" w:hAnsi="Arial" w:cs="Arial"/>
        </w:rPr>
        <w:t xml:space="preserve"> </w:t>
      </w:r>
      <w:proofErr w:type="spellStart"/>
      <w:r w:rsidRPr="00DB480E">
        <w:rPr>
          <w:rFonts w:ascii="Arial" w:hAnsi="Arial" w:cs="Arial"/>
        </w:rPr>
        <w:t>Lắk</w:t>
      </w:r>
      <w:proofErr w:type="spellEnd"/>
      <w:r w:rsidRPr="00DB480E">
        <w:rPr>
          <w:rFonts w:ascii="Arial" w:hAnsi="Arial" w:cs="Arial"/>
        </w:rPr>
        <w:t xml:space="preserve">, Vietnam. The results demonstrated that banana </w:t>
      </w:r>
      <w:proofErr w:type="spellStart"/>
      <w:r w:rsidRPr="00DB480E">
        <w:rPr>
          <w:rFonts w:ascii="Arial" w:hAnsi="Arial" w:cs="Arial"/>
        </w:rPr>
        <w:t>pseudostems</w:t>
      </w:r>
      <w:proofErr w:type="spellEnd"/>
      <w:r w:rsidRPr="00DB480E">
        <w:rPr>
          <w:rFonts w:ascii="Arial" w:hAnsi="Arial" w:cs="Arial"/>
        </w:rPr>
        <w:t xml:space="preserve"> contained high levels of </w:t>
      </w:r>
      <w:r w:rsidRPr="00DB480E">
        <w:rPr>
          <w:rFonts w:ascii="Arial" w:hAnsi="Arial" w:cs="Arial"/>
          <w:bCs/>
        </w:rPr>
        <w:t>cellulose (38.4%) and hemicellulose (22.5%)</w:t>
      </w:r>
      <w:r w:rsidRPr="00DB480E">
        <w:rPr>
          <w:rFonts w:ascii="Arial" w:hAnsi="Arial" w:cs="Arial"/>
        </w:rPr>
        <w:t xml:space="preserve">, confirming their potential as a lignocellulosic feedstock for </w:t>
      </w:r>
      <w:r w:rsidRPr="00DB480E">
        <w:rPr>
          <w:rFonts w:ascii="Arial" w:hAnsi="Arial" w:cs="Arial"/>
          <w:bCs/>
        </w:rPr>
        <w:t>biodegradable packaging and fiber composites</w:t>
      </w:r>
      <w:r w:rsidRPr="00DB480E">
        <w:rPr>
          <w:rFonts w:ascii="Arial" w:hAnsi="Arial" w:cs="Arial"/>
        </w:rPr>
        <w:t xml:space="preserve">. Dragon fruit peels exhibited a remarkable concentration of </w:t>
      </w:r>
      <w:proofErr w:type="spellStart"/>
      <w:r w:rsidRPr="00DB480E">
        <w:rPr>
          <w:rFonts w:ascii="Arial" w:hAnsi="Arial" w:cs="Arial"/>
          <w:bCs/>
        </w:rPr>
        <w:t>betacyanins</w:t>
      </w:r>
      <w:proofErr w:type="spellEnd"/>
      <w:r w:rsidRPr="00DB480E">
        <w:rPr>
          <w:rFonts w:ascii="Arial" w:hAnsi="Arial" w:cs="Arial"/>
          <w:bCs/>
        </w:rPr>
        <w:t xml:space="preserve"> (2.45 ± 0.12 mg/g DW)</w:t>
      </w:r>
      <w:r w:rsidRPr="00DB480E">
        <w:rPr>
          <w:rFonts w:ascii="Arial" w:hAnsi="Arial" w:cs="Arial"/>
        </w:rPr>
        <w:t xml:space="preserve"> with a characteristic absorption maximum at 535 nm, positioning them as a valuable source of </w:t>
      </w:r>
      <w:r w:rsidRPr="00DB480E">
        <w:rPr>
          <w:rFonts w:ascii="Arial" w:hAnsi="Arial" w:cs="Arial"/>
          <w:bCs/>
        </w:rPr>
        <w:t>natural pigments, antioxidants, and photoreactive compounds</w:t>
      </w:r>
      <w:r w:rsidRPr="00DB480E">
        <w:rPr>
          <w:rFonts w:ascii="Arial" w:hAnsi="Arial" w:cs="Arial"/>
        </w:rPr>
        <w:t xml:space="preserve">. Ri6 durian pulp showed a distinct carotenoid profile with </w:t>
      </w:r>
      <w:r w:rsidRPr="00DB480E">
        <w:rPr>
          <w:rFonts w:ascii="Arial" w:hAnsi="Arial" w:cs="Arial"/>
          <w:bCs/>
        </w:rPr>
        <w:t>β-carotene (1.80 ± 0.09 mg/100 g FW)</w:t>
      </w:r>
      <w:r w:rsidRPr="00DB480E">
        <w:rPr>
          <w:rFonts w:ascii="Arial" w:hAnsi="Arial" w:cs="Arial"/>
        </w:rPr>
        <w:t xml:space="preserve"> and </w:t>
      </w:r>
      <w:r w:rsidRPr="00DB480E">
        <w:rPr>
          <w:rFonts w:ascii="Arial" w:hAnsi="Arial" w:cs="Arial"/>
          <w:bCs/>
        </w:rPr>
        <w:t>lutein (0.60 ± 0.03 mg/100 g FW)</w:t>
      </w:r>
      <w:r w:rsidRPr="00DB480E">
        <w:rPr>
          <w:rFonts w:ascii="Arial" w:hAnsi="Arial" w:cs="Arial"/>
        </w:rPr>
        <w:t xml:space="preserve">, higher than values reported for major cultivars in Thailand and Malaysia, underscoring its </w:t>
      </w:r>
      <w:r w:rsidRPr="00DB480E">
        <w:rPr>
          <w:rFonts w:ascii="Arial" w:hAnsi="Arial" w:cs="Arial"/>
          <w:bCs/>
        </w:rPr>
        <w:t>nutritional superiority</w:t>
      </w:r>
      <w:r w:rsidRPr="00DB480E">
        <w:rPr>
          <w:rFonts w:ascii="Arial" w:hAnsi="Arial" w:cs="Arial"/>
        </w:rPr>
        <w:t xml:space="preserve"> and potential as a premium export variety.</w:t>
      </w:r>
    </w:p>
    <w:p w14:paraId="6BDA6677" w14:textId="77777777" w:rsidR="00DB480E" w:rsidRPr="00DB480E" w:rsidRDefault="00DB480E" w:rsidP="00DB480E">
      <w:pPr>
        <w:pStyle w:val="Body"/>
        <w:rPr>
          <w:rFonts w:ascii="Arial" w:hAnsi="Arial" w:cs="Arial"/>
        </w:rPr>
      </w:pPr>
      <w:r w:rsidRPr="00DB480E">
        <w:rPr>
          <w:rFonts w:ascii="Arial" w:hAnsi="Arial" w:cs="Arial"/>
        </w:rPr>
        <w:t xml:space="preserve">Photochemical analyses revealed that </w:t>
      </w:r>
      <w:r w:rsidRPr="00DB480E">
        <w:rPr>
          <w:rFonts w:ascii="Arial" w:hAnsi="Arial" w:cs="Arial"/>
          <w:bCs/>
        </w:rPr>
        <w:t xml:space="preserve">banana </w:t>
      </w:r>
      <w:proofErr w:type="spellStart"/>
      <w:r w:rsidRPr="00DB480E">
        <w:rPr>
          <w:rFonts w:ascii="Arial" w:hAnsi="Arial" w:cs="Arial"/>
          <w:bCs/>
        </w:rPr>
        <w:t>pseudostem</w:t>
      </w:r>
      <w:proofErr w:type="spellEnd"/>
      <w:r w:rsidRPr="00DB480E">
        <w:rPr>
          <w:rFonts w:ascii="Arial" w:hAnsi="Arial" w:cs="Arial"/>
          <w:bCs/>
        </w:rPr>
        <w:t xml:space="preserve"> phenolics exhibited strong UV-absorbing capacity</w:t>
      </w:r>
      <w:r w:rsidRPr="00DB480E">
        <w:rPr>
          <w:rFonts w:ascii="Arial" w:hAnsi="Arial" w:cs="Arial"/>
        </w:rPr>
        <w:t xml:space="preserve">, </w:t>
      </w:r>
      <w:r w:rsidRPr="00DB480E">
        <w:rPr>
          <w:rFonts w:ascii="Arial" w:hAnsi="Arial" w:cs="Arial"/>
          <w:bCs/>
        </w:rPr>
        <w:t xml:space="preserve">dragon fruit </w:t>
      </w:r>
      <w:proofErr w:type="spellStart"/>
      <w:r w:rsidRPr="00DB480E">
        <w:rPr>
          <w:rFonts w:ascii="Arial" w:hAnsi="Arial" w:cs="Arial"/>
          <w:bCs/>
        </w:rPr>
        <w:t>betalains</w:t>
      </w:r>
      <w:proofErr w:type="spellEnd"/>
      <w:r w:rsidRPr="00DB480E">
        <w:rPr>
          <w:rFonts w:ascii="Arial" w:hAnsi="Arial" w:cs="Arial"/>
          <w:bCs/>
        </w:rPr>
        <w:t xml:space="preserve"> were highly photolabile</w:t>
      </w:r>
      <w:r w:rsidRPr="00DB480E">
        <w:rPr>
          <w:rFonts w:ascii="Arial" w:hAnsi="Arial" w:cs="Arial"/>
        </w:rPr>
        <w:t xml:space="preserve">, and </w:t>
      </w:r>
      <w:r w:rsidRPr="00DB480E">
        <w:rPr>
          <w:rFonts w:ascii="Arial" w:hAnsi="Arial" w:cs="Arial"/>
          <w:bCs/>
        </w:rPr>
        <w:t>durian carotenoids displayed greater stability</w:t>
      </w:r>
      <w:r w:rsidRPr="00DB480E">
        <w:rPr>
          <w:rFonts w:ascii="Arial" w:hAnsi="Arial" w:cs="Arial"/>
        </w:rPr>
        <w:t>, highlighting the complementary nature of these by-products for diverse industrial applications. Comparative analysis with international data (India, Thailand, Malaysia) confirmed that Vietnamese samples fall within global ranges while exhibiting unique cultivar- and region-specific advantages.</w:t>
      </w:r>
    </w:p>
    <w:p w14:paraId="3499DEF0" w14:textId="77777777" w:rsidR="00B01FCD" w:rsidRDefault="00DB480E" w:rsidP="00DB480E">
      <w:pPr>
        <w:pStyle w:val="Body"/>
        <w:spacing w:after="0"/>
        <w:rPr>
          <w:rFonts w:ascii="Arial" w:hAnsi="Arial" w:cs="Arial"/>
        </w:rPr>
      </w:pPr>
      <w:r w:rsidRPr="00DB480E">
        <w:rPr>
          <w:rFonts w:ascii="Arial" w:hAnsi="Arial" w:cs="Arial"/>
        </w:rPr>
        <w:t xml:space="preserve">Collectively, these findings emphasize the </w:t>
      </w:r>
      <w:r w:rsidRPr="00DB480E">
        <w:rPr>
          <w:rFonts w:ascii="Arial" w:hAnsi="Arial" w:cs="Arial"/>
          <w:bCs/>
        </w:rPr>
        <w:t>strategic importance of valorizing fruit by-products</w:t>
      </w:r>
      <w:r w:rsidRPr="00DB480E">
        <w:rPr>
          <w:rFonts w:ascii="Arial" w:hAnsi="Arial" w:cs="Arial"/>
        </w:rPr>
        <w:t xml:space="preserve"> in Vietnam as part of a sustainable bioeconomy. By linking compositional evidence with functional properties, this study supports the development of </w:t>
      </w:r>
      <w:r w:rsidRPr="00DB480E">
        <w:rPr>
          <w:rFonts w:ascii="Arial" w:hAnsi="Arial" w:cs="Arial"/>
          <w:bCs/>
        </w:rPr>
        <w:t>biomaterials, natural colorants, nutraceuticals, and cosmetic formulations</w:t>
      </w:r>
      <w:r w:rsidRPr="00DB480E">
        <w:rPr>
          <w:rFonts w:ascii="Arial" w:hAnsi="Arial" w:cs="Arial"/>
        </w:rPr>
        <w:t xml:space="preserve">. Most importantly, the work fills a critical research gap by providing baseline data for Vietnam, thereby contributing to both regional knowledge integration and global discussions on </w:t>
      </w:r>
      <w:r w:rsidRPr="00DB480E">
        <w:rPr>
          <w:rFonts w:ascii="Arial" w:hAnsi="Arial" w:cs="Arial"/>
          <w:bCs/>
        </w:rPr>
        <w:t>circular agriculture, food waste reduction, and high-value biomass utilization</w:t>
      </w:r>
      <w:r w:rsidRPr="00DB480E">
        <w:rPr>
          <w:rFonts w:ascii="Arial" w:hAnsi="Arial" w:cs="Arial"/>
        </w:rPr>
        <w:t xml:space="preserve">. In addition to applications in biomaterials, natural pigments, and nutraceuticals, the study also highlights the potential of </w:t>
      </w:r>
      <w:r w:rsidRPr="00DB480E">
        <w:rPr>
          <w:rFonts w:ascii="Arial" w:hAnsi="Arial" w:cs="Arial"/>
          <w:bCs/>
        </w:rPr>
        <w:t xml:space="preserve">banana </w:t>
      </w:r>
      <w:proofErr w:type="spellStart"/>
      <w:r w:rsidRPr="00DB480E">
        <w:rPr>
          <w:rFonts w:ascii="Arial" w:hAnsi="Arial" w:cs="Arial"/>
          <w:bCs/>
        </w:rPr>
        <w:t>pseudostems</w:t>
      </w:r>
      <w:proofErr w:type="spellEnd"/>
      <w:r w:rsidRPr="00DB480E">
        <w:rPr>
          <w:rFonts w:ascii="Arial" w:hAnsi="Arial" w:cs="Arial"/>
          <w:bCs/>
        </w:rPr>
        <w:t xml:space="preserve"> as a raw material for composting and biofertilizer production</w:t>
      </w:r>
      <w:r w:rsidRPr="00DB480E">
        <w:rPr>
          <w:rFonts w:ascii="Arial" w:hAnsi="Arial" w:cs="Arial"/>
        </w:rPr>
        <w:t xml:space="preserve">. This dual pathway—high-value industrial uses and practical on-farm recycling—illustrates how the valorization of fruit by-products can simultaneously address </w:t>
      </w:r>
      <w:r w:rsidRPr="00DB480E">
        <w:rPr>
          <w:rFonts w:ascii="Arial" w:hAnsi="Arial" w:cs="Arial"/>
          <w:bCs/>
        </w:rPr>
        <w:t>environmental management, soil health, and rural livelihoods</w:t>
      </w:r>
      <w:r w:rsidRPr="00DB480E">
        <w:rPr>
          <w:rFonts w:ascii="Arial" w:hAnsi="Arial" w:cs="Arial"/>
        </w:rPr>
        <w:t>, while reinforcing Vietnam’s position in the global bioeconomy.</w:t>
      </w:r>
    </w:p>
    <w:p w14:paraId="0E0A72D5" w14:textId="77777777" w:rsidR="00790ADA" w:rsidRPr="00FB3A86" w:rsidRDefault="00790ADA" w:rsidP="00441B6F">
      <w:pPr>
        <w:pStyle w:val="Body"/>
        <w:spacing w:after="0"/>
        <w:rPr>
          <w:rFonts w:ascii="Arial" w:hAnsi="Arial" w:cs="Arial"/>
        </w:rPr>
      </w:pPr>
    </w:p>
    <w:p w14:paraId="60743DDA" w14:textId="77777777" w:rsidR="002B685A" w:rsidRDefault="002B685A" w:rsidP="00441B6F">
      <w:pPr>
        <w:pStyle w:val="ReferHead"/>
        <w:spacing w:after="0"/>
        <w:jc w:val="both"/>
        <w:rPr>
          <w:rFonts w:ascii="Arial" w:hAnsi="Arial" w:cs="Arial"/>
          <w:b w:val="0"/>
          <w:caps w:val="0"/>
          <w:sz w:val="20"/>
        </w:rPr>
      </w:pPr>
    </w:p>
    <w:p w14:paraId="6675C18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4E8DBF51" w14:textId="77777777" w:rsidR="002B685A" w:rsidRPr="002B685A" w:rsidRDefault="002B685A" w:rsidP="00441B6F">
      <w:pPr>
        <w:pStyle w:val="ReferHead"/>
        <w:spacing w:after="0"/>
        <w:jc w:val="both"/>
        <w:rPr>
          <w:rFonts w:ascii="Arial" w:hAnsi="Arial" w:cs="Arial"/>
          <w:bCs/>
        </w:rPr>
      </w:pPr>
    </w:p>
    <w:p w14:paraId="2EF16284" w14:textId="77777777" w:rsidR="001A29D8" w:rsidRPr="00F469F0" w:rsidRDefault="00DB480E" w:rsidP="00441B6F">
      <w:pPr>
        <w:pStyle w:val="ReferHead"/>
        <w:spacing w:after="0"/>
        <w:jc w:val="both"/>
        <w:rPr>
          <w:rFonts w:ascii="Arial" w:hAnsi="Arial" w:cs="Arial"/>
          <w:b w:val="0"/>
          <w:caps w:val="0"/>
          <w:sz w:val="20"/>
          <w:u w:val="single"/>
        </w:rPr>
      </w:pPr>
      <w:r w:rsidRPr="00DB480E">
        <w:rPr>
          <w:rFonts w:ascii="Arial" w:hAnsi="Arial" w:cs="Arial"/>
          <w:b w:val="0"/>
          <w:caps w:val="0"/>
          <w:sz w:val="20"/>
        </w:rPr>
        <w:t>Not applicable.</w:t>
      </w:r>
    </w:p>
    <w:p w14:paraId="7D5D1E7E" w14:textId="77777777" w:rsidR="001A29D8" w:rsidRDefault="001A29D8" w:rsidP="00441B6F">
      <w:pPr>
        <w:pStyle w:val="ReferHead"/>
        <w:spacing w:after="0"/>
        <w:jc w:val="both"/>
        <w:rPr>
          <w:rFonts w:ascii="Arial" w:hAnsi="Arial" w:cs="Arial"/>
          <w:b w:val="0"/>
          <w:caps w:val="0"/>
          <w:sz w:val="20"/>
        </w:rPr>
      </w:pPr>
    </w:p>
    <w:p w14:paraId="7867BEFB" w14:textId="77777777" w:rsidR="005C784C" w:rsidRDefault="005C784C" w:rsidP="00441B6F">
      <w:pPr>
        <w:pStyle w:val="ReferHead"/>
        <w:spacing w:after="0"/>
        <w:jc w:val="both"/>
        <w:rPr>
          <w:rFonts w:ascii="Arial" w:hAnsi="Arial" w:cs="Arial"/>
          <w:b w:val="0"/>
          <w:caps w:val="0"/>
          <w:sz w:val="20"/>
        </w:rPr>
      </w:pPr>
    </w:p>
    <w:p w14:paraId="3F16A316" w14:textId="77777777" w:rsidR="005C784C" w:rsidRDefault="00DB480E" w:rsidP="00441B6F">
      <w:pPr>
        <w:pStyle w:val="ReferHead"/>
        <w:spacing w:after="0"/>
        <w:jc w:val="both"/>
        <w:rPr>
          <w:rFonts w:ascii="Arial" w:hAnsi="Arial" w:cs="Arial"/>
          <w:bCs/>
        </w:rPr>
      </w:pPr>
      <w:r>
        <w:rPr>
          <w:rFonts w:ascii="Arial" w:hAnsi="Arial" w:cs="Arial"/>
          <w:bCs/>
        </w:rPr>
        <w:t>Ethical approval</w:t>
      </w:r>
    </w:p>
    <w:p w14:paraId="627B5F3A" w14:textId="77777777" w:rsidR="005C784C" w:rsidRPr="002B685A" w:rsidRDefault="005C784C" w:rsidP="00441B6F">
      <w:pPr>
        <w:pStyle w:val="ReferHead"/>
        <w:spacing w:after="0"/>
        <w:jc w:val="both"/>
        <w:rPr>
          <w:rFonts w:ascii="Arial" w:hAnsi="Arial" w:cs="Arial"/>
          <w:bCs/>
        </w:rPr>
      </w:pPr>
    </w:p>
    <w:p w14:paraId="320124EA" w14:textId="77777777" w:rsidR="0041027F" w:rsidRDefault="00DB480E" w:rsidP="00441B6F">
      <w:pPr>
        <w:pStyle w:val="ReferHead"/>
        <w:spacing w:after="0"/>
        <w:jc w:val="both"/>
        <w:rPr>
          <w:rFonts w:ascii="Arial" w:hAnsi="Arial" w:cs="Arial"/>
          <w:b w:val="0"/>
          <w:caps w:val="0"/>
          <w:sz w:val="20"/>
        </w:rPr>
      </w:pPr>
      <w:r w:rsidRPr="00DB480E">
        <w:rPr>
          <w:rFonts w:ascii="Arial" w:hAnsi="Arial" w:cs="Arial"/>
          <w:b w:val="0"/>
          <w:caps w:val="0"/>
          <w:sz w:val="20"/>
        </w:rPr>
        <w:t>This study did not involve human participants or animal experiments. Hence, ethical approval was not required.</w:t>
      </w:r>
    </w:p>
    <w:p w14:paraId="0130CD38" w14:textId="77777777" w:rsidR="005D3C39" w:rsidRDefault="005D3C39" w:rsidP="00441B6F">
      <w:pPr>
        <w:pStyle w:val="ReferHead"/>
        <w:spacing w:after="0"/>
        <w:jc w:val="both"/>
        <w:rPr>
          <w:rFonts w:ascii="Arial" w:hAnsi="Arial" w:cs="Arial"/>
          <w:b w:val="0"/>
          <w:caps w:val="0"/>
          <w:sz w:val="20"/>
          <w:u w:val="single"/>
        </w:rPr>
      </w:pPr>
    </w:p>
    <w:p w14:paraId="495AB8AE" w14:textId="77777777" w:rsidR="005D3C39" w:rsidRDefault="005D3C39" w:rsidP="00441B6F">
      <w:pPr>
        <w:pStyle w:val="ReferHead"/>
        <w:spacing w:after="0"/>
        <w:jc w:val="both"/>
        <w:rPr>
          <w:rFonts w:ascii="Arial" w:hAnsi="Arial" w:cs="Arial"/>
          <w:b w:val="0"/>
          <w:caps w:val="0"/>
          <w:sz w:val="20"/>
          <w:u w:val="single"/>
        </w:rPr>
      </w:pPr>
    </w:p>
    <w:p w14:paraId="0A05D2BD" w14:textId="77777777" w:rsidR="005D3C39" w:rsidRDefault="005D3C39" w:rsidP="00441B6F">
      <w:pPr>
        <w:pStyle w:val="ReferHead"/>
        <w:spacing w:after="0"/>
        <w:jc w:val="both"/>
        <w:rPr>
          <w:rFonts w:ascii="Arial" w:hAnsi="Arial" w:cs="Arial"/>
          <w:b w:val="0"/>
          <w:caps w:val="0"/>
          <w:sz w:val="20"/>
          <w:u w:val="single"/>
        </w:rPr>
      </w:pPr>
    </w:p>
    <w:p w14:paraId="2FCB5043" w14:textId="77777777" w:rsidR="005D3C39" w:rsidRPr="003A29C6" w:rsidRDefault="005D3C39" w:rsidP="005D3C39">
      <w:pPr>
        <w:jc w:val="both"/>
        <w:outlineLvl w:val="0"/>
        <w:rPr>
          <w:rFonts w:ascii="Arial" w:hAnsi="Arial" w:cs="Arial"/>
        </w:rPr>
      </w:pPr>
      <w:r w:rsidRPr="003A29C6">
        <w:rPr>
          <w:rFonts w:ascii="Arial" w:hAnsi="Arial" w:cs="Arial"/>
          <w:b/>
          <w:bCs/>
        </w:rPr>
        <w:t>COMPETING INTERESTS DISCLAIMER:</w:t>
      </w:r>
    </w:p>
    <w:p w14:paraId="25D2DDDA" w14:textId="77777777" w:rsidR="005D3C39" w:rsidRDefault="005D3C39" w:rsidP="005D3C39">
      <w:r w:rsidRPr="00A10EDE">
        <w:t>Authors have declared that they have no known competing financial interests OR non-financial interests OR personal relationships that could have appeared to influence the work reported in this paper.</w:t>
      </w:r>
    </w:p>
    <w:p w14:paraId="770A8B13" w14:textId="77777777" w:rsidR="005D3C39" w:rsidRDefault="005D3C39" w:rsidP="00441B6F">
      <w:pPr>
        <w:pStyle w:val="ReferHead"/>
        <w:spacing w:after="0"/>
        <w:jc w:val="both"/>
        <w:rPr>
          <w:rFonts w:ascii="Arial" w:hAnsi="Arial" w:cs="Arial"/>
          <w:b w:val="0"/>
          <w:caps w:val="0"/>
          <w:sz w:val="20"/>
          <w:u w:val="single"/>
        </w:rPr>
      </w:pPr>
    </w:p>
    <w:p w14:paraId="66CBE404" w14:textId="77777777" w:rsidR="005D3C39" w:rsidRPr="00F469F0" w:rsidRDefault="005D3C39" w:rsidP="00441B6F">
      <w:pPr>
        <w:pStyle w:val="ReferHead"/>
        <w:spacing w:after="0"/>
        <w:jc w:val="both"/>
        <w:rPr>
          <w:rFonts w:ascii="Arial" w:hAnsi="Arial" w:cs="Arial"/>
          <w:b w:val="0"/>
          <w:caps w:val="0"/>
          <w:sz w:val="20"/>
          <w:u w:val="single"/>
        </w:rPr>
      </w:pPr>
    </w:p>
    <w:p w14:paraId="70F1ED9C" w14:textId="77777777" w:rsidR="00860000" w:rsidRDefault="00860000" w:rsidP="00441B6F">
      <w:pPr>
        <w:pStyle w:val="ReferHead"/>
        <w:spacing w:after="0"/>
        <w:jc w:val="both"/>
        <w:rPr>
          <w:rFonts w:ascii="Arial" w:hAnsi="Arial" w:cs="Arial"/>
        </w:rPr>
      </w:pPr>
    </w:p>
    <w:p w14:paraId="0C357A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9FB766" w14:textId="77777777" w:rsidR="00790ADA" w:rsidRPr="00FB3A86" w:rsidRDefault="00790ADA" w:rsidP="00441B6F">
      <w:pPr>
        <w:pStyle w:val="ReferHead"/>
        <w:spacing w:after="0"/>
        <w:jc w:val="both"/>
        <w:rPr>
          <w:rFonts w:ascii="Arial" w:hAnsi="Arial" w:cs="Arial"/>
        </w:rPr>
      </w:pPr>
    </w:p>
    <w:p w14:paraId="5C4BAF33" w14:textId="77777777" w:rsidR="00DB480E" w:rsidRPr="00DB480E" w:rsidRDefault="00DB480E" w:rsidP="00DB480E">
      <w:pPr>
        <w:pStyle w:val="Body"/>
        <w:spacing w:before="120" w:after="0"/>
        <w:rPr>
          <w:color w:val="000000" w:themeColor="text1"/>
        </w:rPr>
      </w:pPr>
      <w:r w:rsidRPr="00DB480E">
        <w:rPr>
          <w:color w:val="000000" w:themeColor="text1"/>
        </w:rPr>
        <w:t xml:space="preserve">AOAC International. (2019). </w:t>
      </w:r>
      <w:r w:rsidRPr="00DB480E">
        <w:rPr>
          <w:i/>
          <w:iCs/>
          <w:color w:val="000000" w:themeColor="text1"/>
        </w:rPr>
        <w:t>Official methods of analysis of AOAC International</w:t>
      </w:r>
      <w:r w:rsidRPr="00DB480E">
        <w:rPr>
          <w:color w:val="000000" w:themeColor="text1"/>
        </w:rPr>
        <w:t xml:space="preserve"> (21st ed.). AOAC International.</w:t>
      </w:r>
    </w:p>
    <w:p w14:paraId="5E8D2E23" w14:textId="77777777" w:rsidR="00DB480E" w:rsidRPr="00DB480E" w:rsidRDefault="00DB480E" w:rsidP="00DB480E">
      <w:pPr>
        <w:pStyle w:val="Body"/>
        <w:spacing w:before="120" w:after="0"/>
        <w:rPr>
          <w:color w:val="000000" w:themeColor="text1"/>
        </w:rPr>
      </w:pPr>
      <w:r w:rsidRPr="00DB480E">
        <w:rPr>
          <w:color w:val="000000" w:themeColor="text1"/>
        </w:rPr>
        <w:lastRenderedPageBreak/>
        <w:t xml:space="preserve">Azeredo, H. M. C. (2009). </w:t>
      </w:r>
      <w:proofErr w:type="spellStart"/>
      <w:r w:rsidRPr="00DB480E">
        <w:rPr>
          <w:color w:val="000000" w:themeColor="text1"/>
        </w:rPr>
        <w:t>Betalains</w:t>
      </w:r>
      <w:proofErr w:type="spellEnd"/>
      <w:r w:rsidRPr="00DB480E">
        <w:rPr>
          <w:color w:val="000000" w:themeColor="text1"/>
        </w:rPr>
        <w:t xml:space="preserve">: Properties, sources, applications, and stability—A review. </w:t>
      </w:r>
      <w:r w:rsidRPr="00DB480E">
        <w:rPr>
          <w:i/>
          <w:iCs/>
          <w:color w:val="000000" w:themeColor="text1"/>
        </w:rPr>
        <w:t>International Journal of Food Science &amp; Technology, 44</w:t>
      </w:r>
      <w:r w:rsidRPr="00DB480E">
        <w:rPr>
          <w:color w:val="000000" w:themeColor="text1"/>
        </w:rPr>
        <w:t xml:space="preserve">(12), 2365–2376. </w:t>
      </w:r>
      <w:hyperlink r:id="rId14" w:tgtFrame="_new" w:history="1">
        <w:r w:rsidRPr="00DB480E">
          <w:rPr>
            <w:rStyle w:val="Hyperlink"/>
            <w:color w:val="000000" w:themeColor="text1"/>
            <w:u w:val="none"/>
          </w:rPr>
          <w:t>https://doi.org/10.1111/j.1365-2621.2007.01668.x</w:t>
        </w:r>
      </w:hyperlink>
    </w:p>
    <w:p w14:paraId="692FE328"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Badanayak</w:t>
      </w:r>
      <w:proofErr w:type="spellEnd"/>
      <w:r w:rsidRPr="00DB480E">
        <w:rPr>
          <w:color w:val="000000" w:themeColor="text1"/>
        </w:rPr>
        <w:t xml:space="preserve">, P., Jose, S., &amp; Bose, G. (2023). Banana </w:t>
      </w:r>
      <w:proofErr w:type="spellStart"/>
      <w:r w:rsidRPr="00DB480E">
        <w:rPr>
          <w:color w:val="000000" w:themeColor="text1"/>
        </w:rPr>
        <w:t>pseudostem</w:t>
      </w:r>
      <w:proofErr w:type="spellEnd"/>
      <w:r w:rsidRPr="00DB480E">
        <w:rPr>
          <w:color w:val="000000" w:themeColor="text1"/>
        </w:rPr>
        <w:t xml:space="preserve"> fiber: A critical review on fiber extraction, characterization, and surface modification. </w:t>
      </w:r>
      <w:r w:rsidRPr="00DB480E">
        <w:rPr>
          <w:i/>
          <w:iCs/>
          <w:color w:val="000000" w:themeColor="text1"/>
        </w:rPr>
        <w:t>Journal of Natural Fibers, 20</w:t>
      </w:r>
      <w:r w:rsidRPr="00DB480E">
        <w:rPr>
          <w:color w:val="000000" w:themeColor="text1"/>
        </w:rPr>
        <w:t xml:space="preserve">(1), 1–15. </w:t>
      </w:r>
      <w:hyperlink r:id="rId15" w:tgtFrame="_new" w:history="1">
        <w:r w:rsidRPr="00DB480E">
          <w:rPr>
            <w:rStyle w:val="Hyperlink"/>
            <w:color w:val="000000" w:themeColor="text1"/>
            <w:u w:val="none"/>
          </w:rPr>
          <w:t>https://doi.org/10.1080/15440478.2023.2168821</w:t>
        </w:r>
      </w:hyperlink>
    </w:p>
    <w:p w14:paraId="6D2A6BB1" w14:textId="77777777" w:rsidR="00DB480E" w:rsidRPr="00DB480E" w:rsidRDefault="00DB480E" w:rsidP="00DB480E">
      <w:pPr>
        <w:pStyle w:val="Body"/>
        <w:spacing w:before="120" w:after="0"/>
        <w:rPr>
          <w:color w:val="000000" w:themeColor="text1"/>
        </w:rPr>
      </w:pPr>
      <w:r w:rsidRPr="00DB480E">
        <w:rPr>
          <w:color w:val="000000" w:themeColor="text1"/>
        </w:rPr>
        <w:t xml:space="preserve">Boss, C. B., &amp; Fredeen, K. J. (2004). </w:t>
      </w:r>
      <w:r w:rsidRPr="00DB480E">
        <w:rPr>
          <w:i/>
          <w:iCs/>
          <w:color w:val="000000" w:themeColor="text1"/>
        </w:rPr>
        <w:t>Concepts, instrumentation and techniques in inductively coupled plasma optical emission spectrometry</w:t>
      </w:r>
      <w:r w:rsidRPr="00DB480E">
        <w:rPr>
          <w:color w:val="000000" w:themeColor="text1"/>
        </w:rPr>
        <w:t xml:space="preserve"> (3rd ed.). PerkinElmer Life and Analytical Sciences.</w:t>
      </w:r>
    </w:p>
    <w:p w14:paraId="0F72504D" w14:textId="77777777" w:rsidR="00DB480E" w:rsidRPr="00DB480E" w:rsidRDefault="00DB480E" w:rsidP="00DB480E">
      <w:pPr>
        <w:pStyle w:val="Body"/>
        <w:spacing w:before="120" w:after="0"/>
        <w:rPr>
          <w:color w:val="000000" w:themeColor="text1"/>
        </w:rPr>
      </w:pPr>
      <w:r w:rsidRPr="00DB480E">
        <w:rPr>
          <w:color w:val="000000" w:themeColor="text1"/>
        </w:rPr>
        <w:t xml:space="preserve">FAO. (2019). </w:t>
      </w:r>
      <w:r w:rsidRPr="00DB480E">
        <w:rPr>
          <w:i/>
          <w:iCs/>
          <w:color w:val="000000" w:themeColor="text1"/>
        </w:rPr>
        <w:t>The state of food and agriculture 2019: Moving forward on food loss and waste reduction.</w:t>
      </w:r>
      <w:r w:rsidRPr="00DB480E">
        <w:rPr>
          <w:color w:val="000000" w:themeColor="text1"/>
        </w:rPr>
        <w:t xml:space="preserve"> Food and Agriculture Organization of the United Nations.</w:t>
      </w:r>
    </w:p>
    <w:p w14:paraId="2F7F5C23" w14:textId="77777777" w:rsidR="00DB480E" w:rsidRPr="00DB480E" w:rsidRDefault="00DB480E" w:rsidP="00DB480E">
      <w:pPr>
        <w:pStyle w:val="Body"/>
        <w:spacing w:before="120" w:after="0"/>
        <w:rPr>
          <w:color w:val="000000" w:themeColor="text1"/>
        </w:rPr>
      </w:pPr>
      <w:r w:rsidRPr="00DB480E">
        <w:rPr>
          <w:color w:val="000000" w:themeColor="text1"/>
        </w:rPr>
        <w:t xml:space="preserve">FAO. (2021). </w:t>
      </w:r>
      <w:r w:rsidRPr="00DB480E">
        <w:rPr>
          <w:i/>
          <w:iCs/>
          <w:color w:val="000000" w:themeColor="text1"/>
        </w:rPr>
        <w:t>Aspirational principles and criteria for a sustainable bioeconomy.</w:t>
      </w:r>
      <w:r w:rsidRPr="00DB480E">
        <w:rPr>
          <w:color w:val="000000" w:themeColor="text1"/>
        </w:rPr>
        <w:t xml:space="preserve"> Food and Agriculture Organization of the United Nations. </w:t>
      </w:r>
      <w:hyperlink r:id="rId16" w:tgtFrame="_new" w:history="1">
        <w:r w:rsidRPr="00DB480E">
          <w:rPr>
            <w:rStyle w:val="Hyperlink"/>
            <w:color w:val="000000" w:themeColor="text1"/>
            <w:u w:val="none"/>
          </w:rPr>
          <w:t>https://www.fao.org/3/cb3706en/cb3706en.pdf</w:t>
        </w:r>
      </w:hyperlink>
    </w:p>
    <w:p w14:paraId="43FE6D1A"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FreshPlaza</w:t>
      </w:r>
      <w:proofErr w:type="spellEnd"/>
      <w:r w:rsidRPr="00DB480E">
        <w:rPr>
          <w:color w:val="000000" w:themeColor="text1"/>
        </w:rPr>
        <w:t xml:space="preserve">. (2023, October 30). Vietnam grows banana and coconut exports. </w:t>
      </w:r>
      <w:proofErr w:type="spellStart"/>
      <w:r w:rsidRPr="00DB480E">
        <w:rPr>
          <w:i/>
          <w:iCs/>
          <w:color w:val="000000" w:themeColor="text1"/>
        </w:rPr>
        <w:t>FreshPlaza</w:t>
      </w:r>
      <w:proofErr w:type="spellEnd"/>
      <w:r w:rsidRPr="00DB480E">
        <w:rPr>
          <w:i/>
          <w:iCs/>
          <w:color w:val="000000" w:themeColor="text1"/>
        </w:rPr>
        <w:t>.</w:t>
      </w:r>
      <w:r w:rsidRPr="00DB480E">
        <w:rPr>
          <w:color w:val="000000" w:themeColor="text1"/>
        </w:rPr>
        <w:t xml:space="preserve"> Retrieved from </w:t>
      </w:r>
      <w:hyperlink r:id="rId17" w:tgtFrame="_new" w:history="1">
        <w:r w:rsidRPr="00DB480E">
          <w:rPr>
            <w:rStyle w:val="Hyperlink"/>
            <w:color w:val="000000" w:themeColor="text1"/>
            <w:u w:val="none"/>
          </w:rPr>
          <w:t>https://www.freshplaza.com/north-america/article/9752342/vietnam-grows-banana-and-coconut-exports</w:t>
        </w:r>
      </w:hyperlink>
    </w:p>
    <w:p w14:paraId="12AC55BD"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Hasmadi</w:t>
      </w:r>
      <w:proofErr w:type="spellEnd"/>
      <w:r w:rsidRPr="00DB480E">
        <w:rPr>
          <w:color w:val="000000" w:themeColor="text1"/>
        </w:rPr>
        <w:t xml:space="preserve">, M., Nor </w:t>
      </w:r>
      <w:proofErr w:type="spellStart"/>
      <w:r w:rsidRPr="00DB480E">
        <w:rPr>
          <w:color w:val="000000" w:themeColor="text1"/>
        </w:rPr>
        <w:t>Qhairul</w:t>
      </w:r>
      <w:proofErr w:type="spellEnd"/>
      <w:r w:rsidRPr="00DB480E">
        <w:rPr>
          <w:color w:val="000000" w:themeColor="text1"/>
        </w:rPr>
        <w:t xml:space="preserve"> </w:t>
      </w:r>
      <w:proofErr w:type="spellStart"/>
      <w:r w:rsidRPr="00DB480E">
        <w:rPr>
          <w:color w:val="000000" w:themeColor="text1"/>
        </w:rPr>
        <w:t>Izzreen</w:t>
      </w:r>
      <w:proofErr w:type="spellEnd"/>
      <w:r w:rsidRPr="00DB480E">
        <w:rPr>
          <w:color w:val="000000" w:themeColor="text1"/>
        </w:rPr>
        <w:t>, M. N., Mansoor, A. H., Jahurul, M. H. A., &amp; Zainol, M. K. (2021). Chemical compositions and volatile compounds of Sabah indigenous durian (</w:t>
      </w:r>
      <w:proofErr w:type="spellStart"/>
      <w:r w:rsidRPr="00DB480E">
        <w:rPr>
          <w:i/>
          <w:iCs/>
          <w:color w:val="000000" w:themeColor="text1"/>
        </w:rPr>
        <w:t>Durio</w:t>
      </w:r>
      <w:proofErr w:type="spellEnd"/>
      <w:r w:rsidRPr="00DB480E">
        <w:rPr>
          <w:i/>
          <w:iCs/>
          <w:color w:val="000000" w:themeColor="text1"/>
        </w:rPr>
        <w:t xml:space="preserve"> </w:t>
      </w:r>
      <w:proofErr w:type="spellStart"/>
      <w:r w:rsidRPr="00DB480E">
        <w:rPr>
          <w:i/>
          <w:iCs/>
          <w:color w:val="000000" w:themeColor="text1"/>
        </w:rPr>
        <w:t>dulcis</w:t>
      </w:r>
      <w:proofErr w:type="spellEnd"/>
      <w:r w:rsidRPr="00DB480E">
        <w:rPr>
          <w:color w:val="000000" w:themeColor="text1"/>
        </w:rPr>
        <w:t xml:space="preserve"> </w:t>
      </w:r>
      <w:proofErr w:type="spellStart"/>
      <w:r w:rsidRPr="00DB480E">
        <w:rPr>
          <w:color w:val="000000" w:themeColor="text1"/>
        </w:rPr>
        <w:t>Becc</w:t>
      </w:r>
      <w:proofErr w:type="spellEnd"/>
      <w:r w:rsidRPr="00DB480E">
        <w:rPr>
          <w:color w:val="000000" w:themeColor="text1"/>
        </w:rPr>
        <w:t xml:space="preserve">.). </w:t>
      </w:r>
      <w:r w:rsidRPr="00DB480E">
        <w:rPr>
          <w:i/>
          <w:iCs/>
          <w:color w:val="000000" w:themeColor="text1"/>
        </w:rPr>
        <w:t>Food Research, 5</w:t>
      </w:r>
      <w:r w:rsidRPr="00DB480E">
        <w:rPr>
          <w:color w:val="000000" w:themeColor="text1"/>
        </w:rPr>
        <w:t>(2), 379–385.</w:t>
      </w:r>
    </w:p>
    <w:p w14:paraId="7861FE96" w14:textId="77777777" w:rsidR="00DB480E" w:rsidRPr="00DB480E" w:rsidRDefault="00DB480E" w:rsidP="00DB480E">
      <w:pPr>
        <w:pStyle w:val="Body"/>
        <w:spacing w:before="120" w:after="0"/>
        <w:rPr>
          <w:color w:val="000000" w:themeColor="text1"/>
        </w:rPr>
      </w:pPr>
      <w:r w:rsidRPr="00DB480E">
        <w:rPr>
          <w:color w:val="000000" w:themeColor="text1"/>
        </w:rPr>
        <w:t xml:space="preserve">Jimenez-Garcia, S. N., Garcia-Mier, L., Ramirez-Gomez, X. S., Aguirre-Becerra, H., Escobar-Ortiz, A., Contreras-Medina, L. M., … Feregrino-Perez, A. A. (2022). Pitahaya peel: A by-product with great phytochemical potential, biological activity, and functional application. </w:t>
      </w:r>
      <w:r w:rsidRPr="00DB480E">
        <w:rPr>
          <w:i/>
          <w:iCs/>
          <w:color w:val="000000" w:themeColor="text1"/>
        </w:rPr>
        <w:t>Molecules, 27</w:t>
      </w:r>
      <w:r w:rsidRPr="00DB480E">
        <w:rPr>
          <w:color w:val="000000" w:themeColor="text1"/>
        </w:rPr>
        <w:t xml:space="preserve">(16), 5339. </w:t>
      </w:r>
      <w:hyperlink r:id="rId18" w:tgtFrame="_new" w:history="1">
        <w:r w:rsidRPr="00DB480E">
          <w:rPr>
            <w:rStyle w:val="Hyperlink"/>
            <w:color w:val="000000" w:themeColor="text1"/>
            <w:u w:val="none"/>
          </w:rPr>
          <w:t>https://doi.org/10.3390/molecules27165339</w:t>
        </w:r>
      </w:hyperlink>
    </w:p>
    <w:p w14:paraId="6270B2E8" w14:textId="77777777" w:rsidR="00DB480E" w:rsidRPr="00DB480E" w:rsidRDefault="00DB480E" w:rsidP="00DB480E">
      <w:pPr>
        <w:pStyle w:val="Body"/>
        <w:spacing w:before="120" w:after="0"/>
        <w:rPr>
          <w:color w:val="000000" w:themeColor="text1"/>
        </w:rPr>
      </w:pPr>
      <w:r w:rsidRPr="00DB480E">
        <w:rPr>
          <w:color w:val="000000" w:themeColor="text1"/>
        </w:rPr>
        <w:t xml:space="preserve">Kim, D. O., Jeong, S. W., &amp; Lee, C. Y. (2003). Antioxidant capacity of phenolic phytochemicals from various cultivars of plums. </w:t>
      </w:r>
      <w:r w:rsidRPr="00DB480E">
        <w:rPr>
          <w:i/>
          <w:iCs/>
          <w:color w:val="000000" w:themeColor="text1"/>
        </w:rPr>
        <w:t>Food Chemistry, 81</w:t>
      </w:r>
      <w:r w:rsidRPr="00DB480E">
        <w:rPr>
          <w:color w:val="000000" w:themeColor="text1"/>
        </w:rPr>
        <w:t xml:space="preserve">(3), 321–326. </w:t>
      </w:r>
      <w:hyperlink r:id="rId19" w:tgtFrame="_new" w:history="1">
        <w:r w:rsidRPr="00DB480E">
          <w:rPr>
            <w:rStyle w:val="Hyperlink"/>
            <w:color w:val="000000" w:themeColor="text1"/>
            <w:u w:val="none"/>
          </w:rPr>
          <w:t>https://doi.org/10.1016/S0308-8146(02)00423-5</w:t>
        </w:r>
      </w:hyperlink>
    </w:p>
    <w:p w14:paraId="188C5636"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Lichtenthaler</w:t>
      </w:r>
      <w:proofErr w:type="spellEnd"/>
      <w:r w:rsidRPr="00DB480E">
        <w:rPr>
          <w:color w:val="000000" w:themeColor="text1"/>
        </w:rPr>
        <w:t xml:space="preserve">, H. K., &amp; Buschmann, C. (2001). Chlorophylls and carotenoids: Measurement and characterization by UV–Vis spectroscopy. </w:t>
      </w:r>
      <w:r w:rsidRPr="00DB480E">
        <w:rPr>
          <w:i/>
          <w:iCs/>
          <w:color w:val="000000" w:themeColor="text1"/>
        </w:rPr>
        <w:t>Current Protocols in Food Analytical Chemistry, 1</w:t>
      </w:r>
      <w:r w:rsidRPr="00DB480E">
        <w:rPr>
          <w:color w:val="000000" w:themeColor="text1"/>
        </w:rPr>
        <w:t xml:space="preserve">(1), F4.3.1–F4.3.8. </w:t>
      </w:r>
      <w:hyperlink r:id="rId20" w:tgtFrame="_new" w:history="1">
        <w:r w:rsidRPr="00DB480E">
          <w:rPr>
            <w:rStyle w:val="Hyperlink"/>
            <w:color w:val="000000" w:themeColor="text1"/>
            <w:u w:val="none"/>
          </w:rPr>
          <w:t>https://doi.org/10.1002/0471142913.faf0403s01</w:t>
        </w:r>
      </w:hyperlink>
    </w:p>
    <w:p w14:paraId="5AD4069E" w14:textId="77777777" w:rsidR="00DB480E" w:rsidRPr="00DB480E" w:rsidRDefault="00DB480E" w:rsidP="00DB480E">
      <w:pPr>
        <w:pStyle w:val="Body"/>
        <w:spacing w:before="120" w:after="0"/>
        <w:rPr>
          <w:color w:val="000000" w:themeColor="text1"/>
        </w:rPr>
      </w:pPr>
      <w:r w:rsidRPr="00DB480E">
        <w:rPr>
          <w:color w:val="000000" w:themeColor="text1"/>
        </w:rPr>
        <w:t xml:space="preserve">Mai, T. H. A., Nguyen, T. T. T., &amp; Nguyen, V. C. (2023). Effects of pitaya peel supplementation on nutritional and sensory properties of functional foods. </w:t>
      </w:r>
      <w:r w:rsidRPr="00DB480E">
        <w:rPr>
          <w:i/>
          <w:iCs/>
          <w:color w:val="000000" w:themeColor="text1"/>
        </w:rPr>
        <w:t>Journal of Food Quality, 2023</w:t>
      </w:r>
      <w:r w:rsidRPr="00DB480E">
        <w:rPr>
          <w:color w:val="000000" w:themeColor="text1"/>
        </w:rPr>
        <w:t xml:space="preserve">, 3166524. </w:t>
      </w:r>
      <w:hyperlink r:id="rId21" w:tgtFrame="_new" w:history="1">
        <w:r w:rsidRPr="00DB480E">
          <w:rPr>
            <w:rStyle w:val="Hyperlink"/>
            <w:color w:val="000000" w:themeColor="text1"/>
            <w:u w:val="none"/>
          </w:rPr>
          <w:t>https://doi.org/10.1155/2023/3166524</w:t>
        </w:r>
      </w:hyperlink>
    </w:p>
    <w:p w14:paraId="130ED3A9" w14:textId="77777777" w:rsidR="00DB480E" w:rsidRPr="00DB480E" w:rsidRDefault="00DB480E" w:rsidP="00DB480E">
      <w:pPr>
        <w:pStyle w:val="Body"/>
        <w:spacing w:before="120" w:after="0"/>
        <w:rPr>
          <w:color w:val="000000" w:themeColor="text1"/>
        </w:rPr>
      </w:pPr>
      <w:r w:rsidRPr="00DB480E">
        <w:rPr>
          <w:color w:val="000000" w:themeColor="text1"/>
        </w:rPr>
        <w:t xml:space="preserve">Mansur, J. S., Breder, M. N., Mansur, M. C. A., &amp; Azulay, R. D. (1986). Determination of sun protection factor by spectrophotometry. </w:t>
      </w:r>
      <w:r w:rsidRPr="00DB480E">
        <w:rPr>
          <w:i/>
          <w:iCs/>
          <w:color w:val="000000" w:themeColor="text1"/>
        </w:rPr>
        <w:t xml:space="preserve">Anais </w:t>
      </w:r>
      <w:proofErr w:type="spellStart"/>
      <w:r w:rsidRPr="00DB480E">
        <w:rPr>
          <w:i/>
          <w:iCs/>
          <w:color w:val="000000" w:themeColor="text1"/>
        </w:rPr>
        <w:t>Brasileiros</w:t>
      </w:r>
      <w:proofErr w:type="spellEnd"/>
      <w:r w:rsidRPr="00DB480E">
        <w:rPr>
          <w:i/>
          <w:iCs/>
          <w:color w:val="000000" w:themeColor="text1"/>
        </w:rPr>
        <w:t xml:space="preserve"> de </w:t>
      </w:r>
      <w:proofErr w:type="spellStart"/>
      <w:r w:rsidRPr="00DB480E">
        <w:rPr>
          <w:i/>
          <w:iCs/>
          <w:color w:val="000000" w:themeColor="text1"/>
        </w:rPr>
        <w:t>Dermatologia</w:t>
      </w:r>
      <w:proofErr w:type="spellEnd"/>
      <w:r w:rsidRPr="00DB480E">
        <w:rPr>
          <w:i/>
          <w:iCs/>
          <w:color w:val="000000" w:themeColor="text1"/>
        </w:rPr>
        <w:t>, 61</w:t>
      </w:r>
      <w:r w:rsidRPr="00DB480E">
        <w:rPr>
          <w:color w:val="000000" w:themeColor="text1"/>
        </w:rPr>
        <w:t>(3), 121–124.</w:t>
      </w:r>
    </w:p>
    <w:p w14:paraId="3ADAC254" w14:textId="77777777" w:rsidR="00DB480E" w:rsidRPr="00DB480E" w:rsidRDefault="00DB480E" w:rsidP="00DB480E">
      <w:pPr>
        <w:pStyle w:val="Body"/>
        <w:spacing w:before="120" w:after="0"/>
        <w:rPr>
          <w:color w:val="000000" w:themeColor="text1"/>
        </w:rPr>
      </w:pPr>
      <w:r w:rsidRPr="00DB480E">
        <w:rPr>
          <w:color w:val="000000" w:themeColor="text1"/>
        </w:rPr>
        <w:t xml:space="preserve">Reyes-García, V., Botella-Martínez, C., Juárez-Trujillo, N., &amp; </w:t>
      </w:r>
      <w:proofErr w:type="spellStart"/>
      <w:r w:rsidRPr="00DB480E">
        <w:rPr>
          <w:color w:val="000000" w:themeColor="text1"/>
        </w:rPr>
        <w:t>Viuda-Martos</w:t>
      </w:r>
      <w:proofErr w:type="spellEnd"/>
      <w:r w:rsidRPr="00DB480E">
        <w:rPr>
          <w:color w:val="000000" w:themeColor="text1"/>
        </w:rPr>
        <w:t>, M. (2024). Pitahaya (</w:t>
      </w:r>
      <w:proofErr w:type="spellStart"/>
      <w:r w:rsidRPr="00DB480E">
        <w:rPr>
          <w:i/>
          <w:iCs/>
          <w:color w:val="000000" w:themeColor="text1"/>
        </w:rPr>
        <w:t>Hylocereus</w:t>
      </w:r>
      <w:proofErr w:type="spellEnd"/>
      <w:r w:rsidRPr="00DB480E">
        <w:rPr>
          <w:i/>
          <w:iCs/>
          <w:color w:val="000000" w:themeColor="text1"/>
        </w:rPr>
        <w:t xml:space="preserve"> </w:t>
      </w:r>
      <w:proofErr w:type="spellStart"/>
      <w:r w:rsidRPr="00DB480E">
        <w:rPr>
          <w:i/>
          <w:iCs/>
          <w:color w:val="000000" w:themeColor="text1"/>
        </w:rPr>
        <w:t>ocamponis</w:t>
      </w:r>
      <w:proofErr w:type="spellEnd"/>
      <w:r w:rsidRPr="00DB480E">
        <w:rPr>
          <w:color w:val="000000" w:themeColor="text1"/>
        </w:rPr>
        <w:t xml:space="preserve">) peel flour as a new ingredient in beef burgers: Impact on quality parameters. </w:t>
      </w:r>
      <w:r w:rsidRPr="00DB480E">
        <w:rPr>
          <w:i/>
          <w:iCs/>
          <w:color w:val="000000" w:themeColor="text1"/>
        </w:rPr>
        <w:t>European Food Research and Technology, 250</w:t>
      </w:r>
      <w:r w:rsidRPr="00DB480E">
        <w:rPr>
          <w:color w:val="000000" w:themeColor="text1"/>
        </w:rPr>
        <w:t xml:space="preserve">(9), 2375–2385. </w:t>
      </w:r>
      <w:hyperlink r:id="rId22" w:tgtFrame="_new" w:history="1">
        <w:r w:rsidRPr="00DB480E">
          <w:rPr>
            <w:rStyle w:val="Hyperlink"/>
            <w:color w:val="000000" w:themeColor="text1"/>
            <w:u w:val="none"/>
          </w:rPr>
          <w:t>https://doi.org/10.1007/s00217-024-04545-5</w:t>
        </w:r>
      </w:hyperlink>
    </w:p>
    <w:p w14:paraId="755DD260" w14:textId="77777777" w:rsidR="00DB480E" w:rsidRPr="00DB480E" w:rsidRDefault="00DB480E" w:rsidP="00DB480E">
      <w:pPr>
        <w:pStyle w:val="Body"/>
        <w:spacing w:before="120" w:after="0"/>
        <w:rPr>
          <w:color w:val="000000" w:themeColor="text1"/>
        </w:rPr>
      </w:pPr>
      <w:r w:rsidRPr="00DB480E">
        <w:rPr>
          <w:color w:val="000000" w:themeColor="text1"/>
        </w:rPr>
        <w:t xml:space="preserve">Rodriguez-Amaya, D. B., &amp; Kimura, M. (2004). </w:t>
      </w:r>
      <w:proofErr w:type="spellStart"/>
      <w:r w:rsidRPr="00DB480E">
        <w:rPr>
          <w:i/>
          <w:iCs/>
          <w:color w:val="000000" w:themeColor="text1"/>
        </w:rPr>
        <w:t>HarvestPlus</w:t>
      </w:r>
      <w:proofErr w:type="spellEnd"/>
      <w:r w:rsidRPr="00DB480E">
        <w:rPr>
          <w:i/>
          <w:iCs/>
          <w:color w:val="000000" w:themeColor="text1"/>
        </w:rPr>
        <w:t xml:space="preserve"> handbook for carotenoid analysis.</w:t>
      </w:r>
      <w:r w:rsidRPr="00DB480E">
        <w:rPr>
          <w:color w:val="000000" w:themeColor="text1"/>
        </w:rPr>
        <w:t xml:space="preserve"> International Food Policy Research Institute (IFPRI) &amp; International Center for Tropical Agriculture (CIAT).</w:t>
      </w:r>
    </w:p>
    <w:p w14:paraId="2B5CA01E" w14:textId="77777777" w:rsidR="00DB480E" w:rsidRPr="00DB480E" w:rsidRDefault="00DB480E" w:rsidP="00DB480E">
      <w:pPr>
        <w:pStyle w:val="Body"/>
        <w:spacing w:before="120" w:after="0"/>
        <w:rPr>
          <w:color w:val="000000" w:themeColor="text1"/>
        </w:rPr>
      </w:pPr>
      <w:r w:rsidRPr="00DB480E">
        <w:rPr>
          <w:color w:val="000000" w:themeColor="text1"/>
        </w:rPr>
        <w:t xml:space="preserve">Rodriguez-Amaya, D. B. (2019). Update on natural food pigments—A mini-review on carotenoids, anthocyanins, and </w:t>
      </w:r>
      <w:proofErr w:type="spellStart"/>
      <w:r w:rsidRPr="00DB480E">
        <w:rPr>
          <w:color w:val="000000" w:themeColor="text1"/>
        </w:rPr>
        <w:t>betalains</w:t>
      </w:r>
      <w:proofErr w:type="spellEnd"/>
      <w:r w:rsidRPr="00DB480E">
        <w:rPr>
          <w:color w:val="000000" w:themeColor="text1"/>
        </w:rPr>
        <w:t xml:space="preserve">. </w:t>
      </w:r>
      <w:r w:rsidRPr="00DB480E">
        <w:rPr>
          <w:i/>
          <w:iCs/>
          <w:color w:val="000000" w:themeColor="text1"/>
        </w:rPr>
        <w:t>Food Research International, 124</w:t>
      </w:r>
      <w:r w:rsidRPr="00DB480E">
        <w:rPr>
          <w:color w:val="000000" w:themeColor="text1"/>
        </w:rPr>
        <w:t xml:space="preserve">, 200–205. </w:t>
      </w:r>
      <w:hyperlink r:id="rId23" w:tgtFrame="_new" w:history="1">
        <w:r w:rsidRPr="00DB480E">
          <w:rPr>
            <w:rStyle w:val="Hyperlink"/>
            <w:color w:val="000000" w:themeColor="text1"/>
            <w:u w:val="none"/>
          </w:rPr>
          <w:t>https://doi.org/10.1016/j.foodres.2018.05.028</w:t>
        </w:r>
      </w:hyperlink>
    </w:p>
    <w:p w14:paraId="1B776077"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Ruangnarong</w:t>
      </w:r>
      <w:proofErr w:type="spellEnd"/>
      <w:r w:rsidRPr="00DB480E">
        <w:rPr>
          <w:color w:val="000000" w:themeColor="text1"/>
        </w:rPr>
        <w:t xml:space="preserve">, C., </w:t>
      </w:r>
      <w:proofErr w:type="spellStart"/>
      <w:r w:rsidRPr="00DB480E">
        <w:rPr>
          <w:color w:val="000000" w:themeColor="text1"/>
        </w:rPr>
        <w:t>Khojitmate</w:t>
      </w:r>
      <w:proofErr w:type="spellEnd"/>
      <w:r w:rsidRPr="00DB480E">
        <w:rPr>
          <w:color w:val="000000" w:themeColor="text1"/>
        </w:rPr>
        <w:t xml:space="preserve">, S., </w:t>
      </w:r>
      <w:proofErr w:type="spellStart"/>
      <w:r w:rsidRPr="00DB480E">
        <w:rPr>
          <w:color w:val="000000" w:themeColor="text1"/>
        </w:rPr>
        <w:t>Srivorradatphisan</w:t>
      </w:r>
      <w:proofErr w:type="spellEnd"/>
      <w:r w:rsidRPr="00DB480E">
        <w:rPr>
          <w:color w:val="000000" w:themeColor="text1"/>
        </w:rPr>
        <w:t xml:space="preserve">, S., </w:t>
      </w:r>
      <w:proofErr w:type="spellStart"/>
      <w:r w:rsidRPr="00DB480E">
        <w:rPr>
          <w:color w:val="000000" w:themeColor="text1"/>
        </w:rPr>
        <w:t>Panyathikun</w:t>
      </w:r>
      <w:proofErr w:type="spellEnd"/>
      <w:r w:rsidRPr="00DB480E">
        <w:rPr>
          <w:color w:val="000000" w:themeColor="text1"/>
        </w:rPr>
        <w:t xml:space="preserve">, N., &amp; </w:t>
      </w:r>
      <w:proofErr w:type="spellStart"/>
      <w:r w:rsidRPr="00DB480E">
        <w:rPr>
          <w:color w:val="000000" w:themeColor="text1"/>
        </w:rPr>
        <w:t>Chonsakorn</w:t>
      </w:r>
      <w:proofErr w:type="spellEnd"/>
      <w:r w:rsidRPr="00DB480E">
        <w:rPr>
          <w:color w:val="000000" w:themeColor="text1"/>
        </w:rPr>
        <w:t xml:space="preserve">, S. (2024). Evaluation of mechanically extracted banana fibers from </w:t>
      </w:r>
      <w:proofErr w:type="spellStart"/>
      <w:r w:rsidRPr="00DB480E">
        <w:rPr>
          <w:color w:val="000000" w:themeColor="text1"/>
        </w:rPr>
        <w:t>pseudostem</w:t>
      </w:r>
      <w:proofErr w:type="spellEnd"/>
      <w:r w:rsidRPr="00DB480E">
        <w:rPr>
          <w:color w:val="000000" w:themeColor="text1"/>
        </w:rPr>
        <w:t xml:space="preserve"> layers: A sustainable textile raw material. </w:t>
      </w:r>
      <w:proofErr w:type="spellStart"/>
      <w:r w:rsidRPr="00DB480E">
        <w:rPr>
          <w:i/>
          <w:iCs/>
          <w:color w:val="000000" w:themeColor="text1"/>
        </w:rPr>
        <w:t>Heliyon</w:t>
      </w:r>
      <w:proofErr w:type="spellEnd"/>
      <w:r w:rsidRPr="00DB480E">
        <w:rPr>
          <w:i/>
          <w:iCs/>
          <w:color w:val="000000" w:themeColor="text1"/>
        </w:rPr>
        <w:t>, 10</w:t>
      </w:r>
      <w:r w:rsidRPr="00DB480E">
        <w:rPr>
          <w:color w:val="000000" w:themeColor="text1"/>
        </w:rPr>
        <w:t xml:space="preserve">(21), e39880. </w:t>
      </w:r>
      <w:hyperlink r:id="rId24" w:tgtFrame="_new" w:history="1">
        <w:r w:rsidRPr="00DB480E">
          <w:rPr>
            <w:rStyle w:val="Hyperlink"/>
            <w:color w:val="000000" w:themeColor="text1"/>
            <w:u w:val="none"/>
          </w:rPr>
          <w:t>https://doi.org/10.1016/j.heliyon.2024.e39880</w:t>
        </w:r>
      </w:hyperlink>
    </w:p>
    <w:p w14:paraId="4DBC663C" w14:textId="77777777" w:rsidR="00DB480E" w:rsidRPr="00DB480E" w:rsidRDefault="00DB480E" w:rsidP="00DB480E">
      <w:pPr>
        <w:pStyle w:val="Body"/>
        <w:spacing w:before="120" w:after="0"/>
        <w:rPr>
          <w:color w:val="000000" w:themeColor="text1"/>
        </w:rPr>
      </w:pPr>
      <w:r w:rsidRPr="00DB480E">
        <w:rPr>
          <w:color w:val="000000" w:themeColor="text1"/>
        </w:rPr>
        <w:t xml:space="preserve">Singleton, V. L., </w:t>
      </w:r>
      <w:proofErr w:type="spellStart"/>
      <w:r w:rsidRPr="00DB480E">
        <w:rPr>
          <w:color w:val="000000" w:themeColor="text1"/>
        </w:rPr>
        <w:t>Orthofer</w:t>
      </w:r>
      <w:proofErr w:type="spellEnd"/>
      <w:r w:rsidRPr="00DB480E">
        <w:rPr>
          <w:color w:val="000000" w:themeColor="text1"/>
        </w:rPr>
        <w:t xml:space="preserve">, R., &amp; </w:t>
      </w:r>
      <w:proofErr w:type="spellStart"/>
      <w:r w:rsidRPr="00DB480E">
        <w:rPr>
          <w:color w:val="000000" w:themeColor="text1"/>
        </w:rPr>
        <w:t>Lamuela-Raventós</w:t>
      </w:r>
      <w:proofErr w:type="spellEnd"/>
      <w:r w:rsidRPr="00DB480E">
        <w:rPr>
          <w:color w:val="000000" w:themeColor="text1"/>
        </w:rPr>
        <w:t xml:space="preserve">, R. M. (1999). Analysis of total phenols and other oxidation substrates and antioxidants by means of </w:t>
      </w:r>
      <w:proofErr w:type="spellStart"/>
      <w:r w:rsidRPr="00DB480E">
        <w:rPr>
          <w:color w:val="000000" w:themeColor="text1"/>
        </w:rPr>
        <w:t>Folin</w:t>
      </w:r>
      <w:proofErr w:type="spellEnd"/>
      <w:r w:rsidRPr="00DB480E">
        <w:rPr>
          <w:color w:val="000000" w:themeColor="text1"/>
        </w:rPr>
        <w:t>–</w:t>
      </w:r>
      <w:proofErr w:type="spellStart"/>
      <w:r w:rsidRPr="00DB480E">
        <w:rPr>
          <w:color w:val="000000" w:themeColor="text1"/>
        </w:rPr>
        <w:t>Ciocalteu</w:t>
      </w:r>
      <w:proofErr w:type="spellEnd"/>
      <w:r w:rsidRPr="00DB480E">
        <w:rPr>
          <w:color w:val="000000" w:themeColor="text1"/>
        </w:rPr>
        <w:t xml:space="preserve"> reagent. </w:t>
      </w:r>
      <w:r w:rsidRPr="00DB480E">
        <w:rPr>
          <w:i/>
          <w:iCs/>
          <w:color w:val="000000" w:themeColor="text1"/>
        </w:rPr>
        <w:t>Methods in Enzymology, 299</w:t>
      </w:r>
      <w:r w:rsidRPr="00DB480E">
        <w:rPr>
          <w:color w:val="000000" w:themeColor="text1"/>
        </w:rPr>
        <w:t xml:space="preserve">, 152–178. </w:t>
      </w:r>
      <w:hyperlink r:id="rId25" w:tgtFrame="_new" w:history="1">
        <w:r w:rsidRPr="00DB480E">
          <w:rPr>
            <w:rStyle w:val="Hyperlink"/>
            <w:color w:val="000000" w:themeColor="text1"/>
            <w:u w:val="none"/>
          </w:rPr>
          <w:t>https://doi.org/10.1016/S0076-6879(99)99017-1</w:t>
        </w:r>
      </w:hyperlink>
    </w:p>
    <w:p w14:paraId="4FAADDB1" w14:textId="77777777" w:rsidR="00DB480E" w:rsidRPr="00DB480E" w:rsidRDefault="00DB480E" w:rsidP="00DB480E">
      <w:pPr>
        <w:pStyle w:val="Body"/>
        <w:spacing w:before="120" w:after="0"/>
        <w:rPr>
          <w:color w:val="000000" w:themeColor="text1"/>
        </w:rPr>
      </w:pPr>
      <w:r w:rsidRPr="00DB480E">
        <w:rPr>
          <w:color w:val="000000" w:themeColor="text1"/>
        </w:rPr>
        <w:t xml:space="preserve">Singh, B., Singh, J. P., Kaur, A., &amp; Singh, N. (2016). Bioactive compounds in banana and their associated health benefits – A review. </w:t>
      </w:r>
      <w:r w:rsidRPr="00DB480E">
        <w:rPr>
          <w:i/>
          <w:iCs/>
          <w:color w:val="000000" w:themeColor="text1"/>
        </w:rPr>
        <w:t>Food Chemistry, 206</w:t>
      </w:r>
      <w:r w:rsidRPr="00DB480E">
        <w:rPr>
          <w:color w:val="000000" w:themeColor="text1"/>
        </w:rPr>
        <w:t xml:space="preserve">, 1–11. </w:t>
      </w:r>
      <w:hyperlink r:id="rId26" w:tgtFrame="_new" w:history="1">
        <w:r w:rsidRPr="00DB480E">
          <w:rPr>
            <w:rStyle w:val="Hyperlink"/>
            <w:color w:val="000000" w:themeColor="text1"/>
            <w:u w:val="none"/>
          </w:rPr>
          <w:t>https://doi.org/10.1016/j.foodchem.2016.03.033</w:t>
        </w:r>
      </w:hyperlink>
    </w:p>
    <w:p w14:paraId="6907BD98" w14:textId="77777777" w:rsidR="00DB480E" w:rsidRPr="00DB480E" w:rsidRDefault="00DB480E" w:rsidP="00DB480E">
      <w:pPr>
        <w:pStyle w:val="Body"/>
        <w:spacing w:before="120" w:after="0"/>
        <w:rPr>
          <w:color w:val="000000" w:themeColor="text1"/>
        </w:rPr>
      </w:pPr>
      <w:r w:rsidRPr="00DB480E">
        <w:rPr>
          <w:color w:val="000000" w:themeColor="text1"/>
        </w:rPr>
        <w:t>Singh, R., Sharma, R. R., Kumar, S., Gupta, R. K., &amp; Patil, R. T. (2008). Vermicompost substitution influences growth, physiological disorders, fruit yield and quality of strawberry (</w:t>
      </w:r>
      <w:r w:rsidRPr="00DB480E">
        <w:rPr>
          <w:i/>
          <w:iCs/>
          <w:color w:val="000000" w:themeColor="text1"/>
        </w:rPr>
        <w:t xml:space="preserve">Fragaria × </w:t>
      </w:r>
      <w:proofErr w:type="spellStart"/>
      <w:r w:rsidRPr="00DB480E">
        <w:rPr>
          <w:i/>
          <w:iCs/>
          <w:color w:val="000000" w:themeColor="text1"/>
        </w:rPr>
        <w:t>ananassa</w:t>
      </w:r>
      <w:proofErr w:type="spellEnd"/>
      <w:r w:rsidRPr="00DB480E">
        <w:rPr>
          <w:color w:val="000000" w:themeColor="text1"/>
        </w:rPr>
        <w:t xml:space="preserve"> </w:t>
      </w:r>
      <w:proofErr w:type="spellStart"/>
      <w:r w:rsidRPr="00DB480E">
        <w:rPr>
          <w:color w:val="000000" w:themeColor="text1"/>
        </w:rPr>
        <w:t>Duch</w:t>
      </w:r>
      <w:proofErr w:type="spellEnd"/>
      <w:r w:rsidRPr="00DB480E">
        <w:rPr>
          <w:color w:val="000000" w:themeColor="text1"/>
        </w:rPr>
        <w:t xml:space="preserve">.). </w:t>
      </w:r>
      <w:r w:rsidRPr="00DB480E">
        <w:rPr>
          <w:i/>
          <w:iCs/>
          <w:color w:val="000000" w:themeColor="text1"/>
        </w:rPr>
        <w:t>Bioresource Technology, 99</w:t>
      </w:r>
      <w:r w:rsidRPr="00DB480E">
        <w:rPr>
          <w:color w:val="000000" w:themeColor="text1"/>
        </w:rPr>
        <w:t xml:space="preserve">(17), 8507–8511. </w:t>
      </w:r>
      <w:hyperlink r:id="rId27" w:tgtFrame="_new" w:history="1">
        <w:r w:rsidRPr="00DB480E">
          <w:rPr>
            <w:rStyle w:val="Hyperlink"/>
            <w:color w:val="000000" w:themeColor="text1"/>
            <w:u w:val="none"/>
          </w:rPr>
          <w:t>https://doi.org/10.1016/j.biortech.2008.03.034</w:t>
        </w:r>
      </w:hyperlink>
    </w:p>
    <w:p w14:paraId="69015871" w14:textId="77777777" w:rsidR="00DB480E" w:rsidRPr="00DB480E" w:rsidRDefault="00DB480E" w:rsidP="00DB480E">
      <w:pPr>
        <w:pStyle w:val="Body"/>
        <w:spacing w:before="120" w:after="0"/>
        <w:rPr>
          <w:color w:val="000000" w:themeColor="text1"/>
        </w:rPr>
      </w:pPr>
      <w:r w:rsidRPr="00DB480E">
        <w:rPr>
          <w:color w:val="000000" w:themeColor="text1"/>
        </w:rPr>
        <w:t xml:space="preserve">Smeriglio, A., Barreca, D., </w:t>
      </w:r>
      <w:proofErr w:type="spellStart"/>
      <w:r w:rsidRPr="00DB480E">
        <w:rPr>
          <w:color w:val="000000" w:themeColor="text1"/>
        </w:rPr>
        <w:t>Bellocco</w:t>
      </w:r>
      <w:proofErr w:type="spellEnd"/>
      <w:r w:rsidRPr="00DB480E">
        <w:rPr>
          <w:color w:val="000000" w:themeColor="text1"/>
        </w:rPr>
        <w:t xml:space="preserve">, E., &amp; Trombetta, D. (2016). Chemistry, pharmacology and health benefits of anthocyanins. </w:t>
      </w:r>
      <w:r w:rsidRPr="00DB480E">
        <w:rPr>
          <w:i/>
          <w:iCs/>
          <w:color w:val="000000" w:themeColor="text1"/>
        </w:rPr>
        <w:t>Phytotherapy Research, 30</w:t>
      </w:r>
      <w:r w:rsidRPr="00DB480E">
        <w:rPr>
          <w:color w:val="000000" w:themeColor="text1"/>
        </w:rPr>
        <w:t xml:space="preserve">(8), 1265–1286. </w:t>
      </w:r>
      <w:hyperlink r:id="rId28" w:tgtFrame="_new" w:history="1">
        <w:r w:rsidRPr="00DB480E">
          <w:rPr>
            <w:rStyle w:val="Hyperlink"/>
            <w:color w:val="000000" w:themeColor="text1"/>
            <w:u w:val="none"/>
          </w:rPr>
          <w:t>https://doi.org/10.1002/ptr.5642</w:t>
        </w:r>
      </w:hyperlink>
    </w:p>
    <w:p w14:paraId="73AADA4A" w14:textId="77777777" w:rsidR="00DB480E" w:rsidRPr="00DB480E" w:rsidRDefault="00DB480E" w:rsidP="00DB480E">
      <w:pPr>
        <w:pStyle w:val="Body"/>
        <w:spacing w:before="120" w:after="0"/>
        <w:rPr>
          <w:color w:val="000000" w:themeColor="text1"/>
        </w:rPr>
      </w:pPr>
      <w:r w:rsidRPr="00DB480E">
        <w:rPr>
          <w:color w:val="000000" w:themeColor="text1"/>
        </w:rPr>
        <w:t xml:space="preserve">Suthar, S. (2009). Vermicomposting of vegetable-market solid waste using </w:t>
      </w:r>
      <w:r w:rsidRPr="00DB480E">
        <w:rPr>
          <w:i/>
          <w:iCs/>
          <w:color w:val="000000" w:themeColor="text1"/>
        </w:rPr>
        <w:t xml:space="preserve">Eisenia </w:t>
      </w:r>
      <w:proofErr w:type="spellStart"/>
      <w:r w:rsidRPr="00DB480E">
        <w:rPr>
          <w:i/>
          <w:iCs/>
          <w:color w:val="000000" w:themeColor="text1"/>
        </w:rPr>
        <w:t>fetida</w:t>
      </w:r>
      <w:proofErr w:type="spellEnd"/>
      <w:r w:rsidRPr="00DB480E">
        <w:rPr>
          <w:color w:val="000000" w:themeColor="text1"/>
        </w:rPr>
        <w:t xml:space="preserve">: Impact of bulking material on earthworm growth and decomposition rate. </w:t>
      </w:r>
      <w:r w:rsidRPr="00DB480E">
        <w:rPr>
          <w:i/>
          <w:iCs/>
          <w:color w:val="000000" w:themeColor="text1"/>
        </w:rPr>
        <w:t>Ecological Engineering, 35</w:t>
      </w:r>
      <w:r w:rsidRPr="00DB480E">
        <w:rPr>
          <w:color w:val="000000" w:themeColor="text1"/>
        </w:rPr>
        <w:t xml:space="preserve">(5), 914–920. </w:t>
      </w:r>
      <w:hyperlink r:id="rId29" w:tgtFrame="_new" w:history="1">
        <w:r w:rsidRPr="00DB480E">
          <w:rPr>
            <w:rStyle w:val="Hyperlink"/>
            <w:color w:val="000000" w:themeColor="text1"/>
            <w:u w:val="none"/>
          </w:rPr>
          <w:t>https://doi.org/10.1016/j.ecoleng.2008.12.019</w:t>
        </w:r>
      </w:hyperlink>
    </w:p>
    <w:p w14:paraId="7C8530A8"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lastRenderedPageBreak/>
        <w:t>Stintzing</w:t>
      </w:r>
      <w:proofErr w:type="spellEnd"/>
      <w:r w:rsidRPr="00DB480E">
        <w:rPr>
          <w:color w:val="000000" w:themeColor="text1"/>
        </w:rPr>
        <w:t xml:space="preserve">, F. C., &amp; Carle, R. (2004). Functional properties of anthocyanins and </w:t>
      </w:r>
      <w:proofErr w:type="spellStart"/>
      <w:r w:rsidRPr="00DB480E">
        <w:rPr>
          <w:color w:val="000000" w:themeColor="text1"/>
        </w:rPr>
        <w:t>betalains</w:t>
      </w:r>
      <w:proofErr w:type="spellEnd"/>
      <w:r w:rsidRPr="00DB480E">
        <w:rPr>
          <w:color w:val="000000" w:themeColor="text1"/>
        </w:rPr>
        <w:t xml:space="preserve"> in plants, food, and in human nutrition. </w:t>
      </w:r>
      <w:r w:rsidRPr="00DB480E">
        <w:rPr>
          <w:i/>
          <w:iCs/>
          <w:color w:val="000000" w:themeColor="text1"/>
        </w:rPr>
        <w:t>Trends in Food Science &amp; Technology, 15</w:t>
      </w:r>
      <w:r w:rsidRPr="00DB480E">
        <w:rPr>
          <w:color w:val="000000" w:themeColor="text1"/>
        </w:rPr>
        <w:t xml:space="preserve">(1), 19–38. </w:t>
      </w:r>
      <w:hyperlink r:id="rId30" w:tgtFrame="_new" w:history="1">
        <w:r w:rsidRPr="00DB480E">
          <w:rPr>
            <w:rStyle w:val="Hyperlink"/>
            <w:color w:val="000000" w:themeColor="text1"/>
            <w:u w:val="none"/>
          </w:rPr>
          <w:t>https://doi.org/10.1016/j.tifs.2003.07.004</w:t>
        </w:r>
      </w:hyperlink>
    </w:p>
    <w:p w14:paraId="1CA88CE7"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Taharuddin</w:t>
      </w:r>
      <w:proofErr w:type="spellEnd"/>
      <w:r w:rsidRPr="00DB480E">
        <w:rPr>
          <w:color w:val="000000" w:themeColor="text1"/>
        </w:rPr>
        <w:t xml:space="preserve">, N. H., </w:t>
      </w:r>
      <w:proofErr w:type="spellStart"/>
      <w:r w:rsidRPr="00DB480E">
        <w:rPr>
          <w:color w:val="000000" w:themeColor="text1"/>
        </w:rPr>
        <w:t>Jumaidin</w:t>
      </w:r>
      <w:proofErr w:type="spellEnd"/>
      <w:r w:rsidRPr="00DB480E">
        <w:rPr>
          <w:color w:val="000000" w:themeColor="text1"/>
        </w:rPr>
        <w:t xml:space="preserve">, R., Mansor, M. R., Hazrati, K. Z., Tarique, J., Asyraf, M. R. M., &amp; </w:t>
      </w:r>
      <w:proofErr w:type="spellStart"/>
      <w:r w:rsidRPr="00DB480E">
        <w:rPr>
          <w:color w:val="000000" w:themeColor="text1"/>
        </w:rPr>
        <w:t>Razman</w:t>
      </w:r>
      <w:proofErr w:type="spellEnd"/>
      <w:r w:rsidRPr="00DB480E">
        <w:rPr>
          <w:color w:val="000000" w:themeColor="text1"/>
        </w:rPr>
        <w:t>, M. R. (2023). Unlocking the potential of lignocellulosic biomass dragon fruit (</w:t>
      </w:r>
      <w:proofErr w:type="spellStart"/>
      <w:r w:rsidRPr="00DB480E">
        <w:rPr>
          <w:i/>
          <w:iCs/>
          <w:color w:val="000000" w:themeColor="text1"/>
        </w:rPr>
        <w:t>Hylocereus</w:t>
      </w:r>
      <w:proofErr w:type="spellEnd"/>
      <w:r w:rsidRPr="00DB480E">
        <w:rPr>
          <w:i/>
          <w:iCs/>
          <w:color w:val="000000" w:themeColor="text1"/>
        </w:rPr>
        <w:t xml:space="preserve"> </w:t>
      </w:r>
      <w:proofErr w:type="spellStart"/>
      <w:r w:rsidRPr="00DB480E">
        <w:rPr>
          <w:i/>
          <w:iCs/>
          <w:color w:val="000000" w:themeColor="text1"/>
        </w:rPr>
        <w:t>polyrhizus</w:t>
      </w:r>
      <w:proofErr w:type="spellEnd"/>
      <w:r w:rsidRPr="00DB480E">
        <w:rPr>
          <w:color w:val="000000" w:themeColor="text1"/>
        </w:rPr>
        <w:t xml:space="preserve">) in bioplastics, </w:t>
      </w:r>
      <w:proofErr w:type="spellStart"/>
      <w:r w:rsidRPr="00DB480E">
        <w:rPr>
          <w:color w:val="000000" w:themeColor="text1"/>
        </w:rPr>
        <w:t>biocomposites</w:t>
      </w:r>
      <w:proofErr w:type="spellEnd"/>
      <w:r w:rsidRPr="00DB480E">
        <w:rPr>
          <w:color w:val="000000" w:themeColor="text1"/>
        </w:rPr>
        <w:t xml:space="preserve">, and various commercial applications. </w:t>
      </w:r>
      <w:r w:rsidRPr="00DB480E">
        <w:rPr>
          <w:i/>
          <w:iCs/>
          <w:color w:val="000000" w:themeColor="text1"/>
        </w:rPr>
        <w:t>Polymers, 15</w:t>
      </w:r>
      <w:r w:rsidRPr="00DB480E">
        <w:rPr>
          <w:color w:val="000000" w:themeColor="text1"/>
        </w:rPr>
        <w:t xml:space="preserve">(12), 2654. </w:t>
      </w:r>
      <w:hyperlink r:id="rId31" w:tgtFrame="_new" w:history="1">
        <w:r w:rsidRPr="00DB480E">
          <w:rPr>
            <w:rStyle w:val="Hyperlink"/>
            <w:color w:val="000000" w:themeColor="text1"/>
            <w:u w:val="none"/>
          </w:rPr>
          <w:t>https://doi.org/10.3390/polym15122654</w:t>
        </w:r>
      </w:hyperlink>
    </w:p>
    <w:p w14:paraId="093234BE" w14:textId="77777777" w:rsidR="00DB480E" w:rsidRPr="00DB480E" w:rsidRDefault="00DB480E" w:rsidP="00DB480E">
      <w:pPr>
        <w:pStyle w:val="Body"/>
        <w:spacing w:before="120" w:after="0"/>
        <w:rPr>
          <w:color w:val="000000" w:themeColor="text1"/>
        </w:rPr>
      </w:pPr>
      <w:r w:rsidRPr="00DB480E">
        <w:rPr>
          <w:color w:val="000000" w:themeColor="text1"/>
        </w:rPr>
        <w:t xml:space="preserve">Thorat, R. L., &amp; Bobade, H. P. (2018). Utilization of banana pseudo-stem in food applications. </w:t>
      </w:r>
      <w:r w:rsidRPr="00DB480E">
        <w:rPr>
          <w:i/>
          <w:iCs/>
          <w:color w:val="000000" w:themeColor="text1"/>
        </w:rPr>
        <w:t>International Journal of Agricultural Engineering, 11</w:t>
      </w:r>
      <w:r w:rsidRPr="00DB480E">
        <w:rPr>
          <w:color w:val="000000" w:themeColor="text1"/>
        </w:rPr>
        <w:t>(Special Issue), 86–89. https://doi.org/10.15740/HAS/IJAE/11.Sp.Issue/86-89</w:t>
      </w:r>
    </w:p>
    <w:p w14:paraId="661E00B0"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Tridge</w:t>
      </w:r>
      <w:proofErr w:type="spellEnd"/>
      <w:r w:rsidRPr="00DB480E">
        <w:rPr>
          <w:color w:val="000000" w:themeColor="text1"/>
        </w:rPr>
        <w:t xml:space="preserve">. (2024, April 17). Vietnam focuses on higher-quality bananas, aiming to increase per-hectare value by over 8-fold. </w:t>
      </w:r>
      <w:proofErr w:type="spellStart"/>
      <w:r w:rsidRPr="00DB480E">
        <w:rPr>
          <w:i/>
          <w:iCs/>
          <w:color w:val="000000" w:themeColor="text1"/>
        </w:rPr>
        <w:t>Tridge</w:t>
      </w:r>
      <w:proofErr w:type="spellEnd"/>
      <w:r w:rsidRPr="00DB480E">
        <w:rPr>
          <w:i/>
          <w:iCs/>
          <w:color w:val="000000" w:themeColor="text1"/>
        </w:rPr>
        <w:t>.</w:t>
      </w:r>
      <w:r w:rsidRPr="00DB480E">
        <w:rPr>
          <w:color w:val="000000" w:themeColor="text1"/>
        </w:rPr>
        <w:t xml:space="preserve"> Retrieved from </w:t>
      </w:r>
      <w:hyperlink r:id="rId32" w:tgtFrame="_new" w:history="1">
        <w:r w:rsidRPr="00DB480E">
          <w:rPr>
            <w:rStyle w:val="Hyperlink"/>
            <w:color w:val="000000" w:themeColor="text1"/>
            <w:u w:val="none"/>
          </w:rPr>
          <w:t>https://www.tridge.com/news/vietnam-focuses-on-higher-quality-bananas-ai-zuculy</w:t>
        </w:r>
      </w:hyperlink>
    </w:p>
    <w:p w14:paraId="280D4B76" w14:textId="77777777" w:rsidR="00DB480E" w:rsidRPr="00DB480E" w:rsidRDefault="00DB480E" w:rsidP="00DB480E">
      <w:pPr>
        <w:pStyle w:val="Body"/>
        <w:spacing w:before="120" w:after="0"/>
        <w:rPr>
          <w:color w:val="000000" w:themeColor="text1"/>
        </w:rPr>
      </w:pPr>
      <w:r w:rsidRPr="00DB480E">
        <w:rPr>
          <w:color w:val="000000" w:themeColor="text1"/>
        </w:rPr>
        <w:t xml:space="preserve">United Nations. (2015). </w:t>
      </w:r>
      <w:r w:rsidRPr="00DB480E">
        <w:rPr>
          <w:i/>
          <w:iCs/>
          <w:color w:val="000000" w:themeColor="text1"/>
        </w:rPr>
        <w:t>Transforming our world: The 2030 agenda for sustainable development.</w:t>
      </w:r>
      <w:r w:rsidRPr="00DB480E">
        <w:rPr>
          <w:color w:val="000000" w:themeColor="text1"/>
        </w:rPr>
        <w:t xml:space="preserve"> United Nations.</w:t>
      </w:r>
    </w:p>
    <w:p w14:paraId="2114BA72" w14:textId="77777777" w:rsidR="00DB480E" w:rsidRPr="00DB480E" w:rsidRDefault="00DB480E" w:rsidP="00DB480E">
      <w:pPr>
        <w:pStyle w:val="Body"/>
        <w:spacing w:before="120" w:after="0"/>
        <w:rPr>
          <w:color w:val="000000" w:themeColor="text1"/>
        </w:rPr>
      </w:pPr>
      <w:r w:rsidRPr="00DB480E">
        <w:rPr>
          <w:color w:val="000000" w:themeColor="text1"/>
        </w:rPr>
        <w:t xml:space="preserve">Van Soest, P. J., Robertson, J. B., &amp; Lewis, B. A. (1991). Methods for dietary fiber, neutral detergent fiber, and </w:t>
      </w:r>
      <w:proofErr w:type="spellStart"/>
      <w:r w:rsidRPr="00DB480E">
        <w:rPr>
          <w:color w:val="000000" w:themeColor="text1"/>
        </w:rPr>
        <w:t>nonstarch</w:t>
      </w:r>
      <w:proofErr w:type="spellEnd"/>
      <w:r w:rsidRPr="00DB480E">
        <w:rPr>
          <w:color w:val="000000" w:themeColor="text1"/>
        </w:rPr>
        <w:t xml:space="preserve"> polysaccharides in relation to animal nutrition. </w:t>
      </w:r>
      <w:r w:rsidRPr="00DB480E">
        <w:rPr>
          <w:i/>
          <w:iCs/>
          <w:color w:val="000000" w:themeColor="text1"/>
        </w:rPr>
        <w:t>Journal of Dairy Science, 74</w:t>
      </w:r>
      <w:r w:rsidRPr="00DB480E">
        <w:rPr>
          <w:color w:val="000000" w:themeColor="text1"/>
        </w:rPr>
        <w:t xml:space="preserve">(10), 3583–3597. </w:t>
      </w:r>
      <w:hyperlink r:id="rId33" w:tgtFrame="_new" w:history="1">
        <w:r w:rsidRPr="00DB480E">
          <w:rPr>
            <w:rStyle w:val="Hyperlink"/>
            <w:color w:val="000000" w:themeColor="text1"/>
            <w:u w:val="none"/>
          </w:rPr>
          <w:t>https://doi.org/10.3168/jds.S0022-0302(91)78551-2</w:t>
        </w:r>
      </w:hyperlink>
    </w:p>
    <w:p w14:paraId="33417351" w14:textId="77777777" w:rsidR="00DB480E" w:rsidRPr="00DB480E" w:rsidRDefault="00DB480E" w:rsidP="00DB480E">
      <w:pPr>
        <w:pStyle w:val="Body"/>
        <w:spacing w:before="120" w:after="0"/>
        <w:rPr>
          <w:color w:val="000000" w:themeColor="text1"/>
        </w:rPr>
      </w:pPr>
      <w:r w:rsidRPr="00DB480E">
        <w:rPr>
          <w:color w:val="000000" w:themeColor="text1"/>
        </w:rPr>
        <w:t xml:space="preserve">Zar, J. H. (2010). </w:t>
      </w:r>
      <w:r w:rsidRPr="00DB480E">
        <w:rPr>
          <w:i/>
          <w:iCs/>
          <w:color w:val="000000" w:themeColor="text1"/>
        </w:rPr>
        <w:t>Biostatistical analysis</w:t>
      </w:r>
      <w:r w:rsidRPr="00DB480E">
        <w:rPr>
          <w:color w:val="000000" w:themeColor="text1"/>
        </w:rPr>
        <w:t xml:space="preserve"> (5th ed.). Prentice Hall.</w:t>
      </w:r>
    </w:p>
    <w:p w14:paraId="70F1C456" w14:textId="77777777" w:rsidR="00DB480E" w:rsidRPr="00DB480E" w:rsidRDefault="00DB480E" w:rsidP="00DB480E">
      <w:pPr>
        <w:pStyle w:val="Body"/>
        <w:spacing w:before="120" w:after="0"/>
        <w:rPr>
          <w:color w:val="000000" w:themeColor="text1"/>
        </w:rPr>
      </w:pPr>
      <w:r w:rsidRPr="00DB480E">
        <w:rPr>
          <w:color w:val="000000" w:themeColor="text1"/>
        </w:rPr>
        <w:t xml:space="preserve">Zou, F., Tan, C., Zhang, B., Wu, W., &amp; Shang, N. (2022). The valorization of banana by-products: Nutritional composition, bioactivities, applications, and future development. </w:t>
      </w:r>
      <w:r w:rsidRPr="00DB480E">
        <w:rPr>
          <w:i/>
          <w:iCs/>
          <w:color w:val="000000" w:themeColor="text1"/>
        </w:rPr>
        <w:t>Foods, 11</w:t>
      </w:r>
      <w:r w:rsidRPr="00DB480E">
        <w:rPr>
          <w:color w:val="000000" w:themeColor="text1"/>
        </w:rPr>
        <w:t xml:space="preserve">(20), 3170. </w:t>
      </w:r>
      <w:hyperlink r:id="rId34" w:tgtFrame="_new" w:history="1">
        <w:r w:rsidRPr="00DB480E">
          <w:rPr>
            <w:rStyle w:val="Hyperlink"/>
            <w:color w:val="000000" w:themeColor="text1"/>
            <w:u w:val="none"/>
          </w:rPr>
          <w:t>https://doi.org/10.3390/foods11203170</w:t>
        </w:r>
      </w:hyperlink>
    </w:p>
    <w:p w14:paraId="06061640" w14:textId="77777777" w:rsidR="00DB480E" w:rsidRPr="00DB480E" w:rsidRDefault="00DB480E" w:rsidP="00DB480E">
      <w:pPr>
        <w:pStyle w:val="Body"/>
        <w:spacing w:before="120" w:after="0"/>
        <w:rPr>
          <w:color w:val="000000" w:themeColor="text1"/>
        </w:rPr>
      </w:pPr>
      <w:r w:rsidRPr="00DB480E">
        <w:rPr>
          <w:color w:val="000000" w:themeColor="text1"/>
        </w:rPr>
        <w:t xml:space="preserve">WHO. (2020). Healthy diet. World Health Organization. Retrieved from </w:t>
      </w:r>
      <w:hyperlink r:id="rId35" w:tgtFrame="_new" w:history="1">
        <w:r w:rsidRPr="00DB480E">
          <w:rPr>
            <w:rStyle w:val="Hyperlink"/>
            <w:color w:val="000000" w:themeColor="text1"/>
            <w:u w:val="none"/>
          </w:rPr>
          <w:t>https://www.who.int/news-room/fact-sheets/detail/healthy-diet</w:t>
        </w:r>
      </w:hyperlink>
    </w:p>
    <w:p w14:paraId="3290443B" w14:textId="77777777" w:rsidR="00DB480E" w:rsidRPr="00DB480E" w:rsidRDefault="00DB480E" w:rsidP="00DB480E">
      <w:pPr>
        <w:pStyle w:val="Body"/>
        <w:spacing w:before="120" w:after="0"/>
        <w:rPr>
          <w:color w:val="000000" w:themeColor="text1"/>
        </w:rPr>
      </w:pPr>
      <w:proofErr w:type="spellStart"/>
      <w:r w:rsidRPr="00DB480E">
        <w:rPr>
          <w:color w:val="000000" w:themeColor="text1"/>
        </w:rPr>
        <w:t>Wisutiamonkul</w:t>
      </w:r>
      <w:proofErr w:type="spellEnd"/>
      <w:r w:rsidRPr="00DB480E">
        <w:rPr>
          <w:color w:val="000000" w:themeColor="text1"/>
        </w:rPr>
        <w:t xml:space="preserve">, A., </w:t>
      </w:r>
      <w:proofErr w:type="spellStart"/>
      <w:r w:rsidRPr="00DB480E">
        <w:rPr>
          <w:color w:val="000000" w:themeColor="text1"/>
        </w:rPr>
        <w:t>Promdang</w:t>
      </w:r>
      <w:proofErr w:type="spellEnd"/>
      <w:r w:rsidRPr="00DB480E">
        <w:rPr>
          <w:color w:val="000000" w:themeColor="text1"/>
        </w:rPr>
        <w:t xml:space="preserve">, S., Ketsa, S., &amp; van Doorn, W. G. (2015). Carotenoids in durian fruit pulp during growth and postharvest ripening. </w:t>
      </w:r>
      <w:r w:rsidRPr="00DB480E">
        <w:rPr>
          <w:i/>
          <w:iCs/>
          <w:color w:val="000000" w:themeColor="text1"/>
        </w:rPr>
        <w:t>Food Chemistry, 180</w:t>
      </w:r>
      <w:r w:rsidRPr="00DB480E">
        <w:rPr>
          <w:color w:val="000000" w:themeColor="text1"/>
        </w:rPr>
        <w:t xml:space="preserve">, 301–305. </w:t>
      </w:r>
      <w:hyperlink r:id="rId36" w:tgtFrame="_new" w:history="1">
        <w:r w:rsidRPr="00DB480E">
          <w:rPr>
            <w:rStyle w:val="Hyperlink"/>
            <w:color w:val="000000" w:themeColor="text1"/>
            <w:u w:val="none"/>
          </w:rPr>
          <w:t>https://doi.org/10.1016/j.foodchem.2015.01.090</w:t>
        </w:r>
      </w:hyperlink>
    </w:p>
    <w:p w14:paraId="63966100" w14:textId="77777777" w:rsidR="00441B6F" w:rsidRDefault="00441B6F" w:rsidP="00441B6F">
      <w:pPr>
        <w:pStyle w:val="Body"/>
        <w:spacing w:after="0"/>
        <w:jc w:val="left"/>
        <w:rPr>
          <w:rFonts w:ascii="Arial" w:hAnsi="Arial" w:cs="Arial"/>
        </w:rPr>
      </w:pPr>
    </w:p>
    <w:p w14:paraId="1B14277A" w14:textId="77777777" w:rsidR="00B01FCD" w:rsidRPr="00FB3A86" w:rsidRDefault="00B01FCD" w:rsidP="00441B6F">
      <w:pPr>
        <w:pStyle w:val="Reference"/>
        <w:numPr>
          <w:ilvl w:val="0"/>
          <w:numId w:val="0"/>
        </w:numPr>
        <w:spacing w:line="240" w:lineRule="auto"/>
        <w:rPr>
          <w:rFonts w:ascii="Arial" w:hAnsi="Arial" w:cs="Arial"/>
        </w:rPr>
      </w:pPr>
    </w:p>
    <w:p w14:paraId="6F3B2B10"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4BF00A69"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DW</w:t>
      </w:r>
      <w:r w:rsidRPr="0061301E">
        <w:rPr>
          <w:rFonts w:ascii="Arial" w:hAnsi="Arial" w:cs="Arial"/>
        </w:rPr>
        <w:t>: Dry Weight</w:t>
      </w:r>
    </w:p>
    <w:p w14:paraId="52CC32E3"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FW</w:t>
      </w:r>
      <w:r w:rsidRPr="0061301E">
        <w:rPr>
          <w:rFonts w:ascii="Arial" w:hAnsi="Arial" w:cs="Arial"/>
        </w:rPr>
        <w:t>: Fresh Weight</w:t>
      </w:r>
    </w:p>
    <w:p w14:paraId="7EC91902"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UV–Vis</w:t>
      </w:r>
      <w:r w:rsidRPr="0061301E">
        <w:rPr>
          <w:rFonts w:ascii="Arial" w:hAnsi="Arial" w:cs="Arial"/>
        </w:rPr>
        <w:t>: Ultraviolet–Visible Spectroscopy</w:t>
      </w:r>
    </w:p>
    <w:p w14:paraId="03D16D2C"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HPLC</w:t>
      </w:r>
      <w:r w:rsidRPr="0061301E">
        <w:rPr>
          <w:rFonts w:ascii="Arial" w:hAnsi="Arial" w:cs="Arial"/>
        </w:rPr>
        <w:t>: High-Performance Liquid Chromatography</w:t>
      </w:r>
    </w:p>
    <w:p w14:paraId="1455E5D0"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AOAC</w:t>
      </w:r>
      <w:r w:rsidRPr="0061301E">
        <w:rPr>
          <w:rFonts w:ascii="Arial" w:hAnsi="Arial" w:cs="Arial"/>
        </w:rPr>
        <w:t>: Association of Official Analytical Chemists</w:t>
      </w:r>
    </w:p>
    <w:p w14:paraId="3E5E1236"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SPF</w:t>
      </w:r>
      <w:r w:rsidRPr="0061301E">
        <w:rPr>
          <w:rFonts w:ascii="Arial" w:hAnsi="Arial" w:cs="Arial"/>
        </w:rPr>
        <w:t>: Sun Protection Factor</w:t>
      </w:r>
    </w:p>
    <w:p w14:paraId="39ED7D8E" w14:textId="77777777" w:rsidR="0061301E" w:rsidRPr="0061301E" w:rsidRDefault="0061301E" w:rsidP="0061301E">
      <w:pPr>
        <w:pStyle w:val="Body"/>
        <w:spacing w:after="0"/>
        <w:ind w:firstLine="567"/>
        <w:rPr>
          <w:rFonts w:ascii="Arial" w:hAnsi="Arial" w:cs="Arial"/>
        </w:rPr>
      </w:pPr>
      <w:r w:rsidRPr="0061301E">
        <w:rPr>
          <w:rFonts w:ascii="Arial" w:hAnsi="Arial" w:cs="Arial"/>
          <w:bCs/>
        </w:rPr>
        <w:t>AE</w:t>
      </w:r>
      <w:r w:rsidRPr="0061301E">
        <w:rPr>
          <w:rFonts w:ascii="Arial" w:hAnsi="Arial" w:cs="Arial"/>
        </w:rPr>
        <w:t>: Gallic Acid Equivalents</w:t>
      </w:r>
    </w:p>
    <w:p w14:paraId="66F6858D" w14:textId="77777777" w:rsidR="00B01FCD" w:rsidRPr="0061301E" w:rsidRDefault="0061301E" w:rsidP="0061301E">
      <w:pPr>
        <w:pStyle w:val="Body"/>
        <w:spacing w:after="0"/>
        <w:ind w:firstLine="567"/>
        <w:rPr>
          <w:rFonts w:ascii="Arial" w:hAnsi="Arial" w:cs="Arial"/>
        </w:rPr>
      </w:pPr>
      <w:r w:rsidRPr="0061301E">
        <w:rPr>
          <w:rFonts w:ascii="Arial" w:hAnsi="Arial" w:cs="Arial"/>
          <w:bCs/>
        </w:rPr>
        <w:t>ANOVA</w:t>
      </w:r>
      <w:r w:rsidRPr="0061301E">
        <w:rPr>
          <w:rFonts w:ascii="Arial" w:hAnsi="Arial" w:cs="Arial"/>
        </w:rPr>
        <w:t>: Analysis of Variance</w:t>
      </w:r>
    </w:p>
    <w:sectPr w:rsidR="00B01FCD" w:rsidRPr="0061301E" w:rsidSect="00EA175B">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B00CC" w14:textId="77777777" w:rsidR="007B7AA4" w:rsidRDefault="007B7AA4" w:rsidP="00C37E61">
      <w:r>
        <w:separator/>
      </w:r>
    </w:p>
  </w:endnote>
  <w:endnote w:type="continuationSeparator" w:id="0">
    <w:p w14:paraId="2F36911F" w14:textId="77777777" w:rsidR="007B7AA4" w:rsidRDefault="007B7A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AC62" w14:textId="77777777" w:rsidR="00EA175B" w:rsidRDefault="00EA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BB4C" w14:textId="77777777" w:rsidR="00EA175B" w:rsidRDefault="00EA1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B814" w14:textId="7BBD5853" w:rsidR="00DB480E" w:rsidRPr="00EB65B8" w:rsidRDefault="00DB480E" w:rsidP="00EB65B8">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C6EE" w14:textId="77777777" w:rsidR="00DB480E" w:rsidRPr="00C37E61" w:rsidRDefault="00DB48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130AC" w14:textId="77777777" w:rsidR="007B7AA4" w:rsidRDefault="007B7AA4" w:rsidP="00C37E61">
      <w:r>
        <w:separator/>
      </w:r>
    </w:p>
  </w:footnote>
  <w:footnote w:type="continuationSeparator" w:id="0">
    <w:p w14:paraId="6747003C" w14:textId="77777777" w:rsidR="007B7AA4" w:rsidRDefault="007B7A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E20EE" w14:textId="14D0E839" w:rsidR="00EA175B" w:rsidRDefault="00EA175B">
    <w:pPr>
      <w:pStyle w:val="Header"/>
    </w:pPr>
    <w:r>
      <w:rPr>
        <w:noProof/>
      </w:rPr>
      <w:pict w14:anchorId="0543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8966" w14:textId="51930A97" w:rsidR="00EA175B" w:rsidRDefault="00EA175B">
    <w:pPr>
      <w:pStyle w:val="Header"/>
    </w:pPr>
    <w:r>
      <w:rPr>
        <w:noProof/>
      </w:rPr>
      <w:pict w14:anchorId="5FB58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751F" w14:textId="7873F55E" w:rsidR="00DB480E" w:rsidRPr="00296529" w:rsidRDefault="00EA175B" w:rsidP="00296529">
    <w:pPr>
      <w:ind w:left="2160"/>
      <w:jc w:val="center"/>
      <w:rPr>
        <w:rFonts w:ascii="Times New Roman" w:eastAsia="Calibri" w:hAnsi="Times New Roman"/>
        <w:i/>
        <w:sz w:val="18"/>
        <w:szCs w:val="22"/>
      </w:rPr>
    </w:pPr>
    <w:r>
      <w:rPr>
        <w:noProof/>
      </w:rPr>
      <w:pict w14:anchorId="5B196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BC19BA" w14:textId="77777777" w:rsidR="00DB480E" w:rsidRPr="00296529" w:rsidRDefault="00DB48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33CAF6" w14:textId="77777777" w:rsidR="00DB480E" w:rsidRPr="00296529" w:rsidRDefault="00DB48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FE29C5" w14:textId="77777777" w:rsidR="00DB480E" w:rsidRPr="00296529" w:rsidRDefault="00DB48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951B59" w14:textId="77777777" w:rsidR="00DB480E" w:rsidRDefault="00DB48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46E254" w14:textId="77777777" w:rsidR="00DB480E" w:rsidRDefault="00DB48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5655E72" w14:textId="77777777" w:rsidR="00DB480E" w:rsidRDefault="00DB48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8A731" w14:textId="54E4230D" w:rsidR="00EA175B" w:rsidRDefault="00EA175B">
    <w:pPr>
      <w:pStyle w:val="Header"/>
    </w:pPr>
    <w:r>
      <w:rPr>
        <w:noProof/>
      </w:rPr>
      <w:pict w14:anchorId="4EF98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80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287E" w14:textId="2361DBA0" w:rsidR="00EA175B" w:rsidRDefault="00EA175B">
    <w:pPr>
      <w:pStyle w:val="Header"/>
    </w:pPr>
    <w:r>
      <w:rPr>
        <w:noProof/>
      </w:rPr>
      <w:pict w14:anchorId="2DE41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80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97B6" w14:textId="08149D84" w:rsidR="00EA175B" w:rsidRDefault="00EA175B">
    <w:pPr>
      <w:pStyle w:val="Header"/>
    </w:pPr>
    <w:r>
      <w:rPr>
        <w:noProof/>
      </w:rPr>
      <w:pict w14:anchorId="5B55D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5479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4E2"/>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352D"/>
    <w:rsid w:val="00371FB6"/>
    <w:rsid w:val="003763C1"/>
    <w:rsid w:val="00376BBE"/>
    <w:rsid w:val="0039224F"/>
    <w:rsid w:val="003A43A4"/>
    <w:rsid w:val="003A7E18"/>
    <w:rsid w:val="003C4C86"/>
    <w:rsid w:val="003C6258"/>
    <w:rsid w:val="003E2904"/>
    <w:rsid w:val="00401927"/>
    <w:rsid w:val="0041027F"/>
    <w:rsid w:val="00412475"/>
    <w:rsid w:val="004172D4"/>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D3C39"/>
    <w:rsid w:val="005E5539"/>
    <w:rsid w:val="00602BF5"/>
    <w:rsid w:val="0061301E"/>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7AA4"/>
    <w:rsid w:val="007D2288"/>
    <w:rsid w:val="007D5507"/>
    <w:rsid w:val="007E088F"/>
    <w:rsid w:val="007F7B32"/>
    <w:rsid w:val="00804BC2"/>
    <w:rsid w:val="0081431A"/>
    <w:rsid w:val="0083216F"/>
    <w:rsid w:val="00860000"/>
    <w:rsid w:val="00863BD3"/>
    <w:rsid w:val="008641ED"/>
    <w:rsid w:val="00866D66"/>
    <w:rsid w:val="008671C6"/>
    <w:rsid w:val="00875803"/>
    <w:rsid w:val="008B459E"/>
    <w:rsid w:val="008C04B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7195"/>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480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175B"/>
    <w:rsid w:val="00EB2660"/>
    <w:rsid w:val="00EB65B8"/>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9DE3F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635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D3C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6352D"/>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36352D"/>
    <w:rPr>
      <w:rFonts w:ascii="Times New Roman" w:hAnsi="Times New Roman"/>
      <w:sz w:val="24"/>
      <w:szCs w:val="24"/>
    </w:rPr>
  </w:style>
  <w:style w:type="character" w:styleId="Strong">
    <w:name w:val="Strong"/>
    <w:basedOn w:val="DefaultParagraphFont"/>
    <w:uiPriority w:val="22"/>
    <w:qFormat/>
    <w:rsid w:val="0036352D"/>
    <w:rPr>
      <w:b/>
      <w:bCs/>
    </w:rPr>
  </w:style>
  <w:style w:type="character" w:customStyle="1" w:styleId="Heading3Char">
    <w:name w:val="Heading 3 Char"/>
    <w:basedOn w:val="DefaultParagraphFont"/>
    <w:link w:val="Heading3"/>
    <w:semiHidden/>
    <w:rsid w:val="005D3C3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D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3372020">
      <w:bodyDiv w:val="1"/>
      <w:marLeft w:val="0"/>
      <w:marRight w:val="0"/>
      <w:marTop w:val="0"/>
      <w:marBottom w:val="0"/>
      <w:divBdr>
        <w:top w:val="none" w:sz="0" w:space="0" w:color="auto"/>
        <w:left w:val="none" w:sz="0" w:space="0" w:color="auto"/>
        <w:bottom w:val="none" w:sz="0" w:space="0" w:color="auto"/>
        <w:right w:val="none" w:sz="0" w:space="0" w:color="auto"/>
      </w:divBdr>
    </w:div>
    <w:div w:id="9734876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81322863">
      <w:bodyDiv w:val="1"/>
      <w:marLeft w:val="0"/>
      <w:marRight w:val="0"/>
      <w:marTop w:val="0"/>
      <w:marBottom w:val="0"/>
      <w:divBdr>
        <w:top w:val="none" w:sz="0" w:space="0" w:color="auto"/>
        <w:left w:val="none" w:sz="0" w:space="0" w:color="auto"/>
        <w:bottom w:val="none" w:sz="0" w:space="0" w:color="auto"/>
        <w:right w:val="none" w:sz="0" w:space="0" w:color="auto"/>
      </w:divBdr>
    </w:div>
    <w:div w:id="15693435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25740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molecules27165339" TargetMode="External"/><Relationship Id="rId26" Type="http://schemas.openxmlformats.org/officeDocument/2006/relationships/hyperlink" Target="https://doi.org/10.1016/j.foodchem.2016.03.033" TargetMode="External"/><Relationship Id="rId39" Type="http://schemas.openxmlformats.org/officeDocument/2006/relationships/footer" Target="footer4.xml"/><Relationship Id="rId21" Type="http://schemas.openxmlformats.org/officeDocument/2006/relationships/hyperlink" Target="https://doi.org/10.1155/2023/3166524" TargetMode="External"/><Relationship Id="rId34" Type="http://schemas.openxmlformats.org/officeDocument/2006/relationships/hyperlink" Target="https://doi.org/10.3390/foods1120317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ao.org/3/cb3706en/cb3706en.pdf" TargetMode="External"/><Relationship Id="rId20" Type="http://schemas.openxmlformats.org/officeDocument/2006/relationships/hyperlink" Target="https://doi.org/10.1002/0471142913.faf0403s01" TargetMode="External"/><Relationship Id="rId29" Type="http://schemas.openxmlformats.org/officeDocument/2006/relationships/hyperlink" Target="https://doi.org/10.1016/j.ecoleng.2008.12.01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heliyon.2024.e39880" TargetMode="External"/><Relationship Id="rId32" Type="http://schemas.openxmlformats.org/officeDocument/2006/relationships/hyperlink" Target="https://www.tridge.com/news/vietnam-focuses-on-higher-quality-bananas-ai-zuculy?utm_source=chatgpt.com"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80/15440478.2023.2168821" TargetMode="External"/><Relationship Id="rId23" Type="http://schemas.openxmlformats.org/officeDocument/2006/relationships/hyperlink" Target="https://doi.org/10.1016/j.foodres.2018.05.028" TargetMode="External"/><Relationship Id="rId28" Type="http://schemas.openxmlformats.org/officeDocument/2006/relationships/hyperlink" Target="https://doi.org/10.1002/ptr.5642" TargetMode="External"/><Relationship Id="rId36" Type="http://schemas.openxmlformats.org/officeDocument/2006/relationships/hyperlink" Target="https://doi.org/10.1016/j.foodchem.2015.01.090" TargetMode="External"/><Relationship Id="rId10" Type="http://schemas.openxmlformats.org/officeDocument/2006/relationships/footer" Target="footer1.xml"/><Relationship Id="rId19" Type="http://schemas.openxmlformats.org/officeDocument/2006/relationships/hyperlink" Target="https://doi.org/10.1016/S0308-8146(02)00423-5" TargetMode="External"/><Relationship Id="rId31" Type="http://schemas.openxmlformats.org/officeDocument/2006/relationships/hyperlink" Target="https://doi.org/10.3390/polym151226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11/j.1365-2621.2007.01668.x" TargetMode="External"/><Relationship Id="rId22" Type="http://schemas.openxmlformats.org/officeDocument/2006/relationships/hyperlink" Target="https://doi.org/10.1007/s00217-024-04545-5" TargetMode="External"/><Relationship Id="rId27" Type="http://schemas.openxmlformats.org/officeDocument/2006/relationships/hyperlink" Target="https://doi.org/10.1016/j.biortech.2008.03.034" TargetMode="External"/><Relationship Id="rId30" Type="http://schemas.openxmlformats.org/officeDocument/2006/relationships/hyperlink" Target="https://doi.org/10.1016/j.tifs.2003.07.004" TargetMode="External"/><Relationship Id="rId35" Type="http://schemas.openxmlformats.org/officeDocument/2006/relationships/hyperlink" Target="https://www.who.int/news-room/fact-sheets/detail/healthy-diet"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freshplaza.com/north-america/article/9752342/vietnam-grows-banana-and-coconut-exports?utm_source=chatgpt.com" TargetMode="External"/><Relationship Id="rId25" Type="http://schemas.openxmlformats.org/officeDocument/2006/relationships/hyperlink" Target="https://doi.org/10.1016/S0076-6879(99)99017-1" TargetMode="External"/><Relationship Id="rId33" Type="http://schemas.openxmlformats.org/officeDocument/2006/relationships/hyperlink" Target="https://doi.org/10.3168/jds.S0022-0302(91)78551-2"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0E29-7578-4021-99B1-6560694E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10</Pages>
  <Words>6302</Words>
  <Characters>35923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2025-09-24T09:51:00Z</dcterms:modified>
</cp:coreProperties>
</file>