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DADA7" w14:textId="2BF31853" w:rsidR="00C81973" w:rsidRPr="0054404D" w:rsidRDefault="00C81973" w:rsidP="00C81973">
      <w:pPr>
        <w:pStyle w:val="Author"/>
        <w:spacing w:line="240" w:lineRule="auto"/>
        <w:rPr>
          <w:rFonts w:ascii="Arial" w:hAnsi="Arial" w:cs="Arial"/>
          <w:bCs/>
          <w:iCs/>
          <w:kern w:val="28"/>
          <w:sz w:val="36"/>
        </w:rPr>
      </w:pPr>
      <w:r w:rsidRPr="00C81973">
        <w:rPr>
          <w:rFonts w:ascii="Arial" w:hAnsi="Arial" w:cs="Arial"/>
          <w:bCs/>
          <w:iCs/>
          <w:kern w:val="28"/>
          <w:sz w:val="36"/>
        </w:rPr>
        <w:t>Clinical and Sociodemographic Characteristics of Patients with Diabetes in Primary Care Services</w:t>
      </w:r>
    </w:p>
    <w:p w14:paraId="30FBC0B4" w14:textId="77777777" w:rsidR="00C81973" w:rsidRPr="0054404D" w:rsidRDefault="00C81973" w:rsidP="00C81973">
      <w:pPr>
        <w:pStyle w:val="Author"/>
        <w:spacing w:line="240" w:lineRule="auto"/>
        <w:jc w:val="both"/>
        <w:rPr>
          <w:rFonts w:ascii="Arial" w:hAnsi="Arial" w:cs="Arial"/>
          <w:sz w:val="36"/>
        </w:rPr>
      </w:pPr>
    </w:p>
    <w:p w14:paraId="154407BE" w14:textId="280268DF" w:rsidR="00C81973" w:rsidRDefault="00C81973" w:rsidP="00C81973">
      <w:pPr>
        <w:pStyle w:val="Affiliation"/>
        <w:spacing w:after="0" w:line="240" w:lineRule="auto"/>
        <w:jc w:val="both"/>
        <w:rPr>
          <w:rFonts w:ascii="Arial" w:hAnsi="Arial" w:cs="Arial"/>
          <w:lang w:val="es-MX"/>
        </w:rPr>
      </w:pPr>
    </w:p>
    <w:p w14:paraId="7F7DFE63" w14:textId="77777777" w:rsidR="00EA4BA5" w:rsidRPr="004F2964" w:rsidRDefault="00EA4BA5" w:rsidP="00C81973">
      <w:pPr>
        <w:pStyle w:val="Affiliation"/>
        <w:spacing w:after="0" w:line="240" w:lineRule="auto"/>
        <w:jc w:val="both"/>
        <w:rPr>
          <w:rFonts w:ascii="Arial" w:hAnsi="Arial" w:cs="Arial"/>
          <w:lang w:val="es-MX"/>
        </w:rPr>
      </w:pPr>
    </w:p>
    <w:p w14:paraId="6DE9B22D" w14:textId="77777777" w:rsidR="00C81973" w:rsidRPr="0054404D" w:rsidRDefault="00C81973" w:rsidP="00C81973">
      <w:pPr>
        <w:pStyle w:val="Copyright"/>
        <w:spacing w:after="0" w:line="240" w:lineRule="auto"/>
        <w:jc w:val="both"/>
        <w:rPr>
          <w:rFonts w:ascii="Arial" w:hAnsi="Arial" w:cs="Arial"/>
        </w:rPr>
        <w:sectPr w:rsidR="00C81973" w:rsidRPr="0054404D" w:rsidSect="00EA4BA5">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326"/>
        </w:sectPr>
      </w:pPr>
      <w:r w:rsidRPr="0054404D">
        <w:rPr>
          <w:rFonts w:ascii="Arial" w:hAnsi="Arial" w:cs="Arial"/>
          <w:noProof/>
          <w:lang w:val="es-MX" w:eastAsia="es-MX"/>
        </w:rPr>
        <mc:AlternateContent>
          <mc:Choice Requires="wps">
            <w:drawing>
              <wp:inline distT="0" distB="0" distL="0" distR="0" wp14:anchorId="5295EB67" wp14:editId="5C74AB07">
                <wp:extent cx="5303520" cy="635"/>
                <wp:effectExtent l="13335" t="18415" r="17145" b="10160"/>
                <wp:docPr id="17957601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5ADCF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4404D">
        <w:rPr>
          <w:rFonts w:ascii="Arial" w:hAnsi="Arial" w:cs="Arial"/>
        </w:rPr>
        <w:t>.</w:t>
      </w:r>
    </w:p>
    <w:p w14:paraId="3965645B" w14:textId="77777777" w:rsidR="00C81973" w:rsidRPr="0054404D" w:rsidRDefault="00C81973" w:rsidP="00C81973">
      <w:pPr>
        <w:pStyle w:val="AbstHead"/>
        <w:spacing w:after="0"/>
        <w:jc w:val="both"/>
        <w:rPr>
          <w:rFonts w:ascii="Arial" w:hAnsi="Arial" w:cs="Arial"/>
        </w:rPr>
      </w:pPr>
      <w:r w:rsidRPr="0054404D">
        <w:rPr>
          <w:rFonts w:ascii="Arial" w:hAnsi="Arial" w:cs="Arial"/>
        </w:rPr>
        <w:t>ABSTRACT</w:t>
      </w:r>
    </w:p>
    <w:p w14:paraId="01C7C237" w14:textId="77777777" w:rsidR="00C81973" w:rsidRPr="0054404D" w:rsidRDefault="00C81973" w:rsidP="00C8197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81973" w:rsidRPr="0054404D" w14:paraId="6CAD2BA0" w14:textId="77777777" w:rsidTr="007C3C17">
        <w:tc>
          <w:tcPr>
            <w:tcW w:w="9576" w:type="dxa"/>
            <w:shd w:val="clear" w:color="auto" w:fill="F2F2F2"/>
          </w:tcPr>
          <w:p w14:paraId="67727293" w14:textId="60329815"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szCs w:val="22"/>
              </w:rPr>
              <w:t xml:space="preserve">Aims: </w:t>
            </w:r>
            <w:r w:rsidR="0017470F" w:rsidRPr="00A559B7">
              <w:rPr>
                <w:rFonts w:ascii="Arial" w:hAnsi="Arial" w:cs="Arial"/>
              </w:rPr>
              <w:t>To establish the sociodemographic, clinical characteristics, and epidemiological profile of the population with diabetes served in a primary care unit in Mexico City.</w:t>
            </w:r>
          </w:p>
          <w:p w14:paraId="2CA24CE5" w14:textId="559F9289"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szCs w:val="22"/>
              </w:rPr>
              <w:t>Study design:</w:t>
            </w:r>
            <w:r w:rsidRPr="0054404D">
              <w:rPr>
                <w:rFonts w:ascii="Arial" w:eastAsia="Calibri" w:hAnsi="Arial" w:cs="Arial"/>
                <w:szCs w:val="22"/>
              </w:rPr>
              <w:t xml:space="preserve">  </w:t>
            </w:r>
            <w:r w:rsidRPr="00843E4B">
              <w:rPr>
                <w:rFonts w:ascii="Arial" w:eastAsia="Calibri" w:hAnsi="Arial" w:cs="Arial"/>
                <w:szCs w:val="22"/>
              </w:rPr>
              <w:t xml:space="preserve">A </w:t>
            </w:r>
            <w:r w:rsidR="0017470F" w:rsidRPr="0017470F">
              <w:rPr>
                <w:rFonts w:ascii="Arial" w:eastAsia="Calibri" w:hAnsi="Arial" w:cs="Arial"/>
                <w:szCs w:val="22"/>
              </w:rPr>
              <w:t>population-based, cross-sectional, and analytical investigation using a previously published secondary dataset</w:t>
            </w:r>
            <w:r w:rsidRPr="00843E4B">
              <w:rPr>
                <w:rFonts w:ascii="Arial" w:eastAsia="Calibri" w:hAnsi="Arial" w:cs="Arial"/>
                <w:szCs w:val="22"/>
              </w:rPr>
              <w:t xml:space="preserve"> was designed</w:t>
            </w:r>
            <w:r>
              <w:rPr>
                <w:rFonts w:ascii="Arial" w:eastAsia="Calibri" w:hAnsi="Arial" w:cs="Arial"/>
                <w:szCs w:val="22"/>
              </w:rPr>
              <w:t>.</w:t>
            </w:r>
          </w:p>
          <w:p w14:paraId="696CAF5A" w14:textId="26E47F1F"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szCs w:val="22"/>
              </w:rPr>
              <w:t>Place and Duration of Study:</w:t>
            </w:r>
            <w:r w:rsidRPr="0054404D">
              <w:rPr>
                <w:rFonts w:ascii="Arial" w:eastAsia="Calibri" w:hAnsi="Arial" w:cs="Arial"/>
                <w:szCs w:val="22"/>
              </w:rPr>
              <w:t xml:space="preserve"> </w:t>
            </w:r>
            <w:r w:rsidRPr="001F2314">
              <w:rPr>
                <w:rFonts w:ascii="Arial" w:eastAsia="Calibri" w:hAnsi="Arial" w:cs="Arial"/>
                <w:szCs w:val="22"/>
              </w:rPr>
              <w:t xml:space="preserve">Ambulatory Care Medical Unit. The study was conducted </w:t>
            </w:r>
            <w:r>
              <w:rPr>
                <w:rFonts w:ascii="Arial" w:eastAsia="Calibri" w:hAnsi="Arial" w:cs="Arial"/>
                <w:szCs w:val="22"/>
              </w:rPr>
              <w:t>from</w:t>
            </w:r>
            <w:r w:rsidR="0017470F" w:rsidRPr="00484917">
              <w:rPr>
                <w:rFonts w:ascii="Arial" w:hAnsi="Arial" w:cs="Arial"/>
              </w:rPr>
              <w:t xml:space="preserve"> 1st January to 31st July</w:t>
            </w:r>
            <w:r w:rsidRPr="00843E4B">
              <w:rPr>
                <w:rFonts w:ascii="Arial" w:eastAsia="Calibri" w:hAnsi="Arial" w:cs="Arial"/>
                <w:szCs w:val="22"/>
              </w:rPr>
              <w:t>, 202</w:t>
            </w:r>
            <w:r w:rsidR="0017470F">
              <w:rPr>
                <w:rFonts w:ascii="Arial" w:eastAsia="Calibri" w:hAnsi="Arial" w:cs="Arial"/>
                <w:szCs w:val="22"/>
              </w:rPr>
              <w:t>5</w:t>
            </w:r>
            <w:r w:rsidRPr="001F2314">
              <w:rPr>
                <w:rFonts w:ascii="Arial" w:eastAsia="Calibri" w:hAnsi="Arial" w:cs="Arial"/>
                <w:szCs w:val="22"/>
              </w:rPr>
              <w:t xml:space="preserve">, with </w:t>
            </w:r>
            <w:r w:rsidRPr="009D6997">
              <w:rPr>
                <w:rFonts w:ascii="Arial" w:eastAsia="Calibri" w:hAnsi="Arial" w:cs="Arial"/>
                <w:szCs w:val="22"/>
              </w:rPr>
              <w:t>Mexican patients attending outpatient consultations in the Family Medicine Specialty and General Medicine departments at the "División del Norte" Family Medicine Clinic, ISSSTE, in Mexico City, Mexico</w:t>
            </w:r>
            <w:r>
              <w:rPr>
                <w:rFonts w:ascii="Arial" w:eastAsia="Calibri" w:hAnsi="Arial" w:cs="Arial"/>
                <w:szCs w:val="22"/>
              </w:rPr>
              <w:t xml:space="preserve">. </w:t>
            </w:r>
            <w:r w:rsidRPr="009D6997">
              <w:rPr>
                <w:rFonts w:ascii="Arial" w:eastAsia="Calibri" w:hAnsi="Arial" w:cs="Arial"/>
                <w:szCs w:val="22"/>
              </w:rPr>
              <w:t>The data collection was since January to December, 2022.</w:t>
            </w:r>
          </w:p>
          <w:p w14:paraId="098FF873" w14:textId="77777777" w:rsidR="00C81973" w:rsidRPr="0054404D" w:rsidRDefault="00C81973" w:rsidP="007C3C17">
            <w:pPr>
              <w:pStyle w:val="Body"/>
              <w:spacing w:after="0"/>
              <w:rPr>
                <w:rFonts w:ascii="Arial" w:eastAsia="Calibri" w:hAnsi="Arial" w:cs="Arial"/>
                <w:szCs w:val="22"/>
              </w:rPr>
            </w:pPr>
            <w:r w:rsidRPr="0054404D">
              <w:rPr>
                <w:rFonts w:ascii="Arial" w:eastAsia="Calibri" w:hAnsi="Arial" w:cs="Arial"/>
                <w:b/>
                <w:bCs/>
                <w:szCs w:val="22"/>
              </w:rPr>
              <w:t>Methodology:</w:t>
            </w:r>
            <w:r w:rsidRPr="0054404D">
              <w:rPr>
                <w:rFonts w:ascii="Arial" w:eastAsia="Calibri" w:hAnsi="Arial" w:cs="Arial"/>
                <w:szCs w:val="22"/>
              </w:rPr>
              <w:t xml:space="preserve"> Data on </w:t>
            </w:r>
            <w:r>
              <w:rPr>
                <w:rFonts w:ascii="Arial" w:eastAsia="Calibri" w:hAnsi="Arial" w:cs="Arial"/>
                <w:szCs w:val="22"/>
              </w:rPr>
              <w:t>health and sociodemographic variables</w:t>
            </w:r>
            <w:r w:rsidRPr="0054404D">
              <w:rPr>
                <w:rFonts w:ascii="Arial" w:eastAsia="Calibri" w:hAnsi="Arial" w:cs="Arial"/>
                <w:szCs w:val="22"/>
              </w:rPr>
              <w:t xml:space="preserve"> were collected through a </w:t>
            </w:r>
            <w:r>
              <w:rPr>
                <w:rFonts w:ascii="Arial" w:eastAsia="Calibri" w:hAnsi="Arial" w:cs="Arial"/>
                <w:szCs w:val="22"/>
              </w:rPr>
              <w:t>retrospective</w:t>
            </w:r>
            <w:r w:rsidRPr="0054404D">
              <w:rPr>
                <w:rFonts w:ascii="Arial" w:eastAsia="Calibri" w:hAnsi="Arial" w:cs="Arial"/>
                <w:szCs w:val="22"/>
              </w:rPr>
              <w:t xml:space="preserve"> design</w:t>
            </w:r>
            <w:r>
              <w:rPr>
                <w:rFonts w:ascii="Arial" w:eastAsia="Calibri" w:hAnsi="Arial" w:cs="Arial"/>
                <w:szCs w:val="22"/>
              </w:rPr>
              <w:t>,</w:t>
            </w:r>
            <w:r w:rsidRPr="0054404D">
              <w:rPr>
                <w:rFonts w:ascii="Arial" w:eastAsia="Calibri" w:hAnsi="Arial" w:cs="Arial"/>
                <w:szCs w:val="22"/>
              </w:rPr>
              <w:t xml:space="preserve"> using </w:t>
            </w:r>
            <w:r w:rsidRPr="009D6997">
              <w:rPr>
                <w:rFonts w:ascii="Arial" w:eastAsia="Calibri" w:hAnsi="Arial" w:cs="Arial"/>
                <w:szCs w:val="22"/>
              </w:rPr>
              <w:t>medical records</w:t>
            </w:r>
            <w:r>
              <w:rPr>
                <w:rFonts w:ascii="Arial" w:eastAsia="Calibri" w:hAnsi="Arial" w:cs="Arial"/>
                <w:szCs w:val="22"/>
              </w:rPr>
              <w:t xml:space="preserve"> from the</w:t>
            </w:r>
            <w:r w:rsidRPr="00297E88">
              <w:rPr>
                <w:rFonts w:ascii="Arial" w:eastAsia="Calibri" w:hAnsi="Arial" w:cs="Arial"/>
                <w:szCs w:val="22"/>
              </w:rPr>
              <w:t xml:space="preserve"> Medical Financial Information System “SIMEF system”</w:t>
            </w:r>
            <w:r w:rsidRPr="0054404D">
              <w:rPr>
                <w:rFonts w:ascii="Arial" w:eastAsia="Calibri" w:hAnsi="Arial" w:cs="Arial"/>
                <w:szCs w:val="22"/>
              </w:rPr>
              <w:t>.</w:t>
            </w:r>
          </w:p>
          <w:p w14:paraId="733B04B4" w14:textId="6EA02A24" w:rsidR="00C81973" w:rsidRPr="00B26192" w:rsidRDefault="00C81973" w:rsidP="00CA652E">
            <w:pPr>
              <w:pStyle w:val="Body"/>
              <w:spacing w:after="0"/>
              <w:rPr>
                <w:rFonts w:ascii="Arial" w:eastAsia="Calibri" w:hAnsi="Arial" w:cs="Arial"/>
                <w:szCs w:val="22"/>
              </w:rPr>
            </w:pPr>
            <w:r w:rsidRPr="0054404D">
              <w:rPr>
                <w:rFonts w:ascii="Arial" w:eastAsia="Calibri" w:hAnsi="Arial" w:cs="Arial"/>
                <w:b/>
                <w:bCs/>
                <w:szCs w:val="22"/>
              </w:rPr>
              <w:t>Results:</w:t>
            </w:r>
            <w:r w:rsidRPr="0054404D">
              <w:rPr>
                <w:rFonts w:ascii="Arial" w:eastAsia="Calibri" w:hAnsi="Arial" w:cs="Arial"/>
                <w:szCs w:val="22"/>
              </w:rPr>
              <w:t xml:space="preserve"> </w:t>
            </w:r>
            <w:r w:rsidRPr="00CC0047">
              <w:rPr>
                <w:rFonts w:ascii="Arial" w:eastAsia="Calibri" w:hAnsi="Arial" w:cs="Arial"/>
                <w:szCs w:val="22"/>
              </w:rPr>
              <w:t xml:space="preserve">We included </w:t>
            </w:r>
            <w:r w:rsidRPr="003E6447">
              <w:rPr>
                <w:rFonts w:ascii="Arial" w:eastAsia="Calibri" w:hAnsi="Arial" w:cs="Arial"/>
                <w:szCs w:val="22"/>
              </w:rPr>
              <w:t>3,35</w:t>
            </w:r>
            <w:r w:rsidR="0017470F">
              <w:rPr>
                <w:rFonts w:ascii="Arial" w:eastAsia="Calibri" w:hAnsi="Arial" w:cs="Arial"/>
                <w:szCs w:val="22"/>
              </w:rPr>
              <w:t>6</w:t>
            </w:r>
            <w:r w:rsidRPr="003E6447">
              <w:rPr>
                <w:rFonts w:ascii="Arial" w:eastAsia="Calibri" w:hAnsi="Arial" w:cs="Arial"/>
                <w:szCs w:val="22"/>
              </w:rPr>
              <w:t xml:space="preserve"> patients</w:t>
            </w:r>
            <w:r w:rsidR="0017470F">
              <w:rPr>
                <w:rFonts w:ascii="Arial" w:eastAsia="Calibri" w:hAnsi="Arial" w:cs="Arial"/>
                <w:szCs w:val="22"/>
              </w:rPr>
              <w:t xml:space="preserve"> with diabetes</w:t>
            </w:r>
            <w:r w:rsidRPr="00290AF0">
              <w:rPr>
                <w:rFonts w:ascii="Arial" w:eastAsia="Calibri" w:hAnsi="Arial" w:cs="Arial"/>
                <w:szCs w:val="22"/>
              </w:rPr>
              <w:t xml:space="preserve">, mainly </w:t>
            </w:r>
            <w:r w:rsidR="0017470F" w:rsidRPr="0017470F">
              <w:rPr>
                <w:rFonts w:ascii="Arial" w:eastAsia="Calibri" w:hAnsi="Arial" w:cs="Arial"/>
                <w:szCs w:val="22"/>
              </w:rPr>
              <w:t>females (n=2,086; 58.7%) and people in their sixties (n=1,148; 32.3%). The average age was 64.39 years old (SD=12.26, median age=65 [IQR=56-73])</w:t>
            </w:r>
            <w:r w:rsidRPr="00290AF0">
              <w:rPr>
                <w:rFonts w:ascii="Arial" w:eastAsia="Calibri" w:hAnsi="Arial" w:cs="Arial"/>
                <w:szCs w:val="22"/>
              </w:rPr>
              <w:t xml:space="preserve">. </w:t>
            </w:r>
            <w:r w:rsidR="00E230F8" w:rsidRPr="00E230F8">
              <w:rPr>
                <w:rFonts w:ascii="Arial" w:eastAsia="Calibri" w:hAnsi="Arial" w:cs="Arial"/>
                <w:szCs w:val="22"/>
              </w:rPr>
              <w:t>Females predominated in most age groups (p = 0.010), especially in the 50–59 years group (511 females versus 313 males) and the 60–69 years group (658 versus 490). This dominance was also observed in the 70–79 years (481 versus 354) and 80–89 years (187 versus 138) groups. In contrast, males outnumbered females in the adolescent group (10–19 years, 7 versus 9).</w:t>
            </w:r>
            <w:r w:rsidR="00CA652E">
              <w:rPr>
                <w:rFonts w:ascii="Arial" w:eastAsia="Calibri" w:hAnsi="Arial" w:cs="Arial"/>
                <w:szCs w:val="22"/>
              </w:rPr>
              <w:t xml:space="preserve"> </w:t>
            </w:r>
            <w:r w:rsidR="00662BDA">
              <w:rPr>
                <w:rFonts w:ascii="Arial" w:eastAsia="Calibri" w:hAnsi="Arial" w:cs="Arial"/>
                <w:szCs w:val="22"/>
              </w:rPr>
              <w:t>In overall population, t</w:t>
            </w:r>
            <w:r w:rsidR="00CA652E" w:rsidRPr="00CA652E">
              <w:rPr>
                <w:rFonts w:ascii="Arial" w:eastAsia="Calibri" w:hAnsi="Arial" w:cs="Arial"/>
                <w:szCs w:val="22"/>
              </w:rPr>
              <w:t>he most prevalent comorbidities were:</w:t>
            </w:r>
            <w:r w:rsidR="00CA652E">
              <w:rPr>
                <w:rFonts w:ascii="Arial" w:eastAsia="Calibri" w:hAnsi="Arial" w:cs="Arial"/>
                <w:szCs w:val="22"/>
              </w:rPr>
              <w:t xml:space="preserve"> </w:t>
            </w:r>
            <w:r w:rsidR="00CA652E" w:rsidRPr="00CA652E">
              <w:rPr>
                <w:rFonts w:ascii="Arial" w:eastAsia="Calibri" w:hAnsi="Arial" w:cs="Arial"/>
                <w:szCs w:val="22"/>
              </w:rPr>
              <w:t>hypertension</w:t>
            </w:r>
            <w:r w:rsidR="00CA652E">
              <w:rPr>
                <w:rFonts w:ascii="Arial" w:eastAsia="Calibri" w:hAnsi="Arial" w:cs="Arial"/>
                <w:szCs w:val="22"/>
              </w:rPr>
              <w:t xml:space="preserve"> (</w:t>
            </w:r>
            <w:r w:rsidR="00CA652E" w:rsidRPr="00CA652E">
              <w:rPr>
                <w:rFonts w:ascii="Arial" w:eastAsia="Calibri" w:hAnsi="Arial" w:cs="Arial"/>
                <w:szCs w:val="22"/>
              </w:rPr>
              <w:t>59.81%</w:t>
            </w:r>
            <w:r w:rsidR="00CA652E">
              <w:rPr>
                <w:rFonts w:ascii="Arial" w:eastAsia="Calibri" w:hAnsi="Arial" w:cs="Arial"/>
                <w:szCs w:val="22"/>
              </w:rPr>
              <w:t>;</w:t>
            </w:r>
            <w:r w:rsidR="00CA652E" w:rsidRPr="00CA652E">
              <w:rPr>
                <w:rFonts w:ascii="Arial" w:eastAsia="Calibri" w:hAnsi="Arial" w:cs="Arial"/>
                <w:szCs w:val="22"/>
              </w:rPr>
              <w:t xml:space="preserve"> 58.16-61.44)</w:t>
            </w:r>
            <w:r w:rsidR="00CA652E">
              <w:rPr>
                <w:rFonts w:ascii="Arial" w:eastAsia="Calibri" w:hAnsi="Arial" w:cs="Arial"/>
                <w:szCs w:val="22"/>
              </w:rPr>
              <w:t>, dys</w:t>
            </w:r>
            <w:r w:rsidR="00CA652E" w:rsidRPr="00CA652E">
              <w:rPr>
                <w:rFonts w:ascii="Arial" w:eastAsia="Calibri" w:hAnsi="Arial" w:cs="Arial"/>
                <w:szCs w:val="22"/>
              </w:rPr>
              <w:t>lipidaemias</w:t>
            </w:r>
            <w:r w:rsidR="00CA652E">
              <w:rPr>
                <w:rFonts w:ascii="Arial" w:eastAsia="Calibri" w:hAnsi="Arial" w:cs="Arial"/>
                <w:szCs w:val="22"/>
              </w:rPr>
              <w:t xml:space="preserve"> (</w:t>
            </w:r>
            <w:r w:rsidR="00CA652E" w:rsidRPr="00CA652E">
              <w:rPr>
                <w:rFonts w:ascii="Arial" w:eastAsia="Calibri" w:hAnsi="Arial" w:cs="Arial"/>
                <w:szCs w:val="22"/>
              </w:rPr>
              <w:t>24.1%</w:t>
            </w:r>
            <w:r w:rsidR="00CA652E">
              <w:rPr>
                <w:rFonts w:ascii="Arial" w:eastAsia="Calibri" w:hAnsi="Arial" w:cs="Arial"/>
                <w:szCs w:val="22"/>
              </w:rPr>
              <w:t>;</w:t>
            </w:r>
            <w:r w:rsidR="00CA652E" w:rsidRPr="00CA652E">
              <w:rPr>
                <w:rFonts w:ascii="Arial" w:eastAsia="Calibri" w:hAnsi="Arial" w:cs="Arial"/>
                <w:szCs w:val="22"/>
              </w:rPr>
              <w:t xml:space="preserve"> 22.5-25.5)</w:t>
            </w:r>
            <w:r w:rsidR="00CA652E">
              <w:rPr>
                <w:rFonts w:ascii="Arial" w:eastAsia="Calibri" w:hAnsi="Arial" w:cs="Arial"/>
                <w:szCs w:val="22"/>
              </w:rPr>
              <w:t>, o</w:t>
            </w:r>
            <w:r w:rsidR="00CA652E" w:rsidRPr="00CA652E">
              <w:rPr>
                <w:rFonts w:ascii="Arial" w:eastAsia="Calibri" w:hAnsi="Arial" w:cs="Arial"/>
                <w:szCs w:val="22"/>
              </w:rPr>
              <w:t>besity</w:t>
            </w:r>
            <w:r w:rsidR="00CA652E">
              <w:rPr>
                <w:rFonts w:ascii="Arial" w:eastAsia="Calibri" w:hAnsi="Arial" w:cs="Arial"/>
                <w:szCs w:val="22"/>
              </w:rPr>
              <w:t xml:space="preserve"> (</w:t>
            </w:r>
            <w:r w:rsidR="00CA652E" w:rsidRPr="00CA652E">
              <w:rPr>
                <w:rFonts w:ascii="Arial" w:eastAsia="Calibri" w:hAnsi="Arial" w:cs="Arial"/>
                <w:szCs w:val="22"/>
              </w:rPr>
              <w:t>23.7%</w:t>
            </w:r>
            <w:r w:rsidR="00CA652E">
              <w:rPr>
                <w:rFonts w:ascii="Arial" w:eastAsia="Calibri" w:hAnsi="Arial" w:cs="Arial"/>
                <w:szCs w:val="22"/>
              </w:rPr>
              <w:t xml:space="preserve">; </w:t>
            </w:r>
            <w:r w:rsidR="00CA652E" w:rsidRPr="00CA652E">
              <w:rPr>
                <w:rFonts w:ascii="Arial" w:eastAsia="Calibri" w:hAnsi="Arial" w:cs="Arial"/>
                <w:szCs w:val="22"/>
              </w:rPr>
              <w:t>22.2-25.1)</w:t>
            </w:r>
            <w:r w:rsidR="00CA652E">
              <w:rPr>
                <w:rFonts w:ascii="Arial" w:eastAsia="Calibri" w:hAnsi="Arial" w:cs="Arial"/>
                <w:szCs w:val="22"/>
              </w:rPr>
              <w:t>, h</w:t>
            </w:r>
            <w:r w:rsidR="00CA652E" w:rsidRPr="00CA652E">
              <w:rPr>
                <w:rFonts w:ascii="Arial" w:eastAsia="Calibri" w:hAnsi="Arial" w:cs="Arial"/>
                <w:szCs w:val="22"/>
              </w:rPr>
              <w:t>ypothyroidism</w:t>
            </w:r>
            <w:r w:rsidR="00CA652E">
              <w:rPr>
                <w:rFonts w:ascii="Arial" w:eastAsia="Calibri" w:hAnsi="Arial" w:cs="Arial"/>
                <w:szCs w:val="22"/>
              </w:rPr>
              <w:t xml:space="preserve"> (</w:t>
            </w:r>
            <w:r w:rsidR="00CA652E" w:rsidRPr="00CA652E">
              <w:rPr>
                <w:rFonts w:ascii="Arial" w:eastAsia="Calibri" w:hAnsi="Arial" w:cs="Arial"/>
                <w:szCs w:val="22"/>
              </w:rPr>
              <w:t>8.38%</w:t>
            </w:r>
            <w:r w:rsidR="00CA652E">
              <w:rPr>
                <w:rFonts w:ascii="Arial" w:eastAsia="Calibri" w:hAnsi="Arial" w:cs="Arial"/>
                <w:szCs w:val="22"/>
              </w:rPr>
              <w:t>;</w:t>
            </w:r>
            <w:r w:rsidR="00CA652E" w:rsidRPr="00CA652E">
              <w:rPr>
                <w:rFonts w:ascii="Arial" w:eastAsia="Calibri" w:hAnsi="Arial" w:cs="Arial"/>
                <w:szCs w:val="22"/>
              </w:rPr>
              <w:t xml:space="preserve"> 7.45-9.34)</w:t>
            </w:r>
            <w:r w:rsidR="00CA652E">
              <w:rPr>
                <w:rFonts w:ascii="Arial" w:eastAsia="Calibri" w:hAnsi="Arial" w:cs="Arial"/>
                <w:szCs w:val="22"/>
              </w:rPr>
              <w:t>, v</w:t>
            </w:r>
            <w:r w:rsidR="00CA652E" w:rsidRPr="00CA652E">
              <w:rPr>
                <w:rFonts w:ascii="Arial" w:eastAsia="Calibri" w:hAnsi="Arial" w:cs="Arial"/>
                <w:szCs w:val="22"/>
              </w:rPr>
              <w:t>enous insufficiency (7.73%</w:t>
            </w:r>
            <w:r w:rsidR="00CA652E">
              <w:rPr>
                <w:rFonts w:ascii="Arial" w:eastAsia="Calibri" w:hAnsi="Arial" w:cs="Arial"/>
                <w:szCs w:val="22"/>
              </w:rPr>
              <w:t>;</w:t>
            </w:r>
            <w:r w:rsidR="00CA652E" w:rsidRPr="00CA652E">
              <w:rPr>
                <w:rFonts w:ascii="Arial" w:eastAsia="Calibri" w:hAnsi="Arial" w:cs="Arial"/>
                <w:szCs w:val="22"/>
              </w:rPr>
              <w:t xml:space="preserve"> 6.86-8.69)</w:t>
            </w:r>
            <w:r w:rsidR="00CA652E">
              <w:rPr>
                <w:rFonts w:ascii="Arial" w:eastAsia="Calibri" w:hAnsi="Arial" w:cs="Arial"/>
                <w:szCs w:val="22"/>
              </w:rPr>
              <w:t>, c</w:t>
            </w:r>
            <w:r w:rsidR="00CA652E" w:rsidRPr="00CA652E">
              <w:rPr>
                <w:rFonts w:ascii="Arial" w:eastAsia="Calibri" w:hAnsi="Arial" w:cs="Arial"/>
                <w:szCs w:val="22"/>
              </w:rPr>
              <w:t>hronic kidney disease</w:t>
            </w:r>
            <w:r w:rsidR="00CA652E">
              <w:rPr>
                <w:rFonts w:ascii="Arial" w:eastAsia="Calibri" w:hAnsi="Arial" w:cs="Arial"/>
                <w:szCs w:val="22"/>
              </w:rPr>
              <w:t xml:space="preserve"> (</w:t>
            </w:r>
            <w:r w:rsidR="00CA652E" w:rsidRPr="00CA652E">
              <w:rPr>
                <w:rFonts w:ascii="Arial" w:eastAsia="Calibri" w:hAnsi="Arial" w:cs="Arial"/>
                <w:szCs w:val="22"/>
              </w:rPr>
              <w:t>7.09%</w:t>
            </w:r>
            <w:r w:rsidR="00CA652E">
              <w:rPr>
                <w:rFonts w:ascii="Arial" w:eastAsia="Calibri" w:hAnsi="Arial" w:cs="Arial"/>
                <w:szCs w:val="22"/>
              </w:rPr>
              <w:t xml:space="preserve">; </w:t>
            </w:r>
            <w:r w:rsidR="00CA652E" w:rsidRPr="00CA652E">
              <w:rPr>
                <w:rFonts w:ascii="Arial" w:eastAsia="Calibri" w:hAnsi="Arial" w:cs="Arial"/>
                <w:szCs w:val="22"/>
              </w:rPr>
              <w:t>6.27-7.93)</w:t>
            </w:r>
            <w:r w:rsidR="00CA652E">
              <w:rPr>
                <w:rFonts w:ascii="Arial" w:eastAsia="Calibri" w:hAnsi="Arial" w:cs="Arial"/>
                <w:szCs w:val="22"/>
              </w:rPr>
              <w:t>, c</w:t>
            </w:r>
            <w:r w:rsidR="00CA652E" w:rsidRPr="00CA652E">
              <w:rPr>
                <w:rFonts w:ascii="Arial" w:eastAsia="Calibri" w:hAnsi="Arial" w:cs="Arial"/>
                <w:szCs w:val="22"/>
              </w:rPr>
              <w:t>hronic obstructive pulmonary disease</w:t>
            </w:r>
            <w:r w:rsidR="00CA652E">
              <w:rPr>
                <w:rFonts w:ascii="Arial" w:eastAsia="Calibri" w:hAnsi="Arial" w:cs="Arial"/>
                <w:szCs w:val="22"/>
              </w:rPr>
              <w:t xml:space="preserve"> (</w:t>
            </w:r>
            <w:r w:rsidR="00CA652E" w:rsidRPr="00CA652E">
              <w:rPr>
                <w:rFonts w:ascii="Arial" w:eastAsia="Calibri" w:hAnsi="Arial" w:cs="Arial"/>
                <w:szCs w:val="22"/>
              </w:rPr>
              <w:t>5.74%</w:t>
            </w:r>
            <w:r w:rsidR="00CA652E">
              <w:rPr>
                <w:rFonts w:ascii="Arial" w:eastAsia="Calibri" w:hAnsi="Arial" w:cs="Arial"/>
                <w:szCs w:val="22"/>
              </w:rPr>
              <w:t xml:space="preserve">; </w:t>
            </w:r>
            <w:r w:rsidR="00CA652E" w:rsidRPr="00CA652E">
              <w:rPr>
                <w:rFonts w:ascii="Arial" w:eastAsia="Calibri" w:hAnsi="Arial" w:cs="Arial"/>
                <w:szCs w:val="22"/>
              </w:rPr>
              <w:t>4.98-6.58)</w:t>
            </w:r>
            <w:r w:rsidR="00CA652E">
              <w:rPr>
                <w:rFonts w:ascii="Arial" w:eastAsia="Calibri" w:hAnsi="Arial" w:cs="Arial"/>
                <w:szCs w:val="22"/>
              </w:rPr>
              <w:t>, l</w:t>
            </w:r>
            <w:r w:rsidR="00CA652E" w:rsidRPr="00CA652E">
              <w:rPr>
                <w:rFonts w:ascii="Arial" w:eastAsia="Calibri" w:hAnsi="Arial" w:cs="Arial"/>
                <w:szCs w:val="22"/>
              </w:rPr>
              <w:t>ow back pain</w:t>
            </w:r>
            <w:r w:rsidR="00CA652E">
              <w:rPr>
                <w:rFonts w:ascii="Arial" w:eastAsia="Calibri" w:hAnsi="Arial" w:cs="Arial"/>
                <w:szCs w:val="22"/>
              </w:rPr>
              <w:t xml:space="preserve"> (</w:t>
            </w:r>
            <w:r w:rsidR="00CA652E" w:rsidRPr="00CA652E">
              <w:rPr>
                <w:rFonts w:ascii="Arial" w:eastAsia="Calibri" w:hAnsi="Arial" w:cs="Arial"/>
                <w:szCs w:val="22"/>
              </w:rPr>
              <w:t>5.29%</w:t>
            </w:r>
            <w:r w:rsidR="00CA652E">
              <w:rPr>
                <w:rFonts w:ascii="Arial" w:eastAsia="Calibri" w:hAnsi="Arial" w:cs="Arial"/>
                <w:szCs w:val="22"/>
              </w:rPr>
              <w:t>;</w:t>
            </w:r>
            <w:r w:rsidR="00CA652E" w:rsidRPr="00CA652E">
              <w:rPr>
                <w:rFonts w:ascii="Arial" w:eastAsia="Calibri" w:hAnsi="Arial" w:cs="Arial"/>
                <w:szCs w:val="22"/>
              </w:rPr>
              <w:t xml:space="preserve"> 4.5-6.02)</w:t>
            </w:r>
            <w:r w:rsidR="00CA652E">
              <w:rPr>
                <w:rFonts w:ascii="Arial" w:eastAsia="Calibri" w:hAnsi="Arial" w:cs="Arial"/>
                <w:szCs w:val="22"/>
              </w:rPr>
              <w:t>, d</w:t>
            </w:r>
            <w:r w:rsidR="00CA652E" w:rsidRPr="00CA652E">
              <w:rPr>
                <w:rFonts w:ascii="Arial" w:eastAsia="Calibri" w:hAnsi="Arial" w:cs="Arial"/>
                <w:szCs w:val="22"/>
              </w:rPr>
              <w:t>epressive episode</w:t>
            </w:r>
            <w:r w:rsidR="00CA652E">
              <w:rPr>
                <w:rFonts w:ascii="Arial" w:eastAsia="Calibri" w:hAnsi="Arial" w:cs="Arial"/>
                <w:szCs w:val="22"/>
              </w:rPr>
              <w:t xml:space="preserve"> (</w:t>
            </w:r>
            <w:r w:rsidR="00CA652E" w:rsidRPr="00CA652E">
              <w:rPr>
                <w:rFonts w:ascii="Arial" w:eastAsia="Calibri" w:hAnsi="Arial" w:cs="Arial"/>
                <w:szCs w:val="22"/>
              </w:rPr>
              <w:t>4.72%</w:t>
            </w:r>
            <w:r w:rsidR="00CA652E">
              <w:rPr>
                <w:rFonts w:ascii="Arial" w:eastAsia="Calibri" w:hAnsi="Arial" w:cs="Arial"/>
                <w:szCs w:val="22"/>
              </w:rPr>
              <w:t>;</w:t>
            </w:r>
            <w:r w:rsidR="00CA652E" w:rsidRPr="00CA652E">
              <w:rPr>
                <w:rFonts w:ascii="Arial" w:eastAsia="Calibri" w:hAnsi="Arial" w:cs="Arial"/>
                <w:szCs w:val="22"/>
              </w:rPr>
              <w:t xml:space="preserve"> 4.05-5.4)</w:t>
            </w:r>
            <w:r w:rsidR="00CA652E">
              <w:rPr>
                <w:rFonts w:ascii="Arial" w:eastAsia="Calibri" w:hAnsi="Arial" w:cs="Arial"/>
                <w:szCs w:val="22"/>
              </w:rPr>
              <w:t>, and p</w:t>
            </w:r>
            <w:r w:rsidR="00CA652E" w:rsidRPr="00CA652E">
              <w:rPr>
                <w:rFonts w:ascii="Arial" w:eastAsia="Calibri" w:hAnsi="Arial" w:cs="Arial"/>
                <w:szCs w:val="22"/>
              </w:rPr>
              <w:t>rediabetes</w:t>
            </w:r>
            <w:r w:rsidR="00CA652E">
              <w:rPr>
                <w:rFonts w:ascii="Arial" w:eastAsia="Calibri" w:hAnsi="Arial" w:cs="Arial"/>
                <w:szCs w:val="22"/>
              </w:rPr>
              <w:t xml:space="preserve"> (</w:t>
            </w:r>
            <w:r w:rsidR="00CA652E" w:rsidRPr="00CA652E">
              <w:rPr>
                <w:rFonts w:ascii="Arial" w:eastAsia="Calibri" w:hAnsi="Arial" w:cs="Arial"/>
                <w:szCs w:val="22"/>
              </w:rPr>
              <w:t>4.36%</w:t>
            </w:r>
            <w:r w:rsidR="00CA652E">
              <w:rPr>
                <w:rFonts w:ascii="Arial" w:eastAsia="Calibri" w:hAnsi="Arial" w:cs="Arial"/>
                <w:szCs w:val="22"/>
              </w:rPr>
              <w:t>;</w:t>
            </w:r>
            <w:r w:rsidR="00CA652E" w:rsidRPr="00CA652E">
              <w:rPr>
                <w:rFonts w:ascii="Arial" w:eastAsia="Calibri" w:hAnsi="Arial" w:cs="Arial"/>
                <w:szCs w:val="22"/>
              </w:rPr>
              <w:t xml:space="preserve"> 3.68-5.06)</w:t>
            </w:r>
            <w:r w:rsidR="00CA652E">
              <w:rPr>
                <w:rFonts w:ascii="Arial" w:eastAsia="Calibri" w:hAnsi="Arial" w:cs="Arial"/>
                <w:szCs w:val="22"/>
              </w:rPr>
              <w:t>.</w:t>
            </w:r>
            <w:r w:rsidR="00450B81">
              <w:t xml:space="preserve"> </w:t>
            </w:r>
            <w:r w:rsidR="00450B81" w:rsidRPr="00450B81">
              <w:rPr>
                <w:rFonts w:ascii="Arial" w:eastAsia="Calibri" w:hAnsi="Arial" w:cs="Arial"/>
                <w:szCs w:val="22"/>
              </w:rPr>
              <w:t>Across the life course, the profile of comorbidities in individuals with diabetes evolves. In adolescence, obesity predominates</w:t>
            </w:r>
            <w:r w:rsidR="00450B81">
              <w:rPr>
                <w:rFonts w:ascii="Arial" w:eastAsia="Calibri" w:hAnsi="Arial" w:cs="Arial"/>
                <w:szCs w:val="22"/>
              </w:rPr>
              <w:t>. I</w:t>
            </w:r>
            <w:r w:rsidR="00450B81" w:rsidRPr="00450B81">
              <w:rPr>
                <w:rFonts w:ascii="Arial" w:eastAsia="Calibri" w:hAnsi="Arial" w:cs="Arial"/>
                <w:szCs w:val="22"/>
              </w:rPr>
              <w:t>n early adulthood (20–39 years), a cardiometabolic triad of hypertension, dyslipidaemia, and obesity emerges. By midlife (40–59 years), the burden of chronic disease consolidates; in women, this triad is often compounded by hypothyroidism, whereas men show an earlier onset of chronic kidney disease. In the elderly population (60–79 years), multimorbidity peaks, with hypertension affecting more than half of patients, and dyslipidaemia, obesity, kidney disease, chronic venous insufficiency, and chronic obstructive pulmonary disease becoming increasingly frequent. In advanced age (≥80 years), hypertension is nearly universal, and multimorbidity adopts a geriatric profile, characterised by frailty, gait disorders, cognitive decline, depression, and glaucoma superimposed on cardiometabolic disease.</w:t>
            </w:r>
          </w:p>
          <w:p w14:paraId="3A305EAF" w14:textId="361BB8C6" w:rsidR="00C81973" w:rsidRPr="0054404D" w:rsidRDefault="00C81973" w:rsidP="007C3C17">
            <w:pPr>
              <w:pStyle w:val="Body"/>
              <w:spacing w:after="0"/>
              <w:rPr>
                <w:rFonts w:ascii="Arial" w:eastAsia="Calibri" w:hAnsi="Arial" w:cs="Arial"/>
                <w:szCs w:val="22"/>
              </w:rPr>
            </w:pPr>
            <w:r w:rsidRPr="00B26192">
              <w:rPr>
                <w:rFonts w:ascii="Arial" w:eastAsia="Calibri" w:hAnsi="Arial" w:cs="Arial"/>
                <w:b/>
                <w:bCs/>
                <w:szCs w:val="22"/>
              </w:rPr>
              <w:t>Conclusion:</w:t>
            </w:r>
            <w:r w:rsidRPr="00B26192">
              <w:rPr>
                <w:rFonts w:ascii="Arial" w:eastAsia="Calibri" w:hAnsi="Arial" w:cs="Arial"/>
                <w:szCs w:val="22"/>
              </w:rPr>
              <w:t xml:space="preserve"> </w:t>
            </w:r>
            <w:r w:rsidR="00450B81" w:rsidRPr="00450B81">
              <w:rPr>
                <w:rFonts w:ascii="Arial" w:eastAsia="Calibri" w:hAnsi="Arial" w:cs="Arial"/>
                <w:szCs w:val="22"/>
              </w:rPr>
              <w:t xml:space="preserve">Overall, the global profile indicates that females tend to concentrate cardiometabolic risk during midlife, often compounded by endocrine comorbidities, whereas men exhibit earlier and more persistent accumulation of renal and cardiovascular damage, with additional respiratory and prostatic morbidity emerging in later life. These findings </w:t>
            </w:r>
            <w:r w:rsidR="00450B81" w:rsidRPr="00450B81">
              <w:rPr>
                <w:rFonts w:ascii="Arial" w:eastAsia="Calibri" w:hAnsi="Arial" w:cs="Arial"/>
                <w:szCs w:val="22"/>
              </w:rPr>
              <w:lastRenderedPageBreak/>
              <w:t>underscore the need for life-course, sex-sensitive, and multidisciplinary approaches to diabetes management.</w:t>
            </w:r>
          </w:p>
        </w:tc>
      </w:tr>
    </w:tbl>
    <w:p w14:paraId="4A6F80FA" w14:textId="77777777" w:rsidR="00C81973" w:rsidRPr="0054404D" w:rsidRDefault="00C81973" w:rsidP="00C81973">
      <w:pPr>
        <w:pStyle w:val="Body"/>
        <w:spacing w:after="0"/>
        <w:rPr>
          <w:rFonts w:ascii="Arial" w:hAnsi="Arial" w:cs="Arial"/>
          <w:i/>
        </w:rPr>
      </w:pPr>
    </w:p>
    <w:p w14:paraId="32B3C75F" w14:textId="2BE94C9E" w:rsidR="00C81973" w:rsidRPr="0054404D" w:rsidRDefault="00C81973" w:rsidP="00C81973">
      <w:pPr>
        <w:pStyle w:val="Body"/>
        <w:spacing w:after="0"/>
        <w:rPr>
          <w:rFonts w:ascii="Arial" w:hAnsi="Arial" w:cs="Arial"/>
          <w:i/>
        </w:rPr>
      </w:pPr>
      <w:r w:rsidRPr="0054404D">
        <w:rPr>
          <w:rFonts w:ascii="Arial" w:hAnsi="Arial" w:cs="Arial"/>
          <w:i/>
        </w:rPr>
        <w:t xml:space="preserve">Keywords: </w:t>
      </w:r>
      <w:r w:rsidR="00E94820">
        <w:rPr>
          <w:rFonts w:ascii="Arial" w:hAnsi="Arial" w:cs="Arial"/>
          <w:i/>
        </w:rPr>
        <w:t>Diabetes mellitus</w:t>
      </w:r>
      <w:r>
        <w:rPr>
          <w:rFonts w:ascii="Arial" w:hAnsi="Arial" w:cs="Arial"/>
          <w:i/>
        </w:rPr>
        <w:t>;</w:t>
      </w:r>
      <w:r w:rsidRPr="00FA7C8D">
        <w:rPr>
          <w:rFonts w:ascii="Arial" w:hAnsi="Arial" w:cs="Arial"/>
          <w:i/>
        </w:rPr>
        <w:t xml:space="preserve"> </w:t>
      </w:r>
      <w:r w:rsidR="00E94820">
        <w:rPr>
          <w:rFonts w:ascii="Arial" w:hAnsi="Arial" w:cs="Arial"/>
          <w:i/>
        </w:rPr>
        <w:t>m</w:t>
      </w:r>
      <w:r w:rsidR="00E94820" w:rsidRPr="00E94820">
        <w:rPr>
          <w:rFonts w:ascii="Arial" w:hAnsi="Arial" w:cs="Arial"/>
          <w:i/>
        </w:rPr>
        <w:t>orbidity</w:t>
      </w:r>
      <w:r>
        <w:rPr>
          <w:rFonts w:ascii="Arial" w:hAnsi="Arial" w:cs="Arial"/>
          <w:i/>
        </w:rPr>
        <w:t>;</w:t>
      </w:r>
      <w:r w:rsidRPr="00FA7C8D">
        <w:rPr>
          <w:rFonts w:ascii="Arial" w:hAnsi="Arial" w:cs="Arial"/>
          <w:i/>
        </w:rPr>
        <w:t xml:space="preserve"> </w:t>
      </w:r>
      <w:r w:rsidRPr="0054404D">
        <w:rPr>
          <w:rFonts w:ascii="Arial" w:hAnsi="Arial" w:cs="Arial"/>
          <w:i/>
        </w:rPr>
        <w:t>primary care.</w:t>
      </w:r>
    </w:p>
    <w:p w14:paraId="35F4451B" w14:textId="77777777" w:rsidR="00C81973" w:rsidRPr="0054404D" w:rsidRDefault="00C81973" w:rsidP="00C81973">
      <w:pPr>
        <w:pStyle w:val="Body"/>
        <w:spacing w:after="0"/>
        <w:rPr>
          <w:rFonts w:ascii="Arial" w:hAnsi="Arial" w:cs="Arial"/>
          <w:i/>
        </w:rPr>
      </w:pPr>
    </w:p>
    <w:p w14:paraId="770BDC1F" w14:textId="77777777" w:rsidR="00C81973" w:rsidRPr="0054404D" w:rsidRDefault="00C81973" w:rsidP="00C81973">
      <w:pPr>
        <w:pStyle w:val="AbstHead"/>
        <w:spacing w:after="0"/>
        <w:jc w:val="both"/>
        <w:rPr>
          <w:rFonts w:ascii="Arial" w:hAnsi="Arial" w:cs="Arial"/>
        </w:rPr>
      </w:pPr>
      <w:r w:rsidRPr="0054404D">
        <w:rPr>
          <w:rFonts w:ascii="Arial" w:hAnsi="Arial" w:cs="Arial"/>
        </w:rPr>
        <w:t>1. INTRODUCTION</w:t>
      </w:r>
    </w:p>
    <w:p w14:paraId="6C5B843E" w14:textId="1D32B3B5" w:rsidR="00C81973" w:rsidRDefault="00C81973" w:rsidP="00C81973">
      <w:pPr>
        <w:pStyle w:val="Body"/>
        <w:spacing w:after="0"/>
        <w:rPr>
          <w:rFonts w:ascii="Arial" w:hAnsi="Arial" w:cs="Arial"/>
        </w:rPr>
      </w:pPr>
      <w:r w:rsidRPr="00C81973">
        <w:rPr>
          <w:rFonts w:ascii="Arial" w:hAnsi="Arial" w:cs="Arial"/>
        </w:rPr>
        <w:t xml:space="preserve">Diabetes </w:t>
      </w:r>
      <w:r>
        <w:rPr>
          <w:rFonts w:ascii="Arial" w:hAnsi="Arial" w:cs="Arial"/>
        </w:rPr>
        <w:t>m</w:t>
      </w:r>
      <w:r w:rsidRPr="00C81973">
        <w:rPr>
          <w:rFonts w:ascii="Arial" w:hAnsi="Arial" w:cs="Arial"/>
        </w:rPr>
        <w:t>ellitus is a major global public health problem</w:t>
      </w:r>
      <w:r>
        <w:rPr>
          <w:rFonts w:ascii="Arial" w:hAnsi="Arial" w:cs="Arial"/>
        </w:rPr>
        <w:t xml:space="preserve"> (</w:t>
      </w:r>
      <w:r w:rsidRPr="00C81973">
        <w:rPr>
          <w:rFonts w:ascii="Arial" w:hAnsi="Arial" w:cs="Arial"/>
        </w:rPr>
        <w:t xml:space="preserve">Khan, </w:t>
      </w:r>
      <w:r>
        <w:rPr>
          <w:rFonts w:ascii="Arial" w:hAnsi="Arial" w:cs="Arial"/>
        </w:rPr>
        <w:t>et al.</w:t>
      </w:r>
      <w:r w:rsidR="00596841">
        <w:rPr>
          <w:rFonts w:ascii="Arial" w:hAnsi="Arial" w:cs="Arial"/>
        </w:rPr>
        <w:t>,</w:t>
      </w:r>
      <w:r>
        <w:rPr>
          <w:rFonts w:ascii="Arial" w:hAnsi="Arial" w:cs="Arial"/>
        </w:rPr>
        <w:t xml:space="preserve"> </w:t>
      </w:r>
      <w:r w:rsidRPr="00C81973">
        <w:rPr>
          <w:rFonts w:ascii="Arial" w:hAnsi="Arial" w:cs="Arial"/>
        </w:rPr>
        <w:t>2020</w:t>
      </w:r>
      <w:r w:rsidR="00596841">
        <w:rPr>
          <w:rFonts w:ascii="Arial" w:hAnsi="Arial" w:cs="Arial"/>
        </w:rPr>
        <w:t xml:space="preserve">; </w:t>
      </w:r>
      <w:r w:rsidR="00596841" w:rsidRPr="00596841">
        <w:rPr>
          <w:rFonts w:ascii="Arial" w:hAnsi="Arial" w:cs="Arial"/>
        </w:rPr>
        <w:t xml:space="preserve">Hossain, </w:t>
      </w:r>
      <w:r w:rsidR="00596841">
        <w:rPr>
          <w:rFonts w:ascii="Arial" w:hAnsi="Arial" w:cs="Arial"/>
        </w:rPr>
        <w:t xml:space="preserve">et al., </w:t>
      </w:r>
      <w:r w:rsidR="00596841" w:rsidRPr="00596841">
        <w:rPr>
          <w:rFonts w:ascii="Arial" w:hAnsi="Arial" w:cs="Arial"/>
        </w:rPr>
        <w:t>2024</w:t>
      </w:r>
      <w:r>
        <w:rPr>
          <w:rFonts w:ascii="Arial" w:hAnsi="Arial" w:cs="Arial"/>
        </w:rPr>
        <w:t>)</w:t>
      </w:r>
      <w:r w:rsidRPr="00C81973">
        <w:rPr>
          <w:rFonts w:ascii="Arial" w:hAnsi="Arial" w:cs="Arial"/>
        </w:rPr>
        <w:t>, affecting over 500 million people worldwide and contributing significantly to morbidity, mortality, and healthcare costs</w:t>
      </w:r>
      <w:r>
        <w:rPr>
          <w:rFonts w:ascii="Arial" w:hAnsi="Arial" w:cs="Arial"/>
        </w:rPr>
        <w:t xml:space="preserve"> (</w:t>
      </w:r>
      <w:r w:rsidRPr="00C81973">
        <w:rPr>
          <w:rFonts w:ascii="Arial" w:hAnsi="Arial" w:cs="Arial"/>
        </w:rPr>
        <w:t>International Diabetes Federation</w:t>
      </w:r>
      <w:r>
        <w:rPr>
          <w:rFonts w:ascii="Arial" w:hAnsi="Arial" w:cs="Arial"/>
        </w:rPr>
        <w:t xml:space="preserve"> [IDF], </w:t>
      </w:r>
      <w:r w:rsidRPr="00C81973">
        <w:rPr>
          <w:rFonts w:ascii="Arial" w:hAnsi="Arial" w:cs="Arial"/>
        </w:rPr>
        <w:t>2025</w:t>
      </w:r>
      <w:r>
        <w:rPr>
          <w:rFonts w:ascii="Arial" w:hAnsi="Arial" w:cs="Arial"/>
        </w:rPr>
        <w:t>)</w:t>
      </w:r>
      <w:r w:rsidRPr="00C81973">
        <w:rPr>
          <w:rFonts w:ascii="Arial" w:hAnsi="Arial" w:cs="Arial"/>
        </w:rPr>
        <w:t>. Its prevalence continues to rise, driven largely by ageing populations</w:t>
      </w:r>
      <w:r w:rsidR="004F6D11">
        <w:rPr>
          <w:rFonts w:ascii="Arial" w:hAnsi="Arial" w:cs="Arial"/>
        </w:rPr>
        <w:t xml:space="preserve"> (</w:t>
      </w:r>
      <w:r w:rsidR="004F6D11" w:rsidRPr="00C81973">
        <w:rPr>
          <w:rFonts w:ascii="Arial" w:hAnsi="Arial" w:cs="Arial"/>
        </w:rPr>
        <w:t xml:space="preserve">Khan, </w:t>
      </w:r>
      <w:r w:rsidR="004F6D11">
        <w:rPr>
          <w:rFonts w:ascii="Arial" w:hAnsi="Arial" w:cs="Arial"/>
        </w:rPr>
        <w:t xml:space="preserve">et al., </w:t>
      </w:r>
      <w:r w:rsidR="004F6D11" w:rsidRPr="00C81973">
        <w:rPr>
          <w:rFonts w:ascii="Arial" w:hAnsi="Arial" w:cs="Arial"/>
        </w:rPr>
        <w:t>2020</w:t>
      </w:r>
      <w:r w:rsidR="004F6D11">
        <w:rPr>
          <w:rFonts w:ascii="Arial" w:hAnsi="Arial" w:cs="Arial"/>
        </w:rPr>
        <w:t>)</w:t>
      </w:r>
      <w:r w:rsidRPr="00C81973">
        <w:rPr>
          <w:rFonts w:ascii="Arial" w:hAnsi="Arial" w:cs="Arial"/>
        </w:rPr>
        <w:t>, sedentary lifestyles, and unhealthy dietary habits</w:t>
      </w:r>
      <w:r w:rsidR="004F6D11">
        <w:rPr>
          <w:rFonts w:ascii="Arial" w:hAnsi="Arial" w:cs="Arial"/>
        </w:rPr>
        <w:t xml:space="preserve"> (</w:t>
      </w:r>
      <w:r w:rsidR="004F6D11" w:rsidRPr="004F6D11">
        <w:rPr>
          <w:rFonts w:ascii="Arial" w:hAnsi="Arial" w:cs="Arial"/>
        </w:rPr>
        <w:t xml:space="preserve">Park, </w:t>
      </w:r>
      <w:r w:rsidR="004F6D11">
        <w:rPr>
          <w:rFonts w:ascii="Arial" w:hAnsi="Arial" w:cs="Arial"/>
        </w:rPr>
        <w:t xml:space="preserve">et al., </w:t>
      </w:r>
      <w:r w:rsidR="004F6D11" w:rsidRPr="004F6D11">
        <w:rPr>
          <w:rFonts w:ascii="Arial" w:hAnsi="Arial" w:cs="Arial"/>
        </w:rPr>
        <w:t>2020</w:t>
      </w:r>
      <w:r w:rsidR="004F6D11">
        <w:rPr>
          <w:rFonts w:ascii="Arial" w:hAnsi="Arial" w:cs="Arial"/>
        </w:rPr>
        <w:t>)</w:t>
      </w:r>
      <w:r w:rsidRPr="00C81973">
        <w:rPr>
          <w:rFonts w:ascii="Arial" w:hAnsi="Arial" w:cs="Arial"/>
        </w:rPr>
        <w:t xml:space="preserve">. Among all forms, type 2 diabetes accounts for </w:t>
      </w:r>
      <w:r w:rsidR="004F6D11" w:rsidRPr="00C81973">
        <w:rPr>
          <w:rFonts w:ascii="Arial" w:hAnsi="Arial" w:cs="Arial"/>
        </w:rPr>
        <w:t>most</w:t>
      </w:r>
      <w:r w:rsidRPr="00C81973">
        <w:rPr>
          <w:rFonts w:ascii="Arial" w:hAnsi="Arial" w:cs="Arial"/>
        </w:rPr>
        <w:t xml:space="preserve"> cases and poses the greatest challenge to health systems, particularly in low- and middle-income countries</w:t>
      </w:r>
      <w:r w:rsidR="006222C8">
        <w:rPr>
          <w:rFonts w:ascii="Arial" w:hAnsi="Arial" w:cs="Arial"/>
        </w:rPr>
        <w:t xml:space="preserve"> (</w:t>
      </w:r>
      <w:r w:rsidR="006222C8" w:rsidRPr="006222C8">
        <w:rPr>
          <w:rFonts w:ascii="Arial" w:hAnsi="Arial" w:cs="Arial"/>
        </w:rPr>
        <w:t>Hossain, et al., 2024</w:t>
      </w:r>
      <w:r w:rsidR="006222C8">
        <w:rPr>
          <w:rFonts w:ascii="Arial" w:hAnsi="Arial" w:cs="Arial"/>
        </w:rPr>
        <w:t xml:space="preserve">; </w:t>
      </w:r>
      <w:r w:rsidR="006222C8" w:rsidRPr="006222C8">
        <w:rPr>
          <w:rFonts w:ascii="Arial" w:hAnsi="Arial" w:cs="Arial"/>
        </w:rPr>
        <w:t>GBD 2021 Diabetes Collaborators</w:t>
      </w:r>
      <w:r w:rsidR="006222C8">
        <w:rPr>
          <w:rFonts w:ascii="Arial" w:hAnsi="Arial" w:cs="Arial"/>
        </w:rPr>
        <w:t>,</w:t>
      </w:r>
      <w:r w:rsidR="006222C8" w:rsidRPr="006222C8">
        <w:rPr>
          <w:rFonts w:ascii="Arial" w:hAnsi="Arial" w:cs="Arial"/>
        </w:rPr>
        <w:t xml:space="preserve"> 2023</w:t>
      </w:r>
      <w:r w:rsidR="006222C8">
        <w:rPr>
          <w:rFonts w:ascii="Arial" w:hAnsi="Arial" w:cs="Arial"/>
        </w:rPr>
        <w:t>)</w:t>
      </w:r>
      <w:r w:rsidRPr="00C81973">
        <w:rPr>
          <w:rFonts w:ascii="Arial" w:hAnsi="Arial" w:cs="Arial"/>
        </w:rPr>
        <w:t>.</w:t>
      </w:r>
      <w:r w:rsidR="00471BED">
        <w:rPr>
          <w:rFonts w:ascii="Arial" w:hAnsi="Arial" w:cs="Arial"/>
        </w:rPr>
        <w:t xml:space="preserve"> </w:t>
      </w:r>
      <w:r w:rsidRPr="00C81973">
        <w:rPr>
          <w:rFonts w:ascii="Arial" w:hAnsi="Arial" w:cs="Arial"/>
        </w:rPr>
        <w:t>Primary care plays a crucial role in the management of diabetes, particularly type 2 diabetes</w:t>
      </w:r>
      <w:r w:rsidR="00471BED">
        <w:rPr>
          <w:rFonts w:ascii="Arial" w:hAnsi="Arial" w:cs="Arial"/>
        </w:rPr>
        <w:t xml:space="preserve"> (</w:t>
      </w:r>
      <w:r w:rsidR="00471BED" w:rsidRPr="00471BED">
        <w:rPr>
          <w:rFonts w:ascii="Arial" w:hAnsi="Arial" w:cs="Arial"/>
        </w:rPr>
        <w:t xml:space="preserve">Kushner, </w:t>
      </w:r>
      <w:r w:rsidR="00471BED">
        <w:rPr>
          <w:rFonts w:ascii="Arial" w:hAnsi="Arial" w:cs="Arial"/>
        </w:rPr>
        <w:t xml:space="preserve">et al., </w:t>
      </w:r>
      <w:r w:rsidR="00471BED" w:rsidRPr="00471BED">
        <w:rPr>
          <w:rFonts w:ascii="Arial" w:hAnsi="Arial" w:cs="Arial"/>
        </w:rPr>
        <w:t>2022</w:t>
      </w:r>
      <w:r w:rsidR="00471BED">
        <w:rPr>
          <w:rFonts w:ascii="Arial" w:hAnsi="Arial" w:cs="Arial"/>
        </w:rPr>
        <w:t xml:space="preserve">; </w:t>
      </w:r>
      <w:r w:rsidR="00471BED" w:rsidRPr="00471BED">
        <w:rPr>
          <w:rFonts w:ascii="Arial" w:hAnsi="Arial" w:cs="Arial"/>
        </w:rPr>
        <w:t xml:space="preserve">Vlacho, </w:t>
      </w:r>
      <w:r w:rsidR="00471BED">
        <w:rPr>
          <w:rFonts w:ascii="Arial" w:hAnsi="Arial" w:cs="Arial"/>
        </w:rPr>
        <w:t xml:space="preserve">et al., </w:t>
      </w:r>
      <w:r w:rsidR="00471BED" w:rsidRPr="00471BED">
        <w:rPr>
          <w:rFonts w:ascii="Arial" w:hAnsi="Arial" w:cs="Arial"/>
        </w:rPr>
        <w:t>2024</w:t>
      </w:r>
      <w:r w:rsidR="00471BED">
        <w:rPr>
          <w:rFonts w:ascii="Arial" w:hAnsi="Arial" w:cs="Arial"/>
        </w:rPr>
        <w:t>)</w:t>
      </w:r>
      <w:r w:rsidRPr="00C81973">
        <w:rPr>
          <w:rFonts w:ascii="Arial" w:hAnsi="Arial" w:cs="Arial"/>
        </w:rPr>
        <w:t>. Primary care providers (PCPs) are often the first point of contact for individuals with diabetes and are responsible for ongoing monitoring, guidance, and early intervention. As the frontline of healthcare delivery, primary care is uniquely positioned to implement preventive measures, coordinate multidisciplinary care, and ensure long-term follow-up</w:t>
      </w:r>
      <w:r w:rsidR="00471BED">
        <w:rPr>
          <w:rFonts w:ascii="Arial" w:hAnsi="Arial" w:cs="Arial"/>
        </w:rPr>
        <w:t xml:space="preserve"> </w:t>
      </w:r>
      <w:r w:rsidR="00482D3E">
        <w:rPr>
          <w:rFonts w:ascii="Arial" w:hAnsi="Arial" w:cs="Arial"/>
        </w:rPr>
        <w:t xml:space="preserve">of patients with diabetes </w:t>
      </w:r>
      <w:r w:rsidR="00471BED">
        <w:rPr>
          <w:rFonts w:ascii="Arial" w:hAnsi="Arial" w:cs="Arial"/>
        </w:rPr>
        <w:t>(</w:t>
      </w:r>
      <w:r w:rsidR="00523C08" w:rsidRPr="00523C08">
        <w:rPr>
          <w:rFonts w:ascii="Arial" w:hAnsi="Arial" w:cs="Arial"/>
        </w:rPr>
        <w:t xml:space="preserve">Blanco-Cornejo, </w:t>
      </w:r>
      <w:r w:rsidR="00523C08">
        <w:rPr>
          <w:rFonts w:ascii="Arial" w:hAnsi="Arial" w:cs="Arial"/>
        </w:rPr>
        <w:t xml:space="preserve">et al., </w:t>
      </w:r>
      <w:r w:rsidR="00523C08" w:rsidRPr="00523C08">
        <w:rPr>
          <w:rFonts w:ascii="Arial" w:hAnsi="Arial" w:cs="Arial"/>
        </w:rPr>
        <w:t>2017</w:t>
      </w:r>
      <w:r w:rsidR="00523C08">
        <w:rPr>
          <w:rFonts w:ascii="Arial" w:hAnsi="Arial" w:cs="Arial"/>
        </w:rPr>
        <w:t xml:space="preserve">; </w:t>
      </w:r>
      <w:r w:rsidR="00523C08" w:rsidRPr="00523C08">
        <w:rPr>
          <w:rFonts w:ascii="Arial" w:hAnsi="Arial" w:cs="Arial"/>
        </w:rPr>
        <w:t xml:space="preserve">National Academies of Sciences, Engineering, and Medicine </w:t>
      </w:r>
      <w:r w:rsidR="00523C08">
        <w:rPr>
          <w:rFonts w:ascii="Arial" w:hAnsi="Arial" w:cs="Arial"/>
        </w:rPr>
        <w:t xml:space="preserve">[NASEM], et al., 2021; </w:t>
      </w:r>
      <w:r w:rsidR="00471BED" w:rsidRPr="00471BED">
        <w:rPr>
          <w:rFonts w:ascii="Arial" w:hAnsi="Arial" w:cs="Arial"/>
        </w:rPr>
        <w:t xml:space="preserve">Kushner, </w:t>
      </w:r>
      <w:r w:rsidR="00471BED">
        <w:rPr>
          <w:rFonts w:ascii="Arial" w:hAnsi="Arial" w:cs="Arial"/>
        </w:rPr>
        <w:t xml:space="preserve">et al., </w:t>
      </w:r>
      <w:r w:rsidR="00471BED" w:rsidRPr="00471BED">
        <w:rPr>
          <w:rFonts w:ascii="Arial" w:hAnsi="Arial" w:cs="Arial"/>
        </w:rPr>
        <w:t>2022</w:t>
      </w:r>
      <w:r w:rsidR="00471BED">
        <w:rPr>
          <w:rFonts w:ascii="Arial" w:hAnsi="Arial" w:cs="Arial"/>
        </w:rPr>
        <w:t xml:space="preserve">; </w:t>
      </w:r>
      <w:r w:rsidR="00471BED" w:rsidRPr="00471BED">
        <w:rPr>
          <w:rFonts w:ascii="Arial" w:hAnsi="Arial" w:cs="Arial"/>
        </w:rPr>
        <w:t xml:space="preserve">Vlacho, </w:t>
      </w:r>
      <w:r w:rsidR="00471BED">
        <w:rPr>
          <w:rFonts w:ascii="Arial" w:hAnsi="Arial" w:cs="Arial"/>
        </w:rPr>
        <w:t xml:space="preserve">et al., </w:t>
      </w:r>
      <w:r w:rsidR="00471BED" w:rsidRPr="00471BED">
        <w:rPr>
          <w:rFonts w:ascii="Arial" w:hAnsi="Arial" w:cs="Arial"/>
        </w:rPr>
        <w:t>2024</w:t>
      </w:r>
      <w:r w:rsidR="00471BED">
        <w:rPr>
          <w:rFonts w:ascii="Arial" w:hAnsi="Arial" w:cs="Arial"/>
        </w:rPr>
        <w:t>)</w:t>
      </w:r>
      <w:r w:rsidRPr="00C81973">
        <w:rPr>
          <w:rFonts w:ascii="Arial" w:hAnsi="Arial" w:cs="Arial"/>
        </w:rPr>
        <w:t>.</w:t>
      </w:r>
      <w:r w:rsidR="00482D3E">
        <w:rPr>
          <w:rFonts w:ascii="Arial" w:hAnsi="Arial" w:cs="Arial"/>
        </w:rPr>
        <w:t xml:space="preserve"> </w:t>
      </w:r>
      <w:r w:rsidR="00482D3E" w:rsidRPr="00482D3E">
        <w:rPr>
          <w:rFonts w:ascii="Arial" w:hAnsi="Arial" w:cs="Arial"/>
        </w:rPr>
        <w:t>From a public health and governance perspective, understanding how chronic degenerative diseases such as diabetes are spread across populations is crucial for effective resource distribution, risk assessment, and health planning</w:t>
      </w:r>
      <w:r w:rsidR="00482D3E">
        <w:rPr>
          <w:rFonts w:ascii="Arial" w:hAnsi="Arial" w:cs="Arial"/>
        </w:rPr>
        <w:t xml:space="preserve"> (</w:t>
      </w:r>
      <w:r w:rsidR="00482D3E" w:rsidRPr="00482D3E">
        <w:rPr>
          <w:rFonts w:ascii="Arial" w:hAnsi="Arial" w:cs="Arial"/>
        </w:rPr>
        <w:t>Greenberg</w:t>
      </w:r>
      <w:r w:rsidR="00482D3E">
        <w:rPr>
          <w:rFonts w:ascii="Arial" w:hAnsi="Arial" w:cs="Arial"/>
        </w:rPr>
        <w:t>,</w:t>
      </w:r>
      <w:r w:rsidR="00482D3E" w:rsidRPr="00482D3E">
        <w:rPr>
          <w:rFonts w:ascii="Arial" w:hAnsi="Arial" w:cs="Arial"/>
        </w:rPr>
        <w:t xml:space="preserve"> 2022</w:t>
      </w:r>
      <w:r w:rsidR="00482D3E">
        <w:rPr>
          <w:rFonts w:ascii="Arial" w:hAnsi="Arial" w:cs="Arial"/>
        </w:rPr>
        <w:t>)</w:t>
      </w:r>
      <w:r w:rsidR="00482D3E" w:rsidRPr="00482D3E">
        <w:rPr>
          <w:rFonts w:ascii="Arial" w:hAnsi="Arial" w:cs="Arial"/>
        </w:rPr>
        <w:t xml:space="preserve">. </w:t>
      </w:r>
      <w:r w:rsidRPr="00C81973">
        <w:rPr>
          <w:rFonts w:ascii="Arial" w:hAnsi="Arial" w:cs="Arial"/>
        </w:rPr>
        <w:t xml:space="preserve">The epidemiological characterisation of these diseases allows health authorities to identify vulnerable groups, prioritise interventions, and evaluate the impact of current strategies. </w:t>
      </w:r>
      <w:r w:rsidR="00FA1AB5" w:rsidRPr="00C81973">
        <w:rPr>
          <w:rFonts w:ascii="Arial" w:hAnsi="Arial" w:cs="Arial"/>
        </w:rPr>
        <w:t>Identifying</w:t>
      </w:r>
      <w:r w:rsidRPr="00C81973">
        <w:rPr>
          <w:rFonts w:ascii="Arial" w:hAnsi="Arial" w:cs="Arial"/>
        </w:rPr>
        <w:t xml:space="preserve"> trends in comorbid conditions, demographic profiles, and social determinants among patients</w:t>
      </w:r>
      <w:r w:rsidR="00FA1AB5">
        <w:rPr>
          <w:rFonts w:ascii="Arial" w:hAnsi="Arial" w:cs="Arial"/>
        </w:rPr>
        <w:t xml:space="preserve"> with diabetes</w:t>
      </w:r>
      <w:r w:rsidRPr="00C81973">
        <w:rPr>
          <w:rFonts w:ascii="Arial" w:hAnsi="Arial" w:cs="Arial"/>
        </w:rPr>
        <w:t xml:space="preserve"> in primary care can guide the development of tailored, evidence-based policies and programmes</w:t>
      </w:r>
      <w:r w:rsidR="00FA1AB5">
        <w:rPr>
          <w:rFonts w:ascii="Arial" w:hAnsi="Arial" w:cs="Arial"/>
        </w:rPr>
        <w:t xml:space="preserve"> (</w:t>
      </w:r>
      <w:r w:rsidR="00B539D5" w:rsidRPr="00B539D5">
        <w:rPr>
          <w:rFonts w:ascii="Arial" w:hAnsi="Arial" w:cs="Arial"/>
        </w:rPr>
        <w:t>Petersen &amp; Kwan, 2011</w:t>
      </w:r>
      <w:r w:rsidR="00FA1AB5">
        <w:rPr>
          <w:rFonts w:ascii="Arial" w:hAnsi="Arial" w:cs="Arial"/>
        </w:rPr>
        <w:t>)</w:t>
      </w:r>
      <w:r w:rsidRPr="00C81973">
        <w:rPr>
          <w:rFonts w:ascii="Arial" w:hAnsi="Arial" w:cs="Arial"/>
        </w:rPr>
        <w:t>.</w:t>
      </w:r>
      <w:r w:rsidR="008B4EA0">
        <w:rPr>
          <w:rFonts w:ascii="Arial" w:hAnsi="Arial" w:cs="Arial"/>
        </w:rPr>
        <w:t xml:space="preserve"> </w:t>
      </w:r>
      <w:r w:rsidR="008B4EA0" w:rsidRPr="008B4EA0">
        <w:rPr>
          <w:rFonts w:ascii="Arial" w:hAnsi="Arial" w:cs="Arial"/>
        </w:rPr>
        <w:t>Therefore, understanding the clinical and sociodemographic characteristics of patients with diabetes in primary care is essential for designing targeted interventions and improving health outcomes. It helps identify patterns of comorbidities, health behaviours, treatment compliance, and the impact of social determinants on disease progression. Such knowledge not only enables the delivery of more effective, patient-centred care but also enhances broader public health strategies aimed at reducing the burden of diabetes and promoting equity in health services.</w:t>
      </w:r>
    </w:p>
    <w:p w14:paraId="0DED2E65" w14:textId="77777777" w:rsidR="00C81973" w:rsidRPr="00515BFE" w:rsidRDefault="00C81973" w:rsidP="00C81973">
      <w:pPr>
        <w:pStyle w:val="Body"/>
        <w:spacing w:after="0"/>
        <w:rPr>
          <w:rFonts w:ascii="Arial" w:hAnsi="Arial" w:cs="Arial"/>
        </w:rPr>
      </w:pPr>
    </w:p>
    <w:p w14:paraId="5F199382" w14:textId="77777777" w:rsidR="00C81973" w:rsidRPr="0054404D" w:rsidRDefault="00C81973" w:rsidP="00C81973">
      <w:pPr>
        <w:pStyle w:val="Body"/>
        <w:spacing w:after="0"/>
        <w:rPr>
          <w:rFonts w:ascii="Arial" w:hAnsi="Arial" w:cs="Arial"/>
          <w:b/>
          <w:caps/>
          <w:sz w:val="22"/>
        </w:rPr>
      </w:pPr>
      <w:r w:rsidRPr="0054404D">
        <w:rPr>
          <w:rFonts w:ascii="Arial" w:hAnsi="Arial" w:cs="Arial"/>
          <w:b/>
          <w:caps/>
          <w:sz w:val="22"/>
        </w:rPr>
        <w:t xml:space="preserve">1.1 </w:t>
      </w:r>
      <w:r w:rsidRPr="0054404D">
        <w:rPr>
          <w:rFonts w:ascii="Arial" w:hAnsi="Arial" w:cs="Arial"/>
          <w:b/>
          <w:sz w:val="22"/>
        </w:rPr>
        <w:t>The Aim</w:t>
      </w:r>
      <w:r>
        <w:rPr>
          <w:rFonts w:ascii="Arial" w:hAnsi="Arial" w:cs="Arial"/>
          <w:b/>
          <w:sz w:val="22"/>
        </w:rPr>
        <w:t>s</w:t>
      </w:r>
      <w:r w:rsidRPr="0054404D">
        <w:rPr>
          <w:rFonts w:ascii="Arial" w:hAnsi="Arial" w:cs="Arial"/>
          <w:b/>
          <w:sz w:val="22"/>
        </w:rPr>
        <w:t xml:space="preserve"> of the Study.</w:t>
      </w:r>
    </w:p>
    <w:p w14:paraId="733CD29E" w14:textId="6D1D0606" w:rsidR="00C81973" w:rsidRDefault="00A559B7" w:rsidP="00C81973">
      <w:pPr>
        <w:pStyle w:val="Body"/>
        <w:spacing w:after="0"/>
        <w:rPr>
          <w:rFonts w:ascii="Arial" w:hAnsi="Arial" w:cs="Arial"/>
        </w:rPr>
      </w:pPr>
      <w:bookmarkStart w:id="1" w:name="_Hlk189391383"/>
      <w:r w:rsidRPr="00A559B7">
        <w:rPr>
          <w:rFonts w:ascii="Arial" w:hAnsi="Arial" w:cs="Arial"/>
        </w:rPr>
        <w:t>To establish the sociodemographic, clinical characteristics, and epidemiological profile of the population with diabetes served in a primary care unit in Mexico City.</w:t>
      </w:r>
    </w:p>
    <w:bookmarkEnd w:id="1"/>
    <w:p w14:paraId="7F68E2EB" w14:textId="77777777" w:rsidR="00C81973" w:rsidRPr="0054404D" w:rsidRDefault="00C81973" w:rsidP="00C81973">
      <w:pPr>
        <w:pStyle w:val="Body"/>
        <w:spacing w:after="0"/>
        <w:rPr>
          <w:rFonts w:ascii="Arial" w:hAnsi="Arial" w:cs="Arial"/>
        </w:rPr>
      </w:pPr>
    </w:p>
    <w:p w14:paraId="75D64462" w14:textId="77777777" w:rsidR="00C81973" w:rsidRPr="0054404D" w:rsidRDefault="00C81973" w:rsidP="00C81973">
      <w:pPr>
        <w:pStyle w:val="AbstHead"/>
        <w:spacing w:after="0"/>
        <w:jc w:val="both"/>
        <w:rPr>
          <w:rFonts w:ascii="Arial" w:hAnsi="Arial" w:cs="Arial"/>
        </w:rPr>
      </w:pPr>
      <w:r w:rsidRPr="0054404D">
        <w:rPr>
          <w:rFonts w:ascii="Arial" w:hAnsi="Arial" w:cs="Arial"/>
        </w:rPr>
        <w:t>2. material and methods</w:t>
      </w:r>
    </w:p>
    <w:p w14:paraId="380A5CE9" w14:textId="77777777" w:rsidR="00C81973" w:rsidRPr="00B02C70" w:rsidRDefault="00C81973" w:rsidP="00C81973">
      <w:pPr>
        <w:pStyle w:val="Body"/>
        <w:spacing w:after="0"/>
        <w:rPr>
          <w:rFonts w:ascii="Arial" w:hAnsi="Arial" w:cs="Arial"/>
        </w:rPr>
      </w:pPr>
      <w:r w:rsidRPr="0054404D">
        <w:rPr>
          <w:rFonts w:ascii="Arial" w:hAnsi="Arial" w:cs="Arial"/>
          <w:b/>
          <w:caps/>
          <w:sz w:val="22"/>
        </w:rPr>
        <w:t xml:space="preserve">2.1 </w:t>
      </w:r>
      <w:r w:rsidRPr="0054404D">
        <w:rPr>
          <w:rFonts w:ascii="Arial" w:hAnsi="Arial" w:cs="Arial"/>
          <w:b/>
          <w:sz w:val="22"/>
        </w:rPr>
        <w:t>Study design</w:t>
      </w:r>
      <w:r>
        <w:rPr>
          <w:rFonts w:ascii="Arial" w:hAnsi="Arial" w:cs="Arial"/>
          <w:b/>
          <w:sz w:val="22"/>
        </w:rPr>
        <w:t xml:space="preserve"> and</w:t>
      </w:r>
      <w:r w:rsidRPr="0054404D">
        <w:rPr>
          <w:rFonts w:ascii="Arial" w:hAnsi="Arial" w:cs="Arial"/>
          <w:b/>
          <w:sz w:val="22"/>
        </w:rPr>
        <w:t xml:space="preserve"> </w:t>
      </w:r>
      <w:r>
        <w:rPr>
          <w:rFonts w:ascii="Arial" w:hAnsi="Arial" w:cs="Arial"/>
          <w:b/>
          <w:sz w:val="22"/>
        </w:rPr>
        <w:t>data collection</w:t>
      </w:r>
    </w:p>
    <w:p w14:paraId="009B337C" w14:textId="72C619FB" w:rsidR="00C81973" w:rsidRDefault="00484917" w:rsidP="00C81973">
      <w:pPr>
        <w:pStyle w:val="Body"/>
        <w:spacing w:after="0"/>
        <w:rPr>
          <w:rFonts w:ascii="Arial" w:hAnsi="Arial" w:cs="Arial"/>
        </w:rPr>
      </w:pPr>
      <w:r w:rsidRPr="00484917">
        <w:rPr>
          <w:rFonts w:ascii="Arial" w:hAnsi="Arial" w:cs="Arial"/>
        </w:rPr>
        <w:t>This study was designed as a population-based, cross-sectional, and analytical investigation using a previously published secondary dataset</w:t>
      </w:r>
      <w:r w:rsidR="005C2198">
        <w:rPr>
          <w:rFonts w:ascii="Arial" w:hAnsi="Arial" w:cs="Arial"/>
        </w:rPr>
        <w:t xml:space="preserve"> (López-Hernández, et al., 2024)</w:t>
      </w:r>
      <w:r w:rsidRPr="00484917">
        <w:rPr>
          <w:rFonts w:ascii="Arial" w:hAnsi="Arial" w:cs="Arial"/>
        </w:rPr>
        <w:t>. The data comprised patients in Mexico who attended outpatient consultations at the Family Medicine and General Medicine departments of the "División del Norte" Family Medicine Clinic (FMC), ISSSTE, in Mexico City, Mexico. The dataset was derived from the Medical Financial Information System (SIMEF), which systematically records outpatient consultations conducted by healthcare personnel. Specifically, the dataset included medical records from January to December 2022 and was previously analysed and published by López-Hernández et al. (2024). The complete database consisted of 73,974 records corresponding to 17,918 patients of all age groups. For this study, only records involving patients with diabetes were included</w:t>
      </w:r>
      <w:r w:rsidR="009F5B95">
        <w:rPr>
          <w:rFonts w:ascii="Arial" w:hAnsi="Arial" w:cs="Arial"/>
        </w:rPr>
        <w:t xml:space="preserve"> (n=3,556)</w:t>
      </w:r>
      <w:r w:rsidRPr="00484917">
        <w:rPr>
          <w:rFonts w:ascii="Arial" w:hAnsi="Arial" w:cs="Arial"/>
        </w:rPr>
        <w:t>. The study was conducted from 1st January to 31st July 2025.</w:t>
      </w:r>
    </w:p>
    <w:p w14:paraId="5D12D18B" w14:textId="77777777" w:rsidR="00C81973" w:rsidRDefault="00C81973" w:rsidP="00C81973">
      <w:pPr>
        <w:pStyle w:val="Body"/>
        <w:spacing w:after="0"/>
        <w:rPr>
          <w:rFonts w:ascii="Arial" w:hAnsi="Arial" w:cs="Arial"/>
        </w:rPr>
      </w:pPr>
    </w:p>
    <w:p w14:paraId="35FDB5DD" w14:textId="77777777" w:rsidR="00C81973" w:rsidRPr="0054404D" w:rsidRDefault="00C81973" w:rsidP="00C81973">
      <w:pPr>
        <w:pStyle w:val="Body"/>
        <w:spacing w:after="0"/>
        <w:rPr>
          <w:rFonts w:ascii="Arial" w:hAnsi="Arial" w:cs="Arial"/>
          <w:b/>
          <w:caps/>
          <w:sz w:val="22"/>
        </w:rPr>
      </w:pPr>
      <w:r w:rsidRPr="0054404D">
        <w:rPr>
          <w:rFonts w:ascii="Arial" w:hAnsi="Arial" w:cs="Arial"/>
          <w:b/>
          <w:caps/>
          <w:sz w:val="22"/>
        </w:rPr>
        <w:lastRenderedPageBreak/>
        <w:t xml:space="preserve">2.2 </w:t>
      </w:r>
      <w:r>
        <w:rPr>
          <w:rFonts w:ascii="Arial" w:hAnsi="Arial" w:cs="Arial"/>
          <w:b/>
          <w:caps/>
          <w:sz w:val="22"/>
        </w:rPr>
        <w:t>P</w:t>
      </w:r>
      <w:r>
        <w:rPr>
          <w:rFonts w:ascii="Arial" w:hAnsi="Arial" w:cs="Arial"/>
          <w:b/>
          <w:sz w:val="22"/>
        </w:rPr>
        <w:t>atient</w:t>
      </w:r>
      <w:r>
        <w:rPr>
          <w:rFonts w:ascii="Arial" w:hAnsi="Arial" w:cs="Arial"/>
          <w:b/>
          <w:caps/>
          <w:sz w:val="22"/>
        </w:rPr>
        <w:t xml:space="preserve"> </w:t>
      </w:r>
      <w:r w:rsidRPr="0054404D">
        <w:rPr>
          <w:rFonts w:ascii="Arial" w:hAnsi="Arial" w:cs="Arial"/>
          <w:b/>
          <w:sz w:val="22"/>
        </w:rPr>
        <w:t>S</w:t>
      </w:r>
      <w:r>
        <w:rPr>
          <w:rFonts w:ascii="Arial" w:hAnsi="Arial" w:cs="Arial"/>
          <w:b/>
          <w:sz w:val="22"/>
        </w:rPr>
        <w:t>election and study population</w:t>
      </w:r>
    </w:p>
    <w:p w14:paraId="1F5D97AC" w14:textId="77777777" w:rsidR="00217F37" w:rsidRPr="00217F37" w:rsidRDefault="00217F37" w:rsidP="00217F37">
      <w:pPr>
        <w:pStyle w:val="Body"/>
        <w:spacing w:after="0"/>
        <w:rPr>
          <w:rFonts w:ascii="Arial" w:hAnsi="Arial" w:cs="Arial"/>
        </w:rPr>
      </w:pPr>
      <w:r w:rsidRPr="00217F37">
        <w:rPr>
          <w:rFonts w:ascii="Arial" w:hAnsi="Arial" w:cs="Arial"/>
        </w:rPr>
        <w:t>The data collection procedure included the following steps:</w:t>
      </w:r>
    </w:p>
    <w:p w14:paraId="649067EA" w14:textId="27B230DC"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The information was downloaded by month (from January to December), using work tools Excel files generated by the "SIMEF" system.</w:t>
      </w:r>
    </w:p>
    <w:p w14:paraId="12EF7253" w14:textId="345090AB"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The “SIMEF” database was analysed to select records that met the inclusion criteria.</w:t>
      </w:r>
    </w:p>
    <w:p w14:paraId="0701865D" w14:textId="11CACD09"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A single database was then generated and all individual patient records were cross-referenced to ensure their accuracy, excluding records that did not meet the inclusion criteria.</w:t>
      </w:r>
    </w:p>
    <w:p w14:paraId="608C57B4" w14:textId="2C288EBD"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A final review of the new combined database was performed to ensure the integrity and consistency of the information.</w:t>
      </w:r>
    </w:p>
    <w:p w14:paraId="030D7DE5" w14:textId="2AF8B28B" w:rsidR="00217F37" w:rsidRPr="00217F37" w:rsidRDefault="00217F37" w:rsidP="00217F37">
      <w:pPr>
        <w:pStyle w:val="Body"/>
        <w:numPr>
          <w:ilvl w:val="0"/>
          <w:numId w:val="37"/>
        </w:numPr>
        <w:spacing w:after="0"/>
        <w:ind w:left="709" w:hanging="425"/>
        <w:rPr>
          <w:rFonts w:ascii="Arial" w:hAnsi="Arial" w:cs="Arial"/>
        </w:rPr>
      </w:pPr>
      <w:r w:rsidRPr="00217F37">
        <w:rPr>
          <w:rFonts w:ascii="Arial" w:hAnsi="Arial" w:cs="Arial"/>
        </w:rPr>
        <w:t>The information collected was stored in an Excel workbook, which served as a statistical database for subsequent analysis.</w:t>
      </w:r>
    </w:p>
    <w:p w14:paraId="37A36414" w14:textId="77777777" w:rsidR="00217F37" w:rsidRPr="00217F37" w:rsidRDefault="00217F37" w:rsidP="00217F37">
      <w:pPr>
        <w:pStyle w:val="Body"/>
        <w:spacing w:after="0"/>
        <w:rPr>
          <w:rFonts w:ascii="Arial" w:hAnsi="Arial" w:cs="Arial"/>
        </w:rPr>
      </w:pPr>
    </w:p>
    <w:p w14:paraId="12431B5A" w14:textId="77777777" w:rsidR="00217F37" w:rsidRPr="00217F37" w:rsidRDefault="00217F37" w:rsidP="00217F37">
      <w:pPr>
        <w:pStyle w:val="Body"/>
        <w:spacing w:after="0"/>
        <w:rPr>
          <w:rFonts w:ascii="Arial" w:hAnsi="Arial" w:cs="Arial"/>
        </w:rPr>
      </w:pPr>
      <w:r w:rsidRPr="00217F37">
        <w:rPr>
          <w:rFonts w:ascii="Arial" w:hAnsi="Arial" w:cs="Arial"/>
        </w:rPr>
        <w:t>The inclusion criteria were: patients with diabetes of both sexes who had at least one consultation registered in the "SIMEF" system during the study period. Patients with complete records, including identification data such as name, file number, sex, type of beneficiary, International Classification of Diseases version 10 (ICD-10) diagnosis code and consultation dates. The exclusion criteria were: patients without diabetes, patients with diabetes of both sexes with incomplete records in the "SIMEF" system, and records identified as duplicates or containing inconsistencies.</w:t>
      </w:r>
    </w:p>
    <w:p w14:paraId="337D0C22" w14:textId="77777777" w:rsidR="00217F37" w:rsidRPr="00217F37" w:rsidRDefault="00217F37" w:rsidP="00217F37">
      <w:pPr>
        <w:pStyle w:val="Body"/>
        <w:spacing w:after="0"/>
        <w:rPr>
          <w:rFonts w:ascii="Arial" w:hAnsi="Arial" w:cs="Arial"/>
        </w:rPr>
      </w:pPr>
    </w:p>
    <w:p w14:paraId="1488EC06" w14:textId="573DFA1D" w:rsidR="00C81973" w:rsidRDefault="00217F37" w:rsidP="00217F37">
      <w:pPr>
        <w:pStyle w:val="Body"/>
        <w:spacing w:after="0"/>
        <w:rPr>
          <w:rFonts w:ascii="Arial" w:hAnsi="Arial" w:cs="Arial"/>
        </w:rPr>
      </w:pPr>
      <w:r w:rsidRPr="00217F37">
        <w:rPr>
          <w:rFonts w:ascii="Arial" w:hAnsi="Arial" w:cs="Arial"/>
        </w:rPr>
        <w:t>Finally, a census was conducted, resulting in a total of 3,556 subjects aged 9 years and o</w:t>
      </w:r>
      <w:r w:rsidR="00021792">
        <w:rPr>
          <w:rFonts w:ascii="Arial" w:hAnsi="Arial" w:cs="Arial"/>
        </w:rPr>
        <w:t>v</w:t>
      </w:r>
      <w:r w:rsidRPr="00217F37">
        <w:rPr>
          <w:rFonts w:ascii="Arial" w:hAnsi="Arial" w:cs="Arial"/>
        </w:rPr>
        <w:t>er. This procedure ensured the accuracy, quality, and reliability of the extracted data. A census sampling method was employed, including all eligible records from the newly generated dataset. All this ensured that only patients with complete and consistent records were included in the study.</w:t>
      </w:r>
    </w:p>
    <w:p w14:paraId="63D36D08" w14:textId="77777777" w:rsidR="00C81973" w:rsidRPr="0054404D" w:rsidRDefault="00C81973" w:rsidP="00C81973">
      <w:pPr>
        <w:pStyle w:val="Body"/>
        <w:spacing w:after="0"/>
        <w:rPr>
          <w:rFonts w:ascii="Arial" w:hAnsi="Arial" w:cs="Arial"/>
        </w:rPr>
      </w:pPr>
    </w:p>
    <w:p w14:paraId="410AB75B" w14:textId="77777777" w:rsidR="00C81973" w:rsidRPr="0050774D" w:rsidRDefault="00C81973" w:rsidP="00C81973">
      <w:pPr>
        <w:pStyle w:val="Body"/>
        <w:spacing w:after="0"/>
        <w:rPr>
          <w:rFonts w:ascii="Arial" w:hAnsi="Arial" w:cs="Arial"/>
          <w:b/>
          <w:caps/>
          <w:sz w:val="22"/>
          <w:szCs w:val="22"/>
        </w:rPr>
      </w:pPr>
      <w:r w:rsidRPr="0050774D">
        <w:rPr>
          <w:rFonts w:ascii="Arial" w:hAnsi="Arial" w:cs="Arial"/>
          <w:b/>
          <w:caps/>
          <w:sz w:val="22"/>
          <w:szCs w:val="22"/>
        </w:rPr>
        <w:t>2.</w:t>
      </w:r>
      <w:r>
        <w:rPr>
          <w:rFonts w:ascii="Arial" w:hAnsi="Arial" w:cs="Arial"/>
          <w:b/>
          <w:caps/>
          <w:sz w:val="22"/>
          <w:szCs w:val="22"/>
        </w:rPr>
        <w:t>3</w:t>
      </w:r>
      <w:r w:rsidRPr="0050774D">
        <w:rPr>
          <w:rFonts w:ascii="Arial" w:hAnsi="Arial" w:cs="Arial"/>
          <w:b/>
          <w:caps/>
          <w:sz w:val="22"/>
          <w:szCs w:val="22"/>
        </w:rPr>
        <w:t xml:space="preserve"> </w:t>
      </w:r>
      <w:r>
        <w:rPr>
          <w:rFonts w:ascii="Arial" w:hAnsi="Arial" w:cs="Arial"/>
          <w:b/>
          <w:sz w:val="22"/>
          <w:szCs w:val="22"/>
        </w:rPr>
        <w:t>Variables and S</w:t>
      </w:r>
      <w:r w:rsidRPr="0050774D">
        <w:rPr>
          <w:rFonts w:ascii="Arial" w:hAnsi="Arial" w:cs="Arial"/>
          <w:b/>
          <w:sz w:val="22"/>
          <w:szCs w:val="22"/>
        </w:rPr>
        <w:t>tatistical analysis.</w:t>
      </w:r>
    </w:p>
    <w:p w14:paraId="61594FC0" w14:textId="77777777" w:rsidR="004D0A2B" w:rsidRPr="004D0A2B" w:rsidRDefault="004D0A2B" w:rsidP="004D0A2B">
      <w:pPr>
        <w:pStyle w:val="Body"/>
        <w:spacing w:after="0"/>
        <w:rPr>
          <w:rFonts w:ascii="Arial" w:hAnsi="Arial" w:cs="Arial"/>
        </w:rPr>
      </w:pPr>
      <w:r w:rsidRPr="004D0A2B">
        <w:rPr>
          <w:rFonts w:ascii="Arial" w:hAnsi="Arial" w:cs="Arial"/>
        </w:rPr>
        <w:t>All complete records were included to ensure a comprehensive dataset. The variables analysed comprised age (in years), sex (male and female), number of outpatient consultations, and comorbidities coded according to the International Classification of Diseases, 10th Revision (ICD-10). In total, 1,194 ICD-10 codes were registered.</w:t>
      </w:r>
    </w:p>
    <w:p w14:paraId="3A556FBD" w14:textId="77777777" w:rsidR="004D0A2B" w:rsidRPr="004D0A2B" w:rsidRDefault="004D0A2B" w:rsidP="004D0A2B">
      <w:pPr>
        <w:pStyle w:val="Body"/>
        <w:spacing w:after="0"/>
        <w:rPr>
          <w:rFonts w:ascii="Arial" w:hAnsi="Arial" w:cs="Arial"/>
        </w:rPr>
      </w:pPr>
    </w:p>
    <w:p w14:paraId="7AAC6A37" w14:textId="77777777" w:rsidR="004D0A2B" w:rsidRPr="004D0A2B" w:rsidRDefault="004D0A2B" w:rsidP="004D0A2B">
      <w:pPr>
        <w:pStyle w:val="Body"/>
        <w:spacing w:after="0"/>
        <w:rPr>
          <w:rFonts w:ascii="Arial" w:hAnsi="Arial" w:cs="Arial"/>
        </w:rPr>
      </w:pPr>
      <w:r w:rsidRPr="004D0A2B">
        <w:rPr>
          <w:rFonts w:ascii="Arial" w:hAnsi="Arial" w:cs="Arial"/>
        </w:rPr>
        <w:t>Categorical variables are presented as absolute frequencies and percentages, while quantitative variables are described using mean, standard deviation (SD), and interquartile range (IQR). A 95% confidence interval (CI95%) was reported where applicable.</w:t>
      </w:r>
    </w:p>
    <w:p w14:paraId="4373C7E7" w14:textId="77777777" w:rsidR="004D0A2B" w:rsidRPr="004D0A2B" w:rsidRDefault="004D0A2B" w:rsidP="004D0A2B">
      <w:pPr>
        <w:pStyle w:val="Body"/>
        <w:spacing w:after="0"/>
        <w:rPr>
          <w:rFonts w:ascii="Arial" w:hAnsi="Arial" w:cs="Arial"/>
        </w:rPr>
      </w:pPr>
    </w:p>
    <w:p w14:paraId="4BC8AF93" w14:textId="49B230E3" w:rsidR="004D0A2B" w:rsidRPr="004D0A2B" w:rsidRDefault="004D0A2B" w:rsidP="004D0A2B">
      <w:pPr>
        <w:pStyle w:val="Body"/>
        <w:spacing w:after="0"/>
        <w:rPr>
          <w:rFonts w:ascii="Arial" w:hAnsi="Arial" w:cs="Arial"/>
        </w:rPr>
      </w:pPr>
      <w:r w:rsidRPr="004D0A2B">
        <w:rPr>
          <w:rFonts w:ascii="Arial" w:hAnsi="Arial" w:cs="Arial"/>
        </w:rPr>
        <w:t xml:space="preserve">Comparisons of categorical variables were performed using the likelihood ratio </w:t>
      </w:r>
      <w:r w:rsidR="00E230F8">
        <w:rPr>
          <w:rFonts w:ascii="Arial" w:hAnsi="Arial" w:cs="Arial"/>
        </w:rPr>
        <w:t xml:space="preserve">chi square </w:t>
      </w:r>
      <w:r w:rsidRPr="004D0A2B">
        <w:rPr>
          <w:rFonts w:ascii="Arial" w:hAnsi="Arial" w:cs="Arial"/>
        </w:rPr>
        <w:t>test</w:t>
      </w:r>
      <w:r w:rsidR="00E230F8">
        <w:rPr>
          <w:rFonts w:ascii="Arial" w:hAnsi="Arial" w:cs="Arial"/>
        </w:rPr>
        <w:t xml:space="preserve"> </w:t>
      </w:r>
      <w:r w:rsidR="00E230F8" w:rsidRPr="004D0A2B">
        <w:rPr>
          <w:rFonts w:ascii="Arial" w:hAnsi="Arial" w:cs="Arial"/>
        </w:rPr>
        <w:t>(χ²)</w:t>
      </w:r>
      <w:r w:rsidRPr="004D0A2B">
        <w:rPr>
          <w:rFonts w:ascii="Arial" w:hAnsi="Arial" w:cs="Arial"/>
        </w:rPr>
        <w:t xml:space="preserve">. Quantitative variables were compared using Student’s t-test, </w:t>
      </w:r>
      <w:r w:rsidR="00E230F8">
        <w:rPr>
          <w:rFonts w:ascii="Arial" w:hAnsi="Arial" w:cs="Arial"/>
        </w:rPr>
        <w:t xml:space="preserve">and </w:t>
      </w:r>
      <w:r w:rsidR="00E230F8" w:rsidRPr="00E230F8">
        <w:rPr>
          <w:rFonts w:ascii="Arial" w:hAnsi="Arial" w:cs="Arial"/>
        </w:rPr>
        <w:t>Median Test between independent groups</w:t>
      </w:r>
      <w:r w:rsidR="00E230F8">
        <w:rPr>
          <w:rFonts w:ascii="Arial" w:hAnsi="Arial" w:cs="Arial"/>
        </w:rPr>
        <w:t>.</w:t>
      </w:r>
      <w:r w:rsidRPr="004D0A2B">
        <w:rPr>
          <w:rFonts w:ascii="Arial" w:hAnsi="Arial" w:cs="Arial"/>
        </w:rPr>
        <w:t xml:space="preserve"> A two-tailed p-value of &lt; 0.05 was considered statistically significant.</w:t>
      </w:r>
    </w:p>
    <w:p w14:paraId="5328E3AB" w14:textId="5D56ADE0" w:rsidR="00C81973" w:rsidRPr="0054404D" w:rsidRDefault="00C81973" w:rsidP="00C81973">
      <w:pPr>
        <w:pStyle w:val="Body"/>
        <w:spacing w:after="0"/>
        <w:rPr>
          <w:rFonts w:ascii="Arial" w:hAnsi="Arial" w:cs="Arial"/>
        </w:rPr>
      </w:pPr>
    </w:p>
    <w:p w14:paraId="045A4FFC" w14:textId="77777777" w:rsidR="00C81973" w:rsidRPr="0054404D" w:rsidRDefault="00C81973" w:rsidP="00C81973">
      <w:pPr>
        <w:pStyle w:val="Body"/>
        <w:spacing w:after="0"/>
        <w:rPr>
          <w:rFonts w:ascii="Arial" w:hAnsi="Arial" w:cs="Arial"/>
          <w:b/>
          <w:caps/>
          <w:sz w:val="22"/>
        </w:rPr>
      </w:pPr>
      <w:r w:rsidRPr="0054404D">
        <w:rPr>
          <w:rFonts w:ascii="Arial" w:hAnsi="Arial" w:cs="Arial"/>
          <w:b/>
          <w:caps/>
          <w:sz w:val="22"/>
        </w:rPr>
        <w:t>2.</w:t>
      </w:r>
      <w:r>
        <w:rPr>
          <w:rFonts w:ascii="Arial" w:hAnsi="Arial" w:cs="Arial"/>
          <w:b/>
          <w:caps/>
          <w:sz w:val="22"/>
        </w:rPr>
        <w:t>4</w:t>
      </w:r>
      <w:r w:rsidRPr="0054404D">
        <w:rPr>
          <w:rFonts w:ascii="Arial" w:hAnsi="Arial" w:cs="Arial"/>
          <w:b/>
          <w:caps/>
          <w:sz w:val="22"/>
        </w:rPr>
        <w:t xml:space="preserve"> </w:t>
      </w:r>
      <w:r w:rsidRPr="0054404D">
        <w:rPr>
          <w:rFonts w:ascii="Arial" w:hAnsi="Arial" w:cs="Arial"/>
          <w:b/>
          <w:sz w:val="22"/>
        </w:rPr>
        <w:t>Ethical Considerations.</w:t>
      </w:r>
    </w:p>
    <w:p w14:paraId="17BB2C59" w14:textId="77777777" w:rsidR="00C81973" w:rsidRPr="0054404D" w:rsidRDefault="00C81973" w:rsidP="00C81973">
      <w:pPr>
        <w:pStyle w:val="Body"/>
        <w:spacing w:after="0"/>
        <w:rPr>
          <w:rFonts w:ascii="Arial" w:hAnsi="Arial" w:cs="Arial"/>
        </w:rPr>
      </w:pPr>
      <w:r w:rsidRPr="0054404D">
        <w:rPr>
          <w:rFonts w:ascii="Arial" w:hAnsi="Arial" w:cs="Arial"/>
        </w:rPr>
        <w:t xml:space="preserve">The study was conducted in accordance with the Good Clinical Practice Guidelines of our laws and the Declaration of Helsinki for human experiments. </w:t>
      </w:r>
      <w:r w:rsidRPr="00317273">
        <w:rPr>
          <w:rFonts w:ascii="Arial" w:hAnsi="Arial" w:cs="Arial"/>
        </w:rPr>
        <w:t>The protocol was approved by two committees: The Research Committee and the Ethics Committee in Research of the FMC "División del Norte".</w:t>
      </w:r>
      <w:r>
        <w:rPr>
          <w:rFonts w:ascii="Arial" w:hAnsi="Arial" w:cs="Arial"/>
        </w:rPr>
        <w:t xml:space="preserve"> </w:t>
      </w:r>
      <w:r w:rsidRPr="00317273">
        <w:rPr>
          <w:rFonts w:ascii="Arial" w:hAnsi="Arial" w:cs="Arial"/>
        </w:rPr>
        <w:t xml:space="preserve">The Data was treated confidentially. To guarantee confidentiality, only the principal investigators had access to the complete dataset, including identifiable patient information (e.g., names). The patient names were replaced with unique identification numbers. The assigned number allows the data to be linked to a specific individual without revealing the individual's identity. This approach ensured that all patient data were handled under ethical standards and maintained the highest level of confidentiality throughout the study. This anonymization was conducted before sharing the dataset for statistical analysis </w:t>
      </w:r>
      <w:r w:rsidRPr="00317273">
        <w:rPr>
          <w:rFonts w:ascii="Arial" w:hAnsi="Arial" w:cs="Arial"/>
        </w:rPr>
        <w:lastRenderedPageBreak/>
        <w:t>with some researchers. After the statistical analysis, only the processed statistical data were made available to the rest of the research team.</w:t>
      </w:r>
    </w:p>
    <w:p w14:paraId="02A115D9" w14:textId="77777777" w:rsidR="00C81973" w:rsidRPr="0054404D" w:rsidRDefault="00C81973" w:rsidP="00C81973">
      <w:pPr>
        <w:pStyle w:val="Body"/>
        <w:spacing w:after="0"/>
        <w:rPr>
          <w:rFonts w:ascii="Arial" w:hAnsi="Arial" w:cs="Arial"/>
          <w:b/>
          <w:u w:val="single"/>
        </w:rPr>
      </w:pPr>
    </w:p>
    <w:p w14:paraId="78CFCC31" w14:textId="77777777" w:rsidR="00C81973" w:rsidRPr="007A721D" w:rsidRDefault="00C81973" w:rsidP="00C81973">
      <w:pPr>
        <w:pStyle w:val="Head1"/>
        <w:spacing w:after="0"/>
        <w:jc w:val="both"/>
        <w:rPr>
          <w:rFonts w:ascii="Arial" w:hAnsi="Arial" w:cs="Arial"/>
          <w:szCs w:val="22"/>
        </w:rPr>
      </w:pPr>
      <w:r w:rsidRPr="007A721D">
        <w:rPr>
          <w:rFonts w:ascii="Arial" w:hAnsi="Arial" w:cs="Arial"/>
          <w:szCs w:val="22"/>
        </w:rPr>
        <w:t>3. results and discussion.</w:t>
      </w:r>
    </w:p>
    <w:p w14:paraId="56D97401" w14:textId="77777777" w:rsidR="00C81973" w:rsidRPr="007A721D" w:rsidRDefault="00C81973" w:rsidP="00C81973">
      <w:pPr>
        <w:pStyle w:val="Body"/>
        <w:spacing w:after="0"/>
        <w:rPr>
          <w:rFonts w:ascii="Arial" w:hAnsi="Arial" w:cs="Arial"/>
          <w:sz w:val="22"/>
          <w:szCs w:val="22"/>
        </w:rPr>
      </w:pPr>
      <w:r w:rsidRPr="007A721D">
        <w:rPr>
          <w:rFonts w:ascii="Arial" w:hAnsi="Arial" w:cs="Arial"/>
          <w:b/>
          <w:caps/>
          <w:sz w:val="22"/>
          <w:szCs w:val="22"/>
        </w:rPr>
        <w:t xml:space="preserve">3.1 </w:t>
      </w:r>
      <w:r w:rsidRPr="007A721D">
        <w:rPr>
          <w:rFonts w:ascii="Arial" w:hAnsi="Arial" w:cs="Arial"/>
          <w:b/>
          <w:sz w:val="22"/>
          <w:szCs w:val="22"/>
        </w:rPr>
        <w:t>Characteristics</w:t>
      </w:r>
      <w:r w:rsidRPr="007A721D">
        <w:rPr>
          <w:rFonts w:ascii="Arial" w:hAnsi="Arial" w:cs="Arial"/>
          <w:b/>
          <w:caps/>
          <w:sz w:val="22"/>
          <w:szCs w:val="22"/>
        </w:rPr>
        <w:t xml:space="preserve"> </w:t>
      </w:r>
      <w:r w:rsidRPr="007A721D">
        <w:rPr>
          <w:rFonts w:ascii="Arial" w:hAnsi="Arial" w:cs="Arial"/>
          <w:b/>
          <w:sz w:val="22"/>
          <w:szCs w:val="22"/>
        </w:rPr>
        <w:t>of</w:t>
      </w:r>
      <w:r w:rsidRPr="007A721D">
        <w:rPr>
          <w:rFonts w:ascii="Arial" w:hAnsi="Arial" w:cs="Arial"/>
          <w:b/>
          <w:caps/>
          <w:sz w:val="22"/>
          <w:szCs w:val="22"/>
        </w:rPr>
        <w:t xml:space="preserve"> </w:t>
      </w:r>
      <w:r w:rsidRPr="007A721D">
        <w:rPr>
          <w:rFonts w:ascii="Arial" w:hAnsi="Arial" w:cs="Arial"/>
          <w:b/>
          <w:sz w:val="22"/>
          <w:szCs w:val="22"/>
        </w:rPr>
        <w:t>the study population</w:t>
      </w:r>
    </w:p>
    <w:p w14:paraId="6F443309" w14:textId="11CDBE86" w:rsidR="00C81973" w:rsidRDefault="00A559B7" w:rsidP="00C81973">
      <w:pPr>
        <w:pStyle w:val="Body"/>
        <w:spacing w:after="0"/>
        <w:rPr>
          <w:rFonts w:ascii="Arial" w:hAnsi="Arial" w:cs="Arial"/>
        </w:rPr>
      </w:pPr>
      <w:r w:rsidRPr="006248B7">
        <w:rPr>
          <w:rFonts w:ascii="Arial" w:hAnsi="Arial" w:cs="Arial"/>
        </w:rPr>
        <w:t>Most of</w:t>
      </w:r>
      <w:r w:rsidR="00C81973" w:rsidRPr="006248B7">
        <w:rPr>
          <w:rFonts w:ascii="Arial" w:hAnsi="Arial" w:cs="Arial"/>
        </w:rPr>
        <w:t xml:space="preserve"> the participants are </w:t>
      </w:r>
      <w:r w:rsidR="00C81973">
        <w:rPr>
          <w:rFonts w:ascii="Arial" w:hAnsi="Arial" w:cs="Arial"/>
        </w:rPr>
        <w:t>females</w:t>
      </w:r>
      <w:r w:rsidR="00C81973" w:rsidRPr="006248B7">
        <w:rPr>
          <w:rFonts w:ascii="Arial" w:hAnsi="Arial" w:cs="Arial"/>
        </w:rPr>
        <w:t xml:space="preserve"> </w:t>
      </w:r>
      <w:r w:rsidR="00C81973" w:rsidRPr="00F87F2E">
        <w:rPr>
          <w:rFonts w:ascii="Arial" w:hAnsi="Arial" w:cs="Arial"/>
        </w:rPr>
        <w:t>(n=</w:t>
      </w:r>
      <w:r>
        <w:rPr>
          <w:rFonts w:ascii="Arial" w:hAnsi="Arial" w:cs="Arial"/>
        </w:rPr>
        <w:t>2</w:t>
      </w:r>
      <w:r w:rsidR="00C81973" w:rsidRPr="00F87F2E">
        <w:rPr>
          <w:rFonts w:ascii="Arial" w:hAnsi="Arial" w:cs="Arial"/>
        </w:rPr>
        <w:t>,0</w:t>
      </w:r>
      <w:r>
        <w:rPr>
          <w:rFonts w:ascii="Arial" w:hAnsi="Arial" w:cs="Arial"/>
        </w:rPr>
        <w:t>86</w:t>
      </w:r>
      <w:r w:rsidR="00C81973" w:rsidRPr="00F87F2E">
        <w:rPr>
          <w:rFonts w:ascii="Arial" w:hAnsi="Arial" w:cs="Arial"/>
        </w:rPr>
        <w:t xml:space="preserve">; </w:t>
      </w:r>
      <w:r>
        <w:rPr>
          <w:rFonts w:ascii="Arial" w:hAnsi="Arial" w:cs="Arial"/>
        </w:rPr>
        <w:t>58</w:t>
      </w:r>
      <w:r w:rsidR="00C81973" w:rsidRPr="00F87F2E">
        <w:rPr>
          <w:rFonts w:ascii="Arial" w:hAnsi="Arial" w:cs="Arial"/>
        </w:rPr>
        <w:t>.7%) and people in their sixties (n=</w:t>
      </w:r>
      <w:r>
        <w:rPr>
          <w:rFonts w:ascii="Arial" w:hAnsi="Arial" w:cs="Arial"/>
        </w:rPr>
        <w:t>1</w:t>
      </w:r>
      <w:r w:rsidR="00C81973" w:rsidRPr="00F87F2E">
        <w:rPr>
          <w:rFonts w:ascii="Arial" w:hAnsi="Arial" w:cs="Arial"/>
        </w:rPr>
        <w:t>,</w:t>
      </w:r>
      <w:r>
        <w:rPr>
          <w:rFonts w:ascii="Arial" w:hAnsi="Arial" w:cs="Arial"/>
        </w:rPr>
        <w:t>148</w:t>
      </w:r>
      <w:r w:rsidR="00C81973" w:rsidRPr="00F87F2E">
        <w:rPr>
          <w:rFonts w:ascii="Arial" w:hAnsi="Arial" w:cs="Arial"/>
        </w:rPr>
        <w:t xml:space="preserve">; </w:t>
      </w:r>
      <w:r>
        <w:rPr>
          <w:rFonts w:ascii="Arial" w:hAnsi="Arial" w:cs="Arial"/>
        </w:rPr>
        <w:t>32</w:t>
      </w:r>
      <w:r w:rsidR="00C81973" w:rsidRPr="00F87F2E">
        <w:rPr>
          <w:rFonts w:ascii="Arial" w:hAnsi="Arial" w:cs="Arial"/>
        </w:rPr>
        <w:t>.3%)</w:t>
      </w:r>
      <w:r w:rsidR="00C81973" w:rsidRPr="006248B7">
        <w:rPr>
          <w:rFonts w:ascii="Arial" w:hAnsi="Arial" w:cs="Arial"/>
        </w:rPr>
        <w:t>.</w:t>
      </w:r>
      <w:r w:rsidR="00C81973">
        <w:rPr>
          <w:rFonts w:ascii="Arial" w:hAnsi="Arial" w:cs="Arial"/>
        </w:rPr>
        <w:t xml:space="preserve"> </w:t>
      </w:r>
      <w:r w:rsidR="00C81973" w:rsidRPr="00956B7C">
        <w:rPr>
          <w:rFonts w:ascii="Arial" w:hAnsi="Arial" w:cs="Arial"/>
        </w:rPr>
        <w:t xml:space="preserve">The average age was </w:t>
      </w:r>
      <w:r w:rsidR="00C81973">
        <w:rPr>
          <w:rFonts w:ascii="Arial" w:hAnsi="Arial" w:cs="Arial"/>
        </w:rPr>
        <w:t>6</w:t>
      </w:r>
      <w:r>
        <w:rPr>
          <w:rFonts w:ascii="Arial" w:hAnsi="Arial" w:cs="Arial"/>
        </w:rPr>
        <w:t>4</w:t>
      </w:r>
      <w:r w:rsidR="00C81973">
        <w:rPr>
          <w:rFonts w:ascii="Arial" w:hAnsi="Arial" w:cs="Arial"/>
        </w:rPr>
        <w:t>.</w:t>
      </w:r>
      <w:r>
        <w:rPr>
          <w:rFonts w:ascii="Arial" w:hAnsi="Arial" w:cs="Arial"/>
        </w:rPr>
        <w:t>39</w:t>
      </w:r>
      <w:r w:rsidR="00C81973" w:rsidRPr="00956B7C">
        <w:rPr>
          <w:rFonts w:ascii="Arial" w:hAnsi="Arial" w:cs="Arial"/>
        </w:rPr>
        <w:t xml:space="preserve"> </w:t>
      </w:r>
      <w:r w:rsidR="00225D1E">
        <w:rPr>
          <w:rFonts w:ascii="Arial" w:hAnsi="Arial" w:cs="Arial"/>
        </w:rPr>
        <w:t xml:space="preserve">(Figure 1) </w:t>
      </w:r>
      <w:r w:rsidR="00C81973" w:rsidRPr="00956B7C">
        <w:rPr>
          <w:rFonts w:ascii="Arial" w:hAnsi="Arial" w:cs="Arial"/>
        </w:rPr>
        <w:t>years old (SD=</w:t>
      </w:r>
      <w:r w:rsidR="00C81973">
        <w:rPr>
          <w:rFonts w:ascii="Arial" w:hAnsi="Arial" w:cs="Arial"/>
        </w:rPr>
        <w:t>12</w:t>
      </w:r>
      <w:r w:rsidR="00C81973" w:rsidRPr="00956B7C">
        <w:rPr>
          <w:rFonts w:ascii="Arial" w:hAnsi="Arial" w:cs="Arial"/>
        </w:rPr>
        <w:t>.</w:t>
      </w:r>
      <w:r>
        <w:rPr>
          <w:rFonts w:ascii="Arial" w:hAnsi="Arial" w:cs="Arial"/>
        </w:rPr>
        <w:t>2</w:t>
      </w:r>
      <w:r w:rsidR="00C81973">
        <w:rPr>
          <w:rFonts w:ascii="Arial" w:hAnsi="Arial" w:cs="Arial"/>
        </w:rPr>
        <w:t>6</w:t>
      </w:r>
      <w:r w:rsidR="00C81973" w:rsidRPr="00956B7C">
        <w:rPr>
          <w:rFonts w:ascii="Arial" w:hAnsi="Arial" w:cs="Arial"/>
        </w:rPr>
        <w:t>, range=</w:t>
      </w:r>
      <w:r w:rsidR="00225D1E">
        <w:rPr>
          <w:rFonts w:ascii="Arial" w:hAnsi="Arial" w:cs="Arial"/>
        </w:rPr>
        <w:t>94</w:t>
      </w:r>
      <w:r w:rsidR="00C81973" w:rsidRPr="00956B7C">
        <w:rPr>
          <w:rFonts w:ascii="Arial" w:hAnsi="Arial" w:cs="Arial"/>
        </w:rPr>
        <w:t>, minimum age=</w:t>
      </w:r>
      <w:r w:rsidR="00225D1E">
        <w:rPr>
          <w:rFonts w:ascii="Arial" w:hAnsi="Arial" w:cs="Arial"/>
        </w:rPr>
        <w:t>9</w:t>
      </w:r>
      <w:r w:rsidR="00C81973" w:rsidRPr="00956B7C">
        <w:rPr>
          <w:rFonts w:ascii="Arial" w:hAnsi="Arial" w:cs="Arial"/>
        </w:rPr>
        <w:t>, maximum age=</w:t>
      </w:r>
      <w:r w:rsidR="00C81973">
        <w:rPr>
          <w:rFonts w:ascii="Arial" w:hAnsi="Arial" w:cs="Arial"/>
        </w:rPr>
        <w:t>10</w:t>
      </w:r>
      <w:r w:rsidR="00225D1E">
        <w:rPr>
          <w:rFonts w:ascii="Arial" w:hAnsi="Arial" w:cs="Arial"/>
        </w:rPr>
        <w:t>3</w:t>
      </w:r>
      <w:r w:rsidR="00C81973" w:rsidRPr="00956B7C">
        <w:rPr>
          <w:rFonts w:ascii="Arial" w:hAnsi="Arial" w:cs="Arial"/>
        </w:rPr>
        <w:t xml:space="preserve"> years old, median age=</w:t>
      </w:r>
      <w:r w:rsidR="00C81973">
        <w:rPr>
          <w:rFonts w:ascii="Arial" w:hAnsi="Arial" w:cs="Arial"/>
        </w:rPr>
        <w:t>6</w:t>
      </w:r>
      <w:r w:rsidR="00225D1E">
        <w:rPr>
          <w:rFonts w:ascii="Arial" w:hAnsi="Arial" w:cs="Arial"/>
        </w:rPr>
        <w:t>5</w:t>
      </w:r>
      <w:r w:rsidR="00C81973" w:rsidRPr="00956B7C">
        <w:rPr>
          <w:rFonts w:ascii="Arial" w:hAnsi="Arial" w:cs="Arial"/>
        </w:rPr>
        <w:t xml:space="preserve"> [IQR=</w:t>
      </w:r>
      <w:r w:rsidR="00C81973">
        <w:rPr>
          <w:rFonts w:ascii="Arial" w:hAnsi="Arial" w:cs="Arial"/>
        </w:rPr>
        <w:t>5</w:t>
      </w:r>
      <w:r w:rsidR="00225D1E">
        <w:rPr>
          <w:rFonts w:ascii="Arial" w:hAnsi="Arial" w:cs="Arial"/>
        </w:rPr>
        <w:t>6</w:t>
      </w:r>
      <w:r w:rsidR="00C81973" w:rsidRPr="00956B7C">
        <w:rPr>
          <w:rFonts w:ascii="Arial" w:hAnsi="Arial" w:cs="Arial"/>
        </w:rPr>
        <w:t>-</w:t>
      </w:r>
      <w:r w:rsidR="00C81973">
        <w:rPr>
          <w:rFonts w:ascii="Arial" w:hAnsi="Arial" w:cs="Arial"/>
        </w:rPr>
        <w:t>7</w:t>
      </w:r>
      <w:r w:rsidR="00225D1E">
        <w:rPr>
          <w:rFonts w:ascii="Arial" w:hAnsi="Arial" w:cs="Arial"/>
        </w:rPr>
        <w:t>3</w:t>
      </w:r>
      <w:r w:rsidR="00C81973" w:rsidRPr="00956B7C">
        <w:rPr>
          <w:rFonts w:ascii="Arial" w:hAnsi="Arial" w:cs="Arial"/>
        </w:rPr>
        <w:t>]).</w:t>
      </w:r>
    </w:p>
    <w:p w14:paraId="15DFF2C2" w14:textId="77777777" w:rsidR="00A559B7" w:rsidRDefault="00A559B7" w:rsidP="00C81973">
      <w:pPr>
        <w:pStyle w:val="Body"/>
        <w:spacing w:after="0"/>
        <w:rPr>
          <w:rFonts w:ascii="Arial" w:hAnsi="Arial" w:cs="Arial"/>
        </w:rPr>
      </w:pPr>
    </w:p>
    <w:p w14:paraId="75442D74" w14:textId="182318F8" w:rsidR="007B4AE0" w:rsidRPr="00225D1E" w:rsidRDefault="007B4AE0" w:rsidP="007B4AE0">
      <w:pPr>
        <w:pStyle w:val="Body"/>
        <w:spacing w:after="0"/>
        <w:rPr>
          <w:rFonts w:ascii="Arial" w:hAnsi="Arial" w:cs="Arial"/>
          <w:b/>
          <w:bCs/>
        </w:rPr>
      </w:pPr>
      <w:r w:rsidRPr="00225D1E">
        <w:rPr>
          <w:rFonts w:ascii="Arial" w:hAnsi="Arial" w:cs="Arial"/>
          <w:b/>
          <w:bCs/>
        </w:rPr>
        <w:t>Figure 1</w:t>
      </w:r>
      <w:r w:rsidR="002A4342">
        <w:rPr>
          <w:rFonts w:ascii="Arial" w:hAnsi="Arial" w:cs="Arial"/>
          <w:b/>
          <w:bCs/>
        </w:rPr>
        <w:t xml:space="preserve">. </w:t>
      </w:r>
      <w:r w:rsidRPr="00225D1E">
        <w:rPr>
          <w:rFonts w:ascii="Arial" w:hAnsi="Arial" w:cs="Arial"/>
          <w:b/>
          <w:bCs/>
        </w:rPr>
        <w:t>Age Distribution of Patients Included in the Study.</w:t>
      </w:r>
    </w:p>
    <w:p w14:paraId="06DE601B" w14:textId="77777777" w:rsidR="007B4AE0" w:rsidRDefault="007B4AE0" w:rsidP="00C81973">
      <w:pPr>
        <w:pStyle w:val="Body"/>
        <w:spacing w:after="0"/>
        <w:rPr>
          <w:rFonts w:ascii="Arial" w:hAnsi="Arial" w:cs="Arial"/>
        </w:rPr>
      </w:pPr>
    </w:p>
    <w:p w14:paraId="19BF657F" w14:textId="56FE637C" w:rsidR="005200BA" w:rsidRPr="005200BA" w:rsidRDefault="005200BA" w:rsidP="005200BA">
      <w:pPr>
        <w:pStyle w:val="Body"/>
        <w:rPr>
          <w:rFonts w:ascii="Arial" w:hAnsi="Arial" w:cs="Arial"/>
        </w:rPr>
      </w:pPr>
      <w:r w:rsidRPr="005200BA">
        <w:rPr>
          <w:rFonts w:ascii="Arial" w:hAnsi="Arial" w:cs="Arial"/>
          <w:noProof/>
        </w:rPr>
        <w:drawing>
          <wp:inline distT="0" distB="0" distL="0" distR="0" wp14:anchorId="6BCFB0D2" wp14:editId="710E91DB">
            <wp:extent cx="5212080" cy="4168140"/>
            <wp:effectExtent l="0" t="0" r="7620" b="3810"/>
            <wp:docPr id="144759589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p>
    <w:p w14:paraId="4483043C" w14:textId="4939092C" w:rsidR="005414AD" w:rsidRDefault="005414AD" w:rsidP="005414AD">
      <w:pPr>
        <w:pStyle w:val="Body"/>
        <w:spacing w:after="0"/>
        <w:rPr>
          <w:rFonts w:ascii="Arial" w:hAnsi="Arial" w:cs="Arial"/>
        </w:rPr>
      </w:pPr>
      <w:r>
        <w:rPr>
          <w:rFonts w:ascii="Arial" w:hAnsi="Arial" w:cs="Arial"/>
        </w:rPr>
        <w:t>In relationship to th</w:t>
      </w:r>
      <w:r w:rsidRPr="00E20102">
        <w:rPr>
          <w:rFonts w:ascii="Arial" w:hAnsi="Arial" w:cs="Arial"/>
        </w:rPr>
        <w:t xml:space="preserve">e </w:t>
      </w:r>
      <w:r>
        <w:rPr>
          <w:rFonts w:ascii="Arial" w:hAnsi="Arial" w:cs="Arial"/>
        </w:rPr>
        <w:t xml:space="preserve">age </w:t>
      </w:r>
      <w:r w:rsidRPr="00E20102">
        <w:rPr>
          <w:rFonts w:ascii="Arial" w:hAnsi="Arial" w:cs="Arial"/>
        </w:rPr>
        <w:t xml:space="preserve">differences between males and females, </w:t>
      </w:r>
      <w:r>
        <w:rPr>
          <w:rFonts w:ascii="Arial" w:hAnsi="Arial" w:cs="Arial"/>
        </w:rPr>
        <w:t>the average age was similar in both groups (</w:t>
      </w:r>
      <w:r w:rsidRPr="00E20102">
        <w:rPr>
          <w:rFonts w:ascii="Arial" w:hAnsi="Arial" w:cs="Arial"/>
        </w:rPr>
        <w:t>females=</w:t>
      </w:r>
      <w:r>
        <w:rPr>
          <w:rFonts w:ascii="Arial" w:hAnsi="Arial" w:cs="Arial"/>
        </w:rPr>
        <w:t>2,086;</w:t>
      </w:r>
      <w:r w:rsidRPr="00E20102">
        <w:rPr>
          <w:rFonts w:ascii="Arial" w:hAnsi="Arial" w:cs="Arial"/>
        </w:rPr>
        <w:t xml:space="preserve"> </w:t>
      </w:r>
      <w:r>
        <w:rPr>
          <w:rFonts w:ascii="Arial" w:hAnsi="Arial" w:cs="Arial"/>
        </w:rPr>
        <w:t>mean=64.36 years,</w:t>
      </w:r>
      <w:r w:rsidRPr="00E20102">
        <w:rPr>
          <w:rFonts w:ascii="Arial" w:hAnsi="Arial" w:cs="Arial"/>
        </w:rPr>
        <w:t xml:space="preserve"> SD=1</w:t>
      </w:r>
      <w:r>
        <w:rPr>
          <w:rFonts w:ascii="Arial" w:hAnsi="Arial" w:cs="Arial"/>
        </w:rPr>
        <w:t>2</w:t>
      </w:r>
      <w:r w:rsidRPr="00E20102">
        <w:rPr>
          <w:rFonts w:ascii="Arial" w:hAnsi="Arial" w:cs="Arial"/>
        </w:rPr>
        <w:t>.</w:t>
      </w:r>
      <w:r>
        <w:rPr>
          <w:rFonts w:ascii="Arial" w:hAnsi="Arial" w:cs="Arial"/>
        </w:rPr>
        <w:t>17</w:t>
      </w:r>
      <w:r w:rsidRPr="00E20102">
        <w:rPr>
          <w:rFonts w:ascii="Arial" w:hAnsi="Arial" w:cs="Arial"/>
        </w:rPr>
        <w:t xml:space="preserve"> vs., males=1</w:t>
      </w:r>
      <w:r>
        <w:rPr>
          <w:rFonts w:ascii="Arial" w:hAnsi="Arial" w:cs="Arial"/>
        </w:rPr>
        <w:t>,470;</w:t>
      </w:r>
      <w:r w:rsidRPr="00E20102">
        <w:rPr>
          <w:rFonts w:ascii="Arial" w:hAnsi="Arial" w:cs="Arial"/>
        </w:rPr>
        <w:t xml:space="preserve"> </w:t>
      </w:r>
      <w:r>
        <w:rPr>
          <w:rFonts w:ascii="Arial" w:hAnsi="Arial" w:cs="Arial"/>
        </w:rPr>
        <w:t xml:space="preserve">mean=64.43 </w:t>
      </w:r>
      <w:r w:rsidRPr="00E20102">
        <w:rPr>
          <w:rFonts w:ascii="Arial" w:hAnsi="Arial" w:cs="Arial"/>
        </w:rPr>
        <w:t>year</w:t>
      </w:r>
      <w:r>
        <w:rPr>
          <w:rFonts w:ascii="Arial" w:hAnsi="Arial" w:cs="Arial"/>
        </w:rPr>
        <w:t>s,</w:t>
      </w:r>
      <w:r w:rsidRPr="00E20102">
        <w:rPr>
          <w:rFonts w:ascii="Arial" w:hAnsi="Arial" w:cs="Arial"/>
        </w:rPr>
        <w:t xml:space="preserve"> SD=12.</w:t>
      </w:r>
      <w:r>
        <w:rPr>
          <w:rFonts w:ascii="Arial" w:hAnsi="Arial" w:cs="Arial"/>
        </w:rPr>
        <w:t>39</w:t>
      </w:r>
      <w:r w:rsidRPr="00E20102">
        <w:rPr>
          <w:rFonts w:ascii="Arial" w:hAnsi="Arial" w:cs="Arial"/>
        </w:rPr>
        <w:t>, p</w:t>
      </w:r>
      <w:r>
        <w:rPr>
          <w:rFonts w:ascii="Arial" w:hAnsi="Arial" w:cs="Arial"/>
        </w:rPr>
        <w:t>=</w:t>
      </w:r>
      <w:r w:rsidRPr="00E20102">
        <w:rPr>
          <w:rFonts w:ascii="Arial" w:hAnsi="Arial" w:cs="Arial"/>
        </w:rPr>
        <w:t>0.</w:t>
      </w:r>
      <w:r>
        <w:rPr>
          <w:rFonts w:ascii="Arial" w:hAnsi="Arial" w:cs="Arial"/>
        </w:rPr>
        <w:t>876</w:t>
      </w:r>
      <w:r w:rsidRPr="00E20102">
        <w:rPr>
          <w:rFonts w:ascii="Arial" w:hAnsi="Arial" w:cs="Arial"/>
        </w:rPr>
        <w:t>)</w:t>
      </w:r>
      <w:r>
        <w:rPr>
          <w:rFonts w:ascii="Arial" w:hAnsi="Arial" w:cs="Arial"/>
        </w:rPr>
        <w:t xml:space="preserve">. </w:t>
      </w:r>
      <w:r w:rsidR="00DB6976">
        <w:rPr>
          <w:rFonts w:ascii="Arial" w:hAnsi="Arial" w:cs="Arial"/>
        </w:rPr>
        <w:t>In the same way</w:t>
      </w:r>
      <w:r w:rsidRPr="00E20102">
        <w:rPr>
          <w:rFonts w:ascii="Arial" w:hAnsi="Arial" w:cs="Arial"/>
        </w:rPr>
        <w:t xml:space="preserve">, </w:t>
      </w:r>
      <w:r>
        <w:rPr>
          <w:rFonts w:ascii="Arial" w:hAnsi="Arial" w:cs="Arial"/>
        </w:rPr>
        <w:t xml:space="preserve">we observed </w:t>
      </w:r>
      <w:r w:rsidR="00DB6976">
        <w:rPr>
          <w:rFonts w:ascii="Arial" w:hAnsi="Arial" w:cs="Arial"/>
        </w:rPr>
        <w:t xml:space="preserve">similar median </w:t>
      </w:r>
      <w:r w:rsidRPr="00E20102">
        <w:rPr>
          <w:rFonts w:ascii="Arial" w:hAnsi="Arial" w:cs="Arial"/>
        </w:rPr>
        <w:t xml:space="preserve">age </w:t>
      </w:r>
      <w:r w:rsidR="00DB6976">
        <w:rPr>
          <w:rFonts w:ascii="Arial" w:hAnsi="Arial" w:cs="Arial"/>
        </w:rPr>
        <w:t>(females=64 years; IQR=56-73</w:t>
      </w:r>
      <w:r w:rsidRPr="00E20102">
        <w:rPr>
          <w:rFonts w:ascii="Arial" w:hAnsi="Arial" w:cs="Arial"/>
        </w:rPr>
        <w:t xml:space="preserve"> years vs., males=6</w:t>
      </w:r>
      <w:r w:rsidR="00DB6976">
        <w:rPr>
          <w:rFonts w:ascii="Arial" w:hAnsi="Arial" w:cs="Arial"/>
        </w:rPr>
        <w:t>5</w:t>
      </w:r>
      <w:r w:rsidRPr="00E20102">
        <w:rPr>
          <w:rFonts w:ascii="Arial" w:hAnsi="Arial" w:cs="Arial"/>
        </w:rPr>
        <w:t xml:space="preserve"> years</w:t>
      </w:r>
      <w:r w:rsidR="00DB6976">
        <w:rPr>
          <w:rFonts w:ascii="Arial" w:hAnsi="Arial" w:cs="Arial"/>
        </w:rPr>
        <w:t>;</w:t>
      </w:r>
      <w:r w:rsidRPr="00E20102">
        <w:rPr>
          <w:rFonts w:ascii="Arial" w:hAnsi="Arial" w:cs="Arial"/>
        </w:rPr>
        <w:t xml:space="preserve"> </w:t>
      </w:r>
      <w:r w:rsidR="00DB6976">
        <w:rPr>
          <w:rFonts w:ascii="Arial" w:hAnsi="Arial" w:cs="Arial"/>
        </w:rPr>
        <w:t>IQR</w:t>
      </w:r>
      <w:r w:rsidRPr="00E20102">
        <w:rPr>
          <w:rFonts w:ascii="Arial" w:hAnsi="Arial" w:cs="Arial"/>
        </w:rPr>
        <w:t>=</w:t>
      </w:r>
      <w:r w:rsidR="00DB6976">
        <w:rPr>
          <w:rFonts w:ascii="Arial" w:hAnsi="Arial" w:cs="Arial"/>
        </w:rPr>
        <w:t>5</w:t>
      </w:r>
      <w:r w:rsidRPr="00E20102">
        <w:rPr>
          <w:rFonts w:ascii="Arial" w:hAnsi="Arial" w:cs="Arial"/>
        </w:rPr>
        <w:t>6</w:t>
      </w:r>
      <w:r w:rsidR="00DB6976">
        <w:rPr>
          <w:rFonts w:ascii="Arial" w:hAnsi="Arial" w:cs="Arial"/>
        </w:rPr>
        <w:t>.7</w:t>
      </w:r>
      <w:r w:rsidRPr="00E20102">
        <w:rPr>
          <w:rFonts w:ascii="Arial" w:hAnsi="Arial" w:cs="Arial"/>
        </w:rPr>
        <w:t>5</w:t>
      </w:r>
      <w:r w:rsidR="00DB6976">
        <w:rPr>
          <w:rFonts w:ascii="Arial" w:hAnsi="Arial" w:cs="Arial"/>
        </w:rPr>
        <w:t>-73</w:t>
      </w:r>
      <w:r w:rsidRPr="00E20102">
        <w:rPr>
          <w:rFonts w:ascii="Arial" w:hAnsi="Arial" w:cs="Arial"/>
        </w:rPr>
        <w:t>, p</w:t>
      </w:r>
      <w:r w:rsidR="00DB6976">
        <w:rPr>
          <w:rFonts w:ascii="Arial" w:hAnsi="Arial" w:cs="Arial"/>
        </w:rPr>
        <w:t>=</w:t>
      </w:r>
      <w:r w:rsidRPr="00E20102">
        <w:rPr>
          <w:rFonts w:ascii="Arial" w:hAnsi="Arial" w:cs="Arial"/>
        </w:rPr>
        <w:t>0.0</w:t>
      </w:r>
      <w:r w:rsidR="00DB6976">
        <w:rPr>
          <w:rFonts w:ascii="Arial" w:hAnsi="Arial" w:cs="Arial"/>
        </w:rPr>
        <w:t>90</w:t>
      </w:r>
      <w:r w:rsidRPr="00E20102">
        <w:rPr>
          <w:rFonts w:ascii="Arial" w:hAnsi="Arial" w:cs="Arial"/>
        </w:rPr>
        <w:t>).</w:t>
      </w:r>
    </w:p>
    <w:p w14:paraId="7ABC9DCF" w14:textId="77777777" w:rsidR="005414AD" w:rsidRDefault="005414AD" w:rsidP="00C81973">
      <w:pPr>
        <w:pStyle w:val="Body"/>
        <w:spacing w:after="0"/>
        <w:rPr>
          <w:rFonts w:ascii="Arial" w:hAnsi="Arial" w:cs="Arial"/>
        </w:rPr>
      </w:pPr>
    </w:p>
    <w:p w14:paraId="30C85169" w14:textId="1CC2DD9D" w:rsidR="000E561A" w:rsidRDefault="000E561A" w:rsidP="00C81973">
      <w:pPr>
        <w:pStyle w:val="Body"/>
        <w:spacing w:after="0"/>
        <w:rPr>
          <w:rFonts w:ascii="Arial" w:hAnsi="Arial" w:cs="Arial"/>
        </w:rPr>
      </w:pPr>
      <w:r w:rsidRPr="000E561A">
        <w:rPr>
          <w:rFonts w:ascii="Arial" w:hAnsi="Arial" w:cs="Arial"/>
        </w:rPr>
        <w:t>Regarding sex differences, females predominated in most age groups (p = 0.010), particularly in the 50–59 years group (511 females vs 313 males) and the 60–69 years group (658 vs 490). This predominance was also evident in the 70–79 years (481 vs 354) and 80–89 years (187 vs 138) groups. In contrast, males outnumbered females in the adolescent group (10–19 years, 7 males vs none)</w:t>
      </w:r>
      <w:r>
        <w:rPr>
          <w:rFonts w:ascii="Arial" w:hAnsi="Arial" w:cs="Arial"/>
        </w:rPr>
        <w:t>.</w:t>
      </w:r>
    </w:p>
    <w:p w14:paraId="3E4A5FEB" w14:textId="77777777" w:rsidR="000E561A" w:rsidRDefault="000E561A" w:rsidP="00C81973">
      <w:pPr>
        <w:pStyle w:val="Body"/>
        <w:spacing w:after="0"/>
        <w:rPr>
          <w:rFonts w:ascii="Arial" w:hAnsi="Arial" w:cs="Arial"/>
        </w:rPr>
      </w:pPr>
    </w:p>
    <w:p w14:paraId="455B1F3D" w14:textId="47D0D7A4" w:rsidR="004D735F" w:rsidRPr="005E58C2" w:rsidRDefault="004D735F" w:rsidP="004D735F">
      <w:pPr>
        <w:pStyle w:val="Body"/>
        <w:spacing w:after="0"/>
        <w:rPr>
          <w:rFonts w:ascii="Arial" w:hAnsi="Arial" w:cs="Arial"/>
          <w:b/>
          <w:bCs/>
        </w:rPr>
      </w:pPr>
      <w:r w:rsidRPr="005E58C2">
        <w:rPr>
          <w:rFonts w:ascii="Arial" w:hAnsi="Arial" w:cs="Arial"/>
          <w:b/>
          <w:bCs/>
        </w:rPr>
        <w:t xml:space="preserve">Table </w:t>
      </w:r>
      <w:r>
        <w:rPr>
          <w:rFonts w:ascii="Arial" w:hAnsi="Arial" w:cs="Arial"/>
          <w:b/>
          <w:bCs/>
        </w:rPr>
        <w:t>1</w:t>
      </w:r>
      <w:r w:rsidRPr="005E58C2">
        <w:rPr>
          <w:rFonts w:ascii="Arial" w:hAnsi="Arial" w:cs="Arial"/>
          <w:b/>
          <w:bCs/>
        </w:rPr>
        <w:t xml:space="preserve">. </w:t>
      </w:r>
      <w:r w:rsidRPr="004D735F">
        <w:rPr>
          <w:rFonts w:ascii="Arial" w:hAnsi="Arial" w:cs="Arial"/>
          <w:b/>
          <w:bCs/>
        </w:rPr>
        <w:t>Comparison of Age Distribution by Sex in the Study Population</w:t>
      </w:r>
    </w:p>
    <w:tbl>
      <w:tblPr>
        <w:tblStyle w:val="TableGrid"/>
        <w:tblW w:w="8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2049"/>
        <w:gridCol w:w="2050"/>
        <w:gridCol w:w="2050"/>
      </w:tblGrid>
      <w:tr w:rsidR="004D735F" w14:paraId="435798A8" w14:textId="77777777" w:rsidTr="004D735F">
        <w:trPr>
          <w:trHeight w:val="256"/>
        </w:trPr>
        <w:tc>
          <w:tcPr>
            <w:tcW w:w="2049" w:type="dxa"/>
            <w:tcBorders>
              <w:bottom w:val="single" w:sz="4" w:space="0" w:color="auto"/>
            </w:tcBorders>
          </w:tcPr>
          <w:p w14:paraId="55C3D057" w14:textId="72F9BBB7" w:rsidR="004D735F" w:rsidRDefault="004D735F" w:rsidP="004D735F">
            <w:pPr>
              <w:pStyle w:val="Body"/>
              <w:spacing w:after="0"/>
              <w:rPr>
                <w:rFonts w:ascii="Arial" w:hAnsi="Arial" w:cs="Arial"/>
              </w:rPr>
            </w:pPr>
            <w:r w:rsidRPr="000E561A">
              <w:rPr>
                <w:rFonts w:ascii="Arial" w:hAnsi="Arial" w:cs="Arial"/>
                <w:lang w:val="es-MX"/>
              </w:rPr>
              <w:lastRenderedPageBreak/>
              <w:t>Decades</w:t>
            </w:r>
            <w:r>
              <w:rPr>
                <w:rFonts w:ascii="Arial" w:hAnsi="Arial" w:cs="Arial"/>
                <w:lang w:val="es-MX"/>
              </w:rPr>
              <w:t xml:space="preserve"> (years)</w:t>
            </w:r>
          </w:p>
        </w:tc>
        <w:tc>
          <w:tcPr>
            <w:tcW w:w="2049" w:type="dxa"/>
            <w:tcBorders>
              <w:bottom w:val="single" w:sz="4" w:space="0" w:color="auto"/>
            </w:tcBorders>
          </w:tcPr>
          <w:p w14:paraId="0479D0EE" w14:textId="07771BFD" w:rsidR="004D735F" w:rsidRDefault="004D735F" w:rsidP="004D735F">
            <w:pPr>
              <w:pStyle w:val="Body"/>
              <w:spacing w:after="0"/>
              <w:jc w:val="center"/>
              <w:rPr>
                <w:rFonts w:ascii="Arial" w:hAnsi="Arial" w:cs="Arial"/>
              </w:rPr>
            </w:pPr>
            <w:r w:rsidRPr="000E561A">
              <w:rPr>
                <w:rFonts w:ascii="Arial" w:hAnsi="Arial" w:cs="Arial"/>
                <w:lang w:val="es-MX"/>
              </w:rPr>
              <w:t>Total</w:t>
            </w:r>
          </w:p>
        </w:tc>
        <w:tc>
          <w:tcPr>
            <w:tcW w:w="2050" w:type="dxa"/>
            <w:tcBorders>
              <w:bottom w:val="single" w:sz="4" w:space="0" w:color="auto"/>
            </w:tcBorders>
          </w:tcPr>
          <w:p w14:paraId="5709B6E1" w14:textId="463CF04B" w:rsidR="004D735F" w:rsidRDefault="004D735F" w:rsidP="004D735F">
            <w:pPr>
              <w:pStyle w:val="Body"/>
              <w:spacing w:after="0"/>
              <w:jc w:val="center"/>
              <w:rPr>
                <w:rFonts w:ascii="Arial" w:hAnsi="Arial" w:cs="Arial"/>
              </w:rPr>
            </w:pPr>
            <w:r w:rsidRPr="000E561A">
              <w:rPr>
                <w:rFonts w:ascii="Arial" w:hAnsi="Arial" w:cs="Arial"/>
                <w:lang w:val="es-MX"/>
              </w:rPr>
              <w:t>Females</w:t>
            </w:r>
          </w:p>
        </w:tc>
        <w:tc>
          <w:tcPr>
            <w:tcW w:w="2050" w:type="dxa"/>
            <w:tcBorders>
              <w:bottom w:val="single" w:sz="4" w:space="0" w:color="auto"/>
            </w:tcBorders>
          </w:tcPr>
          <w:p w14:paraId="04833E45" w14:textId="0620A255" w:rsidR="004D735F" w:rsidRDefault="004D735F" w:rsidP="004D735F">
            <w:pPr>
              <w:pStyle w:val="Body"/>
              <w:spacing w:after="0"/>
              <w:jc w:val="center"/>
              <w:rPr>
                <w:rFonts w:ascii="Arial" w:hAnsi="Arial" w:cs="Arial"/>
              </w:rPr>
            </w:pPr>
            <w:r w:rsidRPr="000E561A">
              <w:rPr>
                <w:rFonts w:ascii="Arial" w:hAnsi="Arial" w:cs="Arial"/>
                <w:lang w:val="es-MX"/>
              </w:rPr>
              <w:t>Males</w:t>
            </w:r>
          </w:p>
        </w:tc>
      </w:tr>
      <w:tr w:rsidR="004D735F" w14:paraId="65070E93" w14:textId="77777777" w:rsidTr="004D735F">
        <w:trPr>
          <w:trHeight w:val="241"/>
        </w:trPr>
        <w:tc>
          <w:tcPr>
            <w:tcW w:w="2049" w:type="dxa"/>
            <w:tcBorders>
              <w:top w:val="single" w:sz="4" w:space="0" w:color="auto"/>
              <w:bottom w:val="nil"/>
            </w:tcBorders>
          </w:tcPr>
          <w:p w14:paraId="4BE7604F" w14:textId="45F52FB5" w:rsidR="004D735F" w:rsidRDefault="004D735F" w:rsidP="004D735F">
            <w:pPr>
              <w:pStyle w:val="Body"/>
              <w:spacing w:after="0"/>
              <w:rPr>
                <w:rFonts w:ascii="Arial" w:hAnsi="Arial" w:cs="Arial"/>
              </w:rPr>
            </w:pPr>
            <w:r w:rsidRPr="000E561A">
              <w:rPr>
                <w:rFonts w:ascii="Arial" w:hAnsi="Arial" w:cs="Arial"/>
                <w:lang w:val="es-MX"/>
              </w:rPr>
              <w:t>0-9</w:t>
            </w:r>
          </w:p>
        </w:tc>
        <w:tc>
          <w:tcPr>
            <w:tcW w:w="2049" w:type="dxa"/>
            <w:tcBorders>
              <w:top w:val="single" w:sz="4" w:space="0" w:color="auto"/>
              <w:bottom w:val="nil"/>
            </w:tcBorders>
          </w:tcPr>
          <w:p w14:paraId="47AC3810" w14:textId="0F44F754" w:rsidR="004D735F" w:rsidRDefault="004D735F" w:rsidP="004D735F">
            <w:pPr>
              <w:pStyle w:val="Body"/>
              <w:spacing w:after="0"/>
              <w:jc w:val="center"/>
              <w:rPr>
                <w:rFonts w:ascii="Arial" w:hAnsi="Arial" w:cs="Arial"/>
              </w:rPr>
            </w:pPr>
            <w:r w:rsidRPr="000E561A">
              <w:rPr>
                <w:rFonts w:ascii="Arial" w:hAnsi="Arial" w:cs="Arial"/>
                <w:lang w:val="es-MX"/>
              </w:rPr>
              <w:t>1</w:t>
            </w:r>
          </w:p>
        </w:tc>
        <w:tc>
          <w:tcPr>
            <w:tcW w:w="2050" w:type="dxa"/>
            <w:tcBorders>
              <w:top w:val="single" w:sz="4" w:space="0" w:color="auto"/>
              <w:bottom w:val="nil"/>
            </w:tcBorders>
          </w:tcPr>
          <w:p w14:paraId="3240BF0A" w14:textId="2ADB3DCC" w:rsidR="004D735F" w:rsidRDefault="004D735F" w:rsidP="004D735F">
            <w:pPr>
              <w:pStyle w:val="Body"/>
              <w:spacing w:after="0"/>
              <w:jc w:val="center"/>
              <w:rPr>
                <w:rFonts w:ascii="Arial" w:hAnsi="Arial" w:cs="Arial"/>
              </w:rPr>
            </w:pPr>
            <w:r w:rsidRPr="000E561A">
              <w:rPr>
                <w:rFonts w:ascii="Arial" w:hAnsi="Arial" w:cs="Arial"/>
                <w:lang w:val="es-MX"/>
              </w:rPr>
              <w:t>1</w:t>
            </w:r>
          </w:p>
        </w:tc>
        <w:tc>
          <w:tcPr>
            <w:tcW w:w="2050" w:type="dxa"/>
            <w:tcBorders>
              <w:top w:val="single" w:sz="4" w:space="0" w:color="auto"/>
              <w:bottom w:val="nil"/>
            </w:tcBorders>
          </w:tcPr>
          <w:p w14:paraId="0E978423" w14:textId="2D004F4D" w:rsidR="004D735F" w:rsidRDefault="004D735F" w:rsidP="004D735F">
            <w:pPr>
              <w:pStyle w:val="Body"/>
              <w:spacing w:after="0"/>
              <w:jc w:val="center"/>
              <w:rPr>
                <w:rFonts w:ascii="Arial" w:hAnsi="Arial" w:cs="Arial"/>
              </w:rPr>
            </w:pPr>
            <w:r w:rsidRPr="000E561A">
              <w:rPr>
                <w:rFonts w:ascii="Arial" w:hAnsi="Arial" w:cs="Arial"/>
                <w:lang w:val="es-MX"/>
              </w:rPr>
              <w:t>0</w:t>
            </w:r>
          </w:p>
        </w:tc>
      </w:tr>
      <w:tr w:rsidR="004D735F" w14:paraId="3D2FBB69" w14:textId="77777777" w:rsidTr="004D735F">
        <w:trPr>
          <w:trHeight w:val="256"/>
        </w:trPr>
        <w:tc>
          <w:tcPr>
            <w:tcW w:w="2049" w:type="dxa"/>
            <w:tcBorders>
              <w:top w:val="nil"/>
            </w:tcBorders>
          </w:tcPr>
          <w:p w14:paraId="67B64689" w14:textId="01B310CA" w:rsidR="004D735F" w:rsidRDefault="004D735F" w:rsidP="004D735F">
            <w:pPr>
              <w:pStyle w:val="Body"/>
              <w:spacing w:after="0"/>
              <w:rPr>
                <w:rFonts w:ascii="Arial" w:hAnsi="Arial" w:cs="Arial"/>
              </w:rPr>
            </w:pPr>
            <w:r w:rsidRPr="000E561A">
              <w:rPr>
                <w:rFonts w:ascii="Arial" w:hAnsi="Arial" w:cs="Arial"/>
                <w:lang w:val="es-MX"/>
              </w:rPr>
              <w:t>10-19</w:t>
            </w:r>
          </w:p>
        </w:tc>
        <w:tc>
          <w:tcPr>
            <w:tcW w:w="2049" w:type="dxa"/>
            <w:tcBorders>
              <w:top w:val="nil"/>
            </w:tcBorders>
          </w:tcPr>
          <w:p w14:paraId="3E869892" w14:textId="672969CB" w:rsidR="004D735F" w:rsidRDefault="004D735F" w:rsidP="004D735F">
            <w:pPr>
              <w:pStyle w:val="Body"/>
              <w:spacing w:after="0"/>
              <w:jc w:val="center"/>
              <w:rPr>
                <w:rFonts w:ascii="Arial" w:hAnsi="Arial" w:cs="Arial"/>
              </w:rPr>
            </w:pPr>
            <w:r w:rsidRPr="000E561A">
              <w:rPr>
                <w:rFonts w:ascii="Arial" w:hAnsi="Arial" w:cs="Arial"/>
                <w:lang w:val="es-MX"/>
              </w:rPr>
              <w:t>7</w:t>
            </w:r>
          </w:p>
        </w:tc>
        <w:tc>
          <w:tcPr>
            <w:tcW w:w="2050" w:type="dxa"/>
            <w:tcBorders>
              <w:top w:val="nil"/>
            </w:tcBorders>
          </w:tcPr>
          <w:p w14:paraId="52AC47E8" w14:textId="37DE78B4" w:rsidR="004D735F" w:rsidRDefault="004D735F" w:rsidP="004D735F">
            <w:pPr>
              <w:pStyle w:val="Body"/>
              <w:spacing w:after="0"/>
              <w:jc w:val="center"/>
              <w:rPr>
                <w:rFonts w:ascii="Arial" w:hAnsi="Arial" w:cs="Arial"/>
              </w:rPr>
            </w:pPr>
            <w:r w:rsidRPr="000E561A">
              <w:rPr>
                <w:rFonts w:ascii="Arial" w:hAnsi="Arial" w:cs="Arial"/>
                <w:lang w:val="es-MX"/>
              </w:rPr>
              <w:t>0</w:t>
            </w:r>
          </w:p>
        </w:tc>
        <w:tc>
          <w:tcPr>
            <w:tcW w:w="2050" w:type="dxa"/>
            <w:tcBorders>
              <w:top w:val="nil"/>
            </w:tcBorders>
          </w:tcPr>
          <w:p w14:paraId="6B53D06A" w14:textId="7FEF0E31" w:rsidR="004D735F" w:rsidRDefault="004D735F" w:rsidP="004D735F">
            <w:pPr>
              <w:pStyle w:val="Body"/>
              <w:spacing w:after="0"/>
              <w:jc w:val="center"/>
              <w:rPr>
                <w:rFonts w:ascii="Arial" w:hAnsi="Arial" w:cs="Arial"/>
              </w:rPr>
            </w:pPr>
            <w:r w:rsidRPr="000E561A">
              <w:rPr>
                <w:rFonts w:ascii="Arial" w:hAnsi="Arial" w:cs="Arial"/>
                <w:lang w:val="es-MX"/>
              </w:rPr>
              <w:t>7</w:t>
            </w:r>
          </w:p>
        </w:tc>
      </w:tr>
      <w:tr w:rsidR="004D735F" w14:paraId="55E8D885" w14:textId="77777777" w:rsidTr="004D735F">
        <w:trPr>
          <w:trHeight w:val="256"/>
        </w:trPr>
        <w:tc>
          <w:tcPr>
            <w:tcW w:w="2049" w:type="dxa"/>
          </w:tcPr>
          <w:p w14:paraId="2A2257ED" w14:textId="13C7F993" w:rsidR="004D735F" w:rsidRPr="000E561A" w:rsidRDefault="004D735F" w:rsidP="004D735F">
            <w:pPr>
              <w:pStyle w:val="Body"/>
              <w:spacing w:after="0"/>
              <w:rPr>
                <w:rFonts w:ascii="Arial" w:hAnsi="Arial" w:cs="Arial"/>
                <w:lang w:val="es-MX"/>
              </w:rPr>
            </w:pPr>
            <w:r w:rsidRPr="000E561A">
              <w:rPr>
                <w:rFonts w:ascii="Arial" w:hAnsi="Arial" w:cs="Arial"/>
                <w:lang w:val="es-MX"/>
              </w:rPr>
              <w:t>20-29</w:t>
            </w:r>
          </w:p>
        </w:tc>
        <w:tc>
          <w:tcPr>
            <w:tcW w:w="2049" w:type="dxa"/>
          </w:tcPr>
          <w:p w14:paraId="60FE9575" w14:textId="3DF45CDD"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10</w:t>
            </w:r>
          </w:p>
        </w:tc>
        <w:tc>
          <w:tcPr>
            <w:tcW w:w="2050" w:type="dxa"/>
          </w:tcPr>
          <w:p w14:paraId="1EBD24BB" w14:textId="6CC950B4" w:rsidR="004D735F" w:rsidRDefault="004D735F" w:rsidP="004D735F">
            <w:pPr>
              <w:pStyle w:val="Body"/>
              <w:spacing w:after="0"/>
              <w:jc w:val="center"/>
              <w:rPr>
                <w:rFonts w:ascii="Arial" w:hAnsi="Arial" w:cs="Arial"/>
              </w:rPr>
            </w:pPr>
            <w:r w:rsidRPr="000E561A">
              <w:rPr>
                <w:rFonts w:ascii="Arial" w:hAnsi="Arial" w:cs="Arial"/>
                <w:lang w:val="es-MX"/>
              </w:rPr>
              <w:t>6</w:t>
            </w:r>
          </w:p>
        </w:tc>
        <w:tc>
          <w:tcPr>
            <w:tcW w:w="2050" w:type="dxa"/>
          </w:tcPr>
          <w:p w14:paraId="10F59FDF" w14:textId="11006A1C" w:rsidR="004D735F" w:rsidRDefault="004D735F" w:rsidP="004D735F">
            <w:pPr>
              <w:pStyle w:val="Body"/>
              <w:spacing w:after="0"/>
              <w:jc w:val="center"/>
              <w:rPr>
                <w:rFonts w:ascii="Arial" w:hAnsi="Arial" w:cs="Arial"/>
              </w:rPr>
            </w:pPr>
            <w:r w:rsidRPr="000E561A">
              <w:rPr>
                <w:rFonts w:ascii="Arial" w:hAnsi="Arial" w:cs="Arial"/>
                <w:lang w:val="es-MX"/>
              </w:rPr>
              <w:t>4</w:t>
            </w:r>
          </w:p>
        </w:tc>
      </w:tr>
      <w:tr w:rsidR="004D735F" w14:paraId="27B22F0D" w14:textId="77777777" w:rsidTr="004D735F">
        <w:trPr>
          <w:trHeight w:val="241"/>
        </w:trPr>
        <w:tc>
          <w:tcPr>
            <w:tcW w:w="2049" w:type="dxa"/>
          </w:tcPr>
          <w:p w14:paraId="416AB7AE" w14:textId="37B8ADA0" w:rsidR="004D735F" w:rsidRPr="000E561A" w:rsidRDefault="004D735F" w:rsidP="004D735F">
            <w:pPr>
              <w:pStyle w:val="Body"/>
              <w:spacing w:after="0"/>
              <w:rPr>
                <w:rFonts w:ascii="Arial" w:hAnsi="Arial" w:cs="Arial"/>
                <w:lang w:val="es-MX"/>
              </w:rPr>
            </w:pPr>
            <w:r w:rsidRPr="000E561A">
              <w:rPr>
                <w:rFonts w:ascii="Arial" w:hAnsi="Arial" w:cs="Arial"/>
                <w:lang w:val="es-MX"/>
              </w:rPr>
              <w:t>30-39</w:t>
            </w:r>
          </w:p>
        </w:tc>
        <w:tc>
          <w:tcPr>
            <w:tcW w:w="2049" w:type="dxa"/>
          </w:tcPr>
          <w:p w14:paraId="1A8900CA" w14:textId="4EADBDC3" w:rsidR="004D735F" w:rsidRPr="000E561A" w:rsidRDefault="00ED5FD0" w:rsidP="004D735F">
            <w:pPr>
              <w:pStyle w:val="Body"/>
              <w:spacing w:after="0"/>
              <w:jc w:val="center"/>
              <w:rPr>
                <w:rFonts w:ascii="Arial" w:hAnsi="Arial" w:cs="Arial"/>
                <w:lang w:val="es-MX"/>
              </w:rPr>
            </w:pPr>
            <w:r>
              <w:rPr>
                <w:rFonts w:ascii="Arial" w:hAnsi="Arial" w:cs="Arial"/>
                <w:lang w:val="es-MX"/>
              </w:rPr>
              <w:t>74</w:t>
            </w:r>
          </w:p>
        </w:tc>
        <w:tc>
          <w:tcPr>
            <w:tcW w:w="2050" w:type="dxa"/>
          </w:tcPr>
          <w:p w14:paraId="2822336B" w14:textId="056F1549" w:rsidR="004D735F" w:rsidRDefault="00ED5FD0" w:rsidP="004D735F">
            <w:pPr>
              <w:pStyle w:val="Body"/>
              <w:spacing w:after="0"/>
              <w:jc w:val="center"/>
              <w:rPr>
                <w:rFonts w:ascii="Arial" w:hAnsi="Arial" w:cs="Arial"/>
              </w:rPr>
            </w:pPr>
            <w:r>
              <w:rPr>
                <w:rFonts w:ascii="Arial" w:hAnsi="Arial" w:cs="Arial"/>
              </w:rPr>
              <w:t>46</w:t>
            </w:r>
          </w:p>
        </w:tc>
        <w:tc>
          <w:tcPr>
            <w:tcW w:w="2050" w:type="dxa"/>
          </w:tcPr>
          <w:p w14:paraId="1C186402" w14:textId="01C2C896" w:rsidR="004D735F" w:rsidRDefault="00ED5FD0" w:rsidP="004D735F">
            <w:pPr>
              <w:pStyle w:val="Body"/>
              <w:spacing w:after="0"/>
              <w:jc w:val="center"/>
              <w:rPr>
                <w:rFonts w:ascii="Arial" w:hAnsi="Arial" w:cs="Arial"/>
              </w:rPr>
            </w:pPr>
            <w:r>
              <w:rPr>
                <w:rFonts w:ascii="Arial" w:hAnsi="Arial" w:cs="Arial"/>
              </w:rPr>
              <w:t>28</w:t>
            </w:r>
          </w:p>
        </w:tc>
      </w:tr>
      <w:tr w:rsidR="00D7616A" w14:paraId="76A03E7F" w14:textId="77777777" w:rsidTr="004D735F">
        <w:trPr>
          <w:trHeight w:val="241"/>
        </w:trPr>
        <w:tc>
          <w:tcPr>
            <w:tcW w:w="2049" w:type="dxa"/>
          </w:tcPr>
          <w:p w14:paraId="562EFB0D" w14:textId="00EACB4B" w:rsidR="00D7616A" w:rsidRPr="000E561A" w:rsidRDefault="00D7616A" w:rsidP="004D735F">
            <w:pPr>
              <w:pStyle w:val="Body"/>
              <w:spacing w:after="0"/>
              <w:rPr>
                <w:rFonts w:ascii="Arial" w:hAnsi="Arial" w:cs="Arial"/>
                <w:lang w:val="es-MX"/>
              </w:rPr>
            </w:pPr>
            <w:r>
              <w:rPr>
                <w:rFonts w:ascii="Arial" w:hAnsi="Arial" w:cs="Arial"/>
                <w:lang w:val="es-MX"/>
              </w:rPr>
              <w:t>40-49</w:t>
            </w:r>
          </w:p>
        </w:tc>
        <w:tc>
          <w:tcPr>
            <w:tcW w:w="2049" w:type="dxa"/>
          </w:tcPr>
          <w:p w14:paraId="6361F318" w14:textId="1903E8F8" w:rsidR="00D7616A" w:rsidRPr="000E561A" w:rsidRDefault="00ED5FD0" w:rsidP="004D735F">
            <w:pPr>
              <w:pStyle w:val="Body"/>
              <w:spacing w:after="0"/>
              <w:jc w:val="center"/>
              <w:rPr>
                <w:rFonts w:ascii="Arial" w:hAnsi="Arial" w:cs="Arial"/>
                <w:lang w:val="es-MX"/>
              </w:rPr>
            </w:pPr>
            <w:r>
              <w:rPr>
                <w:rFonts w:ascii="Arial" w:hAnsi="Arial" w:cs="Arial"/>
                <w:lang w:val="es-MX"/>
              </w:rPr>
              <w:t>278</w:t>
            </w:r>
          </w:p>
        </w:tc>
        <w:tc>
          <w:tcPr>
            <w:tcW w:w="2050" w:type="dxa"/>
          </w:tcPr>
          <w:p w14:paraId="3FB7C399" w14:textId="7C0AEDAA" w:rsidR="00D7616A" w:rsidRPr="000E561A" w:rsidRDefault="00ED5FD0" w:rsidP="004D735F">
            <w:pPr>
              <w:pStyle w:val="Body"/>
              <w:spacing w:after="0"/>
              <w:jc w:val="center"/>
              <w:rPr>
                <w:rFonts w:ascii="Arial" w:hAnsi="Arial" w:cs="Arial"/>
                <w:lang w:val="es-MX"/>
              </w:rPr>
            </w:pPr>
            <w:r>
              <w:rPr>
                <w:rFonts w:ascii="Arial" w:hAnsi="Arial" w:cs="Arial"/>
                <w:lang w:val="es-MX"/>
              </w:rPr>
              <w:t>161</w:t>
            </w:r>
          </w:p>
        </w:tc>
        <w:tc>
          <w:tcPr>
            <w:tcW w:w="2050" w:type="dxa"/>
          </w:tcPr>
          <w:p w14:paraId="07D7A34C" w14:textId="4190EE9A" w:rsidR="00D7616A" w:rsidRPr="000E561A" w:rsidRDefault="00ED5FD0" w:rsidP="004D735F">
            <w:pPr>
              <w:pStyle w:val="Body"/>
              <w:spacing w:after="0"/>
              <w:jc w:val="center"/>
              <w:rPr>
                <w:rFonts w:ascii="Arial" w:hAnsi="Arial" w:cs="Arial"/>
                <w:lang w:val="es-MX"/>
              </w:rPr>
            </w:pPr>
            <w:r>
              <w:rPr>
                <w:rFonts w:ascii="Arial" w:hAnsi="Arial" w:cs="Arial"/>
                <w:lang w:val="es-MX"/>
              </w:rPr>
              <w:t>117</w:t>
            </w:r>
          </w:p>
        </w:tc>
      </w:tr>
      <w:tr w:rsidR="004D735F" w14:paraId="7936AF43" w14:textId="77777777" w:rsidTr="004D735F">
        <w:trPr>
          <w:trHeight w:val="256"/>
        </w:trPr>
        <w:tc>
          <w:tcPr>
            <w:tcW w:w="2049" w:type="dxa"/>
          </w:tcPr>
          <w:p w14:paraId="1FFB69F4" w14:textId="438E517C" w:rsidR="004D735F" w:rsidRPr="000E561A" w:rsidRDefault="004D735F" w:rsidP="004D735F">
            <w:pPr>
              <w:pStyle w:val="Body"/>
              <w:spacing w:after="0"/>
              <w:rPr>
                <w:rFonts w:ascii="Arial" w:hAnsi="Arial" w:cs="Arial"/>
                <w:lang w:val="es-MX"/>
              </w:rPr>
            </w:pPr>
            <w:r w:rsidRPr="000E561A">
              <w:rPr>
                <w:rFonts w:ascii="Arial" w:hAnsi="Arial" w:cs="Arial"/>
                <w:lang w:val="es-MX"/>
              </w:rPr>
              <w:t>50-59</w:t>
            </w:r>
          </w:p>
        </w:tc>
        <w:tc>
          <w:tcPr>
            <w:tcW w:w="2049" w:type="dxa"/>
          </w:tcPr>
          <w:p w14:paraId="29A0813E" w14:textId="4EE4D66A"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824</w:t>
            </w:r>
          </w:p>
        </w:tc>
        <w:tc>
          <w:tcPr>
            <w:tcW w:w="2050" w:type="dxa"/>
          </w:tcPr>
          <w:p w14:paraId="0CFB4512" w14:textId="1ECADFE8" w:rsidR="004D735F" w:rsidRDefault="004D735F" w:rsidP="004D735F">
            <w:pPr>
              <w:pStyle w:val="Body"/>
              <w:spacing w:after="0"/>
              <w:jc w:val="center"/>
              <w:rPr>
                <w:rFonts w:ascii="Arial" w:hAnsi="Arial" w:cs="Arial"/>
              </w:rPr>
            </w:pPr>
            <w:r w:rsidRPr="000E561A">
              <w:rPr>
                <w:rFonts w:ascii="Arial" w:hAnsi="Arial" w:cs="Arial"/>
                <w:lang w:val="es-MX"/>
              </w:rPr>
              <w:t>511</w:t>
            </w:r>
          </w:p>
        </w:tc>
        <w:tc>
          <w:tcPr>
            <w:tcW w:w="2050" w:type="dxa"/>
          </w:tcPr>
          <w:p w14:paraId="096F0493" w14:textId="31D60637" w:rsidR="004D735F" w:rsidRDefault="004D735F" w:rsidP="004D735F">
            <w:pPr>
              <w:pStyle w:val="Body"/>
              <w:spacing w:after="0"/>
              <w:jc w:val="center"/>
              <w:rPr>
                <w:rFonts w:ascii="Arial" w:hAnsi="Arial" w:cs="Arial"/>
              </w:rPr>
            </w:pPr>
            <w:r w:rsidRPr="000E561A">
              <w:rPr>
                <w:rFonts w:ascii="Arial" w:hAnsi="Arial" w:cs="Arial"/>
                <w:lang w:val="es-MX"/>
              </w:rPr>
              <w:t>313</w:t>
            </w:r>
          </w:p>
        </w:tc>
      </w:tr>
      <w:tr w:rsidR="004D735F" w14:paraId="7D16BFD3" w14:textId="77777777" w:rsidTr="004D735F">
        <w:trPr>
          <w:trHeight w:val="256"/>
        </w:trPr>
        <w:tc>
          <w:tcPr>
            <w:tcW w:w="2049" w:type="dxa"/>
          </w:tcPr>
          <w:p w14:paraId="4F1C7E52" w14:textId="76250A2E" w:rsidR="004D735F" w:rsidRPr="000E561A" w:rsidRDefault="004D735F" w:rsidP="004D735F">
            <w:pPr>
              <w:pStyle w:val="Body"/>
              <w:spacing w:after="0"/>
              <w:rPr>
                <w:rFonts w:ascii="Arial" w:hAnsi="Arial" w:cs="Arial"/>
                <w:lang w:val="es-MX"/>
              </w:rPr>
            </w:pPr>
            <w:r w:rsidRPr="000E561A">
              <w:rPr>
                <w:rFonts w:ascii="Arial" w:hAnsi="Arial" w:cs="Arial"/>
                <w:lang w:val="es-MX"/>
              </w:rPr>
              <w:t>60-69</w:t>
            </w:r>
          </w:p>
        </w:tc>
        <w:tc>
          <w:tcPr>
            <w:tcW w:w="2049" w:type="dxa"/>
          </w:tcPr>
          <w:p w14:paraId="4EB2111A" w14:textId="1FA745A7"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1148</w:t>
            </w:r>
          </w:p>
        </w:tc>
        <w:tc>
          <w:tcPr>
            <w:tcW w:w="2050" w:type="dxa"/>
          </w:tcPr>
          <w:p w14:paraId="663A6F2D" w14:textId="67FC83F9" w:rsidR="004D735F" w:rsidRDefault="004D735F" w:rsidP="004D735F">
            <w:pPr>
              <w:pStyle w:val="Body"/>
              <w:spacing w:after="0"/>
              <w:jc w:val="center"/>
              <w:rPr>
                <w:rFonts w:ascii="Arial" w:hAnsi="Arial" w:cs="Arial"/>
              </w:rPr>
            </w:pPr>
            <w:r w:rsidRPr="000E561A">
              <w:rPr>
                <w:rFonts w:ascii="Arial" w:hAnsi="Arial" w:cs="Arial"/>
                <w:lang w:val="es-MX"/>
              </w:rPr>
              <w:t>658</w:t>
            </w:r>
          </w:p>
        </w:tc>
        <w:tc>
          <w:tcPr>
            <w:tcW w:w="2050" w:type="dxa"/>
          </w:tcPr>
          <w:p w14:paraId="7A5DAA33" w14:textId="7AB948F7" w:rsidR="004D735F" w:rsidRDefault="004D735F" w:rsidP="004D735F">
            <w:pPr>
              <w:pStyle w:val="Body"/>
              <w:spacing w:after="0"/>
              <w:jc w:val="center"/>
              <w:rPr>
                <w:rFonts w:ascii="Arial" w:hAnsi="Arial" w:cs="Arial"/>
              </w:rPr>
            </w:pPr>
            <w:r w:rsidRPr="000E561A">
              <w:rPr>
                <w:rFonts w:ascii="Arial" w:hAnsi="Arial" w:cs="Arial"/>
                <w:lang w:val="es-MX"/>
              </w:rPr>
              <w:t>490</w:t>
            </w:r>
          </w:p>
        </w:tc>
      </w:tr>
      <w:tr w:rsidR="004D735F" w14:paraId="089FFEFD" w14:textId="77777777" w:rsidTr="004D735F">
        <w:trPr>
          <w:trHeight w:val="241"/>
        </w:trPr>
        <w:tc>
          <w:tcPr>
            <w:tcW w:w="2049" w:type="dxa"/>
          </w:tcPr>
          <w:p w14:paraId="420E1784" w14:textId="19E68173" w:rsidR="004D735F" w:rsidRPr="000E561A" w:rsidRDefault="004D735F" w:rsidP="004D735F">
            <w:pPr>
              <w:pStyle w:val="Body"/>
              <w:spacing w:after="0"/>
              <w:rPr>
                <w:rFonts w:ascii="Arial" w:hAnsi="Arial" w:cs="Arial"/>
                <w:lang w:val="es-MX"/>
              </w:rPr>
            </w:pPr>
            <w:r w:rsidRPr="000E561A">
              <w:rPr>
                <w:rFonts w:ascii="Arial" w:hAnsi="Arial" w:cs="Arial"/>
                <w:lang w:val="es-MX"/>
              </w:rPr>
              <w:t>70-79</w:t>
            </w:r>
          </w:p>
        </w:tc>
        <w:tc>
          <w:tcPr>
            <w:tcW w:w="2049" w:type="dxa"/>
          </w:tcPr>
          <w:p w14:paraId="136FE059" w14:textId="1D180F56"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835</w:t>
            </w:r>
          </w:p>
        </w:tc>
        <w:tc>
          <w:tcPr>
            <w:tcW w:w="2050" w:type="dxa"/>
          </w:tcPr>
          <w:p w14:paraId="1581C07D" w14:textId="5D5FDD3E" w:rsidR="004D735F" w:rsidRDefault="004D735F" w:rsidP="004D735F">
            <w:pPr>
              <w:pStyle w:val="Body"/>
              <w:spacing w:after="0"/>
              <w:jc w:val="center"/>
              <w:rPr>
                <w:rFonts w:ascii="Arial" w:hAnsi="Arial" w:cs="Arial"/>
              </w:rPr>
            </w:pPr>
            <w:r w:rsidRPr="000E561A">
              <w:rPr>
                <w:rFonts w:ascii="Arial" w:hAnsi="Arial" w:cs="Arial"/>
                <w:lang w:val="es-MX"/>
              </w:rPr>
              <w:t>481</w:t>
            </w:r>
          </w:p>
        </w:tc>
        <w:tc>
          <w:tcPr>
            <w:tcW w:w="2050" w:type="dxa"/>
          </w:tcPr>
          <w:p w14:paraId="0E6F6641" w14:textId="31311588" w:rsidR="004D735F" w:rsidRDefault="004D735F" w:rsidP="004D735F">
            <w:pPr>
              <w:pStyle w:val="Body"/>
              <w:spacing w:after="0"/>
              <w:jc w:val="center"/>
              <w:rPr>
                <w:rFonts w:ascii="Arial" w:hAnsi="Arial" w:cs="Arial"/>
              </w:rPr>
            </w:pPr>
            <w:r w:rsidRPr="000E561A">
              <w:rPr>
                <w:rFonts w:ascii="Arial" w:hAnsi="Arial" w:cs="Arial"/>
                <w:lang w:val="es-MX"/>
              </w:rPr>
              <w:t>354</w:t>
            </w:r>
          </w:p>
        </w:tc>
      </w:tr>
      <w:tr w:rsidR="004D735F" w14:paraId="484870E5" w14:textId="77777777" w:rsidTr="004D735F">
        <w:trPr>
          <w:trHeight w:val="256"/>
        </w:trPr>
        <w:tc>
          <w:tcPr>
            <w:tcW w:w="2049" w:type="dxa"/>
          </w:tcPr>
          <w:p w14:paraId="3053DF18" w14:textId="1C4F7B47" w:rsidR="004D735F" w:rsidRPr="000E561A" w:rsidRDefault="004D735F" w:rsidP="004D735F">
            <w:pPr>
              <w:pStyle w:val="Body"/>
              <w:spacing w:after="0"/>
              <w:rPr>
                <w:rFonts w:ascii="Arial" w:hAnsi="Arial" w:cs="Arial"/>
                <w:lang w:val="es-MX"/>
              </w:rPr>
            </w:pPr>
            <w:r w:rsidRPr="000E561A">
              <w:rPr>
                <w:rFonts w:ascii="Arial" w:hAnsi="Arial" w:cs="Arial"/>
                <w:lang w:val="es-MX"/>
              </w:rPr>
              <w:t>80-89</w:t>
            </w:r>
          </w:p>
        </w:tc>
        <w:tc>
          <w:tcPr>
            <w:tcW w:w="2049" w:type="dxa"/>
          </w:tcPr>
          <w:p w14:paraId="4CBE38CA" w14:textId="0AC20866"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325</w:t>
            </w:r>
          </w:p>
        </w:tc>
        <w:tc>
          <w:tcPr>
            <w:tcW w:w="2050" w:type="dxa"/>
          </w:tcPr>
          <w:p w14:paraId="0DE98800" w14:textId="41B7820B" w:rsidR="004D735F" w:rsidRDefault="004D735F" w:rsidP="004D735F">
            <w:pPr>
              <w:pStyle w:val="Body"/>
              <w:spacing w:after="0"/>
              <w:jc w:val="center"/>
              <w:rPr>
                <w:rFonts w:ascii="Arial" w:hAnsi="Arial" w:cs="Arial"/>
              </w:rPr>
            </w:pPr>
            <w:r w:rsidRPr="000E561A">
              <w:rPr>
                <w:rFonts w:ascii="Arial" w:hAnsi="Arial" w:cs="Arial"/>
                <w:lang w:val="es-MX"/>
              </w:rPr>
              <w:t>187</w:t>
            </w:r>
          </w:p>
        </w:tc>
        <w:tc>
          <w:tcPr>
            <w:tcW w:w="2050" w:type="dxa"/>
          </w:tcPr>
          <w:p w14:paraId="76BC5043" w14:textId="4313C82A" w:rsidR="004D735F" w:rsidRDefault="004D735F" w:rsidP="004D735F">
            <w:pPr>
              <w:pStyle w:val="Body"/>
              <w:spacing w:after="0"/>
              <w:jc w:val="center"/>
              <w:rPr>
                <w:rFonts w:ascii="Arial" w:hAnsi="Arial" w:cs="Arial"/>
              </w:rPr>
            </w:pPr>
            <w:r w:rsidRPr="000E561A">
              <w:rPr>
                <w:rFonts w:ascii="Arial" w:hAnsi="Arial" w:cs="Arial"/>
                <w:lang w:val="es-MX"/>
              </w:rPr>
              <w:t>138</w:t>
            </w:r>
          </w:p>
        </w:tc>
      </w:tr>
      <w:tr w:rsidR="004D735F" w14:paraId="07DC6B84" w14:textId="77777777" w:rsidTr="004D735F">
        <w:trPr>
          <w:trHeight w:val="256"/>
        </w:trPr>
        <w:tc>
          <w:tcPr>
            <w:tcW w:w="2049" w:type="dxa"/>
          </w:tcPr>
          <w:p w14:paraId="0CB2C844" w14:textId="65E90861" w:rsidR="004D735F" w:rsidRPr="000E561A" w:rsidRDefault="004D735F" w:rsidP="004D735F">
            <w:pPr>
              <w:pStyle w:val="Body"/>
              <w:spacing w:after="0"/>
              <w:rPr>
                <w:rFonts w:ascii="Arial" w:hAnsi="Arial" w:cs="Arial"/>
                <w:lang w:val="es-MX"/>
              </w:rPr>
            </w:pPr>
            <w:r w:rsidRPr="000E561A">
              <w:rPr>
                <w:rFonts w:ascii="Arial" w:hAnsi="Arial" w:cs="Arial"/>
                <w:lang w:val="es-MX"/>
              </w:rPr>
              <w:t>90-99</w:t>
            </w:r>
          </w:p>
        </w:tc>
        <w:tc>
          <w:tcPr>
            <w:tcW w:w="2049" w:type="dxa"/>
          </w:tcPr>
          <w:p w14:paraId="00E0F267" w14:textId="4948E204"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53</w:t>
            </w:r>
          </w:p>
        </w:tc>
        <w:tc>
          <w:tcPr>
            <w:tcW w:w="2050" w:type="dxa"/>
          </w:tcPr>
          <w:p w14:paraId="223C8486" w14:textId="3804B6C4" w:rsidR="004D735F" w:rsidRDefault="004D735F" w:rsidP="004D735F">
            <w:pPr>
              <w:pStyle w:val="Body"/>
              <w:spacing w:after="0"/>
              <w:jc w:val="center"/>
              <w:rPr>
                <w:rFonts w:ascii="Arial" w:hAnsi="Arial" w:cs="Arial"/>
              </w:rPr>
            </w:pPr>
            <w:r w:rsidRPr="000E561A">
              <w:rPr>
                <w:rFonts w:ascii="Arial" w:hAnsi="Arial" w:cs="Arial"/>
                <w:lang w:val="es-MX"/>
              </w:rPr>
              <w:t>35</w:t>
            </w:r>
          </w:p>
        </w:tc>
        <w:tc>
          <w:tcPr>
            <w:tcW w:w="2050" w:type="dxa"/>
          </w:tcPr>
          <w:p w14:paraId="4F5FD2D0" w14:textId="68F2D137" w:rsidR="004D735F" w:rsidRDefault="004D735F" w:rsidP="004D735F">
            <w:pPr>
              <w:pStyle w:val="Body"/>
              <w:spacing w:after="0"/>
              <w:jc w:val="center"/>
              <w:rPr>
                <w:rFonts w:ascii="Arial" w:hAnsi="Arial" w:cs="Arial"/>
              </w:rPr>
            </w:pPr>
            <w:r w:rsidRPr="000E561A">
              <w:rPr>
                <w:rFonts w:ascii="Arial" w:hAnsi="Arial" w:cs="Arial"/>
                <w:lang w:val="es-MX"/>
              </w:rPr>
              <w:t>18</w:t>
            </w:r>
          </w:p>
        </w:tc>
      </w:tr>
      <w:tr w:rsidR="004D735F" w14:paraId="568D5992" w14:textId="77777777" w:rsidTr="004D735F">
        <w:trPr>
          <w:trHeight w:val="241"/>
        </w:trPr>
        <w:tc>
          <w:tcPr>
            <w:tcW w:w="2049" w:type="dxa"/>
          </w:tcPr>
          <w:p w14:paraId="6B611DDD" w14:textId="68375803" w:rsidR="004D735F" w:rsidRPr="000E561A" w:rsidRDefault="004D735F" w:rsidP="004D735F">
            <w:pPr>
              <w:pStyle w:val="Body"/>
              <w:spacing w:after="0"/>
              <w:rPr>
                <w:rFonts w:ascii="Arial" w:hAnsi="Arial" w:cs="Arial"/>
                <w:lang w:val="es-MX"/>
              </w:rPr>
            </w:pPr>
            <w:r w:rsidRPr="000E561A">
              <w:rPr>
                <w:rFonts w:ascii="Arial" w:hAnsi="Arial" w:cs="Arial"/>
                <w:lang w:val="es-MX"/>
              </w:rPr>
              <w:t>100 and over</w:t>
            </w:r>
          </w:p>
        </w:tc>
        <w:tc>
          <w:tcPr>
            <w:tcW w:w="2049" w:type="dxa"/>
          </w:tcPr>
          <w:p w14:paraId="388AA4F9" w14:textId="51A1DB2E"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1</w:t>
            </w:r>
          </w:p>
        </w:tc>
        <w:tc>
          <w:tcPr>
            <w:tcW w:w="2050" w:type="dxa"/>
          </w:tcPr>
          <w:p w14:paraId="62A26E29" w14:textId="27E43DB8" w:rsidR="004D735F" w:rsidRDefault="004D735F" w:rsidP="004D735F">
            <w:pPr>
              <w:pStyle w:val="Body"/>
              <w:spacing w:after="0"/>
              <w:jc w:val="center"/>
              <w:rPr>
                <w:rFonts w:ascii="Arial" w:hAnsi="Arial" w:cs="Arial"/>
              </w:rPr>
            </w:pPr>
            <w:r w:rsidRPr="000E561A">
              <w:rPr>
                <w:rFonts w:ascii="Arial" w:hAnsi="Arial" w:cs="Arial"/>
                <w:lang w:val="es-MX"/>
              </w:rPr>
              <w:t>0</w:t>
            </w:r>
          </w:p>
        </w:tc>
        <w:tc>
          <w:tcPr>
            <w:tcW w:w="2050" w:type="dxa"/>
          </w:tcPr>
          <w:p w14:paraId="3F26EAB9" w14:textId="465122A4" w:rsidR="004D735F" w:rsidRDefault="004D735F" w:rsidP="004D735F">
            <w:pPr>
              <w:pStyle w:val="Body"/>
              <w:spacing w:after="0"/>
              <w:jc w:val="center"/>
              <w:rPr>
                <w:rFonts w:ascii="Arial" w:hAnsi="Arial" w:cs="Arial"/>
              </w:rPr>
            </w:pPr>
            <w:r w:rsidRPr="000E561A">
              <w:rPr>
                <w:rFonts w:ascii="Arial" w:hAnsi="Arial" w:cs="Arial"/>
                <w:lang w:val="es-MX"/>
              </w:rPr>
              <w:t>1</w:t>
            </w:r>
          </w:p>
        </w:tc>
      </w:tr>
      <w:tr w:rsidR="004D735F" w14:paraId="00143793" w14:textId="77777777" w:rsidTr="004D735F">
        <w:trPr>
          <w:trHeight w:val="256"/>
        </w:trPr>
        <w:tc>
          <w:tcPr>
            <w:tcW w:w="2049" w:type="dxa"/>
          </w:tcPr>
          <w:p w14:paraId="06F6D6D2" w14:textId="22A4B8F4" w:rsidR="004D735F" w:rsidRPr="000E561A" w:rsidRDefault="004D735F" w:rsidP="004D735F">
            <w:pPr>
              <w:pStyle w:val="Body"/>
              <w:spacing w:after="0"/>
              <w:rPr>
                <w:rFonts w:ascii="Arial" w:hAnsi="Arial" w:cs="Arial"/>
                <w:lang w:val="es-MX"/>
              </w:rPr>
            </w:pPr>
            <w:r w:rsidRPr="000E561A">
              <w:rPr>
                <w:rFonts w:ascii="Arial" w:hAnsi="Arial" w:cs="Arial"/>
                <w:lang w:val="es-MX"/>
              </w:rPr>
              <w:t>Total</w:t>
            </w:r>
          </w:p>
        </w:tc>
        <w:tc>
          <w:tcPr>
            <w:tcW w:w="2049" w:type="dxa"/>
          </w:tcPr>
          <w:p w14:paraId="6F799885" w14:textId="2F3391C6" w:rsidR="004D735F" w:rsidRPr="000E561A" w:rsidRDefault="004D735F" w:rsidP="004D735F">
            <w:pPr>
              <w:pStyle w:val="Body"/>
              <w:spacing w:after="0"/>
              <w:jc w:val="center"/>
              <w:rPr>
                <w:rFonts w:ascii="Arial" w:hAnsi="Arial" w:cs="Arial"/>
                <w:lang w:val="es-MX"/>
              </w:rPr>
            </w:pPr>
            <w:r w:rsidRPr="000E561A">
              <w:rPr>
                <w:rFonts w:ascii="Arial" w:hAnsi="Arial" w:cs="Arial"/>
                <w:lang w:val="es-MX"/>
              </w:rPr>
              <w:t>3556</w:t>
            </w:r>
          </w:p>
        </w:tc>
        <w:tc>
          <w:tcPr>
            <w:tcW w:w="2050" w:type="dxa"/>
          </w:tcPr>
          <w:p w14:paraId="35CBB091" w14:textId="7A207E60" w:rsidR="004D735F" w:rsidRDefault="004D735F" w:rsidP="004D735F">
            <w:pPr>
              <w:pStyle w:val="Body"/>
              <w:spacing w:after="0"/>
              <w:jc w:val="center"/>
              <w:rPr>
                <w:rFonts w:ascii="Arial" w:hAnsi="Arial" w:cs="Arial"/>
              </w:rPr>
            </w:pPr>
            <w:r w:rsidRPr="000E561A">
              <w:rPr>
                <w:rFonts w:ascii="Arial" w:hAnsi="Arial" w:cs="Arial"/>
                <w:lang w:val="es-MX"/>
              </w:rPr>
              <w:t>2086</w:t>
            </w:r>
          </w:p>
        </w:tc>
        <w:tc>
          <w:tcPr>
            <w:tcW w:w="2050" w:type="dxa"/>
          </w:tcPr>
          <w:p w14:paraId="63B46D20" w14:textId="31AACA7E" w:rsidR="004D735F" w:rsidRDefault="004D735F" w:rsidP="004D735F">
            <w:pPr>
              <w:pStyle w:val="Body"/>
              <w:spacing w:after="0"/>
              <w:jc w:val="center"/>
              <w:rPr>
                <w:rFonts w:ascii="Arial" w:hAnsi="Arial" w:cs="Arial"/>
              </w:rPr>
            </w:pPr>
            <w:r w:rsidRPr="000E561A">
              <w:rPr>
                <w:rFonts w:ascii="Arial" w:hAnsi="Arial" w:cs="Arial"/>
                <w:lang w:val="es-MX"/>
              </w:rPr>
              <w:t>1470</w:t>
            </w:r>
          </w:p>
        </w:tc>
      </w:tr>
    </w:tbl>
    <w:p w14:paraId="302FE38F" w14:textId="42DE50CA" w:rsidR="000E561A" w:rsidRDefault="004D735F" w:rsidP="00C81973">
      <w:pPr>
        <w:pStyle w:val="Body"/>
        <w:spacing w:after="0"/>
        <w:rPr>
          <w:rFonts w:ascii="Arial" w:hAnsi="Arial" w:cs="Arial"/>
        </w:rPr>
      </w:pPr>
      <w:r w:rsidRPr="004D735F">
        <w:rPr>
          <w:rFonts w:ascii="Arial" w:hAnsi="Arial" w:cs="Arial"/>
        </w:rPr>
        <w:t>Source: Prepared by the authors using the results from the SIMEF database, January-December, 2022.</w:t>
      </w:r>
      <w:r w:rsidR="00867EB2">
        <w:rPr>
          <w:rFonts w:ascii="Arial" w:hAnsi="Arial" w:cs="Arial"/>
        </w:rPr>
        <w:t xml:space="preserve"> </w:t>
      </w:r>
      <w:r w:rsidR="00867EB2" w:rsidRPr="00867EB2">
        <w:rPr>
          <w:rFonts w:ascii="Arial" w:hAnsi="Arial" w:cs="Arial"/>
        </w:rPr>
        <w:t>Comparisons between age decades and sex were performed using the chi-square test, specifically the likelihood ratio chi-square, which showed a statistically significant association (Likelihood Ratio χ² = 21.686, df = 9, p = 0.010). Seven cells (35.0%) had an expected frequency of less than 5, with the minimum expected frequency being 0.41.</w:t>
      </w:r>
    </w:p>
    <w:p w14:paraId="0187D4E5" w14:textId="77777777" w:rsidR="000E561A" w:rsidRDefault="000E561A" w:rsidP="00C81973">
      <w:pPr>
        <w:pStyle w:val="Body"/>
        <w:spacing w:after="0"/>
        <w:rPr>
          <w:rFonts w:ascii="Arial" w:hAnsi="Arial" w:cs="Arial"/>
        </w:rPr>
      </w:pPr>
    </w:p>
    <w:p w14:paraId="7AE51296" w14:textId="5960941D" w:rsidR="00F8558A" w:rsidRDefault="00C81973" w:rsidP="00F8558A">
      <w:pPr>
        <w:pStyle w:val="Body"/>
        <w:spacing w:after="0"/>
        <w:rPr>
          <w:rFonts w:ascii="Arial" w:hAnsi="Arial" w:cs="Arial"/>
        </w:rPr>
      </w:pPr>
      <w:r w:rsidRPr="00F73BD1">
        <w:rPr>
          <w:rFonts w:ascii="Arial" w:hAnsi="Arial" w:cs="Arial"/>
        </w:rPr>
        <w:t xml:space="preserve">The most prevalent </w:t>
      </w:r>
      <w:r w:rsidR="00867EB2">
        <w:rPr>
          <w:rFonts w:ascii="Arial" w:hAnsi="Arial" w:cs="Arial"/>
        </w:rPr>
        <w:t>comorbidities</w:t>
      </w:r>
      <w:r w:rsidRPr="00F73BD1">
        <w:rPr>
          <w:rFonts w:ascii="Arial" w:hAnsi="Arial" w:cs="Arial"/>
        </w:rPr>
        <w:t xml:space="preserve"> were: </w:t>
      </w:r>
      <w:r w:rsidR="00F8558A">
        <w:rPr>
          <w:rFonts w:ascii="Arial" w:hAnsi="Arial" w:cs="Arial"/>
        </w:rPr>
        <w:t>h</w:t>
      </w:r>
      <w:r w:rsidR="00F8558A" w:rsidRPr="00F8558A">
        <w:rPr>
          <w:rFonts w:ascii="Arial" w:hAnsi="Arial" w:cs="Arial"/>
        </w:rPr>
        <w:t>ypertensive diseases</w:t>
      </w:r>
      <w:r w:rsidR="00F8558A">
        <w:rPr>
          <w:rFonts w:ascii="Arial" w:hAnsi="Arial" w:cs="Arial"/>
        </w:rPr>
        <w:t>, m</w:t>
      </w:r>
      <w:r w:rsidR="00F8558A" w:rsidRPr="00F8558A">
        <w:rPr>
          <w:rFonts w:ascii="Arial" w:hAnsi="Arial" w:cs="Arial"/>
        </w:rPr>
        <w:t>etabolic disorders</w:t>
      </w:r>
      <w:r w:rsidR="0047124A">
        <w:rPr>
          <w:rFonts w:ascii="Arial" w:hAnsi="Arial" w:cs="Arial"/>
        </w:rPr>
        <w:t xml:space="preserve"> such as d</w:t>
      </w:r>
      <w:r w:rsidR="0047124A" w:rsidRPr="00F8558A">
        <w:rPr>
          <w:rFonts w:ascii="Arial" w:hAnsi="Arial" w:cs="Arial"/>
        </w:rPr>
        <w:t>isorders of lipoprotein metabolism and other</w:t>
      </w:r>
      <w:r w:rsidR="0047124A">
        <w:rPr>
          <w:rFonts w:ascii="Arial" w:hAnsi="Arial" w:cs="Arial"/>
        </w:rPr>
        <w:t xml:space="preserve"> </w:t>
      </w:r>
      <w:r w:rsidR="0047124A" w:rsidRPr="00F8558A">
        <w:rPr>
          <w:rFonts w:ascii="Arial" w:hAnsi="Arial" w:cs="Arial"/>
        </w:rPr>
        <w:t>lipidaemias</w:t>
      </w:r>
      <w:r w:rsidR="0047124A">
        <w:rPr>
          <w:rFonts w:ascii="Arial" w:hAnsi="Arial" w:cs="Arial"/>
        </w:rPr>
        <w:t xml:space="preserve">, </w:t>
      </w:r>
      <w:r w:rsidR="00F8558A">
        <w:rPr>
          <w:rFonts w:ascii="Arial" w:hAnsi="Arial" w:cs="Arial"/>
        </w:rPr>
        <w:t>o</w:t>
      </w:r>
      <w:r w:rsidR="00F8558A" w:rsidRPr="00F8558A">
        <w:rPr>
          <w:rFonts w:ascii="Arial" w:hAnsi="Arial" w:cs="Arial"/>
        </w:rPr>
        <w:t>besity</w:t>
      </w:r>
      <w:r w:rsidR="0047124A">
        <w:rPr>
          <w:rFonts w:ascii="Arial" w:hAnsi="Arial" w:cs="Arial"/>
        </w:rPr>
        <w:t xml:space="preserve"> and</w:t>
      </w:r>
      <w:r w:rsidR="00F8558A">
        <w:rPr>
          <w:rFonts w:ascii="Arial" w:hAnsi="Arial" w:cs="Arial"/>
        </w:rPr>
        <w:t xml:space="preserve"> </w:t>
      </w:r>
      <w:r w:rsidR="00F8558A" w:rsidRPr="00F8558A">
        <w:rPr>
          <w:rFonts w:ascii="Arial" w:hAnsi="Arial" w:cs="Arial"/>
        </w:rPr>
        <w:t>hypothyroidism</w:t>
      </w:r>
      <w:r w:rsidR="00F8558A">
        <w:rPr>
          <w:rFonts w:ascii="Arial" w:hAnsi="Arial" w:cs="Arial"/>
        </w:rPr>
        <w:t>,</w:t>
      </w:r>
      <w:r w:rsidR="0047124A">
        <w:rPr>
          <w:rFonts w:ascii="Arial" w:hAnsi="Arial" w:cs="Arial"/>
        </w:rPr>
        <w:t xml:space="preserve"> as well as, </w:t>
      </w:r>
      <w:r w:rsidR="00F8558A" w:rsidRPr="00F8558A">
        <w:rPr>
          <w:rFonts w:ascii="Arial" w:hAnsi="Arial" w:cs="Arial"/>
        </w:rPr>
        <w:t>disorders of veins</w:t>
      </w:r>
      <w:r w:rsidR="00F8558A">
        <w:rPr>
          <w:rFonts w:ascii="Arial" w:hAnsi="Arial" w:cs="Arial"/>
        </w:rPr>
        <w:t>, c</w:t>
      </w:r>
      <w:r w:rsidR="00F8558A" w:rsidRPr="00F8558A">
        <w:rPr>
          <w:rFonts w:ascii="Arial" w:hAnsi="Arial" w:cs="Arial"/>
        </w:rPr>
        <w:t>hronic kidney disease</w:t>
      </w:r>
      <w:r w:rsidR="004F5ABD">
        <w:rPr>
          <w:rFonts w:ascii="Arial" w:hAnsi="Arial" w:cs="Arial"/>
        </w:rPr>
        <w:t xml:space="preserve">, </w:t>
      </w:r>
      <w:r w:rsidR="004F5ABD" w:rsidRPr="004F5ABD">
        <w:rPr>
          <w:rFonts w:ascii="Arial" w:hAnsi="Arial" w:cs="Arial"/>
        </w:rPr>
        <w:t>chronic obstructive pulmonary disease</w:t>
      </w:r>
      <w:r w:rsidR="00B544A8">
        <w:rPr>
          <w:rFonts w:ascii="Arial" w:hAnsi="Arial" w:cs="Arial"/>
        </w:rPr>
        <w:t>, dorsalgia,</w:t>
      </w:r>
      <w:r w:rsidR="004F5ABD">
        <w:rPr>
          <w:rFonts w:ascii="Arial" w:hAnsi="Arial" w:cs="Arial"/>
        </w:rPr>
        <w:t xml:space="preserve"> </w:t>
      </w:r>
      <w:r w:rsidR="00B544A8">
        <w:rPr>
          <w:rFonts w:ascii="Arial" w:hAnsi="Arial" w:cs="Arial"/>
        </w:rPr>
        <w:t>d</w:t>
      </w:r>
      <w:r w:rsidR="00B544A8" w:rsidRPr="00B544A8">
        <w:rPr>
          <w:rFonts w:ascii="Arial" w:hAnsi="Arial" w:cs="Arial"/>
        </w:rPr>
        <w:t>epressive episode</w:t>
      </w:r>
      <w:r w:rsidR="00B544A8">
        <w:rPr>
          <w:rFonts w:ascii="Arial" w:hAnsi="Arial" w:cs="Arial"/>
        </w:rPr>
        <w:t>, and a</w:t>
      </w:r>
      <w:r w:rsidR="00B544A8" w:rsidRPr="00B544A8">
        <w:rPr>
          <w:rFonts w:ascii="Arial" w:hAnsi="Arial" w:cs="Arial"/>
        </w:rPr>
        <w:t xml:space="preserve">bnormal glucose tolerance test </w:t>
      </w:r>
      <w:r w:rsidR="004F5ABD">
        <w:rPr>
          <w:rFonts w:ascii="Arial" w:hAnsi="Arial" w:cs="Arial"/>
        </w:rPr>
        <w:t>(table 2)</w:t>
      </w:r>
      <w:r w:rsidR="00F8558A">
        <w:rPr>
          <w:rFonts w:ascii="Arial" w:hAnsi="Arial" w:cs="Arial"/>
        </w:rPr>
        <w:t>.</w:t>
      </w:r>
    </w:p>
    <w:p w14:paraId="7F1458F1" w14:textId="77777777" w:rsidR="004F5ABD" w:rsidRDefault="004F5ABD" w:rsidP="00F8558A">
      <w:pPr>
        <w:pStyle w:val="Body"/>
        <w:spacing w:after="0"/>
        <w:rPr>
          <w:rFonts w:ascii="Arial" w:hAnsi="Arial" w:cs="Arial"/>
        </w:rPr>
      </w:pPr>
    </w:p>
    <w:p w14:paraId="403364EB" w14:textId="43BC6E3E" w:rsidR="004F5ABD" w:rsidRPr="004F5ABD" w:rsidRDefault="004F5ABD" w:rsidP="004F5ABD">
      <w:pPr>
        <w:pStyle w:val="Body"/>
        <w:spacing w:after="0"/>
        <w:rPr>
          <w:rFonts w:ascii="Arial" w:hAnsi="Arial" w:cs="Arial"/>
          <w:b/>
          <w:bCs/>
        </w:rPr>
      </w:pPr>
      <w:r w:rsidRPr="004F5ABD">
        <w:rPr>
          <w:rFonts w:ascii="Arial" w:hAnsi="Arial" w:cs="Arial"/>
          <w:b/>
          <w:bCs/>
        </w:rPr>
        <w:t xml:space="preserve">Table 2. Mainly </w:t>
      </w:r>
      <w:r w:rsidR="00B544A8">
        <w:rPr>
          <w:rFonts w:ascii="Arial" w:hAnsi="Arial" w:cs="Arial"/>
          <w:b/>
          <w:bCs/>
        </w:rPr>
        <w:t xml:space="preserve">10 </w:t>
      </w:r>
      <w:r w:rsidRPr="004F5ABD">
        <w:rPr>
          <w:rFonts w:ascii="Arial" w:hAnsi="Arial" w:cs="Arial"/>
          <w:b/>
          <w:bCs/>
        </w:rPr>
        <w:t>comorbidities in the Study Population</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21"/>
      </w:tblGrid>
      <w:tr w:rsidR="004F5ABD" w:rsidRPr="004F5ABD" w14:paraId="4C8DC6F1" w14:textId="77777777" w:rsidTr="00E21978">
        <w:trPr>
          <w:trHeight w:val="300"/>
        </w:trPr>
        <w:tc>
          <w:tcPr>
            <w:tcW w:w="5387" w:type="dxa"/>
            <w:tcBorders>
              <w:bottom w:val="single" w:sz="4" w:space="0" w:color="auto"/>
            </w:tcBorders>
            <w:noWrap/>
          </w:tcPr>
          <w:p w14:paraId="09E9D7CF" w14:textId="560BC5DA" w:rsidR="004F5ABD" w:rsidRPr="004F5ABD" w:rsidRDefault="004F5ABD" w:rsidP="004F5ABD">
            <w:pPr>
              <w:pStyle w:val="Body"/>
              <w:spacing w:after="0"/>
              <w:rPr>
                <w:rFonts w:ascii="Arial" w:hAnsi="Arial" w:cs="Arial"/>
                <w:lang w:val="es-MX"/>
              </w:rPr>
            </w:pPr>
            <w:proofErr w:type="spellStart"/>
            <w:r>
              <w:rPr>
                <w:rFonts w:ascii="Arial" w:hAnsi="Arial" w:cs="Arial"/>
                <w:lang w:val="es-MX"/>
              </w:rPr>
              <w:t>Comorbidities</w:t>
            </w:r>
            <w:proofErr w:type="spellEnd"/>
          </w:p>
        </w:tc>
        <w:tc>
          <w:tcPr>
            <w:tcW w:w="2821" w:type="dxa"/>
            <w:tcBorders>
              <w:bottom w:val="single" w:sz="4" w:space="0" w:color="auto"/>
            </w:tcBorders>
            <w:noWrap/>
          </w:tcPr>
          <w:p w14:paraId="6B08D2D9" w14:textId="6E67754D" w:rsidR="004F5ABD" w:rsidRPr="004F5ABD" w:rsidRDefault="004F5ABD" w:rsidP="004F5ABD">
            <w:pPr>
              <w:pStyle w:val="Body"/>
              <w:spacing w:after="0"/>
              <w:jc w:val="center"/>
              <w:rPr>
                <w:rFonts w:ascii="Arial" w:hAnsi="Arial" w:cs="Arial"/>
                <w:lang w:val="es-MX"/>
              </w:rPr>
            </w:pPr>
            <w:proofErr w:type="spellStart"/>
            <w:r>
              <w:rPr>
                <w:rFonts w:ascii="Arial" w:hAnsi="Arial" w:cs="Arial"/>
                <w:lang w:val="es-MX"/>
              </w:rPr>
              <w:t>Frequency</w:t>
            </w:r>
            <w:proofErr w:type="spellEnd"/>
            <w:r>
              <w:rPr>
                <w:rFonts w:ascii="Arial" w:hAnsi="Arial" w:cs="Arial"/>
                <w:lang w:val="es-MX"/>
              </w:rPr>
              <w:t>, % (CI95%)</w:t>
            </w:r>
          </w:p>
        </w:tc>
      </w:tr>
      <w:tr w:rsidR="004F5ABD" w:rsidRPr="004F5ABD" w14:paraId="4B14CA0B" w14:textId="77777777" w:rsidTr="00E21978">
        <w:trPr>
          <w:trHeight w:val="300"/>
        </w:trPr>
        <w:tc>
          <w:tcPr>
            <w:tcW w:w="5387" w:type="dxa"/>
            <w:tcBorders>
              <w:top w:val="single" w:sz="4" w:space="0" w:color="auto"/>
              <w:bottom w:val="nil"/>
            </w:tcBorders>
            <w:noWrap/>
          </w:tcPr>
          <w:p w14:paraId="1EBA24E1" w14:textId="7093411C" w:rsidR="004F5ABD" w:rsidRPr="004F5ABD" w:rsidRDefault="003C1FE2" w:rsidP="004F5ABD">
            <w:pPr>
              <w:pStyle w:val="Body"/>
              <w:spacing w:after="0"/>
              <w:rPr>
                <w:rFonts w:ascii="Arial" w:hAnsi="Arial" w:cs="Arial"/>
                <w:lang w:val="es-MX"/>
              </w:rPr>
            </w:pPr>
            <w:r>
              <w:rPr>
                <w:rFonts w:ascii="Arial" w:hAnsi="Arial" w:cs="Arial"/>
                <w:lang w:val="es-MX"/>
              </w:rPr>
              <w:t xml:space="preserve">1.- </w:t>
            </w:r>
            <w:proofErr w:type="spellStart"/>
            <w:r w:rsidR="004F5ABD" w:rsidRPr="004F5ABD">
              <w:rPr>
                <w:rFonts w:ascii="Arial" w:hAnsi="Arial" w:cs="Arial"/>
                <w:lang w:val="es-MX"/>
              </w:rPr>
              <w:t>Essential</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primary</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hypertension</w:t>
            </w:r>
            <w:proofErr w:type="spellEnd"/>
          </w:p>
        </w:tc>
        <w:tc>
          <w:tcPr>
            <w:tcW w:w="2821" w:type="dxa"/>
            <w:tcBorders>
              <w:top w:val="single" w:sz="4" w:space="0" w:color="auto"/>
              <w:bottom w:val="nil"/>
            </w:tcBorders>
            <w:noWrap/>
          </w:tcPr>
          <w:p w14:paraId="662596BD" w14:textId="20A79903"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2127</w:t>
            </w:r>
            <w:r w:rsidR="00E21978">
              <w:rPr>
                <w:rFonts w:ascii="Arial" w:hAnsi="Arial" w:cs="Arial"/>
                <w:lang w:val="es-MX"/>
              </w:rPr>
              <w:t>,</w:t>
            </w:r>
            <w:r w:rsidRPr="004F5ABD">
              <w:rPr>
                <w:rFonts w:ascii="Arial" w:hAnsi="Arial" w:cs="Arial"/>
                <w:lang w:val="es-MX"/>
              </w:rPr>
              <w:t xml:space="preserve"> 59.81% (58.16-61.44)</w:t>
            </w:r>
          </w:p>
        </w:tc>
      </w:tr>
      <w:tr w:rsidR="00640FA9" w:rsidRPr="004F5ABD" w14:paraId="3112FF88" w14:textId="77777777" w:rsidTr="00E21978">
        <w:trPr>
          <w:trHeight w:val="300"/>
        </w:trPr>
        <w:tc>
          <w:tcPr>
            <w:tcW w:w="5387" w:type="dxa"/>
            <w:noWrap/>
          </w:tcPr>
          <w:p w14:paraId="241D28A2" w14:textId="77AAC056" w:rsidR="00640FA9" w:rsidRDefault="00800732" w:rsidP="009A7ADC">
            <w:pPr>
              <w:pStyle w:val="Body"/>
              <w:spacing w:after="0"/>
              <w:rPr>
                <w:rFonts w:ascii="Arial" w:hAnsi="Arial" w:cs="Arial"/>
                <w:lang w:val="es-MX"/>
              </w:rPr>
            </w:pPr>
            <w:r>
              <w:rPr>
                <w:rFonts w:ascii="Arial" w:hAnsi="Arial" w:cs="Arial"/>
                <w:lang w:val="es-MX"/>
              </w:rPr>
              <w:t>2</w:t>
            </w:r>
            <w:r w:rsidR="003C1FE2">
              <w:rPr>
                <w:rFonts w:ascii="Arial" w:hAnsi="Arial" w:cs="Arial"/>
                <w:lang w:val="es-MX"/>
              </w:rPr>
              <w:t xml:space="preserve">.- </w:t>
            </w:r>
            <w:bookmarkStart w:id="2" w:name="_Hlk206444739"/>
            <w:proofErr w:type="spellStart"/>
            <w:r w:rsidR="00640FA9" w:rsidRPr="00D97F3B">
              <w:rPr>
                <w:rFonts w:ascii="Arial" w:hAnsi="Arial" w:cs="Arial"/>
                <w:sz w:val="19"/>
                <w:szCs w:val="19"/>
                <w:lang w:val="es-MX"/>
              </w:rPr>
              <w:t>Disorders</w:t>
            </w:r>
            <w:proofErr w:type="spellEnd"/>
            <w:r w:rsidR="00640FA9" w:rsidRPr="00D97F3B">
              <w:rPr>
                <w:rFonts w:ascii="Arial" w:hAnsi="Arial" w:cs="Arial"/>
                <w:sz w:val="19"/>
                <w:szCs w:val="19"/>
                <w:lang w:val="es-MX"/>
              </w:rPr>
              <w:t xml:space="preserve"> </w:t>
            </w:r>
            <w:proofErr w:type="spellStart"/>
            <w:r w:rsidR="00640FA9" w:rsidRPr="00D97F3B">
              <w:rPr>
                <w:rFonts w:ascii="Arial" w:hAnsi="Arial" w:cs="Arial"/>
                <w:sz w:val="19"/>
                <w:szCs w:val="19"/>
                <w:lang w:val="es-MX"/>
              </w:rPr>
              <w:t>of</w:t>
            </w:r>
            <w:proofErr w:type="spellEnd"/>
            <w:r w:rsidR="00640FA9" w:rsidRPr="00D97F3B">
              <w:rPr>
                <w:rFonts w:ascii="Arial" w:hAnsi="Arial" w:cs="Arial"/>
                <w:sz w:val="19"/>
                <w:szCs w:val="19"/>
                <w:lang w:val="es-MX"/>
              </w:rPr>
              <w:t xml:space="preserve"> </w:t>
            </w:r>
            <w:proofErr w:type="spellStart"/>
            <w:r w:rsidR="00640FA9" w:rsidRPr="00D97F3B">
              <w:rPr>
                <w:rFonts w:ascii="Arial" w:hAnsi="Arial" w:cs="Arial"/>
                <w:sz w:val="19"/>
                <w:szCs w:val="19"/>
                <w:lang w:val="es-MX"/>
              </w:rPr>
              <w:t>lipoprotein</w:t>
            </w:r>
            <w:proofErr w:type="spellEnd"/>
            <w:r w:rsidR="00640FA9" w:rsidRPr="00D97F3B">
              <w:rPr>
                <w:rFonts w:ascii="Arial" w:hAnsi="Arial" w:cs="Arial"/>
                <w:sz w:val="19"/>
                <w:szCs w:val="19"/>
                <w:lang w:val="es-MX"/>
              </w:rPr>
              <w:t xml:space="preserve"> </w:t>
            </w:r>
            <w:proofErr w:type="spellStart"/>
            <w:r w:rsidR="00640FA9" w:rsidRPr="00D97F3B">
              <w:rPr>
                <w:rFonts w:ascii="Arial" w:hAnsi="Arial" w:cs="Arial"/>
                <w:sz w:val="19"/>
                <w:szCs w:val="19"/>
                <w:lang w:val="es-MX"/>
              </w:rPr>
              <w:t>metabolism</w:t>
            </w:r>
            <w:proofErr w:type="spellEnd"/>
            <w:r w:rsidR="00640FA9" w:rsidRPr="00D97F3B">
              <w:rPr>
                <w:rFonts w:ascii="Arial" w:hAnsi="Arial" w:cs="Arial"/>
                <w:sz w:val="19"/>
                <w:szCs w:val="19"/>
                <w:lang w:val="es-MX"/>
              </w:rPr>
              <w:t xml:space="preserve"> and </w:t>
            </w:r>
            <w:proofErr w:type="spellStart"/>
            <w:r w:rsidR="00640FA9" w:rsidRPr="00D97F3B">
              <w:rPr>
                <w:rFonts w:ascii="Arial" w:hAnsi="Arial" w:cs="Arial"/>
                <w:sz w:val="19"/>
                <w:szCs w:val="19"/>
                <w:lang w:val="es-MX"/>
              </w:rPr>
              <w:t>other</w:t>
            </w:r>
            <w:proofErr w:type="spellEnd"/>
            <w:r w:rsidR="00640FA9" w:rsidRPr="00D97F3B">
              <w:rPr>
                <w:rFonts w:ascii="Arial" w:hAnsi="Arial" w:cs="Arial"/>
                <w:sz w:val="19"/>
                <w:szCs w:val="19"/>
                <w:lang w:val="es-MX"/>
              </w:rPr>
              <w:t xml:space="preserve"> </w:t>
            </w:r>
            <w:proofErr w:type="spellStart"/>
            <w:r w:rsidR="00640FA9" w:rsidRPr="00D97F3B">
              <w:rPr>
                <w:rFonts w:ascii="Arial" w:hAnsi="Arial" w:cs="Arial"/>
                <w:sz w:val="19"/>
                <w:szCs w:val="19"/>
                <w:lang w:val="es-MX"/>
              </w:rPr>
              <w:t>lipidaemias</w:t>
            </w:r>
            <w:bookmarkEnd w:id="2"/>
            <w:proofErr w:type="spellEnd"/>
            <w:r w:rsidR="00640FA9" w:rsidRPr="00D97F3B">
              <w:rPr>
                <w:rFonts w:ascii="Arial" w:hAnsi="Arial" w:cs="Arial"/>
                <w:sz w:val="19"/>
                <w:szCs w:val="19"/>
                <w:lang w:val="es-MX"/>
              </w:rPr>
              <w:t>:</w:t>
            </w:r>
          </w:p>
        </w:tc>
        <w:tc>
          <w:tcPr>
            <w:tcW w:w="2821" w:type="dxa"/>
            <w:noWrap/>
          </w:tcPr>
          <w:p w14:paraId="0DAC9669" w14:textId="64B5E22B" w:rsidR="00640FA9" w:rsidRPr="004F5ABD" w:rsidRDefault="00BB767A" w:rsidP="00DB7EBB">
            <w:pPr>
              <w:pStyle w:val="Body"/>
              <w:spacing w:after="0"/>
              <w:jc w:val="center"/>
              <w:rPr>
                <w:rFonts w:ascii="Arial" w:hAnsi="Arial" w:cs="Arial"/>
                <w:lang w:val="es-MX"/>
              </w:rPr>
            </w:pPr>
            <w:r>
              <w:rPr>
                <w:rFonts w:ascii="Arial" w:hAnsi="Arial" w:cs="Arial"/>
                <w:lang w:val="es-MX"/>
              </w:rPr>
              <w:t>856, 24.1% (22.5-25.5)</w:t>
            </w:r>
          </w:p>
        </w:tc>
      </w:tr>
      <w:tr w:rsidR="004F5ABD" w:rsidRPr="004F5ABD" w14:paraId="7BCE62C0" w14:textId="77777777" w:rsidTr="00E21978">
        <w:trPr>
          <w:trHeight w:val="300"/>
        </w:trPr>
        <w:tc>
          <w:tcPr>
            <w:tcW w:w="5387" w:type="dxa"/>
            <w:noWrap/>
            <w:hideMark/>
          </w:tcPr>
          <w:p w14:paraId="237E2824" w14:textId="3DB07758" w:rsidR="004F5ABD" w:rsidRPr="004F5ABD" w:rsidRDefault="00640FA9" w:rsidP="004F5ABD">
            <w:pPr>
              <w:pStyle w:val="Body"/>
              <w:spacing w:after="0"/>
              <w:rPr>
                <w:rFonts w:ascii="Arial" w:hAnsi="Arial" w:cs="Arial"/>
                <w:lang w:val="es-MX"/>
              </w:rPr>
            </w:pPr>
            <w:r>
              <w:rPr>
                <w:rFonts w:ascii="Arial" w:hAnsi="Arial" w:cs="Arial"/>
                <w:lang w:val="es-MX"/>
              </w:rPr>
              <w:t xml:space="preserve">     </w:t>
            </w:r>
            <w:r w:rsidR="003C1FE2">
              <w:rPr>
                <w:rFonts w:ascii="Arial" w:hAnsi="Arial" w:cs="Arial"/>
                <w:lang w:val="es-MX"/>
              </w:rPr>
              <w:t xml:space="preserve">   </w:t>
            </w:r>
            <w:proofErr w:type="spellStart"/>
            <w:r w:rsidR="004F5ABD" w:rsidRPr="004F5ABD">
              <w:rPr>
                <w:rFonts w:ascii="Arial" w:hAnsi="Arial" w:cs="Arial"/>
                <w:lang w:val="es-MX"/>
              </w:rPr>
              <w:t>Hyperlipidaemia</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unspecified</w:t>
            </w:r>
            <w:proofErr w:type="spellEnd"/>
          </w:p>
        </w:tc>
        <w:tc>
          <w:tcPr>
            <w:tcW w:w="2821" w:type="dxa"/>
            <w:noWrap/>
            <w:hideMark/>
          </w:tcPr>
          <w:p w14:paraId="39D6AD98" w14:textId="7404A082" w:rsidR="004F5ABD" w:rsidRPr="004F5ABD" w:rsidRDefault="004F5ABD" w:rsidP="00DB7EBB">
            <w:pPr>
              <w:pStyle w:val="Body"/>
              <w:spacing w:after="0"/>
              <w:jc w:val="center"/>
              <w:rPr>
                <w:rFonts w:ascii="Arial" w:hAnsi="Arial" w:cs="Arial"/>
                <w:lang w:val="es-MX"/>
              </w:rPr>
            </w:pPr>
            <w:r w:rsidRPr="004F5ABD">
              <w:rPr>
                <w:rFonts w:ascii="Arial" w:hAnsi="Arial" w:cs="Arial"/>
                <w:lang w:val="es-MX"/>
              </w:rPr>
              <w:t>539</w:t>
            </w:r>
            <w:r w:rsidR="00E21978">
              <w:rPr>
                <w:rFonts w:ascii="Arial" w:hAnsi="Arial" w:cs="Arial"/>
                <w:lang w:val="es-MX"/>
              </w:rPr>
              <w:t>,</w:t>
            </w:r>
            <w:r w:rsidRPr="004F5ABD">
              <w:rPr>
                <w:rFonts w:ascii="Arial" w:hAnsi="Arial" w:cs="Arial"/>
                <w:lang w:val="es-MX"/>
              </w:rPr>
              <w:t xml:space="preserve"> 15.16% (14.03-16.34)</w:t>
            </w:r>
          </w:p>
        </w:tc>
      </w:tr>
      <w:tr w:rsidR="00640FA9" w:rsidRPr="004F5ABD" w14:paraId="487E6945" w14:textId="77777777" w:rsidTr="00E21978">
        <w:trPr>
          <w:trHeight w:val="300"/>
        </w:trPr>
        <w:tc>
          <w:tcPr>
            <w:tcW w:w="5387" w:type="dxa"/>
            <w:noWrap/>
            <w:hideMark/>
          </w:tcPr>
          <w:p w14:paraId="61540859" w14:textId="4BB1D2A2" w:rsidR="00640FA9" w:rsidRPr="004F5ABD" w:rsidRDefault="00640FA9" w:rsidP="00B5615B">
            <w:pPr>
              <w:pStyle w:val="Body"/>
              <w:spacing w:after="0"/>
              <w:rPr>
                <w:rFonts w:ascii="Arial" w:hAnsi="Arial" w:cs="Arial"/>
                <w:lang w:val="es-MX"/>
              </w:rPr>
            </w:pPr>
            <w:r>
              <w:rPr>
                <w:rFonts w:ascii="Arial" w:hAnsi="Arial" w:cs="Arial"/>
                <w:lang w:val="es-MX"/>
              </w:rPr>
              <w:t xml:space="preserve">     </w:t>
            </w:r>
            <w:r w:rsidR="003C1FE2">
              <w:rPr>
                <w:rFonts w:ascii="Arial" w:hAnsi="Arial" w:cs="Arial"/>
                <w:lang w:val="es-MX"/>
              </w:rPr>
              <w:t xml:space="preserve">   </w:t>
            </w:r>
            <w:proofErr w:type="spellStart"/>
            <w:r w:rsidRPr="004F5ABD">
              <w:rPr>
                <w:rFonts w:ascii="Arial" w:hAnsi="Arial" w:cs="Arial"/>
                <w:lang w:val="es-MX"/>
              </w:rPr>
              <w:t>Mixed</w:t>
            </w:r>
            <w:proofErr w:type="spellEnd"/>
            <w:r w:rsidRPr="004F5ABD">
              <w:rPr>
                <w:rFonts w:ascii="Arial" w:hAnsi="Arial" w:cs="Arial"/>
                <w:lang w:val="es-MX"/>
              </w:rPr>
              <w:t xml:space="preserve"> </w:t>
            </w:r>
            <w:proofErr w:type="spellStart"/>
            <w:r w:rsidRPr="004F5ABD">
              <w:rPr>
                <w:rFonts w:ascii="Arial" w:hAnsi="Arial" w:cs="Arial"/>
                <w:lang w:val="es-MX"/>
              </w:rPr>
              <w:t>hyperlipidaemia</w:t>
            </w:r>
            <w:proofErr w:type="spellEnd"/>
          </w:p>
        </w:tc>
        <w:tc>
          <w:tcPr>
            <w:tcW w:w="2821" w:type="dxa"/>
            <w:noWrap/>
            <w:hideMark/>
          </w:tcPr>
          <w:p w14:paraId="6FD138D6" w14:textId="708E9BCD" w:rsidR="00640FA9" w:rsidRPr="004F5ABD" w:rsidRDefault="00640FA9" w:rsidP="00B5615B">
            <w:pPr>
              <w:pStyle w:val="Body"/>
              <w:spacing w:after="0"/>
              <w:jc w:val="center"/>
              <w:rPr>
                <w:rFonts w:ascii="Arial" w:hAnsi="Arial" w:cs="Arial"/>
                <w:lang w:val="es-MX"/>
              </w:rPr>
            </w:pPr>
            <w:r w:rsidRPr="004F5ABD">
              <w:rPr>
                <w:rFonts w:ascii="Arial" w:hAnsi="Arial" w:cs="Arial"/>
                <w:lang w:val="es-MX"/>
              </w:rPr>
              <w:t>275</w:t>
            </w:r>
            <w:r w:rsidR="00E21978">
              <w:rPr>
                <w:rFonts w:ascii="Arial" w:hAnsi="Arial" w:cs="Arial"/>
                <w:lang w:val="es-MX"/>
              </w:rPr>
              <w:t>,</w:t>
            </w:r>
            <w:r w:rsidRPr="004F5ABD">
              <w:rPr>
                <w:rFonts w:ascii="Arial" w:hAnsi="Arial" w:cs="Arial"/>
                <w:lang w:val="es-MX"/>
              </w:rPr>
              <w:t xml:space="preserve"> 7.73% (6.86-8.63)</w:t>
            </w:r>
          </w:p>
        </w:tc>
      </w:tr>
      <w:tr w:rsidR="00640FA9" w:rsidRPr="004F5ABD" w14:paraId="76AF75F6" w14:textId="77777777" w:rsidTr="00800732">
        <w:trPr>
          <w:trHeight w:val="300"/>
        </w:trPr>
        <w:tc>
          <w:tcPr>
            <w:tcW w:w="5387" w:type="dxa"/>
            <w:tcBorders>
              <w:bottom w:val="nil"/>
            </w:tcBorders>
            <w:noWrap/>
            <w:hideMark/>
          </w:tcPr>
          <w:p w14:paraId="21BD2F12" w14:textId="6883C71F" w:rsidR="00640FA9" w:rsidRPr="004F5ABD" w:rsidRDefault="00640FA9" w:rsidP="003C7802">
            <w:pPr>
              <w:pStyle w:val="Body"/>
              <w:spacing w:after="0"/>
              <w:rPr>
                <w:rFonts w:ascii="Arial" w:hAnsi="Arial" w:cs="Arial"/>
                <w:lang w:val="es-MX"/>
              </w:rPr>
            </w:pPr>
            <w:r>
              <w:rPr>
                <w:rFonts w:ascii="Arial" w:hAnsi="Arial" w:cs="Arial"/>
                <w:lang w:val="es-MX"/>
              </w:rPr>
              <w:t xml:space="preserve">     </w:t>
            </w:r>
            <w:r w:rsidR="003C1FE2">
              <w:rPr>
                <w:rFonts w:ascii="Arial" w:hAnsi="Arial" w:cs="Arial"/>
                <w:lang w:val="es-MX"/>
              </w:rPr>
              <w:t xml:space="preserve">   </w:t>
            </w:r>
            <w:proofErr w:type="spellStart"/>
            <w:r w:rsidRPr="004F5ABD">
              <w:rPr>
                <w:rFonts w:ascii="Arial" w:hAnsi="Arial" w:cs="Arial"/>
                <w:lang w:val="es-MX"/>
              </w:rPr>
              <w:t>Pure</w:t>
            </w:r>
            <w:proofErr w:type="spellEnd"/>
            <w:r w:rsidRPr="004F5ABD">
              <w:rPr>
                <w:rFonts w:ascii="Arial" w:hAnsi="Arial" w:cs="Arial"/>
                <w:lang w:val="es-MX"/>
              </w:rPr>
              <w:t xml:space="preserve"> </w:t>
            </w:r>
            <w:proofErr w:type="spellStart"/>
            <w:r w:rsidRPr="004F5ABD">
              <w:rPr>
                <w:rFonts w:ascii="Arial" w:hAnsi="Arial" w:cs="Arial"/>
                <w:lang w:val="es-MX"/>
              </w:rPr>
              <w:t>hyperglyceridaemia</w:t>
            </w:r>
            <w:proofErr w:type="spellEnd"/>
          </w:p>
        </w:tc>
        <w:tc>
          <w:tcPr>
            <w:tcW w:w="2821" w:type="dxa"/>
            <w:tcBorders>
              <w:bottom w:val="nil"/>
            </w:tcBorders>
            <w:noWrap/>
            <w:hideMark/>
          </w:tcPr>
          <w:p w14:paraId="71C39170" w14:textId="42FEDDC5" w:rsidR="00640FA9" w:rsidRPr="004F5ABD" w:rsidRDefault="00640FA9" w:rsidP="003C7802">
            <w:pPr>
              <w:pStyle w:val="Body"/>
              <w:spacing w:after="0"/>
              <w:jc w:val="center"/>
              <w:rPr>
                <w:rFonts w:ascii="Arial" w:hAnsi="Arial" w:cs="Arial"/>
                <w:lang w:val="es-MX"/>
              </w:rPr>
            </w:pPr>
            <w:r w:rsidRPr="004F5ABD">
              <w:rPr>
                <w:rFonts w:ascii="Arial" w:hAnsi="Arial" w:cs="Arial"/>
                <w:lang w:val="es-MX"/>
              </w:rPr>
              <w:t>190</w:t>
            </w:r>
            <w:r w:rsidR="00E21978">
              <w:rPr>
                <w:rFonts w:ascii="Arial" w:hAnsi="Arial" w:cs="Arial"/>
                <w:lang w:val="es-MX"/>
              </w:rPr>
              <w:t>,</w:t>
            </w:r>
            <w:r w:rsidRPr="004F5ABD">
              <w:rPr>
                <w:rFonts w:ascii="Arial" w:hAnsi="Arial" w:cs="Arial"/>
                <w:lang w:val="es-MX"/>
              </w:rPr>
              <w:t xml:space="preserve"> 5.34% (4.61-6.07)</w:t>
            </w:r>
          </w:p>
        </w:tc>
      </w:tr>
      <w:tr w:rsidR="00800732" w:rsidRPr="004F5ABD" w14:paraId="11C9A314" w14:textId="77777777" w:rsidTr="00800732">
        <w:trPr>
          <w:trHeight w:val="300"/>
        </w:trPr>
        <w:tc>
          <w:tcPr>
            <w:tcW w:w="5387" w:type="dxa"/>
            <w:tcBorders>
              <w:top w:val="nil"/>
              <w:bottom w:val="nil"/>
            </w:tcBorders>
            <w:noWrap/>
          </w:tcPr>
          <w:p w14:paraId="6C0A2166" w14:textId="0E8CAF3C" w:rsidR="00800732" w:rsidRPr="004F5ABD" w:rsidRDefault="00800732" w:rsidP="00785B4C">
            <w:pPr>
              <w:pStyle w:val="Body"/>
              <w:spacing w:after="0"/>
              <w:rPr>
                <w:rFonts w:ascii="Arial" w:hAnsi="Arial" w:cs="Arial"/>
                <w:lang w:val="es-MX"/>
              </w:rPr>
            </w:pPr>
            <w:r>
              <w:rPr>
                <w:rFonts w:ascii="Arial" w:hAnsi="Arial" w:cs="Arial"/>
                <w:lang w:val="es-MX"/>
              </w:rPr>
              <w:t xml:space="preserve">3.- </w:t>
            </w:r>
            <w:proofErr w:type="spellStart"/>
            <w:r>
              <w:rPr>
                <w:rFonts w:ascii="Arial" w:hAnsi="Arial" w:cs="Arial"/>
                <w:lang w:val="es-MX"/>
              </w:rPr>
              <w:t>Obesity</w:t>
            </w:r>
            <w:proofErr w:type="spellEnd"/>
            <w:r>
              <w:rPr>
                <w:rFonts w:ascii="Arial" w:hAnsi="Arial" w:cs="Arial"/>
                <w:lang w:val="es-MX"/>
              </w:rPr>
              <w:t>:</w:t>
            </w:r>
          </w:p>
        </w:tc>
        <w:tc>
          <w:tcPr>
            <w:tcW w:w="2821" w:type="dxa"/>
            <w:tcBorders>
              <w:top w:val="nil"/>
              <w:bottom w:val="nil"/>
            </w:tcBorders>
            <w:noWrap/>
          </w:tcPr>
          <w:p w14:paraId="5BB0340C" w14:textId="77777777" w:rsidR="00800732" w:rsidRPr="004F5ABD" w:rsidRDefault="00800732" w:rsidP="00785B4C">
            <w:pPr>
              <w:pStyle w:val="Body"/>
              <w:spacing w:after="0"/>
              <w:jc w:val="center"/>
              <w:rPr>
                <w:rFonts w:ascii="Arial" w:hAnsi="Arial" w:cs="Arial"/>
                <w:lang w:val="es-MX"/>
              </w:rPr>
            </w:pPr>
            <w:r>
              <w:rPr>
                <w:rFonts w:ascii="Arial" w:hAnsi="Arial" w:cs="Arial"/>
                <w:lang w:val="es-MX"/>
              </w:rPr>
              <w:t>843, 23.7% (22.2-25.1)</w:t>
            </w:r>
          </w:p>
        </w:tc>
      </w:tr>
      <w:tr w:rsidR="00800732" w:rsidRPr="004F5ABD" w14:paraId="3615C9FE" w14:textId="77777777" w:rsidTr="00785B4C">
        <w:trPr>
          <w:trHeight w:val="300"/>
        </w:trPr>
        <w:tc>
          <w:tcPr>
            <w:tcW w:w="5387" w:type="dxa"/>
            <w:tcBorders>
              <w:top w:val="nil"/>
            </w:tcBorders>
            <w:noWrap/>
            <w:hideMark/>
          </w:tcPr>
          <w:p w14:paraId="7F81ED42" w14:textId="77777777" w:rsidR="00800732" w:rsidRPr="004F5ABD" w:rsidRDefault="00800732" w:rsidP="00785B4C">
            <w:pPr>
              <w:pStyle w:val="Body"/>
              <w:spacing w:after="0"/>
              <w:rPr>
                <w:rFonts w:ascii="Arial" w:hAnsi="Arial" w:cs="Arial"/>
                <w:lang w:val="es-MX"/>
              </w:rPr>
            </w:pPr>
            <w:r>
              <w:rPr>
                <w:rFonts w:ascii="Arial" w:hAnsi="Arial" w:cs="Arial"/>
                <w:lang w:val="es-MX"/>
              </w:rPr>
              <w:t xml:space="preserve">        </w:t>
            </w:r>
            <w:proofErr w:type="spellStart"/>
            <w:r w:rsidRPr="004F5ABD">
              <w:rPr>
                <w:rFonts w:ascii="Arial" w:hAnsi="Arial" w:cs="Arial"/>
                <w:lang w:val="es-MX"/>
              </w:rPr>
              <w:t>Obesity</w:t>
            </w:r>
            <w:proofErr w:type="spellEnd"/>
            <w:r w:rsidRPr="004F5ABD">
              <w:rPr>
                <w:rFonts w:ascii="Arial" w:hAnsi="Arial" w:cs="Arial"/>
                <w:lang w:val="es-MX"/>
              </w:rPr>
              <w:t xml:space="preserve"> </w:t>
            </w:r>
            <w:proofErr w:type="spellStart"/>
            <w:r w:rsidRPr="004F5ABD">
              <w:rPr>
                <w:rFonts w:ascii="Arial" w:hAnsi="Arial" w:cs="Arial"/>
                <w:lang w:val="es-MX"/>
              </w:rPr>
              <w:t>due</w:t>
            </w:r>
            <w:proofErr w:type="spellEnd"/>
            <w:r w:rsidRPr="004F5ABD">
              <w:rPr>
                <w:rFonts w:ascii="Arial" w:hAnsi="Arial" w:cs="Arial"/>
                <w:lang w:val="es-MX"/>
              </w:rPr>
              <w:t xml:space="preserve"> </w:t>
            </w:r>
            <w:proofErr w:type="spellStart"/>
            <w:r w:rsidRPr="004F5ABD">
              <w:rPr>
                <w:rFonts w:ascii="Arial" w:hAnsi="Arial" w:cs="Arial"/>
                <w:lang w:val="es-MX"/>
              </w:rPr>
              <w:t>to</w:t>
            </w:r>
            <w:proofErr w:type="spellEnd"/>
            <w:r w:rsidRPr="004F5ABD">
              <w:rPr>
                <w:rFonts w:ascii="Arial" w:hAnsi="Arial" w:cs="Arial"/>
                <w:lang w:val="es-MX"/>
              </w:rPr>
              <w:t xml:space="preserve"> </w:t>
            </w:r>
            <w:proofErr w:type="spellStart"/>
            <w:r w:rsidRPr="004F5ABD">
              <w:rPr>
                <w:rFonts w:ascii="Arial" w:hAnsi="Arial" w:cs="Arial"/>
                <w:lang w:val="es-MX"/>
              </w:rPr>
              <w:t>excess</w:t>
            </w:r>
            <w:proofErr w:type="spellEnd"/>
            <w:r w:rsidRPr="004F5ABD">
              <w:rPr>
                <w:rFonts w:ascii="Arial" w:hAnsi="Arial" w:cs="Arial"/>
                <w:lang w:val="es-MX"/>
              </w:rPr>
              <w:t xml:space="preserve"> </w:t>
            </w:r>
            <w:proofErr w:type="spellStart"/>
            <w:r w:rsidRPr="004F5ABD">
              <w:rPr>
                <w:rFonts w:ascii="Arial" w:hAnsi="Arial" w:cs="Arial"/>
                <w:lang w:val="es-MX"/>
              </w:rPr>
              <w:t>calories</w:t>
            </w:r>
            <w:proofErr w:type="spellEnd"/>
          </w:p>
        </w:tc>
        <w:tc>
          <w:tcPr>
            <w:tcW w:w="2821" w:type="dxa"/>
            <w:tcBorders>
              <w:top w:val="nil"/>
            </w:tcBorders>
            <w:noWrap/>
            <w:hideMark/>
          </w:tcPr>
          <w:p w14:paraId="3678099E" w14:textId="77777777" w:rsidR="00800732" w:rsidRPr="004F5ABD" w:rsidRDefault="00800732" w:rsidP="00785B4C">
            <w:pPr>
              <w:pStyle w:val="Body"/>
              <w:spacing w:after="0"/>
              <w:jc w:val="center"/>
              <w:rPr>
                <w:rFonts w:ascii="Arial" w:hAnsi="Arial" w:cs="Arial"/>
                <w:lang w:val="es-MX"/>
              </w:rPr>
            </w:pPr>
            <w:r w:rsidRPr="004F5ABD">
              <w:rPr>
                <w:rFonts w:ascii="Arial" w:hAnsi="Arial" w:cs="Arial"/>
                <w:lang w:val="es-MX"/>
              </w:rPr>
              <w:t>563</w:t>
            </w:r>
            <w:r>
              <w:rPr>
                <w:rFonts w:ascii="Arial" w:hAnsi="Arial" w:cs="Arial"/>
                <w:lang w:val="es-MX"/>
              </w:rPr>
              <w:t>,</w:t>
            </w:r>
            <w:r w:rsidRPr="004F5ABD">
              <w:rPr>
                <w:rFonts w:ascii="Arial" w:hAnsi="Arial" w:cs="Arial"/>
                <w:lang w:val="es-MX"/>
              </w:rPr>
              <w:t xml:space="preserve"> 15.83% (14.62-17.07)</w:t>
            </w:r>
          </w:p>
        </w:tc>
      </w:tr>
      <w:tr w:rsidR="00800732" w:rsidRPr="004F5ABD" w14:paraId="3B7F7AC9" w14:textId="77777777" w:rsidTr="00785B4C">
        <w:trPr>
          <w:trHeight w:val="300"/>
        </w:trPr>
        <w:tc>
          <w:tcPr>
            <w:tcW w:w="5387" w:type="dxa"/>
            <w:noWrap/>
            <w:hideMark/>
          </w:tcPr>
          <w:p w14:paraId="7CF2D5B5" w14:textId="77777777" w:rsidR="00800732" w:rsidRPr="004F5ABD" w:rsidRDefault="00800732" w:rsidP="00785B4C">
            <w:pPr>
              <w:pStyle w:val="Body"/>
              <w:spacing w:after="0"/>
              <w:rPr>
                <w:rFonts w:ascii="Arial" w:hAnsi="Arial" w:cs="Arial"/>
                <w:lang w:val="es-MX"/>
              </w:rPr>
            </w:pPr>
            <w:r>
              <w:rPr>
                <w:rFonts w:ascii="Arial" w:hAnsi="Arial" w:cs="Arial"/>
                <w:lang w:val="es-MX"/>
              </w:rPr>
              <w:t xml:space="preserve">        </w:t>
            </w:r>
            <w:proofErr w:type="spellStart"/>
            <w:r w:rsidRPr="004F5ABD">
              <w:rPr>
                <w:rFonts w:ascii="Arial" w:hAnsi="Arial" w:cs="Arial"/>
                <w:lang w:val="es-MX"/>
              </w:rPr>
              <w:t>Obesity</w:t>
            </w:r>
            <w:proofErr w:type="spellEnd"/>
            <w:r w:rsidRPr="004F5ABD">
              <w:rPr>
                <w:rFonts w:ascii="Arial" w:hAnsi="Arial" w:cs="Arial"/>
                <w:lang w:val="es-MX"/>
              </w:rPr>
              <w:t xml:space="preserve">, </w:t>
            </w:r>
            <w:proofErr w:type="spellStart"/>
            <w:r w:rsidRPr="004F5ABD">
              <w:rPr>
                <w:rFonts w:ascii="Arial" w:hAnsi="Arial" w:cs="Arial"/>
                <w:lang w:val="es-MX"/>
              </w:rPr>
              <w:t>unspecified</w:t>
            </w:r>
            <w:proofErr w:type="spellEnd"/>
          </w:p>
        </w:tc>
        <w:tc>
          <w:tcPr>
            <w:tcW w:w="2821" w:type="dxa"/>
            <w:noWrap/>
            <w:hideMark/>
          </w:tcPr>
          <w:p w14:paraId="0AFD890D" w14:textId="77777777" w:rsidR="00800732" w:rsidRPr="004F5ABD" w:rsidRDefault="00800732" w:rsidP="00785B4C">
            <w:pPr>
              <w:pStyle w:val="Body"/>
              <w:spacing w:after="0"/>
              <w:jc w:val="center"/>
              <w:rPr>
                <w:rFonts w:ascii="Arial" w:hAnsi="Arial" w:cs="Arial"/>
                <w:lang w:val="es-MX"/>
              </w:rPr>
            </w:pPr>
            <w:r w:rsidRPr="004F5ABD">
              <w:rPr>
                <w:rFonts w:ascii="Arial" w:hAnsi="Arial" w:cs="Arial"/>
                <w:lang w:val="es-MX"/>
              </w:rPr>
              <w:t>365</w:t>
            </w:r>
            <w:r>
              <w:rPr>
                <w:rFonts w:ascii="Arial" w:hAnsi="Arial" w:cs="Arial"/>
                <w:lang w:val="es-MX"/>
              </w:rPr>
              <w:t>,</w:t>
            </w:r>
            <w:r w:rsidRPr="004F5ABD">
              <w:rPr>
                <w:rFonts w:ascii="Arial" w:hAnsi="Arial" w:cs="Arial"/>
                <w:lang w:val="es-MX"/>
              </w:rPr>
              <w:t xml:space="preserve"> 10.26% (9.22-11.28)</w:t>
            </w:r>
          </w:p>
        </w:tc>
      </w:tr>
      <w:tr w:rsidR="004F5ABD" w:rsidRPr="004F5ABD" w14:paraId="645F8B0B" w14:textId="77777777" w:rsidTr="00E21978">
        <w:trPr>
          <w:trHeight w:val="300"/>
        </w:trPr>
        <w:tc>
          <w:tcPr>
            <w:tcW w:w="5387" w:type="dxa"/>
            <w:noWrap/>
            <w:hideMark/>
          </w:tcPr>
          <w:p w14:paraId="5942C413" w14:textId="4573FD64" w:rsidR="004F5ABD" w:rsidRPr="004F5ABD" w:rsidRDefault="003C1FE2" w:rsidP="004F5ABD">
            <w:pPr>
              <w:pStyle w:val="Body"/>
              <w:spacing w:after="0"/>
              <w:rPr>
                <w:rFonts w:ascii="Arial" w:hAnsi="Arial" w:cs="Arial"/>
                <w:lang w:val="es-MX"/>
              </w:rPr>
            </w:pPr>
            <w:r>
              <w:rPr>
                <w:rFonts w:ascii="Arial" w:hAnsi="Arial" w:cs="Arial"/>
                <w:lang w:val="es-MX"/>
              </w:rPr>
              <w:t xml:space="preserve">4.- </w:t>
            </w:r>
            <w:proofErr w:type="spellStart"/>
            <w:r w:rsidR="004F5ABD" w:rsidRPr="004F5ABD">
              <w:rPr>
                <w:rFonts w:ascii="Arial" w:hAnsi="Arial" w:cs="Arial"/>
                <w:lang w:val="es-MX"/>
              </w:rPr>
              <w:t>Hypothyroidism</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unspecified</w:t>
            </w:r>
            <w:proofErr w:type="spellEnd"/>
          </w:p>
        </w:tc>
        <w:tc>
          <w:tcPr>
            <w:tcW w:w="2821" w:type="dxa"/>
            <w:noWrap/>
            <w:hideMark/>
          </w:tcPr>
          <w:p w14:paraId="71690130" w14:textId="468EA5A2"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298</w:t>
            </w:r>
            <w:r w:rsidR="00E21978">
              <w:rPr>
                <w:rFonts w:ascii="Arial" w:hAnsi="Arial" w:cs="Arial"/>
                <w:lang w:val="es-MX"/>
              </w:rPr>
              <w:t>,</w:t>
            </w:r>
            <w:r w:rsidRPr="004F5ABD">
              <w:rPr>
                <w:rFonts w:ascii="Arial" w:hAnsi="Arial" w:cs="Arial"/>
                <w:lang w:val="es-MX"/>
              </w:rPr>
              <w:t xml:space="preserve"> 8.38% (7.45-9.34)</w:t>
            </w:r>
          </w:p>
        </w:tc>
      </w:tr>
      <w:tr w:rsidR="004F5ABD" w:rsidRPr="004F5ABD" w14:paraId="1CC371C2" w14:textId="77777777" w:rsidTr="00E21978">
        <w:trPr>
          <w:trHeight w:val="300"/>
        </w:trPr>
        <w:tc>
          <w:tcPr>
            <w:tcW w:w="5387" w:type="dxa"/>
            <w:noWrap/>
            <w:hideMark/>
          </w:tcPr>
          <w:p w14:paraId="505FAD14" w14:textId="6E51E479" w:rsidR="004F5ABD" w:rsidRPr="004F5ABD" w:rsidRDefault="003C1FE2" w:rsidP="004F5ABD">
            <w:pPr>
              <w:pStyle w:val="Body"/>
              <w:spacing w:after="0"/>
              <w:rPr>
                <w:rFonts w:ascii="Arial" w:hAnsi="Arial" w:cs="Arial"/>
                <w:lang w:val="es-MX"/>
              </w:rPr>
            </w:pPr>
            <w:r>
              <w:rPr>
                <w:rFonts w:ascii="Arial" w:hAnsi="Arial" w:cs="Arial"/>
                <w:lang w:val="es-MX"/>
              </w:rPr>
              <w:t xml:space="preserve">5.- </w:t>
            </w:r>
            <w:proofErr w:type="spellStart"/>
            <w:r w:rsidR="004F5ABD" w:rsidRPr="004F5ABD">
              <w:rPr>
                <w:rFonts w:ascii="Arial" w:hAnsi="Arial" w:cs="Arial"/>
                <w:lang w:val="es-MX"/>
              </w:rPr>
              <w:t>Venous</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insufficiency</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chronic</w:t>
            </w:r>
            <w:proofErr w:type="spellEnd"/>
            <w:r w:rsidR="004F5ABD" w:rsidRPr="004F5ABD">
              <w:rPr>
                <w:rFonts w:ascii="Arial" w:hAnsi="Arial" w:cs="Arial"/>
                <w:lang w:val="es-MX"/>
              </w:rPr>
              <w:t>)(</w:t>
            </w:r>
            <w:proofErr w:type="spellStart"/>
            <w:r w:rsidR="004F5ABD" w:rsidRPr="004F5ABD">
              <w:rPr>
                <w:rFonts w:ascii="Arial" w:hAnsi="Arial" w:cs="Arial"/>
                <w:lang w:val="es-MX"/>
              </w:rPr>
              <w:t>peripheral</w:t>
            </w:r>
            <w:proofErr w:type="spellEnd"/>
            <w:r w:rsidR="004F5ABD" w:rsidRPr="004F5ABD">
              <w:rPr>
                <w:rFonts w:ascii="Arial" w:hAnsi="Arial" w:cs="Arial"/>
                <w:lang w:val="es-MX"/>
              </w:rPr>
              <w:t>)</w:t>
            </w:r>
          </w:p>
        </w:tc>
        <w:tc>
          <w:tcPr>
            <w:tcW w:w="2821" w:type="dxa"/>
            <w:noWrap/>
            <w:hideMark/>
          </w:tcPr>
          <w:p w14:paraId="017FBEB2" w14:textId="6975143C"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275</w:t>
            </w:r>
            <w:r w:rsidR="00E21978">
              <w:rPr>
                <w:rFonts w:ascii="Arial" w:hAnsi="Arial" w:cs="Arial"/>
                <w:lang w:val="es-MX"/>
              </w:rPr>
              <w:t>,</w:t>
            </w:r>
            <w:r w:rsidRPr="004F5ABD">
              <w:rPr>
                <w:rFonts w:ascii="Arial" w:hAnsi="Arial" w:cs="Arial"/>
                <w:lang w:val="es-MX"/>
              </w:rPr>
              <w:t xml:space="preserve"> 7.73% (6.86-8.69)</w:t>
            </w:r>
          </w:p>
        </w:tc>
      </w:tr>
      <w:tr w:rsidR="004F5ABD" w:rsidRPr="004F5ABD" w14:paraId="6E6425E1" w14:textId="77777777" w:rsidTr="00E21978">
        <w:trPr>
          <w:trHeight w:val="300"/>
        </w:trPr>
        <w:tc>
          <w:tcPr>
            <w:tcW w:w="5387" w:type="dxa"/>
            <w:noWrap/>
            <w:hideMark/>
          </w:tcPr>
          <w:p w14:paraId="10EFD0B5" w14:textId="455003B0" w:rsidR="004F5ABD" w:rsidRPr="004F5ABD" w:rsidRDefault="003C1FE2" w:rsidP="004F5ABD">
            <w:pPr>
              <w:pStyle w:val="Body"/>
              <w:spacing w:after="0"/>
              <w:rPr>
                <w:rFonts w:ascii="Arial" w:hAnsi="Arial" w:cs="Arial"/>
                <w:lang w:val="es-MX"/>
              </w:rPr>
            </w:pPr>
            <w:r>
              <w:rPr>
                <w:rFonts w:ascii="Arial" w:hAnsi="Arial" w:cs="Arial"/>
                <w:lang w:val="es-MX"/>
              </w:rPr>
              <w:t xml:space="preserve">6.- </w:t>
            </w:r>
            <w:proofErr w:type="spellStart"/>
            <w:r w:rsidR="004F5ABD" w:rsidRPr="004F5ABD">
              <w:rPr>
                <w:rFonts w:ascii="Arial" w:hAnsi="Arial" w:cs="Arial"/>
                <w:lang w:val="es-MX"/>
              </w:rPr>
              <w:t>Chronic</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kidney</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disease</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unspecified</w:t>
            </w:r>
            <w:proofErr w:type="spellEnd"/>
          </w:p>
        </w:tc>
        <w:tc>
          <w:tcPr>
            <w:tcW w:w="2821" w:type="dxa"/>
            <w:noWrap/>
            <w:hideMark/>
          </w:tcPr>
          <w:p w14:paraId="5B267BB1" w14:textId="4B964093"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252</w:t>
            </w:r>
            <w:r w:rsidR="00E21978">
              <w:rPr>
                <w:rFonts w:ascii="Arial" w:hAnsi="Arial" w:cs="Arial"/>
                <w:lang w:val="es-MX"/>
              </w:rPr>
              <w:t>,</w:t>
            </w:r>
            <w:r w:rsidRPr="004F5ABD">
              <w:rPr>
                <w:rFonts w:ascii="Arial" w:hAnsi="Arial" w:cs="Arial"/>
                <w:lang w:val="es-MX"/>
              </w:rPr>
              <w:t xml:space="preserve"> 7.09% (6.27-7.93)</w:t>
            </w:r>
          </w:p>
        </w:tc>
      </w:tr>
      <w:tr w:rsidR="004F5ABD" w:rsidRPr="004F5ABD" w14:paraId="34BDF1CA" w14:textId="77777777" w:rsidTr="00E21978">
        <w:trPr>
          <w:trHeight w:val="300"/>
        </w:trPr>
        <w:tc>
          <w:tcPr>
            <w:tcW w:w="5387" w:type="dxa"/>
            <w:noWrap/>
            <w:hideMark/>
          </w:tcPr>
          <w:p w14:paraId="130E128A" w14:textId="13BC56E2" w:rsidR="004F5ABD" w:rsidRPr="004F5ABD" w:rsidRDefault="003C1FE2" w:rsidP="004F5ABD">
            <w:pPr>
              <w:pStyle w:val="Body"/>
              <w:spacing w:after="0"/>
              <w:rPr>
                <w:rFonts w:ascii="Arial" w:hAnsi="Arial" w:cs="Arial"/>
                <w:lang w:val="es-MX"/>
              </w:rPr>
            </w:pPr>
            <w:r>
              <w:rPr>
                <w:rFonts w:ascii="Arial" w:hAnsi="Arial" w:cs="Arial"/>
                <w:lang w:val="es-MX"/>
              </w:rPr>
              <w:t xml:space="preserve">7.- </w:t>
            </w:r>
            <w:proofErr w:type="spellStart"/>
            <w:r w:rsidR="004F5ABD" w:rsidRPr="004F5ABD">
              <w:rPr>
                <w:rFonts w:ascii="Arial" w:hAnsi="Arial" w:cs="Arial"/>
                <w:lang w:val="es-MX"/>
              </w:rPr>
              <w:t>Chronic</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obstructive</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pulmonary</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disease</w:t>
            </w:r>
            <w:proofErr w:type="spellEnd"/>
            <w:r w:rsidR="004F5ABD" w:rsidRPr="004F5ABD">
              <w:rPr>
                <w:rFonts w:ascii="Arial" w:hAnsi="Arial" w:cs="Arial"/>
                <w:lang w:val="es-MX"/>
              </w:rPr>
              <w:t xml:space="preserve">, </w:t>
            </w:r>
            <w:proofErr w:type="spellStart"/>
            <w:r w:rsidR="004F5ABD" w:rsidRPr="004F5ABD">
              <w:rPr>
                <w:rFonts w:ascii="Arial" w:hAnsi="Arial" w:cs="Arial"/>
                <w:lang w:val="es-MX"/>
              </w:rPr>
              <w:t>unspecified</w:t>
            </w:r>
            <w:proofErr w:type="spellEnd"/>
          </w:p>
        </w:tc>
        <w:tc>
          <w:tcPr>
            <w:tcW w:w="2821" w:type="dxa"/>
            <w:noWrap/>
            <w:hideMark/>
          </w:tcPr>
          <w:p w14:paraId="1DE9FDE5" w14:textId="5E382E21" w:rsidR="004F5ABD" w:rsidRPr="004F5ABD" w:rsidRDefault="004F5ABD" w:rsidP="004F5ABD">
            <w:pPr>
              <w:pStyle w:val="Body"/>
              <w:spacing w:after="0"/>
              <w:jc w:val="center"/>
              <w:rPr>
                <w:rFonts w:ascii="Arial" w:hAnsi="Arial" w:cs="Arial"/>
                <w:lang w:val="es-MX"/>
              </w:rPr>
            </w:pPr>
            <w:r w:rsidRPr="004F5ABD">
              <w:rPr>
                <w:rFonts w:ascii="Arial" w:hAnsi="Arial" w:cs="Arial"/>
                <w:lang w:val="es-MX"/>
              </w:rPr>
              <w:t>204</w:t>
            </w:r>
            <w:r w:rsidR="00E21978">
              <w:rPr>
                <w:rFonts w:ascii="Arial" w:hAnsi="Arial" w:cs="Arial"/>
                <w:lang w:val="es-MX"/>
              </w:rPr>
              <w:t>,</w:t>
            </w:r>
            <w:r w:rsidRPr="004F5ABD">
              <w:rPr>
                <w:rFonts w:ascii="Arial" w:hAnsi="Arial" w:cs="Arial"/>
                <w:lang w:val="es-MX"/>
              </w:rPr>
              <w:t xml:space="preserve"> 5.74% (4.98-6.58)</w:t>
            </w:r>
          </w:p>
        </w:tc>
      </w:tr>
      <w:tr w:rsidR="0046539D" w:rsidRPr="004F5ABD" w14:paraId="1C62E9AA" w14:textId="77777777" w:rsidTr="00E21978">
        <w:trPr>
          <w:trHeight w:val="300"/>
        </w:trPr>
        <w:tc>
          <w:tcPr>
            <w:tcW w:w="5387" w:type="dxa"/>
            <w:noWrap/>
          </w:tcPr>
          <w:p w14:paraId="56671D77" w14:textId="7D58BF27" w:rsidR="0046539D" w:rsidRDefault="0046539D" w:rsidP="004F5ABD">
            <w:pPr>
              <w:pStyle w:val="Body"/>
              <w:spacing w:after="0"/>
              <w:rPr>
                <w:rFonts w:ascii="Arial" w:hAnsi="Arial" w:cs="Arial"/>
                <w:lang w:val="es-MX"/>
              </w:rPr>
            </w:pPr>
            <w:r>
              <w:rPr>
                <w:rFonts w:ascii="Arial" w:hAnsi="Arial" w:cs="Arial"/>
                <w:lang w:val="es-MX"/>
              </w:rPr>
              <w:t xml:space="preserve">8.- </w:t>
            </w:r>
            <w:r w:rsidR="00B544A8" w:rsidRPr="00B544A8">
              <w:rPr>
                <w:rFonts w:ascii="Arial" w:hAnsi="Arial" w:cs="Arial"/>
                <w:lang w:val="es-MX"/>
              </w:rPr>
              <w:t xml:space="preserve">Low back </w:t>
            </w:r>
            <w:proofErr w:type="spellStart"/>
            <w:r w:rsidR="00B544A8" w:rsidRPr="00B544A8">
              <w:rPr>
                <w:rFonts w:ascii="Arial" w:hAnsi="Arial" w:cs="Arial"/>
                <w:lang w:val="es-MX"/>
              </w:rPr>
              <w:t>pain</w:t>
            </w:r>
            <w:proofErr w:type="spellEnd"/>
          </w:p>
        </w:tc>
        <w:tc>
          <w:tcPr>
            <w:tcW w:w="2821" w:type="dxa"/>
            <w:noWrap/>
          </w:tcPr>
          <w:p w14:paraId="4CE23047" w14:textId="2C4E82F4" w:rsidR="0046539D" w:rsidRPr="004F5ABD" w:rsidRDefault="00B544A8" w:rsidP="004F5ABD">
            <w:pPr>
              <w:pStyle w:val="Body"/>
              <w:spacing w:after="0"/>
              <w:jc w:val="center"/>
              <w:rPr>
                <w:rFonts w:ascii="Arial" w:hAnsi="Arial" w:cs="Arial"/>
                <w:lang w:val="es-MX"/>
              </w:rPr>
            </w:pPr>
            <w:r w:rsidRPr="00B544A8">
              <w:rPr>
                <w:rFonts w:ascii="Arial" w:hAnsi="Arial" w:cs="Arial"/>
                <w:lang w:val="es-MX"/>
              </w:rPr>
              <w:t>188</w:t>
            </w:r>
            <w:r w:rsidR="00E21978">
              <w:rPr>
                <w:rFonts w:ascii="Arial" w:hAnsi="Arial" w:cs="Arial"/>
                <w:lang w:val="es-MX"/>
              </w:rPr>
              <w:t>,</w:t>
            </w:r>
            <w:r w:rsidRPr="00B544A8">
              <w:rPr>
                <w:rFonts w:ascii="Arial" w:hAnsi="Arial" w:cs="Arial"/>
                <w:lang w:val="es-MX"/>
              </w:rPr>
              <w:t xml:space="preserve"> 5.29% (4.5-6.02)</w:t>
            </w:r>
          </w:p>
        </w:tc>
      </w:tr>
      <w:tr w:rsidR="00B544A8" w:rsidRPr="004F5ABD" w14:paraId="021B620F" w14:textId="77777777" w:rsidTr="00E21978">
        <w:trPr>
          <w:trHeight w:val="300"/>
        </w:trPr>
        <w:tc>
          <w:tcPr>
            <w:tcW w:w="5387" w:type="dxa"/>
            <w:noWrap/>
          </w:tcPr>
          <w:p w14:paraId="70036F3C" w14:textId="377B18C1" w:rsidR="00B544A8" w:rsidRDefault="00B544A8" w:rsidP="004F5ABD">
            <w:pPr>
              <w:pStyle w:val="Body"/>
              <w:spacing w:after="0"/>
              <w:rPr>
                <w:rFonts w:ascii="Arial" w:hAnsi="Arial" w:cs="Arial"/>
                <w:lang w:val="es-MX"/>
              </w:rPr>
            </w:pPr>
            <w:r>
              <w:rPr>
                <w:rFonts w:ascii="Arial" w:hAnsi="Arial" w:cs="Arial"/>
                <w:lang w:val="es-MX"/>
              </w:rPr>
              <w:t xml:space="preserve">9.- </w:t>
            </w:r>
            <w:proofErr w:type="spellStart"/>
            <w:r w:rsidRPr="00B544A8">
              <w:rPr>
                <w:rFonts w:ascii="Arial" w:hAnsi="Arial" w:cs="Arial"/>
                <w:lang w:val="es-MX"/>
              </w:rPr>
              <w:t>Depressive</w:t>
            </w:r>
            <w:proofErr w:type="spellEnd"/>
            <w:r w:rsidRPr="00B544A8">
              <w:rPr>
                <w:rFonts w:ascii="Arial" w:hAnsi="Arial" w:cs="Arial"/>
                <w:lang w:val="es-MX"/>
              </w:rPr>
              <w:t xml:space="preserve"> </w:t>
            </w:r>
            <w:proofErr w:type="spellStart"/>
            <w:r w:rsidRPr="00B544A8">
              <w:rPr>
                <w:rFonts w:ascii="Arial" w:hAnsi="Arial" w:cs="Arial"/>
                <w:lang w:val="es-MX"/>
              </w:rPr>
              <w:t>episode</w:t>
            </w:r>
            <w:proofErr w:type="spellEnd"/>
            <w:r w:rsidRPr="00B544A8">
              <w:rPr>
                <w:rFonts w:ascii="Arial" w:hAnsi="Arial" w:cs="Arial"/>
                <w:lang w:val="es-MX"/>
              </w:rPr>
              <w:t xml:space="preserve">, </w:t>
            </w:r>
            <w:proofErr w:type="spellStart"/>
            <w:r w:rsidRPr="00B544A8">
              <w:rPr>
                <w:rFonts w:ascii="Arial" w:hAnsi="Arial" w:cs="Arial"/>
                <w:lang w:val="es-MX"/>
              </w:rPr>
              <w:t>unspecified</w:t>
            </w:r>
            <w:proofErr w:type="spellEnd"/>
          </w:p>
        </w:tc>
        <w:tc>
          <w:tcPr>
            <w:tcW w:w="2821" w:type="dxa"/>
            <w:noWrap/>
          </w:tcPr>
          <w:p w14:paraId="4ECF4F20" w14:textId="5B0291BF" w:rsidR="00B544A8" w:rsidRPr="004F5ABD" w:rsidRDefault="00B544A8" w:rsidP="004F5ABD">
            <w:pPr>
              <w:pStyle w:val="Body"/>
              <w:spacing w:after="0"/>
              <w:jc w:val="center"/>
              <w:rPr>
                <w:rFonts w:ascii="Arial" w:hAnsi="Arial" w:cs="Arial"/>
                <w:lang w:val="es-MX"/>
              </w:rPr>
            </w:pPr>
            <w:r w:rsidRPr="00B544A8">
              <w:rPr>
                <w:rFonts w:ascii="Arial" w:hAnsi="Arial" w:cs="Arial"/>
                <w:lang w:val="es-MX"/>
              </w:rPr>
              <w:t>168</w:t>
            </w:r>
            <w:r w:rsidR="00E21978">
              <w:rPr>
                <w:rFonts w:ascii="Arial" w:hAnsi="Arial" w:cs="Arial"/>
                <w:lang w:val="es-MX"/>
              </w:rPr>
              <w:t>,</w:t>
            </w:r>
            <w:r w:rsidRPr="00B544A8">
              <w:rPr>
                <w:rFonts w:ascii="Arial" w:hAnsi="Arial" w:cs="Arial"/>
                <w:lang w:val="es-MX"/>
              </w:rPr>
              <w:t xml:space="preserve"> 4.72% (4.05-5.4)</w:t>
            </w:r>
          </w:p>
        </w:tc>
      </w:tr>
      <w:tr w:rsidR="00B544A8" w:rsidRPr="004F5ABD" w14:paraId="4E3B74C9" w14:textId="77777777" w:rsidTr="00E21978">
        <w:trPr>
          <w:trHeight w:val="300"/>
        </w:trPr>
        <w:tc>
          <w:tcPr>
            <w:tcW w:w="5387" w:type="dxa"/>
            <w:noWrap/>
          </w:tcPr>
          <w:p w14:paraId="1B1720A8" w14:textId="42A4E4EA" w:rsidR="00B544A8" w:rsidRDefault="00B544A8" w:rsidP="004F5ABD">
            <w:pPr>
              <w:pStyle w:val="Body"/>
              <w:spacing w:after="0"/>
              <w:rPr>
                <w:rFonts w:ascii="Arial" w:hAnsi="Arial" w:cs="Arial"/>
                <w:lang w:val="es-MX"/>
              </w:rPr>
            </w:pPr>
            <w:r>
              <w:rPr>
                <w:rFonts w:ascii="Arial" w:hAnsi="Arial" w:cs="Arial"/>
                <w:lang w:val="es-MX"/>
              </w:rPr>
              <w:t>10.- Prediabetes</w:t>
            </w:r>
          </w:p>
        </w:tc>
        <w:tc>
          <w:tcPr>
            <w:tcW w:w="2821" w:type="dxa"/>
            <w:noWrap/>
          </w:tcPr>
          <w:p w14:paraId="614C7BEF" w14:textId="0C9E34B1" w:rsidR="00B544A8" w:rsidRPr="004F5ABD" w:rsidRDefault="00B544A8" w:rsidP="004F5ABD">
            <w:pPr>
              <w:pStyle w:val="Body"/>
              <w:spacing w:after="0"/>
              <w:jc w:val="center"/>
              <w:rPr>
                <w:rFonts w:ascii="Arial" w:hAnsi="Arial" w:cs="Arial"/>
                <w:lang w:val="es-MX"/>
              </w:rPr>
            </w:pPr>
            <w:r w:rsidRPr="00B544A8">
              <w:rPr>
                <w:rFonts w:ascii="Arial" w:hAnsi="Arial" w:cs="Arial"/>
                <w:lang w:val="es-MX"/>
              </w:rPr>
              <w:t>155</w:t>
            </w:r>
            <w:r w:rsidR="00E21978">
              <w:rPr>
                <w:rFonts w:ascii="Arial" w:hAnsi="Arial" w:cs="Arial"/>
                <w:lang w:val="es-MX"/>
              </w:rPr>
              <w:t>,</w:t>
            </w:r>
            <w:r w:rsidRPr="00B544A8">
              <w:rPr>
                <w:rFonts w:ascii="Arial" w:hAnsi="Arial" w:cs="Arial"/>
                <w:lang w:val="es-MX"/>
              </w:rPr>
              <w:t xml:space="preserve"> 4.36% (3.68-5.06)</w:t>
            </w:r>
          </w:p>
        </w:tc>
      </w:tr>
    </w:tbl>
    <w:p w14:paraId="20991530" w14:textId="271A7FF2" w:rsidR="004F5ABD" w:rsidRDefault="004F5ABD" w:rsidP="00F8558A">
      <w:pPr>
        <w:pStyle w:val="Body"/>
        <w:spacing w:after="0"/>
        <w:rPr>
          <w:rFonts w:ascii="Arial" w:hAnsi="Arial" w:cs="Arial"/>
        </w:rPr>
      </w:pPr>
      <w:r w:rsidRPr="004D735F">
        <w:rPr>
          <w:rFonts w:ascii="Arial" w:hAnsi="Arial" w:cs="Arial"/>
        </w:rPr>
        <w:t>Source: Prepared by the authors using the results from the SIMEF database, January-December, 2022.</w:t>
      </w:r>
    </w:p>
    <w:p w14:paraId="25C4E758" w14:textId="77777777" w:rsidR="004F5ABD" w:rsidRDefault="004F5ABD" w:rsidP="00F8558A">
      <w:pPr>
        <w:pStyle w:val="Body"/>
        <w:spacing w:after="0"/>
        <w:rPr>
          <w:rFonts w:ascii="Arial" w:hAnsi="Arial" w:cs="Arial"/>
        </w:rPr>
      </w:pPr>
    </w:p>
    <w:p w14:paraId="2543C0AC" w14:textId="43FF66AE" w:rsidR="00F8558A" w:rsidRDefault="000779FD" w:rsidP="00C81973">
      <w:pPr>
        <w:pStyle w:val="Body"/>
        <w:spacing w:after="0"/>
        <w:rPr>
          <w:rFonts w:ascii="Arial" w:hAnsi="Arial" w:cs="Arial"/>
        </w:rPr>
      </w:pPr>
      <w:r w:rsidRPr="000779FD">
        <w:rPr>
          <w:rFonts w:ascii="Arial" w:hAnsi="Arial" w:cs="Arial"/>
        </w:rPr>
        <w:t xml:space="preserve">Among patients with diabetes, the most common communicable diseases identified were acute pharyngitis, affecting 239 individuals (6.72%, 95% CI: 5.85–7.59), followed by COVID-19, virus identified, with 238 cases (6.69%, 95% CI: 5.91–7.51). Urinary tract infection, with </w:t>
      </w:r>
      <w:r w:rsidRPr="000779FD">
        <w:rPr>
          <w:rFonts w:ascii="Arial" w:hAnsi="Arial" w:cs="Arial"/>
        </w:rPr>
        <w:lastRenderedPageBreak/>
        <w:t>220 cases (6.19%, 95% CI: 5.40–7.06). These findings highlight the vulnerability of diabetic patients to respiratory tract infections—both viral and bacterial—as well as urinary tract infections, which may be related to immune system alterations and metabolic dysregulation associated with diabetes.</w:t>
      </w:r>
    </w:p>
    <w:p w14:paraId="5251440D" w14:textId="0BDA462A" w:rsidR="00C81973" w:rsidRDefault="00C81973" w:rsidP="00C81973">
      <w:pPr>
        <w:pStyle w:val="Body"/>
        <w:spacing w:after="0"/>
        <w:rPr>
          <w:rFonts w:ascii="Arial" w:hAnsi="Arial" w:cs="Arial"/>
        </w:rPr>
      </w:pPr>
    </w:p>
    <w:p w14:paraId="019E7110" w14:textId="771D274B" w:rsidR="00091A54" w:rsidRPr="007A721D" w:rsidRDefault="00091A54" w:rsidP="00091A54">
      <w:pPr>
        <w:pStyle w:val="Body"/>
        <w:spacing w:after="0"/>
        <w:rPr>
          <w:rFonts w:ascii="Arial" w:hAnsi="Arial" w:cs="Arial"/>
          <w:sz w:val="22"/>
          <w:szCs w:val="22"/>
        </w:rPr>
      </w:pPr>
      <w:r w:rsidRPr="007A721D">
        <w:rPr>
          <w:rFonts w:ascii="Arial" w:hAnsi="Arial" w:cs="Arial"/>
          <w:b/>
          <w:caps/>
          <w:sz w:val="22"/>
          <w:szCs w:val="22"/>
        </w:rPr>
        <w:t xml:space="preserve">3.2 </w:t>
      </w:r>
      <w:r w:rsidR="00F6497B" w:rsidRPr="00F6497B">
        <w:rPr>
          <w:rFonts w:ascii="Arial" w:hAnsi="Arial" w:cs="Arial"/>
          <w:b/>
          <w:sz w:val="22"/>
          <w:szCs w:val="22"/>
        </w:rPr>
        <w:t>Age- and sex-specific distribution of the principal comorbidities in patients with diabetes.</w:t>
      </w:r>
    </w:p>
    <w:p w14:paraId="12AC98C4" w14:textId="77777777" w:rsidR="00C81973" w:rsidRDefault="00C81973" w:rsidP="00C81973">
      <w:pPr>
        <w:pStyle w:val="Body"/>
        <w:spacing w:after="0"/>
        <w:rPr>
          <w:rFonts w:ascii="Arial" w:hAnsi="Arial" w:cs="Arial"/>
        </w:rPr>
      </w:pPr>
    </w:p>
    <w:p w14:paraId="5C5CBC35" w14:textId="687121C8" w:rsidR="00676CFB" w:rsidRDefault="00A25086" w:rsidP="007B4AE0">
      <w:pPr>
        <w:pStyle w:val="Body"/>
        <w:spacing w:after="0"/>
        <w:rPr>
          <w:rFonts w:ascii="Arial" w:hAnsi="Arial" w:cs="Arial"/>
        </w:rPr>
      </w:pPr>
      <w:r w:rsidRPr="00A25086">
        <w:rPr>
          <w:rFonts w:ascii="Arial" w:hAnsi="Arial" w:cs="Arial"/>
        </w:rPr>
        <w:t>Regarding the age and sex distribution of the main comorbidities in patients with diabetes,</w:t>
      </w:r>
      <w:r>
        <w:rPr>
          <w:rFonts w:ascii="Arial" w:hAnsi="Arial" w:cs="Arial"/>
        </w:rPr>
        <w:t xml:space="preserve"> f</w:t>
      </w:r>
      <w:r w:rsidR="007B4AE0" w:rsidRPr="007B4AE0">
        <w:rPr>
          <w:rFonts w:ascii="Arial" w:hAnsi="Arial" w:cs="Arial"/>
        </w:rPr>
        <w:t>igure 2 illustrates the age- and sex-specific distribution of patients with diabetes and essential (primary) hypertension.</w:t>
      </w:r>
      <w:r w:rsidR="007B4AE0">
        <w:rPr>
          <w:rFonts w:ascii="Arial" w:hAnsi="Arial" w:cs="Arial"/>
        </w:rPr>
        <w:t xml:space="preserve"> </w:t>
      </w:r>
      <w:r w:rsidR="007B4AE0" w:rsidRPr="007B4AE0">
        <w:rPr>
          <w:rFonts w:ascii="Arial" w:hAnsi="Arial" w:cs="Arial"/>
        </w:rPr>
        <w:t>We observed that hypertension among diabetic patients appears from the age of 30 onwards, although with low frequency, and increases progressively with advancing age. The highest number of cases is concentrated in the 60–69 and 70–79 age groups, with a clear predominance among females (around 400 cases in females aged 60–69 years, compared with just over 300 in males). From the age of 80 years, the frequency decreases in both sexes, although females continue to show a higher proportion than males. In the oldest age groups (≥90 years), the number of cases is markedly reduced, yet the female predominance persists.</w:t>
      </w:r>
    </w:p>
    <w:p w14:paraId="7B47CF4E" w14:textId="77777777" w:rsidR="004C06B3" w:rsidRDefault="004C06B3" w:rsidP="00C81973">
      <w:pPr>
        <w:pStyle w:val="Body"/>
        <w:spacing w:after="0"/>
        <w:rPr>
          <w:rFonts w:ascii="Arial" w:hAnsi="Arial" w:cs="Arial"/>
        </w:rPr>
      </w:pPr>
    </w:p>
    <w:p w14:paraId="6B99C708" w14:textId="00BA17DC" w:rsidR="007B4AE0" w:rsidRDefault="007B4AE0" w:rsidP="007B4AE0">
      <w:pPr>
        <w:pStyle w:val="Body"/>
        <w:spacing w:after="0"/>
        <w:rPr>
          <w:rFonts w:ascii="Arial" w:hAnsi="Arial" w:cs="Arial"/>
          <w:b/>
          <w:bCs/>
        </w:rPr>
      </w:pPr>
      <w:r w:rsidRPr="00225D1E">
        <w:rPr>
          <w:rFonts w:ascii="Arial" w:hAnsi="Arial" w:cs="Arial"/>
          <w:b/>
          <w:bCs/>
        </w:rPr>
        <w:t xml:space="preserve">Figure </w:t>
      </w:r>
      <w:r w:rsidR="0014794B">
        <w:rPr>
          <w:rFonts w:ascii="Arial" w:hAnsi="Arial" w:cs="Arial"/>
          <w:b/>
          <w:bCs/>
        </w:rPr>
        <w:t>2</w:t>
      </w:r>
      <w:r w:rsidR="002A4342">
        <w:rPr>
          <w:rFonts w:ascii="Arial" w:hAnsi="Arial" w:cs="Arial"/>
          <w:b/>
          <w:bCs/>
        </w:rPr>
        <w:t xml:space="preserve">. </w:t>
      </w:r>
      <w:r w:rsidRPr="007B4AE0">
        <w:rPr>
          <w:rFonts w:ascii="Arial" w:hAnsi="Arial" w:cs="Arial"/>
          <w:b/>
          <w:bCs/>
        </w:rPr>
        <w:t>Age- and sex-specific distribution of patients with diabetes and essential (primary) hypertension.</w:t>
      </w:r>
    </w:p>
    <w:p w14:paraId="3AD6FFCC" w14:textId="77777777" w:rsidR="007B4AE0" w:rsidRPr="00225D1E" w:rsidRDefault="007B4AE0" w:rsidP="007B4AE0">
      <w:pPr>
        <w:pStyle w:val="Body"/>
        <w:spacing w:after="0"/>
        <w:rPr>
          <w:rFonts w:ascii="Arial" w:hAnsi="Arial" w:cs="Arial"/>
          <w:b/>
          <w:bCs/>
        </w:rPr>
      </w:pPr>
    </w:p>
    <w:p w14:paraId="3D3D0E7D" w14:textId="08185A80" w:rsidR="00676CFB" w:rsidRDefault="00676CFB" w:rsidP="00676CFB">
      <w:pPr>
        <w:pStyle w:val="Body"/>
        <w:jc w:val="center"/>
        <w:rPr>
          <w:rFonts w:ascii="Arial" w:hAnsi="Arial" w:cs="Arial"/>
        </w:rPr>
      </w:pPr>
      <w:r w:rsidRPr="00676CFB">
        <w:rPr>
          <w:rFonts w:ascii="Arial" w:hAnsi="Arial" w:cs="Arial"/>
          <w:noProof/>
        </w:rPr>
        <w:drawing>
          <wp:inline distT="0" distB="0" distL="0" distR="0" wp14:anchorId="55872902" wp14:editId="431B444F">
            <wp:extent cx="5212080" cy="4168140"/>
            <wp:effectExtent l="0" t="0" r="7620" b="3810"/>
            <wp:docPr id="15696224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p>
    <w:p w14:paraId="1846F2C1" w14:textId="755E5F43" w:rsidR="007B4AE0" w:rsidRDefault="003A63DF" w:rsidP="007B4AE0">
      <w:pPr>
        <w:pStyle w:val="Body"/>
        <w:rPr>
          <w:rFonts w:ascii="Arial" w:hAnsi="Arial" w:cs="Arial"/>
        </w:rPr>
      </w:pPr>
      <w:r>
        <w:rPr>
          <w:rFonts w:ascii="Arial" w:hAnsi="Arial" w:cs="Arial"/>
        </w:rPr>
        <w:t xml:space="preserve">Sources: </w:t>
      </w:r>
      <w:r w:rsidR="00A25086" w:rsidRPr="004D735F">
        <w:rPr>
          <w:rFonts w:ascii="Arial" w:hAnsi="Arial" w:cs="Arial"/>
        </w:rPr>
        <w:t>Prepared by the authors using the results from the SIMEF database, January-December, 2022.</w:t>
      </w:r>
      <w:r w:rsidR="00A25086">
        <w:rPr>
          <w:rFonts w:ascii="Arial" w:hAnsi="Arial" w:cs="Arial"/>
        </w:rPr>
        <w:t xml:space="preserve"> </w:t>
      </w:r>
      <w:r w:rsidR="007B4AE0" w:rsidRPr="007B4AE0">
        <w:rPr>
          <w:rFonts w:ascii="Arial" w:hAnsi="Arial" w:cs="Arial"/>
        </w:rPr>
        <w:t xml:space="preserve">The horizontal axis represents age decades (from 10–19 years up to ≥100 </w:t>
      </w:r>
      <w:r w:rsidR="007B4AE0" w:rsidRPr="007B4AE0">
        <w:rPr>
          <w:rFonts w:ascii="Arial" w:hAnsi="Arial" w:cs="Arial"/>
        </w:rPr>
        <w:lastRenderedPageBreak/>
        <w:t>years). The vertical axis represents the absolute frequency of cases. Black bars correspond to females, while white bars correspond to males.</w:t>
      </w:r>
      <w:r w:rsidR="00ED0502">
        <w:rPr>
          <w:rFonts w:ascii="Arial" w:hAnsi="Arial" w:cs="Arial"/>
        </w:rPr>
        <w:t xml:space="preserve"> </w:t>
      </w:r>
      <w:r w:rsidR="00ED0502" w:rsidRPr="00867EB2">
        <w:rPr>
          <w:rFonts w:ascii="Arial" w:hAnsi="Arial" w:cs="Arial"/>
        </w:rPr>
        <w:t xml:space="preserve">Comparisons between age decades and sex were performed using the chi-square test, specifically the likelihood ratio chi-square, which showed a </w:t>
      </w:r>
      <w:r w:rsidR="00ED0502">
        <w:rPr>
          <w:rFonts w:ascii="Arial" w:hAnsi="Arial" w:cs="Arial"/>
        </w:rPr>
        <w:t>non-</w:t>
      </w:r>
      <w:r w:rsidR="00ED0502" w:rsidRPr="00867EB2">
        <w:rPr>
          <w:rFonts w:ascii="Arial" w:hAnsi="Arial" w:cs="Arial"/>
        </w:rPr>
        <w:t xml:space="preserve">statistically significant association (Likelihood Ratio χ² = </w:t>
      </w:r>
      <w:r w:rsidR="00ED0502" w:rsidRPr="00ED0502">
        <w:rPr>
          <w:rFonts w:ascii="Arial" w:hAnsi="Arial" w:cs="Arial"/>
        </w:rPr>
        <w:t>7.833</w:t>
      </w:r>
      <w:r w:rsidR="00ED0502" w:rsidRPr="00867EB2">
        <w:rPr>
          <w:rFonts w:ascii="Arial" w:hAnsi="Arial" w:cs="Arial"/>
        </w:rPr>
        <w:t xml:space="preserve">, df = 9, p = </w:t>
      </w:r>
      <w:r w:rsidR="00ED0502" w:rsidRPr="00ED0502">
        <w:rPr>
          <w:rFonts w:ascii="Arial" w:hAnsi="Arial" w:cs="Arial"/>
        </w:rPr>
        <w:t>0.551</w:t>
      </w:r>
      <w:r w:rsidR="00ED0502" w:rsidRPr="00867EB2">
        <w:rPr>
          <w:rFonts w:ascii="Arial" w:hAnsi="Arial" w:cs="Arial"/>
        </w:rPr>
        <w:t>).</w:t>
      </w:r>
    </w:p>
    <w:p w14:paraId="1FF57627" w14:textId="3CA37F01" w:rsidR="00676CFB" w:rsidRDefault="0014794B" w:rsidP="007B4AE0">
      <w:pPr>
        <w:pStyle w:val="Body"/>
        <w:rPr>
          <w:rFonts w:ascii="Arial" w:hAnsi="Arial" w:cs="Arial"/>
          <w:lang w:val="es-MX"/>
        </w:rPr>
      </w:pPr>
      <w:r>
        <w:rPr>
          <w:rFonts w:ascii="Arial" w:hAnsi="Arial" w:cs="Arial"/>
        </w:rPr>
        <w:t>F</w:t>
      </w:r>
      <w:r w:rsidRPr="007B4AE0">
        <w:rPr>
          <w:rFonts w:ascii="Arial" w:hAnsi="Arial" w:cs="Arial"/>
        </w:rPr>
        <w:t xml:space="preserve">igure </w:t>
      </w:r>
      <w:r w:rsidR="003A63DF">
        <w:rPr>
          <w:rFonts w:ascii="Arial" w:hAnsi="Arial" w:cs="Arial"/>
        </w:rPr>
        <w:t>3</w:t>
      </w:r>
      <w:r w:rsidRPr="007B4AE0">
        <w:rPr>
          <w:rFonts w:ascii="Arial" w:hAnsi="Arial" w:cs="Arial"/>
        </w:rPr>
        <w:t xml:space="preserve"> illustrates the age- and sex-specific distribution of patients with diabetes and </w:t>
      </w:r>
      <w:r w:rsidR="003A63DF" w:rsidRPr="003A63DF">
        <w:rPr>
          <w:rFonts w:ascii="Arial" w:hAnsi="Arial" w:cs="Arial"/>
        </w:rPr>
        <w:t>lipidaemias</w:t>
      </w:r>
      <w:r w:rsidRPr="007B4AE0">
        <w:rPr>
          <w:rFonts w:ascii="Arial" w:hAnsi="Arial" w:cs="Arial"/>
        </w:rPr>
        <w:t>.</w:t>
      </w:r>
      <w:r>
        <w:rPr>
          <w:rFonts w:ascii="Arial" w:hAnsi="Arial" w:cs="Arial"/>
        </w:rPr>
        <w:t xml:space="preserve"> </w:t>
      </w:r>
      <w:r w:rsidR="003A63DF">
        <w:rPr>
          <w:rFonts w:ascii="Arial" w:hAnsi="Arial" w:cs="Arial"/>
        </w:rPr>
        <w:t>Similarly, w</w:t>
      </w:r>
      <w:r w:rsidRPr="007B4AE0">
        <w:rPr>
          <w:rFonts w:ascii="Arial" w:hAnsi="Arial" w:cs="Arial"/>
        </w:rPr>
        <w:t xml:space="preserve">e observed that </w:t>
      </w:r>
      <w:r w:rsidR="003A63DF" w:rsidRPr="003A63DF">
        <w:rPr>
          <w:rFonts w:ascii="Arial" w:hAnsi="Arial" w:cs="Arial"/>
        </w:rPr>
        <w:t xml:space="preserve">lipidaemias </w:t>
      </w:r>
      <w:r w:rsidRPr="007B4AE0">
        <w:rPr>
          <w:rFonts w:ascii="Arial" w:hAnsi="Arial" w:cs="Arial"/>
        </w:rPr>
        <w:t>among patients</w:t>
      </w:r>
      <w:r w:rsidR="003A63DF">
        <w:rPr>
          <w:rFonts w:ascii="Arial" w:hAnsi="Arial" w:cs="Arial"/>
        </w:rPr>
        <w:t xml:space="preserve"> with diabetes</w:t>
      </w:r>
      <w:r w:rsidRPr="007B4AE0">
        <w:rPr>
          <w:rFonts w:ascii="Arial" w:hAnsi="Arial" w:cs="Arial"/>
        </w:rPr>
        <w:t xml:space="preserve"> appears from the age of 30 onwards, although with low frequency, and increases progressively. The highest number of cases is concentrated in the </w:t>
      </w:r>
      <w:r w:rsidR="003A63DF">
        <w:rPr>
          <w:rFonts w:ascii="Arial" w:hAnsi="Arial" w:cs="Arial"/>
        </w:rPr>
        <w:t xml:space="preserve">50-59 and </w:t>
      </w:r>
      <w:r w:rsidRPr="007B4AE0">
        <w:rPr>
          <w:rFonts w:ascii="Arial" w:hAnsi="Arial" w:cs="Arial"/>
        </w:rPr>
        <w:t xml:space="preserve">60–69 age groups, with a clear predominance among females compared with males. From the age of </w:t>
      </w:r>
      <w:r w:rsidR="003A63DF">
        <w:rPr>
          <w:rFonts w:ascii="Arial" w:hAnsi="Arial" w:cs="Arial"/>
        </w:rPr>
        <w:t>70</w:t>
      </w:r>
      <w:r w:rsidRPr="007B4AE0">
        <w:rPr>
          <w:rFonts w:ascii="Arial" w:hAnsi="Arial" w:cs="Arial"/>
        </w:rPr>
        <w:t xml:space="preserve"> years, the frequency decreases in both sexes, although females continue to show a higher proportion than males. In the oldest age groups (≥</w:t>
      </w:r>
      <w:r w:rsidR="003A63DF">
        <w:rPr>
          <w:rFonts w:ascii="Arial" w:hAnsi="Arial" w:cs="Arial"/>
        </w:rPr>
        <w:t>8</w:t>
      </w:r>
      <w:r w:rsidRPr="007B4AE0">
        <w:rPr>
          <w:rFonts w:ascii="Arial" w:hAnsi="Arial" w:cs="Arial"/>
        </w:rPr>
        <w:t>0 years), the number of cases is markedly reduced, yet the female predominance persists.</w:t>
      </w:r>
    </w:p>
    <w:p w14:paraId="1B4A48FD" w14:textId="05C4A85D" w:rsidR="0014794B" w:rsidRDefault="0014794B" w:rsidP="0014794B">
      <w:pPr>
        <w:pStyle w:val="Body"/>
        <w:spacing w:after="0"/>
        <w:rPr>
          <w:rFonts w:ascii="Arial" w:hAnsi="Arial" w:cs="Arial"/>
          <w:b/>
          <w:bCs/>
        </w:rPr>
      </w:pPr>
      <w:r w:rsidRPr="00225D1E">
        <w:rPr>
          <w:rFonts w:ascii="Arial" w:hAnsi="Arial" w:cs="Arial"/>
          <w:b/>
          <w:bCs/>
        </w:rPr>
        <w:t xml:space="preserve">Figure </w:t>
      </w:r>
      <w:r>
        <w:rPr>
          <w:rFonts w:ascii="Arial" w:hAnsi="Arial" w:cs="Arial"/>
          <w:b/>
          <w:bCs/>
        </w:rPr>
        <w:t>3</w:t>
      </w:r>
      <w:r w:rsidR="002A4342">
        <w:rPr>
          <w:rFonts w:ascii="Arial" w:hAnsi="Arial" w:cs="Arial"/>
          <w:b/>
          <w:bCs/>
        </w:rPr>
        <w:t xml:space="preserve">. </w:t>
      </w:r>
      <w:r w:rsidRPr="007B4AE0">
        <w:rPr>
          <w:rFonts w:ascii="Arial" w:hAnsi="Arial" w:cs="Arial"/>
          <w:b/>
          <w:bCs/>
        </w:rPr>
        <w:t xml:space="preserve">Age- and sex-specific distribution of patients with diabetes and </w:t>
      </w:r>
      <w:r>
        <w:rPr>
          <w:rFonts w:ascii="Arial" w:hAnsi="Arial" w:cs="Arial"/>
          <w:b/>
          <w:bCs/>
        </w:rPr>
        <w:t>d</w:t>
      </w:r>
      <w:r w:rsidRPr="0014794B">
        <w:rPr>
          <w:rFonts w:ascii="Arial" w:hAnsi="Arial" w:cs="Arial"/>
          <w:b/>
          <w:bCs/>
        </w:rPr>
        <w:t xml:space="preserve">isorders of lipoprotein metabolism and other </w:t>
      </w:r>
      <w:bookmarkStart w:id="3" w:name="_Hlk206445331"/>
      <w:r w:rsidRPr="0014794B">
        <w:rPr>
          <w:rFonts w:ascii="Arial" w:hAnsi="Arial" w:cs="Arial"/>
          <w:b/>
          <w:bCs/>
        </w:rPr>
        <w:t>lipidaemias</w:t>
      </w:r>
      <w:bookmarkEnd w:id="3"/>
      <w:r w:rsidRPr="007B4AE0">
        <w:rPr>
          <w:rFonts w:ascii="Arial" w:hAnsi="Arial" w:cs="Arial"/>
          <w:b/>
          <w:bCs/>
        </w:rPr>
        <w:t>.</w:t>
      </w:r>
    </w:p>
    <w:p w14:paraId="2FF91272" w14:textId="77777777" w:rsidR="007B4AE0" w:rsidRPr="00676CFB" w:rsidRDefault="007B4AE0" w:rsidP="007B4AE0">
      <w:pPr>
        <w:pStyle w:val="Body"/>
        <w:rPr>
          <w:rFonts w:ascii="Arial" w:hAnsi="Arial" w:cs="Arial"/>
          <w:lang w:val="es-MX"/>
        </w:rPr>
      </w:pPr>
    </w:p>
    <w:p w14:paraId="1864B1B1" w14:textId="20590F8D" w:rsidR="00676CFB" w:rsidRDefault="004C06B3" w:rsidP="003A63DF">
      <w:pPr>
        <w:pStyle w:val="Body"/>
        <w:rPr>
          <w:rFonts w:ascii="Arial" w:hAnsi="Arial" w:cs="Arial"/>
        </w:rPr>
      </w:pPr>
      <w:r w:rsidRPr="004C06B3">
        <w:rPr>
          <w:rFonts w:ascii="Arial" w:hAnsi="Arial" w:cs="Arial"/>
          <w:noProof/>
        </w:rPr>
        <w:drawing>
          <wp:inline distT="0" distB="0" distL="0" distR="0" wp14:anchorId="7A3229D0" wp14:editId="5EEC7699">
            <wp:extent cx="5212080" cy="4168140"/>
            <wp:effectExtent l="0" t="0" r="7620" b="3810"/>
            <wp:docPr id="133005646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r w:rsidR="003A63DF">
        <w:rPr>
          <w:rFonts w:ascii="Arial" w:hAnsi="Arial" w:cs="Arial"/>
        </w:rPr>
        <w:t xml:space="preserve">Sources: </w:t>
      </w:r>
      <w:r w:rsidR="003A63DF" w:rsidRPr="004D735F">
        <w:rPr>
          <w:rFonts w:ascii="Arial" w:hAnsi="Arial" w:cs="Arial"/>
        </w:rPr>
        <w:t>Prepared by the authors using the results from the SIMEF database, January-December, 2022.</w:t>
      </w:r>
      <w:r w:rsidR="003A63DF">
        <w:rPr>
          <w:rFonts w:ascii="Arial" w:hAnsi="Arial" w:cs="Arial"/>
        </w:rPr>
        <w:t xml:space="preserve"> </w:t>
      </w:r>
      <w:r w:rsidR="003A63DF" w:rsidRPr="007B4AE0">
        <w:rPr>
          <w:rFonts w:ascii="Arial" w:hAnsi="Arial" w:cs="Arial"/>
        </w:rPr>
        <w:t>The horizontal axis represents age decades (from 10–19 years up to ≥100 years). The vertical axis represents the absolute frequency of cases. Black bars correspond to females, while white bars correspond to males.</w:t>
      </w:r>
      <w:r w:rsidR="003A63DF">
        <w:rPr>
          <w:rFonts w:ascii="Arial" w:hAnsi="Arial" w:cs="Arial"/>
        </w:rPr>
        <w:t xml:space="preserve"> </w:t>
      </w:r>
      <w:r w:rsidR="003A63DF" w:rsidRPr="00867EB2">
        <w:rPr>
          <w:rFonts w:ascii="Arial" w:hAnsi="Arial" w:cs="Arial"/>
        </w:rPr>
        <w:t xml:space="preserve">Comparisons between age decades and sex were performed using the chi-square test, specifically the likelihood ratio chi-square, which </w:t>
      </w:r>
      <w:r w:rsidR="003A63DF" w:rsidRPr="00867EB2">
        <w:rPr>
          <w:rFonts w:ascii="Arial" w:hAnsi="Arial" w:cs="Arial"/>
        </w:rPr>
        <w:lastRenderedPageBreak/>
        <w:t xml:space="preserve">showed a </w:t>
      </w:r>
      <w:r w:rsidR="003A63DF">
        <w:rPr>
          <w:rFonts w:ascii="Arial" w:hAnsi="Arial" w:cs="Arial"/>
        </w:rPr>
        <w:t>non-</w:t>
      </w:r>
      <w:r w:rsidR="003A63DF" w:rsidRPr="00867EB2">
        <w:rPr>
          <w:rFonts w:ascii="Arial" w:hAnsi="Arial" w:cs="Arial"/>
        </w:rPr>
        <w:t xml:space="preserve">statistically significant association (Likelihood Ratio χ² = </w:t>
      </w:r>
      <w:r w:rsidR="003A63DF">
        <w:rPr>
          <w:rFonts w:ascii="Arial" w:hAnsi="Arial" w:cs="Arial"/>
        </w:rPr>
        <w:t>10</w:t>
      </w:r>
      <w:r w:rsidR="003A63DF" w:rsidRPr="00ED0502">
        <w:rPr>
          <w:rFonts w:ascii="Arial" w:hAnsi="Arial" w:cs="Arial"/>
        </w:rPr>
        <w:t>.</w:t>
      </w:r>
      <w:r w:rsidR="003A63DF">
        <w:rPr>
          <w:rFonts w:ascii="Arial" w:hAnsi="Arial" w:cs="Arial"/>
        </w:rPr>
        <w:t>1</w:t>
      </w:r>
      <w:r w:rsidR="003A63DF" w:rsidRPr="00ED0502">
        <w:rPr>
          <w:rFonts w:ascii="Arial" w:hAnsi="Arial" w:cs="Arial"/>
        </w:rPr>
        <w:t>8</w:t>
      </w:r>
      <w:r w:rsidR="003A63DF">
        <w:rPr>
          <w:rFonts w:ascii="Arial" w:hAnsi="Arial" w:cs="Arial"/>
        </w:rPr>
        <w:t>9</w:t>
      </w:r>
      <w:r w:rsidR="003A63DF" w:rsidRPr="00867EB2">
        <w:rPr>
          <w:rFonts w:ascii="Arial" w:hAnsi="Arial" w:cs="Arial"/>
        </w:rPr>
        <w:t xml:space="preserve">, df = </w:t>
      </w:r>
      <w:r w:rsidR="003A63DF">
        <w:rPr>
          <w:rFonts w:ascii="Arial" w:hAnsi="Arial" w:cs="Arial"/>
        </w:rPr>
        <w:t>8</w:t>
      </w:r>
      <w:r w:rsidR="003A63DF" w:rsidRPr="00867EB2">
        <w:rPr>
          <w:rFonts w:ascii="Arial" w:hAnsi="Arial" w:cs="Arial"/>
        </w:rPr>
        <w:t xml:space="preserve">, p = </w:t>
      </w:r>
      <w:r w:rsidR="003A63DF" w:rsidRPr="00ED0502">
        <w:rPr>
          <w:rFonts w:ascii="Arial" w:hAnsi="Arial" w:cs="Arial"/>
        </w:rPr>
        <w:t>0.</w:t>
      </w:r>
      <w:r w:rsidR="003A63DF">
        <w:rPr>
          <w:rFonts w:ascii="Arial" w:hAnsi="Arial" w:cs="Arial"/>
        </w:rPr>
        <w:t>2</w:t>
      </w:r>
      <w:r w:rsidR="003A63DF" w:rsidRPr="00ED0502">
        <w:rPr>
          <w:rFonts w:ascii="Arial" w:hAnsi="Arial" w:cs="Arial"/>
        </w:rPr>
        <w:t>5</w:t>
      </w:r>
      <w:r w:rsidR="003A63DF">
        <w:rPr>
          <w:rFonts w:ascii="Arial" w:hAnsi="Arial" w:cs="Arial"/>
        </w:rPr>
        <w:t>2</w:t>
      </w:r>
      <w:r w:rsidR="003A63DF" w:rsidRPr="00867EB2">
        <w:rPr>
          <w:rFonts w:ascii="Arial" w:hAnsi="Arial" w:cs="Arial"/>
        </w:rPr>
        <w:t>).</w:t>
      </w:r>
    </w:p>
    <w:p w14:paraId="679E0C87" w14:textId="42772876" w:rsidR="003A63DF" w:rsidRDefault="00662C68" w:rsidP="003A63DF">
      <w:pPr>
        <w:pStyle w:val="Body"/>
        <w:rPr>
          <w:rFonts w:ascii="Arial" w:hAnsi="Arial" w:cs="Arial"/>
        </w:rPr>
      </w:pPr>
      <w:r>
        <w:rPr>
          <w:rFonts w:ascii="Arial" w:hAnsi="Arial" w:cs="Arial"/>
        </w:rPr>
        <w:t xml:space="preserve">Figures 4 </w:t>
      </w:r>
      <w:r w:rsidRPr="007B4AE0">
        <w:rPr>
          <w:rFonts w:ascii="Arial" w:hAnsi="Arial" w:cs="Arial"/>
        </w:rPr>
        <w:t xml:space="preserve">illustrates the age- and sex-specific distribution of patients with diabetes and </w:t>
      </w:r>
      <w:r>
        <w:rPr>
          <w:rFonts w:ascii="Arial" w:hAnsi="Arial" w:cs="Arial"/>
        </w:rPr>
        <w:t>obesity</w:t>
      </w:r>
      <w:r w:rsidRPr="007B4AE0">
        <w:rPr>
          <w:rFonts w:ascii="Arial" w:hAnsi="Arial" w:cs="Arial"/>
        </w:rPr>
        <w:t>.</w:t>
      </w:r>
      <w:r>
        <w:rPr>
          <w:rFonts w:ascii="Arial" w:hAnsi="Arial" w:cs="Arial"/>
        </w:rPr>
        <w:t xml:space="preserve"> Similarly, w</w:t>
      </w:r>
      <w:r w:rsidRPr="007B4AE0">
        <w:rPr>
          <w:rFonts w:ascii="Arial" w:hAnsi="Arial" w:cs="Arial"/>
        </w:rPr>
        <w:t xml:space="preserve">e observed that </w:t>
      </w:r>
      <w:r>
        <w:rPr>
          <w:rFonts w:ascii="Arial" w:hAnsi="Arial" w:cs="Arial"/>
        </w:rPr>
        <w:t>obesity</w:t>
      </w:r>
      <w:r w:rsidRPr="003A63DF">
        <w:rPr>
          <w:rFonts w:ascii="Arial" w:hAnsi="Arial" w:cs="Arial"/>
        </w:rPr>
        <w:t xml:space="preserve"> </w:t>
      </w:r>
      <w:r w:rsidRPr="007B4AE0">
        <w:rPr>
          <w:rFonts w:ascii="Arial" w:hAnsi="Arial" w:cs="Arial"/>
        </w:rPr>
        <w:t>among patients</w:t>
      </w:r>
      <w:r>
        <w:rPr>
          <w:rFonts w:ascii="Arial" w:hAnsi="Arial" w:cs="Arial"/>
        </w:rPr>
        <w:t xml:space="preserve"> with diabetes</w:t>
      </w:r>
      <w:r w:rsidRPr="007B4AE0">
        <w:rPr>
          <w:rFonts w:ascii="Arial" w:hAnsi="Arial" w:cs="Arial"/>
        </w:rPr>
        <w:t xml:space="preserve"> appears from the age of 30 onwards, although with low frequency, and increases progressively. </w:t>
      </w:r>
      <w:r w:rsidRPr="00662C68">
        <w:rPr>
          <w:rFonts w:ascii="Arial" w:hAnsi="Arial" w:cs="Arial"/>
        </w:rPr>
        <w:t>The highest number of cases is concentrated in the 50-59 and 60-69 age groups, with a significant (p=0.001) female predominance over males. The frequency drops for both sexes from the age of 70, although females continue to make up a higher proportion than males. The number of cases is markedly reduced in the oldest age groups (80+), but the female predominance remains.</w:t>
      </w:r>
    </w:p>
    <w:p w14:paraId="302C0C1C" w14:textId="77777777" w:rsidR="003A63DF" w:rsidRDefault="003A63DF" w:rsidP="003A63DF">
      <w:pPr>
        <w:pStyle w:val="Body"/>
        <w:rPr>
          <w:rFonts w:ascii="Arial" w:hAnsi="Arial" w:cs="Arial"/>
        </w:rPr>
      </w:pPr>
    </w:p>
    <w:p w14:paraId="693D3864" w14:textId="22924F37" w:rsidR="003A63DF" w:rsidRDefault="003A63DF" w:rsidP="002A4342">
      <w:pPr>
        <w:pStyle w:val="Body"/>
        <w:spacing w:after="0"/>
        <w:rPr>
          <w:rFonts w:ascii="Arial" w:hAnsi="Arial" w:cs="Arial"/>
        </w:rPr>
      </w:pPr>
      <w:r w:rsidRPr="00225D1E">
        <w:rPr>
          <w:rFonts w:ascii="Arial" w:hAnsi="Arial" w:cs="Arial"/>
          <w:b/>
          <w:bCs/>
        </w:rPr>
        <w:t xml:space="preserve">Figure </w:t>
      </w:r>
      <w:r w:rsidR="00C222FD">
        <w:rPr>
          <w:rFonts w:ascii="Arial" w:hAnsi="Arial" w:cs="Arial"/>
          <w:b/>
          <w:bCs/>
        </w:rPr>
        <w:t>4</w:t>
      </w:r>
      <w:r w:rsidR="002A4342">
        <w:rPr>
          <w:rFonts w:ascii="Arial" w:hAnsi="Arial" w:cs="Arial"/>
          <w:b/>
          <w:bCs/>
        </w:rPr>
        <w:t xml:space="preserve">. </w:t>
      </w:r>
      <w:r w:rsidRPr="007B4AE0">
        <w:rPr>
          <w:rFonts w:ascii="Arial" w:hAnsi="Arial" w:cs="Arial"/>
          <w:b/>
          <w:bCs/>
        </w:rPr>
        <w:t xml:space="preserve">Age- and sex-specific distribution of patients with diabetes and </w:t>
      </w:r>
      <w:r w:rsidR="00C222FD">
        <w:rPr>
          <w:rFonts w:ascii="Arial" w:hAnsi="Arial" w:cs="Arial"/>
          <w:b/>
          <w:bCs/>
        </w:rPr>
        <w:t>obesity</w:t>
      </w:r>
      <w:r w:rsidRPr="007B4AE0">
        <w:rPr>
          <w:rFonts w:ascii="Arial" w:hAnsi="Arial" w:cs="Arial"/>
          <w:b/>
          <w:bCs/>
        </w:rPr>
        <w:t>.</w:t>
      </w:r>
    </w:p>
    <w:p w14:paraId="45A7986B" w14:textId="414C3B15" w:rsidR="00683764" w:rsidRPr="00683764" w:rsidRDefault="00683764" w:rsidP="00683764">
      <w:pPr>
        <w:pStyle w:val="Body"/>
        <w:jc w:val="center"/>
        <w:rPr>
          <w:rFonts w:ascii="Arial" w:hAnsi="Arial" w:cs="Arial"/>
          <w:lang w:val="es-MX"/>
        </w:rPr>
      </w:pPr>
      <w:r w:rsidRPr="00683764">
        <w:rPr>
          <w:rFonts w:ascii="Arial" w:hAnsi="Arial" w:cs="Arial"/>
          <w:noProof/>
          <w:lang w:val="es-MX"/>
        </w:rPr>
        <w:drawing>
          <wp:inline distT="0" distB="0" distL="0" distR="0" wp14:anchorId="02BA71AC" wp14:editId="52026792">
            <wp:extent cx="5212080" cy="4168140"/>
            <wp:effectExtent l="0" t="0" r="7620" b="3810"/>
            <wp:docPr id="12765560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2080" cy="4168140"/>
                    </a:xfrm>
                    <a:prstGeom prst="rect">
                      <a:avLst/>
                    </a:prstGeom>
                    <a:noFill/>
                    <a:ln>
                      <a:noFill/>
                    </a:ln>
                  </pic:spPr>
                </pic:pic>
              </a:graphicData>
            </a:graphic>
          </wp:inline>
        </w:drawing>
      </w:r>
    </w:p>
    <w:p w14:paraId="498F1EE8" w14:textId="31584E8A" w:rsidR="00683764" w:rsidRPr="00683764" w:rsidRDefault="00FF4EC4" w:rsidP="007E4B9E">
      <w:pPr>
        <w:pStyle w:val="Body"/>
        <w:rPr>
          <w:rFonts w:ascii="Arial" w:hAnsi="Arial" w:cs="Arial"/>
          <w:lang w:val="es-MX"/>
        </w:rPr>
      </w:pPr>
      <w:r>
        <w:rPr>
          <w:rFonts w:ascii="Arial" w:hAnsi="Arial" w:cs="Arial"/>
        </w:rPr>
        <w:t xml:space="preserve">Sources: </w:t>
      </w:r>
      <w:r w:rsidRPr="004D735F">
        <w:rPr>
          <w:rFonts w:ascii="Arial" w:hAnsi="Arial" w:cs="Arial"/>
        </w:rPr>
        <w:t>Prepared by the authors using the results from the SIMEF database, January-December, 2022.</w:t>
      </w:r>
      <w:r>
        <w:rPr>
          <w:rFonts w:ascii="Arial" w:hAnsi="Arial" w:cs="Arial"/>
        </w:rPr>
        <w:t xml:space="preserve"> </w:t>
      </w:r>
      <w:r w:rsidRPr="007B4AE0">
        <w:rPr>
          <w:rFonts w:ascii="Arial" w:hAnsi="Arial" w:cs="Arial"/>
        </w:rPr>
        <w:t>The horizontal axis represents age decades (from 10–19 years up to ≥100 years). The vertical axis represents the absolute frequency of cases. Black bars correspond to females, while white bars correspond to males.</w:t>
      </w:r>
      <w:r>
        <w:rPr>
          <w:rFonts w:ascii="Arial" w:hAnsi="Arial" w:cs="Arial"/>
        </w:rPr>
        <w:t xml:space="preserve"> </w:t>
      </w:r>
      <w:r w:rsidRPr="00867EB2">
        <w:rPr>
          <w:rFonts w:ascii="Arial" w:hAnsi="Arial" w:cs="Arial"/>
        </w:rPr>
        <w:t xml:space="preserve">Comparisons between age decades and sex were performed using the chi-square test, specifically the likelihood ratio chi-square, which showed a </w:t>
      </w:r>
      <w:r>
        <w:rPr>
          <w:rFonts w:ascii="Arial" w:hAnsi="Arial" w:cs="Arial"/>
        </w:rPr>
        <w:t>non-</w:t>
      </w:r>
      <w:r w:rsidRPr="00867EB2">
        <w:rPr>
          <w:rFonts w:ascii="Arial" w:hAnsi="Arial" w:cs="Arial"/>
        </w:rPr>
        <w:t xml:space="preserve">statistically significant association (Likelihood Ratio χ² = </w:t>
      </w:r>
      <w:r>
        <w:rPr>
          <w:rFonts w:ascii="Arial" w:hAnsi="Arial" w:cs="Arial"/>
        </w:rPr>
        <w:t>25</w:t>
      </w:r>
      <w:r w:rsidRPr="00ED0502">
        <w:rPr>
          <w:rFonts w:ascii="Arial" w:hAnsi="Arial" w:cs="Arial"/>
        </w:rPr>
        <w:t>.</w:t>
      </w:r>
      <w:r>
        <w:rPr>
          <w:rFonts w:ascii="Arial" w:hAnsi="Arial" w:cs="Arial"/>
        </w:rPr>
        <w:t>241</w:t>
      </w:r>
      <w:r w:rsidRPr="00867EB2">
        <w:rPr>
          <w:rFonts w:ascii="Arial" w:hAnsi="Arial" w:cs="Arial"/>
        </w:rPr>
        <w:t xml:space="preserve">, df = </w:t>
      </w:r>
      <w:r>
        <w:rPr>
          <w:rFonts w:ascii="Arial" w:hAnsi="Arial" w:cs="Arial"/>
        </w:rPr>
        <w:t>8</w:t>
      </w:r>
      <w:r w:rsidRPr="00867EB2">
        <w:rPr>
          <w:rFonts w:ascii="Arial" w:hAnsi="Arial" w:cs="Arial"/>
        </w:rPr>
        <w:t xml:space="preserve">, p = </w:t>
      </w:r>
      <w:r w:rsidRPr="00ED0502">
        <w:rPr>
          <w:rFonts w:ascii="Arial" w:hAnsi="Arial" w:cs="Arial"/>
        </w:rPr>
        <w:t>0.</w:t>
      </w:r>
      <w:r>
        <w:rPr>
          <w:rFonts w:ascii="Arial" w:hAnsi="Arial" w:cs="Arial"/>
        </w:rPr>
        <w:t>001</w:t>
      </w:r>
      <w:r w:rsidRPr="00867EB2">
        <w:rPr>
          <w:rFonts w:ascii="Arial" w:hAnsi="Arial" w:cs="Arial"/>
        </w:rPr>
        <w:t>).</w:t>
      </w:r>
    </w:p>
    <w:p w14:paraId="23D19D66" w14:textId="51D7B664" w:rsidR="00C81973" w:rsidRPr="007A721D" w:rsidRDefault="00C81973" w:rsidP="007E4B9E">
      <w:pPr>
        <w:pStyle w:val="Body"/>
        <w:rPr>
          <w:rFonts w:ascii="Arial" w:hAnsi="Arial" w:cs="Arial"/>
          <w:sz w:val="22"/>
          <w:szCs w:val="22"/>
        </w:rPr>
      </w:pPr>
      <w:r w:rsidRPr="007A721D">
        <w:rPr>
          <w:rFonts w:ascii="Arial" w:hAnsi="Arial" w:cs="Arial"/>
          <w:b/>
          <w:caps/>
          <w:sz w:val="22"/>
          <w:szCs w:val="22"/>
        </w:rPr>
        <w:lastRenderedPageBreak/>
        <w:t>3.</w:t>
      </w:r>
      <w:r w:rsidR="003A6198">
        <w:rPr>
          <w:rFonts w:ascii="Arial" w:hAnsi="Arial" w:cs="Arial"/>
          <w:b/>
          <w:caps/>
          <w:sz w:val="22"/>
          <w:szCs w:val="22"/>
        </w:rPr>
        <w:t>3</w:t>
      </w:r>
      <w:r w:rsidRPr="007A721D">
        <w:rPr>
          <w:rFonts w:ascii="Arial" w:hAnsi="Arial" w:cs="Arial"/>
          <w:b/>
          <w:caps/>
          <w:sz w:val="22"/>
          <w:szCs w:val="22"/>
        </w:rPr>
        <w:t xml:space="preserve"> </w:t>
      </w:r>
      <w:r w:rsidR="007E4B9E" w:rsidRPr="007E4B9E">
        <w:rPr>
          <w:rFonts w:ascii="Arial" w:hAnsi="Arial" w:cs="Arial"/>
          <w:b/>
          <w:sz w:val="22"/>
          <w:szCs w:val="22"/>
        </w:rPr>
        <w:t>Age-Related Comorbidity Profiles (Noncommunicable and Communicable Diseases) in Patients with Diabetes</w:t>
      </w:r>
    </w:p>
    <w:p w14:paraId="1F0E85A2" w14:textId="21A8E52E" w:rsidR="00C81973" w:rsidRDefault="007E4B9E" w:rsidP="00FB1A33">
      <w:pPr>
        <w:pStyle w:val="Body"/>
        <w:rPr>
          <w:rFonts w:ascii="Arial" w:hAnsi="Arial" w:cs="Arial"/>
        </w:rPr>
      </w:pPr>
      <w:r w:rsidRPr="007E4B9E">
        <w:rPr>
          <w:rFonts w:ascii="Arial" w:hAnsi="Arial" w:cs="Arial"/>
        </w:rPr>
        <w:t>Among individuals aged 10–19 years, obesity (E66) was the most frequent condition, accounting for 28.6% of cases. In the 20–29 years group, three conditions predominated: obesity (E66, 30%), essential hypertension (I10</w:t>
      </w:r>
      <w:r>
        <w:rPr>
          <w:rFonts w:ascii="Arial" w:hAnsi="Arial" w:cs="Arial"/>
        </w:rPr>
        <w:t>.</w:t>
      </w:r>
      <w:r w:rsidRPr="007E4B9E">
        <w:rPr>
          <w:rFonts w:ascii="Arial" w:hAnsi="Arial" w:cs="Arial"/>
        </w:rPr>
        <w:t>X, 20%), and infectious gastroenteritis (A099, 20%). Meanwhile, between 30 and 39 years, a clear increase in both the frequency and diversity of diseases was observed. Essential hypertension (37.8%) became the most prevalent diagnosis, followed by obesity (31.1%), and disorders of lipoprotein metabolism (E78=21.6%). Diseases of the musculoskeletal system, mainly dorsalgia (M54</w:t>
      </w:r>
      <w:r>
        <w:rPr>
          <w:rFonts w:ascii="Arial" w:hAnsi="Arial" w:cs="Arial"/>
        </w:rPr>
        <w:t>.</w:t>
      </w:r>
      <w:r w:rsidRPr="007E4B9E">
        <w:rPr>
          <w:rFonts w:ascii="Arial" w:hAnsi="Arial" w:cs="Arial"/>
        </w:rPr>
        <w:t xml:space="preserve">5=9.5%), also appeared, while, </w:t>
      </w:r>
      <w:r w:rsidR="00F14212">
        <w:rPr>
          <w:rFonts w:ascii="Arial" w:hAnsi="Arial" w:cs="Arial"/>
        </w:rPr>
        <w:t>e</w:t>
      </w:r>
      <w:r w:rsidRPr="007E4B9E">
        <w:rPr>
          <w:rFonts w:ascii="Arial" w:hAnsi="Arial" w:cs="Arial"/>
        </w:rPr>
        <w:t>ndocrine disorders such as hypothyroidism (E03</w:t>
      </w:r>
      <w:r>
        <w:rPr>
          <w:rFonts w:ascii="Arial" w:hAnsi="Arial" w:cs="Arial"/>
        </w:rPr>
        <w:t>.</w:t>
      </w:r>
      <w:r w:rsidRPr="007E4B9E">
        <w:rPr>
          <w:rFonts w:ascii="Arial" w:hAnsi="Arial" w:cs="Arial"/>
        </w:rPr>
        <w:t>9=8.1%), gained relevance. Other conditions included communicable diseases, particularly COVID-19, virus identified (20.3%), acute pharyngitis (12.2%), and urinary tract infection (10.8%).</w:t>
      </w:r>
    </w:p>
    <w:p w14:paraId="156D7193" w14:textId="72F6BA84" w:rsidR="00FB1A33" w:rsidRDefault="0070061E" w:rsidP="00FB1A33">
      <w:pPr>
        <w:pStyle w:val="Body"/>
        <w:rPr>
          <w:rFonts w:ascii="Arial" w:hAnsi="Arial" w:cs="Arial"/>
        </w:rPr>
      </w:pPr>
      <w:r w:rsidRPr="0070061E">
        <w:rPr>
          <w:rFonts w:ascii="Arial" w:hAnsi="Arial" w:cs="Arial"/>
        </w:rPr>
        <w:t xml:space="preserve">By the fourth decade of life (40–49 years), the pattern consolidated, with essential hypertension (32.7%) and obesity (35.3%) leading the burden. Dyslipidaemia became a major comorbidity (30.2%) including hyperlipidaemia (E78.5, 15.1%), mixed hyperlipidaemia (E78.2, 11.9%), and pure hyperglyceridaemia (E78.1, 11.2%). Hypothyroidism (E039, 7.6%) and dorsalgia (6.1%) persisted. Gastrointestinal problems such as irritable bowel syndrome without diarrhoea (K58.9, 4.3%), together with anxiety disorders (F41.9, 4%), added to the disease load. </w:t>
      </w:r>
      <w:r w:rsidR="00D03EB7" w:rsidRPr="0070061E">
        <w:rPr>
          <w:rFonts w:ascii="Arial" w:hAnsi="Arial" w:cs="Arial"/>
        </w:rPr>
        <w:t>Infectious</w:t>
      </w:r>
      <w:r w:rsidRPr="0070061E">
        <w:rPr>
          <w:rFonts w:ascii="Arial" w:hAnsi="Arial" w:cs="Arial"/>
        </w:rPr>
        <w:t xml:space="preserve"> diseases such as COVID-19 (U07.1, 18%), acute pharyngitis (J02.9, 7.6%), gastroenteritis and colitis of unspecified origin (A09.9, 6.8%), and urinary tract infection (N39.0, 4.7%) remained relevant.</w:t>
      </w:r>
    </w:p>
    <w:p w14:paraId="63C48424" w14:textId="79654046" w:rsidR="0059007F" w:rsidRDefault="00D03EB7" w:rsidP="00FB1A33">
      <w:pPr>
        <w:pStyle w:val="Body"/>
        <w:rPr>
          <w:rFonts w:ascii="Arial" w:hAnsi="Arial" w:cs="Arial"/>
        </w:rPr>
      </w:pPr>
      <w:r w:rsidRPr="00D03EB7">
        <w:rPr>
          <w:rFonts w:ascii="Arial" w:hAnsi="Arial" w:cs="Arial"/>
        </w:rPr>
        <w:t xml:space="preserve">Moving into the fifth and sixth decades of life (50–69 years), hypertension reached nearly half of the population aged 50–59 years (47.8%) and over 60% among </w:t>
      </w:r>
      <w:r w:rsidR="0059007F" w:rsidRPr="00D03EB7">
        <w:rPr>
          <w:rFonts w:ascii="Arial" w:hAnsi="Arial" w:cs="Arial"/>
        </w:rPr>
        <w:t>sexagenarians’</w:t>
      </w:r>
      <w:r w:rsidRPr="00D03EB7">
        <w:rPr>
          <w:rFonts w:ascii="Arial" w:hAnsi="Arial" w:cs="Arial"/>
        </w:rPr>
        <w:t xml:space="preserve"> population (710 of 1,148 subjects). Dyslipidaemia became increasingly common (30.8%) between subjects 50 and 59 years with hyperlipidaemia (19.9%) rising markedly; mixed hyperlipidaemia (10.7%) and pure hyperglyceridaemia (7.4%) decreased respect to adults into the fourth decade of life. Obesity remained prevalent (27.9%), while hypothyroidism (8.6%) </w:t>
      </w:r>
      <w:r w:rsidR="00F14212" w:rsidRPr="00D03EB7">
        <w:rPr>
          <w:rFonts w:ascii="Arial" w:hAnsi="Arial" w:cs="Arial"/>
        </w:rPr>
        <w:t>became</w:t>
      </w:r>
      <w:r w:rsidRPr="00D03EB7">
        <w:rPr>
          <w:rFonts w:ascii="Arial" w:hAnsi="Arial" w:cs="Arial"/>
        </w:rPr>
        <w:t xml:space="preserve"> firmly established. Other </w:t>
      </w:r>
      <w:r w:rsidR="00F14212" w:rsidRPr="00D03EB7">
        <w:rPr>
          <w:rFonts w:ascii="Arial" w:hAnsi="Arial" w:cs="Arial"/>
        </w:rPr>
        <w:t>non</w:t>
      </w:r>
      <w:r w:rsidR="00F14212">
        <w:rPr>
          <w:rFonts w:ascii="Arial" w:hAnsi="Arial" w:cs="Arial"/>
        </w:rPr>
        <w:t>-</w:t>
      </w:r>
      <w:r w:rsidR="00F14212" w:rsidRPr="00D03EB7">
        <w:rPr>
          <w:rFonts w:ascii="Arial" w:hAnsi="Arial" w:cs="Arial"/>
        </w:rPr>
        <w:t>communicable</w:t>
      </w:r>
      <w:r w:rsidRPr="00D03EB7">
        <w:rPr>
          <w:rFonts w:ascii="Arial" w:hAnsi="Arial" w:cs="Arial"/>
        </w:rPr>
        <w:t xml:space="preserve"> diseases and clinical condition such as venous insufficiency (chronic and peripheral; I87.2, 5.8%), chronic kidney disease (N18.9, 5.2%) and abnormal glucose tolerance (R73.0, 5%) were observed. </w:t>
      </w:r>
      <w:proofErr w:type="spellStart"/>
      <w:r w:rsidRPr="00D03EB7">
        <w:rPr>
          <w:rFonts w:ascii="Arial" w:hAnsi="Arial" w:cs="Arial"/>
        </w:rPr>
        <w:t>Dorsalgia</w:t>
      </w:r>
      <w:proofErr w:type="spellEnd"/>
      <w:r w:rsidRPr="00D03EB7">
        <w:rPr>
          <w:rFonts w:ascii="Arial" w:hAnsi="Arial" w:cs="Arial"/>
        </w:rPr>
        <w:t xml:space="preserve"> (4.9%), </w:t>
      </w:r>
      <w:proofErr w:type="spellStart"/>
      <w:r w:rsidRPr="00D03EB7">
        <w:rPr>
          <w:rFonts w:ascii="Arial" w:hAnsi="Arial" w:cs="Arial"/>
        </w:rPr>
        <w:t>gonarthrosis</w:t>
      </w:r>
      <w:proofErr w:type="spellEnd"/>
      <w:r w:rsidRPr="00D03EB7">
        <w:rPr>
          <w:rFonts w:ascii="Arial" w:hAnsi="Arial" w:cs="Arial"/>
        </w:rPr>
        <w:t xml:space="preserve"> (4.6%) and anxiety disorder (4.1%) also gained importance. Respiratory conditions, particularly COVID-19 (U07.1, 11.8%) and acute pharyngitis (J02.9, 8.3%) were the most prevalent diseases. Urinary tract infection (N39.0, 6.9%) and gastroenteritis and colitis of unspecified origin (A09.9, 4.2%) remained relevant.</w:t>
      </w:r>
    </w:p>
    <w:p w14:paraId="76EA7EE7" w14:textId="4B2C3A36" w:rsidR="0059007F" w:rsidRDefault="00223AE8" w:rsidP="00FB1A33">
      <w:pPr>
        <w:pStyle w:val="Body"/>
        <w:rPr>
          <w:rFonts w:ascii="Arial" w:hAnsi="Arial" w:cs="Arial"/>
        </w:rPr>
      </w:pPr>
      <w:r w:rsidRPr="00223AE8">
        <w:rPr>
          <w:rFonts w:ascii="Arial" w:hAnsi="Arial" w:cs="Arial"/>
        </w:rPr>
        <w:t xml:space="preserve">In </w:t>
      </w:r>
      <w:r w:rsidR="00F14212" w:rsidRPr="00223AE8">
        <w:rPr>
          <w:rFonts w:ascii="Arial" w:hAnsi="Arial" w:cs="Arial"/>
        </w:rPr>
        <w:t>sexagenarians’</w:t>
      </w:r>
      <w:r w:rsidRPr="00223AE8">
        <w:rPr>
          <w:rFonts w:ascii="Arial" w:hAnsi="Arial" w:cs="Arial"/>
        </w:rPr>
        <w:t xml:space="preserve"> population, essential hypertension was the most frequent condition. Metabolic disorders were also highly prevalent: obesity (26.3%), and </w:t>
      </w:r>
      <w:r w:rsidR="00F14212" w:rsidRPr="00223AE8">
        <w:rPr>
          <w:rFonts w:ascii="Arial" w:hAnsi="Arial" w:cs="Arial"/>
        </w:rPr>
        <w:t>dyslipidaemia</w:t>
      </w:r>
      <w:r w:rsidRPr="00223AE8">
        <w:rPr>
          <w:rFonts w:ascii="Arial" w:hAnsi="Arial" w:cs="Arial"/>
        </w:rPr>
        <w:t xml:space="preserve"> (25.3%) contributed substantially to the disease burden. </w:t>
      </w:r>
      <w:r w:rsidR="00F14212">
        <w:rPr>
          <w:rFonts w:ascii="Arial" w:hAnsi="Arial" w:cs="Arial"/>
        </w:rPr>
        <w:t>H</w:t>
      </w:r>
      <w:r w:rsidRPr="00223AE8">
        <w:rPr>
          <w:rFonts w:ascii="Arial" w:hAnsi="Arial" w:cs="Arial"/>
        </w:rPr>
        <w:t xml:space="preserve">ypothyroidism (E03.9, 9.6%) reflected the growing importance of endocrine dysfunction in this age group. Vascular and renal complications were also common. Chronic venous insufficiency (I87.2, 8.2%) and chronic kidney disease (N18.9, 6.7%) were frequently reported. </w:t>
      </w:r>
      <w:proofErr w:type="spellStart"/>
      <w:r w:rsidRPr="00223AE8">
        <w:rPr>
          <w:rFonts w:ascii="Arial" w:hAnsi="Arial" w:cs="Arial"/>
        </w:rPr>
        <w:t>Dorsopathies</w:t>
      </w:r>
      <w:proofErr w:type="spellEnd"/>
      <w:r w:rsidRPr="00223AE8">
        <w:rPr>
          <w:rFonts w:ascii="Arial" w:hAnsi="Arial" w:cs="Arial"/>
        </w:rPr>
        <w:t>, particularly low back pain (M54.5, 5.2%), remained relevant, alongside respiratory disease such as chronic obstructive pulmonary disease (J44.9, 5.1%). Metabolic instability was evident in cases of abnormal glucose tolerance (R73.0, 4.8%). Mental health conditions, such as depressive episodes (F329, 4.5%), were also observed. Infectious diseases continued to be present, notably urinary tract infections (N39.0, 6.4%), acute pharyngitis (J02.9, 5.6%), and COVID-19 (U07.1, 5%). Preventive health encounters, including dental examinations (Z01.2, 4.5%), were part of routine care in this group.</w:t>
      </w:r>
    </w:p>
    <w:p w14:paraId="4C7D3FE1" w14:textId="02381747" w:rsidR="0070061E" w:rsidRDefault="0061388F" w:rsidP="00FB1A33">
      <w:pPr>
        <w:pStyle w:val="Body"/>
        <w:rPr>
          <w:rFonts w:ascii="Arial" w:hAnsi="Arial" w:cs="Arial"/>
        </w:rPr>
      </w:pPr>
      <w:r w:rsidRPr="0061388F">
        <w:rPr>
          <w:rFonts w:ascii="Arial" w:hAnsi="Arial" w:cs="Arial"/>
        </w:rPr>
        <w:lastRenderedPageBreak/>
        <w:t xml:space="preserve">From septuagenarian population hypertension affected more than 70% of individuals. Obesity (18.9%), and dyslipidaemia (18.7%) were similar prevalence. Chronic kidney disease (9.7%), venous insufficiency (9.3%), hypothyroidism (8.3%), chronic obstructive pulmonary disease (7.1%), depressive episode (6%) and low back pain ((5%) continuing as prominent comorbidities. Cardiovascular complications such as chronic ischaemic heart disease (I25.9, 6%) and hypertensive heart disease without (congestive) heart failure (I11.9, 5.9%) became increasingly evident, while ocular conditions such as glaucoma (H40.9, 6.2%) also appeared. Acute pharyngitis (J02.9, 6.9%), and urinary tract infections (N39.0, 5.1%) persisted. Similarly, dental examination (5.5%) </w:t>
      </w:r>
      <w:r w:rsidR="00531D01" w:rsidRPr="0061388F">
        <w:rPr>
          <w:rFonts w:ascii="Arial" w:hAnsi="Arial" w:cs="Arial"/>
        </w:rPr>
        <w:t>was</w:t>
      </w:r>
      <w:r w:rsidRPr="0061388F">
        <w:rPr>
          <w:rFonts w:ascii="Arial" w:hAnsi="Arial" w:cs="Arial"/>
        </w:rPr>
        <w:t xml:space="preserve"> part of routine care in this group.</w:t>
      </w:r>
    </w:p>
    <w:p w14:paraId="11876C3C" w14:textId="517ECF6E" w:rsidR="0061388F" w:rsidRDefault="00531D01" w:rsidP="00FB1A33">
      <w:pPr>
        <w:pStyle w:val="Body"/>
        <w:rPr>
          <w:rFonts w:ascii="Arial" w:hAnsi="Arial" w:cs="Arial"/>
        </w:rPr>
      </w:pPr>
      <w:r w:rsidRPr="00531D01">
        <w:rPr>
          <w:rFonts w:ascii="Arial" w:hAnsi="Arial" w:cs="Arial"/>
        </w:rPr>
        <w:t xml:space="preserve">By 80–89 years, hypertension became overwhelmingly prevalent (80.6%). Cardiovascular complications (I87.2, 13.2%), respiratory disease (J44.9, 13.2%), kidney disease (10.8%), hyperlipidaemia (E78.5, 8.6%), abnormalities of gait and mobility (R26.8, 8%), depressive episode (F32.9, 7.4%), chronic ischaemic heart disease (I25.9, 6.8%) and arthrosis diseases such as </w:t>
      </w:r>
      <w:proofErr w:type="spellStart"/>
      <w:r w:rsidRPr="00531D01">
        <w:rPr>
          <w:rFonts w:ascii="Arial" w:hAnsi="Arial" w:cs="Arial"/>
        </w:rPr>
        <w:t>gonarthrosis</w:t>
      </w:r>
      <w:proofErr w:type="spellEnd"/>
      <w:r w:rsidRPr="00531D01">
        <w:rPr>
          <w:rFonts w:ascii="Arial" w:hAnsi="Arial" w:cs="Arial"/>
        </w:rPr>
        <w:t xml:space="preserve"> (M17.9, 6.8% and M17.4, 6.2%) coexisted frequently. Urinary tract infections (N39.0, 6.8%) continued to be significant.</w:t>
      </w:r>
    </w:p>
    <w:p w14:paraId="336ED161" w14:textId="44EFA227" w:rsidR="007C1278" w:rsidRDefault="007C1278" w:rsidP="00FB1A33">
      <w:pPr>
        <w:pStyle w:val="Body"/>
        <w:rPr>
          <w:rFonts w:ascii="Arial" w:hAnsi="Arial" w:cs="Arial"/>
        </w:rPr>
      </w:pPr>
      <w:r w:rsidRPr="007C1278">
        <w:rPr>
          <w:rFonts w:ascii="Arial" w:hAnsi="Arial" w:cs="Arial"/>
        </w:rPr>
        <w:t>In the 90–99 years group, hypertension was highest prevalent between all groups and affected 83% of individuals, while respiratory diseases (J44.9, 30.2%), abnormalities of gait and mobility (R26.8, 15.1%), dementia-related disorders (such as mild cognitive disorder; F06.7, 15.1% and other specified mental disorders due to brain damage and dysfunction and to physical disease; F06.8, 7.5%), depression (F32.9, 13.2%), and glaucoma (H40.9, 11.3%) were also prominent, which is a reflecting of frailty and reduced mobility.</w:t>
      </w:r>
      <w:r>
        <w:rPr>
          <w:rFonts w:ascii="Arial" w:hAnsi="Arial" w:cs="Arial"/>
        </w:rPr>
        <w:t xml:space="preserve"> </w:t>
      </w:r>
      <w:r w:rsidRPr="007C1278">
        <w:rPr>
          <w:rFonts w:ascii="Arial" w:hAnsi="Arial" w:cs="Arial"/>
        </w:rPr>
        <w:t>Finally, in the only one pat</w:t>
      </w:r>
      <w:r>
        <w:rPr>
          <w:rFonts w:ascii="Arial" w:hAnsi="Arial" w:cs="Arial"/>
        </w:rPr>
        <w:t>i</w:t>
      </w:r>
      <w:r w:rsidRPr="007C1278">
        <w:rPr>
          <w:rFonts w:ascii="Arial" w:hAnsi="Arial" w:cs="Arial"/>
        </w:rPr>
        <w:t>ent with diabetes aged 103 years</w:t>
      </w:r>
      <w:r w:rsidR="001B1510">
        <w:rPr>
          <w:rFonts w:ascii="Arial" w:hAnsi="Arial" w:cs="Arial"/>
        </w:rPr>
        <w:t xml:space="preserve"> (male)</w:t>
      </w:r>
      <w:r w:rsidRPr="007C1278">
        <w:rPr>
          <w:rFonts w:ascii="Arial" w:hAnsi="Arial" w:cs="Arial"/>
        </w:rPr>
        <w:t>, chronic multimorbidity was universal. Hypertension, cardiovascular diseases, gastritis, and dermatological conditions were documented, showing the persistence and accumulation of both metabolic and systemic diseases into extreme old age.</w:t>
      </w:r>
    </w:p>
    <w:p w14:paraId="5AB87578" w14:textId="63943AAB" w:rsidR="00EF61C4" w:rsidRDefault="00C81973" w:rsidP="00C81973">
      <w:pPr>
        <w:pStyle w:val="Body"/>
        <w:spacing w:after="0"/>
        <w:rPr>
          <w:rFonts w:ascii="Arial" w:hAnsi="Arial" w:cs="Arial"/>
          <w:b/>
          <w:sz w:val="22"/>
          <w:szCs w:val="22"/>
        </w:rPr>
      </w:pPr>
      <w:r w:rsidRPr="007A721D">
        <w:rPr>
          <w:rFonts w:ascii="Arial" w:hAnsi="Arial" w:cs="Arial"/>
          <w:b/>
          <w:bCs/>
          <w:sz w:val="22"/>
          <w:szCs w:val="22"/>
        </w:rPr>
        <w:t>3.</w:t>
      </w:r>
      <w:r w:rsidR="00EF61C4">
        <w:rPr>
          <w:rFonts w:ascii="Arial" w:hAnsi="Arial" w:cs="Arial"/>
          <w:b/>
          <w:bCs/>
          <w:sz w:val="22"/>
          <w:szCs w:val="22"/>
        </w:rPr>
        <w:t xml:space="preserve">4 </w:t>
      </w:r>
      <w:r w:rsidR="00EF61C4" w:rsidRPr="007E4B9E">
        <w:rPr>
          <w:rFonts w:ascii="Arial" w:hAnsi="Arial" w:cs="Arial"/>
          <w:b/>
          <w:sz w:val="22"/>
          <w:szCs w:val="22"/>
        </w:rPr>
        <w:t xml:space="preserve">Age-Related Comorbidity Profiles in </w:t>
      </w:r>
      <w:r w:rsidR="00EF61C4">
        <w:rPr>
          <w:rFonts w:ascii="Arial" w:hAnsi="Arial" w:cs="Arial"/>
          <w:b/>
          <w:sz w:val="22"/>
          <w:szCs w:val="22"/>
        </w:rPr>
        <w:t xml:space="preserve">Females </w:t>
      </w:r>
      <w:r w:rsidR="00EF61C4" w:rsidRPr="007E4B9E">
        <w:rPr>
          <w:rFonts w:ascii="Arial" w:hAnsi="Arial" w:cs="Arial"/>
          <w:b/>
          <w:sz w:val="22"/>
          <w:szCs w:val="22"/>
        </w:rPr>
        <w:t>Patients with Diabetes</w:t>
      </w:r>
    </w:p>
    <w:p w14:paraId="6E555F62" w14:textId="77777777" w:rsidR="00D764C0" w:rsidRDefault="00C77E4B" w:rsidP="00C81973">
      <w:pPr>
        <w:pStyle w:val="Body"/>
        <w:spacing w:after="0"/>
        <w:rPr>
          <w:rFonts w:ascii="Arial" w:hAnsi="Arial" w:cs="Arial"/>
        </w:rPr>
      </w:pPr>
      <w:r w:rsidRPr="00C77E4B">
        <w:rPr>
          <w:rFonts w:ascii="Arial" w:hAnsi="Arial" w:cs="Arial"/>
        </w:rPr>
        <w:t>In the female group, we observed a 9-year-old girl with type 2 diabetes. We did not observe female patients with diabetes in the adolescent group (10 to 19 years old). Among young females with diabetes, the most frequent conditions were gastroenteritis and colitis of unspecified infectious origin (A099, 33.3%) and obesity due to excess calories (E660, 33.3%), highlighting both susceptibility to infections and metabolic complications at early ages. From 50 years of age and older, essential hypertension was the leading condition across all groups, with its prevalence demonstrating a consistent upward trend with advancing age. Among adults aged 30–39 years, the leading conditions were essential hypertension (I10.X, 37%) and obesity (E66, 32.6%). Other relevant clinical conditions included dyslipidaemia (E78, 21.7%), COVID-19 (U07.1, 19.6%), screening examination for cervical cancer (Z12.4, 19.6%), and acute pharyngitis (J02.9, 17.4%), reflecting both metabolic and infectious burdens. Urinary tract infections (N39.0, 15.2%) were relatively frequent, reflecting the increased susceptibility to genitourinary infections in this population. Likewise, hypothyroidism (E03.9, 10.9%) appeared as a significant endocrine comorbidity that may further complicate metabolic control and cardiovascular risk. Preventive health measures were also evident, as shown by screening for breast cancer (Z12.3, 10.9%), underlining the importance of integrating chronic disease management with cancer prevention strategies in young females with diabetes.</w:t>
      </w:r>
      <w:r w:rsidR="00666EE8">
        <w:rPr>
          <w:rFonts w:ascii="Arial" w:hAnsi="Arial" w:cs="Arial"/>
        </w:rPr>
        <w:t xml:space="preserve"> </w:t>
      </w:r>
      <w:r w:rsidR="00666EE8" w:rsidRPr="00666EE8">
        <w:rPr>
          <w:rFonts w:ascii="Arial" w:hAnsi="Arial" w:cs="Arial"/>
        </w:rPr>
        <w:t>In females aged 40–49 years, the predominant conditions were obesity (E66, 32.9%), essential hypertension (I10.X, 32.3%), and dyslipidaemia (E78, 29.2%). These were followed by COVID-19 (U07.1, 18.6%) and screening for cervical cancer (Z12.4, 14.9%). Metabolic disorders such as hypothyroidism (E03.9, 11.2%), together with infectious diseases including gastroenteritis and colitis of unspecified origin (A09.9, 8.7%) and acute pharyngitis (J02.9, 8.7%), were also frequently observed.</w:t>
      </w:r>
      <w:r w:rsidR="00D764C0">
        <w:rPr>
          <w:rFonts w:ascii="Arial" w:hAnsi="Arial" w:cs="Arial"/>
        </w:rPr>
        <w:t xml:space="preserve"> </w:t>
      </w:r>
      <w:r w:rsidR="00D764C0" w:rsidRPr="00D764C0">
        <w:rPr>
          <w:rFonts w:ascii="Arial" w:hAnsi="Arial" w:cs="Arial"/>
        </w:rPr>
        <w:t xml:space="preserve">In addition, for patients aged 50–59 years, the most frequent diagnosis was essential hypertension (I10.X, 47.6%), accompanied by obesity (E66, </w:t>
      </w:r>
      <w:r w:rsidR="00D764C0" w:rsidRPr="00D764C0">
        <w:rPr>
          <w:rFonts w:ascii="Arial" w:hAnsi="Arial" w:cs="Arial"/>
        </w:rPr>
        <w:lastRenderedPageBreak/>
        <w:t>34.1%) and dyslipidaemia (E78, 30.5%). Other relevant conditions included COVID-19 (U07.1, 12.9%), hypothyroidism (E03.9, 11.7%), acute pharyngitis (J02.9, 10.4%), urinary tract infections (N39.0, 9.0%), and cervical cancer screening (Z12.4, 8.8%).</w:t>
      </w:r>
    </w:p>
    <w:p w14:paraId="6ABD39E6" w14:textId="77777777" w:rsidR="00D764C0" w:rsidRDefault="00D764C0" w:rsidP="00C81973">
      <w:pPr>
        <w:pStyle w:val="Body"/>
        <w:spacing w:after="0"/>
        <w:rPr>
          <w:rFonts w:ascii="Arial" w:hAnsi="Arial" w:cs="Arial"/>
        </w:rPr>
      </w:pPr>
    </w:p>
    <w:p w14:paraId="5E9854C5" w14:textId="36E21D89" w:rsidR="00EF61C4" w:rsidRDefault="00D764C0" w:rsidP="00C81973">
      <w:pPr>
        <w:pStyle w:val="Body"/>
        <w:spacing w:after="0"/>
        <w:rPr>
          <w:rFonts w:ascii="Arial" w:hAnsi="Arial" w:cs="Arial"/>
        </w:rPr>
      </w:pPr>
      <w:r w:rsidRPr="00D764C0">
        <w:rPr>
          <w:rFonts w:ascii="Arial" w:hAnsi="Arial" w:cs="Arial"/>
        </w:rPr>
        <w:t>In the sexagenarian population, the prevalence of essential hypertension rose sharply (I10.X, 61.4%). This illness was followed by obesity (E66, 27.7%) and dyslipidaemia (E78, 25.8%). Additional frequent conditions included hypothyroidism (E03.9, 14.3%), venous insufficiency (I87.2, 9.3%), urinary tract infections (N39.0, 7.9%), and cervical cancer screening (Z12.4, 7%), reflecting the growing burden of chronic comorbidities alongside the importance of preventive care in this population.</w:t>
      </w:r>
    </w:p>
    <w:p w14:paraId="6E2CAFD4" w14:textId="77777777" w:rsidR="00E17AEE" w:rsidRDefault="00E17AEE" w:rsidP="00C81973">
      <w:pPr>
        <w:pStyle w:val="Body"/>
        <w:spacing w:after="0"/>
        <w:rPr>
          <w:rFonts w:ascii="Arial" w:hAnsi="Arial" w:cs="Arial"/>
        </w:rPr>
      </w:pPr>
    </w:p>
    <w:p w14:paraId="3EE18076" w14:textId="0BF78C5E" w:rsidR="00E17AEE" w:rsidRPr="00C77E4B" w:rsidRDefault="004A5011" w:rsidP="00C81973">
      <w:pPr>
        <w:pStyle w:val="Body"/>
        <w:spacing w:after="0"/>
        <w:rPr>
          <w:rFonts w:ascii="Arial" w:hAnsi="Arial" w:cs="Arial"/>
        </w:rPr>
      </w:pPr>
      <w:r w:rsidRPr="004A5011">
        <w:rPr>
          <w:rFonts w:ascii="Arial" w:hAnsi="Arial" w:cs="Arial"/>
        </w:rPr>
        <w:t xml:space="preserve">Among </w:t>
      </w:r>
      <w:r w:rsidR="0004070D" w:rsidRPr="004A5011">
        <w:rPr>
          <w:rFonts w:ascii="Arial" w:hAnsi="Arial" w:cs="Arial"/>
        </w:rPr>
        <w:t>septuagenarian</w:t>
      </w:r>
      <w:r w:rsidRPr="004A5011">
        <w:rPr>
          <w:rFonts w:ascii="Arial" w:hAnsi="Arial" w:cs="Arial"/>
        </w:rPr>
        <w:t xml:space="preserve"> females, hypertension remained the most common diagnosis (I10.X, 73%), followed by obesity (E66, 21.8%), and dyslipidaemia (E78, 18.5%). Other disorders, such as hypothyroidism (E03.9, 12.3%), venous insufficiency (I87.2, 11.4%), chronic kidney disease (N18.9, 9.1%), depressive episode (F32.9, 8.7%), acute pharyngitis (J02.9, 8.3%) and chronic obstructive pulmonary disease (J44.9, 8.3%) were also prominent. In the octogenarian population, hypertension reached a very high prevalence (I10</w:t>
      </w:r>
      <w:r w:rsidR="001873DF">
        <w:rPr>
          <w:rFonts w:ascii="Arial" w:hAnsi="Arial" w:cs="Arial"/>
        </w:rPr>
        <w:t>.</w:t>
      </w:r>
      <w:r w:rsidRPr="004A5011">
        <w:rPr>
          <w:rFonts w:ascii="Arial" w:hAnsi="Arial" w:cs="Arial"/>
        </w:rPr>
        <w:t xml:space="preserve">X, 82.9%), and was the most prevalent disease alongside venous insufficiency (I87.2, 16.6%) and chronic obstructive pulmonary disease (J44.9, 14.4%). </w:t>
      </w:r>
      <w:r w:rsidR="0004070D">
        <w:rPr>
          <w:rFonts w:ascii="Arial" w:hAnsi="Arial" w:cs="Arial"/>
        </w:rPr>
        <w:t>Other</w:t>
      </w:r>
      <w:r w:rsidRPr="004A5011">
        <w:rPr>
          <w:rFonts w:ascii="Arial" w:hAnsi="Arial" w:cs="Arial"/>
        </w:rPr>
        <w:t xml:space="preserve"> relevant </w:t>
      </w:r>
      <w:r w:rsidR="00BB3CD1">
        <w:rPr>
          <w:rFonts w:ascii="Arial" w:hAnsi="Arial" w:cs="Arial"/>
        </w:rPr>
        <w:t>diseases</w:t>
      </w:r>
      <w:r w:rsidRPr="004A5011">
        <w:rPr>
          <w:rFonts w:ascii="Arial" w:hAnsi="Arial" w:cs="Arial"/>
        </w:rPr>
        <w:t xml:space="preserve"> included depressive episode (F32.9, 11.2%), chronic kidney disease (N18.9, 11.2%), abnormalities of gait and mobility (R26.8, 10.2%), urinary tract infection (N39.0, 9.1%), hypothyroidism (E03.9, 8.6%), and Chronic ischaemic heart disease (I25.9, 8%) indicating the convergence of cardiovascular, respiratory, and mental health issues in advanced age. Finally, among nonagenarian subjects, essential hypertension was overwhelmingly predominant (I10.X, 85.7%). Chronic obstructive pulmonary disease (J44.9, 25.7%) was also frequent, while mental and behavioural disorders such as mild cognitive disorder (F06.7, 20%) and depressive episodes (F32.9, 20%) appeared at high rates. Abnormalities of gait and mobility (R26.8, 20%) and glaucoma (H40.9, 14.3%) were additionally common, underscoring the vulnerability to both chronic and acute conditions in the oldest age groups.</w:t>
      </w:r>
    </w:p>
    <w:p w14:paraId="0CE788F7" w14:textId="77777777" w:rsidR="00C77E4B" w:rsidRPr="00EF61C4" w:rsidRDefault="00C77E4B" w:rsidP="00C81973">
      <w:pPr>
        <w:pStyle w:val="Body"/>
        <w:spacing w:after="0"/>
        <w:rPr>
          <w:rFonts w:ascii="Arial" w:hAnsi="Arial" w:cs="Arial"/>
          <w:b/>
          <w:bCs/>
        </w:rPr>
      </w:pPr>
    </w:p>
    <w:p w14:paraId="44AF2B91" w14:textId="4948D9B5" w:rsidR="00EF61C4" w:rsidRDefault="00EF61C4" w:rsidP="00C81973">
      <w:pPr>
        <w:pStyle w:val="Body"/>
        <w:spacing w:after="0"/>
        <w:rPr>
          <w:rFonts w:ascii="Arial" w:hAnsi="Arial" w:cs="Arial"/>
          <w:b/>
          <w:sz w:val="22"/>
          <w:szCs w:val="22"/>
        </w:rPr>
      </w:pPr>
      <w:r>
        <w:rPr>
          <w:rFonts w:ascii="Arial" w:hAnsi="Arial" w:cs="Arial"/>
          <w:b/>
          <w:bCs/>
          <w:sz w:val="22"/>
          <w:szCs w:val="22"/>
        </w:rPr>
        <w:t xml:space="preserve">3.5 </w:t>
      </w:r>
      <w:r w:rsidRPr="007E4B9E">
        <w:rPr>
          <w:rFonts w:ascii="Arial" w:hAnsi="Arial" w:cs="Arial"/>
          <w:b/>
          <w:sz w:val="22"/>
          <w:szCs w:val="22"/>
        </w:rPr>
        <w:t xml:space="preserve">Age-Related Comorbidity Profiles in </w:t>
      </w:r>
      <w:r>
        <w:rPr>
          <w:rFonts w:ascii="Arial" w:hAnsi="Arial" w:cs="Arial"/>
          <w:b/>
          <w:sz w:val="22"/>
          <w:szCs w:val="22"/>
        </w:rPr>
        <w:t xml:space="preserve">Males </w:t>
      </w:r>
      <w:r w:rsidRPr="007E4B9E">
        <w:rPr>
          <w:rFonts w:ascii="Arial" w:hAnsi="Arial" w:cs="Arial"/>
          <w:b/>
          <w:sz w:val="22"/>
          <w:szCs w:val="22"/>
        </w:rPr>
        <w:t>Patients with Diabetes</w:t>
      </w:r>
    </w:p>
    <w:p w14:paraId="0D01CFE1" w14:textId="2C11D775" w:rsidR="00C81973" w:rsidRDefault="00A81E31" w:rsidP="00C81973">
      <w:pPr>
        <w:pStyle w:val="Body"/>
        <w:spacing w:after="0"/>
        <w:rPr>
          <w:rFonts w:ascii="Arial" w:hAnsi="Arial" w:cs="Arial"/>
        </w:rPr>
      </w:pPr>
      <w:r w:rsidRPr="00A81E31">
        <w:rPr>
          <w:rFonts w:ascii="Arial" w:hAnsi="Arial" w:cs="Arial"/>
        </w:rPr>
        <w:t xml:space="preserve">Among males with diabetes, the distribution of comorbidities varied markedly across age groups, reflecting the epidemiological transition of chronic disease. In adolescents (aged 10–19 years), obesity (E66) was the most frequent condition, affecting 28.6% of cases. In young adults (aged 20–29 years), </w:t>
      </w:r>
      <w:proofErr w:type="spellStart"/>
      <w:r w:rsidRPr="00A81E31">
        <w:rPr>
          <w:rFonts w:ascii="Arial" w:hAnsi="Arial" w:cs="Arial"/>
        </w:rPr>
        <w:t>dyslipidemia</w:t>
      </w:r>
      <w:proofErr w:type="spellEnd"/>
      <w:r w:rsidRPr="00A81E31">
        <w:rPr>
          <w:rFonts w:ascii="Arial" w:hAnsi="Arial" w:cs="Arial"/>
        </w:rPr>
        <w:t xml:space="preserve"> (E78, 50%) was the most prevalent comorbidity, followed by gastrointestinal infectious disease, specifically gastroenteritis and colitis of unspecified origin (A00.9), obesity (E66), mixed anxiety and depressive disorder (F41.2), diabetic mononeuropathy (G59.0), essential </w:t>
      </w:r>
      <w:r w:rsidR="00280254" w:rsidRPr="00A81E31">
        <w:rPr>
          <w:rFonts w:ascii="Arial" w:hAnsi="Arial" w:cs="Arial"/>
        </w:rPr>
        <w:t>hypertension</w:t>
      </w:r>
      <w:r w:rsidRPr="00A81E31">
        <w:rPr>
          <w:rFonts w:ascii="Arial" w:hAnsi="Arial" w:cs="Arial"/>
        </w:rPr>
        <w:t xml:space="preserve"> (I10.x), allergic rhinitis (J30.4), irritable bowel syndrome without diarrhoea (K58.9), orchitis, epididymitis and </w:t>
      </w:r>
      <w:proofErr w:type="spellStart"/>
      <w:r w:rsidRPr="00A81E31">
        <w:rPr>
          <w:rFonts w:ascii="Arial" w:hAnsi="Arial" w:cs="Arial"/>
        </w:rPr>
        <w:t>epididymo</w:t>
      </w:r>
      <w:proofErr w:type="spellEnd"/>
      <w:r w:rsidRPr="00A81E31">
        <w:rPr>
          <w:rFonts w:ascii="Arial" w:hAnsi="Arial" w:cs="Arial"/>
        </w:rPr>
        <w:t>-orchitis without abscess (N45.9), prediabetes (R73.0), contact with and exposure to infections with a predominantly sexual mode of transmission, which accounted for 25% of diagnoses, suggesting a variability of clinical conditions at this stage of life.</w:t>
      </w:r>
    </w:p>
    <w:p w14:paraId="5B6CA7D6" w14:textId="77777777" w:rsidR="00A81E31" w:rsidRDefault="00A81E31" w:rsidP="00C81973">
      <w:pPr>
        <w:pStyle w:val="Body"/>
        <w:spacing w:after="0"/>
        <w:rPr>
          <w:rFonts w:ascii="Arial" w:hAnsi="Arial" w:cs="Arial"/>
        </w:rPr>
      </w:pPr>
    </w:p>
    <w:p w14:paraId="012296E0" w14:textId="74EFFD07" w:rsidR="00A81E31" w:rsidRPr="00A81E31" w:rsidRDefault="00280254" w:rsidP="00A81E31">
      <w:pPr>
        <w:pStyle w:val="Body"/>
        <w:spacing w:after="0"/>
        <w:rPr>
          <w:rFonts w:ascii="Arial" w:hAnsi="Arial" w:cs="Arial"/>
        </w:rPr>
      </w:pPr>
      <w:r w:rsidRPr="00280254">
        <w:rPr>
          <w:rFonts w:ascii="Arial" w:hAnsi="Arial" w:cs="Arial"/>
        </w:rPr>
        <w:t>In adults b</w:t>
      </w:r>
      <w:r w:rsidR="00A81E31" w:rsidRPr="00280254">
        <w:rPr>
          <w:rFonts w:ascii="Arial" w:hAnsi="Arial" w:cs="Arial"/>
        </w:rPr>
        <w:t>etween 30 and 39 years old, the burden of non-communicable diseases became</w:t>
      </w:r>
      <w:r w:rsidR="00A81E31" w:rsidRPr="00A81E31">
        <w:rPr>
          <w:rFonts w:ascii="Arial" w:hAnsi="Arial" w:cs="Arial"/>
        </w:rPr>
        <w:t xml:space="preserve"> more evident. Essential (primary) hypertension (I10.X) was the most common comorbidity (39.3%), followed by obesity (2</w:t>
      </w:r>
      <w:r w:rsidR="00126B48">
        <w:rPr>
          <w:rFonts w:ascii="Arial" w:hAnsi="Arial" w:cs="Arial"/>
        </w:rPr>
        <w:t>8</w:t>
      </w:r>
      <w:r w:rsidR="00A81E31" w:rsidRPr="00A81E31">
        <w:rPr>
          <w:rFonts w:ascii="Arial" w:hAnsi="Arial" w:cs="Arial"/>
        </w:rPr>
        <w:t>.</w:t>
      </w:r>
      <w:r w:rsidR="00126B48">
        <w:rPr>
          <w:rFonts w:ascii="Arial" w:hAnsi="Arial" w:cs="Arial"/>
        </w:rPr>
        <w:t>6</w:t>
      </w:r>
      <w:r w:rsidR="00A81E31" w:rsidRPr="00A81E31">
        <w:rPr>
          <w:rFonts w:ascii="Arial" w:hAnsi="Arial" w:cs="Arial"/>
        </w:rPr>
        <w:t>%), COVID-19 infection (U07</w:t>
      </w:r>
      <w:r>
        <w:rPr>
          <w:rFonts w:ascii="Arial" w:hAnsi="Arial" w:cs="Arial"/>
        </w:rPr>
        <w:t>.</w:t>
      </w:r>
      <w:r w:rsidR="00A81E31" w:rsidRPr="00A81E31">
        <w:rPr>
          <w:rFonts w:ascii="Arial" w:hAnsi="Arial" w:cs="Arial"/>
        </w:rPr>
        <w:t xml:space="preserve">1, 21.4%), </w:t>
      </w:r>
      <w:r w:rsidR="00126B48">
        <w:rPr>
          <w:rFonts w:ascii="Arial" w:hAnsi="Arial" w:cs="Arial"/>
        </w:rPr>
        <w:t>dys</w:t>
      </w:r>
      <w:r w:rsidR="00A81E31" w:rsidRPr="00A81E31">
        <w:rPr>
          <w:rFonts w:ascii="Arial" w:hAnsi="Arial" w:cs="Arial"/>
        </w:rPr>
        <w:t xml:space="preserve">lipidaemia (E78, </w:t>
      </w:r>
      <w:r w:rsidR="00126B48">
        <w:rPr>
          <w:rFonts w:ascii="Arial" w:hAnsi="Arial" w:cs="Arial"/>
        </w:rPr>
        <w:t>2</w:t>
      </w:r>
      <w:r w:rsidR="00A81E31" w:rsidRPr="00A81E31">
        <w:rPr>
          <w:rFonts w:ascii="Arial" w:hAnsi="Arial" w:cs="Arial"/>
        </w:rPr>
        <w:t>1</w:t>
      </w:r>
      <w:r w:rsidR="00126B48">
        <w:rPr>
          <w:rFonts w:ascii="Arial" w:hAnsi="Arial" w:cs="Arial"/>
        </w:rPr>
        <w:t>.</w:t>
      </w:r>
      <w:r w:rsidR="00A81E31" w:rsidRPr="00A81E31">
        <w:rPr>
          <w:rFonts w:ascii="Arial" w:hAnsi="Arial" w:cs="Arial"/>
        </w:rPr>
        <w:t>4%), and musculoskeletal disorders such as low back pain (M54</w:t>
      </w:r>
      <w:r>
        <w:rPr>
          <w:rFonts w:ascii="Arial" w:hAnsi="Arial" w:cs="Arial"/>
        </w:rPr>
        <w:t>.</w:t>
      </w:r>
      <w:r w:rsidR="00A81E31" w:rsidRPr="00A81E31">
        <w:rPr>
          <w:rFonts w:ascii="Arial" w:hAnsi="Arial" w:cs="Arial"/>
        </w:rPr>
        <w:t xml:space="preserve">5, 14.3%). </w:t>
      </w:r>
      <w:r w:rsidR="00126B48">
        <w:rPr>
          <w:rFonts w:ascii="Arial" w:hAnsi="Arial" w:cs="Arial"/>
        </w:rPr>
        <w:t>Similarly, a</w:t>
      </w:r>
      <w:r w:rsidR="00A81E31" w:rsidRPr="00A81E31">
        <w:rPr>
          <w:rFonts w:ascii="Arial" w:hAnsi="Arial" w:cs="Arial"/>
        </w:rPr>
        <w:t xml:space="preserve">mong </w:t>
      </w:r>
      <w:r w:rsidR="00346A4B">
        <w:rPr>
          <w:rFonts w:ascii="Arial" w:hAnsi="Arial" w:cs="Arial"/>
        </w:rPr>
        <w:t>subjects</w:t>
      </w:r>
      <w:r w:rsidR="00A81E31" w:rsidRPr="00A81E31">
        <w:rPr>
          <w:rFonts w:ascii="Arial" w:hAnsi="Arial" w:cs="Arial"/>
        </w:rPr>
        <w:t xml:space="preserve"> aged 40–49 years, hypertension remained the leading condition (33.3%), accompanied by obesity (</w:t>
      </w:r>
      <w:r w:rsidR="00126B48">
        <w:rPr>
          <w:rFonts w:ascii="Arial" w:hAnsi="Arial" w:cs="Arial"/>
        </w:rPr>
        <w:t>E66, 38.5</w:t>
      </w:r>
      <w:r w:rsidR="00A81E31" w:rsidRPr="00A81E31">
        <w:rPr>
          <w:rFonts w:ascii="Arial" w:hAnsi="Arial" w:cs="Arial"/>
        </w:rPr>
        <w:t>%), dyslipidaemia (</w:t>
      </w:r>
      <w:r w:rsidR="00126B48">
        <w:rPr>
          <w:rFonts w:ascii="Arial" w:hAnsi="Arial" w:cs="Arial"/>
        </w:rPr>
        <w:t>E78, 3</w:t>
      </w:r>
      <w:r w:rsidR="00A81E31" w:rsidRPr="00A81E31">
        <w:rPr>
          <w:rFonts w:ascii="Arial" w:hAnsi="Arial" w:cs="Arial"/>
        </w:rPr>
        <w:t>1.</w:t>
      </w:r>
      <w:r w:rsidR="00126B48">
        <w:rPr>
          <w:rFonts w:ascii="Arial" w:hAnsi="Arial" w:cs="Arial"/>
        </w:rPr>
        <w:t>6</w:t>
      </w:r>
      <w:r w:rsidR="00A81E31" w:rsidRPr="00A81E31">
        <w:rPr>
          <w:rFonts w:ascii="Arial" w:hAnsi="Arial" w:cs="Arial"/>
        </w:rPr>
        <w:t>%), COVID-19 infection (</w:t>
      </w:r>
      <w:r w:rsidR="005B1C2E">
        <w:rPr>
          <w:rFonts w:ascii="Arial" w:hAnsi="Arial" w:cs="Arial"/>
        </w:rPr>
        <w:t xml:space="preserve">U07.7, </w:t>
      </w:r>
      <w:r w:rsidR="00A81E31" w:rsidRPr="00A81E31">
        <w:rPr>
          <w:rFonts w:ascii="Arial" w:hAnsi="Arial" w:cs="Arial"/>
        </w:rPr>
        <w:t xml:space="preserve">17.1%), </w:t>
      </w:r>
      <w:r w:rsidR="00DC0159">
        <w:rPr>
          <w:rFonts w:ascii="Arial" w:hAnsi="Arial" w:cs="Arial"/>
        </w:rPr>
        <w:t>a</w:t>
      </w:r>
      <w:r w:rsidR="00DC0159" w:rsidRPr="00DC0159">
        <w:rPr>
          <w:rFonts w:ascii="Arial" w:hAnsi="Arial" w:cs="Arial"/>
        </w:rPr>
        <w:t>cute pharyngitis</w:t>
      </w:r>
      <w:r w:rsidR="00A81E31" w:rsidRPr="00A81E31">
        <w:rPr>
          <w:rFonts w:ascii="Arial" w:hAnsi="Arial" w:cs="Arial"/>
        </w:rPr>
        <w:t xml:space="preserve"> (</w:t>
      </w:r>
      <w:r w:rsidR="005B1C2E">
        <w:rPr>
          <w:rFonts w:ascii="Arial" w:hAnsi="Arial" w:cs="Arial"/>
        </w:rPr>
        <w:t xml:space="preserve">J02.9, </w:t>
      </w:r>
      <w:r w:rsidR="00DC0159">
        <w:rPr>
          <w:rFonts w:ascii="Arial" w:hAnsi="Arial" w:cs="Arial"/>
        </w:rPr>
        <w:t>6</w:t>
      </w:r>
      <w:r w:rsidR="00A81E31" w:rsidRPr="00A81E31">
        <w:rPr>
          <w:rFonts w:ascii="Arial" w:hAnsi="Arial" w:cs="Arial"/>
        </w:rPr>
        <w:t xml:space="preserve">%), </w:t>
      </w:r>
      <w:r w:rsidR="005B1C2E">
        <w:rPr>
          <w:rFonts w:ascii="Arial" w:hAnsi="Arial" w:cs="Arial"/>
        </w:rPr>
        <w:t>prediabetes</w:t>
      </w:r>
      <w:r w:rsidR="00A81E31" w:rsidRPr="00A81E31">
        <w:rPr>
          <w:rFonts w:ascii="Arial" w:hAnsi="Arial" w:cs="Arial"/>
        </w:rPr>
        <w:t xml:space="preserve"> (</w:t>
      </w:r>
      <w:r w:rsidR="005B1C2E">
        <w:rPr>
          <w:rFonts w:ascii="Arial" w:hAnsi="Arial" w:cs="Arial"/>
        </w:rPr>
        <w:t>R73.0, 6</w:t>
      </w:r>
      <w:r w:rsidR="00A81E31" w:rsidRPr="00A81E31">
        <w:rPr>
          <w:rFonts w:ascii="Arial" w:hAnsi="Arial" w:cs="Arial"/>
        </w:rPr>
        <w:t xml:space="preserve">%), and </w:t>
      </w:r>
      <w:r w:rsidR="00126B48" w:rsidRPr="00A81E31">
        <w:rPr>
          <w:rFonts w:ascii="Arial" w:hAnsi="Arial" w:cs="Arial"/>
        </w:rPr>
        <w:t>low back pain (M54</w:t>
      </w:r>
      <w:r w:rsidR="00126B48">
        <w:rPr>
          <w:rFonts w:ascii="Arial" w:hAnsi="Arial" w:cs="Arial"/>
        </w:rPr>
        <w:t>.</w:t>
      </w:r>
      <w:r w:rsidR="00126B48" w:rsidRPr="00A81E31">
        <w:rPr>
          <w:rFonts w:ascii="Arial" w:hAnsi="Arial" w:cs="Arial"/>
        </w:rPr>
        <w:t xml:space="preserve">5, </w:t>
      </w:r>
      <w:r w:rsidR="00126B48">
        <w:rPr>
          <w:rFonts w:ascii="Arial" w:hAnsi="Arial" w:cs="Arial"/>
        </w:rPr>
        <w:t>5</w:t>
      </w:r>
      <w:r w:rsidR="00126B48" w:rsidRPr="00A81E31">
        <w:rPr>
          <w:rFonts w:ascii="Arial" w:hAnsi="Arial" w:cs="Arial"/>
        </w:rPr>
        <w:t>.</w:t>
      </w:r>
      <w:r w:rsidR="00126B48">
        <w:rPr>
          <w:rFonts w:ascii="Arial" w:hAnsi="Arial" w:cs="Arial"/>
        </w:rPr>
        <w:t>1</w:t>
      </w:r>
      <w:r w:rsidR="00126B48" w:rsidRPr="00A81E31">
        <w:rPr>
          <w:rFonts w:ascii="Arial" w:hAnsi="Arial" w:cs="Arial"/>
        </w:rPr>
        <w:t>%)</w:t>
      </w:r>
      <w:r w:rsidR="00A81E31" w:rsidRPr="00A81E31">
        <w:rPr>
          <w:rFonts w:ascii="Arial" w:hAnsi="Arial" w:cs="Arial"/>
        </w:rPr>
        <w:t xml:space="preserve">. </w:t>
      </w:r>
      <w:r w:rsidR="005B1C2E">
        <w:rPr>
          <w:rFonts w:ascii="Arial" w:hAnsi="Arial" w:cs="Arial"/>
        </w:rPr>
        <w:t xml:space="preserve">Both </w:t>
      </w:r>
      <w:r w:rsidR="00A81E31" w:rsidRPr="00A81E31">
        <w:rPr>
          <w:rFonts w:ascii="Arial" w:hAnsi="Arial" w:cs="Arial"/>
        </w:rPr>
        <w:t>group</w:t>
      </w:r>
      <w:r w:rsidR="005B1C2E">
        <w:rPr>
          <w:rFonts w:ascii="Arial" w:hAnsi="Arial" w:cs="Arial"/>
        </w:rPr>
        <w:t>s</w:t>
      </w:r>
      <w:r w:rsidR="00A81E31" w:rsidRPr="00A81E31">
        <w:rPr>
          <w:rFonts w:ascii="Arial" w:hAnsi="Arial" w:cs="Arial"/>
        </w:rPr>
        <w:t xml:space="preserve"> thus showed a convergence of metabolic, infectious, and musculoskeletal disorders.</w:t>
      </w:r>
      <w:r w:rsidR="005B1C2E">
        <w:rPr>
          <w:rFonts w:ascii="Arial" w:hAnsi="Arial" w:cs="Arial"/>
        </w:rPr>
        <w:t xml:space="preserve"> </w:t>
      </w:r>
      <w:r w:rsidR="00A81E31" w:rsidRPr="00A81E31">
        <w:rPr>
          <w:rFonts w:ascii="Arial" w:hAnsi="Arial" w:cs="Arial"/>
        </w:rPr>
        <w:t xml:space="preserve">In the 50–59 years age group, almost half of the patients (48.2%) had essential hypertension, followed by </w:t>
      </w:r>
      <w:r w:rsidR="005B1C2E">
        <w:rPr>
          <w:rFonts w:ascii="Arial" w:hAnsi="Arial" w:cs="Arial"/>
        </w:rPr>
        <w:t>dys</w:t>
      </w:r>
      <w:r w:rsidR="00A81E31" w:rsidRPr="00A81E31">
        <w:rPr>
          <w:rFonts w:ascii="Arial" w:hAnsi="Arial" w:cs="Arial"/>
        </w:rPr>
        <w:t>lipidaemia (</w:t>
      </w:r>
      <w:r w:rsidR="005B1C2E">
        <w:rPr>
          <w:rFonts w:ascii="Arial" w:hAnsi="Arial" w:cs="Arial"/>
        </w:rPr>
        <w:t>E78, 3</w:t>
      </w:r>
      <w:r w:rsidR="00A81E31" w:rsidRPr="00A81E31">
        <w:rPr>
          <w:rFonts w:ascii="Arial" w:hAnsi="Arial" w:cs="Arial"/>
        </w:rPr>
        <w:t>1</w:t>
      </w:r>
      <w:r w:rsidR="005B1C2E">
        <w:rPr>
          <w:rFonts w:ascii="Arial" w:hAnsi="Arial" w:cs="Arial"/>
        </w:rPr>
        <w:t>.3</w:t>
      </w:r>
      <w:r w:rsidR="00A81E31" w:rsidRPr="00A81E31">
        <w:rPr>
          <w:rFonts w:ascii="Arial" w:hAnsi="Arial" w:cs="Arial"/>
        </w:rPr>
        <w:t xml:space="preserve">%), </w:t>
      </w:r>
      <w:r w:rsidR="005B1C2E">
        <w:rPr>
          <w:rFonts w:ascii="Arial" w:hAnsi="Arial" w:cs="Arial"/>
        </w:rPr>
        <w:t>obesity (E66, 17.9%),</w:t>
      </w:r>
      <w:r w:rsidR="00D90A12">
        <w:rPr>
          <w:rFonts w:ascii="Arial" w:hAnsi="Arial" w:cs="Arial"/>
        </w:rPr>
        <w:t xml:space="preserve"> </w:t>
      </w:r>
      <w:r w:rsidR="00A81E31" w:rsidRPr="00A81E31">
        <w:rPr>
          <w:rFonts w:ascii="Arial" w:hAnsi="Arial" w:cs="Arial"/>
        </w:rPr>
        <w:lastRenderedPageBreak/>
        <w:t>COVID-19 infection (9.9%), and chronic kidney disease (9.3%). Additional</w:t>
      </w:r>
      <w:r w:rsidR="00D90A12">
        <w:rPr>
          <w:rFonts w:ascii="Arial" w:hAnsi="Arial" w:cs="Arial"/>
        </w:rPr>
        <w:t xml:space="preserve">, other </w:t>
      </w:r>
      <w:r w:rsidR="00A81E31" w:rsidRPr="00A81E31">
        <w:rPr>
          <w:rFonts w:ascii="Arial" w:hAnsi="Arial" w:cs="Arial"/>
        </w:rPr>
        <w:t xml:space="preserve">conditions included </w:t>
      </w:r>
      <w:r w:rsidR="00D90A12">
        <w:rPr>
          <w:rFonts w:ascii="Arial" w:hAnsi="Arial" w:cs="Arial"/>
        </w:rPr>
        <w:t>h</w:t>
      </w:r>
      <w:r w:rsidR="00D90A12" w:rsidRPr="00D90A12">
        <w:rPr>
          <w:rFonts w:ascii="Arial" w:hAnsi="Arial" w:cs="Arial"/>
        </w:rPr>
        <w:t>yperplasia of prostate</w:t>
      </w:r>
      <w:r w:rsidR="00D90A12">
        <w:rPr>
          <w:rFonts w:ascii="Arial" w:hAnsi="Arial" w:cs="Arial"/>
        </w:rPr>
        <w:t xml:space="preserve"> (6.7%)</w:t>
      </w:r>
      <w:r w:rsidR="00A81E31" w:rsidRPr="00A81E31">
        <w:rPr>
          <w:rFonts w:ascii="Arial" w:hAnsi="Arial" w:cs="Arial"/>
        </w:rPr>
        <w:t>, neuropathy</w:t>
      </w:r>
      <w:r w:rsidR="00D90A12">
        <w:rPr>
          <w:rFonts w:ascii="Arial" w:hAnsi="Arial" w:cs="Arial"/>
        </w:rPr>
        <w:t xml:space="preserve"> (such as d</w:t>
      </w:r>
      <w:r w:rsidR="00D90A12" w:rsidRPr="00D90A12">
        <w:rPr>
          <w:rFonts w:ascii="Arial" w:hAnsi="Arial" w:cs="Arial"/>
        </w:rPr>
        <w:t>iabetic mononeuropathy</w:t>
      </w:r>
      <w:r w:rsidR="00D90A12">
        <w:rPr>
          <w:rFonts w:ascii="Arial" w:hAnsi="Arial" w:cs="Arial"/>
        </w:rPr>
        <w:t>, 4.8%)</w:t>
      </w:r>
      <w:r w:rsidR="00A81E31" w:rsidRPr="00A81E31">
        <w:rPr>
          <w:rFonts w:ascii="Arial" w:hAnsi="Arial" w:cs="Arial"/>
        </w:rPr>
        <w:t xml:space="preserve">, </w:t>
      </w:r>
      <w:r w:rsidR="00D90A12">
        <w:rPr>
          <w:rFonts w:ascii="Arial" w:hAnsi="Arial" w:cs="Arial"/>
        </w:rPr>
        <w:t>v</w:t>
      </w:r>
      <w:r w:rsidR="00D90A12" w:rsidRPr="00D90A12">
        <w:rPr>
          <w:rFonts w:ascii="Arial" w:hAnsi="Arial" w:cs="Arial"/>
        </w:rPr>
        <w:t>enous insufficiency</w:t>
      </w:r>
      <w:r w:rsidR="00D90A12">
        <w:rPr>
          <w:rFonts w:ascii="Arial" w:hAnsi="Arial" w:cs="Arial"/>
        </w:rPr>
        <w:t xml:space="preserve"> (4.8%), </w:t>
      </w:r>
      <w:r w:rsidR="00A81E31" w:rsidRPr="00A81E31">
        <w:rPr>
          <w:rFonts w:ascii="Arial" w:hAnsi="Arial" w:cs="Arial"/>
        </w:rPr>
        <w:t>and upper respiratory infections</w:t>
      </w:r>
      <w:r w:rsidR="00D90A12">
        <w:rPr>
          <w:rFonts w:ascii="Arial" w:hAnsi="Arial" w:cs="Arial"/>
        </w:rPr>
        <w:t xml:space="preserve"> (a</w:t>
      </w:r>
      <w:r w:rsidR="00D90A12" w:rsidRPr="00DC0159">
        <w:rPr>
          <w:rFonts w:ascii="Arial" w:hAnsi="Arial" w:cs="Arial"/>
        </w:rPr>
        <w:t>cute pharyngitis</w:t>
      </w:r>
      <w:r w:rsidR="00A81E31" w:rsidRPr="00A81E31">
        <w:rPr>
          <w:rFonts w:ascii="Arial" w:hAnsi="Arial" w:cs="Arial"/>
        </w:rPr>
        <w:t>,</w:t>
      </w:r>
      <w:r w:rsidR="00D90A12">
        <w:rPr>
          <w:rFonts w:ascii="Arial" w:hAnsi="Arial" w:cs="Arial"/>
        </w:rPr>
        <w:t xml:space="preserve"> 4.8%)</w:t>
      </w:r>
      <w:r w:rsidR="00A81E31" w:rsidRPr="00A81E31">
        <w:rPr>
          <w:rFonts w:ascii="Arial" w:hAnsi="Arial" w:cs="Arial"/>
        </w:rPr>
        <w:t>.</w:t>
      </w:r>
    </w:p>
    <w:p w14:paraId="2702B7B0" w14:textId="77777777" w:rsidR="00A81E31" w:rsidRPr="00A81E31" w:rsidRDefault="00A81E31" w:rsidP="00A81E31">
      <w:pPr>
        <w:pStyle w:val="Body"/>
        <w:spacing w:after="0"/>
        <w:rPr>
          <w:rFonts w:ascii="Arial" w:hAnsi="Arial" w:cs="Arial"/>
        </w:rPr>
      </w:pPr>
    </w:p>
    <w:p w14:paraId="0EE303FD" w14:textId="77777777" w:rsidR="00C06D50" w:rsidRDefault="00A81E31" w:rsidP="00A81E31">
      <w:pPr>
        <w:pStyle w:val="Body"/>
        <w:spacing w:after="0"/>
        <w:rPr>
          <w:rFonts w:ascii="Arial" w:hAnsi="Arial" w:cs="Arial"/>
        </w:rPr>
      </w:pPr>
      <w:r w:rsidRPr="00A81E31">
        <w:rPr>
          <w:rFonts w:ascii="Arial" w:hAnsi="Arial" w:cs="Arial"/>
        </w:rPr>
        <w:t xml:space="preserve">The prevalence of hypertension rose sharply in </w:t>
      </w:r>
      <w:r w:rsidR="002116F5">
        <w:rPr>
          <w:rFonts w:ascii="Arial" w:hAnsi="Arial" w:cs="Arial"/>
        </w:rPr>
        <w:t>the sexagenarian population</w:t>
      </w:r>
      <w:r w:rsidRPr="00A81E31">
        <w:rPr>
          <w:rFonts w:ascii="Arial" w:hAnsi="Arial" w:cs="Arial"/>
        </w:rPr>
        <w:t xml:space="preserve">, affecting 62.4% of cases. Other frequent conditions included </w:t>
      </w:r>
      <w:r w:rsidR="002116F5">
        <w:rPr>
          <w:rFonts w:ascii="Arial" w:hAnsi="Arial" w:cs="Arial"/>
        </w:rPr>
        <w:t>dys</w:t>
      </w:r>
      <w:r w:rsidRPr="00A81E31">
        <w:rPr>
          <w:rFonts w:ascii="Arial" w:hAnsi="Arial" w:cs="Arial"/>
        </w:rPr>
        <w:t>lipidaemia (</w:t>
      </w:r>
      <w:r w:rsidR="002116F5">
        <w:rPr>
          <w:rFonts w:ascii="Arial" w:hAnsi="Arial" w:cs="Arial"/>
        </w:rPr>
        <w:t>24</w:t>
      </w:r>
      <w:r w:rsidRPr="00A81E31">
        <w:rPr>
          <w:rFonts w:ascii="Arial" w:hAnsi="Arial" w:cs="Arial"/>
        </w:rPr>
        <w:t>.</w:t>
      </w:r>
      <w:r w:rsidR="002116F5">
        <w:rPr>
          <w:rFonts w:ascii="Arial" w:hAnsi="Arial" w:cs="Arial"/>
        </w:rPr>
        <w:t>7</w:t>
      </w:r>
      <w:r w:rsidRPr="00A81E31">
        <w:rPr>
          <w:rFonts w:ascii="Arial" w:hAnsi="Arial" w:cs="Arial"/>
        </w:rPr>
        <w:t>%), obesity (</w:t>
      </w:r>
      <w:r w:rsidR="008A0896">
        <w:rPr>
          <w:rFonts w:ascii="Arial" w:hAnsi="Arial" w:cs="Arial"/>
        </w:rPr>
        <w:t>24</w:t>
      </w:r>
      <w:r w:rsidRPr="00A81E31">
        <w:rPr>
          <w:rFonts w:ascii="Arial" w:hAnsi="Arial" w:cs="Arial"/>
        </w:rPr>
        <w:t>.</w:t>
      </w:r>
      <w:r w:rsidR="008A0896">
        <w:rPr>
          <w:rFonts w:ascii="Arial" w:hAnsi="Arial" w:cs="Arial"/>
        </w:rPr>
        <w:t>5</w:t>
      </w:r>
      <w:r w:rsidRPr="00A81E31">
        <w:rPr>
          <w:rFonts w:ascii="Arial" w:hAnsi="Arial" w:cs="Arial"/>
        </w:rPr>
        <w:t xml:space="preserve">%), </w:t>
      </w:r>
      <w:r w:rsidR="008A0896">
        <w:rPr>
          <w:rFonts w:ascii="Arial" w:hAnsi="Arial" w:cs="Arial"/>
        </w:rPr>
        <w:t>h</w:t>
      </w:r>
      <w:r w:rsidR="008A0896" w:rsidRPr="00D90A12">
        <w:rPr>
          <w:rFonts w:ascii="Arial" w:hAnsi="Arial" w:cs="Arial"/>
        </w:rPr>
        <w:t>yperplasia of prostate</w:t>
      </w:r>
      <w:r w:rsidR="008A0896">
        <w:rPr>
          <w:rFonts w:ascii="Arial" w:hAnsi="Arial" w:cs="Arial"/>
        </w:rPr>
        <w:t xml:space="preserve"> </w:t>
      </w:r>
      <w:r w:rsidRPr="00A81E31">
        <w:rPr>
          <w:rFonts w:ascii="Arial" w:hAnsi="Arial" w:cs="Arial"/>
        </w:rPr>
        <w:t>(12.7%), chronic kidney disease (10.8%), chronic venous insufficiency</w:t>
      </w:r>
      <w:r w:rsidR="003A4785">
        <w:rPr>
          <w:rFonts w:ascii="Arial" w:hAnsi="Arial" w:cs="Arial"/>
        </w:rPr>
        <w:t xml:space="preserve"> (6.7%)</w:t>
      </w:r>
      <w:r w:rsidRPr="00A81E31">
        <w:rPr>
          <w:rFonts w:ascii="Arial" w:hAnsi="Arial" w:cs="Arial"/>
        </w:rPr>
        <w:t xml:space="preserve">, </w:t>
      </w:r>
      <w:r w:rsidR="003A4785">
        <w:rPr>
          <w:rFonts w:ascii="Arial" w:hAnsi="Arial" w:cs="Arial"/>
        </w:rPr>
        <w:t>c</w:t>
      </w:r>
      <w:r w:rsidR="003A4785" w:rsidRPr="003A4785">
        <w:rPr>
          <w:rFonts w:ascii="Arial" w:hAnsi="Arial" w:cs="Arial"/>
        </w:rPr>
        <w:t>hronic ischaemic heart disease</w:t>
      </w:r>
      <w:r w:rsidR="003A4785">
        <w:rPr>
          <w:rFonts w:ascii="Arial" w:hAnsi="Arial" w:cs="Arial"/>
        </w:rPr>
        <w:t xml:space="preserve"> (6.5%), and acute pharyngitis (5.7%)</w:t>
      </w:r>
      <w:r w:rsidRPr="00A81E31">
        <w:rPr>
          <w:rFonts w:ascii="Arial" w:hAnsi="Arial" w:cs="Arial"/>
        </w:rPr>
        <w:t>. This reflects the accumulation of cardiovascular and renal complications with advancing age.</w:t>
      </w:r>
      <w:r w:rsidR="003A4785">
        <w:rPr>
          <w:rFonts w:ascii="Arial" w:hAnsi="Arial" w:cs="Arial"/>
        </w:rPr>
        <w:t xml:space="preserve"> </w:t>
      </w:r>
      <w:r w:rsidR="009B2B13" w:rsidRPr="009B2B13">
        <w:rPr>
          <w:rFonts w:ascii="Arial" w:hAnsi="Arial" w:cs="Arial"/>
        </w:rPr>
        <w:t>Other recorded codes included preventive outpatient consultations, such as routine dental examinations (4.7%), as well as convalescence following surgery (4.7%).</w:t>
      </w:r>
      <w:r w:rsidR="00CC156D">
        <w:rPr>
          <w:rFonts w:ascii="Arial" w:hAnsi="Arial" w:cs="Arial"/>
        </w:rPr>
        <w:t xml:space="preserve"> </w:t>
      </w:r>
      <w:r w:rsidR="00CC156D" w:rsidRPr="00CC156D">
        <w:rPr>
          <w:rFonts w:ascii="Arial" w:hAnsi="Arial" w:cs="Arial"/>
        </w:rPr>
        <w:t>In the septuagenarian population, hypertension reached 68.6%, followed by hyperplasia of prostate (20.6%), dyslipidaemia (18.9%), obesity (15%), and chronic kidney disease (10.5%). Cardiovascular comorbidities (including hypertensive heart disease without heart failure [I11.9, 7.9%], and chronic ischaemic heart disease [7.6%]) and vascular diseases like venous insufficiency (6.5%) were also prevalent, as were chronic respiratory conditions such as chronic obstructive pulmonary disease (5.4%), acute pharyngitis (5.1%) and malignant neoplasm of prostate (4.8%).</w:t>
      </w:r>
      <w:r w:rsidR="00C06D50">
        <w:rPr>
          <w:rFonts w:ascii="Arial" w:hAnsi="Arial" w:cs="Arial"/>
        </w:rPr>
        <w:t xml:space="preserve"> </w:t>
      </w:r>
      <w:r w:rsidR="00C06D50" w:rsidRPr="00C06D50">
        <w:rPr>
          <w:rFonts w:ascii="Arial" w:hAnsi="Arial" w:cs="Arial"/>
        </w:rPr>
        <w:t>In the octogenarian subjects, hypertension remained the dominant comorbidity (77.5%), accompanied by prostatic disease (21%), dyslipidaemia (15.9%), chronic obstructive pulmonary disease (11.6%), chronic kidney disease (10.1%), venous insufficiency (8.7%), glaucoma (5.8%), and osteoarthritic conditions (</w:t>
      </w:r>
      <w:proofErr w:type="spellStart"/>
      <w:r w:rsidR="00C06D50" w:rsidRPr="00C06D50">
        <w:rPr>
          <w:rFonts w:ascii="Arial" w:hAnsi="Arial" w:cs="Arial"/>
        </w:rPr>
        <w:t>gonarthrosis</w:t>
      </w:r>
      <w:proofErr w:type="spellEnd"/>
      <w:r w:rsidR="00C06D50" w:rsidRPr="00C06D50">
        <w:rPr>
          <w:rFonts w:ascii="Arial" w:hAnsi="Arial" w:cs="Arial"/>
        </w:rPr>
        <w:t>, 5.8%), indicating progressive multi-morbidity.</w:t>
      </w:r>
    </w:p>
    <w:p w14:paraId="32DDD2D7" w14:textId="77777777" w:rsidR="00C06D50" w:rsidRDefault="00C06D50" w:rsidP="00A81E31">
      <w:pPr>
        <w:pStyle w:val="Body"/>
        <w:spacing w:after="0"/>
        <w:rPr>
          <w:rFonts w:ascii="Arial" w:hAnsi="Arial" w:cs="Arial"/>
        </w:rPr>
      </w:pPr>
    </w:p>
    <w:p w14:paraId="07FE2D45" w14:textId="6F68AC7F" w:rsidR="00A81E31" w:rsidRDefault="002C1728" w:rsidP="002C1728">
      <w:pPr>
        <w:pStyle w:val="Body"/>
        <w:spacing w:after="0"/>
        <w:rPr>
          <w:rFonts w:ascii="Arial" w:hAnsi="Arial" w:cs="Arial"/>
        </w:rPr>
      </w:pPr>
      <w:r w:rsidRPr="002C1728">
        <w:rPr>
          <w:rFonts w:ascii="Arial" w:hAnsi="Arial" w:cs="Arial"/>
        </w:rPr>
        <w:t>Among nonagenarians, the prevalence of hypertension reached 77.8%. Chronic obstructive pulmonary disease affected 38.9%, while malignant neoplasm of prostate, Parkinson’s disease, sleep disorders, chronic kidney disease, and hyperplasia of prostate each occurred in 16.7%. Additional diagnoses included thrombocytopenia (11.1%) and mixed anxiety and depressive disorder</w:t>
      </w:r>
      <w:r>
        <w:rPr>
          <w:rFonts w:ascii="Arial" w:hAnsi="Arial" w:cs="Arial"/>
        </w:rPr>
        <w:t xml:space="preserve"> </w:t>
      </w:r>
      <w:r w:rsidRPr="002C1728">
        <w:rPr>
          <w:rFonts w:ascii="Arial" w:hAnsi="Arial" w:cs="Arial"/>
        </w:rPr>
        <w:t xml:space="preserve">(11.1%), suggesting a diverse but concentrated burden of chronic and degenerative conditions. In the only centenarian patient, we observed six comorbidities, including </w:t>
      </w:r>
      <w:proofErr w:type="spellStart"/>
      <w:r w:rsidRPr="002C1728">
        <w:rPr>
          <w:rFonts w:ascii="Arial" w:hAnsi="Arial" w:cs="Arial"/>
        </w:rPr>
        <w:t>herpesviral</w:t>
      </w:r>
      <w:proofErr w:type="spellEnd"/>
      <w:r w:rsidRPr="002C1728">
        <w:rPr>
          <w:rFonts w:ascii="Arial" w:hAnsi="Arial" w:cs="Arial"/>
        </w:rPr>
        <w:t xml:space="preserve"> vesicular dermatitis, cardiovascular diseases, chronic gastritis, and seborrhoeic keratosis, reflecting the heterogeneity of comorbidities at extreme ages.</w:t>
      </w:r>
    </w:p>
    <w:p w14:paraId="19909753" w14:textId="77777777" w:rsidR="00C81973" w:rsidRPr="00B70E52" w:rsidRDefault="00C81973" w:rsidP="00C81973">
      <w:pPr>
        <w:pStyle w:val="Body"/>
        <w:spacing w:after="0"/>
        <w:rPr>
          <w:rFonts w:ascii="Arial" w:hAnsi="Arial" w:cs="Arial"/>
        </w:rPr>
      </w:pPr>
    </w:p>
    <w:p w14:paraId="5B0A018D" w14:textId="3B4DBEB9" w:rsidR="00C81973" w:rsidRPr="0054404D" w:rsidRDefault="00C81973" w:rsidP="00C81973">
      <w:pPr>
        <w:pStyle w:val="Body"/>
        <w:spacing w:after="0"/>
        <w:rPr>
          <w:rFonts w:ascii="Arial" w:hAnsi="Arial" w:cs="Arial"/>
          <w:b/>
          <w:sz w:val="22"/>
        </w:rPr>
      </w:pPr>
      <w:r w:rsidRPr="0054404D">
        <w:rPr>
          <w:rFonts w:ascii="Arial" w:hAnsi="Arial" w:cs="Arial"/>
          <w:b/>
          <w:caps/>
          <w:sz w:val="22"/>
        </w:rPr>
        <w:t>3.</w:t>
      </w:r>
      <w:r w:rsidR="001E7A36">
        <w:rPr>
          <w:rFonts w:ascii="Arial" w:hAnsi="Arial" w:cs="Arial"/>
          <w:b/>
          <w:caps/>
          <w:sz w:val="22"/>
        </w:rPr>
        <w:t>6</w:t>
      </w:r>
      <w:r>
        <w:rPr>
          <w:rFonts w:ascii="Arial" w:hAnsi="Arial" w:cs="Arial"/>
          <w:b/>
          <w:caps/>
          <w:sz w:val="22"/>
        </w:rPr>
        <w:t xml:space="preserve"> </w:t>
      </w:r>
      <w:r w:rsidRPr="0054404D">
        <w:rPr>
          <w:rFonts w:ascii="Arial" w:hAnsi="Arial" w:cs="Arial"/>
          <w:b/>
          <w:sz w:val="22"/>
        </w:rPr>
        <w:t>Discussion.</w:t>
      </w:r>
    </w:p>
    <w:p w14:paraId="22DFBAA7" w14:textId="77777777" w:rsidR="00A25086" w:rsidRDefault="00A25086" w:rsidP="00C81973">
      <w:pPr>
        <w:pStyle w:val="Body"/>
        <w:spacing w:after="0"/>
        <w:rPr>
          <w:rFonts w:ascii="Arial" w:hAnsi="Arial" w:cs="Arial"/>
        </w:rPr>
      </w:pPr>
    </w:p>
    <w:p w14:paraId="6C126FD1" w14:textId="70CB45CC" w:rsidR="0016721E" w:rsidRDefault="004F58EF" w:rsidP="0070700F">
      <w:pPr>
        <w:pStyle w:val="Body"/>
        <w:spacing w:after="0"/>
        <w:rPr>
          <w:rFonts w:ascii="Arial" w:hAnsi="Arial" w:cs="Arial"/>
        </w:rPr>
      </w:pPr>
      <w:r w:rsidRPr="004F58EF">
        <w:rPr>
          <w:rFonts w:ascii="Arial" w:hAnsi="Arial" w:cs="Arial"/>
        </w:rPr>
        <w:t>It is well established that, among patients with diabetes, the prevalence of comorbidities increases significantly with age, with older individuals experiencing a higher burden of associated conditions</w:t>
      </w:r>
      <w:r w:rsidR="00A57799">
        <w:rPr>
          <w:rFonts w:ascii="Arial" w:hAnsi="Arial" w:cs="Arial"/>
        </w:rPr>
        <w:t xml:space="preserve"> (</w:t>
      </w:r>
      <w:r w:rsidR="00A57799" w:rsidRPr="00A57799">
        <w:rPr>
          <w:rFonts w:ascii="Arial" w:hAnsi="Arial" w:cs="Arial"/>
        </w:rPr>
        <w:t xml:space="preserve">Orlando, </w:t>
      </w:r>
      <w:r w:rsidR="00A57799">
        <w:rPr>
          <w:rFonts w:ascii="Arial" w:hAnsi="Arial" w:cs="Arial"/>
        </w:rPr>
        <w:t xml:space="preserve">et al., </w:t>
      </w:r>
      <w:r w:rsidR="00A57799" w:rsidRPr="00A57799">
        <w:rPr>
          <w:rFonts w:ascii="Arial" w:hAnsi="Arial" w:cs="Arial"/>
        </w:rPr>
        <w:t>2020</w:t>
      </w:r>
      <w:r w:rsidR="00A57799">
        <w:rPr>
          <w:rFonts w:ascii="Arial" w:hAnsi="Arial" w:cs="Arial"/>
        </w:rPr>
        <w:t xml:space="preserve">; </w:t>
      </w:r>
      <w:r w:rsidR="00A57799" w:rsidRPr="00A57799">
        <w:rPr>
          <w:rFonts w:ascii="Arial" w:hAnsi="Arial" w:cs="Arial"/>
        </w:rPr>
        <w:t>Pearson-</w:t>
      </w:r>
      <w:proofErr w:type="spellStart"/>
      <w:r w:rsidR="00A57799" w:rsidRPr="00A57799">
        <w:rPr>
          <w:rFonts w:ascii="Arial" w:hAnsi="Arial" w:cs="Arial"/>
        </w:rPr>
        <w:t>Stuttard</w:t>
      </w:r>
      <w:proofErr w:type="spellEnd"/>
      <w:r w:rsidR="00A57799" w:rsidRPr="00A57799">
        <w:rPr>
          <w:rFonts w:ascii="Arial" w:hAnsi="Arial" w:cs="Arial"/>
        </w:rPr>
        <w:t xml:space="preserve">, </w:t>
      </w:r>
      <w:r w:rsidR="00A57799">
        <w:rPr>
          <w:rFonts w:ascii="Arial" w:hAnsi="Arial" w:cs="Arial"/>
        </w:rPr>
        <w:t xml:space="preserve">et al., </w:t>
      </w:r>
      <w:r w:rsidR="00A57799" w:rsidRPr="00A57799">
        <w:rPr>
          <w:rFonts w:ascii="Arial" w:hAnsi="Arial" w:cs="Arial"/>
        </w:rPr>
        <w:t>2022)</w:t>
      </w:r>
      <w:r w:rsidR="00A57799">
        <w:rPr>
          <w:rFonts w:ascii="Arial" w:hAnsi="Arial" w:cs="Arial"/>
        </w:rPr>
        <w:t>.</w:t>
      </w:r>
      <w:r w:rsidR="00A57799" w:rsidRPr="00A57799">
        <w:rPr>
          <w:rFonts w:ascii="Arial" w:hAnsi="Arial" w:cs="Arial"/>
        </w:rPr>
        <w:t xml:space="preserve"> The most common comorbidities found in </w:t>
      </w:r>
      <w:r w:rsidR="00087268">
        <w:rPr>
          <w:rFonts w:ascii="Arial" w:hAnsi="Arial" w:cs="Arial"/>
        </w:rPr>
        <w:t xml:space="preserve">this </w:t>
      </w:r>
      <w:r w:rsidR="00A57799" w:rsidRPr="00A57799">
        <w:rPr>
          <w:rFonts w:ascii="Arial" w:hAnsi="Arial" w:cs="Arial"/>
        </w:rPr>
        <w:t>populations are hypertension, hyperlipidaemia, chronic kidney disease, obesity, and cardiovascular diseases (</w:t>
      </w:r>
      <w:proofErr w:type="spellStart"/>
      <w:r w:rsidR="00A57799" w:rsidRPr="00A57799">
        <w:rPr>
          <w:rFonts w:ascii="Arial" w:hAnsi="Arial" w:cs="Arial"/>
        </w:rPr>
        <w:t>Iglay</w:t>
      </w:r>
      <w:proofErr w:type="spellEnd"/>
      <w:r w:rsidR="00A57799">
        <w:rPr>
          <w:rFonts w:ascii="Arial" w:hAnsi="Arial" w:cs="Arial"/>
        </w:rPr>
        <w:t>,</w:t>
      </w:r>
      <w:r w:rsidR="00A57799" w:rsidRPr="00A57799">
        <w:rPr>
          <w:rFonts w:ascii="Arial" w:hAnsi="Arial" w:cs="Arial"/>
        </w:rPr>
        <w:t xml:space="preserve"> et al., 2016</w:t>
      </w:r>
      <w:r w:rsidR="00A57799">
        <w:rPr>
          <w:rFonts w:ascii="Arial" w:hAnsi="Arial" w:cs="Arial"/>
        </w:rPr>
        <w:t xml:space="preserve">; </w:t>
      </w:r>
      <w:r w:rsidR="00A57799" w:rsidRPr="00A57799">
        <w:rPr>
          <w:rFonts w:ascii="Arial" w:hAnsi="Arial" w:cs="Arial"/>
        </w:rPr>
        <w:t xml:space="preserve">Yen, </w:t>
      </w:r>
      <w:r w:rsidR="00A57799">
        <w:rPr>
          <w:rFonts w:ascii="Arial" w:hAnsi="Arial" w:cs="Arial"/>
        </w:rPr>
        <w:t xml:space="preserve">et al., </w:t>
      </w:r>
      <w:r w:rsidR="00A57799" w:rsidRPr="00A57799">
        <w:rPr>
          <w:rFonts w:ascii="Arial" w:hAnsi="Arial" w:cs="Arial"/>
        </w:rPr>
        <w:t>2023)</w:t>
      </w:r>
      <w:r w:rsidR="00087268">
        <w:rPr>
          <w:rFonts w:ascii="Arial" w:hAnsi="Arial" w:cs="Arial"/>
        </w:rPr>
        <w:t>, similarly to our findings</w:t>
      </w:r>
      <w:r w:rsidR="00A57799" w:rsidRPr="00A57799">
        <w:rPr>
          <w:rFonts w:ascii="Arial" w:hAnsi="Arial" w:cs="Arial"/>
        </w:rPr>
        <w:t>.</w:t>
      </w:r>
      <w:r w:rsidR="00087268">
        <w:rPr>
          <w:rFonts w:ascii="Arial" w:hAnsi="Arial" w:cs="Arial"/>
        </w:rPr>
        <w:t xml:space="preserve"> However, i</w:t>
      </w:r>
      <w:r w:rsidR="0070700F">
        <w:rPr>
          <w:rFonts w:ascii="Arial" w:hAnsi="Arial" w:cs="Arial"/>
        </w:rPr>
        <w:t>n our study population, the</w:t>
      </w:r>
      <w:r w:rsidR="0070700F" w:rsidRPr="0070700F">
        <w:rPr>
          <w:rFonts w:ascii="Arial" w:hAnsi="Arial" w:cs="Arial"/>
        </w:rPr>
        <w:t xml:space="preserve"> results describe a trajectory of multimorbidity that begins early in life and intensifies with age, with consistent sex-related differences. </w:t>
      </w:r>
      <w:r w:rsidR="00917E30" w:rsidRPr="00917E30">
        <w:rPr>
          <w:rFonts w:ascii="Arial" w:hAnsi="Arial" w:cs="Arial"/>
        </w:rPr>
        <w:t>In Italy, the prevalence of type 2 diabetes (T2D) was estimated at 6.2% of the general population in 2018, with approximately 67% of cases occurring in individuals aged ≥65 years (ARNO Diabetes Observatory, 2019; Orlando et al., 2020). In contrast, Mexico reported a markedly higher overall prevalence of diabetes in 2022, reaching 18.3% (12.6% diagnosed and 5.8% undiagnosed), along with a 22.1% prevalence of prediabetes among adults aged ≥20 years (Basto-Abreu et al., 2023). The prevalence in Mexico rises substantially with age, from 6.1% among those aged 20–39 years, to 22.5% in the 40–59 years group, and up to 37% in individuals aged ≥60 years.</w:t>
      </w:r>
      <w:r w:rsidR="0015740D">
        <w:rPr>
          <w:rFonts w:ascii="Arial" w:hAnsi="Arial" w:cs="Arial"/>
        </w:rPr>
        <w:t xml:space="preserve"> </w:t>
      </w:r>
    </w:p>
    <w:p w14:paraId="5FB8C0AE" w14:textId="77777777" w:rsidR="0016721E" w:rsidRDefault="0016721E" w:rsidP="0070700F">
      <w:pPr>
        <w:pStyle w:val="Body"/>
        <w:spacing w:after="0"/>
        <w:rPr>
          <w:rFonts w:ascii="Arial" w:hAnsi="Arial" w:cs="Arial"/>
        </w:rPr>
      </w:pPr>
    </w:p>
    <w:p w14:paraId="7673248F" w14:textId="1ABC67AE" w:rsidR="0016721E" w:rsidRDefault="0000370F" w:rsidP="0070700F">
      <w:pPr>
        <w:pStyle w:val="Body"/>
        <w:spacing w:after="0"/>
        <w:rPr>
          <w:rFonts w:ascii="Arial" w:hAnsi="Arial" w:cs="Arial"/>
        </w:rPr>
      </w:pPr>
      <w:r w:rsidRPr="0000370F">
        <w:rPr>
          <w:rFonts w:ascii="Arial" w:hAnsi="Arial" w:cs="Arial"/>
        </w:rPr>
        <w:t xml:space="preserve">In our study, the overall prevalence was consistently lower than the national figures, reaching 3.08% in individuals aged 20–39 years, 18.11% in the 40–59 years group, and 31.98% in those aged ≥60 years. Although the absolute values differ, both datasets reveal the same </w:t>
      </w:r>
      <w:r w:rsidRPr="0000370F">
        <w:rPr>
          <w:rFonts w:ascii="Arial" w:hAnsi="Arial" w:cs="Arial"/>
        </w:rPr>
        <w:lastRenderedPageBreak/>
        <w:t xml:space="preserve">upward trajectory with advancing age. When stratified by sex, additional contrasts are evident. Among younger adults (20–39 years), the gap was larger in </w:t>
      </w:r>
      <w:r>
        <w:rPr>
          <w:rFonts w:ascii="Arial" w:hAnsi="Arial" w:cs="Arial"/>
        </w:rPr>
        <w:t>females</w:t>
      </w:r>
      <w:r w:rsidRPr="0000370F">
        <w:rPr>
          <w:rFonts w:ascii="Arial" w:hAnsi="Arial" w:cs="Arial"/>
        </w:rPr>
        <w:t xml:space="preserve"> (2.88% vs. 6.1%) than in m</w:t>
      </w:r>
      <w:r>
        <w:rPr>
          <w:rFonts w:ascii="Arial" w:hAnsi="Arial" w:cs="Arial"/>
        </w:rPr>
        <w:t>ales</w:t>
      </w:r>
      <w:r w:rsidRPr="0000370F">
        <w:rPr>
          <w:rFonts w:ascii="Arial" w:hAnsi="Arial" w:cs="Arial"/>
        </w:rPr>
        <w:t xml:space="preserve"> (3.49% vs. 6.1%). In the 40–59 years group, </w:t>
      </w:r>
      <w:r>
        <w:rPr>
          <w:rFonts w:ascii="Arial" w:hAnsi="Arial" w:cs="Arial"/>
        </w:rPr>
        <w:t>females</w:t>
      </w:r>
      <w:r w:rsidRPr="0000370F">
        <w:rPr>
          <w:rFonts w:ascii="Arial" w:hAnsi="Arial" w:cs="Arial"/>
        </w:rPr>
        <w:t xml:space="preserve"> again showed lower prevalence (16.31% vs. 22.5%), while m</w:t>
      </w:r>
      <w:r>
        <w:rPr>
          <w:rFonts w:ascii="Arial" w:hAnsi="Arial" w:cs="Arial"/>
        </w:rPr>
        <w:t>al</w:t>
      </w:r>
      <w:r w:rsidRPr="0000370F">
        <w:rPr>
          <w:rFonts w:ascii="Arial" w:hAnsi="Arial" w:cs="Arial"/>
        </w:rPr>
        <w:t>e</w:t>
      </w:r>
      <w:r>
        <w:rPr>
          <w:rFonts w:ascii="Arial" w:hAnsi="Arial" w:cs="Arial"/>
        </w:rPr>
        <w:t>s</w:t>
      </w:r>
      <w:r w:rsidRPr="0000370F">
        <w:rPr>
          <w:rFonts w:ascii="Arial" w:hAnsi="Arial" w:cs="Arial"/>
        </w:rPr>
        <w:t xml:space="preserve"> displayed almost identical estimates to the national level (21.88% vs. 22.5%). Among </w:t>
      </w:r>
      <w:r w:rsidR="007E5CEF">
        <w:rPr>
          <w:rFonts w:ascii="Arial" w:hAnsi="Arial" w:cs="Arial"/>
        </w:rPr>
        <w:t xml:space="preserve">the </w:t>
      </w:r>
      <w:r>
        <w:rPr>
          <w:rFonts w:ascii="Arial" w:hAnsi="Arial" w:cs="Arial"/>
        </w:rPr>
        <w:t>elderly population</w:t>
      </w:r>
      <w:r w:rsidRPr="0000370F">
        <w:rPr>
          <w:rFonts w:ascii="Arial" w:hAnsi="Arial" w:cs="Arial"/>
        </w:rPr>
        <w:t xml:space="preserve"> (≥60 years), the disparity remained, though the gap was narrower in m</w:t>
      </w:r>
      <w:r>
        <w:rPr>
          <w:rFonts w:ascii="Arial" w:hAnsi="Arial" w:cs="Arial"/>
        </w:rPr>
        <w:t>ales</w:t>
      </w:r>
      <w:r w:rsidRPr="0000370F">
        <w:rPr>
          <w:rFonts w:ascii="Arial" w:hAnsi="Arial" w:cs="Arial"/>
        </w:rPr>
        <w:t xml:space="preserve"> (34.64% vs. 37.0%) compared with </w:t>
      </w:r>
      <w:r>
        <w:rPr>
          <w:rFonts w:ascii="Arial" w:hAnsi="Arial" w:cs="Arial"/>
        </w:rPr>
        <w:t>females</w:t>
      </w:r>
      <w:r w:rsidRPr="0000370F">
        <w:rPr>
          <w:rFonts w:ascii="Arial" w:hAnsi="Arial" w:cs="Arial"/>
        </w:rPr>
        <w:t xml:space="preserve"> (30.27% vs. 37.0%). These findings underscore the importance of incorporating sex-specific perspectives in epidemiological surveillance and in the development of public health policies aimed at reducing the differential burden of disease.</w:t>
      </w:r>
    </w:p>
    <w:p w14:paraId="6CBC53C3" w14:textId="77777777" w:rsidR="0016721E" w:rsidRDefault="0016721E" w:rsidP="0070700F">
      <w:pPr>
        <w:pStyle w:val="Body"/>
        <w:spacing w:after="0"/>
        <w:rPr>
          <w:rFonts w:ascii="Arial" w:hAnsi="Arial" w:cs="Arial"/>
        </w:rPr>
      </w:pPr>
    </w:p>
    <w:p w14:paraId="1383BD3B" w14:textId="2FAE3FCF" w:rsidR="0016721E" w:rsidRDefault="00D66DAF" w:rsidP="0070700F">
      <w:pPr>
        <w:pStyle w:val="Body"/>
        <w:spacing w:after="0"/>
        <w:rPr>
          <w:rFonts w:ascii="Arial" w:hAnsi="Arial" w:cs="Arial"/>
        </w:rPr>
      </w:pPr>
      <w:r w:rsidRPr="00D66DAF">
        <w:rPr>
          <w:rFonts w:ascii="Arial" w:hAnsi="Arial" w:cs="Arial"/>
        </w:rPr>
        <w:t>In comparison with the Global Burden of Disease Study 2021 (GBD 2021), our overall prevalence of diabetes (19.85%; 22.17% in males and 18.48% in females) was markedly higher than the global age-standardised prevalence of 6.1% (6.5% in males and 5.8% in females) and above most regional estimates, including eastern sub-Saharan Africa (2.9%), North Africa and the Middle East (9.3%), and Oceania (12.3%), as well as the majority of country-specific rates in these regions</w:t>
      </w:r>
      <w:r>
        <w:rPr>
          <w:rFonts w:ascii="Arial" w:hAnsi="Arial" w:cs="Arial"/>
        </w:rPr>
        <w:t xml:space="preserve"> (</w:t>
      </w:r>
      <w:r w:rsidRPr="00D66DAF">
        <w:rPr>
          <w:rFonts w:ascii="Arial" w:hAnsi="Arial" w:cs="Arial"/>
        </w:rPr>
        <w:t>Global</w:t>
      </w:r>
      <w:r>
        <w:rPr>
          <w:rFonts w:ascii="Arial" w:hAnsi="Arial" w:cs="Arial"/>
        </w:rPr>
        <w:t xml:space="preserve"> </w:t>
      </w:r>
      <w:r w:rsidRPr="00D66DAF">
        <w:rPr>
          <w:rFonts w:ascii="Arial" w:hAnsi="Arial" w:cs="Arial"/>
        </w:rPr>
        <w:t>Burden of Disease Study 2021</w:t>
      </w:r>
      <w:r>
        <w:rPr>
          <w:rFonts w:ascii="Arial" w:hAnsi="Arial" w:cs="Arial"/>
        </w:rPr>
        <w:t>, GBD-2021, 2023)</w:t>
      </w:r>
      <w:r w:rsidRPr="00D66DAF">
        <w:rPr>
          <w:rFonts w:ascii="Arial" w:hAnsi="Arial" w:cs="Arial"/>
        </w:rPr>
        <w:t>.</w:t>
      </w:r>
      <w:r w:rsidR="00FA3677">
        <w:rPr>
          <w:rFonts w:ascii="Arial" w:hAnsi="Arial" w:cs="Arial"/>
        </w:rPr>
        <w:t xml:space="preserve"> </w:t>
      </w:r>
      <w:r w:rsidR="00FA3677" w:rsidRPr="00FA3677">
        <w:rPr>
          <w:rFonts w:ascii="Arial" w:hAnsi="Arial" w:cs="Arial"/>
        </w:rPr>
        <w:t>The total diabetes prevalence observed in our population was higher than the age-standardised estimates reported for several countries, including Iraq (15.3%; 14.3–16.2), Kuwait (15.2%; 14.1–16.3), Qatar (15.1%; 14.0–16.2), Bahrain (15.0%; 14.1–15.8), Afghanistan (14.6%; 13.5–15.5), Morocco (13.8%; 12.7–14.7), Jordan (13.5%; 12.6–14.5), Saudi Arabia (11.3%; 10.6–12.0), Lebanon (11.1%; 10.3–11.8), Libya (10.6%; 9.9–11.6), and Algeria (10.0%; 9.3–10.7). However, it remained lower than the high prevalence reported in the Marshall Islands (22.2%; 20.7–23.9) and American Samoa (21.4%; 19.9–22.7)</w:t>
      </w:r>
      <w:r w:rsidR="00FA3677">
        <w:rPr>
          <w:rFonts w:ascii="Arial" w:hAnsi="Arial" w:cs="Arial"/>
        </w:rPr>
        <w:t xml:space="preserve"> (GBD-2021, 2023)</w:t>
      </w:r>
      <w:r w:rsidR="00FA3677" w:rsidRPr="00FA3677">
        <w:rPr>
          <w:rFonts w:ascii="Arial" w:hAnsi="Arial" w:cs="Arial"/>
        </w:rPr>
        <w:t>.</w:t>
      </w:r>
      <w:r w:rsidR="00CA0946">
        <w:rPr>
          <w:rFonts w:ascii="Arial" w:hAnsi="Arial" w:cs="Arial"/>
        </w:rPr>
        <w:t xml:space="preserve"> </w:t>
      </w:r>
      <w:r w:rsidR="00CA0946" w:rsidRPr="00CA0946">
        <w:rPr>
          <w:rFonts w:ascii="Arial" w:hAnsi="Arial" w:cs="Arial"/>
        </w:rPr>
        <w:t>Furthermore, the global age-standardised total prevalence of diabetes was higher in males than in females, with a male-to-female sex ratio of 1.14 (1.13–1.15). In our study population, this difference was even more evident, with a male-to-female ratio of 1.2, reflecting a slightly stronger male predominance than observed globally.</w:t>
      </w:r>
      <w:r w:rsidR="00D87492" w:rsidRPr="00D87492">
        <w:t xml:space="preserve"> </w:t>
      </w:r>
      <w:r w:rsidR="00D87492" w:rsidRPr="00D87492">
        <w:rPr>
          <w:rFonts w:ascii="Arial" w:hAnsi="Arial" w:cs="Arial"/>
        </w:rPr>
        <w:t>Furthermore, the age-specific prevalence of diabetes in the GBD Study 2021 reached a peak of 24.4% among individuals aged 75–79 years. The highest regional prevalence was observed in North Africa and the Middle East at 39.4% (36.3–42.3), while the lowest was found in Central Europe, Eastern Europe, and Central Asia at 19.8% (18.3–21.6). Oceania recorded the highest regional prevalence worldwide at 43.0% (40.7–45.9), with Qatar reaching an extreme prevalence of 76.1% (73.1–79.5) in the same age group. In comparison, the prevalence in our population is 36.3%, which substantially exceeds the global average, aligns with regions having the highest prevalence, yet remains well below the extreme case seen in Qatar. This underscores a significant local burden of diabetes among older adults, emphasising the urgent need for effective prevention, early detection, and comprehensive management strategies to reduce complications and healthcare demands.</w:t>
      </w:r>
    </w:p>
    <w:p w14:paraId="534D4455" w14:textId="77777777" w:rsidR="00D66DAF" w:rsidRDefault="00D66DAF" w:rsidP="0070700F">
      <w:pPr>
        <w:pStyle w:val="Body"/>
        <w:spacing w:after="0"/>
        <w:rPr>
          <w:rFonts w:ascii="Arial" w:hAnsi="Arial" w:cs="Arial"/>
        </w:rPr>
      </w:pPr>
    </w:p>
    <w:p w14:paraId="661B6B97" w14:textId="7F9203C0" w:rsidR="0070700F" w:rsidRPr="0070700F" w:rsidRDefault="00D87492" w:rsidP="0070700F">
      <w:pPr>
        <w:pStyle w:val="Body"/>
        <w:spacing w:after="0"/>
        <w:rPr>
          <w:rFonts w:ascii="Arial" w:hAnsi="Arial" w:cs="Arial"/>
        </w:rPr>
      </w:pPr>
      <w:r>
        <w:rPr>
          <w:rFonts w:ascii="Arial" w:hAnsi="Arial" w:cs="Arial"/>
        </w:rPr>
        <w:t>Regarding to aged-specific group and comorbidities, i</w:t>
      </w:r>
      <w:r w:rsidR="0070700F" w:rsidRPr="0070700F">
        <w:rPr>
          <w:rFonts w:ascii="Arial" w:hAnsi="Arial" w:cs="Arial"/>
        </w:rPr>
        <w:t xml:space="preserve">n adolescence, obesity </w:t>
      </w:r>
      <w:r w:rsidR="0070700F">
        <w:rPr>
          <w:rFonts w:ascii="Arial" w:hAnsi="Arial" w:cs="Arial"/>
        </w:rPr>
        <w:t>is</w:t>
      </w:r>
      <w:r w:rsidR="0070700F" w:rsidRPr="0070700F">
        <w:rPr>
          <w:rFonts w:ascii="Arial" w:hAnsi="Arial" w:cs="Arial"/>
        </w:rPr>
        <w:t xml:space="preserve"> the dominant feature, representing a metabolic inflection point. This finding is consistent with international reports linking early adiposity to increased risk of type 2 diabetes and lifelong cardiometabolic burden (</w:t>
      </w:r>
      <w:r w:rsidR="00227A4F" w:rsidRPr="00227A4F">
        <w:rPr>
          <w:rFonts w:ascii="Arial" w:hAnsi="Arial" w:cs="Arial"/>
        </w:rPr>
        <w:t xml:space="preserve">Drozdz, </w:t>
      </w:r>
      <w:r w:rsidR="00227A4F">
        <w:rPr>
          <w:rFonts w:ascii="Arial" w:hAnsi="Arial" w:cs="Arial"/>
        </w:rPr>
        <w:t xml:space="preserve">et al., </w:t>
      </w:r>
      <w:r w:rsidR="00227A4F" w:rsidRPr="00227A4F">
        <w:rPr>
          <w:rFonts w:ascii="Arial" w:hAnsi="Arial" w:cs="Arial"/>
        </w:rPr>
        <w:t>2021</w:t>
      </w:r>
      <w:r w:rsidR="00227A4F">
        <w:rPr>
          <w:rFonts w:ascii="Arial" w:hAnsi="Arial" w:cs="Arial"/>
        </w:rPr>
        <w:t xml:space="preserve">; </w:t>
      </w:r>
      <w:r w:rsidR="00227A4F" w:rsidRPr="00227A4F">
        <w:rPr>
          <w:rFonts w:ascii="Arial" w:hAnsi="Arial" w:cs="Arial"/>
        </w:rPr>
        <w:t xml:space="preserve">Eriksson, </w:t>
      </w:r>
      <w:r w:rsidR="00227A4F">
        <w:rPr>
          <w:rFonts w:ascii="Arial" w:hAnsi="Arial" w:cs="Arial"/>
        </w:rPr>
        <w:t xml:space="preserve">et al., </w:t>
      </w:r>
      <w:r w:rsidR="00227A4F" w:rsidRPr="00227A4F">
        <w:rPr>
          <w:rFonts w:ascii="Arial" w:hAnsi="Arial" w:cs="Arial"/>
        </w:rPr>
        <w:t>2003</w:t>
      </w:r>
      <w:r w:rsidR="0070700F" w:rsidRPr="0070700F">
        <w:rPr>
          <w:rFonts w:ascii="Arial" w:hAnsi="Arial" w:cs="Arial"/>
        </w:rPr>
        <w:t xml:space="preserve">). At this stage, we also observe a background of infectious conditions (e.g., gastroenteritis, pharyngitis), which suggests an </w:t>
      </w:r>
      <w:r w:rsidR="00270E68" w:rsidRPr="0070700F">
        <w:rPr>
          <w:rFonts w:ascii="Arial" w:hAnsi="Arial" w:cs="Arial"/>
        </w:rPr>
        <w:t>immunometabolism</w:t>
      </w:r>
      <w:r w:rsidR="0070700F" w:rsidRPr="0070700F">
        <w:rPr>
          <w:rFonts w:ascii="Arial" w:hAnsi="Arial" w:cs="Arial"/>
        </w:rPr>
        <w:t xml:space="preserve"> vulnerability even before adulthood.</w:t>
      </w:r>
    </w:p>
    <w:p w14:paraId="44FB6D40" w14:textId="77777777" w:rsidR="0070700F" w:rsidRPr="0070700F" w:rsidRDefault="0070700F" w:rsidP="0070700F">
      <w:pPr>
        <w:pStyle w:val="Body"/>
        <w:spacing w:after="0"/>
        <w:rPr>
          <w:rFonts w:ascii="Arial" w:hAnsi="Arial" w:cs="Arial"/>
        </w:rPr>
      </w:pPr>
    </w:p>
    <w:p w14:paraId="7C9B1194" w14:textId="3AE529D1" w:rsidR="0070700F" w:rsidRPr="0070700F" w:rsidRDefault="0070700F" w:rsidP="0070700F">
      <w:pPr>
        <w:pStyle w:val="Body"/>
        <w:spacing w:after="0"/>
        <w:rPr>
          <w:rFonts w:ascii="Arial" w:hAnsi="Arial" w:cs="Arial"/>
        </w:rPr>
      </w:pPr>
      <w:r w:rsidRPr="0070700F">
        <w:rPr>
          <w:rFonts w:ascii="Arial" w:hAnsi="Arial" w:cs="Arial"/>
        </w:rPr>
        <w:t>In early adulthood (20–39 years), a cardiometabolic triad—essential hypertension, dyslipidaemia, and obesity—becomes evident</w:t>
      </w:r>
      <w:r w:rsidR="0027297B">
        <w:rPr>
          <w:rFonts w:ascii="Arial" w:hAnsi="Arial" w:cs="Arial"/>
        </w:rPr>
        <w:t xml:space="preserve"> (</w:t>
      </w:r>
      <w:proofErr w:type="spellStart"/>
      <w:r w:rsidR="0027297B" w:rsidRPr="0027297B">
        <w:rPr>
          <w:rFonts w:ascii="Arial" w:hAnsi="Arial" w:cs="Arial"/>
        </w:rPr>
        <w:t>Mezhal</w:t>
      </w:r>
      <w:proofErr w:type="spellEnd"/>
      <w:r w:rsidR="0027297B" w:rsidRPr="0027297B">
        <w:rPr>
          <w:rFonts w:ascii="Arial" w:hAnsi="Arial" w:cs="Arial"/>
        </w:rPr>
        <w:t xml:space="preserve">, </w:t>
      </w:r>
      <w:r w:rsidR="0027297B">
        <w:rPr>
          <w:rFonts w:ascii="Arial" w:hAnsi="Arial" w:cs="Arial"/>
        </w:rPr>
        <w:t xml:space="preserve">et al., </w:t>
      </w:r>
      <w:r w:rsidR="0027297B" w:rsidRPr="0027297B">
        <w:rPr>
          <w:rFonts w:ascii="Arial" w:hAnsi="Arial" w:cs="Arial"/>
        </w:rPr>
        <w:t>2023</w:t>
      </w:r>
      <w:r w:rsidR="00E367D8">
        <w:rPr>
          <w:rFonts w:ascii="Arial" w:hAnsi="Arial" w:cs="Arial"/>
        </w:rPr>
        <w:t xml:space="preserve">, </w:t>
      </w:r>
      <w:proofErr w:type="spellStart"/>
      <w:r w:rsidR="00E367D8" w:rsidRPr="00E367D8">
        <w:rPr>
          <w:rFonts w:ascii="Arial" w:hAnsi="Arial" w:cs="Arial"/>
        </w:rPr>
        <w:t>Mezhal</w:t>
      </w:r>
      <w:proofErr w:type="spellEnd"/>
      <w:r w:rsidR="00E367D8" w:rsidRPr="00E367D8">
        <w:rPr>
          <w:rFonts w:ascii="Arial" w:hAnsi="Arial" w:cs="Arial"/>
        </w:rPr>
        <w:t xml:space="preserve">, </w:t>
      </w:r>
      <w:r w:rsidR="00E367D8">
        <w:rPr>
          <w:rFonts w:ascii="Arial" w:hAnsi="Arial" w:cs="Arial"/>
        </w:rPr>
        <w:t xml:space="preserve">et al., </w:t>
      </w:r>
      <w:r w:rsidR="00E367D8" w:rsidRPr="00E367D8">
        <w:rPr>
          <w:rFonts w:ascii="Arial" w:hAnsi="Arial" w:cs="Arial"/>
        </w:rPr>
        <w:t>2025)</w:t>
      </w:r>
      <w:r w:rsidRPr="0070700F">
        <w:rPr>
          <w:rFonts w:ascii="Arial" w:hAnsi="Arial" w:cs="Arial"/>
        </w:rPr>
        <w:t>, coexisting with a persisting burden of respiratory and urinary tract infections.</w:t>
      </w:r>
      <w:r w:rsidR="0043302A">
        <w:rPr>
          <w:rFonts w:ascii="Arial" w:hAnsi="Arial" w:cs="Arial"/>
        </w:rPr>
        <w:t xml:space="preserve"> </w:t>
      </w:r>
      <w:r w:rsidRPr="0070700F">
        <w:rPr>
          <w:rFonts w:ascii="Arial" w:hAnsi="Arial" w:cs="Arial"/>
        </w:rPr>
        <w:t xml:space="preserve">Among young </w:t>
      </w:r>
      <w:r w:rsidR="00E367D8">
        <w:rPr>
          <w:rFonts w:ascii="Arial" w:hAnsi="Arial" w:cs="Arial"/>
        </w:rPr>
        <w:t>females</w:t>
      </w:r>
      <w:r w:rsidRPr="0070700F">
        <w:rPr>
          <w:rFonts w:ascii="Arial" w:hAnsi="Arial" w:cs="Arial"/>
        </w:rPr>
        <w:t xml:space="preserve">, hypothyroidism and urinary tract infections are relatively more frequent, whereas men show a clearer profile of dyslipidaemia and musculoskeletal disorders (e.g., low back pain), together with sexual and reproductive health events. </w:t>
      </w:r>
      <w:r w:rsidR="00E367D8" w:rsidRPr="00E367D8">
        <w:rPr>
          <w:rFonts w:ascii="Arial" w:hAnsi="Arial" w:cs="Arial"/>
        </w:rPr>
        <w:t xml:space="preserve">It is well known that hypothyroidism increases the risk of developing cardiovascular diseases because of impaired lipid and </w:t>
      </w:r>
      <w:r w:rsidR="00E367D8" w:rsidRPr="00E367D8">
        <w:rPr>
          <w:rFonts w:ascii="Arial" w:hAnsi="Arial" w:cs="Arial"/>
        </w:rPr>
        <w:lastRenderedPageBreak/>
        <w:t>carbohydrate metabolism</w:t>
      </w:r>
      <w:r w:rsidR="00E367D8">
        <w:rPr>
          <w:rFonts w:ascii="Arial" w:hAnsi="Arial" w:cs="Arial"/>
        </w:rPr>
        <w:t xml:space="preserve"> (</w:t>
      </w:r>
      <w:r w:rsidR="00E367D8" w:rsidRPr="00E367D8">
        <w:rPr>
          <w:rFonts w:ascii="Arial" w:hAnsi="Arial" w:cs="Arial"/>
        </w:rPr>
        <w:t>Radchenko, &amp; Kolesnikova, 2021).</w:t>
      </w:r>
      <w:r w:rsidR="00DC22D4" w:rsidRPr="00DC22D4">
        <w:t xml:space="preserve"> </w:t>
      </w:r>
      <w:r w:rsidR="00DC22D4" w:rsidRPr="00DC22D4">
        <w:rPr>
          <w:rFonts w:ascii="Arial" w:hAnsi="Arial" w:cs="Arial"/>
        </w:rPr>
        <w:t>Moreover, in the Spanish population, patients with subclinical hypothyroidism have an increased prevalence of lipid abnormalities</w:t>
      </w:r>
      <w:r w:rsidR="00DC22D4">
        <w:rPr>
          <w:rFonts w:ascii="Arial" w:hAnsi="Arial" w:cs="Arial"/>
        </w:rPr>
        <w:t xml:space="preserve"> (</w:t>
      </w:r>
      <w:r w:rsidR="00DC22D4" w:rsidRPr="00DC22D4">
        <w:rPr>
          <w:rFonts w:ascii="Arial" w:hAnsi="Arial" w:cs="Arial"/>
        </w:rPr>
        <w:t>Gonzalez</w:t>
      </w:r>
      <w:r w:rsidR="00DC22D4">
        <w:rPr>
          <w:rFonts w:ascii="Arial" w:hAnsi="Arial" w:cs="Arial"/>
        </w:rPr>
        <w:t>-</w:t>
      </w:r>
      <w:r w:rsidR="00DC22D4" w:rsidRPr="00DC22D4">
        <w:rPr>
          <w:rFonts w:ascii="Arial" w:hAnsi="Arial" w:cs="Arial"/>
        </w:rPr>
        <w:t>Gil &amp; de la Sierra, 2017).</w:t>
      </w:r>
      <w:r w:rsidR="007409F2" w:rsidRPr="007409F2">
        <w:t xml:space="preserve"> </w:t>
      </w:r>
      <w:r w:rsidR="007409F2" w:rsidRPr="007409F2">
        <w:rPr>
          <w:rFonts w:ascii="Arial" w:hAnsi="Arial" w:cs="Arial"/>
        </w:rPr>
        <w:t>Additionally, among females with chronic lower urinary tract symptoms, the prevalence of hypothyroidism was high, affecting more than one-third of the study population—significantly higher than in the general population</w:t>
      </w:r>
      <w:r w:rsidR="007409F2">
        <w:rPr>
          <w:rFonts w:ascii="Arial" w:hAnsi="Arial" w:cs="Arial"/>
        </w:rPr>
        <w:t xml:space="preserve"> (</w:t>
      </w:r>
      <w:r w:rsidR="007409F2" w:rsidRPr="007409F2">
        <w:rPr>
          <w:rFonts w:ascii="Arial" w:hAnsi="Arial" w:cs="Arial"/>
        </w:rPr>
        <w:t xml:space="preserve">Zargham, </w:t>
      </w:r>
      <w:r w:rsidR="007409F2">
        <w:rPr>
          <w:rFonts w:ascii="Arial" w:hAnsi="Arial" w:cs="Arial"/>
        </w:rPr>
        <w:t>et al.</w:t>
      </w:r>
      <w:r w:rsidR="007409F2" w:rsidRPr="007409F2">
        <w:rPr>
          <w:rFonts w:ascii="Arial" w:hAnsi="Arial" w:cs="Arial"/>
        </w:rPr>
        <w:t>, 2022). Although the severity of voiding symptoms and urge urinary incontinence did not differ between women with and without hypothyroidism, those with hypothyroidism reported less severe storage symptoms but a markedly higher rate of stress urinary incontinence</w:t>
      </w:r>
      <w:r w:rsidR="007409F2">
        <w:rPr>
          <w:rFonts w:ascii="Arial" w:hAnsi="Arial" w:cs="Arial"/>
        </w:rPr>
        <w:t xml:space="preserve"> (</w:t>
      </w:r>
      <w:r w:rsidR="007409F2" w:rsidRPr="007409F2">
        <w:rPr>
          <w:rFonts w:ascii="Arial" w:hAnsi="Arial" w:cs="Arial"/>
        </w:rPr>
        <w:t xml:space="preserve">Zargham, </w:t>
      </w:r>
      <w:r w:rsidR="007409F2">
        <w:rPr>
          <w:rFonts w:ascii="Arial" w:hAnsi="Arial" w:cs="Arial"/>
        </w:rPr>
        <w:t>et al.</w:t>
      </w:r>
      <w:r w:rsidR="007409F2" w:rsidRPr="007409F2">
        <w:rPr>
          <w:rFonts w:ascii="Arial" w:hAnsi="Arial" w:cs="Arial"/>
        </w:rPr>
        <w:t xml:space="preserve">, 2022). These findings underscore the importance of assessing thyroid function in women presenting with chronic lower urinary tract symptoms, as thyroid dysfunction may influence the type and distribution of urinary complaints. In </w:t>
      </w:r>
      <w:r w:rsidR="007409F2">
        <w:rPr>
          <w:rFonts w:ascii="Arial" w:hAnsi="Arial" w:cs="Arial"/>
        </w:rPr>
        <w:t>females</w:t>
      </w:r>
      <w:r w:rsidR="007409F2" w:rsidRPr="007409F2">
        <w:rPr>
          <w:rFonts w:ascii="Arial" w:hAnsi="Arial" w:cs="Arial"/>
        </w:rPr>
        <w:t xml:space="preserve">, chronic </w:t>
      </w:r>
      <w:r w:rsidR="007409F2">
        <w:rPr>
          <w:rFonts w:ascii="Arial" w:hAnsi="Arial" w:cs="Arial"/>
        </w:rPr>
        <w:t>symptoms</w:t>
      </w:r>
      <w:r w:rsidR="007409F2" w:rsidRPr="007409F2">
        <w:rPr>
          <w:rFonts w:ascii="Arial" w:hAnsi="Arial" w:cs="Arial"/>
        </w:rPr>
        <w:t xml:space="preserve"> are most often associated with conditions such as overactive bladder, stress urinary incontinence, pelvic organ prolapse, bladder pain syndromes (e.g., interstitial cystitis/bladder pain syndrome), and hormonal changes related to menopause, particularly urogenital atrophy.</w:t>
      </w:r>
      <w:r w:rsidR="00C366AC">
        <w:rPr>
          <w:rFonts w:ascii="Arial" w:hAnsi="Arial" w:cs="Arial"/>
        </w:rPr>
        <w:t xml:space="preserve"> </w:t>
      </w:r>
      <w:r w:rsidRPr="0070700F">
        <w:rPr>
          <w:rFonts w:ascii="Arial" w:hAnsi="Arial" w:cs="Arial"/>
        </w:rPr>
        <w:t>This pattern mirrors findings from North American, European, and Asian cohorts, where men tend to develop atherogenic profiles earlier, while women accumulate greater endocrine and genitourinary morbidity (Kautzky-Willer et al., 2016).</w:t>
      </w:r>
    </w:p>
    <w:p w14:paraId="63FE5918" w14:textId="77777777" w:rsidR="0070700F" w:rsidRPr="0070700F" w:rsidRDefault="0070700F" w:rsidP="0070700F">
      <w:pPr>
        <w:pStyle w:val="Body"/>
        <w:spacing w:after="0"/>
        <w:rPr>
          <w:rFonts w:ascii="Arial" w:hAnsi="Arial" w:cs="Arial"/>
        </w:rPr>
      </w:pPr>
    </w:p>
    <w:p w14:paraId="2FACD126" w14:textId="1759078E" w:rsidR="0070700F" w:rsidRPr="0070700F" w:rsidRDefault="00336225" w:rsidP="0070700F">
      <w:pPr>
        <w:pStyle w:val="Body"/>
        <w:spacing w:after="0"/>
        <w:rPr>
          <w:rFonts w:ascii="Arial" w:hAnsi="Arial" w:cs="Arial"/>
        </w:rPr>
      </w:pPr>
      <w:r w:rsidRPr="00336225">
        <w:rPr>
          <w:rFonts w:ascii="Arial" w:hAnsi="Arial" w:cs="Arial"/>
        </w:rPr>
        <w:t>During midlife (40–59 years), the chronic disease burden consolidates: hypertension and dyslipidaemia increase steadily, and obesity remains highly prevalent. In females, the “triangle” of hypertension–obesity–dyslipidaemia is likely compounded by hypothyroidism</w:t>
      </w:r>
      <w:r>
        <w:rPr>
          <w:rFonts w:ascii="Arial" w:hAnsi="Arial" w:cs="Arial"/>
        </w:rPr>
        <w:t xml:space="preserve"> </w:t>
      </w:r>
      <w:r w:rsidR="001D3355" w:rsidRPr="0070700F">
        <w:rPr>
          <w:rFonts w:ascii="Arial" w:hAnsi="Arial" w:cs="Arial"/>
        </w:rPr>
        <w:t>(</w:t>
      </w:r>
      <w:r w:rsidR="001D3355" w:rsidRPr="001D3355">
        <w:rPr>
          <w:rFonts w:ascii="Arial" w:hAnsi="Arial" w:cs="Arial"/>
        </w:rPr>
        <w:t xml:space="preserve">Rizos, </w:t>
      </w:r>
      <w:r w:rsidR="001D3355">
        <w:rPr>
          <w:rFonts w:ascii="Arial" w:hAnsi="Arial" w:cs="Arial"/>
        </w:rPr>
        <w:t xml:space="preserve">et al., </w:t>
      </w:r>
      <w:r w:rsidR="001D3355" w:rsidRPr="001D3355">
        <w:rPr>
          <w:rFonts w:ascii="Arial" w:hAnsi="Arial" w:cs="Arial"/>
        </w:rPr>
        <w:t>2011</w:t>
      </w:r>
      <w:r w:rsidR="001D3355">
        <w:rPr>
          <w:rFonts w:ascii="Arial" w:hAnsi="Arial" w:cs="Arial"/>
        </w:rPr>
        <w:t xml:space="preserve">; </w:t>
      </w:r>
      <w:r w:rsidR="001D3355" w:rsidRPr="0070700F">
        <w:rPr>
          <w:rFonts w:ascii="Arial" w:hAnsi="Arial" w:cs="Arial"/>
        </w:rPr>
        <w:t>Kautzky-Willer et al., 2016</w:t>
      </w:r>
      <w:r w:rsidR="001D3355">
        <w:rPr>
          <w:rFonts w:ascii="Arial" w:hAnsi="Arial" w:cs="Arial"/>
        </w:rPr>
        <w:t xml:space="preserve">; </w:t>
      </w:r>
      <w:r w:rsidR="001D3355" w:rsidRPr="00DC22D4">
        <w:rPr>
          <w:rFonts w:ascii="Arial" w:hAnsi="Arial" w:cs="Arial"/>
        </w:rPr>
        <w:t>Gonzalez</w:t>
      </w:r>
      <w:r w:rsidR="001D3355">
        <w:rPr>
          <w:rFonts w:ascii="Arial" w:hAnsi="Arial" w:cs="Arial"/>
        </w:rPr>
        <w:t>-</w:t>
      </w:r>
      <w:r w:rsidR="001D3355" w:rsidRPr="00DC22D4">
        <w:rPr>
          <w:rFonts w:ascii="Arial" w:hAnsi="Arial" w:cs="Arial"/>
        </w:rPr>
        <w:t>Gil &amp; de la Sierra, 2017</w:t>
      </w:r>
      <w:r w:rsidR="001D3355">
        <w:rPr>
          <w:rFonts w:ascii="Arial" w:hAnsi="Arial" w:cs="Arial"/>
        </w:rPr>
        <w:t xml:space="preserve">; </w:t>
      </w:r>
      <w:r w:rsidR="001D3355" w:rsidRPr="00E367D8">
        <w:rPr>
          <w:rFonts w:ascii="Arial" w:hAnsi="Arial" w:cs="Arial"/>
        </w:rPr>
        <w:t>Radchenko, &amp; Kolesnikova, 2021</w:t>
      </w:r>
      <w:r w:rsidR="001D3355" w:rsidRPr="0070700F">
        <w:rPr>
          <w:rFonts w:ascii="Arial" w:hAnsi="Arial" w:cs="Arial"/>
        </w:rPr>
        <w:t>)</w:t>
      </w:r>
      <w:r w:rsidRPr="00336225">
        <w:rPr>
          <w:rFonts w:ascii="Arial" w:hAnsi="Arial" w:cs="Arial"/>
        </w:rPr>
        <w:t>. In addition, we observed regular engagement in oncological screening (cervical and breast cancer), reflecting greater contact with preventive services.</w:t>
      </w:r>
      <w:r w:rsidR="0070700F" w:rsidRPr="0070700F">
        <w:rPr>
          <w:rFonts w:ascii="Arial" w:hAnsi="Arial" w:cs="Arial"/>
        </w:rPr>
        <w:t xml:space="preserve"> M</w:t>
      </w:r>
      <w:r w:rsidR="001D3355">
        <w:rPr>
          <w:rFonts w:ascii="Arial" w:hAnsi="Arial" w:cs="Arial"/>
        </w:rPr>
        <w:t>al</w:t>
      </w:r>
      <w:r w:rsidR="0070700F" w:rsidRPr="0070700F">
        <w:rPr>
          <w:rFonts w:ascii="Arial" w:hAnsi="Arial" w:cs="Arial"/>
        </w:rPr>
        <w:t>e</w:t>
      </w:r>
      <w:r w:rsidR="001D3355">
        <w:rPr>
          <w:rFonts w:ascii="Arial" w:hAnsi="Arial" w:cs="Arial"/>
        </w:rPr>
        <w:t>s</w:t>
      </w:r>
      <w:r w:rsidR="0070700F" w:rsidRPr="0070700F">
        <w:rPr>
          <w:rFonts w:ascii="Arial" w:hAnsi="Arial" w:cs="Arial"/>
        </w:rPr>
        <w:t xml:space="preserve"> in this age group demonstrate earlier onset of chronic kidney disease (CKD) and increasing prostatic symptoms, together with persistent musculoskeletal and infectious conditions. </w:t>
      </w:r>
      <w:r w:rsidR="00006EA7" w:rsidRPr="00006EA7">
        <w:rPr>
          <w:rFonts w:ascii="Arial" w:hAnsi="Arial" w:cs="Arial"/>
        </w:rPr>
        <w:t>The concomitance of COVID-19 and other respiratory infections, also observed globally, highlights that susceptibility to infections in patients with diabetes is not exclusive to older age</w:t>
      </w:r>
      <w:r w:rsidR="00006EA7">
        <w:rPr>
          <w:rFonts w:ascii="Arial" w:hAnsi="Arial" w:cs="Arial"/>
        </w:rPr>
        <w:t xml:space="preserve"> (</w:t>
      </w:r>
      <w:r w:rsidR="009A5EEA" w:rsidRPr="009A5EEA">
        <w:rPr>
          <w:rFonts w:ascii="Arial" w:hAnsi="Arial" w:cs="Arial"/>
        </w:rPr>
        <w:t xml:space="preserve">Chávez-Reyes, </w:t>
      </w:r>
      <w:r w:rsidR="009A5EEA">
        <w:rPr>
          <w:rFonts w:ascii="Arial" w:hAnsi="Arial" w:cs="Arial"/>
        </w:rPr>
        <w:t xml:space="preserve">et al., </w:t>
      </w:r>
      <w:r w:rsidR="009A5EEA" w:rsidRPr="009A5EEA">
        <w:rPr>
          <w:rFonts w:ascii="Arial" w:hAnsi="Arial" w:cs="Arial"/>
        </w:rPr>
        <w:t>2021</w:t>
      </w:r>
      <w:r w:rsidR="009A5EEA">
        <w:rPr>
          <w:rFonts w:ascii="Arial" w:hAnsi="Arial" w:cs="Arial"/>
        </w:rPr>
        <w:t xml:space="preserve">; </w:t>
      </w:r>
      <w:r w:rsidR="009A5EEA" w:rsidRPr="009A5EEA">
        <w:rPr>
          <w:rFonts w:ascii="Arial" w:hAnsi="Arial" w:cs="Arial"/>
        </w:rPr>
        <w:t xml:space="preserve">Al-Sayyar, </w:t>
      </w:r>
      <w:r w:rsidR="009A5EEA">
        <w:rPr>
          <w:rFonts w:ascii="Arial" w:hAnsi="Arial" w:cs="Arial"/>
        </w:rPr>
        <w:t xml:space="preserve">et al., </w:t>
      </w:r>
      <w:r w:rsidR="009A5EEA" w:rsidRPr="009A5EEA">
        <w:rPr>
          <w:rFonts w:ascii="Arial" w:hAnsi="Arial" w:cs="Arial"/>
        </w:rPr>
        <w:t>2022</w:t>
      </w:r>
      <w:r w:rsidR="009A5EEA">
        <w:rPr>
          <w:rFonts w:ascii="Arial" w:hAnsi="Arial" w:cs="Arial"/>
        </w:rPr>
        <w:t xml:space="preserve">; </w:t>
      </w:r>
      <w:r w:rsidR="00006EA7" w:rsidRPr="00006EA7">
        <w:rPr>
          <w:rFonts w:ascii="Arial" w:hAnsi="Arial" w:cs="Arial"/>
        </w:rPr>
        <w:t xml:space="preserve">Liu, </w:t>
      </w:r>
      <w:r w:rsidR="00006EA7">
        <w:rPr>
          <w:rFonts w:ascii="Arial" w:hAnsi="Arial" w:cs="Arial"/>
        </w:rPr>
        <w:t xml:space="preserve">et al., </w:t>
      </w:r>
      <w:r w:rsidR="00006EA7" w:rsidRPr="00006EA7">
        <w:rPr>
          <w:rFonts w:ascii="Arial" w:hAnsi="Arial" w:cs="Arial"/>
        </w:rPr>
        <w:t>2024</w:t>
      </w:r>
      <w:r w:rsidR="00006EA7">
        <w:rPr>
          <w:rFonts w:ascii="Arial" w:hAnsi="Arial" w:cs="Arial"/>
        </w:rPr>
        <w:t>)</w:t>
      </w:r>
      <w:r w:rsidR="0070700F" w:rsidRPr="0070700F">
        <w:rPr>
          <w:rFonts w:ascii="Arial" w:hAnsi="Arial" w:cs="Arial"/>
        </w:rPr>
        <w:t>.</w:t>
      </w:r>
    </w:p>
    <w:p w14:paraId="13E07A12" w14:textId="77777777" w:rsidR="0070700F" w:rsidRPr="0070700F" w:rsidRDefault="0070700F" w:rsidP="0070700F">
      <w:pPr>
        <w:pStyle w:val="Body"/>
        <w:spacing w:after="0"/>
        <w:rPr>
          <w:rFonts w:ascii="Arial" w:hAnsi="Arial" w:cs="Arial"/>
        </w:rPr>
      </w:pPr>
    </w:p>
    <w:p w14:paraId="25B7C128" w14:textId="1429458E" w:rsidR="0070700F" w:rsidRPr="0070700F" w:rsidRDefault="006F0522" w:rsidP="0070700F">
      <w:pPr>
        <w:pStyle w:val="Body"/>
        <w:spacing w:after="0"/>
        <w:rPr>
          <w:rFonts w:ascii="Arial" w:hAnsi="Arial" w:cs="Arial"/>
        </w:rPr>
      </w:pPr>
      <w:r w:rsidRPr="006F0522">
        <w:rPr>
          <w:rFonts w:ascii="Arial" w:hAnsi="Arial" w:cs="Arial"/>
        </w:rPr>
        <w:t>Within the elderly population (60–79 years)</w:t>
      </w:r>
      <w:r w:rsidR="0070700F" w:rsidRPr="0070700F">
        <w:rPr>
          <w:rFonts w:ascii="Arial" w:hAnsi="Arial" w:cs="Arial"/>
        </w:rPr>
        <w:t xml:space="preserve">, multimorbidity peaks, with hypertension affecting more than half—and up to two-thirds—of patients. Dyslipidaemia and obesity remain prevalent, while </w:t>
      </w:r>
      <w:r w:rsidRPr="0070700F">
        <w:rPr>
          <w:rFonts w:ascii="Arial" w:hAnsi="Arial" w:cs="Arial"/>
        </w:rPr>
        <w:t>chronic kidney diseases</w:t>
      </w:r>
      <w:r w:rsidR="0070700F" w:rsidRPr="0070700F">
        <w:rPr>
          <w:rFonts w:ascii="Arial" w:hAnsi="Arial" w:cs="Arial"/>
        </w:rPr>
        <w:t xml:space="preserve">, chronic venous insufficiency, and chronic obstructive pulmonary disease become increasingly evident. In women, hypothyroidism persists, and depression and chronic back pain rise, whereas in men, benign prostatic hyperplasia, ischaemic heart disease, and more advanced </w:t>
      </w:r>
      <w:r w:rsidRPr="0070700F">
        <w:rPr>
          <w:rFonts w:ascii="Arial" w:hAnsi="Arial" w:cs="Arial"/>
        </w:rPr>
        <w:t>chronic kidney diseases</w:t>
      </w:r>
      <w:r w:rsidR="0070700F" w:rsidRPr="0070700F">
        <w:rPr>
          <w:rFonts w:ascii="Arial" w:hAnsi="Arial" w:cs="Arial"/>
        </w:rPr>
        <w:t xml:space="preserve"> predominate</w:t>
      </w:r>
      <w:r w:rsidR="00FD124D">
        <w:rPr>
          <w:rFonts w:ascii="Arial" w:hAnsi="Arial" w:cs="Arial"/>
        </w:rPr>
        <w:t xml:space="preserve">. </w:t>
      </w:r>
      <w:r w:rsidR="00FD124D" w:rsidRPr="00FD124D">
        <w:rPr>
          <w:rFonts w:ascii="Arial" w:hAnsi="Arial" w:cs="Arial"/>
        </w:rPr>
        <w:t>These sex differentials align with literature showing faster renal decline among men with diabetes (</w:t>
      </w:r>
      <w:r w:rsidR="005E5C68" w:rsidRPr="005E5C68">
        <w:rPr>
          <w:rFonts w:ascii="Arial" w:hAnsi="Arial" w:cs="Arial"/>
        </w:rPr>
        <w:t xml:space="preserve">estimated glomerular filtration rate </w:t>
      </w:r>
      <w:r w:rsidR="005E5C68">
        <w:rPr>
          <w:rFonts w:ascii="Arial" w:hAnsi="Arial" w:cs="Arial"/>
        </w:rPr>
        <w:t>[</w:t>
      </w:r>
      <w:r w:rsidR="005E5C68" w:rsidRPr="005E5C68">
        <w:rPr>
          <w:rFonts w:ascii="Arial" w:hAnsi="Arial" w:cs="Arial"/>
        </w:rPr>
        <w:t>eGFR</w:t>
      </w:r>
      <w:r w:rsidR="005E5C68">
        <w:rPr>
          <w:rFonts w:ascii="Arial" w:hAnsi="Arial" w:cs="Arial"/>
        </w:rPr>
        <w:t>]</w:t>
      </w:r>
      <w:r w:rsidR="005E5C68" w:rsidRPr="005E5C68">
        <w:rPr>
          <w:rFonts w:ascii="Arial" w:hAnsi="Arial" w:cs="Arial"/>
        </w:rPr>
        <w:t xml:space="preserve"> of </w:t>
      </w:r>
      <w:r w:rsidR="00FD124D" w:rsidRPr="00FD124D">
        <w:rPr>
          <w:rFonts w:ascii="Arial" w:hAnsi="Arial" w:cs="Arial"/>
        </w:rPr>
        <w:t>2.1 and 2.7 mL/min per 1.73 m</w:t>
      </w:r>
      <w:r w:rsidR="00FD124D" w:rsidRPr="005E5C68">
        <w:rPr>
          <w:rFonts w:ascii="Arial" w:hAnsi="Arial" w:cs="Arial"/>
          <w:vertAlign w:val="superscript"/>
        </w:rPr>
        <w:t>2</w:t>
      </w:r>
      <w:r w:rsidR="00FD124D" w:rsidRPr="00FD124D">
        <w:rPr>
          <w:rFonts w:ascii="Arial" w:hAnsi="Arial" w:cs="Arial"/>
        </w:rPr>
        <w:t xml:space="preserve"> per year for females and males with diabetes, respectively)</w:t>
      </w:r>
      <w:r w:rsidR="005E5C68">
        <w:rPr>
          <w:rFonts w:ascii="Arial" w:hAnsi="Arial" w:cs="Arial"/>
        </w:rPr>
        <w:t xml:space="preserve"> (</w:t>
      </w:r>
      <w:r w:rsidR="005E5C68" w:rsidRPr="005E5C68">
        <w:rPr>
          <w:rFonts w:ascii="Arial" w:hAnsi="Arial" w:cs="Arial"/>
        </w:rPr>
        <w:t>Sheen &amp; Sheu, 2014)</w:t>
      </w:r>
      <w:r w:rsidR="00FD124D" w:rsidRPr="00FD124D">
        <w:rPr>
          <w:rFonts w:ascii="Arial" w:hAnsi="Arial" w:cs="Arial"/>
        </w:rPr>
        <w:t>.</w:t>
      </w:r>
      <w:r w:rsidR="007A17BD" w:rsidRPr="007A17BD">
        <w:t xml:space="preserve"> </w:t>
      </w:r>
      <w:r w:rsidR="007A17BD" w:rsidRPr="007A17BD">
        <w:rPr>
          <w:rFonts w:ascii="Arial" w:hAnsi="Arial" w:cs="Arial"/>
        </w:rPr>
        <w:t>Gender differences have been reported in the incidence and prevalence of diabetic kidney disease, in its phenotypic expression and clinical manifestations, as well as in several associated risk factors, with varying impacts between the two sexes</w:t>
      </w:r>
      <w:r w:rsidR="007A17BD">
        <w:rPr>
          <w:rFonts w:ascii="Arial" w:hAnsi="Arial" w:cs="Arial"/>
        </w:rPr>
        <w:t xml:space="preserve"> (</w:t>
      </w:r>
      <w:proofErr w:type="spellStart"/>
      <w:r w:rsidR="007A17BD" w:rsidRPr="007A17BD">
        <w:rPr>
          <w:rFonts w:ascii="Arial" w:hAnsi="Arial" w:cs="Arial"/>
        </w:rPr>
        <w:t>Giandalia</w:t>
      </w:r>
      <w:proofErr w:type="spellEnd"/>
      <w:r w:rsidR="007A17BD" w:rsidRPr="007A17BD">
        <w:rPr>
          <w:rFonts w:ascii="Arial" w:hAnsi="Arial" w:cs="Arial"/>
        </w:rPr>
        <w:t xml:space="preserve">, </w:t>
      </w:r>
      <w:r w:rsidR="007A17BD">
        <w:rPr>
          <w:rFonts w:ascii="Arial" w:hAnsi="Arial" w:cs="Arial"/>
        </w:rPr>
        <w:t xml:space="preserve">et al., </w:t>
      </w:r>
      <w:r w:rsidR="007A17BD" w:rsidRPr="007A17BD">
        <w:rPr>
          <w:rFonts w:ascii="Arial" w:hAnsi="Arial" w:cs="Arial"/>
        </w:rPr>
        <w:t>2021</w:t>
      </w:r>
      <w:r w:rsidR="007A17BD">
        <w:rPr>
          <w:rFonts w:ascii="Arial" w:hAnsi="Arial" w:cs="Arial"/>
        </w:rPr>
        <w:t xml:space="preserve">), </w:t>
      </w:r>
      <w:r w:rsidR="007A17BD" w:rsidRPr="007A17BD">
        <w:rPr>
          <w:rFonts w:ascii="Arial" w:hAnsi="Arial" w:cs="Arial"/>
        </w:rPr>
        <w:t>findings that align with our results. It is now well established that, in patients with diabetes, both albuminuria and eGFR are key determinants in the diagnosis of diabetic kidney disease. Notably, the non-albuminuric phenotype is more commonly observed in females, whereas the albuminuric phenotype predominates in males</w:t>
      </w:r>
      <w:r w:rsidR="00571A80">
        <w:rPr>
          <w:rFonts w:ascii="Arial" w:hAnsi="Arial" w:cs="Arial"/>
        </w:rPr>
        <w:t xml:space="preserve"> (</w:t>
      </w:r>
      <w:proofErr w:type="spellStart"/>
      <w:r w:rsidR="00571A80" w:rsidRPr="007A17BD">
        <w:rPr>
          <w:rFonts w:ascii="Arial" w:hAnsi="Arial" w:cs="Arial"/>
        </w:rPr>
        <w:t>Giandalia</w:t>
      </w:r>
      <w:proofErr w:type="spellEnd"/>
      <w:r w:rsidR="00571A80" w:rsidRPr="007A17BD">
        <w:rPr>
          <w:rFonts w:ascii="Arial" w:hAnsi="Arial" w:cs="Arial"/>
        </w:rPr>
        <w:t xml:space="preserve">, </w:t>
      </w:r>
      <w:r w:rsidR="00571A80">
        <w:rPr>
          <w:rFonts w:ascii="Arial" w:hAnsi="Arial" w:cs="Arial"/>
        </w:rPr>
        <w:t xml:space="preserve">et al., </w:t>
      </w:r>
      <w:r w:rsidR="00571A80" w:rsidRPr="007A17BD">
        <w:rPr>
          <w:rFonts w:ascii="Arial" w:hAnsi="Arial" w:cs="Arial"/>
        </w:rPr>
        <w:t>2021</w:t>
      </w:r>
      <w:r w:rsidR="00571A80">
        <w:rPr>
          <w:rFonts w:ascii="Arial" w:hAnsi="Arial" w:cs="Arial"/>
        </w:rPr>
        <w:t>)</w:t>
      </w:r>
      <w:r w:rsidR="007A17BD" w:rsidRPr="007A17BD">
        <w:rPr>
          <w:rFonts w:ascii="Arial" w:hAnsi="Arial" w:cs="Arial"/>
        </w:rPr>
        <w:t>.</w:t>
      </w:r>
      <w:r w:rsidR="007A113C">
        <w:rPr>
          <w:rFonts w:ascii="Arial" w:hAnsi="Arial" w:cs="Arial"/>
        </w:rPr>
        <w:t xml:space="preserve"> </w:t>
      </w:r>
      <w:r w:rsidR="007A113C" w:rsidRPr="007A113C">
        <w:rPr>
          <w:rFonts w:ascii="Arial" w:hAnsi="Arial" w:cs="Arial"/>
        </w:rPr>
        <w:t>As for progression toward end-stage renal disease, the data indicate a faster progression and overall worse outcomes in females with diabetes, especially those with type 2 diabetes in the late decades of life</w:t>
      </w:r>
      <w:r w:rsidR="007A113C">
        <w:rPr>
          <w:rFonts w:ascii="Arial" w:hAnsi="Arial" w:cs="Arial"/>
        </w:rPr>
        <w:t xml:space="preserve"> (</w:t>
      </w:r>
      <w:proofErr w:type="spellStart"/>
      <w:r w:rsidR="007A113C" w:rsidRPr="007A17BD">
        <w:rPr>
          <w:rFonts w:ascii="Arial" w:hAnsi="Arial" w:cs="Arial"/>
        </w:rPr>
        <w:t>Giandalia</w:t>
      </w:r>
      <w:proofErr w:type="spellEnd"/>
      <w:r w:rsidR="007A113C" w:rsidRPr="007A17BD">
        <w:rPr>
          <w:rFonts w:ascii="Arial" w:hAnsi="Arial" w:cs="Arial"/>
        </w:rPr>
        <w:t xml:space="preserve">, </w:t>
      </w:r>
      <w:r w:rsidR="007A113C">
        <w:rPr>
          <w:rFonts w:ascii="Arial" w:hAnsi="Arial" w:cs="Arial"/>
        </w:rPr>
        <w:t xml:space="preserve">et al., </w:t>
      </w:r>
      <w:r w:rsidR="007A113C" w:rsidRPr="007A17BD">
        <w:rPr>
          <w:rFonts w:ascii="Arial" w:hAnsi="Arial" w:cs="Arial"/>
        </w:rPr>
        <w:t>2021</w:t>
      </w:r>
      <w:r w:rsidR="007A113C">
        <w:rPr>
          <w:rFonts w:ascii="Arial" w:hAnsi="Arial" w:cs="Arial"/>
        </w:rPr>
        <w:t>)</w:t>
      </w:r>
      <w:r w:rsidR="007A113C" w:rsidRPr="007A113C">
        <w:rPr>
          <w:rFonts w:ascii="Arial" w:hAnsi="Arial" w:cs="Arial"/>
        </w:rPr>
        <w:t>.</w:t>
      </w:r>
      <w:r w:rsidR="00F660EF" w:rsidRPr="00F660EF">
        <w:t xml:space="preserve"> </w:t>
      </w:r>
      <w:r w:rsidR="00F660EF" w:rsidRPr="00F660EF">
        <w:rPr>
          <w:rFonts w:ascii="Arial" w:hAnsi="Arial" w:cs="Arial"/>
        </w:rPr>
        <w:t>Hormonal factors, particularly oestrogen deficiency, play an important role in explaining these differences</w:t>
      </w:r>
      <w:r w:rsidR="00E5425A">
        <w:rPr>
          <w:rFonts w:ascii="Arial" w:hAnsi="Arial" w:cs="Arial"/>
        </w:rPr>
        <w:t xml:space="preserve"> (</w:t>
      </w:r>
      <w:proofErr w:type="spellStart"/>
      <w:r w:rsidR="00E5425A" w:rsidRPr="007A17BD">
        <w:rPr>
          <w:rFonts w:ascii="Arial" w:hAnsi="Arial" w:cs="Arial"/>
        </w:rPr>
        <w:t>Giandalia</w:t>
      </w:r>
      <w:proofErr w:type="spellEnd"/>
      <w:r w:rsidR="00E5425A" w:rsidRPr="007A17BD">
        <w:rPr>
          <w:rFonts w:ascii="Arial" w:hAnsi="Arial" w:cs="Arial"/>
        </w:rPr>
        <w:t xml:space="preserve">, </w:t>
      </w:r>
      <w:r w:rsidR="00E5425A">
        <w:rPr>
          <w:rFonts w:ascii="Arial" w:hAnsi="Arial" w:cs="Arial"/>
        </w:rPr>
        <w:t xml:space="preserve">et al., </w:t>
      </w:r>
      <w:r w:rsidR="00E5425A" w:rsidRPr="007A17BD">
        <w:rPr>
          <w:rFonts w:ascii="Arial" w:hAnsi="Arial" w:cs="Arial"/>
        </w:rPr>
        <w:t>2021</w:t>
      </w:r>
      <w:r w:rsidR="00E5425A">
        <w:rPr>
          <w:rFonts w:ascii="Arial" w:hAnsi="Arial" w:cs="Arial"/>
        </w:rPr>
        <w:t>)</w:t>
      </w:r>
      <w:r w:rsidR="00F660EF" w:rsidRPr="00F660EF">
        <w:rPr>
          <w:rFonts w:ascii="Arial" w:hAnsi="Arial" w:cs="Arial"/>
        </w:rPr>
        <w:t>. In addition, the impact of sex chromosomes and the influence of gene–sex interactions with various susceptibility genes appear to depend on, and vary according to, specific gene variants</w:t>
      </w:r>
      <w:r w:rsidR="00F660EF">
        <w:rPr>
          <w:rFonts w:ascii="Arial" w:hAnsi="Arial" w:cs="Arial"/>
        </w:rPr>
        <w:t xml:space="preserve"> [</w:t>
      </w:r>
      <w:r w:rsidR="00F660EF" w:rsidRPr="00F660EF">
        <w:rPr>
          <w:rFonts w:ascii="Arial" w:hAnsi="Arial" w:cs="Arial"/>
          <w:lang w:val="es-MX"/>
        </w:rPr>
        <w:t xml:space="preserve">AGT1R </w:t>
      </w:r>
      <w:r w:rsidR="00F660EF">
        <w:rPr>
          <w:rFonts w:ascii="Arial" w:hAnsi="Arial" w:cs="Arial"/>
          <w:lang w:val="es-MX"/>
        </w:rPr>
        <w:t>(</w:t>
      </w:r>
      <w:r w:rsidR="00F660EF" w:rsidRPr="00F660EF">
        <w:rPr>
          <w:rFonts w:ascii="Arial" w:hAnsi="Arial" w:cs="Arial"/>
          <w:lang w:val="es-MX"/>
        </w:rPr>
        <w:t>1166</w:t>
      </w:r>
      <w:r w:rsidR="00F660EF">
        <w:rPr>
          <w:rFonts w:ascii="Arial" w:hAnsi="Arial" w:cs="Arial"/>
          <w:lang w:val="es-MX"/>
        </w:rPr>
        <w:t xml:space="preserve">), </w:t>
      </w:r>
      <w:r w:rsidR="00F660EF" w:rsidRPr="00F660EF">
        <w:rPr>
          <w:rFonts w:ascii="Arial" w:hAnsi="Arial" w:cs="Arial"/>
          <w:lang w:val="es-MX"/>
        </w:rPr>
        <w:t>ACE D/I</w:t>
      </w:r>
      <w:r w:rsidR="00F660EF">
        <w:rPr>
          <w:rFonts w:ascii="Arial" w:hAnsi="Arial" w:cs="Arial"/>
          <w:lang w:val="es-MX"/>
        </w:rPr>
        <w:t xml:space="preserve">, </w:t>
      </w:r>
      <w:r w:rsidR="00F660EF" w:rsidRPr="00F660EF">
        <w:rPr>
          <w:rFonts w:ascii="Arial" w:hAnsi="Arial" w:cs="Arial"/>
          <w:lang w:val="es-MX"/>
        </w:rPr>
        <w:t>CNDP2 (rs7577)</w:t>
      </w:r>
      <w:r w:rsidR="00F660EF">
        <w:rPr>
          <w:rFonts w:ascii="Arial" w:hAnsi="Arial" w:cs="Arial"/>
          <w:lang w:val="es-MX"/>
        </w:rPr>
        <w:t xml:space="preserve">, </w:t>
      </w:r>
      <w:r w:rsidR="00F660EF" w:rsidRPr="00F660EF">
        <w:rPr>
          <w:rFonts w:ascii="Arial" w:hAnsi="Arial" w:cs="Arial"/>
          <w:lang w:val="es-MX"/>
        </w:rPr>
        <w:t>CNDP1 (rs2346061</w:t>
      </w:r>
      <w:r w:rsidR="00F660EF">
        <w:rPr>
          <w:rFonts w:ascii="Arial" w:hAnsi="Arial" w:cs="Arial"/>
          <w:lang w:val="es-MX"/>
        </w:rPr>
        <w:t xml:space="preserve">, </w:t>
      </w:r>
      <w:r w:rsidR="00F660EF" w:rsidRPr="00F660EF">
        <w:rPr>
          <w:rFonts w:ascii="Arial" w:hAnsi="Arial" w:cs="Arial"/>
          <w:lang w:val="es-MX"/>
        </w:rPr>
        <w:t>rs12604675)</w:t>
      </w:r>
      <w:r w:rsidR="00F660EF">
        <w:rPr>
          <w:rFonts w:ascii="Arial" w:hAnsi="Arial" w:cs="Arial"/>
          <w:lang w:val="es-MX"/>
        </w:rPr>
        <w:t xml:space="preserve">, </w:t>
      </w:r>
      <w:r w:rsidR="00F660EF" w:rsidRPr="00F660EF">
        <w:rPr>
          <w:rFonts w:ascii="Arial" w:hAnsi="Arial" w:cs="Arial"/>
          <w:lang w:val="es-MX"/>
        </w:rPr>
        <w:t>GABRR1 (rs9942471)</w:t>
      </w:r>
      <w:r w:rsidR="00F660EF">
        <w:rPr>
          <w:rFonts w:ascii="Arial" w:hAnsi="Arial" w:cs="Arial"/>
          <w:lang w:val="es-MX"/>
        </w:rPr>
        <w:t xml:space="preserve">, </w:t>
      </w:r>
      <w:r w:rsidR="00F660EF" w:rsidRPr="00F660EF">
        <w:rPr>
          <w:rFonts w:ascii="Arial" w:hAnsi="Arial" w:cs="Arial"/>
          <w:lang w:val="es-MX"/>
        </w:rPr>
        <w:t xml:space="preserve">CETP </w:t>
      </w:r>
      <w:r w:rsidR="00F660EF" w:rsidRPr="00F660EF">
        <w:rPr>
          <w:rFonts w:ascii="Arial" w:hAnsi="Arial" w:cs="Arial"/>
          <w:lang w:val="es-MX"/>
        </w:rPr>
        <w:lastRenderedPageBreak/>
        <w:t>rs1800775</w:t>
      </w:r>
      <w:r w:rsidR="00F660EF">
        <w:rPr>
          <w:rFonts w:ascii="Arial" w:hAnsi="Arial" w:cs="Arial"/>
          <w:lang w:val="es-MX"/>
        </w:rPr>
        <w:t>]</w:t>
      </w:r>
      <w:r w:rsidR="00F660EF" w:rsidRPr="00F660EF">
        <w:rPr>
          <w:rFonts w:ascii="Arial" w:hAnsi="Arial" w:cs="Arial"/>
        </w:rPr>
        <w:t>, the type of diabetes, the phenotype of diabetic kidney disease, study design, and sex</w:t>
      </w:r>
      <w:r w:rsidR="00F660EF">
        <w:rPr>
          <w:rFonts w:ascii="Arial" w:hAnsi="Arial" w:cs="Arial"/>
        </w:rPr>
        <w:t xml:space="preserve"> (</w:t>
      </w:r>
      <w:proofErr w:type="spellStart"/>
      <w:r w:rsidR="00F660EF" w:rsidRPr="007A17BD">
        <w:rPr>
          <w:rFonts w:ascii="Arial" w:hAnsi="Arial" w:cs="Arial"/>
        </w:rPr>
        <w:t>Giandalia</w:t>
      </w:r>
      <w:proofErr w:type="spellEnd"/>
      <w:r w:rsidR="00F660EF" w:rsidRPr="007A17BD">
        <w:rPr>
          <w:rFonts w:ascii="Arial" w:hAnsi="Arial" w:cs="Arial"/>
        </w:rPr>
        <w:t xml:space="preserve">, </w:t>
      </w:r>
      <w:r w:rsidR="00F660EF">
        <w:rPr>
          <w:rFonts w:ascii="Arial" w:hAnsi="Arial" w:cs="Arial"/>
        </w:rPr>
        <w:t xml:space="preserve">et al., </w:t>
      </w:r>
      <w:r w:rsidR="00F660EF" w:rsidRPr="007A17BD">
        <w:rPr>
          <w:rFonts w:ascii="Arial" w:hAnsi="Arial" w:cs="Arial"/>
        </w:rPr>
        <w:t>2021</w:t>
      </w:r>
      <w:r w:rsidR="00F660EF">
        <w:rPr>
          <w:rFonts w:ascii="Arial" w:hAnsi="Arial" w:cs="Arial"/>
        </w:rPr>
        <w:t>)</w:t>
      </w:r>
      <w:r w:rsidR="00F660EF" w:rsidRPr="00F660EF">
        <w:rPr>
          <w:rFonts w:ascii="Arial" w:hAnsi="Arial" w:cs="Arial"/>
        </w:rPr>
        <w:t>.</w:t>
      </w:r>
      <w:r w:rsidR="00E5425A">
        <w:rPr>
          <w:rFonts w:ascii="Arial" w:hAnsi="Arial" w:cs="Arial"/>
        </w:rPr>
        <w:t xml:space="preserve"> </w:t>
      </w:r>
      <w:r w:rsidR="00FD124D" w:rsidRPr="00FD124D">
        <w:rPr>
          <w:rFonts w:ascii="Arial" w:hAnsi="Arial" w:cs="Arial"/>
        </w:rPr>
        <w:t>In contrast, females display relatively greater cardiovascular risk</w:t>
      </w:r>
      <w:r w:rsidR="00E5425A">
        <w:rPr>
          <w:rFonts w:ascii="Arial" w:hAnsi="Arial" w:cs="Arial"/>
        </w:rPr>
        <w:t xml:space="preserve"> (</w:t>
      </w:r>
      <w:r w:rsidR="00E5425A" w:rsidRPr="00E5425A">
        <w:rPr>
          <w:rFonts w:ascii="Arial" w:hAnsi="Arial" w:cs="Arial"/>
        </w:rPr>
        <w:t xml:space="preserve">de Ritter, </w:t>
      </w:r>
      <w:r w:rsidR="00E5425A">
        <w:rPr>
          <w:rFonts w:ascii="Arial" w:hAnsi="Arial" w:cs="Arial"/>
        </w:rPr>
        <w:t xml:space="preserve">et al., </w:t>
      </w:r>
      <w:r w:rsidR="00E5425A" w:rsidRPr="00E5425A">
        <w:rPr>
          <w:rFonts w:ascii="Arial" w:hAnsi="Arial" w:cs="Arial"/>
        </w:rPr>
        <w:t>2020</w:t>
      </w:r>
      <w:r w:rsidR="00E5425A">
        <w:rPr>
          <w:rFonts w:ascii="Arial" w:hAnsi="Arial" w:cs="Arial"/>
        </w:rPr>
        <w:t xml:space="preserve">; </w:t>
      </w:r>
      <w:r w:rsidR="00E5425A" w:rsidRPr="00E5425A">
        <w:rPr>
          <w:rFonts w:ascii="Arial" w:hAnsi="Arial" w:cs="Arial"/>
        </w:rPr>
        <w:t>Kalyani RR, et al.</w:t>
      </w:r>
      <w:r w:rsidR="00E5425A">
        <w:rPr>
          <w:rFonts w:ascii="Arial" w:hAnsi="Arial" w:cs="Arial"/>
        </w:rPr>
        <w:t xml:space="preserve">, </w:t>
      </w:r>
      <w:r w:rsidR="00E5425A" w:rsidRPr="00E5425A">
        <w:rPr>
          <w:rFonts w:ascii="Arial" w:hAnsi="Arial" w:cs="Arial"/>
        </w:rPr>
        <w:t>2023</w:t>
      </w:r>
      <w:r w:rsidR="00E5425A">
        <w:rPr>
          <w:rFonts w:ascii="Arial" w:hAnsi="Arial" w:cs="Arial"/>
        </w:rPr>
        <w:t xml:space="preserve">; </w:t>
      </w:r>
      <w:r w:rsidR="00E5425A" w:rsidRPr="00E5425A">
        <w:rPr>
          <w:rFonts w:ascii="Arial" w:hAnsi="Arial" w:cs="Arial"/>
        </w:rPr>
        <w:t xml:space="preserve">Yoshida, </w:t>
      </w:r>
      <w:r w:rsidR="00E5425A">
        <w:rPr>
          <w:rFonts w:ascii="Arial" w:hAnsi="Arial" w:cs="Arial"/>
        </w:rPr>
        <w:t xml:space="preserve">et al., </w:t>
      </w:r>
      <w:r w:rsidR="00E5425A" w:rsidRPr="00E5425A">
        <w:rPr>
          <w:rFonts w:ascii="Arial" w:hAnsi="Arial" w:cs="Arial"/>
        </w:rPr>
        <w:t>2023</w:t>
      </w:r>
      <w:r w:rsidR="00E5425A">
        <w:rPr>
          <w:rFonts w:ascii="Arial" w:hAnsi="Arial" w:cs="Arial"/>
        </w:rPr>
        <w:t>)</w:t>
      </w:r>
      <w:r w:rsidR="00FD124D" w:rsidRPr="00FD124D">
        <w:rPr>
          <w:rFonts w:ascii="Arial" w:hAnsi="Arial" w:cs="Arial"/>
        </w:rPr>
        <w:t>, possibly reflecting biological as well as healthcare-related disparities.</w:t>
      </w:r>
    </w:p>
    <w:p w14:paraId="1579F35A" w14:textId="77777777" w:rsidR="0070700F" w:rsidRPr="0070700F" w:rsidRDefault="0070700F" w:rsidP="0070700F">
      <w:pPr>
        <w:pStyle w:val="Body"/>
        <w:spacing w:after="0"/>
        <w:rPr>
          <w:rFonts w:ascii="Arial" w:hAnsi="Arial" w:cs="Arial"/>
        </w:rPr>
      </w:pPr>
    </w:p>
    <w:p w14:paraId="027972AE" w14:textId="18F83F2E" w:rsidR="0070700F" w:rsidRPr="0070700F" w:rsidRDefault="0070700F" w:rsidP="00A64C95">
      <w:pPr>
        <w:pStyle w:val="Body"/>
        <w:spacing w:after="0"/>
        <w:rPr>
          <w:rFonts w:ascii="Arial" w:hAnsi="Arial" w:cs="Arial"/>
        </w:rPr>
      </w:pPr>
      <w:r w:rsidRPr="0070700F">
        <w:rPr>
          <w:rFonts w:ascii="Arial" w:hAnsi="Arial" w:cs="Arial"/>
        </w:rPr>
        <w:t xml:space="preserve">In advanced age (≥80 years), hypertension becomes nearly universal, and multimorbidity adopts a geriatric profile, with frailty, gait disorders, cognitive decline, depression, and glaucoma superimposed on cardiometabolic disease. Women show greater functional disability and mobility impairment, whereas men present higher burdens of </w:t>
      </w:r>
      <w:r w:rsidR="00E5425A">
        <w:rPr>
          <w:rFonts w:ascii="Arial" w:hAnsi="Arial" w:cs="Arial"/>
        </w:rPr>
        <w:t xml:space="preserve">chronic obstructive pulmonary disease </w:t>
      </w:r>
      <w:r w:rsidRPr="0070700F">
        <w:rPr>
          <w:rFonts w:ascii="Arial" w:hAnsi="Arial" w:cs="Arial"/>
        </w:rPr>
        <w:t>and prostatic disease.</w:t>
      </w:r>
    </w:p>
    <w:p w14:paraId="11F4D7B4" w14:textId="77777777" w:rsidR="0070700F" w:rsidRPr="00893E8A" w:rsidRDefault="0070700F" w:rsidP="00A64C95">
      <w:pPr>
        <w:pStyle w:val="Body"/>
        <w:spacing w:after="0"/>
        <w:rPr>
          <w:rFonts w:ascii="Arial" w:hAnsi="Arial" w:cs="Arial"/>
        </w:rPr>
      </w:pPr>
    </w:p>
    <w:p w14:paraId="57A034A7" w14:textId="77777777" w:rsidR="00C81973" w:rsidRPr="0054404D" w:rsidRDefault="00C81973" w:rsidP="00A64C95">
      <w:pPr>
        <w:pStyle w:val="Body"/>
        <w:spacing w:after="0"/>
        <w:rPr>
          <w:rFonts w:ascii="Arial" w:hAnsi="Arial" w:cs="Arial"/>
        </w:rPr>
      </w:pPr>
      <w:r w:rsidRPr="0054404D">
        <w:rPr>
          <w:rFonts w:ascii="Arial" w:hAnsi="Arial" w:cs="Arial"/>
          <w:b/>
          <w:caps/>
          <w:sz w:val="22"/>
        </w:rPr>
        <w:t>3.</w:t>
      </w:r>
      <w:r>
        <w:rPr>
          <w:rFonts w:ascii="Arial" w:hAnsi="Arial" w:cs="Arial"/>
          <w:b/>
          <w:caps/>
          <w:sz w:val="22"/>
        </w:rPr>
        <w:t>5</w:t>
      </w:r>
      <w:r w:rsidRPr="0054404D">
        <w:rPr>
          <w:rFonts w:ascii="Arial" w:hAnsi="Arial" w:cs="Arial"/>
          <w:b/>
          <w:caps/>
          <w:sz w:val="22"/>
        </w:rPr>
        <w:t xml:space="preserve"> </w:t>
      </w:r>
      <w:r w:rsidRPr="0054404D">
        <w:rPr>
          <w:rFonts w:ascii="Arial" w:hAnsi="Arial" w:cs="Arial"/>
          <w:b/>
          <w:sz w:val="22"/>
        </w:rPr>
        <w:t>Limit</w:t>
      </w:r>
      <w:r>
        <w:rPr>
          <w:rFonts w:ascii="Arial" w:hAnsi="Arial" w:cs="Arial"/>
          <w:b/>
          <w:sz w:val="22"/>
        </w:rPr>
        <w:t>ation</w:t>
      </w:r>
      <w:r w:rsidRPr="0054404D">
        <w:rPr>
          <w:rFonts w:ascii="Arial" w:hAnsi="Arial" w:cs="Arial"/>
          <w:b/>
          <w:sz w:val="22"/>
        </w:rPr>
        <w:t>s</w:t>
      </w:r>
      <w:r>
        <w:rPr>
          <w:rFonts w:ascii="Arial" w:hAnsi="Arial" w:cs="Arial"/>
          <w:b/>
          <w:sz w:val="22"/>
        </w:rPr>
        <w:t xml:space="preserve"> and applications</w:t>
      </w:r>
      <w:r w:rsidRPr="0054404D">
        <w:rPr>
          <w:rFonts w:ascii="Arial" w:hAnsi="Arial" w:cs="Arial"/>
          <w:b/>
          <w:sz w:val="22"/>
        </w:rPr>
        <w:t>.</w:t>
      </w:r>
    </w:p>
    <w:p w14:paraId="3810C688" w14:textId="22E935A7" w:rsidR="00C81973" w:rsidRPr="004F6D11" w:rsidRDefault="00121804" w:rsidP="00A64C95">
      <w:pPr>
        <w:spacing w:after="0" w:line="240" w:lineRule="auto"/>
        <w:jc w:val="both"/>
        <w:rPr>
          <w:rFonts w:ascii="Arial" w:hAnsi="Arial" w:cs="Arial"/>
          <w:sz w:val="20"/>
          <w:szCs w:val="20"/>
        </w:rPr>
      </w:pPr>
      <w:r w:rsidRPr="00121804">
        <w:rPr>
          <w:rFonts w:ascii="Arial" w:hAnsi="Arial" w:cs="Arial"/>
          <w:sz w:val="20"/>
          <w:szCs w:val="20"/>
        </w:rPr>
        <w:t>Cross-</w:t>
      </w:r>
      <w:proofErr w:type="spellStart"/>
      <w:r w:rsidRPr="00121804">
        <w:rPr>
          <w:rFonts w:ascii="Arial" w:hAnsi="Arial" w:cs="Arial"/>
          <w:sz w:val="20"/>
          <w:szCs w:val="20"/>
        </w:rPr>
        <w:t>sectional</w:t>
      </w:r>
      <w:proofErr w:type="spellEnd"/>
      <w:r w:rsidRPr="00121804">
        <w:rPr>
          <w:rFonts w:ascii="Arial" w:hAnsi="Arial" w:cs="Arial"/>
          <w:sz w:val="20"/>
          <w:szCs w:val="20"/>
        </w:rPr>
        <w:t xml:space="preserve"> </w:t>
      </w:r>
      <w:proofErr w:type="spellStart"/>
      <w:r w:rsidRPr="00121804">
        <w:rPr>
          <w:rFonts w:ascii="Arial" w:hAnsi="Arial" w:cs="Arial"/>
          <w:sz w:val="20"/>
          <w:szCs w:val="20"/>
        </w:rPr>
        <w:t>studies</w:t>
      </w:r>
      <w:proofErr w:type="spellEnd"/>
      <w:r w:rsidRPr="00121804">
        <w:rPr>
          <w:rFonts w:ascii="Arial" w:hAnsi="Arial" w:cs="Arial"/>
          <w:sz w:val="20"/>
          <w:szCs w:val="20"/>
        </w:rPr>
        <w:t xml:space="preserve"> </w:t>
      </w:r>
      <w:proofErr w:type="spellStart"/>
      <w:r w:rsidRPr="00121804">
        <w:rPr>
          <w:rFonts w:ascii="Arial" w:hAnsi="Arial" w:cs="Arial"/>
          <w:sz w:val="20"/>
          <w:szCs w:val="20"/>
        </w:rPr>
        <w:t>offer</w:t>
      </w:r>
      <w:proofErr w:type="spellEnd"/>
      <w:r w:rsidRPr="00121804">
        <w:rPr>
          <w:rFonts w:ascii="Arial" w:hAnsi="Arial" w:cs="Arial"/>
          <w:sz w:val="20"/>
          <w:szCs w:val="20"/>
        </w:rPr>
        <w:t xml:space="preserve"> </w:t>
      </w:r>
      <w:proofErr w:type="spellStart"/>
      <w:r w:rsidRPr="00121804">
        <w:rPr>
          <w:rFonts w:ascii="Arial" w:hAnsi="Arial" w:cs="Arial"/>
          <w:sz w:val="20"/>
          <w:szCs w:val="20"/>
        </w:rPr>
        <w:t>valuable</w:t>
      </w:r>
      <w:proofErr w:type="spellEnd"/>
      <w:r w:rsidRPr="00121804">
        <w:rPr>
          <w:rFonts w:ascii="Arial" w:hAnsi="Arial" w:cs="Arial"/>
          <w:sz w:val="20"/>
          <w:szCs w:val="20"/>
        </w:rPr>
        <w:t xml:space="preserve"> </w:t>
      </w:r>
      <w:proofErr w:type="spellStart"/>
      <w:r w:rsidRPr="00121804">
        <w:rPr>
          <w:rFonts w:ascii="Arial" w:hAnsi="Arial" w:cs="Arial"/>
          <w:sz w:val="20"/>
          <w:szCs w:val="20"/>
        </w:rPr>
        <w:t>insights</w:t>
      </w:r>
      <w:proofErr w:type="spellEnd"/>
      <w:r w:rsidRPr="00121804">
        <w:rPr>
          <w:rFonts w:ascii="Arial" w:hAnsi="Arial" w:cs="Arial"/>
          <w:sz w:val="20"/>
          <w:szCs w:val="20"/>
        </w:rPr>
        <w:t xml:space="preserve"> </w:t>
      </w:r>
      <w:proofErr w:type="spellStart"/>
      <w:r w:rsidRPr="00121804">
        <w:rPr>
          <w:rFonts w:ascii="Arial" w:hAnsi="Arial" w:cs="Arial"/>
          <w:sz w:val="20"/>
          <w:szCs w:val="20"/>
        </w:rPr>
        <w:t>into</w:t>
      </w:r>
      <w:proofErr w:type="spellEnd"/>
      <w:r w:rsidRPr="00121804">
        <w:rPr>
          <w:rFonts w:ascii="Arial" w:hAnsi="Arial" w:cs="Arial"/>
          <w:sz w:val="20"/>
          <w:szCs w:val="20"/>
        </w:rPr>
        <w:t xml:space="preserve"> </w:t>
      </w:r>
      <w:proofErr w:type="spellStart"/>
      <w:r w:rsidRPr="00121804">
        <w:rPr>
          <w:rFonts w:ascii="Arial" w:hAnsi="Arial" w:cs="Arial"/>
          <w:sz w:val="20"/>
          <w:szCs w:val="20"/>
        </w:rPr>
        <w:t>the</w:t>
      </w:r>
      <w:proofErr w:type="spellEnd"/>
      <w:r w:rsidRPr="00121804">
        <w:rPr>
          <w:rFonts w:ascii="Arial" w:hAnsi="Arial" w:cs="Arial"/>
          <w:sz w:val="20"/>
          <w:szCs w:val="20"/>
        </w:rPr>
        <w:t xml:space="preserve"> </w:t>
      </w:r>
      <w:proofErr w:type="spellStart"/>
      <w:r w:rsidRPr="00121804">
        <w:rPr>
          <w:rFonts w:ascii="Arial" w:hAnsi="Arial" w:cs="Arial"/>
          <w:sz w:val="20"/>
          <w:szCs w:val="20"/>
        </w:rPr>
        <w:t>prevalence</w:t>
      </w:r>
      <w:proofErr w:type="spellEnd"/>
      <w:r w:rsidRPr="00121804">
        <w:rPr>
          <w:rFonts w:ascii="Arial" w:hAnsi="Arial" w:cs="Arial"/>
          <w:sz w:val="20"/>
          <w:szCs w:val="20"/>
        </w:rPr>
        <w:t xml:space="preserve"> and </w:t>
      </w:r>
      <w:proofErr w:type="spellStart"/>
      <w:r w:rsidRPr="00121804">
        <w:rPr>
          <w:rFonts w:ascii="Arial" w:hAnsi="Arial" w:cs="Arial"/>
          <w:sz w:val="20"/>
          <w:szCs w:val="20"/>
        </w:rPr>
        <w:t>distribution</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diabetes and </w:t>
      </w:r>
      <w:proofErr w:type="spellStart"/>
      <w:r w:rsidRPr="00121804">
        <w:rPr>
          <w:rFonts w:ascii="Arial" w:hAnsi="Arial" w:cs="Arial"/>
          <w:sz w:val="20"/>
          <w:szCs w:val="20"/>
        </w:rPr>
        <w:t>its</w:t>
      </w:r>
      <w:proofErr w:type="spellEnd"/>
      <w:r w:rsidRPr="00121804">
        <w:rPr>
          <w:rFonts w:ascii="Arial" w:hAnsi="Arial" w:cs="Arial"/>
          <w:sz w:val="20"/>
          <w:szCs w:val="20"/>
        </w:rPr>
        <w:t xml:space="preserve"> </w:t>
      </w:r>
      <w:proofErr w:type="spellStart"/>
      <w:r w:rsidRPr="00121804">
        <w:rPr>
          <w:rFonts w:ascii="Arial" w:hAnsi="Arial" w:cs="Arial"/>
          <w:sz w:val="20"/>
          <w:szCs w:val="20"/>
        </w:rPr>
        <w:t>complications</w:t>
      </w:r>
      <w:proofErr w:type="spellEnd"/>
      <w:r w:rsidRPr="00121804">
        <w:rPr>
          <w:rFonts w:ascii="Arial" w:hAnsi="Arial" w:cs="Arial"/>
          <w:sz w:val="20"/>
          <w:szCs w:val="20"/>
        </w:rPr>
        <w:t xml:space="preserve">, as </w:t>
      </w:r>
      <w:proofErr w:type="spellStart"/>
      <w:r w:rsidRPr="00121804">
        <w:rPr>
          <w:rFonts w:ascii="Arial" w:hAnsi="Arial" w:cs="Arial"/>
          <w:sz w:val="20"/>
          <w:szCs w:val="20"/>
        </w:rPr>
        <w:t>well</w:t>
      </w:r>
      <w:proofErr w:type="spellEnd"/>
      <w:r w:rsidRPr="00121804">
        <w:rPr>
          <w:rFonts w:ascii="Arial" w:hAnsi="Arial" w:cs="Arial"/>
          <w:sz w:val="20"/>
          <w:szCs w:val="20"/>
        </w:rPr>
        <w:t xml:space="preserve"> as </w:t>
      </w:r>
      <w:proofErr w:type="spellStart"/>
      <w:r w:rsidRPr="00121804">
        <w:rPr>
          <w:rFonts w:ascii="Arial" w:hAnsi="Arial" w:cs="Arial"/>
          <w:sz w:val="20"/>
          <w:szCs w:val="20"/>
        </w:rPr>
        <w:t>into</w:t>
      </w:r>
      <w:proofErr w:type="spellEnd"/>
      <w:r w:rsidRPr="00121804">
        <w:rPr>
          <w:rFonts w:ascii="Arial" w:hAnsi="Arial" w:cs="Arial"/>
          <w:sz w:val="20"/>
          <w:szCs w:val="20"/>
        </w:rPr>
        <w:t xml:space="preserve"> sex-</w:t>
      </w:r>
      <w:proofErr w:type="spellStart"/>
      <w:r w:rsidRPr="00121804">
        <w:rPr>
          <w:rFonts w:ascii="Arial" w:hAnsi="Arial" w:cs="Arial"/>
          <w:sz w:val="20"/>
          <w:szCs w:val="20"/>
        </w:rPr>
        <w:t>related</w:t>
      </w:r>
      <w:proofErr w:type="spellEnd"/>
      <w:r w:rsidRPr="00121804">
        <w:rPr>
          <w:rFonts w:ascii="Arial" w:hAnsi="Arial" w:cs="Arial"/>
          <w:sz w:val="20"/>
          <w:szCs w:val="20"/>
        </w:rPr>
        <w:t xml:space="preserve"> </w:t>
      </w:r>
      <w:proofErr w:type="spellStart"/>
      <w:r w:rsidRPr="00121804">
        <w:rPr>
          <w:rFonts w:ascii="Arial" w:hAnsi="Arial" w:cs="Arial"/>
          <w:sz w:val="20"/>
          <w:szCs w:val="20"/>
        </w:rPr>
        <w:t>differences</w:t>
      </w:r>
      <w:proofErr w:type="spellEnd"/>
      <w:r w:rsidRPr="00121804">
        <w:rPr>
          <w:rFonts w:ascii="Arial" w:hAnsi="Arial" w:cs="Arial"/>
          <w:sz w:val="20"/>
          <w:szCs w:val="20"/>
        </w:rPr>
        <w:t xml:space="preserve"> </w:t>
      </w:r>
      <w:proofErr w:type="spellStart"/>
      <w:r w:rsidRPr="00121804">
        <w:rPr>
          <w:rFonts w:ascii="Arial" w:hAnsi="Arial" w:cs="Arial"/>
          <w:sz w:val="20"/>
          <w:szCs w:val="20"/>
        </w:rPr>
        <w:t>within</w:t>
      </w:r>
      <w:proofErr w:type="spellEnd"/>
      <w:r w:rsidRPr="00121804">
        <w:rPr>
          <w:rFonts w:ascii="Arial" w:hAnsi="Arial" w:cs="Arial"/>
          <w:sz w:val="20"/>
          <w:szCs w:val="20"/>
        </w:rPr>
        <w:t xml:space="preserve"> </w:t>
      </w:r>
      <w:proofErr w:type="spellStart"/>
      <w:r w:rsidRPr="00121804">
        <w:rPr>
          <w:rFonts w:ascii="Arial" w:hAnsi="Arial" w:cs="Arial"/>
          <w:sz w:val="20"/>
          <w:szCs w:val="20"/>
        </w:rPr>
        <w:t>affected</w:t>
      </w:r>
      <w:proofErr w:type="spellEnd"/>
      <w:r w:rsidRPr="00121804">
        <w:rPr>
          <w:rFonts w:ascii="Arial" w:hAnsi="Arial" w:cs="Arial"/>
          <w:sz w:val="20"/>
          <w:szCs w:val="20"/>
        </w:rPr>
        <w:t xml:space="preserve"> </w:t>
      </w:r>
      <w:proofErr w:type="spellStart"/>
      <w:r w:rsidRPr="00121804">
        <w:rPr>
          <w:rFonts w:ascii="Arial" w:hAnsi="Arial" w:cs="Arial"/>
          <w:sz w:val="20"/>
          <w:szCs w:val="20"/>
        </w:rPr>
        <w:t>populations</w:t>
      </w:r>
      <w:proofErr w:type="spellEnd"/>
      <w:r w:rsidRPr="00121804">
        <w:rPr>
          <w:rFonts w:ascii="Arial" w:hAnsi="Arial" w:cs="Arial"/>
          <w:sz w:val="20"/>
          <w:szCs w:val="20"/>
        </w:rPr>
        <w:t xml:space="preserve">. </w:t>
      </w:r>
      <w:proofErr w:type="spellStart"/>
      <w:r w:rsidRPr="00121804">
        <w:rPr>
          <w:rFonts w:ascii="Arial" w:hAnsi="Arial" w:cs="Arial"/>
          <w:sz w:val="20"/>
          <w:szCs w:val="20"/>
        </w:rPr>
        <w:t>Nonetheless</w:t>
      </w:r>
      <w:proofErr w:type="spellEnd"/>
      <w:r w:rsidRPr="00121804">
        <w:rPr>
          <w:rFonts w:ascii="Arial" w:hAnsi="Arial" w:cs="Arial"/>
          <w:sz w:val="20"/>
          <w:szCs w:val="20"/>
        </w:rPr>
        <w:t xml:space="preserve">, </w:t>
      </w:r>
      <w:proofErr w:type="spellStart"/>
      <w:r w:rsidRPr="00121804">
        <w:rPr>
          <w:rFonts w:ascii="Arial" w:hAnsi="Arial" w:cs="Arial"/>
          <w:sz w:val="20"/>
          <w:szCs w:val="20"/>
        </w:rPr>
        <w:t>several</w:t>
      </w:r>
      <w:proofErr w:type="spellEnd"/>
      <w:r w:rsidRPr="00121804">
        <w:rPr>
          <w:rFonts w:ascii="Arial" w:hAnsi="Arial" w:cs="Arial"/>
          <w:sz w:val="20"/>
          <w:szCs w:val="20"/>
        </w:rPr>
        <w:t xml:space="preserve"> </w:t>
      </w:r>
      <w:proofErr w:type="spellStart"/>
      <w:r w:rsidRPr="00121804">
        <w:rPr>
          <w:rFonts w:ascii="Arial" w:hAnsi="Arial" w:cs="Arial"/>
          <w:sz w:val="20"/>
          <w:szCs w:val="20"/>
        </w:rPr>
        <w:t>methodological</w:t>
      </w:r>
      <w:proofErr w:type="spellEnd"/>
      <w:r w:rsidRPr="00121804">
        <w:rPr>
          <w:rFonts w:ascii="Arial" w:hAnsi="Arial" w:cs="Arial"/>
          <w:sz w:val="20"/>
          <w:szCs w:val="20"/>
        </w:rPr>
        <w:t xml:space="preserve"> </w:t>
      </w:r>
      <w:proofErr w:type="spellStart"/>
      <w:r w:rsidRPr="00121804">
        <w:rPr>
          <w:rFonts w:ascii="Arial" w:hAnsi="Arial" w:cs="Arial"/>
          <w:sz w:val="20"/>
          <w:szCs w:val="20"/>
        </w:rPr>
        <w:t>limitations</w:t>
      </w:r>
      <w:proofErr w:type="spellEnd"/>
      <w:r w:rsidRPr="00121804">
        <w:rPr>
          <w:rFonts w:ascii="Arial" w:hAnsi="Arial" w:cs="Arial"/>
          <w:sz w:val="20"/>
          <w:szCs w:val="20"/>
        </w:rPr>
        <w:t xml:space="preserve"> </w:t>
      </w:r>
      <w:proofErr w:type="spellStart"/>
      <w:r w:rsidRPr="00121804">
        <w:rPr>
          <w:rFonts w:ascii="Arial" w:hAnsi="Arial" w:cs="Arial"/>
          <w:sz w:val="20"/>
          <w:szCs w:val="20"/>
        </w:rPr>
        <w:t>should</w:t>
      </w:r>
      <w:proofErr w:type="spellEnd"/>
      <w:r w:rsidRPr="00121804">
        <w:rPr>
          <w:rFonts w:ascii="Arial" w:hAnsi="Arial" w:cs="Arial"/>
          <w:sz w:val="20"/>
          <w:szCs w:val="20"/>
        </w:rPr>
        <w:t xml:space="preserve"> be </w:t>
      </w:r>
      <w:proofErr w:type="spellStart"/>
      <w:r w:rsidRPr="00121804">
        <w:rPr>
          <w:rFonts w:ascii="Arial" w:hAnsi="Arial" w:cs="Arial"/>
          <w:sz w:val="20"/>
          <w:szCs w:val="20"/>
        </w:rPr>
        <w:t>considered</w:t>
      </w:r>
      <w:proofErr w:type="spellEnd"/>
      <w:r w:rsidRPr="00121804">
        <w:rPr>
          <w:rFonts w:ascii="Arial" w:hAnsi="Arial" w:cs="Arial"/>
          <w:sz w:val="20"/>
          <w:szCs w:val="20"/>
        </w:rPr>
        <w:t xml:space="preserve">. </w:t>
      </w:r>
      <w:proofErr w:type="spellStart"/>
      <w:r w:rsidRPr="00121804">
        <w:rPr>
          <w:rFonts w:ascii="Arial" w:hAnsi="Arial" w:cs="Arial"/>
          <w:sz w:val="20"/>
          <w:szCs w:val="20"/>
        </w:rPr>
        <w:t>By</w:t>
      </w:r>
      <w:proofErr w:type="spellEnd"/>
      <w:r w:rsidRPr="00121804">
        <w:rPr>
          <w:rFonts w:ascii="Arial" w:hAnsi="Arial" w:cs="Arial"/>
          <w:sz w:val="20"/>
          <w:szCs w:val="20"/>
        </w:rPr>
        <w:t xml:space="preserve"> </w:t>
      </w:r>
      <w:proofErr w:type="spellStart"/>
      <w:r w:rsidRPr="00121804">
        <w:rPr>
          <w:rFonts w:ascii="Arial" w:hAnsi="Arial" w:cs="Arial"/>
          <w:sz w:val="20"/>
          <w:szCs w:val="20"/>
        </w:rPr>
        <w:t>design</w:t>
      </w:r>
      <w:proofErr w:type="spellEnd"/>
      <w:r w:rsidRPr="00121804">
        <w:rPr>
          <w:rFonts w:ascii="Arial" w:hAnsi="Arial" w:cs="Arial"/>
          <w:sz w:val="20"/>
          <w:szCs w:val="20"/>
        </w:rPr>
        <w:t xml:space="preserve">, </w:t>
      </w:r>
      <w:proofErr w:type="spellStart"/>
      <w:r w:rsidRPr="00121804">
        <w:rPr>
          <w:rFonts w:ascii="Arial" w:hAnsi="Arial" w:cs="Arial"/>
          <w:sz w:val="20"/>
          <w:szCs w:val="20"/>
        </w:rPr>
        <w:t>cross-sectional</w:t>
      </w:r>
      <w:proofErr w:type="spellEnd"/>
      <w:r w:rsidRPr="00121804">
        <w:rPr>
          <w:rFonts w:ascii="Arial" w:hAnsi="Arial" w:cs="Arial"/>
          <w:sz w:val="20"/>
          <w:szCs w:val="20"/>
        </w:rPr>
        <w:t xml:space="preserve"> </w:t>
      </w:r>
      <w:proofErr w:type="spellStart"/>
      <w:r w:rsidRPr="00121804">
        <w:rPr>
          <w:rFonts w:ascii="Arial" w:hAnsi="Arial" w:cs="Arial"/>
          <w:sz w:val="20"/>
          <w:szCs w:val="20"/>
        </w:rPr>
        <w:t>studies</w:t>
      </w:r>
      <w:proofErr w:type="spellEnd"/>
      <w:r w:rsidRPr="00121804">
        <w:rPr>
          <w:rFonts w:ascii="Arial" w:hAnsi="Arial" w:cs="Arial"/>
          <w:sz w:val="20"/>
          <w:szCs w:val="20"/>
        </w:rPr>
        <w:t xml:space="preserve"> capture </w:t>
      </w:r>
      <w:proofErr w:type="spellStart"/>
      <w:r w:rsidRPr="00121804">
        <w:rPr>
          <w:rFonts w:ascii="Arial" w:hAnsi="Arial" w:cs="Arial"/>
          <w:sz w:val="20"/>
          <w:szCs w:val="20"/>
        </w:rPr>
        <w:t>information</w:t>
      </w:r>
      <w:proofErr w:type="spellEnd"/>
      <w:r w:rsidRPr="00121804">
        <w:rPr>
          <w:rFonts w:ascii="Arial" w:hAnsi="Arial" w:cs="Arial"/>
          <w:sz w:val="20"/>
          <w:szCs w:val="20"/>
        </w:rPr>
        <w:t xml:space="preserve"> at a single </w:t>
      </w:r>
      <w:proofErr w:type="spellStart"/>
      <w:r w:rsidRPr="00121804">
        <w:rPr>
          <w:rFonts w:ascii="Arial" w:hAnsi="Arial" w:cs="Arial"/>
          <w:sz w:val="20"/>
          <w:szCs w:val="20"/>
        </w:rPr>
        <w:t>point</w:t>
      </w:r>
      <w:proofErr w:type="spellEnd"/>
      <w:r w:rsidRPr="00121804">
        <w:rPr>
          <w:rFonts w:ascii="Arial" w:hAnsi="Arial" w:cs="Arial"/>
          <w:sz w:val="20"/>
          <w:szCs w:val="20"/>
        </w:rPr>
        <w:t xml:space="preserve"> in time, </w:t>
      </w:r>
      <w:proofErr w:type="spellStart"/>
      <w:r w:rsidRPr="00121804">
        <w:rPr>
          <w:rFonts w:ascii="Arial" w:hAnsi="Arial" w:cs="Arial"/>
          <w:sz w:val="20"/>
          <w:szCs w:val="20"/>
        </w:rPr>
        <w:t>which</w:t>
      </w:r>
      <w:proofErr w:type="spellEnd"/>
      <w:r w:rsidRPr="00121804">
        <w:rPr>
          <w:rFonts w:ascii="Arial" w:hAnsi="Arial" w:cs="Arial"/>
          <w:sz w:val="20"/>
          <w:szCs w:val="20"/>
        </w:rPr>
        <w:t xml:space="preserve"> </w:t>
      </w:r>
      <w:proofErr w:type="spellStart"/>
      <w:r w:rsidRPr="00121804">
        <w:rPr>
          <w:rFonts w:ascii="Arial" w:hAnsi="Arial" w:cs="Arial"/>
          <w:sz w:val="20"/>
          <w:szCs w:val="20"/>
        </w:rPr>
        <w:t>prevents</w:t>
      </w:r>
      <w:proofErr w:type="spellEnd"/>
      <w:r w:rsidRPr="00121804">
        <w:rPr>
          <w:rFonts w:ascii="Arial" w:hAnsi="Arial" w:cs="Arial"/>
          <w:sz w:val="20"/>
          <w:szCs w:val="20"/>
        </w:rPr>
        <w:t xml:space="preserve"> </w:t>
      </w:r>
      <w:proofErr w:type="spellStart"/>
      <w:r w:rsidRPr="00121804">
        <w:rPr>
          <w:rFonts w:ascii="Arial" w:hAnsi="Arial" w:cs="Arial"/>
          <w:sz w:val="20"/>
          <w:szCs w:val="20"/>
        </w:rPr>
        <w:t>the</w:t>
      </w:r>
      <w:proofErr w:type="spellEnd"/>
      <w:r w:rsidRPr="00121804">
        <w:rPr>
          <w:rFonts w:ascii="Arial" w:hAnsi="Arial" w:cs="Arial"/>
          <w:sz w:val="20"/>
          <w:szCs w:val="20"/>
        </w:rPr>
        <w:t xml:space="preserve"> establishment </w:t>
      </w:r>
      <w:proofErr w:type="spellStart"/>
      <w:r w:rsidRPr="00121804">
        <w:rPr>
          <w:rFonts w:ascii="Arial" w:hAnsi="Arial" w:cs="Arial"/>
          <w:sz w:val="20"/>
          <w:szCs w:val="20"/>
        </w:rPr>
        <w:t>of</w:t>
      </w:r>
      <w:proofErr w:type="spellEnd"/>
      <w:r w:rsidRPr="00121804">
        <w:rPr>
          <w:rFonts w:ascii="Arial" w:hAnsi="Arial" w:cs="Arial"/>
          <w:sz w:val="20"/>
          <w:szCs w:val="20"/>
        </w:rPr>
        <w:t xml:space="preserve"> temporal </w:t>
      </w:r>
      <w:proofErr w:type="spellStart"/>
      <w:r w:rsidRPr="00121804">
        <w:rPr>
          <w:rFonts w:ascii="Arial" w:hAnsi="Arial" w:cs="Arial"/>
          <w:sz w:val="20"/>
          <w:szCs w:val="20"/>
        </w:rPr>
        <w:t>or</w:t>
      </w:r>
      <w:proofErr w:type="spellEnd"/>
      <w:r w:rsidRPr="00121804">
        <w:rPr>
          <w:rFonts w:ascii="Arial" w:hAnsi="Arial" w:cs="Arial"/>
          <w:sz w:val="20"/>
          <w:szCs w:val="20"/>
        </w:rPr>
        <w:t xml:space="preserve"> causal </w:t>
      </w:r>
      <w:proofErr w:type="spellStart"/>
      <w:r w:rsidRPr="00121804">
        <w:rPr>
          <w:rFonts w:ascii="Arial" w:hAnsi="Arial" w:cs="Arial"/>
          <w:sz w:val="20"/>
          <w:szCs w:val="20"/>
        </w:rPr>
        <w:t>relationships</w:t>
      </w:r>
      <w:proofErr w:type="spellEnd"/>
      <w:r w:rsidRPr="00121804">
        <w:rPr>
          <w:rFonts w:ascii="Arial" w:hAnsi="Arial" w:cs="Arial"/>
          <w:sz w:val="20"/>
          <w:szCs w:val="20"/>
        </w:rPr>
        <w:t xml:space="preserve">. In </w:t>
      </w:r>
      <w:proofErr w:type="spellStart"/>
      <w:r w:rsidRPr="00121804">
        <w:rPr>
          <w:rFonts w:ascii="Arial" w:hAnsi="Arial" w:cs="Arial"/>
          <w:sz w:val="20"/>
          <w:szCs w:val="20"/>
        </w:rPr>
        <w:t>addition</w:t>
      </w:r>
      <w:proofErr w:type="spellEnd"/>
      <w:r w:rsidRPr="00121804">
        <w:rPr>
          <w:rFonts w:ascii="Arial" w:hAnsi="Arial" w:cs="Arial"/>
          <w:sz w:val="20"/>
          <w:szCs w:val="20"/>
        </w:rPr>
        <w:t xml:space="preserve">, </w:t>
      </w:r>
      <w:proofErr w:type="spellStart"/>
      <w:r w:rsidRPr="00121804">
        <w:rPr>
          <w:rFonts w:ascii="Arial" w:hAnsi="Arial" w:cs="Arial"/>
          <w:sz w:val="20"/>
          <w:szCs w:val="20"/>
        </w:rPr>
        <w:t>clinical</w:t>
      </w:r>
      <w:proofErr w:type="spellEnd"/>
      <w:r w:rsidRPr="00121804">
        <w:rPr>
          <w:rFonts w:ascii="Arial" w:hAnsi="Arial" w:cs="Arial"/>
          <w:sz w:val="20"/>
          <w:szCs w:val="20"/>
        </w:rPr>
        <w:t xml:space="preserve"> </w:t>
      </w:r>
      <w:proofErr w:type="spellStart"/>
      <w:r w:rsidRPr="00121804">
        <w:rPr>
          <w:rFonts w:ascii="Arial" w:hAnsi="Arial" w:cs="Arial"/>
          <w:sz w:val="20"/>
          <w:szCs w:val="20"/>
        </w:rPr>
        <w:t>heterogeneity</w:t>
      </w:r>
      <w:proofErr w:type="spellEnd"/>
      <w:r w:rsidRPr="00121804">
        <w:rPr>
          <w:rFonts w:ascii="Arial" w:hAnsi="Arial" w:cs="Arial"/>
          <w:sz w:val="20"/>
          <w:szCs w:val="20"/>
        </w:rPr>
        <w:t xml:space="preserve"> </w:t>
      </w:r>
      <w:proofErr w:type="spellStart"/>
      <w:r w:rsidRPr="00121804">
        <w:rPr>
          <w:rFonts w:ascii="Arial" w:hAnsi="Arial" w:cs="Arial"/>
          <w:sz w:val="20"/>
          <w:szCs w:val="20"/>
        </w:rPr>
        <w:t>across</w:t>
      </w:r>
      <w:proofErr w:type="spellEnd"/>
      <w:r w:rsidRPr="00121804">
        <w:rPr>
          <w:rFonts w:ascii="Arial" w:hAnsi="Arial" w:cs="Arial"/>
          <w:sz w:val="20"/>
          <w:szCs w:val="20"/>
        </w:rPr>
        <w:t xml:space="preserve"> </w:t>
      </w:r>
      <w:proofErr w:type="spellStart"/>
      <w:r w:rsidRPr="00121804">
        <w:rPr>
          <w:rFonts w:ascii="Arial" w:hAnsi="Arial" w:cs="Arial"/>
          <w:sz w:val="20"/>
          <w:szCs w:val="20"/>
        </w:rPr>
        <w:t>populations</w:t>
      </w:r>
      <w:proofErr w:type="spellEnd"/>
      <w:r w:rsidRPr="00121804">
        <w:rPr>
          <w:rFonts w:ascii="Arial" w:hAnsi="Arial" w:cs="Arial"/>
          <w:sz w:val="20"/>
          <w:szCs w:val="20"/>
        </w:rPr>
        <w:t xml:space="preserve">, </w:t>
      </w:r>
      <w:proofErr w:type="spellStart"/>
      <w:r w:rsidRPr="00121804">
        <w:rPr>
          <w:rFonts w:ascii="Arial" w:hAnsi="Arial" w:cs="Arial"/>
          <w:sz w:val="20"/>
          <w:szCs w:val="20"/>
        </w:rPr>
        <w:t>variations</w:t>
      </w:r>
      <w:proofErr w:type="spellEnd"/>
      <w:r w:rsidRPr="00121804">
        <w:rPr>
          <w:rFonts w:ascii="Arial" w:hAnsi="Arial" w:cs="Arial"/>
          <w:sz w:val="20"/>
          <w:szCs w:val="20"/>
        </w:rPr>
        <w:t xml:space="preserve"> in </w:t>
      </w:r>
      <w:proofErr w:type="spellStart"/>
      <w:r w:rsidRPr="00121804">
        <w:rPr>
          <w:rFonts w:ascii="Arial" w:hAnsi="Arial" w:cs="Arial"/>
          <w:sz w:val="20"/>
          <w:szCs w:val="20"/>
        </w:rPr>
        <w:t>diagnostic</w:t>
      </w:r>
      <w:proofErr w:type="spellEnd"/>
      <w:r w:rsidRPr="00121804">
        <w:rPr>
          <w:rFonts w:ascii="Arial" w:hAnsi="Arial" w:cs="Arial"/>
          <w:sz w:val="20"/>
          <w:szCs w:val="20"/>
        </w:rPr>
        <w:t xml:space="preserve"> </w:t>
      </w:r>
      <w:proofErr w:type="spellStart"/>
      <w:r w:rsidRPr="00121804">
        <w:rPr>
          <w:rFonts w:ascii="Arial" w:hAnsi="Arial" w:cs="Arial"/>
          <w:sz w:val="20"/>
          <w:szCs w:val="20"/>
        </w:rPr>
        <w:t>criteria</w:t>
      </w:r>
      <w:proofErr w:type="spellEnd"/>
      <w:r w:rsidRPr="00121804">
        <w:rPr>
          <w:rFonts w:ascii="Arial" w:hAnsi="Arial" w:cs="Arial"/>
          <w:sz w:val="20"/>
          <w:szCs w:val="20"/>
        </w:rPr>
        <w:t xml:space="preserve">, and </w:t>
      </w:r>
      <w:proofErr w:type="spellStart"/>
      <w:r w:rsidRPr="00121804">
        <w:rPr>
          <w:rFonts w:ascii="Arial" w:hAnsi="Arial" w:cs="Arial"/>
          <w:sz w:val="20"/>
          <w:szCs w:val="20"/>
        </w:rPr>
        <w:t>disparities</w:t>
      </w:r>
      <w:proofErr w:type="spellEnd"/>
      <w:r w:rsidRPr="00121804">
        <w:rPr>
          <w:rFonts w:ascii="Arial" w:hAnsi="Arial" w:cs="Arial"/>
          <w:sz w:val="20"/>
          <w:szCs w:val="20"/>
        </w:rPr>
        <w:t xml:space="preserve"> in </w:t>
      </w:r>
      <w:proofErr w:type="spellStart"/>
      <w:r w:rsidRPr="00121804">
        <w:rPr>
          <w:rFonts w:ascii="Arial" w:hAnsi="Arial" w:cs="Arial"/>
          <w:sz w:val="20"/>
          <w:szCs w:val="20"/>
        </w:rPr>
        <w:t>access</w:t>
      </w:r>
      <w:proofErr w:type="spellEnd"/>
      <w:r w:rsidRPr="00121804">
        <w:rPr>
          <w:rFonts w:ascii="Arial" w:hAnsi="Arial" w:cs="Arial"/>
          <w:sz w:val="20"/>
          <w:szCs w:val="20"/>
        </w:rPr>
        <w:t xml:space="preserve"> </w:t>
      </w:r>
      <w:proofErr w:type="spellStart"/>
      <w:r w:rsidRPr="00121804">
        <w:rPr>
          <w:rFonts w:ascii="Arial" w:hAnsi="Arial" w:cs="Arial"/>
          <w:sz w:val="20"/>
          <w:szCs w:val="20"/>
        </w:rPr>
        <w:t>to</w:t>
      </w:r>
      <w:proofErr w:type="spellEnd"/>
      <w:r w:rsidRPr="00121804">
        <w:rPr>
          <w:rFonts w:ascii="Arial" w:hAnsi="Arial" w:cs="Arial"/>
          <w:sz w:val="20"/>
          <w:szCs w:val="20"/>
        </w:rPr>
        <w:t xml:space="preserve"> </w:t>
      </w:r>
      <w:proofErr w:type="spellStart"/>
      <w:r w:rsidRPr="00121804">
        <w:rPr>
          <w:rFonts w:ascii="Arial" w:hAnsi="Arial" w:cs="Arial"/>
          <w:sz w:val="20"/>
          <w:szCs w:val="20"/>
        </w:rPr>
        <w:t>health</w:t>
      </w:r>
      <w:proofErr w:type="spellEnd"/>
      <w:r w:rsidRPr="00121804">
        <w:rPr>
          <w:rFonts w:ascii="Arial" w:hAnsi="Arial" w:cs="Arial"/>
          <w:sz w:val="20"/>
          <w:szCs w:val="20"/>
        </w:rPr>
        <w:t xml:space="preserve"> </w:t>
      </w:r>
      <w:proofErr w:type="spellStart"/>
      <w:r w:rsidRPr="00121804">
        <w:rPr>
          <w:rFonts w:ascii="Arial" w:hAnsi="Arial" w:cs="Arial"/>
          <w:sz w:val="20"/>
          <w:szCs w:val="20"/>
        </w:rPr>
        <w:t>care</w:t>
      </w:r>
      <w:proofErr w:type="spellEnd"/>
      <w:r w:rsidRPr="00121804">
        <w:rPr>
          <w:rFonts w:ascii="Arial" w:hAnsi="Arial" w:cs="Arial"/>
          <w:sz w:val="20"/>
          <w:szCs w:val="20"/>
        </w:rPr>
        <w:t xml:space="preserve"> </w:t>
      </w:r>
      <w:proofErr w:type="spellStart"/>
      <w:r w:rsidRPr="00121804">
        <w:rPr>
          <w:rFonts w:ascii="Arial" w:hAnsi="Arial" w:cs="Arial"/>
          <w:sz w:val="20"/>
          <w:szCs w:val="20"/>
        </w:rPr>
        <w:t>may</w:t>
      </w:r>
      <w:proofErr w:type="spellEnd"/>
      <w:r w:rsidRPr="00121804">
        <w:rPr>
          <w:rFonts w:ascii="Arial" w:hAnsi="Arial" w:cs="Arial"/>
          <w:sz w:val="20"/>
          <w:szCs w:val="20"/>
        </w:rPr>
        <w:t xml:space="preserve"> </w:t>
      </w:r>
      <w:proofErr w:type="spellStart"/>
      <w:r w:rsidRPr="00121804">
        <w:rPr>
          <w:rFonts w:ascii="Arial" w:hAnsi="Arial" w:cs="Arial"/>
          <w:sz w:val="20"/>
          <w:szCs w:val="20"/>
        </w:rPr>
        <w:t>restrict</w:t>
      </w:r>
      <w:proofErr w:type="spellEnd"/>
      <w:r w:rsidRPr="00121804">
        <w:rPr>
          <w:rFonts w:ascii="Arial" w:hAnsi="Arial" w:cs="Arial"/>
          <w:sz w:val="20"/>
          <w:szCs w:val="20"/>
        </w:rPr>
        <w:t xml:space="preserve"> </w:t>
      </w:r>
      <w:proofErr w:type="spellStart"/>
      <w:r w:rsidRPr="00121804">
        <w:rPr>
          <w:rFonts w:ascii="Arial" w:hAnsi="Arial" w:cs="Arial"/>
          <w:sz w:val="20"/>
          <w:szCs w:val="20"/>
        </w:rPr>
        <w:t>the</w:t>
      </w:r>
      <w:proofErr w:type="spellEnd"/>
      <w:r w:rsidRPr="00121804">
        <w:rPr>
          <w:rFonts w:ascii="Arial" w:hAnsi="Arial" w:cs="Arial"/>
          <w:sz w:val="20"/>
          <w:szCs w:val="20"/>
        </w:rPr>
        <w:t xml:space="preserve"> </w:t>
      </w:r>
      <w:proofErr w:type="spellStart"/>
      <w:r w:rsidRPr="00121804">
        <w:rPr>
          <w:rFonts w:ascii="Arial" w:hAnsi="Arial" w:cs="Arial"/>
          <w:sz w:val="20"/>
          <w:szCs w:val="20"/>
        </w:rPr>
        <w:t>generalisability</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w:t>
      </w:r>
      <w:proofErr w:type="spellStart"/>
      <w:r w:rsidRPr="00121804">
        <w:rPr>
          <w:rFonts w:ascii="Arial" w:hAnsi="Arial" w:cs="Arial"/>
          <w:sz w:val="20"/>
          <w:szCs w:val="20"/>
        </w:rPr>
        <w:t>their</w:t>
      </w:r>
      <w:proofErr w:type="spellEnd"/>
      <w:r w:rsidRPr="00121804">
        <w:rPr>
          <w:rFonts w:ascii="Arial" w:hAnsi="Arial" w:cs="Arial"/>
          <w:sz w:val="20"/>
          <w:szCs w:val="20"/>
        </w:rPr>
        <w:t xml:space="preserve"> </w:t>
      </w:r>
      <w:proofErr w:type="spellStart"/>
      <w:r w:rsidRPr="00121804">
        <w:rPr>
          <w:rFonts w:ascii="Arial" w:hAnsi="Arial" w:cs="Arial"/>
          <w:sz w:val="20"/>
          <w:szCs w:val="20"/>
        </w:rPr>
        <w:t>findings</w:t>
      </w:r>
      <w:proofErr w:type="spellEnd"/>
      <w:r w:rsidRPr="00121804">
        <w:rPr>
          <w:rFonts w:ascii="Arial" w:hAnsi="Arial" w:cs="Arial"/>
          <w:sz w:val="20"/>
          <w:szCs w:val="20"/>
        </w:rPr>
        <w:t>.</w:t>
      </w:r>
      <w:r>
        <w:rPr>
          <w:rFonts w:ascii="Arial" w:hAnsi="Arial" w:cs="Arial"/>
          <w:sz w:val="20"/>
          <w:szCs w:val="20"/>
        </w:rPr>
        <w:t xml:space="preserve"> </w:t>
      </w:r>
      <w:proofErr w:type="spellStart"/>
      <w:r w:rsidRPr="00121804">
        <w:rPr>
          <w:rFonts w:ascii="Arial" w:hAnsi="Arial" w:cs="Arial"/>
          <w:sz w:val="20"/>
          <w:szCs w:val="20"/>
        </w:rPr>
        <w:t>Despite</w:t>
      </w:r>
      <w:proofErr w:type="spellEnd"/>
      <w:r w:rsidRPr="00121804">
        <w:rPr>
          <w:rFonts w:ascii="Arial" w:hAnsi="Arial" w:cs="Arial"/>
          <w:sz w:val="20"/>
          <w:szCs w:val="20"/>
        </w:rPr>
        <w:t xml:space="preserve"> </w:t>
      </w:r>
      <w:proofErr w:type="spellStart"/>
      <w:r w:rsidRPr="00121804">
        <w:rPr>
          <w:rFonts w:ascii="Arial" w:hAnsi="Arial" w:cs="Arial"/>
          <w:sz w:val="20"/>
          <w:szCs w:val="20"/>
        </w:rPr>
        <w:t>these</w:t>
      </w:r>
      <w:proofErr w:type="spellEnd"/>
      <w:r w:rsidRPr="00121804">
        <w:rPr>
          <w:rFonts w:ascii="Arial" w:hAnsi="Arial" w:cs="Arial"/>
          <w:sz w:val="20"/>
          <w:szCs w:val="20"/>
        </w:rPr>
        <w:t xml:space="preserve"> </w:t>
      </w:r>
      <w:proofErr w:type="spellStart"/>
      <w:r w:rsidRPr="00121804">
        <w:rPr>
          <w:rFonts w:ascii="Arial" w:hAnsi="Arial" w:cs="Arial"/>
          <w:sz w:val="20"/>
          <w:szCs w:val="20"/>
        </w:rPr>
        <w:t>limitations</w:t>
      </w:r>
      <w:proofErr w:type="spellEnd"/>
      <w:r w:rsidRPr="00121804">
        <w:rPr>
          <w:rFonts w:ascii="Arial" w:hAnsi="Arial" w:cs="Arial"/>
          <w:sz w:val="20"/>
          <w:szCs w:val="20"/>
        </w:rPr>
        <w:t xml:space="preserve">, </w:t>
      </w:r>
      <w:proofErr w:type="spellStart"/>
      <w:r w:rsidRPr="00121804">
        <w:rPr>
          <w:rFonts w:ascii="Arial" w:hAnsi="Arial" w:cs="Arial"/>
          <w:sz w:val="20"/>
          <w:szCs w:val="20"/>
        </w:rPr>
        <w:t>cross-sectional</w:t>
      </w:r>
      <w:proofErr w:type="spellEnd"/>
      <w:r w:rsidRPr="00121804">
        <w:rPr>
          <w:rFonts w:ascii="Arial" w:hAnsi="Arial" w:cs="Arial"/>
          <w:sz w:val="20"/>
          <w:szCs w:val="20"/>
        </w:rPr>
        <w:t xml:space="preserve"> </w:t>
      </w:r>
      <w:proofErr w:type="spellStart"/>
      <w:r w:rsidRPr="00121804">
        <w:rPr>
          <w:rFonts w:ascii="Arial" w:hAnsi="Arial" w:cs="Arial"/>
          <w:sz w:val="20"/>
          <w:szCs w:val="20"/>
        </w:rPr>
        <w:t>studies</w:t>
      </w:r>
      <w:proofErr w:type="spellEnd"/>
      <w:r w:rsidRPr="00121804">
        <w:rPr>
          <w:rFonts w:ascii="Arial" w:hAnsi="Arial" w:cs="Arial"/>
          <w:sz w:val="20"/>
          <w:szCs w:val="20"/>
        </w:rPr>
        <w:t xml:space="preserve"> </w:t>
      </w:r>
      <w:proofErr w:type="spellStart"/>
      <w:r w:rsidRPr="00121804">
        <w:rPr>
          <w:rFonts w:ascii="Arial" w:hAnsi="Arial" w:cs="Arial"/>
          <w:sz w:val="20"/>
          <w:szCs w:val="20"/>
        </w:rPr>
        <w:t>remain</w:t>
      </w:r>
      <w:proofErr w:type="spellEnd"/>
      <w:r w:rsidRPr="00121804">
        <w:rPr>
          <w:rFonts w:ascii="Arial" w:hAnsi="Arial" w:cs="Arial"/>
          <w:sz w:val="20"/>
          <w:szCs w:val="20"/>
        </w:rPr>
        <w:t xml:space="preserve"> a </w:t>
      </w:r>
      <w:proofErr w:type="spellStart"/>
      <w:r w:rsidRPr="00121804">
        <w:rPr>
          <w:rFonts w:ascii="Arial" w:hAnsi="Arial" w:cs="Arial"/>
          <w:sz w:val="20"/>
          <w:szCs w:val="20"/>
        </w:rPr>
        <w:t>cornerstone</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diabetes </w:t>
      </w:r>
      <w:proofErr w:type="spellStart"/>
      <w:r w:rsidRPr="00121804">
        <w:rPr>
          <w:rFonts w:ascii="Arial" w:hAnsi="Arial" w:cs="Arial"/>
          <w:sz w:val="20"/>
          <w:szCs w:val="20"/>
        </w:rPr>
        <w:t>research</w:t>
      </w:r>
      <w:proofErr w:type="spellEnd"/>
      <w:r w:rsidRPr="00121804">
        <w:rPr>
          <w:rFonts w:ascii="Arial" w:hAnsi="Arial" w:cs="Arial"/>
          <w:sz w:val="20"/>
          <w:szCs w:val="20"/>
        </w:rPr>
        <w:t xml:space="preserve">. </w:t>
      </w:r>
      <w:proofErr w:type="spellStart"/>
      <w:r w:rsidRPr="00121804">
        <w:rPr>
          <w:rFonts w:ascii="Arial" w:hAnsi="Arial" w:cs="Arial"/>
          <w:sz w:val="20"/>
          <w:szCs w:val="20"/>
        </w:rPr>
        <w:t>They</w:t>
      </w:r>
      <w:proofErr w:type="spellEnd"/>
      <w:r w:rsidRPr="00121804">
        <w:rPr>
          <w:rFonts w:ascii="Arial" w:hAnsi="Arial" w:cs="Arial"/>
          <w:sz w:val="20"/>
          <w:szCs w:val="20"/>
        </w:rPr>
        <w:t xml:space="preserve"> </w:t>
      </w:r>
      <w:proofErr w:type="spellStart"/>
      <w:r w:rsidRPr="00121804">
        <w:rPr>
          <w:rFonts w:ascii="Arial" w:hAnsi="Arial" w:cs="Arial"/>
          <w:sz w:val="20"/>
          <w:szCs w:val="20"/>
        </w:rPr>
        <w:t>enable</w:t>
      </w:r>
      <w:proofErr w:type="spellEnd"/>
      <w:r w:rsidRPr="00121804">
        <w:rPr>
          <w:rFonts w:ascii="Arial" w:hAnsi="Arial" w:cs="Arial"/>
          <w:sz w:val="20"/>
          <w:szCs w:val="20"/>
        </w:rPr>
        <w:t xml:space="preserve"> </w:t>
      </w:r>
      <w:proofErr w:type="spellStart"/>
      <w:r w:rsidRPr="00121804">
        <w:rPr>
          <w:rFonts w:ascii="Arial" w:hAnsi="Arial" w:cs="Arial"/>
          <w:sz w:val="20"/>
          <w:szCs w:val="20"/>
        </w:rPr>
        <w:t>the</w:t>
      </w:r>
      <w:proofErr w:type="spellEnd"/>
      <w:r w:rsidRPr="00121804">
        <w:rPr>
          <w:rFonts w:ascii="Arial" w:hAnsi="Arial" w:cs="Arial"/>
          <w:sz w:val="20"/>
          <w:szCs w:val="20"/>
        </w:rPr>
        <w:t xml:space="preserve"> </w:t>
      </w:r>
      <w:proofErr w:type="spellStart"/>
      <w:r w:rsidRPr="00121804">
        <w:rPr>
          <w:rFonts w:ascii="Arial" w:hAnsi="Arial" w:cs="Arial"/>
          <w:sz w:val="20"/>
          <w:szCs w:val="20"/>
        </w:rPr>
        <w:t>characterisation</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w:t>
      </w:r>
      <w:proofErr w:type="spellStart"/>
      <w:r w:rsidRPr="00121804">
        <w:rPr>
          <w:rFonts w:ascii="Arial" w:hAnsi="Arial" w:cs="Arial"/>
          <w:sz w:val="20"/>
          <w:szCs w:val="20"/>
        </w:rPr>
        <w:t>populations</w:t>
      </w:r>
      <w:proofErr w:type="spellEnd"/>
      <w:r w:rsidRPr="00121804">
        <w:rPr>
          <w:rFonts w:ascii="Arial" w:hAnsi="Arial" w:cs="Arial"/>
          <w:sz w:val="20"/>
          <w:szCs w:val="20"/>
        </w:rPr>
        <w:t xml:space="preserve">, </w:t>
      </w:r>
      <w:proofErr w:type="spellStart"/>
      <w:r w:rsidRPr="00121804">
        <w:rPr>
          <w:rFonts w:ascii="Arial" w:hAnsi="Arial" w:cs="Arial"/>
          <w:sz w:val="20"/>
          <w:szCs w:val="20"/>
        </w:rPr>
        <w:t>provide</w:t>
      </w:r>
      <w:proofErr w:type="spellEnd"/>
      <w:r w:rsidRPr="00121804">
        <w:rPr>
          <w:rFonts w:ascii="Arial" w:hAnsi="Arial" w:cs="Arial"/>
          <w:sz w:val="20"/>
          <w:szCs w:val="20"/>
        </w:rPr>
        <w:t xml:space="preserve"> </w:t>
      </w:r>
      <w:proofErr w:type="spellStart"/>
      <w:r w:rsidRPr="00121804">
        <w:rPr>
          <w:rFonts w:ascii="Arial" w:hAnsi="Arial" w:cs="Arial"/>
          <w:sz w:val="20"/>
          <w:szCs w:val="20"/>
        </w:rPr>
        <w:t>an</w:t>
      </w:r>
      <w:proofErr w:type="spellEnd"/>
      <w:r w:rsidRPr="00121804">
        <w:rPr>
          <w:rFonts w:ascii="Arial" w:hAnsi="Arial" w:cs="Arial"/>
          <w:sz w:val="20"/>
          <w:szCs w:val="20"/>
        </w:rPr>
        <w:t xml:space="preserve"> </w:t>
      </w:r>
      <w:proofErr w:type="spellStart"/>
      <w:r w:rsidRPr="00121804">
        <w:rPr>
          <w:rFonts w:ascii="Arial" w:hAnsi="Arial" w:cs="Arial"/>
          <w:sz w:val="20"/>
          <w:szCs w:val="20"/>
        </w:rPr>
        <w:t>overview</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w:t>
      </w:r>
      <w:proofErr w:type="spellStart"/>
      <w:r w:rsidRPr="00121804">
        <w:rPr>
          <w:rFonts w:ascii="Arial" w:hAnsi="Arial" w:cs="Arial"/>
          <w:sz w:val="20"/>
          <w:szCs w:val="20"/>
        </w:rPr>
        <w:t>the</w:t>
      </w:r>
      <w:proofErr w:type="spellEnd"/>
      <w:r w:rsidRPr="00121804">
        <w:rPr>
          <w:rFonts w:ascii="Arial" w:hAnsi="Arial" w:cs="Arial"/>
          <w:sz w:val="20"/>
          <w:szCs w:val="20"/>
        </w:rPr>
        <w:t xml:space="preserve"> </w:t>
      </w:r>
      <w:proofErr w:type="spellStart"/>
      <w:r w:rsidRPr="00121804">
        <w:rPr>
          <w:rFonts w:ascii="Arial" w:hAnsi="Arial" w:cs="Arial"/>
          <w:sz w:val="20"/>
          <w:szCs w:val="20"/>
        </w:rPr>
        <w:t>epidemiological</w:t>
      </w:r>
      <w:proofErr w:type="spellEnd"/>
      <w:r w:rsidRPr="00121804">
        <w:rPr>
          <w:rFonts w:ascii="Arial" w:hAnsi="Arial" w:cs="Arial"/>
          <w:sz w:val="20"/>
          <w:szCs w:val="20"/>
        </w:rPr>
        <w:t xml:space="preserve"> </w:t>
      </w:r>
      <w:proofErr w:type="spellStart"/>
      <w:r w:rsidRPr="00121804">
        <w:rPr>
          <w:rFonts w:ascii="Arial" w:hAnsi="Arial" w:cs="Arial"/>
          <w:sz w:val="20"/>
          <w:szCs w:val="20"/>
        </w:rPr>
        <w:t>burden</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w:t>
      </w:r>
      <w:proofErr w:type="spellStart"/>
      <w:r w:rsidRPr="00121804">
        <w:rPr>
          <w:rFonts w:ascii="Arial" w:hAnsi="Arial" w:cs="Arial"/>
          <w:sz w:val="20"/>
          <w:szCs w:val="20"/>
        </w:rPr>
        <w:t>disease</w:t>
      </w:r>
      <w:proofErr w:type="spellEnd"/>
      <w:r w:rsidRPr="00121804">
        <w:rPr>
          <w:rFonts w:ascii="Arial" w:hAnsi="Arial" w:cs="Arial"/>
          <w:sz w:val="20"/>
          <w:szCs w:val="20"/>
        </w:rPr>
        <w:t xml:space="preserve">, and </w:t>
      </w:r>
      <w:proofErr w:type="spellStart"/>
      <w:r w:rsidRPr="00121804">
        <w:rPr>
          <w:rFonts w:ascii="Arial" w:hAnsi="Arial" w:cs="Arial"/>
          <w:sz w:val="20"/>
          <w:szCs w:val="20"/>
        </w:rPr>
        <w:t>highlight</w:t>
      </w:r>
      <w:proofErr w:type="spellEnd"/>
      <w:r w:rsidRPr="00121804">
        <w:rPr>
          <w:rFonts w:ascii="Arial" w:hAnsi="Arial" w:cs="Arial"/>
          <w:sz w:val="20"/>
          <w:szCs w:val="20"/>
        </w:rPr>
        <w:t xml:space="preserve"> sex-</w:t>
      </w:r>
      <w:proofErr w:type="spellStart"/>
      <w:r w:rsidRPr="00121804">
        <w:rPr>
          <w:rFonts w:ascii="Arial" w:hAnsi="Arial" w:cs="Arial"/>
          <w:sz w:val="20"/>
          <w:szCs w:val="20"/>
        </w:rPr>
        <w:t>specific</w:t>
      </w:r>
      <w:proofErr w:type="spellEnd"/>
      <w:r w:rsidRPr="00121804">
        <w:rPr>
          <w:rFonts w:ascii="Arial" w:hAnsi="Arial" w:cs="Arial"/>
          <w:sz w:val="20"/>
          <w:szCs w:val="20"/>
        </w:rPr>
        <w:t xml:space="preserve"> </w:t>
      </w:r>
      <w:proofErr w:type="spellStart"/>
      <w:r w:rsidRPr="00121804">
        <w:rPr>
          <w:rFonts w:ascii="Arial" w:hAnsi="Arial" w:cs="Arial"/>
          <w:sz w:val="20"/>
          <w:szCs w:val="20"/>
        </w:rPr>
        <w:t>patterns</w:t>
      </w:r>
      <w:proofErr w:type="spellEnd"/>
      <w:r w:rsidRPr="00121804">
        <w:rPr>
          <w:rFonts w:ascii="Arial" w:hAnsi="Arial" w:cs="Arial"/>
          <w:sz w:val="20"/>
          <w:szCs w:val="20"/>
        </w:rPr>
        <w:t xml:space="preserve">. </w:t>
      </w:r>
      <w:proofErr w:type="spellStart"/>
      <w:r w:rsidRPr="00121804">
        <w:rPr>
          <w:rFonts w:ascii="Arial" w:hAnsi="Arial" w:cs="Arial"/>
          <w:sz w:val="20"/>
          <w:szCs w:val="20"/>
        </w:rPr>
        <w:t>Such</w:t>
      </w:r>
      <w:proofErr w:type="spellEnd"/>
      <w:r w:rsidRPr="00121804">
        <w:rPr>
          <w:rFonts w:ascii="Arial" w:hAnsi="Arial" w:cs="Arial"/>
          <w:sz w:val="20"/>
          <w:szCs w:val="20"/>
        </w:rPr>
        <w:t xml:space="preserve"> </w:t>
      </w:r>
      <w:proofErr w:type="spellStart"/>
      <w:r w:rsidRPr="00121804">
        <w:rPr>
          <w:rFonts w:ascii="Arial" w:hAnsi="Arial" w:cs="Arial"/>
          <w:sz w:val="20"/>
          <w:szCs w:val="20"/>
        </w:rPr>
        <w:t>studies</w:t>
      </w:r>
      <w:proofErr w:type="spellEnd"/>
      <w:r w:rsidRPr="00121804">
        <w:rPr>
          <w:rFonts w:ascii="Arial" w:hAnsi="Arial" w:cs="Arial"/>
          <w:sz w:val="20"/>
          <w:szCs w:val="20"/>
        </w:rPr>
        <w:t xml:space="preserve"> are </w:t>
      </w:r>
      <w:proofErr w:type="spellStart"/>
      <w:r w:rsidRPr="00121804">
        <w:rPr>
          <w:rFonts w:ascii="Arial" w:hAnsi="Arial" w:cs="Arial"/>
          <w:sz w:val="20"/>
          <w:szCs w:val="20"/>
        </w:rPr>
        <w:t>particularly</w:t>
      </w:r>
      <w:proofErr w:type="spellEnd"/>
      <w:r w:rsidRPr="00121804">
        <w:rPr>
          <w:rFonts w:ascii="Arial" w:hAnsi="Arial" w:cs="Arial"/>
          <w:sz w:val="20"/>
          <w:szCs w:val="20"/>
        </w:rPr>
        <w:t xml:space="preserve"> </w:t>
      </w:r>
      <w:proofErr w:type="spellStart"/>
      <w:r w:rsidRPr="00121804">
        <w:rPr>
          <w:rFonts w:ascii="Arial" w:hAnsi="Arial" w:cs="Arial"/>
          <w:sz w:val="20"/>
          <w:szCs w:val="20"/>
        </w:rPr>
        <w:t>valuable</w:t>
      </w:r>
      <w:proofErr w:type="spellEnd"/>
      <w:r w:rsidRPr="00121804">
        <w:rPr>
          <w:rFonts w:ascii="Arial" w:hAnsi="Arial" w:cs="Arial"/>
          <w:sz w:val="20"/>
          <w:szCs w:val="20"/>
        </w:rPr>
        <w:t xml:space="preserve"> </w:t>
      </w:r>
      <w:proofErr w:type="spellStart"/>
      <w:r w:rsidRPr="00121804">
        <w:rPr>
          <w:rFonts w:ascii="Arial" w:hAnsi="Arial" w:cs="Arial"/>
          <w:sz w:val="20"/>
          <w:szCs w:val="20"/>
        </w:rPr>
        <w:t>for</w:t>
      </w:r>
      <w:proofErr w:type="spellEnd"/>
      <w:r w:rsidRPr="00121804">
        <w:rPr>
          <w:rFonts w:ascii="Arial" w:hAnsi="Arial" w:cs="Arial"/>
          <w:sz w:val="20"/>
          <w:szCs w:val="20"/>
        </w:rPr>
        <w:t xml:space="preserve"> </w:t>
      </w:r>
      <w:proofErr w:type="spellStart"/>
      <w:r w:rsidRPr="00121804">
        <w:rPr>
          <w:rFonts w:ascii="Arial" w:hAnsi="Arial" w:cs="Arial"/>
          <w:sz w:val="20"/>
          <w:szCs w:val="20"/>
        </w:rPr>
        <w:t>identifying</w:t>
      </w:r>
      <w:proofErr w:type="spellEnd"/>
      <w:r w:rsidRPr="00121804">
        <w:rPr>
          <w:rFonts w:ascii="Arial" w:hAnsi="Arial" w:cs="Arial"/>
          <w:sz w:val="20"/>
          <w:szCs w:val="20"/>
        </w:rPr>
        <w:t xml:space="preserve"> </w:t>
      </w:r>
      <w:proofErr w:type="spellStart"/>
      <w:r w:rsidRPr="00121804">
        <w:rPr>
          <w:rFonts w:ascii="Arial" w:hAnsi="Arial" w:cs="Arial"/>
          <w:sz w:val="20"/>
          <w:szCs w:val="20"/>
        </w:rPr>
        <w:t>disparities</w:t>
      </w:r>
      <w:proofErr w:type="spellEnd"/>
      <w:r w:rsidRPr="00121804">
        <w:rPr>
          <w:rFonts w:ascii="Arial" w:hAnsi="Arial" w:cs="Arial"/>
          <w:sz w:val="20"/>
          <w:szCs w:val="20"/>
        </w:rPr>
        <w:t xml:space="preserve"> in </w:t>
      </w:r>
      <w:proofErr w:type="spellStart"/>
      <w:r w:rsidRPr="00121804">
        <w:rPr>
          <w:rFonts w:ascii="Arial" w:hAnsi="Arial" w:cs="Arial"/>
          <w:sz w:val="20"/>
          <w:szCs w:val="20"/>
        </w:rPr>
        <w:t>risk</w:t>
      </w:r>
      <w:proofErr w:type="spellEnd"/>
      <w:r w:rsidRPr="00121804">
        <w:rPr>
          <w:rFonts w:ascii="Arial" w:hAnsi="Arial" w:cs="Arial"/>
          <w:sz w:val="20"/>
          <w:szCs w:val="20"/>
        </w:rPr>
        <w:t xml:space="preserve"> factor </w:t>
      </w:r>
      <w:proofErr w:type="spellStart"/>
      <w:r w:rsidRPr="00121804">
        <w:rPr>
          <w:rFonts w:ascii="Arial" w:hAnsi="Arial" w:cs="Arial"/>
          <w:sz w:val="20"/>
          <w:szCs w:val="20"/>
        </w:rPr>
        <w:t>profiles</w:t>
      </w:r>
      <w:proofErr w:type="spellEnd"/>
      <w:r w:rsidRPr="00121804">
        <w:rPr>
          <w:rFonts w:ascii="Arial" w:hAnsi="Arial" w:cs="Arial"/>
          <w:sz w:val="20"/>
          <w:szCs w:val="20"/>
        </w:rPr>
        <w:t xml:space="preserve">, </w:t>
      </w:r>
      <w:proofErr w:type="spellStart"/>
      <w:r w:rsidRPr="00121804">
        <w:rPr>
          <w:rFonts w:ascii="Arial" w:hAnsi="Arial" w:cs="Arial"/>
          <w:sz w:val="20"/>
          <w:szCs w:val="20"/>
        </w:rPr>
        <w:t>clinical</w:t>
      </w:r>
      <w:proofErr w:type="spellEnd"/>
      <w:r w:rsidRPr="00121804">
        <w:rPr>
          <w:rFonts w:ascii="Arial" w:hAnsi="Arial" w:cs="Arial"/>
          <w:sz w:val="20"/>
          <w:szCs w:val="20"/>
        </w:rPr>
        <w:t xml:space="preserve"> </w:t>
      </w:r>
      <w:proofErr w:type="spellStart"/>
      <w:r w:rsidRPr="00121804">
        <w:rPr>
          <w:rFonts w:ascii="Arial" w:hAnsi="Arial" w:cs="Arial"/>
          <w:sz w:val="20"/>
          <w:szCs w:val="20"/>
        </w:rPr>
        <w:t>manifestations</w:t>
      </w:r>
      <w:proofErr w:type="spellEnd"/>
      <w:r w:rsidRPr="00121804">
        <w:rPr>
          <w:rFonts w:ascii="Arial" w:hAnsi="Arial" w:cs="Arial"/>
          <w:sz w:val="20"/>
          <w:szCs w:val="20"/>
        </w:rPr>
        <w:t xml:space="preserve">, and </w:t>
      </w:r>
      <w:proofErr w:type="spellStart"/>
      <w:r w:rsidRPr="00121804">
        <w:rPr>
          <w:rFonts w:ascii="Arial" w:hAnsi="Arial" w:cs="Arial"/>
          <w:sz w:val="20"/>
          <w:szCs w:val="20"/>
        </w:rPr>
        <w:t>phenotypes</w:t>
      </w:r>
      <w:proofErr w:type="spellEnd"/>
      <w:r w:rsidRPr="00121804">
        <w:rPr>
          <w:rFonts w:ascii="Arial" w:hAnsi="Arial" w:cs="Arial"/>
          <w:sz w:val="20"/>
          <w:szCs w:val="20"/>
        </w:rPr>
        <w:t xml:space="preserve"> </w:t>
      </w:r>
      <w:proofErr w:type="spellStart"/>
      <w:r w:rsidRPr="00121804">
        <w:rPr>
          <w:rFonts w:ascii="Arial" w:hAnsi="Arial" w:cs="Arial"/>
          <w:sz w:val="20"/>
          <w:szCs w:val="20"/>
        </w:rPr>
        <w:t>between</w:t>
      </w:r>
      <w:proofErr w:type="spellEnd"/>
      <w:r w:rsidRPr="00121804">
        <w:rPr>
          <w:rFonts w:ascii="Arial" w:hAnsi="Arial" w:cs="Arial"/>
          <w:sz w:val="20"/>
          <w:szCs w:val="20"/>
        </w:rPr>
        <w:t xml:space="preserve"> </w:t>
      </w:r>
      <w:proofErr w:type="spellStart"/>
      <w:r w:rsidRPr="00121804">
        <w:rPr>
          <w:rFonts w:ascii="Arial" w:hAnsi="Arial" w:cs="Arial"/>
          <w:sz w:val="20"/>
          <w:szCs w:val="20"/>
        </w:rPr>
        <w:t>men</w:t>
      </w:r>
      <w:proofErr w:type="spellEnd"/>
      <w:r w:rsidRPr="00121804">
        <w:rPr>
          <w:rFonts w:ascii="Arial" w:hAnsi="Arial" w:cs="Arial"/>
          <w:sz w:val="20"/>
          <w:szCs w:val="20"/>
        </w:rPr>
        <w:t xml:space="preserve"> and </w:t>
      </w:r>
      <w:proofErr w:type="spellStart"/>
      <w:r w:rsidRPr="00121804">
        <w:rPr>
          <w:rFonts w:ascii="Arial" w:hAnsi="Arial" w:cs="Arial"/>
          <w:sz w:val="20"/>
          <w:szCs w:val="20"/>
        </w:rPr>
        <w:t>women</w:t>
      </w:r>
      <w:proofErr w:type="spellEnd"/>
      <w:r w:rsidRPr="00121804">
        <w:rPr>
          <w:rFonts w:ascii="Arial" w:hAnsi="Arial" w:cs="Arial"/>
          <w:sz w:val="20"/>
          <w:szCs w:val="20"/>
        </w:rPr>
        <w:t xml:space="preserve">. </w:t>
      </w:r>
      <w:proofErr w:type="spellStart"/>
      <w:r w:rsidRPr="00121804">
        <w:rPr>
          <w:rFonts w:ascii="Arial" w:hAnsi="Arial" w:cs="Arial"/>
          <w:sz w:val="20"/>
          <w:szCs w:val="20"/>
        </w:rPr>
        <w:t>Their</w:t>
      </w:r>
      <w:proofErr w:type="spellEnd"/>
      <w:r w:rsidRPr="00121804">
        <w:rPr>
          <w:rFonts w:ascii="Arial" w:hAnsi="Arial" w:cs="Arial"/>
          <w:sz w:val="20"/>
          <w:szCs w:val="20"/>
        </w:rPr>
        <w:t xml:space="preserve"> </w:t>
      </w:r>
      <w:proofErr w:type="spellStart"/>
      <w:r w:rsidRPr="00121804">
        <w:rPr>
          <w:rFonts w:ascii="Arial" w:hAnsi="Arial" w:cs="Arial"/>
          <w:sz w:val="20"/>
          <w:szCs w:val="20"/>
        </w:rPr>
        <w:t>findings</w:t>
      </w:r>
      <w:proofErr w:type="spellEnd"/>
      <w:r w:rsidRPr="00121804">
        <w:rPr>
          <w:rFonts w:ascii="Arial" w:hAnsi="Arial" w:cs="Arial"/>
          <w:sz w:val="20"/>
          <w:szCs w:val="20"/>
        </w:rPr>
        <w:t xml:space="preserve"> can </w:t>
      </w:r>
      <w:proofErr w:type="spellStart"/>
      <w:r w:rsidRPr="00121804">
        <w:rPr>
          <w:rFonts w:ascii="Arial" w:hAnsi="Arial" w:cs="Arial"/>
          <w:sz w:val="20"/>
          <w:szCs w:val="20"/>
        </w:rPr>
        <w:t>inform</w:t>
      </w:r>
      <w:proofErr w:type="spellEnd"/>
      <w:r w:rsidRPr="00121804">
        <w:rPr>
          <w:rFonts w:ascii="Arial" w:hAnsi="Arial" w:cs="Arial"/>
          <w:sz w:val="20"/>
          <w:szCs w:val="20"/>
        </w:rPr>
        <w:t xml:space="preserve"> </w:t>
      </w:r>
      <w:proofErr w:type="spellStart"/>
      <w:r w:rsidRPr="00121804">
        <w:rPr>
          <w:rFonts w:ascii="Arial" w:hAnsi="Arial" w:cs="Arial"/>
          <w:sz w:val="20"/>
          <w:szCs w:val="20"/>
        </w:rPr>
        <w:t>the</w:t>
      </w:r>
      <w:proofErr w:type="spellEnd"/>
      <w:r w:rsidRPr="00121804">
        <w:rPr>
          <w:rFonts w:ascii="Arial" w:hAnsi="Arial" w:cs="Arial"/>
          <w:sz w:val="20"/>
          <w:szCs w:val="20"/>
        </w:rPr>
        <w:t xml:space="preserve"> </w:t>
      </w:r>
      <w:proofErr w:type="spellStart"/>
      <w:r w:rsidRPr="00121804">
        <w:rPr>
          <w:rFonts w:ascii="Arial" w:hAnsi="Arial" w:cs="Arial"/>
          <w:sz w:val="20"/>
          <w:szCs w:val="20"/>
        </w:rPr>
        <w:t>design</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longitudinal and </w:t>
      </w:r>
      <w:proofErr w:type="spellStart"/>
      <w:r w:rsidRPr="00121804">
        <w:rPr>
          <w:rFonts w:ascii="Arial" w:hAnsi="Arial" w:cs="Arial"/>
          <w:sz w:val="20"/>
          <w:szCs w:val="20"/>
        </w:rPr>
        <w:t>interventional</w:t>
      </w:r>
      <w:proofErr w:type="spellEnd"/>
      <w:r w:rsidRPr="00121804">
        <w:rPr>
          <w:rFonts w:ascii="Arial" w:hAnsi="Arial" w:cs="Arial"/>
          <w:sz w:val="20"/>
          <w:szCs w:val="20"/>
        </w:rPr>
        <w:t xml:space="preserve"> </w:t>
      </w:r>
      <w:proofErr w:type="spellStart"/>
      <w:r w:rsidRPr="00121804">
        <w:rPr>
          <w:rFonts w:ascii="Arial" w:hAnsi="Arial" w:cs="Arial"/>
          <w:sz w:val="20"/>
          <w:szCs w:val="20"/>
        </w:rPr>
        <w:t>studies</w:t>
      </w:r>
      <w:proofErr w:type="spellEnd"/>
      <w:r w:rsidRPr="00121804">
        <w:rPr>
          <w:rFonts w:ascii="Arial" w:hAnsi="Arial" w:cs="Arial"/>
          <w:sz w:val="20"/>
          <w:szCs w:val="20"/>
        </w:rPr>
        <w:t xml:space="preserve">, </w:t>
      </w:r>
      <w:proofErr w:type="spellStart"/>
      <w:r w:rsidRPr="00121804">
        <w:rPr>
          <w:rFonts w:ascii="Arial" w:hAnsi="Arial" w:cs="Arial"/>
          <w:sz w:val="20"/>
          <w:szCs w:val="20"/>
        </w:rPr>
        <w:t>guide</w:t>
      </w:r>
      <w:proofErr w:type="spellEnd"/>
      <w:r w:rsidRPr="00121804">
        <w:rPr>
          <w:rFonts w:ascii="Arial" w:hAnsi="Arial" w:cs="Arial"/>
          <w:sz w:val="20"/>
          <w:szCs w:val="20"/>
        </w:rPr>
        <w:t xml:space="preserve"> </w:t>
      </w:r>
      <w:proofErr w:type="spellStart"/>
      <w:r w:rsidRPr="00121804">
        <w:rPr>
          <w:rFonts w:ascii="Arial" w:hAnsi="Arial" w:cs="Arial"/>
          <w:sz w:val="20"/>
          <w:szCs w:val="20"/>
        </w:rPr>
        <w:t>the</w:t>
      </w:r>
      <w:proofErr w:type="spellEnd"/>
      <w:r w:rsidRPr="00121804">
        <w:rPr>
          <w:rFonts w:ascii="Arial" w:hAnsi="Arial" w:cs="Arial"/>
          <w:sz w:val="20"/>
          <w:szCs w:val="20"/>
        </w:rPr>
        <w:t xml:space="preserve"> </w:t>
      </w:r>
      <w:proofErr w:type="spellStart"/>
      <w:r w:rsidRPr="00121804">
        <w:rPr>
          <w:rFonts w:ascii="Arial" w:hAnsi="Arial" w:cs="Arial"/>
          <w:sz w:val="20"/>
          <w:szCs w:val="20"/>
        </w:rPr>
        <w:t>development</w:t>
      </w:r>
      <w:proofErr w:type="spellEnd"/>
      <w:r w:rsidRPr="00121804">
        <w:rPr>
          <w:rFonts w:ascii="Arial" w:hAnsi="Arial" w:cs="Arial"/>
          <w:sz w:val="20"/>
          <w:szCs w:val="20"/>
        </w:rPr>
        <w:t xml:space="preserve"> </w:t>
      </w:r>
      <w:proofErr w:type="spellStart"/>
      <w:r w:rsidRPr="00121804">
        <w:rPr>
          <w:rFonts w:ascii="Arial" w:hAnsi="Arial" w:cs="Arial"/>
          <w:sz w:val="20"/>
          <w:szCs w:val="20"/>
        </w:rPr>
        <w:t>of</w:t>
      </w:r>
      <w:proofErr w:type="spellEnd"/>
      <w:r w:rsidRPr="00121804">
        <w:rPr>
          <w:rFonts w:ascii="Arial" w:hAnsi="Arial" w:cs="Arial"/>
          <w:sz w:val="20"/>
          <w:szCs w:val="20"/>
        </w:rPr>
        <w:t xml:space="preserve"> </w:t>
      </w:r>
      <w:proofErr w:type="spellStart"/>
      <w:r w:rsidRPr="00121804">
        <w:rPr>
          <w:rFonts w:ascii="Arial" w:hAnsi="Arial" w:cs="Arial"/>
          <w:sz w:val="20"/>
          <w:szCs w:val="20"/>
        </w:rPr>
        <w:t>tailored</w:t>
      </w:r>
      <w:proofErr w:type="spellEnd"/>
      <w:r w:rsidRPr="00121804">
        <w:rPr>
          <w:rFonts w:ascii="Arial" w:hAnsi="Arial" w:cs="Arial"/>
          <w:sz w:val="20"/>
          <w:szCs w:val="20"/>
        </w:rPr>
        <w:t xml:space="preserve"> </w:t>
      </w:r>
      <w:proofErr w:type="spellStart"/>
      <w:r w:rsidRPr="00121804">
        <w:rPr>
          <w:rFonts w:ascii="Arial" w:hAnsi="Arial" w:cs="Arial"/>
          <w:sz w:val="20"/>
          <w:szCs w:val="20"/>
        </w:rPr>
        <w:t>prevention</w:t>
      </w:r>
      <w:proofErr w:type="spellEnd"/>
      <w:r w:rsidRPr="00121804">
        <w:rPr>
          <w:rFonts w:ascii="Arial" w:hAnsi="Arial" w:cs="Arial"/>
          <w:sz w:val="20"/>
          <w:szCs w:val="20"/>
        </w:rPr>
        <w:t xml:space="preserve"> and </w:t>
      </w:r>
      <w:proofErr w:type="spellStart"/>
      <w:r w:rsidRPr="00121804">
        <w:rPr>
          <w:rFonts w:ascii="Arial" w:hAnsi="Arial" w:cs="Arial"/>
          <w:sz w:val="20"/>
          <w:szCs w:val="20"/>
        </w:rPr>
        <w:t>management</w:t>
      </w:r>
      <w:proofErr w:type="spellEnd"/>
      <w:r w:rsidRPr="00121804">
        <w:rPr>
          <w:rFonts w:ascii="Arial" w:hAnsi="Arial" w:cs="Arial"/>
          <w:sz w:val="20"/>
          <w:szCs w:val="20"/>
        </w:rPr>
        <w:t xml:space="preserve"> </w:t>
      </w:r>
      <w:proofErr w:type="spellStart"/>
      <w:r w:rsidRPr="00121804">
        <w:rPr>
          <w:rFonts w:ascii="Arial" w:hAnsi="Arial" w:cs="Arial"/>
          <w:sz w:val="20"/>
          <w:szCs w:val="20"/>
        </w:rPr>
        <w:t>strategies</w:t>
      </w:r>
      <w:proofErr w:type="spellEnd"/>
      <w:r w:rsidRPr="00121804">
        <w:rPr>
          <w:rFonts w:ascii="Arial" w:hAnsi="Arial" w:cs="Arial"/>
          <w:sz w:val="20"/>
          <w:szCs w:val="20"/>
        </w:rPr>
        <w:t xml:space="preserve">, and </w:t>
      </w:r>
      <w:proofErr w:type="spellStart"/>
      <w:r w:rsidRPr="00121804">
        <w:rPr>
          <w:rFonts w:ascii="Arial" w:hAnsi="Arial" w:cs="Arial"/>
          <w:sz w:val="20"/>
          <w:szCs w:val="20"/>
        </w:rPr>
        <w:t>support</w:t>
      </w:r>
      <w:proofErr w:type="spellEnd"/>
      <w:r w:rsidRPr="00121804">
        <w:rPr>
          <w:rFonts w:ascii="Arial" w:hAnsi="Arial" w:cs="Arial"/>
          <w:sz w:val="20"/>
          <w:szCs w:val="20"/>
        </w:rPr>
        <w:t xml:space="preserve"> </w:t>
      </w:r>
      <w:proofErr w:type="spellStart"/>
      <w:r w:rsidRPr="00121804">
        <w:rPr>
          <w:rFonts w:ascii="Arial" w:hAnsi="Arial" w:cs="Arial"/>
          <w:sz w:val="20"/>
          <w:szCs w:val="20"/>
        </w:rPr>
        <w:t>evidence-based</w:t>
      </w:r>
      <w:proofErr w:type="spellEnd"/>
      <w:r w:rsidRPr="00121804">
        <w:rPr>
          <w:rFonts w:ascii="Arial" w:hAnsi="Arial" w:cs="Arial"/>
          <w:sz w:val="20"/>
          <w:szCs w:val="20"/>
        </w:rPr>
        <w:t xml:space="preserve"> </w:t>
      </w:r>
      <w:proofErr w:type="spellStart"/>
      <w:r w:rsidRPr="00121804">
        <w:rPr>
          <w:rFonts w:ascii="Arial" w:hAnsi="Arial" w:cs="Arial"/>
          <w:sz w:val="20"/>
          <w:szCs w:val="20"/>
        </w:rPr>
        <w:t>health</w:t>
      </w:r>
      <w:proofErr w:type="spellEnd"/>
      <w:r w:rsidRPr="00121804">
        <w:rPr>
          <w:rFonts w:ascii="Arial" w:hAnsi="Arial" w:cs="Arial"/>
          <w:sz w:val="20"/>
          <w:szCs w:val="20"/>
        </w:rPr>
        <w:t xml:space="preserve"> </w:t>
      </w:r>
      <w:proofErr w:type="spellStart"/>
      <w:r w:rsidRPr="00121804">
        <w:rPr>
          <w:rFonts w:ascii="Arial" w:hAnsi="Arial" w:cs="Arial"/>
          <w:sz w:val="20"/>
          <w:szCs w:val="20"/>
        </w:rPr>
        <w:t>policy</w:t>
      </w:r>
      <w:proofErr w:type="spellEnd"/>
      <w:r w:rsidRPr="00121804">
        <w:rPr>
          <w:rFonts w:ascii="Arial" w:hAnsi="Arial" w:cs="Arial"/>
          <w:sz w:val="20"/>
          <w:szCs w:val="20"/>
        </w:rPr>
        <w:t xml:space="preserve"> and </w:t>
      </w:r>
      <w:proofErr w:type="spellStart"/>
      <w:r w:rsidRPr="00121804">
        <w:rPr>
          <w:rFonts w:ascii="Arial" w:hAnsi="Arial" w:cs="Arial"/>
          <w:sz w:val="20"/>
          <w:szCs w:val="20"/>
        </w:rPr>
        <w:t>resource</w:t>
      </w:r>
      <w:proofErr w:type="spellEnd"/>
      <w:r w:rsidRPr="00121804">
        <w:rPr>
          <w:rFonts w:ascii="Arial" w:hAnsi="Arial" w:cs="Arial"/>
          <w:sz w:val="20"/>
          <w:szCs w:val="20"/>
        </w:rPr>
        <w:t xml:space="preserve"> </w:t>
      </w:r>
      <w:proofErr w:type="spellStart"/>
      <w:r w:rsidRPr="00121804">
        <w:rPr>
          <w:rFonts w:ascii="Arial" w:hAnsi="Arial" w:cs="Arial"/>
          <w:sz w:val="20"/>
          <w:szCs w:val="20"/>
        </w:rPr>
        <w:t>allocation</w:t>
      </w:r>
      <w:proofErr w:type="spellEnd"/>
      <w:r w:rsidRPr="00121804">
        <w:rPr>
          <w:rFonts w:ascii="Arial" w:hAnsi="Arial" w:cs="Arial"/>
          <w:sz w:val="20"/>
          <w:szCs w:val="20"/>
        </w:rPr>
        <w:t>.</w:t>
      </w:r>
    </w:p>
    <w:p w14:paraId="769D1D67" w14:textId="77777777" w:rsidR="00C81973" w:rsidRPr="004F6D11" w:rsidRDefault="00C81973" w:rsidP="00A64C95">
      <w:pPr>
        <w:pStyle w:val="Body"/>
        <w:spacing w:after="0"/>
        <w:rPr>
          <w:rFonts w:ascii="Arial" w:hAnsi="Arial" w:cs="Arial"/>
        </w:rPr>
      </w:pPr>
    </w:p>
    <w:p w14:paraId="7039179C" w14:textId="77777777" w:rsidR="00C81973" w:rsidRPr="00B65923" w:rsidRDefault="00C81973" w:rsidP="00A64C95">
      <w:pPr>
        <w:pStyle w:val="ConcHead"/>
        <w:spacing w:after="0"/>
        <w:jc w:val="both"/>
        <w:rPr>
          <w:rFonts w:ascii="Arial" w:hAnsi="Arial" w:cs="Arial"/>
        </w:rPr>
      </w:pPr>
      <w:r w:rsidRPr="00B65923">
        <w:rPr>
          <w:rFonts w:ascii="Arial" w:hAnsi="Arial" w:cs="Arial"/>
        </w:rPr>
        <w:t>4. Conclusion.</w:t>
      </w:r>
    </w:p>
    <w:p w14:paraId="594BC1CB" w14:textId="765D8D9E" w:rsidR="00C81973" w:rsidRPr="004F6D11" w:rsidRDefault="008D6CD6" w:rsidP="00A64C95">
      <w:pPr>
        <w:spacing w:after="0" w:line="240" w:lineRule="auto"/>
        <w:jc w:val="both"/>
        <w:rPr>
          <w:rFonts w:ascii="Arial" w:hAnsi="Arial" w:cs="Arial"/>
          <w:bCs/>
          <w:caps/>
          <w:sz w:val="20"/>
          <w:szCs w:val="20"/>
        </w:rPr>
      </w:pPr>
      <w:proofErr w:type="spellStart"/>
      <w:r w:rsidRPr="008D6CD6">
        <w:rPr>
          <w:rFonts w:ascii="Arial" w:hAnsi="Arial" w:cs="Arial"/>
          <w:bCs/>
          <w:sz w:val="20"/>
          <w:szCs w:val="20"/>
        </w:rPr>
        <w:t>The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female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predominance</w:t>
      </w:r>
      <w:proofErr w:type="spellEnd"/>
      <w:r w:rsidRPr="008D6CD6">
        <w:rPr>
          <w:rFonts w:ascii="Arial" w:hAnsi="Arial" w:cs="Arial"/>
          <w:bCs/>
          <w:sz w:val="20"/>
          <w:szCs w:val="20"/>
        </w:rPr>
        <w:t xml:space="preserve"> in </w:t>
      </w:r>
      <w:proofErr w:type="spellStart"/>
      <w:r w:rsidRPr="008D6CD6">
        <w:rPr>
          <w:rFonts w:ascii="Arial" w:hAnsi="Arial" w:cs="Arial"/>
          <w:bCs/>
          <w:sz w:val="20"/>
          <w:szCs w:val="20"/>
        </w:rPr>
        <w:t>the</w:t>
      </w:r>
      <w:proofErr w:type="spellEnd"/>
      <w:r w:rsidRPr="008D6CD6">
        <w:rPr>
          <w:rFonts w:ascii="Arial" w:hAnsi="Arial" w:cs="Arial"/>
          <w:bCs/>
          <w:sz w:val="20"/>
          <w:szCs w:val="20"/>
        </w:rPr>
        <w:t xml:space="preserve"> 50–79 </w:t>
      </w:r>
      <w:proofErr w:type="spellStart"/>
      <w:r w:rsidRPr="008D6CD6">
        <w:rPr>
          <w:rFonts w:ascii="Arial" w:hAnsi="Arial" w:cs="Arial"/>
          <w:bCs/>
          <w:sz w:val="20"/>
          <w:szCs w:val="20"/>
        </w:rPr>
        <w:t>age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groups</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with</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higher</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prevalence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of</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hypertension</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dyslipidaemia</w:t>
      </w:r>
      <w:proofErr w:type="spellEnd"/>
      <w:r w:rsidRPr="008D6CD6">
        <w:rPr>
          <w:rFonts w:ascii="Arial" w:hAnsi="Arial" w:cs="Arial"/>
          <w:bCs/>
          <w:sz w:val="20"/>
          <w:szCs w:val="20"/>
        </w:rPr>
        <w:t xml:space="preserve">, and </w:t>
      </w:r>
      <w:proofErr w:type="spellStart"/>
      <w:r w:rsidRPr="008D6CD6">
        <w:rPr>
          <w:rFonts w:ascii="Arial" w:hAnsi="Arial" w:cs="Arial"/>
          <w:bCs/>
          <w:sz w:val="20"/>
          <w:szCs w:val="20"/>
        </w:rPr>
        <w:t>obesity</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is</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consistent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with</w:t>
      </w:r>
      <w:proofErr w:type="spellEnd"/>
      <w:r w:rsidRPr="008D6CD6">
        <w:rPr>
          <w:rFonts w:ascii="Arial" w:hAnsi="Arial" w:cs="Arial"/>
          <w:bCs/>
          <w:sz w:val="20"/>
          <w:szCs w:val="20"/>
        </w:rPr>
        <w:t xml:space="preserve"> global </w:t>
      </w:r>
      <w:proofErr w:type="spellStart"/>
      <w:r w:rsidRPr="008D6CD6">
        <w:rPr>
          <w:rFonts w:ascii="Arial" w:hAnsi="Arial" w:cs="Arial"/>
          <w:bCs/>
          <w:sz w:val="20"/>
          <w:szCs w:val="20"/>
        </w:rPr>
        <w:t>evidence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that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women</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with</w:t>
      </w:r>
      <w:proofErr w:type="spellEnd"/>
      <w:r w:rsidRPr="008D6CD6">
        <w:rPr>
          <w:rFonts w:ascii="Arial" w:hAnsi="Arial" w:cs="Arial"/>
          <w:bCs/>
          <w:sz w:val="20"/>
          <w:szCs w:val="20"/>
        </w:rPr>
        <w:t xml:space="preserve"> diabetes </w:t>
      </w:r>
      <w:proofErr w:type="spellStart"/>
      <w:r w:rsidRPr="008D6CD6">
        <w:rPr>
          <w:rFonts w:ascii="Arial" w:hAnsi="Arial" w:cs="Arial"/>
          <w:bCs/>
          <w:sz w:val="20"/>
          <w:szCs w:val="20"/>
        </w:rPr>
        <w:t>not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only</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survive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longer</w:t>
      </w:r>
      <w:proofErr w:type="spellEnd"/>
      <w:r w:rsidRPr="008D6CD6">
        <w:rPr>
          <w:rFonts w:ascii="Arial" w:hAnsi="Arial" w:cs="Arial"/>
          <w:bCs/>
          <w:sz w:val="20"/>
          <w:szCs w:val="20"/>
        </w:rPr>
        <w:t xml:space="preserve"> and </w:t>
      </w:r>
      <w:proofErr w:type="spellStart"/>
      <w:r w:rsidRPr="008D6CD6">
        <w:rPr>
          <w:rFonts w:ascii="Arial" w:hAnsi="Arial" w:cs="Arial"/>
          <w:bCs/>
          <w:sz w:val="20"/>
          <w:szCs w:val="20"/>
        </w:rPr>
        <w:t>utilise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healthcare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services</w:t>
      </w:r>
      <w:proofErr w:type="spellEnd"/>
      <w:r w:rsidRPr="008D6CD6">
        <w:rPr>
          <w:rFonts w:ascii="Arial" w:hAnsi="Arial" w:cs="Arial"/>
          <w:bCs/>
          <w:sz w:val="20"/>
          <w:szCs w:val="20"/>
        </w:rPr>
        <w:t xml:space="preserve"> more </w:t>
      </w:r>
      <w:proofErr w:type="spellStart"/>
      <w:r w:rsidRPr="008D6CD6">
        <w:rPr>
          <w:rFonts w:ascii="Arial" w:hAnsi="Arial" w:cs="Arial"/>
          <w:bCs/>
          <w:sz w:val="20"/>
          <w:szCs w:val="20"/>
        </w:rPr>
        <w:t>frequently</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but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also</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face</w:t>
      </w:r>
      <w:proofErr w:type="spellEnd"/>
      <w:r w:rsidRPr="008D6CD6">
        <w:rPr>
          <w:rFonts w:ascii="Arial" w:hAnsi="Arial" w:cs="Arial"/>
          <w:bCs/>
          <w:sz w:val="20"/>
          <w:szCs w:val="20"/>
        </w:rPr>
        <w:t xml:space="preserve"> a </w:t>
      </w:r>
      <w:proofErr w:type="spellStart"/>
      <w:r w:rsidRPr="008D6CD6">
        <w:rPr>
          <w:rFonts w:ascii="Arial" w:hAnsi="Arial" w:cs="Arial"/>
          <w:bCs/>
          <w:sz w:val="20"/>
          <w:szCs w:val="20"/>
        </w:rPr>
        <w:t>disproportionate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excess</w:t>
      </w:r>
      <w:proofErr w:type="spellEnd"/>
      <w:r w:rsidRPr="008D6CD6">
        <w:rPr>
          <w:rFonts w:ascii="Arial" w:hAnsi="Arial" w:cs="Arial"/>
          <w:bCs/>
          <w:sz w:val="20"/>
          <w:szCs w:val="20"/>
        </w:rPr>
        <w:t xml:space="preserve"> cardiovascular </w:t>
      </w:r>
      <w:proofErr w:type="spellStart"/>
      <w:r w:rsidRPr="008D6CD6">
        <w:rPr>
          <w:rFonts w:ascii="Arial" w:hAnsi="Arial" w:cs="Arial"/>
          <w:bCs/>
          <w:sz w:val="20"/>
          <w:szCs w:val="20"/>
        </w:rPr>
        <w:t>risk</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relative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to</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men</w:t>
      </w:r>
      <w:proofErr w:type="spellEnd"/>
      <w:r w:rsidRPr="008D6CD6">
        <w:rPr>
          <w:rFonts w:ascii="Arial" w:hAnsi="Arial" w:cs="Arial"/>
          <w:bCs/>
          <w:sz w:val="20"/>
          <w:szCs w:val="20"/>
        </w:rPr>
        <w:t xml:space="preserve"> at similar </w:t>
      </w:r>
      <w:proofErr w:type="spellStart"/>
      <w:r w:rsidRPr="008D6CD6">
        <w:rPr>
          <w:rFonts w:ascii="Arial" w:hAnsi="Arial" w:cs="Arial"/>
          <w:bCs/>
          <w:sz w:val="20"/>
          <w:szCs w:val="20"/>
        </w:rPr>
        <w:t>levels</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of</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risk</w:t>
      </w:r>
      <w:proofErr w:type="spellEnd"/>
      <w:r w:rsidRPr="008D6CD6">
        <w:rPr>
          <w:rFonts w:ascii="Arial" w:hAnsi="Arial" w:cs="Arial"/>
          <w:bCs/>
          <w:sz w:val="20"/>
          <w:szCs w:val="20"/>
        </w:rPr>
        <w:t xml:space="preserve"> factor </w:t>
      </w:r>
      <w:proofErr w:type="spellStart"/>
      <w:r w:rsidRPr="008D6CD6">
        <w:rPr>
          <w:rFonts w:ascii="Arial" w:hAnsi="Arial" w:cs="Arial"/>
          <w:bCs/>
          <w:sz w:val="20"/>
          <w:szCs w:val="20"/>
        </w:rPr>
        <w:t>exposure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Kautzky-Willer</w:t>
      </w:r>
      <w:proofErr w:type="spellEnd"/>
      <w:r w:rsidRPr="008D6CD6">
        <w:rPr>
          <w:rFonts w:ascii="Arial" w:hAnsi="Arial" w:cs="Arial"/>
          <w:bCs/>
          <w:sz w:val="20"/>
          <w:szCs w:val="20"/>
        </w:rPr>
        <w:t xml:space="preserve"> et al., 2016). </w:t>
      </w:r>
      <w:proofErr w:type="spellStart"/>
      <w:r w:rsidRPr="008D6CD6">
        <w:rPr>
          <w:rFonts w:ascii="Arial" w:hAnsi="Arial" w:cs="Arial"/>
          <w:bCs/>
          <w:sz w:val="20"/>
          <w:szCs w:val="20"/>
        </w:rPr>
        <w:t>Conversely</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men</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exhibit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earlier</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onset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of</w:t>
      </w:r>
      <w:proofErr w:type="spellEnd"/>
      <w:r w:rsidRPr="008D6CD6">
        <w:rPr>
          <w:rFonts w:ascii="Arial" w:hAnsi="Arial" w:cs="Arial"/>
          <w:bCs/>
          <w:sz w:val="20"/>
          <w:szCs w:val="20"/>
        </w:rPr>
        <w:t xml:space="preserve"> </w:t>
      </w:r>
      <w:proofErr w:type="spellStart"/>
      <w:r w:rsidR="00121804">
        <w:rPr>
          <w:rFonts w:ascii="Arial" w:hAnsi="Arial" w:cs="Arial"/>
          <w:bCs/>
          <w:sz w:val="20"/>
          <w:szCs w:val="20"/>
        </w:rPr>
        <w:t>chronic</w:t>
      </w:r>
      <w:proofErr w:type="spellEnd"/>
      <w:r w:rsidR="00121804">
        <w:rPr>
          <w:rFonts w:ascii="Arial" w:hAnsi="Arial" w:cs="Arial"/>
          <w:bCs/>
          <w:sz w:val="20"/>
          <w:szCs w:val="20"/>
        </w:rPr>
        <w:t xml:space="preserve"> </w:t>
      </w:r>
      <w:proofErr w:type="spellStart"/>
      <w:r w:rsidR="00121804">
        <w:rPr>
          <w:rFonts w:ascii="Arial" w:hAnsi="Arial" w:cs="Arial"/>
          <w:bCs/>
          <w:sz w:val="20"/>
          <w:szCs w:val="20"/>
        </w:rPr>
        <w:t>kidney</w:t>
      </w:r>
      <w:proofErr w:type="spellEnd"/>
      <w:r w:rsidR="00121804">
        <w:rPr>
          <w:rFonts w:ascii="Arial" w:hAnsi="Arial" w:cs="Arial"/>
          <w:bCs/>
          <w:sz w:val="20"/>
          <w:szCs w:val="20"/>
        </w:rPr>
        <w:t xml:space="preserve"> </w:t>
      </w:r>
      <w:proofErr w:type="spellStart"/>
      <w:r w:rsidR="00121804">
        <w:rPr>
          <w:rFonts w:ascii="Arial" w:hAnsi="Arial" w:cs="Arial"/>
          <w:bCs/>
          <w:sz w:val="20"/>
          <w:szCs w:val="20"/>
        </w:rPr>
        <w:t>disease</w:t>
      </w:r>
      <w:proofErr w:type="spellEnd"/>
      <w:r w:rsidRPr="008D6CD6">
        <w:rPr>
          <w:rFonts w:ascii="Arial" w:hAnsi="Arial" w:cs="Arial"/>
          <w:bCs/>
          <w:sz w:val="20"/>
          <w:szCs w:val="20"/>
        </w:rPr>
        <w:t xml:space="preserve"> and </w:t>
      </w:r>
      <w:proofErr w:type="spellStart"/>
      <w:r w:rsidRPr="008D6CD6">
        <w:rPr>
          <w:rFonts w:ascii="Arial" w:hAnsi="Arial" w:cs="Arial"/>
          <w:bCs/>
          <w:sz w:val="20"/>
          <w:szCs w:val="20"/>
        </w:rPr>
        <w:t>ischaemic</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heart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disease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Overall</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the</w:t>
      </w:r>
      <w:proofErr w:type="spellEnd"/>
      <w:r w:rsidRPr="008D6CD6">
        <w:rPr>
          <w:rFonts w:ascii="Arial" w:hAnsi="Arial" w:cs="Arial"/>
          <w:bCs/>
          <w:sz w:val="20"/>
          <w:szCs w:val="20"/>
        </w:rPr>
        <w:t xml:space="preserve"> global </w:t>
      </w:r>
      <w:proofErr w:type="spellStart"/>
      <w:r w:rsidRPr="008D6CD6">
        <w:rPr>
          <w:rFonts w:ascii="Arial" w:hAnsi="Arial" w:cs="Arial"/>
          <w:bCs/>
          <w:sz w:val="20"/>
          <w:szCs w:val="20"/>
        </w:rPr>
        <w:t>profile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suggests</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that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women</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concentrate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cardiometabolic</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risk</w:t>
      </w:r>
      <w:proofErr w:type="spellEnd"/>
      <w:r w:rsidRPr="008D6CD6">
        <w:rPr>
          <w:rFonts w:ascii="Arial" w:hAnsi="Arial" w:cs="Arial"/>
          <w:bCs/>
          <w:sz w:val="20"/>
          <w:szCs w:val="20"/>
        </w:rPr>
        <w:t xml:space="preserve"> in </w:t>
      </w:r>
      <w:proofErr w:type="spellStart"/>
      <w:r w:rsidRPr="008D6CD6">
        <w:rPr>
          <w:rFonts w:ascii="Arial" w:hAnsi="Arial" w:cs="Arial"/>
          <w:bCs/>
          <w:sz w:val="20"/>
          <w:szCs w:val="20"/>
        </w:rPr>
        <w:t>midlife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compounded</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by</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endocrine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comorbidities</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while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men</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accumulate</w:t>
      </w:r>
      <w:proofErr w:type="spellEnd"/>
      <w:r w:rsidRPr="008D6CD6">
        <w:rPr>
          <w:rFonts w:ascii="Arial" w:hAnsi="Arial" w:cs="Arial"/>
          <w:bCs/>
          <w:sz w:val="20"/>
          <w:szCs w:val="20"/>
        </w:rPr>
        <w:t xml:space="preserve"> renal and cardiovascular </w:t>
      </w:r>
      <w:proofErr w:type="spellStart"/>
      <w:r w:rsidRPr="008D6CD6">
        <w:rPr>
          <w:rFonts w:ascii="Arial" w:hAnsi="Arial" w:cs="Arial"/>
          <w:bCs/>
          <w:sz w:val="20"/>
          <w:szCs w:val="20"/>
        </w:rPr>
        <w:t>damage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earlier</w:t>
      </w:r>
      <w:proofErr w:type="spellEnd"/>
      <w:r w:rsidRPr="008D6CD6">
        <w:rPr>
          <w:rFonts w:ascii="Arial" w:hAnsi="Arial" w:cs="Arial"/>
          <w:bCs/>
          <w:sz w:val="20"/>
          <w:szCs w:val="20"/>
        </w:rPr>
        <w:t xml:space="preserve"> and more </w:t>
      </w:r>
      <w:proofErr w:type="spellStart"/>
      <w:r w:rsidRPr="008D6CD6">
        <w:rPr>
          <w:rFonts w:ascii="Arial" w:hAnsi="Arial" w:cs="Arial"/>
          <w:bCs/>
          <w:sz w:val="20"/>
          <w:szCs w:val="20"/>
        </w:rPr>
        <w:t>persistently</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with</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additional</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respiratory</w:t>
      </w:r>
      <w:proofErr w:type="spellEnd"/>
      <w:r w:rsidRPr="008D6CD6">
        <w:rPr>
          <w:rFonts w:ascii="Arial" w:hAnsi="Arial" w:cs="Arial"/>
          <w:bCs/>
          <w:sz w:val="20"/>
          <w:szCs w:val="20"/>
        </w:rPr>
        <w:t xml:space="preserve"> and </w:t>
      </w:r>
      <w:proofErr w:type="spellStart"/>
      <w:r w:rsidRPr="008D6CD6">
        <w:rPr>
          <w:rFonts w:ascii="Arial" w:hAnsi="Arial" w:cs="Arial"/>
          <w:bCs/>
          <w:sz w:val="20"/>
          <w:szCs w:val="20"/>
        </w:rPr>
        <w:t>prostatic</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morbidity</w:t>
      </w:r>
      <w:proofErr w:type="spellEnd"/>
      <w:r w:rsidRPr="008D6CD6">
        <w:rPr>
          <w:rFonts w:ascii="Arial" w:hAnsi="Arial" w:cs="Arial"/>
          <w:bCs/>
          <w:sz w:val="20"/>
          <w:szCs w:val="20"/>
        </w:rPr>
        <w:t xml:space="preserve"> in </w:t>
      </w:r>
      <w:proofErr w:type="spellStart"/>
      <w:r w:rsidRPr="008D6CD6">
        <w:rPr>
          <w:rFonts w:ascii="Arial" w:hAnsi="Arial" w:cs="Arial"/>
          <w:bCs/>
          <w:sz w:val="20"/>
          <w:szCs w:val="20"/>
        </w:rPr>
        <w:t>later</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life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These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results</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support</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the</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need</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for</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life-course</w:t>
      </w:r>
      <w:proofErr w:type="spellEnd"/>
      <w:r w:rsidRPr="008D6CD6">
        <w:rPr>
          <w:rFonts w:ascii="Arial" w:hAnsi="Arial" w:cs="Arial"/>
          <w:bCs/>
          <w:sz w:val="20"/>
          <w:szCs w:val="20"/>
        </w:rPr>
        <w:t>, sex-</w:t>
      </w:r>
      <w:proofErr w:type="spellStart"/>
      <w:r w:rsidRPr="008D6CD6">
        <w:rPr>
          <w:rFonts w:ascii="Arial" w:hAnsi="Arial" w:cs="Arial"/>
          <w:bCs/>
          <w:sz w:val="20"/>
          <w:szCs w:val="20"/>
        </w:rPr>
        <w:t>sensitive</w:t>
      </w:r>
      <w:proofErr w:type="spellEnd"/>
      <w:r w:rsidRPr="008D6CD6">
        <w:rPr>
          <w:rFonts w:ascii="Arial" w:hAnsi="Arial" w:cs="Arial"/>
          <w:bCs/>
          <w:sz w:val="20"/>
          <w:szCs w:val="20"/>
        </w:rPr>
        <w:t xml:space="preserve">, and </w:t>
      </w:r>
      <w:proofErr w:type="spellStart"/>
      <w:r w:rsidRPr="008D6CD6">
        <w:rPr>
          <w:rFonts w:ascii="Arial" w:hAnsi="Arial" w:cs="Arial"/>
          <w:bCs/>
          <w:sz w:val="20"/>
          <w:szCs w:val="20"/>
        </w:rPr>
        <w:t>multidisciplinary</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approaches</w:t>
      </w:r>
      <w:proofErr w:type="spellEnd"/>
      <w:r w:rsidRPr="008D6CD6">
        <w:rPr>
          <w:rFonts w:ascii="Arial" w:hAnsi="Arial" w:cs="Arial"/>
          <w:bCs/>
          <w:sz w:val="20"/>
          <w:szCs w:val="20"/>
        </w:rPr>
        <w:t xml:space="preserve"> </w:t>
      </w:r>
      <w:proofErr w:type="spellStart"/>
      <w:r w:rsidRPr="008D6CD6">
        <w:rPr>
          <w:rFonts w:ascii="Arial" w:hAnsi="Arial" w:cs="Arial"/>
          <w:bCs/>
          <w:sz w:val="20"/>
          <w:szCs w:val="20"/>
        </w:rPr>
        <w:t>to</w:t>
      </w:r>
      <w:proofErr w:type="spellEnd"/>
      <w:r w:rsidRPr="008D6CD6">
        <w:rPr>
          <w:rFonts w:ascii="Arial" w:hAnsi="Arial" w:cs="Arial"/>
          <w:bCs/>
          <w:sz w:val="20"/>
          <w:szCs w:val="20"/>
        </w:rPr>
        <w:t xml:space="preserve"> diabetes </w:t>
      </w:r>
      <w:proofErr w:type="spellStart"/>
      <w:r w:rsidRPr="008D6CD6">
        <w:rPr>
          <w:rFonts w:ascii="Arial" w:hAnsi="Arial" w:cs="Arial"/>
          <w:bCs/>
          <w:sz w:val="20"/>
          <w:szCs w:val="20"/>
        </w:rPr>
        <w:t>management</w:t>
      </w:r>
      <w:proofErr w:type="spellEnd"/>
      <w:r w:rsidR="00C81973" w:rsidRPr="004F6D11">
        <w:rPr>
          <w:rFonts w:ascii="Arial" w:hAnsi="Arial" w:cs="Arial"/>
          <w:bCs/>
          <w:sz w:val="20"/>
          <w:szCs w:val="20"/>
        </w:rPr>
        <w:t>.</w:t>
      </w:r>
    </w:p>
    <w:p w14:paraId="4A5667FB" w14:textId="77777777" w:rsidR="00C81973" w:rsidRPr="004F6D11" w:rsidRDefault="00C81973" w:rsidP="00A64C95">
      <w:pPr>
        <w:spacing w:after="0" w:line="240" w:lineRule="auto"/>
        <w:rPr>
          <w:rFonts w:ascii="Arial" w:hAnsi="Arial" w:cs="Arial"/>
          <w:sz w:val="20"/>
          <w:szCs w:val="20"/>
        </w:rPr>
      </w:pPr>
    </w:p>
    <w:p w14:paraId="047A7130" w14:textId="77777777" w:rsidR="00C81973" w:rsidRPr="00A64C95" w:rsidRDefault="00C81973" w:rsidP="00A64C95">
      <w:pPr>
        <w:pStyle w:val="ReferHead"/>
        <w:spacing w:after="0"/>
        <w:jc w:val="both"/>
        <w:rPr>
          <w:rFonts w:ascii="Arial" w:hAnsi="Arial" w:cs="Arial"/>
          <w:b w:val="0"/>
          <w:caps w:val="0"/>
          <w:sz w:val="20"/>
        </w:rPr>
      </w:pPr>
    </w:p>
    <w:p w14:paraId="6854F91B" w14:textId="77777777" w:rsidR="00C81973" w:rsidRPr="0054404D" w:rsidRDefault="00C81973" w:rsidP="00A64C95">
      <w:pPr>
        <w:pStyle w:val="AcknHead"/>
        <w:spacing w:after="0"/>
        <w:jc w:val="both"/>
        <w:rPr>
          <w:rFonts w:ascii="Arial" w:hAnsi="Arial" w:cs="Arial"/>
        </w:rPr>
      </w:pPr>
      <w:r w:rsidRPr="0054404D">
        <w:rPr>
          <w:rFonts w:ascii="Arial" w:hAnsi="Arial" w:cs="Arial"/>
        </w:rPr>
        <w:t>DISCLAIMER.</w:t>
      </w:r>
    </w:p>
    <w:p w14:paraId="1EE56344" w14:textId="77777777" w:rsidR="00C81973" w:rsidRPr="004F6D11" w:rsidRDefault="00C81973" w:rsidP="00A64C95">
      <w:pPr>
        <w:spacing w:after="0" w:line="240" w:lineRule="auto"/>
        <w:jc w:val="both"/>
        <w:rPr>
          <w:rFonts w:ascii="Arial" w:hAnsi="Arial" w:cs="Arial"/>
          <w:b/>
          <w:sz w:val="20"/>
          <w:szCs w:val="20"/>
        </w:rPr>
      </w:pPr>
      <w:proofErr w:type="spellStart"/>
      <w:r w:rsidRPr="004F6D11">
        <w:rPr>
          <w:rFonts w:ascii="Arial" w:hAnsi="Arial" w:cs="Arial"/>
          <w:sz w:val="20"/>
          <w:szCs w:val="20"/>
        </w:rPr>
        <w:t>Authors</w:t>
      </w:r>
      <w:proofErr w:type="spellEnd"/>
      <w:r w:rsidRPr="004F6D11">
        <w:rPr>
          <w:rFonts w:ascii="Arial" w:hAnsi="Arial" w:cs="Arial"/>
          <w:sz w:val="20"/>
          <w:szCs w:val="20"/>
        </w:rPr>
        <w:t xml:space="preserve"> </w:t>
      </w:r>
      <w:proofErr w:type="spellStart"/>
      <w:r w:rsidRPr="004F6D11">
        <w:rPr>
          <w:rFonts w:ascii="Arial" w:hAnsi="Arial" w:cs="Arial"/>
          <w:sz w:val="20"/>
          <w:szCs w:val="20"/>
        </w:rPr>
        <w:t>hereby</w:t>
      </w:r>
      <w:proofErr w:type="spellEnd"/>
      <w:r w:rsidRPr="004F6D11">
        <w:rPr>
          <w:rFonts w:ascii="Arial" w:hAnsi="Arial" w:cs="Arial"/>
          <w:sz w:val="20"/>
          <w:szCs w:val="20"/>
        </w:rPr>
        <w:t xml:space="preserve"> declare </w:t>
      </w:r>
      <w:proofErr w:type="spellStart"/>
      <w:r w:rsidRPr="004F6D11">
        <w:rPr>
          <w:rFonts w:ascii="Arial" w:hAnsi="Arial" w:cs="Arial"/>
          <w:sz w:val="20"/>
          <w:szCs w:val="20"/>
        </w:rPr>
        <w:t>that</w:t>
      </w:r>
      <w:proofErr w:type="spellEnd"/>
      <w:r w:rsidRPr="004F6D11">
        <w:rPr>
          <w:rFonts w:ascii="Arial" w:hAnsi="Arial" w:cs="Arial"/>
          <w:sz w:val="20"/>
          <w:szCs w:val="20"/>
        </w:rPr>
        <w:t xml:space="preserve"> NO </w:t>
      </w:r>
      <w:proofErr w:type="spellStart"/>
      <w:r w:rsidRPr="004F6D11">
        <w:rPr>
          <w:rFonts w:ascii="Arial" w:hAnsi="Arial" w:cs="Arial"/>
          <w:sz w:val="20"/>
          <w:szCs w:val="20"/>
        </w:rPr>
        <w:t>generative</w:t>
      </w:r>
      <w:proofErr w:type="spellEnd"/>
      <w:r w:rsidRPr="004F6D11">
        <w:rPr>
          <w:rFonts w:ascii="Arial" w:hAnsi="Arial" w:cs="Arial"/>
          <w:sz w:val="20"/>
          <w:szCs w:val="20"/>
        </w:rPr>
        <w:t xml:space="preserve"> AI </w:t>
      </w:r>
      <w:proofErr w:type="spellStart"/>
      <w:r w:rsidRPr="004F6D11">
        <w:rPr>
          <w:rFonts w:ascii="Arial" w:hAnsi="Arial" w:cs="Arial"/>
          <w:sz w:val="20"/>
          <w:szCs w:val="20"/>
        </w:rPr>
        <w:t>technologies</w:t>
      </w:r>
      <w:proofErr w:type="spellEnd"/>
      <w:r w:rsidRPr="004F6D11">
        <w:rPr>
          <w:rFonts w:ascii="Arial" w:hAnsi="Arial" w:cs="Arial"/>
          <w:sz w:val="20"/>
          <w:szCs w:val="20"/>
        </w:rPr>
        <w:t xml:space="preserve"> </w:t>
      </w:r>
      <w:proofErr w:type="spellStart"/>
      <w:r w:rsidRPr="004F6D11">
        <w:rPr>
          <w:rFonts w:ascii="Arial" w:hAnsi="Arial" w:cs="Arial"/>
          <w:sz w:val="20"/>
          <w:szCs w:val="20"/>
        </w:rPr>
        <w:t>such</w:t>
      </w:r>
      <w:proofErr w:type="spellEnd"/>
      <w:r w:rsidRPr="004F6D11">
        <w:rPr>
          <w:rFonts w:ascii="Arial" w:hAnsi="Arial" w:cs="Arial"/>
          <w:sz w:val="20"/>
          <w:szCs w:val="20"/>
        </w:rPr>
        <w:t xml:space="preserve"> as </w:t>
      </w:r>
      <w:proofErr w:type="spellStart"/>
      <w:r w:rsidRPr="004F6D11">
        <w:rPr>
          <w:rFonts w:ascii="Arial" w:hAnsi="Arial" w:cs="Arial"/>
          <w:sz w:val="20"/>
          <w:szCs w:val="20"/>
        </w:rPr>
        <w:t>Large</w:t>
      </w:r>
      <w:proofErr w:type="spellEnd"/>
      <w:r w:rsidRPr="004F6D11">
        <w:rPr>
          <w:rFonts w:ascii="Arial" w:hAnsi="Arial" w:cs="Arial"/>
          <w:sz w:val="20"/>
          <w:szCs w:val="20"/>
        </w:rPr>
        <w:t xml:space="preserve"> </w:t>
      </w:r>
      <w:proofErr w:type="spellStart"/>
      <w:r w:rsidRPr="004F6D11">
        <w:rPr>
          <w:rFonts w:ascii="Arial" w:hAnsi="Arial" w:cs="Arial"/>
          <w:sz w:val="20"/>
          <w:szCs w:val="20"/>
        </w:rPr>
        <w:t>Language</w:t>
      </w:r>
      <w:proofErr w:type="spellEnd"/>
      <w:r w:rsidRPr="004F6D11">
        <w:rPr>
          <w:rFonts w:ascii="Arial" w:hAnsi="Arial" w:cs="Arial"/>
          <w:sz w:val="20"/>
          <w:szCs w:val="20"/>
        </w:rPr>
        <w:t xml:space="preserve"> </w:t>
      </w:r>
      <w:proofErr w:type="spellStart"/>
      <w:r w:rsidRPr="004F6D11">
        <w:rPr>
          <w:rFonts w:ascii="Arial" w:hAnsi="Arial" w:cs="Arial"/>
          <w:sz w:val="20"/>
          <w:szCs w:val="20"/>
        </w:rPr>
        <w:t>Models</w:t>
      </w:r>
      <w:proofErr w:type="spellEnd"/>
      <w:r w:rsidRPr="004F6D11">
        <w:rPr>
          <w:rFonts w:ascii="Arial" w:hAnsi="Arial" w:cs="Arial"/>
          <w:sz w:val="20"/>
          <w:szCs w:val="20"/>
        </w:rPr>
        <w:t xml:space="preserve"> (</w:t>
      </w:r>
      <w:proofErr w:type="spellStart"/>
      <w:r w:rsidRPr="004F6D11">
        <w:rPr>
          <w:rFonts w:ascii="Arial" w:hAnsi="Arial" w:cs="Arial"/>
          <w:sz w:val="20"/>
          <w:szCs w:val="20"/>
        </w:rPr>
        <w:t>ChatGPT</w:t>
      </w:r>
      <w:proofErr w:type="spellEnd"/>
      <w:r w:rsidRPr="004F6D11">
        <w:rPr>
          <w:rFonts w:ascii="Arial" w:hAnsi="Arial" w:cs="Arial"/>
          <w:sz w:val="20"/>
          <w:szCs w:val="20"/>
        </w:rPr>
        <w:t xml:space="preserve">, COPILOT, </w:t>
      </w:r>
      <w:proofErr w:type="spellStart"/>
      <w:r w:rsidRPr="004F6D11">
        <w:rPr>
          <w:rFonts w:ascii="Arial" w:hAnsi="Arial" w:cs="Arial"/>
          <w:sz w:val="20"/>
          <w:szCs w:val="20"/>
        </w:rPr>
        <w:t>etc</w:t>
      </w:r>
      <w:proofErr w:type="spellEnd"/>
      <w:r w:rsidRPr="004F6D11">
        <w:rPr>
          <w:rFonts w:ascii="Arial" w:hAnsi="Arial" w:cs="Arial"/>
          <w:sz w:val="20"/>
          <w:szCs w:val="20"/>
        </w:rPr>
        <w:t xml:space="preserve">) and </w:t>
      </w:r>
      <w:proofErr w:type="spellStart"/>
      <w:r w:rsidRPr="004F6D11">
        <w:rPr>
          <w:rFonts w:ascii="Arial" w:hAnsi="Arial" w:cs="Arial"/>
          <w:sz w:val="20"/>
          <w:szCs w:val="20"/>
        </w:rPr>
        <w:t>text-to-image</w:t>
      </w:r>
      <w:proofErr w:type="spellEnd"/>
      <w:r w:rsidRPr="004F6D11">
        <w:rPr>
          <w:rFonts w:ascii="Arial" w:hAnsi="Arial" w:cs="Arial"/>
          <w:sz w:val="20"/>
          <w:szCs w:val="20"/>
        </w:rPr>
        <w:t xml:space="preserve"> </w:t>
      </w:r>
      <w:proofErr w:type="spellStart"/>
      <w:r w:rsidRPr="004F6D11">
        <w:rPr>
          <w:rFonts w:ascii="Arial" w:hAnsi="Arial" w:cs="Arial"/>
          <w:sz w:val="20"/>
          <w:szCs w:val="20"/>
        </w:rPr>
        <w:t>generators</w:t>
      </w:r>
      <w:proofErr w:type="spellEnd"/>
      <w:r w:rsidRPr="004F6D11">
        <w:rPr>
          <w:rFonts w:ascii="Arial" w:hAnsi="Arial" w:cs="Arial"/>
          <w:sz w:val="20"/>
          <w:szCs w:val="20"/>
        </w:rPr>
        <w:t xml:space="preserve"> </w:t>
      </w:r>
      <w:proofErr w:type="spellStart"/>
      <w:r w:rsidRPr="004F6D11">
        <w:rPr>
          <w:rFonts w:ascii="Arial" w:hAnsi="Arial" w:cs="Arial"/>
          <w:sz w:val="20"/>
          <w:szCs w:val="20"/>
        </w:rPr>
        <w:t>have</w:t>
      </w:r>
      <w:proofErr w:type="spellEnd"/>
      <w:r w:rsidRPr="004F6D11">
        <w:rPr>
          <w:rFonts w:ascii="Arial" w:hAnsi="Arial" w:cs="Arial"/>
          <w:sz w:val="20"/>
          <w:szCs w:val="20"/>
        </w:rPr>
        <w:t xml:space="preserve"> </w:t>
      </w:r>
      <w:proofErr w:type="spellStart"/>
      <w:r w:rsidRPr="004F6D11">
        <w:rPr>
          <w:rFonts w:ascii="Arial" w:hAnsi="Arial" w:cs="Arial"/>
          <w:sz w:val="20"/>
          <w:szCs w:val="20"/>
        </w:rPr>
        <w:t>been</w:t>
      </w:r>
      <w:proofErr w:type="spellEnd"/>
      <w:r w:rsidRPr="004F6D11">
        <w:rPr>
          <w:rFonts w:ascii="Arial" w:hAnsi="Arial" w:cs="Arial"/>
          <w:sz w:val="20"/>
          <w:szCs w:val="20"/>
        </w:rPr>
        <w:t xml:space="preserve"> </w:t>
      </w:r>
      <w:proofErr w:type="spellStart"/>
      <w:r w:rsidRPr="004F6D11">
        <w:rPr>
          <w:rFonts w:ascii="Arial" w:hAnsi="Arial" w:cs="Arial"/>
          <w:sz w:val="20"/>
          <w:szCs w:val="20"/>
        </w:rPr>
        <w:t>used</w:t>
      </w:r>
      <w:proofErr w:type="spellEnd"/>
      <w:r w:rsidRPr="004F6D11">
        <w:rPr>
          <w:rFonts w:ascii="Arial" w:hAnsi="Arial" w:cs="Arial"/>
          <w:sz w:val="20"/>
          <w:szCs w:val="20"/>
        </w:rPr>
        <w:t xml:space="preserve"> </w:t>
      </w:r>
      <w:proofErr w:type="spellStart"/>
      <w:r w:rsidRPr="004F6D11">
        <w:rPr>
          <w:rFonts w:ascii="Arial" w:hAnsi="Arial" w:cs="Arial"/>
          <w:sz w:val="20"/>
          <w:szCs w:val="20"/>
        </w:rPr>
        <w:t>during</w:t>
      </w:r>
      <w:proofErr w:type="spellEnd"/>
      <w:r w:rsidRPr="004F6D11">
        <w:rPr>
          <w:rFonts w:ascii="Arial" w:hAnsi="Arial" w:cs="Arial"/>
          <w:sz w:val="20"/>
          <w:szCs w:val="20"/>
        </w:rPr>
        <w:t xml:space="preserve"> </w:t>
      </w:r>
      <w:proofErr w:type="spellStart"/>
      <w:r w:rsidRPr="004F6D11">
        <w:rPr>
          <w:rFonts w:ascii="Arial" w:hAnsi="Arial" w:cs="Arial"/>
          <w:sz w:val="20"/>
          <w:szCs w:val="20"/>
        </w:rPr>
        <w:t>writing</w:t>
      </w:r>
      <w:proofErr w:type="spellEnd"/>
      <w:r w:rsidRPr="004F6D11">
        <w:rPr>
          <w:rFonts w:ascii="Arial" w:hAnsi="Arial" w:cs="Arial"/>
          <w:sz w:val="20"/>
          <w:szCs w:val="20"/>
        </w:rPr>
        <w:t xml:space="preserve"> </w:t>
      </w:r>
      <w:proofErr w:type="spellStart"/>
      <w:r w:rsidRPr="004F6D11">
        <w:rPr>
          <w:rFonts w:ascii="Arial" w:hAnsi="Arial" w:cs="Arial"/>
          <w:sz w:val="20"/>
          <w:szCs w:val="20"/>
        </w:rPr>
        <w:t>or</w:t>
      </w:r>
      <w:proofErr w:type="spellEnd"/>
      <w:r w:rsidRPr="004F6D11">
        <w:rPr>
          <w:rFonts w:ascii="Arial" w:hAnsi="Arial" w:cs="Arial"/>
          <w:sz w:val="20"/>
          <w:szCs w:val="20"/>
        </w:rPr>
        <w:t xml:space="preserve"> </w:t>
      </w:r>
      <w:proofErr w:type="spellStart"/>
      <w:r w:rsidRPr="004F6D11">
        <w:rPr>
          <w:rFonts w:ascii="Arial" w:hAnsi="Arial" w:cs="Arial"/>
          <w:sz w:val="20"/>
          <w:szCs w:val="20"/>
        </w:rPr>
        <w:t>editing</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manuscripts</w:t>
      </w:r>
      <w:proofErr w:type="spellEnd"/>
      <w:r w:rsidRPr="004F6D11">
        <w:rPr>
          <w:rFonts w:ascii="Arial" w:hAnsi="Arial" w:cs="Arial"/>
          <w:sz w:val="20"/>
          <w:szCs w:val="20"/>
        </w:rPr>
        <w:t>.</w:t>
      </w:r>
    </w:p>
    <w:p w14:paraId="611DF51A" w14:textId="77777777" w:rsidR="00C81973" w:rsidRPr="004F6D11" w:rsidRDefault="00C81973" w:rsidP="00A64C95">
      <w:pPr>
        <w:pStyle w:val="ReferHead"/>
        <w:spacing w:after="0"/>
        <w:jc w:val="both"/>
        <w:rPr>
          <w:rFonts w:ascii="Arial" w:hAnsi="Arial" w:cs="Arial"/>
          <w:b w:val="0"/>
          <w:caps w:val="0"/>
          <w:sz w:val="20"/>
        </w:rPr>
      </w:pPr>
    </w:p>
    <w:p w14:paraId="5550D8A3" w14:textId="77777777" w:rsidR="00C81973" w:rsidRPr="0054404D" w:rsidRDefault="00C81973" w:rsidP="00A64C95">
      <w:pPr>
        <w:pStyle w:val="ReferHead"/>
        <w:spacing w:after="0"/>
        <w:jc w:val="both"/>
        <w:rPr>
          <w:rFonts w:ascii="Arial" w:hAnsi="Arial" w:cs="Arial"/>
          <w:bCs/>
        </w:rPr>
      </w:pPr>
      <w:r w:rsidRPr="0054404D">
        <w:rPr>
          <w:rFonts w:ascii="Arial" w:hAnsi="Arial" w:cs="Arial"/>
          <w:bCs/>
        </w:rPr>
        <w:t>Consent.</w:t>
      </w:r>
    </w:p>
    <w:p w14:paraId="1993B82A" w14:textId="77777777" w:rsidR="00C81973" w:rsidRPr="004F6D11" w:rsidRDefault="00C81973" w:rsidP="00A64C95">
      <w:pPr>
        <w:spacing w:after="0" w:line="240" w:lineRule="auto"/>
        <w:jc w:val="both"/>
        <w:rPr>
          <w:rFonts w:ascii="Arial" w:hAnsi="Arial" w:cs="Arial"/>
          <w:sz w:val="20"/>
          <w:szCs w:val="20"/>
        </w:rPr>
      </w:pP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study</w:t>
      </w:r>
      <w:proofErr w:type="spellEnd"/>
      <w:r w:rsidRPr="004F6D11">
        <w:rPr>
          <w:rFonts w:ascii="Arial" w:hAnsi="Arial" w:cs="Arial"/>
          <w:sz w:val="20"/>
          <w:szCs w:val="20"/>
        </w:rPr>
        <w:t xml:space="preserve"> </w:t>
      </w:r>
      <w:proofErr w:type="spellStart"/>
      <w:r w:rsidRPr="004F6D11">
        <w:rPr>
          <w:rFonts w:ascii="Arial" w:hAnsi="Arial" w:cs="Arial"/>
          <w:sz w:val="20"/>
          <w:szCs w:val="20"/>
        </w:rPr>
        <w:t>was</w:t>
      </w:r>
      <w:proofErr w:type="spellEnd"/>
      <w:r w:rsidRPr="004F6D11">
        <w:rPr>
          <w:rFonts w:ascii="Arial" w:hAnsi="Arial" w:cs="Arial"/>
          <w:sz w:val="20"/>
          <w:szCs w:val="20"/>
        </w:rPr>
        <w:t xml:space="preserve"> </w:t>
      </w:r>
      <w:proofErr w:type="spellStart"/>
      <w:r w:rsidRPr="004F6D11">
        <w:rPr>
          <w:rFonts w:ascii="Arial" w:hAnsi="Arial" w:cs="Arial"/>
          <w:sz w:val="20"/>
          <w:szCs w:val="20"/>
        </w:rPr>
        <w:t>conducted</w:t>
      </w:r>
      <w:proofErr w:type="spellEnd"/>
      <w:r w:rsidRPr="004F6D11">
        <w:rPr>
          <w:rFonts w:ascii="Arial" w:hAnsi="Arial" w:cs="Arial"/>
          <w:sz w:val="20"/>
          <w:szCs w:val="20"/>
        </w:rPr>
        <w:t xml:space="preserve"> </w:t>
      </w:r>
      <w:proofErr w:type="spellStart"/>
      <w:r w:rsidRPr="004F6D11">
        <w:rPr>
          <w:rFonts w:ascii="Arial" w:hAnsi="Arial" w:cs="Arial"/>
          <w:sz w:val="20"/>
          <w:szCs w:val="20"/>
        </w:rPr>
        <w:t>using</w:t>
      </w:r>
      <w:proofErr w:type="spellEnd"/>
      <w:r w:rsidRPr="004F6D11">
        <w:rPr>
          <w:rFonts w:ascii="Arial" w:hAnsi="Arial" w:cs="Arial"/>
          <w:sz w:val="20"/>
          <w:szCs w:val="20"/>
        </w:rPr>
        <w:t xml:space="preserve"> medical </w:t>
      </w:r>
      <w:proofErr w:type="spellStart"/>
      <w:r w:rsidRPr="004F6D11">
        <w:rPr>
          <w:rFonts w:ascii="Arial" w:hAnsi="Arial" w:cs="Arial"/>
          <w:sz w:val="20"/>
          <w:szCs w:val="20"/>
        </w:rPr>
        <w:t>records</w:t>
      </w:r>
      <w:proofErr w:type="spellEnd"/>
      <w:r w:rsidRPr="004F6D11">
        <w:rPr>
          <w:rFonts w:ascii="Arial" w:hAnsi="Arial" w:cs="Arial"/>
          <w:sz w:val="20"/>
          <w:szCs w:val="20"/>
        </w:rPr>
        <w:t xml:space="preserve">, and no </w:t>
      </w:r>
      <w:proofErr w:type="spellStart"/>
      <w:r w:rsidRPr="004F6D11">
        <w:rPr>
          <w:rFonts w:ascii="Arial" w:hAnsi="Arial" w:cs="Arial"/>
          <w:sz w:val="20"/>
          <w:szCs w:val="20"/>
        </w:rPr>
        <w:t>informed</w:t>
      </w:r>
      <w:proofErr w:type="spellEnd"/>
      <w:r w:rsidRPr="004F6D11">
        <w:rPr>
          <w:rFonts w:ascii="Arial" w:hAnsi="Arial" w:cs="Arial"/>
          <w:sz w:val="20"/>
          <w:szCs w:val="20"/>
        </w:rPr>
        <w:t xml:space="preserve"> </w:t>
      </w:r>
      <w:proofErr w:type="spellStart"/>
      <w:r w:rsidRPr="004F6D11">
        <w:rPr>
          <w:rFonts w:ascii="Arial" w:hAnsi="Arial" w:cs="Arial"/>
          <w:sz w:val="20"/>
          <w:szCs w:val="20"/>
        </w:rPr>
        <w:t>consent</w:t>
      </w:r>
      <w:proofErr w:type="spellEnd"/>
      <w:r w:rsidRPr="004F6D11">
        <w:rPr>
          <w:rFonts w:ascii="Arial" w:hAnsi="Arial" w:cs="Arial"/>
          <w:sz w:val="20"/>
          <w:szCs w:val="20"/>
        </w:rPr>
        <w:t xml:space="preserve"> </w:t>
      </w:r>
      <w:proofErr w:type="spellStart"/>
      <w:r w:rsidRPr="004F6D11">
        <w:rPr>
          <w:rFonts w:ascii="Arial" w:hAnsi="Arial" w:cs="Arial"/>
          <w:sz w:val="20"/>
          <w:szCs w:val="20"/>
        </w:rPr>
        <w:t>was</w:t>
      </w:r>
      <w:proofErr w:type="spellEnd"/>
      <w:r w:rsidRPr="004F6D11">
        <w:rPr>
          <w:rFonts w:ascii="Arial" w:hAnsi="Arial" w:cs="Arial"/>
          <w:sz w:val="20"/>
          <w:szCs w:val="20"/>
        </w:rPr>
        <w:t xml:space="preserve"> </w:t>
      </w:r>
      <w:proofErr w:type="spellStart"/>
      <w:r w:rsidRPr="004F6D11">
        <w:rPr>
          <w:rFonts w:ascii="Arial" w:hAnsi="Arial" w:cs="Arial"/>
          <w:sz w:val="20"/>
          <w:szCs w:val="20"/>
        </w:rPr>
        <w:t>obtained</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handling</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information</w:t>
      </w:r>
      <w:proofErr w:type="spellEnd"/>
      <w:r w:rsidRPr="004F6D11">
        <w:rPr>
          <w:rFonts w:ascii="Arial" w:hAnsi="Arial" w:cs="Arial"/>
          <w:sz w:val="20"/>
          <w:szCs w:val="20"/>
        </w:rPr>
        <w:t xml:space="preserve"> </w:t>
      </w:r>
      <w:proofErr w:type="spellStart"/>
      <w:r w:rsidRPr="004F6D11">
        <w:rPr>
          <w:rFonts w:ascii="Arial" w:hAnsi="Arial" w:cs="Arial"/>
          <w:sz w:val="20"/>
          <w:szCs w:val="20"/>
        </w:rPr>
        <w:t>was</w:t>
      </w:r>
      <w:proofErr w:type="spellEnd"/>
      <w:r w:rsidRPr="004F6D11">
        <w:rPr>
          <w:rFonts w:ascii="Arial" w:hAnsi="Arial" w:cs="Arial"/>
          <w:sz w:val="20"/>
          <w:szCs w:val="20"/>
        </w:rPr>
        <w:t xml:space="preserve"> </w:t>
      </w:r>
      <w:proofErr w:type="spellStart"/>
      <w:r w:rsidRPr="004F6D11">
        <w:rPr>
          <w:rFonts w:ascii="Arial" w:hAnsi="Arial" w:cs="Arial"/>
          <w:sz w:val="20"/>
          <w:szCs w:val="20"/>
        </w:rPr>
        <w:t>approved</w:t>
      </w:r>
      <w:proofErr w:type="spellEnd"/>
      <w:r w:rsidRPr="004F6D11">
        <w:rPr>
          <w:rFonts w:ascii="Arial" w:hAnsi="Arial" w:cs="Arial"/>
          <w:sz w:val="20"/>
          <w:szCs w:val="20"/>
        </w:rPr>
        <w:t xml:space="preserve"> </w:t>
      </w:r>
      <w:proofErr w:type="spellStart"/>
      <w:r w:rsidRPr="004F6D11">
        <w:rPr>
          <w:rFonts w:ascii="Arial" w:hAnsi="Arial" w:cs="Arial"/>
          <w:sz w:val="20"/>
          <w:szCs w:val="20"/>
        </w:rPr>
        <w:t>by</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ethics</w:t>
      </w:r>
      <w:proofErr w:type="spellEnd"/>
      <w:r w:rsidRPr="004F6D11">
        <w:rPr>
          <w:rFonts w:ascii="Arial" w:hAnsi="Arial" w:cs="Arial"/>
          <w:sz w:val="20"/>
          <w:szCs w:val="20"/>
        </w:rPr>
        <w:t xml:space="preserve"> </w:t>
      </w:r>
      <w:proofErr w:type="spellStart"/>
      <w:r w:rsidRPr="004F6D11">
        <w:rPr>
          <w:rFonts w:ascii="Arial" w:hAnsi="Arial" w:cs="Arial"/>
          <w:sz w:val="20"/>
          <w:szCs w:val="20"/>
        </w:rPr>
        <w:t>committee</w:t>
      </w:r>
      <w:proofErr w:type="spellEnd"/>
      <w:r w:rsidRPr="004F6D11">
        <w:rPr>
          <w:rFonts w:ascii="Arial" w:hAnsi="Arial" w:cs="Arial"/>
          <w:sz w:val="20"/>
          <w:szCs w:val="20"/>
        </w:rPr>
        <w:t xml:space="preserve">, </w:t>
      </w:r>
      <w:proofErr w:type="spellStart"/>
      <w:r w:rsidRPr="004F6D11">
        <w:rPr>
          <w:rFonts w:ascii="Arial" w:hAnsi="Arial" w:cs="Arial"/>
          <w:sz w:val="20"/>
          <w:szCs w:val="20"/>
        </w:rPr>
        <w:t>ensuring</w:t>
      </w:r>
      <w:proofErr w:type="spellEnd"/>
      <w:r w:rsidRPr="004F6D11">
        <w:rPr>
          <w:rFonts w:ascii="Arial" w:hAnsi="Arial" w:cs="Arial"/>
          <w:sz w:val="20"/>
          <w:szCs w:val="20"/>
        </w:rPr>
        <w:t xml:space="preserve"> </w:t>
      </w:r>
      <w:proofErr w:type="spellStart"/>
      <w:r w:rsidRPr="004F6D11">
        <w:rPr>
          <w:rFonts w:ascii="Arial" w:hAnsi="Arial" w:cs="Arial"/>
          <w:sz w:val="20"/>
          <w:szCs w:val="20"/>
        </w:rPr>
        <w:t>compliance</w:t>
      </w:r>
      <w:proofErr w:type="spellEnd"/>
      <w:r w:rsidRPr="004F6D11">
        <w:rPr>
          <w:rFonts w:ascii="Arial" w:hAnsi="Arial" w:cs="Arial"/>
          <w:sz w:val="20"/>
          <w:szCs w:val="20"/>
        </w:rPr>
        <w:t xml:space="preserve"> </w:t>
      </w:r>
      <w:proofErr w:type="spellStart"/>
      <w:r w:rsidRPr="004F6D11">
        <w:rPr>
          <w:rFonts w:ascii="Arial" w:hAnsi="Arial" w:cs="Arial"/>
          <w:sz w:val="20"/>
          <w:szCs w:val="20"/>
        </w:rPr>
        <w:t>with</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appropriate</w:t>
      </w:r>
      <w:proofErr w:type="spellEnd"/>
      <w:r w:rsidRPr="004F6D11">
        <w:rPr>
          <w:rFonts w:ascii="Arial" w:hAnsi="Arial" w:cs="Arial"/>
          <w:sz w:val="20"/>
          <w:szCs w:val="20"/>
        </w:rPr>
        <w:t xml:space="preserve"> </w:t>
      </w:r>
      <w:proofErr w:type="spellStart"/>
      <w:r w:rsidRPr="004F6D11">
        <w:rPr>
          <w:rFonts w:ascii="Arial" w:hAnsi="Arial" w:cs="Arial"/>
          <w:sz w:val="20"/>
          <w:szCs w:val="20"/>
        </w:rPr>
        <w:t>ethical</w:t>
      </w:r>
      <w:proofErr w:type="spellEnd"/>
      <w:r w:rsidRPr="004F6D11">
        <w:rPr>
          <w:rFonts w:ascii="Arial" w:hAnsi="Arial" w:cs="Arial"/>
          <w:sz w:val="20"/>
          <w:szCs w:val="20"/>
        </w:rPr>
        <w:t xml:space="preserve"> </w:t>
      </w:r>
      <w:proofErr w:type="spellStart"/>
      <w:r w:rsidRPr="004F6D11">
        <w:rPr>
          <w:rFonts w:ascii="Arial" w:hAnsi="Arial" w:cs="Arial"/>
          <w:sz w:val="20"/>
          <w:szCs w:val="20"/>
        </w:rPr>
        <w:t>standards</w:t>
      </w:r>
      <w:proofErr w:type="spellEnd"/>
      <w:r w:rsidRPr="004F6D11">
        <w:rPr>
          <w:rFonts w:ascii="Arial" w:hAnsi="Arial" w:cs="Arial"/>
          <w:sz w:val="20"/>
          <w:szCs w:val="20"/>
        </w:rPr>
        <w:t>.</w:t>
      </w:r>
    </w:p>
    <w:p w14:paraId="530CD9A8" w14:textId="77777777" w:rsidR="00C81973" w:rsidRPr="004F6D11" w:rsidRDefault="00C81973" w:rsidP="00A64C95">
      <w:pPr>
        <w:pStyle w:val="ReferHead"/>
        <w:spacing w:after="0"/>
        <w:jc w:val="both"/>
        <w:rPr>
          <w:rFonts w:ascii="Arial" w:hAnsi="Arial" w:cs="Arial"/>
          <w:b w:val="0"/>
          <w:caps w:val="0"/>
          <w:sz w:val="20"/>
        </w:rPr>
      </w:pPr>
    </w:p>
    <w:p w14:paraId="2F06D6ED" w14:textId="77777777" w:rsidR="00C81973" w:rsidRPr="0054404D" w:rsidRDefault="00C81973" w:rsidP="00A64C95">
      <w:pPr>
        <w:pStyle w:val="ReferHead"/>
        <w:spacing w:after="0"/>
        <w:jc w:val="both"/>
        <w:rPr>
          <w:rFonts w:ascii="Arial" w:hAnsi="Arial" w:cs="Arial"/>
          <w:bCs/>
        </w:rPr>
      </w:pPr>
      <w:r w:rsidRPr="0054404D">
        <w:rPr>
          <w:rFonts w:ascii="Arial" w:hAnsi="Arial" w:cs="Arial"/>
          <w:bCs/>
        </w:rPr>
        <w:t>Ethical approval.</w:t>
      </w:r>
    </w:p>
    <w:p w14:paraId="34701438" w14:textId="77777777" w:rsidR="00C81973" w:rsidRPr="004F6D11" w:rsidRDefault="00C81973" w:rsidP="00A64C95">
      <w:pPr>
        <w:spacing w:after="0" w:line="240" w:lineRule="auto"/>
        <w:rPr>
          <w:rFonts w:ascii="Arial" w:hAnsi="Arial" w:cs="Arial"/>
          <w:b/>
          <w:caps/>
          <w:sz w:val="20"/>
          <w:szCs w:val="20"/>
        </w:rPr>
      </w:pP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study</w:t>
      </w:r>
      <w:proofErr w:type="spellEnd"/>
      <w:r w:rsidRPr="004F6D11">
        <w:rPr>
          <w:rFonts w:ascii="Arial" w:hAnsi="Arial" w:cs="Arial"/>
          <w:sz w:val="20"/>
          <w:szCs w:val="20"/>
        </w:rPr>
        <w:t xml:space="preserve"> </w:t>
      </w:r>
      <w:proofErr w:type="spellStart"/>
      <w:r w:rsidRPr="004F6D11">
        <w:rPr>
          <w:rFonts w:ascii="Arial" w:hAnsi="Arial" w:cs="Arial"/>
          <w:sz w:val="20"/>
          <w:szCs w:val="20"/>
        </w:rPr>
        <w:t>was</w:t>
      </w:r>
      <w:proofErr w:type="spellEnd"/>
      <w:r w:rsidRPr="004F6D11">
        <w:rPr>
          <w:rFonts w:ascii="Arial" w:hAnsi="Arial" w:cs="Arial"/>
          <w:sz w:val="20"/>
          <w:szCs w:val="20"/>
        </w:rPr>
        <w:t xml:space="preserve"> </w:t>
      </w:r>
      <w:proofErr w:type="spellStart"/>
      <w:r w:rsidRPr="004F6D11">
        <w:rPr>
          <w:rFonts w:ascii="Arial" w:hAnsi="Arial" w:cs="Arial"/>
          <w:sz w:val="20"/>
          <w:szCs w:val="20"/>
        </w:rPr>
        <w:t>conducted</w:t>
      </w:r>
      <w:proofErr w:type="spellEnd"/>
      <w:r w:rsidRPr="004F6D11">
        <w:rPr>
          <w:rFonts w:ascii="Arial" w:hAnsi="Arial" w:cs="Arial"/>
          <w:sz w:val="20"/>
          <w:szCs w:val="20"/>
        </w:rPr>
        <w:t xml:space="preserve"> in </w:t>
      </w:r>
      <w:proofErr w:type="spellStart"/>
      <w:r w:rsidRPr="004F6D11">
        <w:rPr>
          <w:rFonts w:ascii="Arial" w:hAnsi="Arial" w:cs="Arial"/>
          <w:sz w:val="20"/>
          <w:szCs w:val="20"/>
        </w:rPr>
        <w:t>accordance</w:t>
      </w:r>
      <w:proofErr w:type="spellEnd"/>
      <w:r w:rsidRPr="004F6D11">
        <w:rPr>
          <w:rFonts w:ascii="Arial" w:hAnsi="Arial" w:cs="Arial"/>
          <w:sz w:val="20"/>
          <w:szCs w:val="20"/>
        </w:rPr>
        <w:t xml:space="preserve"> </w:t>
      </w:r>
      <w:proofErr w:type="spellStart"/>
      <w:r w:rsidRPr="004F6D11">
        <w:rPr>
          <w:rFonts w:ascii="Arial" w:hAnsi="Arial" w:cs="Arial"/>
          <w:sz w:val="20"/>
          <w:szCs w:val="20"/>
        </w:rPr>
        <w:t>with</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Good </w:t>
      </w:r>
      <w:proofErr w:type="spellStart"/>
      <w:r w:rsidRPr="004F6D11">
        <w:rPr>
          <w:rFonts w:ascii="Arial" w:hAnsi="Arial" w:cs="Arial"/>
          <w:sz w:val="20"/>
          <w:szCs w:val="20"/>
        </w:rPr>
        <w:t>Clinical</w:t>
      </w:r>
      <w:proofErr w:type="spellEnd"/>
      <w:r w:rsidRPr="004F6D11">
        <w:rPr>
          <w:rFonts w:ascii="Arial" w:hAnsi="Arial" w:cs="Arial"/>
          <w:sz w:val="20"/>
          <w:szCs w:val="20"/>
        </w:rPr>
        <w:t xml:space="preserve"> </w:t>
      </w:r>
      <w:proofErr w:type="spellStart"/>
      <w:r w:rsidRPr="004F6D11">
        <w:rPr>
          <w:rFonts w:ascii="Arial" w:hAnsi="Arial" w:cs="Arial"/>
          <w:sz w:val="20"/>
          <w:szCs w:val="20"/>
        </w:rPr>
        <w:t>Practice</w:t>
      </w:r>
      <w:proofErr w:type="spellEnd"/>
      <w:r w:rsidRPr="004F6D11">
        <w:rPr>
          <w:rFonts w:ascii="Arial" w:hAnsi="Arial" w:cs="Arial"/>
          <w:sz w:val="20"/>
          <w:szCs w:val="20"/>
        </w:rPr>
        <w:t xml:space="preserve"> </w:t>
      </w:r>
      <w:proofErr w:type="spellStart"/>
      <w:r w:rsidRPr="004F6D11">
        <w:rPr>
          <w:rFonts w:ascii="Arial" w:hAnsi="Arial" w:cs="Arial"/>
          <w:sz w:val="20"/>
          <w:szCs w:val="20"/>
        </w:rPr>
        <w:t>Guidelines</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our</w:t>
      </w:r>
      <w:proofErr w:type="spellEnd"/>
      <w:r w:rsidRPr="004F6D11">
        <w:rPr>
          <w:rFonts w:ascii="Arial" w:hAnsi="Arial" w:cs="Arial"/>
          <w:sz w:val="20"/>
          <w:szCs w:val="20"/>
        </w:rPr>
        <w:t xml:space="preserve"> </w:t>
      </w:r>
      <w:proofErr w:type="spellStart"/>
      <w:r w:rsidRPr="004F6D11">
        <w:rPr>
          <w:rFonts w:ascii="Arial" w:hAnsi="Arial" w:cs="Arial"/>
          <w:sz w:val="20"/>
          <w:szCs w:val="20"/>
        </w:rPr>
        <w:t>laws</w:t>
      </w:r>
      <w:proofErr w:type="spellEnd"/>
      <w:r w:rsidRPr="004F6D11">
        <w:rPr>
          <w:rFonts w:ascii="Arial" w:hAnsi="Arial" w:cs="Arial"/>
          <w:sz w:val="20"/>
          <w:szCs w:val="20"/>
        </w:rPr>
        <w:t xml:space="preserve"> and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Declaration</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Helsinki </w:t>
      </w:r>
      <w:proofErr w:type="spellStart"/>
      <w:r w:rsidRPr="004F6D11">
        <w:rPr>
          <w:rFonts w:ascii="Arial" w:hAnsi="Arial" w:cs="Arial"/>
          <w:sz w:val="20"/>
          <w:szCs w:val="20"/>
        </w:rPr>
        <w:t>for</w:t>
      </w:r>
      <w:proofErr w:type="spellEnd"/>
      <w:r w:rsidRPr="004F6D11">
        <w:rPr>
          <w:rFonts w:ascii="Arial" w:hAnsi="Arial" w:cs="Arial"/>
          <w:sz w:val="20"/>
          <w:szCs w:val="20"/>
        </w:rPr>
        <w:t xml:space="preserve"> human </w:t>
      </w:r>
      <w:proofErr w:type="spellStart"/>
      <w:r w:rsidRPr="004F6D11">
        <w:rPr>
          <w:rFonts w:ascii="Arial" w:hAnsi="Arial" w:cs="Arial"/>
          <w:sz w:val="20"/>
          <w:szCs w:val="20"/>
        </w:rPr>
        <w:t>experiments</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protocol</w:t>
      </w:r>
      <w:proofErr w:type="spellEnd"/>
      <w:r w:rsidRPr="004F6D11">
        <w:rPr>
          <w:rFonts w:ascii="Arial" w:hAnsi="Arial" w:cs="Arial"/>
          <w:sz w:val="20"/>
          <w:szCs w:val="20"/>
        </w:rPr>
        <w:t xml:space="preserve"> </w:t>
      </w:r>
      <w:proofErr w:type="spellStart"/>
      <w:r w:rsidRPr="004F6D11">
        <w:rPr>
          <w:rFonts w:ascii="Arial" w:hAnsi="Arial" w:cs="Arial"/>
          <w:sz w:val="20"/>
          <w:szCs w:val="20"/>
        </w:rPr>
        <w:t>was</w:t>
      </w:r>
      <w:proofErr w:type="spellEnd"/>
      <w:r w:rsidRPr="004F6D11">
        <w:rPr>
          <w:rFonts w:ascii="Arial" w:hAnsi="Arial" w:cs="Arial"/>
          <w:sz w:val="20"/>
          <w:szCs w:val="20"/>
        </w:rPr>
        <w:t xml:space="preserve"> </w:t>
      </w:r>
      <w:proofErr w:type="spellStart"/>
      <w:r w:rsidRPr="004F6D11">
        <w:rPr>
          <w:rFonts w:ascii="Arial" w:hAnsi="Arial" w:cs="Arial"/>
          <w:sz w:val="20"/>
          <w:szCs w:val="20"/>
        </w:rPr>
        <w:t>approved</w:t>
      </w:r>
      <w:proofErr w:type="spellEnd"/>
      <w:r w:rsidRPr="004F6D11">
        <w:rPr>
          <w:rFonts w:ascii="Arial" w:hAnsi="Arial" w:cs="Arial"/>
          <w:sz w:val="20"/>
          <w:szCs w:val="20"/>
        </w:rPr>
        <w:t xml:space="preserve"> </w:t>
      </w:r>
      <w:proofErr w:type="spellStart"/>
      <w:r w:rsidRPr="004F6D11">
        <w:rPr>
          <w:rFonts w:ascii="Arial" w:hAnsi="Arial" w:cs="Arial"/>
          <w:sz w:val="20"/>
          <w:szCs w:val="20"/>
        </w:rPr>
        <w:t>by</w:t>
      </w:r>
      <w:proofErr w:type="spellEnd"/>
      <w:r w:rsidRPr="004F6D11">
        <w:rPr>
          <w:rFonts w:ascii="Arial" w:hAnsi="Arial" w:cs="Arial"/>
          <w:sz w:val="20"/>
          <w:szCs w:val="20"/>
        </w:rPr>
        <w:t xml:space="preserve"> </w:t>
      </w:r>
      <w:proofErr w:type="spellStart"/>
      <w:r w:rsidRPr="004F6D11">
        <w:rPr>
          <w:rFonts w:ascii="Arial" w:hAnsi="Arial" w:cs="Arial"/>
          <w:sz w:val="20"/>
          <w:szCs w:val="20"/>
        </w:rPr>
        <w:lastRenderedPageBreak/>
        <w:t>two</w:t>
      </w:r>
      <w:proofErr w:type="spellEnd"/>
      <w:r w:rsidRPr="004F6D11">
        <w:rPr>
          <w:rFonts w:ascii="Arial" w:hAnsi="Arial" w:cs="Arial"/>
          <w:sz w:val="20"/>
          <w:szCs w:val="20"/>
        </w:rPr>
        <w:t xml:space="preserve"> </w:t>
      </w:r>
      <w:proofErr w:type="spellStart"/>
      <w:r w:rsidRPr="004F6D11">
        <w:rPr>
          <w:rFonts w:ascii="Arial" w:hAnsi="Arial" w:cs="Arial"/>
          <w:sz w:val="20"/>
          <w:szCs w:val="20"/>
        </w:rPr>
        <w:t>committees</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Research</w:t>
      </w:r>
      <w:proofErr w:type="spellEnd"/>
      <w:r w:rsidRPr="004F6D11">
        <w:rPr>
          <w:rFonts w:ascii="Arial" w:hAnsi="Arial" w:cs="Arial"/>
          <w:sz w:val="20"/>
          <w:szCs w:val="20"/>
        </w:rPr>
        <w:t xml:space="preserve"> </w:t>
      </w:r>
      <w:proofErr w:type="spellStart"/>
      <w:r w:rsidRPr="004F6D11">
        <w:rPr>
          <w:rFonts w:ascii="Arial" w:hAnsi="Arial" w:cs="Arial"/>
          <w:sz w:val="20"/>
          <w:szCs w:val="20"/>
        </w:rPr>
        <w:t>Committee</w:t>
      </w:r>
      <w:proofErr w:type="spellEnd"/>
      <w:r w:rsidRPr="004F6D11">
        <w:rPr>
          <w:rFonts w:ascii="Arial" w:hAnsi="Arial" w:cs="Arial"/>
          <w:sz w:val="20"/>
          <w:szCs w:val="20"/>
        </w:rPr>
        <w:t xml:space="preserve"> and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Ethics</w:t>
      </w:r>
      <w:proofErr w:type="spellEnd"/>
      <w:r w:rsidRPr="004F6D11">
        <w:rPr>
          <w:rFonts w:ascii="Arial" w:hAnsi="Arial" w:cs="Arial"/>
          <w:sz w:val="20"/>
          <w:szCs w:val="20"/>
        </w:rPr>
        <w:t xml:space="preserve"> </w:t>
      </w:r>
      <w:proofErr w:type="spellStart"/>
      <w:r w:rsidRPr="004F6D11">
        <w:rPr>
          <w:rFonts w:ascii="Arial" w:hAnsi="Arial" w:cs="Arial"/>
          <w:sz w:val="20"/>
          <w:szCs w:val="20"/>
        </w:rPr>
        <w:t>Committee</w:t>
      </w:r>
      <w:proofErr w:type="spellEnd"/>
      <w:r w:rsidRPr="004F6D11">
        <w:rPr>
          <w:rFonts w:ascii="Arial" w:hAnsi="Arial" w:cs="Arial"/>
          <w:sz w:val="20"/>
          <w:szCs w:val="20"/>
        </w:rPr>
        <w:t xml:space="preserve"> in </w:t>
      </w:r>
      <w:proofErr w:type="spellStart"/>
      <w:r w:rsidRPr="004F6D11">
        <w:rPr>
          <w:rFonts w:ascii="Arial" w:hAnsi="Arial" w:cs="Arial"/>
          <w:sz w:val="20"/>
          <w:szCs w:val="20"/>
        </w:rPr>
        <w:t>Research</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FMC "División del Norte", ISSSTE. </w:t>
      </w:r>
      <w:proofErr w:type="spellStart"/>
      <w:r w:rsidRPr="004F6D11">
        <w:rPr>
          <w:rFonts w:ascii="Arial" w:hAnsi="Arial" w:cs="Arial"/>
          <w:sz w:val="20"/>
          <w:szCs w:val="20"/>
        </w:rPr>
        <w:t>The</w:t>
      </w:r>
      <w:proofErr w:type="spellEnd"/>
      <w:r w:rsidRPr="004F6D11">
        <w:rPr>
          <w:rFonts w:ascii="Arial" w:hAnsi="Arial" w:cs="Arial"/>
          <w:sz w:val="20"/>
          <w:szCs w:val="20"/>
        </w:rPr>
        <w:t xml:space="preserve"> Data </w:t>
      </w:r>
      <w:proofErr w:type="spellStart"/>
      <w:r w:rsidRPr="004F6D11">
        <w:rPr>
          <w:rFonts w:ascii="Arial" w:hAnsi="Arial" w:cs="Arial"/>
          <w:sz w:val="20"/>
          <w:szCs w:val="20"/>
        </w:rPr>
        <w:t>was</w:t>
      </w:r>
      <w:proofErr w:type="spellEnd"/>
      <w:r w:rsidRPr="004F6D11">
        <w:rPr>
          <w:rFonts w:ascii="Arial" w:hAnsi="Arial" w:cs="Arial"/>
          <w:sz w:val="20"/>
          <w:szCs w:val="20"/>
        </w:rPr>
        <w:t xml:space="preserve"> </w:t>
      </w:r>
      <w:proofErr w:type="spellStart"/>
      <w:r w:rsidRPr="004F6D11">
        <w:rPr>
          <w:rFonts w:ascii="Arial" w:hAnsi="Arial" w:cs="Arial"/>
          <w:sz w:val="20"/>
          <w:szCs w:val="20"/>
        </w:rPr>
        <w:t>treated</w:t>
      </w:r>
      <w:proofErr w:type="spellEnd"/>
      <w:r w:rsidRPr="004F6D11">
        <w:rPr>
          <w:rFonts w:ascii="Arial" w:hAnsi="Arial" w:cs="Arial"/>
          <w:sz w:val="20"/>
          <w:szCs w:val="20"/>
        </w:rPr>
        <w:t xml:space="preserve"> </w:t>
      </w:r>
      <w:proofErr w:type="spellStart"/>
      <w:r w:rsidRPr="004F6D11">
        <w:rPr>
          <w:rFonts w:ascii="Arial" w:hAnsi="Arial" w:cs="Arial"/>
          <w:sz w:val="20"/>
          <w:szCs w:val="20"/>
        </w:rPr>
        <w:t>confidentially</w:t>
      </w:r>
      <w:proofErr w:type="spellEnd"/>
      <w:r w:rsidRPr="004F6D11">
        <w:rPr>
          <w:rFonts w:ascii="Arial" w:hAnsi="Arial" w:cs="Arial"/>
          <w:sz w:val="20"/>
          <w:szCs w:val="20"/>
        </w:rPr>
        <w:t xml:space="preserve"> </w:t>
      </w:r>
      <w:proofErr w:type="spellStart"/>
      <w:r w:rsidRPr="004F6D11">
        <w:rPr>
          <w:rFonts w:ascii="Arial" w:hAnsi="Arial" w:cs="Arial"/>
          <w:sz w:val="20"/>
          <w:szCs w:val="20"/>
        </w:rPr>
        <w:t>to</w:t>
      </w:r>
      <w:proofErr w:type="spellEnd"/>
      <w:r w:rsidRPr="004F6D11">
        <w:rPr>
          <w:rFonts w:ascii="Arial" w:hAnsi="Arial" w:cs="Arial"/>
          <w:sz w:val="20"/>
          <w:szCs w:val="20"/>
        </w:rPr>
        <w:t xml:space="preserve"> </w:t>
      </w:r>
      <w:proofErr w:type="spellStart"/>
      <w:r w:rsidRPr="004F6D11">
        <w:rPr>
          <w:rFonts w:ascii="Arial" w:hAnsi="Arial" w:cs="Arial"/>
          <w:sz w:val="20"/>
          <w:szCs w:val="20"/>
        </w:rPr>
        <w:t>ensure</w:t>
      </w:r>
      <w:proofErr w:type="spellEnd"/>
      <w:r w:rsidRPr="004F6D11">
        <w:rPr>
          <w:rFonts w:ascii="Arial" w:hAnsi="Arial" w:cs="Arial"/>
          <w:sz w:val="20"/>
          <w:szCs w:val="20"/>
        </w:rPr>
        <w:t xml:space="preserve"> </w:t>
      </w:r>
      <w:proofErr w:type="spellStart"/>
      <w:r w:rsidRPr="004F6D11">
        <w:rPr>
          <w:rFonts w:ascii="Arial" w:hAnsi="Arial" w:cs="Arial"/>
          <w:sz w:val="20"/>
          <w:szCs w:val="20"/>
        </w:rPr>
        <w:t>the</w:t>
      </w:r>
      <w:proofErr w:type="spellEnd"/>
      <w:r w:rsidRPr="004F6D11">
        <w:rPr>
          <w:rFonts w:ascii="Arial" w:hAnsi="Arial" w:cs="Arial"/>
          <w:sz w:val="20"/>
          <w:szCs w:val="20"/>
        </w:rPr>
        <w:t xml:space="preserve"> </w:t>
      </w:r>
      <w:proofErr w:type="spellStart"/>
      <w:r w:rsidRPr="004F6D11">
        <w:rPr>
          <w:rFonts w:ascii="Arial" w:hAnsi="Arial" w:cs="Arial"/>
          <w:sz w:val="20"/>
          <w:szCs w:val="20"/>
        </w:rPr>
        <w:t>privacy</w:t>
      </w:r>
      <w:proofErr w:type="spellEnd"/>
      <w:r w:rsidRPr="004F6D11">
        <w:rPr>
          <w:rFonts w:ascii="Arial" w:hAnsi="Arial" w:cs="Arial"/>
          <w:sz w:val="20"/>
          <w:szCs w:val="20"/>
        </w:rPr>
        <w:t xml:space="preserve"> and </w:t>
      </w:r>
      <w:proofErr w:type="spellStart"/>
      <w:r w:rsidRPr="004F6D11">
        <w:rPr>
          <w:rFonts w:ascii="Arial" w:hAnsi="Arial" w:cs="Arial"/>
          <w:sz w:val="20"/>
          <w:szCs w:val="20"/>
        </w:rPr>
        <w:t>protection</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participants</w:t>
      </w:r>
      <w:proofErr w:type="spellEnd"/>
      <w:r w:rsidRPr="004F6D11">
        <w:rPr>
          <w:rFonts w:ascii="Arial" w:hAnsi="Arial" w:cs="Arial"/>
          <w:sz w:val="20"/>
          <w:szCs w:val="20"/>
        </w:rPr>
        <w:t xml:space="preserve">' </w:t>
      </w:r>
      <w:proofErr w:type="spellStart"/>
      <w:r w:rsidRPr="004F6D11">
        <w:rPr>
          <w:rFonts w:ascii="Arial" w:hAnsi="Arial" w:cs="Arial"/>
          <w:sz w:val="20"/>
          <w:szCs w:val="20"/>
        </w:rPr>
        <w:t>information</w:t>
      </w:r>
      <w:proofErr w:type="spellEnd"/>
      <w:r w:rsidRPr="004F6D11">
        <w:rPr>
          <w:rFonts w:ascii="Arial" w:hAnsi="Arial" w:cs="Arial"/>
          <w:sz w:val="20"/>
          <w:szCs w:val="20"/>
        </w:rPr>
        <w:t>.</w:t>
      </w:r>
    </w:p>
    <w:p w14:paraId="4AC4852E" w14:textId="77777777" w:rsidR="00C81973" w:rsidRPr="004F6D11" w:rsidRDefault="00C81973" w:rsidP="00A64C95">
      <w:pPr>
        <w:pStyle w:val="ReferHead"/>
        <w:spacing w:after="0"/>
        <w:jc w:val="both"/>
        <w:rPr>
          <w:rFonts w:ascii="Arial" w:hAnsi="Arial" w:cs="Arial"/>
          <w:sz w:val="20"/>
        </w:rPr>
      </w:pPr>
    </w:p>
    <w:p w14:paraId="70361192" w14:textId="77777777" w:rsidR="00C81973" w:rsidRPr="0054404D" w:rsidRDefault="00C81973" w:rsidP="00A64C95">
      <w:pPr>
        <w:pStyle w:val="ReferHead"/>
        <w:spacing w:after="0"/>
        <w:jc w:val="both"/>
        <w:rPr>
          <w:rFonts w:ascii="Arial" w:hAnsi="Arial" w:cs="Arial"/>
        </w:rPr>
      </w:pPr>
      <w:r w:rsidRPr="0054404D">
        <w:rPr>
          <w:rFonts w:ascii="Arial" w:hAnsi="Arial" w:cs="Arial"/>
        </w:rPr>
        <w:t>References</w:t>
      </w:r>
    </w:p>
    <w:p w14:paraId="599F33FD"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bookmarkStart w:id="4" w:name="_Hlk188371158"/>
      <w:bookmarkStart w:id="5" w:name="_Hlk188369693"/>
      <w:r w:rsidRPr="00D66DAF">
        <w:rPr>
          <w:rFonts w:ascii="Arial" w:hAnsi="Arial" w:cs="Arial"/>
          <w:sz w:val="20"/>
          <w:szCs w:val="20"/>
          <w:lang w:val="en-US"/>
        </w:rPr>
        <w:t xml:space="preserve">(2023). Global, regional, and national burden of diabetes from 1990 to 2021, with projections of prevalence to 2050: A systematic analysis for the Global Burden of Disease Study 2021. The Lancet, 402(10397), 203-234. </w:t>
      </w:r>
      <w:hyperlink r:id="rId17" w:history="1">
        <w:r w:rsidRPr="00952D52">
          <w:rPr>
            <w:rStyle w:val="Hyperlink"/>
            <w:rFonts w:ascii="Arial" w:hAnsi="Arial" w:cs="Arial"/>
            <w:sz w:val="20"/>
            <w:szCs w:val="20"/>
            <w:lang w:val="en-US"/>
          </w:rPr>
          <w:t>https://doi.org/10.1016/S0140-6736(23)01301-6</w:t>
        </w:r>
      </w:hyperlink>
    </w:p>
    <w:p w14:paraId="611C2AA2" w14:textId="77777777" w:rsidR="006D5251" w:rsidRDefault="006D5251" w:rsidP="006F7C4E">
      <w:pPr>
        <w:pStyle w:val="ListParagraph"/>
        <w:numPr>
          <w:ilvl w:val="0"/>
          <w:numId w:val="31"/>
        </w:numPr>
        <w:spacing w:after="0" w:line="240" w:lineRule="auto"/>
        <w:jc w:val="both"/>
        <w:rPr>
          <w:rFonts w:ascii="Arial" w:hAnsi="Arial" w:cs="Arial"/>
          <w:sz w:val="20"/>
          <w:szCs w:val="20"/>
          <w:lang w:val="en-US"/>
        </w:rPr>
      </w:pPr>
      <w:r w:rsidRPr="009A5EEA">
        <w:rPr>
          <w:rFonts w:ascii="Arial" w:hAnsi="Arial" w:cs="Arial"/>
          <w:sz w:val="20"/>
          <w:szCs w:val="20"/>
          <w:lang w:val="en-US"/>
        </w:rPr>
        <w:t xml:space="preserve">Al-Sayyar, A., Hulme, K. D., Thibaut, R., </w:t>
      </w:r>
      <w:proofErr w:type="spellStart"/>
      <w:r w:rsidRPr="009A5EEA">
        <w:rPr>
          <w:rFonts w:ascii="Arial" w:hAnsi="Arial" w:cs="Arial"/>
          <w:sz w:val="20"/>
          <w:szCs w:val="20"/>
          <w:lang w:val="en-US"/>
        </w:rPr>
        <w:t>Bayry</w:t>
      </w:r>
      <w:proofErr w:type="spellEnd"/>
      <w:r w:rsidRPr="009A5EEA">
        <w:rPr>
          <w:rFonts w:ascii="Arial" w:hAnsi="Arial" w:cs="Arial"/>
          <w:sz w:val="20"/>
          <w:szCs w:val="20"/>
          <w:lang w:val="en-US"/>
        </w:rPr>
        <w:t xml:space="preserve">, J., Sheedy, F. J., Short, K. R., &amp; </w:t>
      </w:r>
      <w:proofErr w:type="spellStart"/>
      <w:r w:rsidRPr="009A5EEA">
        <w:rPr>
          <w:rFonts w:ascii="Arial" w:hAnsi="Arial" w:cs="Arial"/>
          <w:sz w:val="20"/>
          <w:szCs w:val="20"/>
          <w:lang w:val="en-US"/>
        </w:rPr>
        <w:t>Alzaid</w:t>
      </w:r>
      <w:proofErr w:type="spellEnd"/>
      <w:r w:rsidRPr="009A5EEA">
        <w:rPr>
          <w:rFonts w:ascii="Arial" w:hAnsi="Arial" w:cs="Arial"/>
          <w:sz w:val="20"/>
          <w:szCs w:val="20"/>
          <w:lang w:val="en-US"/>
        </w:rPr>
        <w:t xml:space="preserve">, F. (2022). Respiratory Tract Infections in Diabetes - Lessons </w:t>
      </w:r>
      <w:proofErr w:type="gramStart"/>
      <w:r w:rsidRPr="009A5EEA">
        <w:rPr>
          <w:rFonts w:ascii="Arial" w:hAnsi="Arial" w:cs="Arial"/>
          <w:sz w:val="20"/>
          <w:szCs w:val="20"/>
          <w:lang w:val="en-US"/>
        </w:rPr>
        <w:t>From</w:t>
      </w:r>
      <w:proofErr w:type="gramEnd"/>
      <w:r w:rsidRPr="009A5EEA">
        <w:rPr>
          <w:rFonts w:ascii="Arial" w:hAnsi="Arial" w:cs="Arial"/>
          <w:sz w:val="20"/>
          <w:szCs w:val="20"/>
          <w:lang w:val="en-US"/>
        </w:rPr>
        <w:t xml:space="preserve"> Tuberculosis and Influenza to Guide Understanding of COVID-19 Severity. Frontiers in endocrinology, 13, 919223. </w:t>
      </w:r>
      <w:hyperlink r:id="rId18" w:history="1">
        <w:r w:rsidRPr="00400BB6">
          <w:rPr>
            <w:rStyle w:val="Hyperlink"/>
            <w:rFonts w:ascii="Arial" w:hAnsi="Arial" w:cs="Arial"/>
            <w:sz w:val="20"/>
            <w:szCs w:val="20"/>
            <w:lang w:val="en-US"/>
          </w:rPr>
          <w:t>https://doi.org/10.3389/fendo.2022.919223</w:t>
        </w:r>
      </w:hyperlink>
    </w:p>
    <w:p w14:paraId="2A62C372"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16721E">
        <w:rPr>
          <w:rFonts w:ascii="Arial" w:hAnsi="Arial" w:cs="Arial"/>
          <w:sz w:val="20"/>
          <w:szCs w:val="20"/>
          <w:lang w:val="en-US"/>
        </w:rPr>
        <w:t xml:space="preserve">ARNO diabetes observatory (2019). </w:t>
      </w:r>
      <w:proofErr w:type="spellStart"/>
      <w:r w:rsidRPr="0016721E">
        <w:rPr>
          <w:rFonts w:ascii="Arial" w:hAnsi="Arial" w:cs="Arial"/>
          <w:sz w:val="20"/>
          <w:szCs w:val="20"/>
          <w:lang w:val="en-US"/>
        </w:rPr>
        <w:t>Osservatorio</w:t>
      </w:r>
      <w:proofErr w:type="spellEnd"/>
      <w:r w:rsidRPr="0016721E">
        <w:rPr>
          <w:rFonts w:ascii="Arial" w:hAnsi="Arial" w:cs="Arial"/>
          <w:sz w:val="20"/>
          <w:szCs w:val="20"/>
          <w:lang w:val="en-US"/>
        </w:rPr>
        <w:t xml:space="preserve"> ARNO </w:t>
      </w:r>
      <w:proofErr w:type="spellStart"/>
      <w:r w:rsidRPr="0016721E">
        <w:rPr>
          <w:rFonts w:ascii="Arial" w:hAnsi="Arial" w:cs="Arial"/>
          <w:sz w:val="20"/>
          <w:szCs w:val="20"/>
          <w:lang w:val="en-US"/>
        </w:rPr>
        <w:t>Diabete</w:t>
      </w:r>
      <w:proofErr w:type="spellEnd"/>
      <w:r w:rsidRPr="0016721E">
        <w:rPr>
          <w:rFonts w:ascii="Arial" w:hAnsi="Arial" w:cs="Arial"/>
          <w:sz w:val="20"/>
          <w:szCs w:val="20"/>
          <w:lang w:val="en-US"/>
        </w:rPr>
        <w:t xml:space="preserve"> Il </w:t>
      </w:r>
      <w:proofErr w:type="spellStart"/>
      <w:r w:rsidRPr="0016721E">
        <w:rPr>
          <w:rFonts w:ascii="Arial" w:hAnsi="Arial" w:cs="Arial"/>
          <w:sz w:val="20"/>
          <w:szCs w:val="20"/>
          <w:lang w:val="en-US"/>
        </w:rPr>
        <w:t>profilo</w:t>
      </w:r>
      <w:proofErr w:type="spellEnd"/>
      <w:r w:rsidRPr="0016721E">
        <w:rPr>
          <w:rFonts w:ascii="Arial" w:hAnsi="Arial" w:cs="Arial"/>
          <w:sz w:val="20"/>
          <w:szCs w:val="20"/>
          <w:lang w:val="en-US"/>
        </w:rPr>
        <w:t xml:space="preserve"> </w:t>
      </w:r>
      <w:proofErr w:type="spellStart"/>
      <w:r w:rsidRPr="0016721E">
        <w:rPr>
          <w:rFonts w:ascii="Arial" w:hAnsi="Arial" w:cs="Arial"/>
          <w:sz w:val="20"/>
          <w:szCs w:val="20"/>
          <w:lang w:val="en-US"/>
        </w:rPr>
        <w:t>assistenziale</w:t>
      </w:r>
      <w:proofErr w:type="spellEnd"/>
      <w:r w:rsidRPr="0016721E">
        <w:rPr>
          <w:rFonts w:ascii="Arial" w:hAnsi="Arial" w:cs="Arial"/>
          <w:sz w:val="20"/>
          <w:szCs w:val="20"/>
          <w:lang w:val="en-US"/>
        </w:rPr>
        <w:t xml:space="preserve"> </w:t>
      </w:r>
      <w:proofErr w:type="spellStart"/>
      <w:r w:rsidRPr="0016721E">
        <w:rPr>
          <w:rFonts w:ascii="Arial" w:hAnsi="Arial" w:cs="Arial"/>
          <w:sz w:val="20"/>
          <w:szCs w:val="20"/>
          <w:lang w:val="en-US"/>
        </w:rPr>
        <w:t>della</w:t>
      </w:r>
      <w:proofErr w:type="spellEnd"/>
      <w:r w:rsidRPr="0016721E">
        <w:rPr>
          <w:rFonts w:ascii="Arial" w:hAnsi="Arial" w:cs="Arial"/>
          <w:sz w:val="20"/>
          <w:szCs w:val="20"/>
          <w:lang w:val="en-US"/>
        </w:rPr>
        <w:t xml:space="preserve"> </w:t>
      </w:r>
      <w:proofErr w:type="spellStart"/>
      <w:r w:rsidRPr="0016721E">
        <w:rPr>
          <w:rFonts w:ascii="Arial" w:hAnsi="Arial" w:cs="Arial"/>
          <w:sz w:val="20"/>
          <w:szCs w:val="20"/>
          <w:lang w:val="en-US"/>
        </w:rPr>
        <w:t>popolazione</w:t>
      </w:r>
      <w:proofErr w:type="spellEnd"/>
      <w:r w:rsidRPr="0016721E">
        <w:rPr>
          <w:rFonts w:ascii="Arial" w:hAnsi="Arial" w:cs="Arial"/>
          <w:sz w:val="20"/>
          <w:szCs w:val="20"/>
          <w:lang w:val="en-US"/>
        </w:rPr>
        <w:t xml:space="preserve"> con </w:t>
      </w:r>
      <w:proofErr w:type="spellStart"/>
      <w:r w:rsidRPr="0016721E">
        <w:rPr>
          <w:rFonts w:ascii="Arial" w:hAnsi="Arial" w:cs="Arial"/>
          <w:sz w:val="20"/>
          <w:szCs w:val="20"/>
          <w:lang w:val="en-US"/>
        </w:rPr>
        <w:t>diabete</w:t>
      </w:r>
      <w:proofErr w:type="spellEnd"/>
      <w:r w:rsidRPr="0016721E">
        <w:rPr>
          <w:rFonts w:ascii="Arial" w:hAnsi="Arial" w:cs="Arial"/>
          <w:sz w:val="20"/>
          <w:szCs w:val="20"/>
          <w:lang w:val="en-US"/>
        </w:rPr>
        <w:t xml:space="preserve">. </w:t>
      </w:r>
      <w:proofErr w:type="spellStart"/>
      <w:r w:rsidRPr="0016721E">
        <w:rPr>
          <w:rFonts w:ascii="Arial" w:hAnsi="Arial" w:cs="Arial"/>
          <w:sz w:val="20"/>
          <w:szCs w:val="20"/>
          <w:lang w:val="en-US"/>
        </w:rPr>
        <w:t>Collana</w:t>
      </w:r>
      <w:proofErr w:type="spellEnd"/>
      <w:r w:rsidRPr="0016721E">
        <w:rPr>
          <w:rFonts w:ascii="Arial" w:hAnsi="Arial" w:cs="Arial"/>
          <w:sz w:val="20"/>
          <w:szCs w:val="20"/>
          <w:lang w:val="en-US"/>
        </w:rPr>
        <w:t xml:space="preserve"> </w:t>
      </w:r>
      <w:proofErr w:type="spellStart"/>
      <w:r w:rsidRPr="0016721E">
        <w:rPr>
          <w:rFonts w:ascii="Arial" w:hAnsi="Arial" w:cs="Arial"/>
          <w:sz w:val="20"/>
          <w:szCs w:val="20"/>
          <w:lang w:val="en-US"/>
        </w:rPr>
        <w:t>Rapporti</w:t>
      </w:r>
      <w:proofErr w:type="spellEnd"/>
      <w:r w:rsidRPr="0016721E">
        <w:rPr>
          <w:rFonts w:ascii="Arial" w:hAnsi="Arial" w:cs="Arial"/>
          <w:sz w:val="20"/>
          <w:szCs w:val="20"/>
          <w:lang w:val="en-US"/>
        </w:rPr>
        <w:t xml:space="preserve"> ARNO. Available from: www.quotidianosanita.it/allegati/allegato272278.pdf (Accessed </w:t>
      </w:r>
      <w:r>
        <w:rPr>
          <w:rFonts w:ascii="Arial" w:hAnsi="Arial" w:cs="Arial"/>
          <w:sz w:val="20"/>
          <w:szCs w:val="20"/>
          <w:lang w:val="en-US"/>
        </w:rPr>
        <w:t>August</w:t>
      </w:r>
      <w:r w:rsidRPr="0016721E">
        <w:rPr>
          <w:rFonts w:ascii="Arial" w:hAnsi="Arial" w:cs="Arial"/>
          <w:sz w:val="20"/>
          <w:szCs w:val="20"/>
          <w:lang w:val="en-US"/>
        </w:rPr>
        <w:t xml:space="preserve"> </w:t>
      </w:r>
      <w:r>
        <w:rPr>
          <w:rFonts w:ascii="Arial" w:hAnsi="Arial" w:cs="Arial"/>
          <w:sz w:val="20"/>
          <w:szCs w:val="20"/>
          <w:lang w:val="en-US"/>
        </w:rPr>
        <w:t>3</w:t>
      </w:r>
      <w:r w:rsidRPr="0016721E">
        <w:rPr>
          <w:rFonts w:ascii="Arial" w:hAnsi="Arial" w:cs="Arial"/>
          <w:sz w:val="20"/>
          <w:szCs w:val="20"/>
          <w:lang w:val="en-US"/>
        </w:rPr>
        <w:t>1, 2020).</w:t>
      </w:r>
    </w:p>
    <w:p w14:paraId="50B1C353"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986199">
        <w:rPr>
          <w:rFonts w:ascii="Arial" w:hAnsi="Arial" w:cs="Arial"/>
          <w:sz w:val="20"/>
          <w:szCs w:val="20"/>
          <w:lang w:val="en-US"/>
        </w:rPr>
        <w:t xml:space="preserve">Basto-Abreu, A., López-Olmedo, N., Rojas-Martínez, R., Aguilar-Salinas, C. A., Moreno-Banda, G. L., Carnalla, M., Rivera, J. A., Romero-Martinez, M., Barquera, S., &amp; Barrientos-Gutiérrez, T. (2023). </w:t>
      </w:r>
      <w:proofErr w:type="spellStart"/>
      <w:r w:rsidRPr="00986199">
        <w:rPr>
          <w:rFonts w:ascii="Arial" w:hAnsi="Arial" w:cs="Arial"/>
          <w:sz w:val="20"/>
          <w:szCs w:val="20"/>
          <w:lang w:val="en-US"/>
        </w:rPr>
        <w:t>Prevalencia</w:t>
      </w:r>
      <w:proofErr w:type="spellEnd"/>
      <w:r w:rsidRPr="00986199">
        <w:rPr>
          <w:rFonts w:ascii="Arial" w:hAnsi="Arial" w:cs="Arial"/>
          <w:sz w:val="20"/>
          <w:szCs w:val="20"/>
          <w:lang w:val="en-US"/>
        </w:rPr>
        <w:t xml:space="preserve"> de prediabetes y diabetes </w:t>
      </w:r>
      <w:proofErr w:type="spellStart"/>
      <w:r w:rsidRPr="00986199">
        <w:rPr>
          <w:rFonts w:ascii="Arial" w:hAnsi="Arial" w:cs="Arial"/>
          <w:sz w:val="20"/>
          <w:szCs w:val="20"/>
          <w:lang w:val="en-US"/>
        </w:rPr>
        <w:t>en</w:t>
      </w:r>
      <w:proofErr w:type="spellEnd"/>
      <w:r w:rsidRPr="00986199">
        <w:rPr>
          <w:rFonts w:ascii="Arial" w:hAnsi="Arial" w:cs="Arial"/>
          <w:sz w:val="20"/>
          <w:szCs w:val="20"/>
          <w:lang w:val="en-US"/>
        </w:rPr>
        <w:t xml:space="preserve"> México: </w:t>
      </w:r>
      <w:proofErr w:type="spellStart"/>
      <w:r w:rsidRPr="00986199">
        <w:rPr>
          <w:rFonts w:ascii="Arial" w:hAnsi="Arial" w:cs="Arial"/>
          <w:sz w:val="20"/>
          <w:szCs w:val="20"/>
          <w:lang w:val="en-US"/>
        </w:rPr>
        <w:t>Ensanut</w:t>
      </w:r>
      <w:proofErr w:type="spellEnd"/>
      <w:r w:rsidRPr="00986199">
        <w:rPr>
          <w:rFonts w:ascii="Arial" w:hAnsi="Arial" w:cs="Arial"/>
          <w:sz w:val="20"/>
          <w:szCs w:val="20"/>
          <w:lang w:val="en-US"/>
        </w:rPr>
        <w:t xml:space="preserve"> 2022. Salud publica de Mexico, 65, s163–s168. </w:t>
      </w:r>
      <w:hyperlink r:id="rId19" w:history="1">
        <w:r w:rsidRPr="00D73D9E">
          <w:rPr>
            <w:rStyle w:val="Hyperlink"/>
            <w:rFonts w:ascii="Arial" w:hAnsi="Arial" w:cs="Arial"/>
            <w:sz w:val="20"/>
            <w:szCs w:val="20"/>
            <w:lang w:val="en-US"/>
          </w:rPr>
          <w:t>https://doi.org/10.21149/14832</w:t>
        </w:r>
      </w:hyperlink>
    </w:p>
    <w:p w14:paraId="05FE9920" w14:textId="77777777" w:rsidR="006D5251" w:rsidRDefault="006D5251" w:rsidP="006F7C4E">
      <w:pPr>
        <w:pStyle w:val="ListParagraph"/>
        <w:numPr>
          <w:ilvl w:val="0"/>
          <w:numId w:val="31"/>
        </w:numPr>
        <w:spacing w:after="0" w:line="240" w:lineRule="auto"/>
        <w:jc w:val="both"/>
        <w:rPr>
          <w:rFonts w:ascii="Arial" w:hAnsi="Arial" w:cs="Arial"/>
          <w:sz w:val="20"/>
          <w:szCs w:val="20"/>
          <w:lang w:val="en-US"/>
        </w:rPr>
      </w:pPr>
      <w:r w:rsidRPr="00523C08">
        <w:rPr>
          <w:rFonts w:ascii="Arial" w:hAnsi="Arial" w:cs="Arial"/>
          <w:sz w:val="20"/>
          <w:szCs w:val="20"/>
          <w:lang w:val="en-US"/>
        </w:rPr>
        <w:t xml:space="preserve">Blanco-Cornejo, M., Riva-Palacio-Chiang-Sam, I. L., Sánchez-Díaz, I., Cerritos, A., Tena-Tamayo, C., &amp; López-Hernández, D. (2017). New model for diabetes primary health care based on patient empowerment and the right to preventive health: the MIDE program. </w:t>
      </w:r>
      <w:proofErr w:type="spellStart"/>
      <w:r w:rsidRPr="00523C08">
        <w:rPr>
          <w:rFonts w:ascii="Arial" w:hAnsi="Arial" w:cs="Arial"/>
          <w:sz w:val="20"/>
          <w:szCs w:val="20"/>
          <w:lang w:val="en-US"/>
        </w:rPr>
        <w:t>Revista</w:t>
      </w:r>
      <w:proofErr w:type="spellEnd"/>
      <w:r w:rsidRPr="00523C08">
        <w:rPr>
          <w:rFonts w:ascii="Arial" w:hAnsi="Arial" w:cs="Arial"/>
          <w:sz w:val="20"/>
          <w:szCs w:val="20"/>
          <w:lang w:val="en-US"/>
        </w:rPr>
        <w:t xml:space="preserve"> </w:t>
      </w:r>
      <w:proofErr w:type="spellStart"/>
      <w:r w:rsidRPr="00523C08">
        <w:rPr>
          <w:rFonts w:ascii="Arial" w:hAnsi="Arial" w:cs="Arial"/>
          <w:sz w:val="20"/>
          <w:szCs w:val="20"/>
          <w:lang w:val="en-US"/>
        </w:rPr>
        <w:t>panamericana</w:t>
      </w:r>
      <w:proofErr w:type="spellEnd"/>
      <w:r w:rsidRPr="00523C08">
        <w:rPr>
          <w:rFonts w:ascii="Arial" w:hAnsi="Arial" w:cs="Arial"/>
          <w:sz w:val="20"/>
          <w:szCs w:val="20"/>
          <w:lang w:val="en-US"/>
        </w:rPr>
        <w:t xml:space="preserve"> de </w:t>
      </w:r>
      <w:proofErr w:type="spellStart"/>
      <w:r w:rsidRPr="00523C08">
        <w:rPr>
          <w:rFonts w:ascii="Arial" w:hAnsi="Arial" w:cs="Arial"/>
          <w:sz w:val="20"/>
          <w:szCs w:val="20"/>
          <w:lang w:val="en-US"/>
        </w:rPr>
        <w:t>salud</w:t>
      </w:r>
      <w:proofErr w:type="spellEnd"/>
      <w:r w:rsidRPr="00523C08">
        <w:rPr>
          <w:rFonts w:ascii="Arial" w:hAnsi="Arial" w:cs="Arial"/>
          <w:sz w:val="20"/>
          <w:szCs w:val="20"/>
          <w:lang w:val="en-US"/>
        </w:rPr>
        <w:t xml:space="preserve"> publica = Pan American journal of public health, 41, e128. </w:t>
      </w:r>
      <w:hyperlink r:id="rId20" w:history="1">
        <w:r w:rsidRPr="00045A39">
          <w:rPr>
            <w:rStyle w:val="Hyperlink"/>
            <w:rFonts w:ascii="Arial" w:hAnsi="Arial" w:cs="Arial"/>
            <w:sz w:val="20"/>
            <w:szCs w:val="20"/>
            <w:lang w:val="en-US"/>
          </w:rPr>
          <w:t>https://doi.org/10.26633/RPSP.2017.128</w:t>
        </w:r>
      </w:hyperlink>
      <w:r>
        <w:rPr>
          <w:rFonts w:ascii="Arial" w:hAnsi="Arial" w:cs="Arial"/>
          <w:sz w:val="20"/>
          <w:szCs w:val="20"/>
          <w:lang w:val="en-US"/>
        </w:rPr>
        <w:t xml:space="preserve"> </w:t>
      </w:r>
    </w:p>
    <w:p w14:paraId="22750D6B"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9A5EEA">
        <w:rPr>
          <w:rFonts w:ascii="Arial" w:hAnsi="Arial" w:cs="Arial"/>
          <w:sz w:val="20"/>
          <w:szCs w:val="20"/>
          <w:lang w:val="en-US"/>
        </w:rPr>
        <w:t>Chávez-Reyes, J., Escárcega-González, C. E., Chavira-Suárez, E., León-</w:t>
      </w:r>
      <w:proofErr w:type="spellStart"/>
      <w:r w:rsidRPr="009A5EEA">
        <w:rPr>
          <w:rFonts w:ascii="Arial" w:hAnsi="Arial" w:cs="Arial"/>
          <w:sz w:val="20"/>
          <w:szCs w:val="20"/>
          <w:lang w:val="en-US"/>
        </w:rPr>
        <w:t>Buitimea</w:t>
      </w:r>
      <w:proofErr w:type="spellEnd"/>
      <w:r w:rsidRPr="009A5EEA">
        <w:rPr>
          <w:rFonts w:ascii="Arial" w:hAnsi="Arial" w:cs="Arial"/>
          <w:sz w:val="20"/>
          <w:szCs w:val="20"/>
          <w:lang w:val="en-US"/>
        </w:rPr>
        <w:t xml:space="preserve">, A., Vázquez-León, P., Morones-Ramírez, J. R., Villalón, C. M., Quintanar-Stephano, A., &amp; Marichal-Cancino, B. A. (2021). Susceptibility for Some Infectious Diseases in Patients </w:t>
      </w:r>
      <w:proofErr w:type="gramStart"/>
      <w:r w:rsidRPr="009A5EEA">
        <w:rPr>
          <w:rFonts w:ascii="Arial" w:hAnsi="Arial" w:cs="Arial"/>
          <w:sz w:val="20"/>
          <w:szCs w:val="20"/>
          <w:lang w:val="en-US"/>
        </w:rPr>
        <w:t>With</w:t>
      </w:r>
      <w:proofErr w:type="gramEnd"/>
      <w:r w:rsidRPr="009A5EEA">
        <w:rPr>
          <w:rFonts w:ascii="Arial" w:hAnsi="Arial" w:cs="Arial"/>
          <w:sz w:val="20"/>
          <w:szCs w:val="20"/>
          <w:lang w:val="en-US"/>
        </w:rPr>
        <w:t xml:space="preserve"> Diabetes: The Key Role of Glycemia. Frontiers in public health, 9, 559595. </w:t>
      </w:r>
      <w:hyperlink r:id="rId21" w:history="1">
        <w:r w:rsidRPr="00400BB6">
          <w:rPr>
            <w:rStyle w:val="Hyperlink"/>
            <w:rFonts w:ascii="Arial" w:hAnsi="Arial" w:cs="Arial"/>
            <w:sz w:val="20"/>
            <w:szCs w:val="20"/>
            <w:lang w:val="en-US"/>
          </w:rPr>
          <w:t>https://doi.org/10.3389/fpubh.2021.559595</w:t>
        </w:r>
      </w:hyperlink>
    </w:p>
    <w:p w14:paraId="3CCAFB22"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FA1AB5">
        <w:rPr>
          <w:rFonts w:ascii="Arial" w:hAnsi="Arial" w:cs="Arial"/>
          <w:sz w:val="20"/>
          <w:szCs w:val="20"/>
          <w:lang w:val="en-US"/>
        </w:rPr>
        <w:t>Cicek, M., Buckley, J., Pearson-</w:t>
      </w:r>
      <w:proofErr w:type="spellStart"/>
      <w:r w:rsidRPr="00FA1AB5">
        <w:rPr>
          <w:rFonts w:ascii="Arial" w:hAnsi="Arial" w:cs="Arial"/>
          <w:sz w:val="20"/>
          <w:szCs w:val="20"/>
          <w:lang w:val="en-US"/>
        </w:rPr>
        <w:t>Stuttard</w:t>
      </w:r>
      <w:proofErr w:type="spellEnd"/>
      <w:r w:rsidRPr="00FA1AB5">
        <w:rPr>
          <w:rFonts w:ascii="Arial" w:hAnsi="Arial" w:cs="Arial"/>
          <w:sz w:val="20"/>
          <w:szCs w:val="20"/>
          <w:lang w:val="en-US"/>
        </w:rPr>
        <w:t xml:space="preserve">, J., &amp; Gregg, E. W. (2021). Characterizing Multimorbidity from Type 2 Diabetes: Insights from Clustering Approaches. Endocrinology and metabolism clinics of North America, 50(3), 531–558. </w:t>
      </w:r>
      <w:hyperlink r:id="rId22" w:history="1">
        <w:r w:rsidRPr="00045A39">
          <w:rPr>
            <w:rStyle w:val="Hyperlink"/>
            <w:rFonts w:ascii="Arial" w:hAnsi="Arial" w:cs="Arial"/>
            <w:sz w:val="20"/>
            <w:szCs w:val="20"/>
            <w:lang w:val="en-US"/>
          </w:rPr>
          <w:t>https://doi.org/10.1016/j.ecl.2021.05.012</w:t>
        </w:r>
      </w:hyperlink>
    </w:p>
    <w:p w14:paraId="5E9C3502" w14:textId="77777777" w:rsidR="006D5251" w:rsidRDefault="006D5251" w:rsidP="006F7C4E">
      <w:pPr>
        <w:pStyle w:val="ListParagraph"/>
        <w:numPr>
          <w:ilvl w:val="0"/>
          <w:numId w:val="31"/>
        </w:numPr>
        <w:spacing w:after="0" w:line="240" w:lineRule="auto"/>
        <w:jc w:val="both"/>
        <w:rPr>
          <w:rFonts w:ascii="Arial" w:hAnsi="Arial" w:cs="Arial"/>
          <w:sz w:val="20"/>
          <w:szCs w:val="20"/>
          <w:lang w:val="en-US"/>
        </w:rPr>
      </w:pPr>
      <w:r w:rsidRPr="00E5425A">
        <w:rPr>
          <w:rFonts w:ascii="Arial" w:hAnsi="Arial" w:cs="Arial"/>
          <w:sz w:val="20"/>
          <w:szCs w:val="20"/>
          <w:lang w:val="en-US"/>
        </w:rPr>
        <w:t xml:space="preserve">de Ritter, R., de Jong, M., Vos, R. C., van der Kallen, C. J. H., Sep, S. J. S., Woodward, M., Stehouwer, C. D. A., Bots, M. L., &amp; Peters, S. A. E. (2020). Sex differences in the risk of vascular disease associated with diabetes. Biology of sex differences, 11(1), 1. </w:t>
      </w:r>
      <w:hyperlink r:id="rId23" w:history="1">
        <w:r w:rsidRPr="009F6D5B">
          <w:rPr>
            <w:rStyle w:val="Hyperlink"/>
            <w:rFonts w:ascii="Arial" w:hAnsi="Arial" w:cs="Arial"/>
            <w:sz w:val="20"/>
            <w:szCs w:val="20"/>
            <w:lang w:val="en-US"/>
          </w:rPr>
          <w:t>https://doi.org/10.1186/s13293-019-0277-z</w:t>
        </w:r>
      </w:hyperlink>
    </w:p>
    <w:p w14:paraId="42934BFF"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227A4F">
        <w:rPr>
          <w:rFonts w:ascii="Arial" w:hAnsi="Arial" w:cs="Arial"/>
          <w:sz w:val="20"/>
          <w:szCs w:val="20"/>
          <w:lang w:val="en-US"/>
        </w:rPr>
        <w:t xml:space="preserve">Drozdz, D., Wójcik, M., Borghi, C., Gabbianelli, R., Mazur, A., Gonzalez, B., </w:t>
      </w:r>
      <w:proofErr w:type="spellStart"/>
      <w:r w:rsidRPr="00227A4F">
        <w:rPr>
          <w:rFonts w:ascii="Arial" w:hAnsi="Arial" w:cs="Arial"/>
          <w:sz w:val="20"/>
          <w:szCs w:val="20"/>
          <w:lang w:val="en-US"/>
        </w:rPr>
        <w:t>Brzeziński</w:t>
      </w:r>
      <w:proofErr w:type="spellEnd"/>
      <w:r w:rsidRPr="00227A4F">
        <w:rPr>
          <w:rFonts w:ascii="Arial" w:hAnsi="Arial" w:cs="Arial"/>
          <w:sz w:val="20"/>
          <w:szCs w:val="20"/>
          <w:lang w:val="en-US"/>
        </w:rPr>
        <w:t xml:space="preserve">, M., </w:t>
      </w:r>
      <w:proofErr w:type="spellStart"/>
      <w:r w:rsidRPr="00227A4F">
        <w:rPr>
          <w:rFonts w:ascii="Arial" w:hAnsi="Arial" w:cs="Arial"/>
          <w:sz w:val="20"/>
          <w:szCs w:val="20"/>
          <w:lang w:val="en-US"/>
        </w:rPr>
        <w:t>Lurbe</w:t>
      </w:r>
      <w:proofErr w:type="spellEnd"/>
      <w:r w:rsidRPr="00227A4F">
        <w:rPr>
          <w:rFonts w:ascii="Arial" w:hAnsi="Arial" w:cs="Arial"/>
          <w:sz w:val="20"/>
          <w:szCs w:val="20"/>
          <w:lang w:val="en-US"/>
        </w:rPr>
        <w:t xml:space="preserve">, E., &amp; </w:t>
      </w:r>
      <w:proofErr w:type="spellStart"/>
      <w:r w:rsidRPr="00227A4F">
        <w:rPr>
          <w:rFonts w:ascii="Arial" w:hAnsi="Arial" w:cs="Arial"/>
          <w:sz w:val="20"/>
          <w:szCs w:val="20"/>
          <w:lang w:val="en-US"/>
        </w:rPr>
        <w:t>Wühl</w:t>
      </w:r>
      <w:proofErr w:type="spellEnd"/>
      <w:r w:rsidRPr="00227A4F">
        <w:rPr>
          <w:rFonts w:ascii="Arial" w:hAnsi="Arial" w:cs="Arial"/>
          <w:sz w:val="20"/>
          <w:szCs w:val="20"/>
          <w:lang w:val="en-US"/>
        </w:rPr>
        <w:t xml:space="preserve">, E. (2021). Obesity and Cardiometabolic Risk Factors: From Childhood to Adulthood. Nutrients, 13(11), 4176. </w:t>
      </w:r>
      <w:hyperlink r:id="rId24" w:history="1">
        <w:r w:rsidRPr="006B040C">
          <w:rPr>
            <w:rStyle w:val="Hyperlink"/>
            <w:rFonts w:ascii="Arial" w:hAnsi="Arial" w:cs="Arial"/>
            <w:sz w:val="20"/>
            <w:szCs w:val="20"/>
            <w:lang w:val="en-US"/>
          </w:rPr>
          <w:t>https://doi.org/10.3390/nu13114176</w:t>
        </w:r>
      </w:hyperlink>
    </w:p>
    <w:p w14:paraId="27D759D1"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227A4F">
        <w:rPr>
          <w:rFonts w:ascii="Arial" w:hAnsi="Arial" w:cs="Arial"/>
          <w:sz w:val="20"/>
          <w:szCs w:val="20"/>
          <w:lang w:val="en-US"/>
        </w:rPr>
        <w:t xml:space="preserve">Eriksson, J. G., </w:t>
      </w:r>
      <w:proofErr w:type="spellStart"/>
      <w:r w:rsidRPr="00227A4F">
        <w:rPr>
          <w:rFonts w:ascii="Arial" w:hAnsi="Arial" w:cs="Arial"/>
          <w:sz w:val="20"/>
          <w:szCs w:val="20"/>
          <w:lang w:val="en-US"/>
        </w:rPr>
        <w:t>Forsén</w:t>
      </w:r>
      <w:proofErr w:type="spellEnd"/>
      <w:r w:rsidRPr="00227A4F">
        <w:rPr>
          <w:rFonts w:ascii="Arial" w:hAnsi="Arial" w:cs="Arial"/>
          <w:sz w:val="20"/>
          <w:szCs w:val="20"/>
          <w:lang w:val="en-US"/>
        </w:rPr>
        <w:t xml:space="preserve">, T., </w:t>
      </w:r>
      <w:proofErr w:type="spellStart"/>
      <w:r w:rsidRPr="00227A4F">
        <w:rPr>
          <w:rFonts w:ascii="Arial" w:hAnsi="Arial" w:cs="Arial"/>
          <w:sz w:val="20"/>
          <w:szCs w:val="20"/>
          <w:lang w:val="en-US"/>
        </w:rPr>
        <w:t>Tuomilehto</w:t>
      </w:r>
      <w:proofErr w:type="spellEnd"/>
      <w:r w:rsidRPr="00227A4F">
        <w:rPr>
          <w:rFonts w:ascii="Arial" w:hAnsi="Arial" w:cs="Arial"/>
          <w:sz w:val="20"/>
          <w:szCs w:val="20"/>
          <w:lang w:val="en-US"/>
        </w:rPr>
        <w:t xml:space="preserve">, J., Osmond, C., &amp; Barker, D. J. (2003). Early adiposity rebound in childhood and risk of Type 2 diabetes in adult life. </w:t>
      </w:r>
      <w:proofErr w:type="spellStart"/>
      <w:r w:rsidRPr="00227A4F">
        <w:rPr>
          <w:rFonts w:ascii="Arial" w:hAnsi="Arial" w:cs="Arial"/>
          <w:sz w:val="20"/>
          <w:szCs w:val="20"/>
          <w:lang w:val="en-US"/>
        </w:rPr>
        <w:t>Diabetologia</w:t>
      </w:r>
      <w:proofErr w:type="spellEnd"/>
      <w:r w:rsidRPr="00227A4F">
        <w:rPr>
          <w:rFonts w:ascii="Arial" w:hAnsi="Arial" w:cs="Arial"/>
          <w:sz w:val="20"/>
          <w:szCs w:val="20"/>
          <w:lang w:val="en-US"/>
        </w:rPr>
        <w:t xml:space="preserve">, 46(2), 190–194. </w:t>
      </w:r>
      <w:hyperlink r:id="rId25" w:history="1">
        <w:r w:rsidRPr="006B040C">
          <w:rPr>
            <w:rStyle w:val="Hyperlink"/>
            <w:rFonts w:ascii="Arial" w:hAnsi="Arial" w:cs="Arial"/>
            <w:sz w:val="20"/>
            <w:szCs w:val="20"/>
            <w:lang w:val="en-US"/>
          </w:rPr>
          <w:t>https://doi.org/10.1007/s00125-002-1012-5</w:t>
        </w:r>
      </w:hyperlink>
    </w:p>
    <w:p w14:paraId="0A4DFE6E"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6222C8">
        <w:rPr>
          <w:rFonts w:ascii="Arial" w:hAnsi="Arial" w:cs="Arial"/>
          <w:sz w:val="20"/>
          <w:szCs w:val="20"/>
          <w:lang w:val="en-US"/>
        </w:rPr>
        <w:t xml:space="preserve">GBD 2021 Diabetes Collaborators (2023). Global, regional, and national burden of diabetes from 1990 to 2021, with projections of prevalence to 2050: a systematic analysis for the Global Burden of Disease Study 2021. Lancet (London, England), 402(10397), 203–234. </w:t>
      </w:r>
      <w:hyperlink r:id="rId26" w:history="1">
        <w:r w:rsidRPr="00045A39">
          <w:rPr>
            <w:rStyle w:val="Hyperlink"/>
            <w:rFonts w:ascii="Arial" w:hAnsi="Arial" w:cs="Arial"/>
            <w:sz w:val="20"/>
            <w:szCs w:val="20"/>
            <w:lang w:val="en-US"/>
          </w:rPr>
          <w:t>https://doi.org/10.1016/S0140-6736(23)01301-6</w:t>
        </w:r>
      </w:hyperlink>
    </w:p>
    <w:p w14:paraId="6D930310"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proofErr w:type="spellStart"/>
      <w:r w:rsidRPr="007A17BD">
        <w:rPr>
          <w:rFonts w:ascii="Arial" w:hAnsi="Arial" w:cs="Arial"/>
          <w:sz w:val="20"/>
          <w:szCs w:val="20"/>
          <w:lang w:val="en-US"/>
        </w:rPr>
        <w:t>Giandalia</w:t>
      </w:r>
      <w:proofErr w:type="spellEnd"/>
      <w:r w:rsidRPr="007A17BD">
        <w:rPr>
          <w:rFonts w:ascii="Arial" w:hAnsi="Arial" w:cs="Arial"/>
          <w:sz w:val="20"/>
          <w:szCs w:val="20"/>
          <w:lang w:val="en-US"/>
        </w:rPr>
        <w:t xml:space="preserve">, A., Giuffrida, A. E., </w:t>
      </w:r>
      <w:proofErr w:type="spellStart"/>
      <w:r w:rsidRPr="007A17BD">
        <w:rPr>
          <w:rFonts w:ascii="Arial" w:hAnsi="Arial" w:cs="Arial"/>
          <w:sz w:val="20"/>
          <w:szCs w:val="20"/>
          <w:lang w:val="en-US"/>
        </w:rPr>
        <w:t>Gembillo</w:t>
      </w:r>
      <w:proofErr w:type="spellEnd"/>
      <w:r w:rsidRPr="007A17BD">
        <w:rPr>
          <w:rFonts w:ascii="Arial" w:hAnsi="Arial" w:cs="Arial"/>
          <w:sz w:val="20"/>
          <w:szCs w:val="20"/>
          <w:lang w:val="en-US"/>
        </w:rPr>
        <w:t xml:space="preserve">, G., Cucinotta, D., Squadrito, G., Santoro, D., &amp; Russo, G. T. (2021). Gender Differences in Diabetic Kidney Disease: Focus on </w:t>
      </w:r>
      <w:r w:rsidRPr="007A17BD">
        <w:rPr>
          <w:rFonts w:ascii="Arial" w:hAnsi="Arial" w:cs="Arial"/>
          <w:sz w:val="20"/>
          <w:szCs w:val="20"/>
          <w:lang w:val="en-US"/>
        </w:rPr>
        <w:lastRenderedPageBreak/>
        <w:t xml:space="preserve">Hormonal, Genetic and Clinical Factors. International Journal of Molecular Sciences, 22(11), 5808. </w:t>
      </w:r>
      <w:hyperlink r:id="rId27" w:history="1">
        <w:r w:rsidRPr="00400BB6">
          <w:rPr>
            <w:rStyle w:val="Hyperlink"/>
            <w:rFonts w:ascii="Arial" w:hAnsi="Arial" w:cs="Arial"/>
            <w:sz w:val="20"/>
            <w:szCs w:val="20"/>
            <w:lang w:val="en-US"/>
          </w:rPr>
          <w:t>https://doi.org/10.3390/ijms22115808</w:t>
        </w:r>
      </w:hyperlink>
    </w:p>
    <w:p w14:paraId="740D6E0F"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DC22D4">
        <w:rPr>
          <w:rFonts w:ascii="Arial" w:hAnsi="Arial" w:cs="Arial"/>
          <w:sz w:val="20"/>
          <w:szCs w:val="20"/>
          <w:lang w:val="en-US"/>
        </w:rPr>
        <w:t xml:space="preserve">Gonzalez Gil, L., &amp; de la Sierra, A. (2017). Prevalence of hypertension and other cardiovascular risk factors in subjects with subclinical hypothyroidism. </w:t>
      </w:r>
      <w:proofErr w:type="spellStart"/>
      <w:r w:rsidRPr="00DC22D4">
        <w:rPr>
          <w:rFonts w:ascii="Arial" w:hAnsi="Arial" w:cs="Arial"/>
          <w:sz w:val="20"/>
          <w:szCs w:val="20"/>
          <w:lang w:val="en-US"/>
        </w:rPr>
        <w:t>Medicina</w:t>
      </w:r>
      <w:proofErr w:type="spellEnd"/>
      <w:r w:rsidRPr="00DC22D4">
        <w:rPr>
          <w:rFonts w:ascii="Arial" w:hAnsi="Arial" w:cs="Arial"/>
          <w:sz w:val="20"/>
          <w:szCs w:val="20"/>
          <w:lang w:val="en-US"/>
        </w:rPr>
        <w:t xml:space="preserve"> </w:t>
      </w:r>
      <w:proofErr w:type="spellStart"/>
      <w:r w:rsidRPr="00DC22D4">
        <w:rPr>
          <w:rFonts w:ascii="Arial" w:hAnsi="Arial" w:cs="Arial"/>
          <w:sz w:val="20"/>
          <w:szCs w:val="20"/>
          <w:lang w:val="en-US"/>
        </w:rPr>
        <w:t>clinica</w:t>
      </w:r>
      <w:proofErr w:type="spellEnd"/>
      <w:r w:rsidRPr="00DC22D4">
        <w:rPr>
          <w:rFonts w:ascii="Arial" w:hAnsi="Arial" w:cs="Arial"/>
          <w:sz w:val="20"/>
          <w:szCs w:val="20"/>
          <w:lang w:val="en-US"/>
        </w:rPr>
        <w:t xml:space="preserve">, 148(8), 351–353. </w:t>
      </w:r>
      <w:r>
        <w:rPr>
          <w:rFonts w:ascii="Arial" w:hAnsi="Arial" w:cs="Arial"/>
          <w:sz w:val="20"/>
          <w:szCs w:val="20"/>
          <w:lang w:val="en-US"/>
        </w:rPr>
        <w:t xml:space="preserve">[Spanish article] </w:t>
      </w:r>
      <w:hyperlink r:id="rId28" w:history="1">
        <w:r w:rsidRPr="00400BB6">
          <w:rPr>
            <w:rStyle w:val="Hyperlink"/>
            <w:rFonts w:ascii="Arial" w:hAnsi="Arial" w:cs="Arial"/>
            <w:sz w:val="20"/>
            <w:szCs w:val="20"/>
            <w:lang w:val="en-US"/>
          </w:rPr>
          <w:t>https://doi.org/10.1016/j.medcli.2016.10.041</w:t>
        </w:r>
      </w:hyperlink>
    </w:p>
    <w:p w14:paraId="3BE96BC8"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FA1AB5">
        <w:rPr>
          <w:rFonts w:ascii="Arial" w:hAnsi="Arial" w:cs="Arial"/>
          <w:sz w:val="20"/>
          <w:szCs w:val="20"/>
          <w:lang w:val="en-US"/>
        </w:rPr>
        <w:t xml:space="preserve">Greenberg H. (2022). An inflection </w:t>
      </w:r>
      <w:proofErr w:type="gramStart"/>
      <w:r w:rsidRPr="00FA1AB5">
        <w:rPr>
          <w:rFonts w:ascii="Arial" w:hAnsi="Arial" w:cs="Arial"/>
          <w:sz w:val="20"/>
          <w:szCs w:val="20"/>
          <w:lang w:val="en-US"/>
        </w:rPr>
        <w:t>point</w:t>
      </w:r>
      <w:proofErr w:type="gramEnd"/>
      <w:r w:rsidRPr="00FA1AB5">
        <w:rPr>
          <w:rFonts w:ascii="Arial" w:hAnsi="Arial" w:cs="Arial"/>
          <w:sz w:val="20"/>
          <w:szCs w:val="20"/>
          <w:lang w:val="en-US"/>
        </w:rPr>
        <w:t xml:space="preserve"> in global public health. Globalization and health, 18(1), 99. </w:t>
      </w:r>
      <w:hyperlink r:id="rId29" w:history="1">
        <w:r w:rsidRPr="00045A39">
          <w:rPr>
            <w:rStyle w:val="Hyperlink"/>
            <w:rFonts w:ascii="Arial" w:hAnsi="Arial" w:cs="Arial"/>
            <w:sz w:val="20"/>
            <w:szCs w:val="20"/>
            <w:lang w:val="en-US"/>
          </w:rPr>
          <w:t>https://doi.org/10.1186/s12992-022-00897-3</w:t>
        </w:r>
      </w:hyperlink>
    </w:p>
    <w:p w14:paraId="64E77FD4"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FA1AB5">
        <w:rPr>
          <w:rFonts w:ascii="Arial" w:hAnsi="Arial" w:cs="Arial"/>
          <w:sz w:val="20"/>
          <w:szCs w:val="20"/>
          <w:lang w:val="en-US"/>
        </w:rPr>
        <w:t xml:space="preserve">Hill-Briggs, F., Adler, N. E., Berkowitz, S. A., Chin, M. H., Gary-Webb, T. L., </w:t>
      </w:r>
      <w:proofErr w:type="spellStart"/>
      <w:r w:rsidRPr="00FA1AB5">
        <w:rPr>
          <w:rFonts w:ascii="Arial" w:hAnsi="Arial" w:cs="Arial"/>
          <w:sz w:val="20"/>
          <w:szCs w:val="20"/>
          <w:lang w:val="en-US"/>
        </w:rPr>
        <w:t>Navas-Acien</w:t>
      </w:r>
      <w:proofErr w:type="spellEnd"/>
      <w:r w:rsidRPr="00FA1AB5">
        <w:rPr>
          <w:rFonts w:ascii="Arial" w:hAnsi="Arial" w:cs="Arial"/>
          <w:sz w:val="20"/>
          <w:szCs w:val="20"/>
          <w:lang w:val="en-US"/>
        </w:rPr>
        <w:t xml:space="preserve">, A., Thornton, P. L., &amp; Haire-Joshu, D. (2020). Social Determinants of Health and Diabetes: A Scientific Review. Diabetes care, 44(1), 258–279. Advance online publication. </w:t>
      </w:r>
      <w:hyperlink r:id="rId30" w:history="1">
        <w:r w:rsidRPr="00045A39">
          <w:rPr>
            <w:rStyle w:val="Hyperlink"/>
            <w:rFonts w:ascii="Arial" w:hAnsi="Arial" w:cs="Arial"/>
            <w:sz w:val="20"/>
            <w:szCs w:val="20"/>
            <w:lang w:val="en-US"/>
          </w:rPr>
          <w:t>https://doi.org/10.2337/dci20-0053</w:t>
        </w:r>
      </w:hyperlink>
    </w:p>
    <w:p w14:paraId="201FC873" w14:textId="77777777" w:rsidR="006F7C4E" w:rsidRPr="004F6D11" w:rsidRDefault="006F7C4E" w:rsidP="006F7C4E">
      <w:pPr>
        <w:pStyle w:val="ListParagraph"/>
        <w:numPr>
          <w:ilvl w:val="0"/>
          <w:numId w:val="31"/>
        </w:numPr>
        <w:spacing w:after="0" w:line="240" w:lineRule="auto"/>
        <w:jc w:val="both"/>
        <w:rPr>
          <w:rFonts w:ascii="Arial" w:hAnsi="Arial" w:cs="Arial"/>
          <w:sz w:val="20"/>
          <w:szCs w:val="20"/>
          <w:lang w:val="en-US"/>
        </w:rPr>
      </w:pPr>
      <w:r w:rsidRPr="004F6D11">
        <w:rPr>
          <w:rFonts w:ascii="Arial" w:hAnsi="Arial" w:cs="Arial"/>
          <w:sz w:val="20"/>
          <w:szCs w:val="20"/>
          <w:lang w:val="en-US"/>
        </w:rPr>
        <w:t>Hossain, M. J., Al-Mamun, M., &amp; Islam, M. R. (2024). Diabetes mellitus, the fastest growing global public health concern: Early detection should be focused. Health science reports, 7(3), e2004.</w:t>
      </w:r>
    </w:p>
    <w:p w14:paraId="7E59B4D9"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proofErr w:type="spellStart"/>
      <w:r w:rsidRPr="00A57799">
        <w:rPr>
          <w:rFonts w:ascii="Arial" w:hAnsi="Arial" w:cs="Arial"/>
          <w:sz w:val="20"/>
          <w:szCs w:val="20"/>
          <w:lang w:val="en-US"/>
        </w:rPr>
        <w:t>Iglay</w:t>
      </w:r>
      <w:proofErr w:type="spellEnd"/>
      <w:r w:rsidRPr="00A57799">
        <w:rPr>
          <w:rFonts w:ascii="Arial" w:hAnsi="Arial" w:cs="Arial"/>
          <w:sz w:val="20"/>
          <w:szCs w:val="20"/>
          <w:lang w:val="en-US"/>
        </w:rPr>
        <w:t xml:space="preserve">, K., Hannachi, H., Joseph Howie, P., Xu, J., Li, X., Engel, S. S., Moore, L. M., &amp; Rajpathak, S. (2016). Prevalence and co-prevalence of comorbidities among patients with type 2 diabetes mellitus. Current medical research and opinion, 32(7), 1243–1252. </w:t>
      </w:r>
      <w:hyperlink r:id="rId31" w:history="1">
        <w:r w:rsidRPr="00D73D9E">
          <w:rPr>
            <w:rStyle w:val="Hyperlink"/>
            <w:rFonts w:ascii="Arial" w:hAnsi="Arial" w:cs="Arial"/>
            <w:sz w:val="20"/>
            <w:szCs w:val="20"/>
            <w:lang w:val="en-US"/>
          </w:rPr>
          <w:t>https://doi.org/10.1185/03007995.2016.1168291</w:t>
        </w:r>
      </w:hyperlink>
    </w:p>
    <w:p w14:paraId="527BD733"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523C08">
        <w:rPr>
          <w:rFonts w:ascii="Arial" w:hAnsi="Arial" w:cs="Arial"/>
          <w:sz w:val="20"/>
          <w:szCs w:val="20"/>
          <w:lang w:val="en-US"/>
        </w:rPr>
        <w:t xml:space="preserve">Implementing High-Quality Primary Care: Rebuilding the Foundation of Health Care. Washington (DC): National Academies Press (US); 2021 May 4. 5, Integrated Primary Care Delivery. Available from: </w:t>
      </w:r>
      <w:hyperlink r:id="rId32" w:history="1">
        <w:r w:rsidRPr="00045A39">
          <w:rPr>
            <w:rStyle w:val="Hyperlink"/>
            <w:rFonts w:ascii="Arial" w:hAnsi="Arial" w:cs="Arial"/>
            <w:sz w:val="20"/>
            <w:szCs w:val="20"/>
            <w:lang w:val="en-US"/>
          </w:rPr>
          <w:t>https://www.ncbi.nlm.nih.gov/books/NBK571813/</w:t>
        </w:r>
      </w:hyperlink>
    </w:p>
    <w:p w14:paraId="73FBAECB" w14:textId="77777777" w:rsidR="006F7C4E" w:rsidRPr="004F6D11" w:rsidRDefault="006F7C4E" w:rsidP="006F7C4E">
      <w:pPr>
        <w:pStyle w:val="ListParagraph"/>
        <w:numPr>
          <w:ilvl w:val="0"/>
          <w:numId w:val="31"/>
        </w:numPr>
        <w:spacing w:after="0" w:line="240" w:lineRule="auto"/>
        <w:jc w:val="both"/>
        <w:rPr>
          <w:rFonts w:ascii="Arial" w:hAnsi="Arial" w:cs="Arial"/>
          <w:sz w:val="20"/>
          <w:szCs w:val="20"/>
          <w:lang w:val="en-US"/>
        </w:rPr>
      </w:pPr>
      <w:r w:rsidRPr="004F6D11">
        <w:rPr>
          <w:rFonts w:ascii="Arial" w:hAnsi="Arial" w:cs="Arial"/>
          <w:sz w:val="20"/>
          <w:szCs w:val="20"/>
          <w:lang w:val="en-US"/>
        </w:rPr>
        <w:t xml:space="preserve">International Diabetes Federation. (2025). IDF Diabetes Atlas, 11th Edition, 2025. </w:t>
      </w:r>
      <w:hyperlink r:id="rId33" w:history="1">
        <w:r w:rsidRPr="004F6D11">
          <w:rPr>
            <w:rStyle w:val="Hyperlink"/>
            <w:rFonts w:ascii="Arial" w:hAnsi="Arial" w:cs="Arial"/>
            <w:sz w:val="20"/>
            <w:szCs w:val="20"/>
            <w:lang w:val="en-US"/>
          </w:rPr>
          <w:t>https://www.diabetesatlas.org</w:t>
        </w:r>
      </w:hyperlink>
      <w:r w:rsidRPr="004F6D11">
        <w:rPr>
          <w:rFonts w:ascii="Arial" w:hAnsi="Arial" w:cs="Arial"/>
          <w:sz w:val="20"/>
          <w:szCs w:val="20"/>
          <w:lang w:val="en-US"/>
        </w:rPr>
        <w:t xml:space="preserve"> </w:t>
      </w:r>
    </w:p>
    <w:p w14:paraId="65396423" w14:textId="77777777" w:rsidR="0017578E" w:rsidRDefault="0017578E" w:rsidP="0017578E">
      <w:pPr>
        <w:pStyle w:val="ListParagraph"/>
        <w:numPr>
          <w:ilvl w:val="0"/>
          <w:numId w:val="31"/>
        </w:numPr>
        <w:spacing w:after="0" w:line="240" w:lineRule="auto"/>
        <w:jc w:val="both"/>
        <w:rPr>
          <w:rFonts w:ascii="Arial" w:hAnsi="Arial" w:cs="Arial"/>
          <w:sz w:val="20"/>
          <w:szCs w:val="20"/>
          <w:lang w:val="en-US"/>
        </w:rPr>
      </w:pPr>
      <w:bookmarkStart w:id="6" w:name="_Hlk204981709"/>
      <w:r w:rsidRPr="00E5425A">
        <w:rPr>
          <w:rFonts w:ascii="Arial" w:hAnsi="Arial" w:cs="Arial"/>
          <w:sz w:val="20"/>
          <w:szCs w:val="20"/>
          <w:lang w:val="en-US"/>
        </w:rPr>
        <w:t xml:space="preserve">Kalyani RR, Everett BM, Perreault L, et al. Heart Disease and Diabetes. 2023 Dec 20. In: Lawrence JM, Casagrande SS, Herman WH, et al., editors. Diabetes in America [Internet]. Bethesda (MD): National Institute of Diabetes and Digestive and Kidney Diseases (NIDDK); 2023-. Available from: </w:t>
      </w:r>
      <w:hyperlink r:id="rId34" w:history="1">
        <w:r w:rsidRPr="009F6D5B">
          <w:rPr>
            <w:rStyle w:val="Hyperlink"/>
            <w:rFonts w:ascii="Arial" w:hAnsi="Arial" w:cs="Arial"/>
            <w:sz w:val="20"/>
            <w:szCs w:val="20"/>
            <w:lang w:val="en-US"/>
          </w:rPr>
          <w:t>https://www.ncbi.nlm.nih.gov/books/NBK597416/</w:t>
        </w:r>
      </w:hyperlink>
    </w:p>
    <w:bookmarkEnd w:id="6"/>
    <w:p w14:paraId="421EAA39" w14:textId="77777777" w:rsidR="006F7C4E" w:rsidRPr="00C366AC" w:rsidRDefault="006F7C4E" w:rsidP="006F7C4E">
      <w:pPr>
        <w:pStyle w:val="ListParagraph"/>
        <w:numPr>
          <w:ilvl w:val="0"/>
          <w:numId w:val="31"/>
        </w:numPr>
        <w:spacing w:after="0" w:line="240" w:lineRule="auto"/>
        <w:jc w:val="both"/>
        <w:rPr>
          <w:rFonts w:ascii="Arial" w:hAnsi="Arial" w:cs="Arial"/>
          <w:sz w:val="20"/>
          <w:szCs w:val="20"/>
          <w:lang w:val="en-US"/>
        </w:rPr>
      </w:pPr>
      <w:r w:rsidRPr="00C366AC">
        <w:rPr>
          <w:rFonts w:ascii="Arial" w:hAnsi="Arial" w:cs="Arial"/>
          <w:sz w:val="20"/>
          <w:szCs w:val="20"/>
          <w:lang w:val="en-US"/>
        </w:rPr>
        <w:t xml:space="preserve">Kautzky-Willer, A., </w:t>
      </w:r>
      <w:proofErr w:type="spellStart"/>
      <w:r w:rsidRPr="00C366AC">
        <w:rPr>
          <w:rFonts w:ascii="Arial" w:hAnsi="Arial" w:cs="Arial"/>
          <w:sz w:val="20"/>
          <w:szCs w:val="20"/>
          <w:lang w:val="en-US"/>
        </w:rPr>
        <w:t>Harreiter</w:t>
      </w:r>
      <w:proofErr w:type="spellEnd"/>
      <w:r w:rsidRPr="00C366AC">
        <w:rPr>
          <w:rFonts w:ascii="Arial" w:hAnsi="Arial" w:cs="Arial"/>
          <w:sz w:val="20"/>
          <w:szCs w:val="20"/>
          <w:lang w:val="en-US"/>
        </w:rPr>
        <w:t xml:space="preserve">, J., &amp; Pacini, G. (2016). Sex and gender differences in risk, pathophysiology and complications of type 2 diabetes mellitus. Endocrine Reviews, 37(3), 278–316. </w:t>
      </w:r>
      <w:hyperlink r:id="rId35" w:history="1">
        <w:r w:rsidRPr="00C366AC">
          <w:rPr>
            <w:rStyle w:val="Hyperlink"/>
            <w:rFonts w:ascii="Arial" w:hAnsi="Arial" w:cs="Arial"/>
            <w:sz w:val="20"/>
            <w:szCs w:val="20"/>
            <w:lang w:val="en-US"/>
          </w:rPr>
          <w:t>https://doi.org/10.1210/er.2015-1137</w:t>
        </w:r>
      </w:hyperlink>
    </w:p>
    <w:p w14:paraId="654D0267" w14:textId="2840DB69" w:rsidR="00C81973" w:rsidRPr="004F6D11" w:rsidRDefault="00C81973" w:rsidP="006F7C4E">
      <w:pPr>
        <w:pStyle w:val="ListParagraph"/>
        <w:numPr>
          <w:ilvl w:val="0"/>
          <w:numId w:val="31"/>
        </w:numPr>
        <w:spacing w:after="0" w:line="240" w:lineRule="auto"/>
        <w:jc w:val="both"/>
        <w:rPr>
          <w:rFonts w:ascii="Arial" w:hAnsi="Arial" w:cs="Arial"/>
          <w:sz w:val="20"/>
          <w:szCs w:val="20"/>
          <w:lang w:val="en-US"/>
        </w:rPr>
      </w:pPr>
      <w:r w:rsidRPr="004F6D11">
        <w:rPr>
          <w:rFonts w:ascii="Arial" w:hAnsi="Arial" w:cs="Arial"/>
          <w:sz w:val="20"/>
          <w:szCs w:val="20"/>
        </w:rPr>
        <w:t xml:space="preserve">Khan, M. A. B., </w:t>
      </w:r>
      <w:proofErr w:type="spellStart"/>
      <w:r w:rsidRPr="004F6D11">
        <w:rPr>
          <w:rFonts w:ascii="Arial" w:hAnsi="Arial" w:cs="Arial"/>
          <w:sz w:val="20"/>
          <w:szCs w:val="20"/>
        </w:rPr>
        <w:t>Hashim</w:t>
      </w:r>
      <w:proofErr w:type="spellEnd"/>
      <w:r w:rsidRPr="004F6D11">
        <w:rPr>
          <w:rFonts w:ascii="Arial" w:hAnsi="Arial" w:cs="Arial"/>
          <w:sz w:val="20"/>
          <w:szCs w:val="20"/>
        </w:rPr>
        <w:t xml:space="preserve">, M. J., King, J. K., </w:t>
      </w:r>
      <w:proofErr w:type="spellStart"/>
      <w:r w:rsidRPr="004F6D11">
        <w:rPr>
          <w:rFonts w:ascii="Arial" w:hAnsi="Arial" w:cs="Arial"/>
          <w:sz w:val="20"/>
          <w:szCs w:val="20"/>
        </w:rPr>
        <w:t>Govender</w:t>
      </w:r>
      <w:proofErr w:type="spellEnd"/>
      <w:r w:rsidRPr="004F6D11">
        <w:rPr>
          <w:rFonts w:ascii="Arial" w:hAnsi="Arial" w:cs="Arial"/>
          <w:sz w:val="20"/>
          <w:szCs w:val="20"/>
        </w:rPr>
        <w:t xml:space="preserve">, R. D., </w:t>
      </w:r>
      <w:proofErr w:type="spellStart"/>
      <w:r w:rsidRPr="004F6D11">
        <w:rPr>
          <w:rFonts w:ascii="Arial" w:hAnsi="Arial" w:cs="Arial"/>
          <w:sz w:val="20"/>
          <w:szCs w:val="20"/>
        </w:rPr>
        <w:t>Mustafa</w:t>
      </w:r>
      <w:proofErr w:type="spellEnd"/>
      <w:r w:rsidRPr="004F6D11">
        <w:rPr>
          <w:rFonts w:ascii="Arial" w:hAnsi="Arial" w:cs="Arial"/>
          <w:sz w:val="20"/>
          <w:szCs w:val="20"/>
        </w:rPr>
        <w:t xml:space="preserve">, H., &amp; Al </w:t>
      </w:r>
      <w:proofErr w:type="spellStart"/>
      <w:r w:rsidRPr="004F6D11">
        <w:rPr>
          <w:rFonts w:ascii="Arial" w:hAnsi="Arial" w:cs="Arial"/>
          <w:sz w:val="20"/>
          <w:szCs w:val="20"/>
        </w:rPr>
        <w:t>Kaabi</w:t>
      </w:r>
      <w:proofErr w:type="spellEnd"/>
      <w:r w:rsidRPr="004F6D11">
        <w:rPr>
          <w:rFonts w:ascii="Arial" w:hAnsi="Arial" w:cs="Arial"/>
          <w:sz w:val="20"/>
          <w:szCs w:val="20"/>
        </w:rPr>
        <w:t xml:space="preserve">, J. (2020). </w:t>
      </w:r>
      <w:proofErr w:type="spellStart"/>
      <w:r w:rsidRPr="004F6D11">
        <w:rPr>
          <w:rFonts w:ascii="Arial" w:hAnsi="Arial" w:cs="Arial"/>
          <w:sz w:val="20"/>
          <w:szCs w:val="20"/>
        </w:rPr>
        <w:t>Epidemiology</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Type</w:t>
      </w:r>
      <w:proofErr w:type="spellEnd"/>
      <w:r w:rsidRPr="004F6D11">
        <w:rPr>
          <w:rFonts w:ascii="Arial" w:hAnsi="Arial" w:cs="Arial"/>
          <w:sz w:val="20"/>
          <w:szCs w:val="20"/>
        </w:rPr>
        <w:t xml:space="preserve"> 2 Diabetes - Global </w:t>
      </w:r>
      <w:proofErr w:type="spellStart"/>
      <w:r w:rsidRPr="004F6D11">
        <w:rPr>
          <w:rFonts w:ascii="Arial" w:hAnsi="Arial" w:cs="Arial"/>
          <w:sz w:val="20"/>
          <w:szCs w:val="20"/>
        </w:rPr>
        <w:t>Burden</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Disease</w:t>
      </w:r>
      <w:proofErr w:type="spellEnd"/>
      <w:r w:rsidRPr="004F6D11">
        <w:rPr>
          <w:rFonts w:ascii="Arial" w:hAnsi="Arial" w:cs="Arial"/>
          <w:sz w:val="20"/>
          <w:szCs w:val="20"/>
        </w:rPr>
        <w:t xml:space="preserve"> and </w:t>
      </w:r>
      <w:proofErr w:type="spellStart"/>
      <w:r w:rsidRPr="004F6D11">
        <w:rPr>
          <w:rFonts w:ascii="Arial" w:hAnsi="Arial" w:cs="Arial"/>
          <w:sz w:val="20"/>
          <w:szCs w:val="20"/>
        </w:rPr>
        <w:t>Forecasted</w:t>
      </w:r>
      <w:proofErr w:type="spellEnd"/>
      <w:r w:rsidRPr="004F6D11">
        <w:rPr>
          <w:rFonts w:ascii="Arial" w:hAnsi="Arial" w:cs="Arial"/>
          <w:sz w:val="20"/>
          <w:szCs w:val="20"/>
        </w:rPr>
        <w:t xml:space="preserve"> </w:t>
      </w:r>
      <w:proofErr w:type="spellStart"/>
      <w:r w:rsidRPr="004F6D11">
        <w:rPr>
          <w:rFonts w:ascii="Arial" w:hAnsi="Arial" w:cs="Arial"/>
          <w:sz w:val="20"/>
          <w:szCs w:val="20"/>
        </w:rPr>
        <w:t>Trends</w:t>
      </w:r>
      <w:proofErr w:type="spellEnd"/>
      <w:r w:rsidRPr="004F6D11">
        <w:rPr>
          <w:rFonts w:ascii="Arial" w:hAnsi="Arial" w:cs="Arial"/>
          <w:sz w:val="20"/>
          <w:szCs w:val="20"/>
        </w:rPr>
        <w:t xml:space="preserve">. </w:t>
      </w:r>
      <w:proofErr w:type="spellStart"/>
      <w:r w:rsidRPr="004F6D11">
        <w:rPr>
          <w:rFonts w:ascii="Arial" w:hAnsi="Arial" w:cs="Arial"/>
          <w:sz w:val="20"/>
          <w:szCs w:val="20"/>
        </w:rPr>
        <w:t>Journal</w:t>
      </w:r>
      <w:proofErr w:type="spellEnd"/>
      <w:r w:rsidRPr="004F6D11">
        <w:rPr>
          <w:rFonts w:ascii="Arial" w:hAnsi="Arial" w:cs="Arial"/>
          <w:sz w:val="20"/>
          <w:szCs w:val="20"/>
        </w:rPr>
        <w:t xml:space="preserve"> </w:t>
      </w:r>
      <w:proofErr w:type="spellStart"/>
      <w:r w:rsidRPr="004F6D11">
        <w:rPr>
          <w:rFonts w:ascii="Arial" w:hAnsi="Arial" w:cs="Arial"/>
          <w:sz w:val="20"/>
          <w:szCs w:val="20"/>
        </w:rPr>
        <w:t>of</w:t>
      </w:r>
      <w:proofErr w:type="spellEnd"/>
      <w:r w:rsidRPr="004F6D11">
        <w:rPr>
          <w:rFonts w:ascii="Arial" w:hAnsi="Arial" w:cs="Arial"/>
          <w:sz w:val="20"/>
          <w:szCs w:val="20"/>
        </w:rPr>
        <w:t xml:space="preserve"> </w:t>
      </w:r>
      <w:proofErr w:type="spellStart"/>
      <w:r w:rsidRPr="004F6D11">
        <w:rPr>
          <w:rFonts w:ascii="Arial" w:hAnsi="Arial" w:cs="Arial"/>
          <w:sz w:val="20"/>
          <w:szCs w:val="20"/>
        </w:rPr>
        <w:t>epidemiology</w:t>
      </w:r>
      <w:proofErr w:type="spellEnd"/>
      <w:r w:rsidRPr="004F6D11">
        <w:rPr>
          <w:rFonts w:ascii="Arial" w:hAnsi="Arial" w:cs="Arial"/>
          <w:sz w:val="20"/>
          <w:szCs w:val="20"/>
        </w:rPr>
        <w:t xml:space="preserve"> and global </w:t>
      </w:r>
      <w:proofErr w:type="spellStart"/>
      <w:r w:rsidRPr="004F6D11">
        <w:rPr>
          <w:rFonts w:ascii="Arial" w:hAnsi="Arial" w:cs="Arial"/>
          <w:sz w:val="20"/>
          <w:szCs w:val="20"/>
        </w:rPr>
        <w:t>health</w:t>
      </w:r>
      <w:proofErr w:type="spellEnd"/>
      <w:r w:rsidRPr="004F6D11">
        <w:rPr>
          <w:rFonts w:ascii="Arial" w:hAnsi="Arial" w:cs="Arial"/>
          <w:sz w:val="20"/>
          <w:szCs w:val="20"/>
        </w:rPr>
        <w:t>, 10(1), 107–111.</w:t>
      </w:r>
    </w:p>
    <w:p w14:paraId="7D53A1AC" w14:textId="77777777" w:rsidR="006D5251" w:rsidRDefault="006D5251" w:rsidP="006F7C4E">
      <w:pPr>
        <w:pStyle w:val="ListParagraph"/>
        <w:numPr>
          <w:ilvl w:val="0"/>
          <w:numId w:val="31"/>
        </w:numPr>
        <w:spacing w:after="0" w:line="240" w:lineRule="auto"/>
        <w:jc w:val="both"/>
        <w:rPr>
          <w:rFonts w:ascii="Arial" w:hAnsi="Arial" w:cs="Arial"/>
          <w:sz w:val="20"/>
          <w:szCs w:val="20"/>
          <w:lang w:val="en-US"/>
        </w:rPr>
      </w:pPr>
      <w:r w:rsidRPr="00471BED">
        <w:rPr>
          <w:rFonts w:ascii="Arial" w:hAnsi="Arial" w:cs="Arial"/>
          <w:sz w:val="20"/>
          <w:szCs w:val="20"/>
          <w:lang w:val="en-US"/>
        </w:rPr>
        <w:t xml:space="preserve">Kushner, P. R., Cavender, M. A., &amp; Mende, C. W. (2022). Role of Primary Care Clinicians in the Management of Patients </w:t>
      </w:r>
      <w:proofErr w:type="gramStart"/>
      <w:r w:rsidRPr="00471BED">
        <w:rPr>
          <w:rFonts w:ascii="Arial" w:hAnsi="Arial" w:cs="Arial"/>
          <w:sz w:val="20"/>
          <w:szCs w:val="20"/>
          <w:lang w:val="en-US"/>
        </w:rPr>
        <w:t>With</w:t>
      </w:r>
      <w:proofErr w:type="gramEnd"/>
      <w:r w:rsidRPr="00471BED">
        <w:rPr>
          <w:rFonts w:ascii="Arial" w:hAnsi="Arial" w:cs="Arial"/>
          <w:sz w:val="20"/>
          <w:szCs w:val="20"/>
          <w:lang w:val="en-US"/>
        </w:rPr>
        <w:t xml:space="preserve"> Type 2 Diabetes and Cardiorenal Diseases. Clinical </w:t>
      </w:r>
      <w:proofErr w:type="gramStart"/>
      <w:r w:rsidRPr="00471BED">
        <w:rPr>
          <w:rFonts w:ascii="Arial" w:hAnsi="Arial" w:cs="Arial"/>
          <w:sz w:val="20"/>
          <w:szCs w:val="20"/>
          <w:lang w:val="en-US"/>
        </w:rPr>
        <w:t>diabetes :</w:t>
      </w:r>
      <w:proofErr w:type="gramEnd"/>
      <w:r w:rsidRPr="00471BED">
        <w:rPr>
          <w:rFonts w:ascii="Arial" w:hAnsi="Arial" w:cs="Arial"/>
          <w:sz w:val="20"/>
          <w:szCs w:val="20"/>
          <w:lang w:val="en-US"/>
        </w:rPr>
        <w:t xml:space="preserve"> a publication of the American Diabetes Association, 40(4), 401–412. </w:t>
      </w:r>
      <w:hyperlink r:id="rId36" w:history="1">
        <w:r w:rsidRPr="00045A39">
          <w:rPr>
            <w:rStyle w:val="Hyperlink"/>
            <w:rFonts w:ascii="Arial" w:hAnsi="Arial" w:cs="Arial"/>
            <w:sz w:val="20"/>
            <w:szCs w:val="20"/>
            <w:lang w:val="en-US"/>
          </w:rPr>
          <w:t>https://doi.org/10.2337/cd21-0119</w:t>
        </w:r>
      </w:hyperlink>
    </w:p>
    <w:bookmarkEnd w:id="4"/>
    <w:bookmarkEnd w:id="5"/>
    <w:p w14:paraId="13D76451" w14:textId="77777777" w:rsidR="006F7C4E" w:rsidRPr="006F7C4E" w:rsidRDefault="006F7C4E" w:rsidP="006F7C4E">
      <w:pPr>
        <w:pStyle w:val="ListParagraph"/>
        <w:numPr>
          <w:ilvl w:val="0"/>
          <w:numId w:val="31"/>
        </w:numPr>
        <w:spacing w:after="0" w:line="240" w:lineRule="auto"/>
        <w:jc w:val="both"/>
        <w:rPr>
          <w:rFonts w:ascii="Arial" w:hAnsi="Arial" w:cs="Arial"/>
          <w:sz w:val="20"/>
          <w:szCs w:val="20"/>
          <w:lang w:val="en-US"/>
        </w:rPr>
      </w:pPr>
      <w:r w:rsidRPr="006F7C4E">
        <w:rPr>
          <w:rFonts w:ascii="Arial" w:hAnsi="Arial" w:cs="Arial"/>
          <w:sz w:val="20"/>
          <w:szCs w:val="20"/>
          <w:lang w:val="en-US"/>
        </w:rPr>
        <w:t xml:space="preserve">Ligon, M. M., Joshi, C. S., </w:t>
      </w:r>
      <w:proofErr w:type="spellStart"/>
      <w:r w:rsidRPr="006F7C4E">
        <w:rPr>
          <w:rFonts w:ascii="Arial" w:hAnsi="Arial" w:cs="Arial"/>
          <w:sz w:val="20"/>
          <w:szCs w:val="20"/>
          <w:lang w:val="en-US"/>
        </w:rPr>
        <w:t>Fashemi</w:t>
      </w:r>
      <w:proofErr w:type="spellEnd"/>
      <w:r w:rsidRPr="006F7C4E">
        <w:rPr>
          <w:rFonts w:ascii="Arial" w:hAnsi="Arial" w:cs="Arial"/>
          <w:sz w:val="20"/>
          <w:szCs w:val="20"/>
          <w:lang w:val="en-US"/>
        </w:rPr>
        <w:t xml:space="preserve">, B. E., Salazar, A. M., &amp; </w:t>
      </w:r>
      <w:proofErr w:type="spellStart"/>
      <w:r w:rsidRPr="006F7C4E">
        <w:rPr>
          <w:rFonts w:ascii="Arial" w:hAnsi="Arial" w:cs="Arial"/>
          <w:sz w:val="20"/>
          <w:szCs w:val="20"/>
          <w:lang w:val="en-US"/>
        </w:rPr>
        <w:t>Mysorekar</w:t>
      </w:r>
      <w:proofErr w:type="spellEnd"/>
      <w:r w:rsidRPr="006F7C4E">
        <w:rPr>
          <w:rFonts w:ascii="Arial" w:hAnsi="Arial" w:cs="Arial"/>
          <w:sz w:val="20"/>
          <w:szCs w:val="20"/>
          <w:lang w:val="en-US"/>
        </w:rPr>
        <w:t xml:space="preserve">, I. U. (2022). Effects of Aging on Urinary Tract Epithelial Homeostasis and Immunity. Developmental Biology, 493, 29. </w:t>
      </w:r>
      <w:hyperlink r:id="rId37" w:history="1">
        <w:r w:rsidRPr="006F7C4E">
          <w:rPr>
            <w:rStyle w:val="Hyperlink"/>
            <w:rFonts w:ascii="Arial" w:hAnsi="Arial" w:cs="Arial"/>
            <w:sz w:val="20"/>
            <w:szCs w:val="20"/>
            <w:lang w:val="en-US"/>
          </w:rPr>
          <w:t>https://doi.org/10.1016/j.ydbio.2022.11.003</w:t>
        </w:r>
      </w:hyperlink>
    </w:p>
    <w:p w14:paraId="5D1E0017"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006EA7">
        <w:rPr>
          <w:rFonts w:ascii="Arial" w:hAnsi="Arial" w:cs="Arial"/>
          <w:sz w:val="20"/>
          <w:szCs w:val="20"/>
          <w:lang w:val="en-US"/>
        </w:rPr>
        <w:t xml:space="preserve">Liu, J. W., Huang, X., Wang, M. K., &amp; Yang, J. S. (2024). Diabetes and susceptibility to COVID-19: Risk factors and preventive and therapeutic strategies. World journal of diabetes, 15(8), 1663–1671. </w:t>
      </w:r>
      <w:hyperlink r:id="rId38" w:history="1">
        <w:r w:rsidRPr="00400BB6">
          <w:rPr>
            <w:rStyle w:val="Hyperlink"/>
            <w:rFonts w:ascii="Arial" w:hAnsi="Arial" w:cs="Arial"/>
            <w:sz w:val="20"/>
            <w:szCs w:val="20"/>
            <w:lang w:val="en-US"/>
          </w:rPr>
          <w:t>https://doi.org/10.4239/wjd.v15.i8.1663</w:t>
        </w:r>
      </w:hyperlink>
    </w:p>
    <w:p w14:paraId="42B85452" w14:textId="77777777" w:rsidR="006F7C4E" w:rsidRDefault="00484917" w:rsidP="006F7C4E">
      <w:pPr>
        <w:pStyle w:val="ListParagraph"/>
        <w:numPr>
          <w:ilvl w:val="0"/>
          <w:numId w:val="31"/>
        </w:numPr>
        <w:spacing w:after="0" w:line="240" w:lineRule="auto"/>
        <w:jc w:val="both"/>
        <w:rPr>
          <w:rFonts w:ascii="Arial" w:hAnsi="Arial" w:cs="Arial"/>
          <w:sz w:val="20"/>
          <w:szCs w:val="20"/>
          <w:lang w:val="en-US"/>
        </w:rPr>
      </w:pPr>
      <w:r w:rsidRPr="006F7C4E">
        <w:rPr>
          <w:rFonts w:ascii="Arial" w:hAnsi="Arial" w:cs="Arial"/>
          <w:sz w:val="20"/>
          <w:szCs w:val="20"/>
          <w:lang w:val="en-US"/>
        </w:rPr>
        <w:t>Lopez-Hernandez D, Brito-Aranda L, Flores-Morales GJ, Ham-Olvera MC, Beltran-Lagunes L, Vazquez-Sanchez A, Health Status and Demographic Characteristics of Patients Attending a Primary Care Unit in Mexico City: A Descriptive Study. CJAST. 2024;43(12):12-26.</w:t>
      </w:r>
    </w:p>
    <w:p w14:paraId="323B0147"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proofErr w:type="spellStart"/>
      <w:r w:rsidRPr="0027297B">
        <w:rPr>
          <w:rFonts w:ascii="Arial" w:hAnsi="Arial" w:cs="Arial"/>
          <w:sz w:val="20"/>
          <w:szCs w:val="20"/>
          <w:lang w:val="en-US"/>
        </w:rPr>
        <w:t>Mezhal</w:t>
      </w:r>
      <w:proofErr w:type="spellEnd"/>
      <w:r w:rsidRPr="0027297B">
        <w:rPr>
          <w:rFonts w:ascii="Arial" w:hAnsi="Arial" w:cs="Arial"/>
          <w:sz w:val="20"/>
          <w:szCs w:val="20"/>
          <w:lang w:val="en-US"/>
        </w:rPr>
        <w:t xml:space="preserve">, F., </w:t>
      </w:r>
      <w:proofErr w:type="spellStart"/>
      <w:r w:rsidRPr="0027297B">
        <w:rPr>
          <w:rFonts w:ascii="Arial" w:hAnsi="Arial" w:cs="Arial"/>
          <w:sz w:val="20"/>
          <w:szCs w:val="20"/>
          <w:lang w:val="en-US"/>
        </w:rPr>
        <w:t>Oulhaj</w:t>
      </w:r>
      <w:proofErr w:type="spellEnd"/>
      <w:r w:rsidRPr="0027297B">
        <w:rPr>
          <w:rFonts w:ascii="Arial" w:hAnsi="Arial" w:cs="Arial"/>
          <w:sz w:val="20"/>
          <w:szCs w:val="20"/>
          <w:lang w:val="en-US"/>
        </w:rPr>
        <w:t xml:space="preserve">, A., Abdulle, A., </w:t>
      </w:r>
      <w:proofErr w:type="spellStart"/>
      <w:r w:rsidRPr="0027297B">
        <w:rPr>
          <w:rFonts w:ascii="Arial" w:hAnsi="Arial" w:cs="Arial"/>
          <w:sz w:val="20"/>
          <w:szCs w:val="20"/>
          <w:lang w:val="en-US"/>
        </w:rPr>
        <w:t>AlJunaibi</w:t>
      </w:r>
      <w:proofErr w:type="spellEnd"/>
      <w:r w:rsidRPr="0027297B">
        <w:rPr>
          <w:rFonts w:ascii="Arial" w:hAnsi="Arial" w:cs="Arial"/>
          <w:sz w:val="20"/>
          <w:szCs w:val="20"/>
          <w:lang w:val="en-US"/>
        </w:rPr>
        <w:t xml:space="preserve">, A., </w:t>
      </w:r>
      <w:proofErr w:type="spellStart"/>
      <w:r w:rsidRPr="0027297B">
        <w:rPr>
          <w:rFonts w:ascii="Arial" w:hAnsi="Arial" w:cs="Arial"/>
          <w:sz w:val="20"/>
          <w:szCs w:val="20"/>
          <w:lang w:val="en-US"/>
        </w:rPr>
        <w:t>Alnaeemi</w:t>
      </w:r>
      <w:proofErr w:type="spellEnd"/>
      <w:r w:rsidRPr="0027297B">
        <w:rPr>
          <w:rFonts w:ascii="Arial" w:hAnsi="Arial" w:cs="Arial"/>
          <w:sz w:val="20"/>
          <w:szCs w:val="20"/>
          <w:lang w:val="en-US"/>
        </w:rPr>
        <w:t xml:space="preserve">, A., Ahmad, A., </w:t>
      </w:r>
      <w:r>
        <w:rPr>
          <w:rFonts w:ascii="Arial" w:hAnsi="Arial" w:cs="Arial"/>
          <w:sz w:val="20"/>
          <w:szCs w:val="20"/>
          <w:lang w:val="en-US"/>
        </w:rPr>
        <w:t>et al</w:t>
      </w:r>
      <w:r w:rsidRPr="0027297B">
        <w:rPr>
          <w:rFonts w:ascii="Arial" w:hAnsi="Arial" w:cs="Arial"/>
          <w:sz w:val="20"/>
          <w:szCs w:val="20"/>
          <w:lang w:val="en-US"/>
        </w:rPr>
        <w:t xml:space="preserve">. (2023). High prevalence of cardiometabolic risk factors amongst young adults in the United Arab Emirates: The UAE Healthy Future Study. BMC Cardiovascular Disorders, 23, 137. </w:t>
      </w:r>
      <w:hyperlink r:id="rId39" w:history="1">
        <w:r w:rsidRPr="00400BB6">
          <w:rPr>
            <w:rStyle w:val="Hyperlink"/>
            <w:rFonts w:ascii="Arial" w:hAnsi="Arial" w:cs="Arial"/>
            <w:sz w:val="20"/>
            <w:szCs w:val="20"/>
            <w:lang w:val="en-US"/>
          </w:rPr>
          <w:t>https://doi.org/10.1186/s12872-023-03165-3</w:t>
        </w:r>
      </w:hyperlink>
    </w:p>
    <w:p w14:paraId="1CACCF3F"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proofErr w:type="spellStart"/>
      <w:r w:rsidRPr="00E367D8">
        <w:rPr>
          <w:rFonts w:ascii="Arial" w:hAnsi="Arial" w:cs="Arial"/>
          <w:sz w:val="20"/>
          <w:szCs w:val="20"/>
          <w:lang w:val="en-US"/>
        </w:rPr>
        <w:lastRenderedPageBreak/>
        <w:t>Mezhal</w:t>
      </w:r>
      <w:proofErr w:type="spellEnd"/>
      <w:r w:rsidRPr="00E367D8">
        <w:rPr>
          <w:rFonts w:ascii="Arial" w:hAnsi="Arial" w:cs="Arial"/>
          <w:sz w:val="20"/>
          <w:szCs w:val="20"/>
          <w:lang w:val="en-US"/>
        </w:rPr>
        <w:t xml:space="preserve">, F., Ahmad, A., Abdulle, A., Leinberger-Jabari, A., </w:t>
      </w:r>
      <w:proofErr w:type="spellStart"/>
      <w:r w:rsidRPr="00E367D8">
        <w:rPr>
          <w:rFonts w:ascii="Arial" w:hAnsi="Arial" w:cs="Arial"/>
          <w:sz w:val="20"/>
          <w:szCs w:val="20"/>
          <w:lang w:val="en-US"/>
        </w:rPr>
        <w:t>AlJunaibi</w:t>
      </w:r>
      <w:proofErr w:type="spellEnd"/>
      <w:r w:rsidRPr="00E367D8">
        <w:rPr>
          <w:rFonts w:ascii="Arial" w:hAnsi="Arial" w:cs="Arial"/>
          <w:sz w:val="20"/>
          <w:szCs w:val="20"/>
          <w:lang w:val="en-US"/>
        </w:rPr>
        <w:t xml:space="preserve">, A., </w:t>
      </w:r>
      <w:proofErr w:type="spellStart"/>
      <w:r w:rsidRPr="00E367D8">
        <w:rPr>
          <w:rFonts w:ascii="Arial" w:hAnsi="Arial" w:cs="Arial"/>
          <w:sz w:val="20"/>
          <w:szCs w:val="20"/>
          <w:lang w:val="en-US"/>
        </w:rPr>
        <w:t>Alnaeemi</w:t>
      </w:r>
      <w:proofErr w:type="spellEnd"/>
      <w:r w:rsidRPr="00E367D8">
        <w:rPr>
          <w:rFonts w:ascii="Arial" w:hAnsi="Arial" w:cs="Arial"/>
          <w:sz w:val="20"/>
          <w:szCs w:val="20"/>
          <w:lang w:val="en-US"/>
        </w:rPr>
        <w:t xml:space="preserve">, A., </w:t>
      </w:r>
      <w:r>
        <w:rPr>
          <w:rFonts w:ascii="Arial" w:hAnsi="Arial" w:cs="Arial"/>
          <w:sz w:val="20"/>
          <w:szCs w:val="20"/>
          <w:lang w:val="en-US"/>
        </w:rPr>
        <w:t>et al</w:t>
      </w:r>
      <w:r w:rsidRPr="00E367D8">
        <w:rPr>
          <w:rFonts w:ascii="Arial" w:hAnsi="Arial" w:cs="Arial"/>
          <w:sz w:val="20"/>
          <w:szCs w:val="20"/>
          <w:lang w:val="en-US"/>
        </w:rPr>
        <w:t xml:space="preserve">. (2025). Association of family history of cardiovascular disease with the prevalence of cardiometabolic risk factors in young adults in the United Arab Emirates: The UAE healthy future study. </w:t>
      </w:r>
      <w:proofErr w:type="spellStart"/>
      <w:r w:rsidRPr="00E367D8">
        <w:rPr>
          <w:rFonts w:ascii="Arial" w:hAnsi="Arial" w:cs="Arial"/>
          <w:sz w:val="20"/>
          <w:szCs w:val="20"/>
          <w:lang w:val="en-US"/>
        </w:rPr>
        <w:t>PloS</w:t>
      </w:r>
      <w:proofErr w:type="spellEnd"/>
      <w:r w:rsidRPr="00E367D8">
        <w:rPr>
          <w:rFonts w:ascii="Arial" w:hAnsi="Arial" w:cs="Arial"/>
          <w:sz w:val="20"/>
          <w:szCs w:val="20"/>
          <w:lang w:val="en-US"/>
        </w:rPr>
        <w:t xml:space="preserve"> one, 20(3), e0319648. </w:t>
      </w:r>
      <w:hyperlink r:id="rId40" w:history="1">
        <w:r w:rsidRPr="00400BB6">
          <w:rPr>
            <w:rStyle w:val="Hyperlink"/>
            <w:rFonts w:ascii="Arial" w:hAnsi="Arial" w:cs="Arial"/>
            <w:sz w:val="20"/>
            <w:szCs w:val="20"/>
            <w:lang w:val="en-US"/>
          </w:rPr>
          <w:t>https://doi.org/10.1371/journal.pone.0319648</w:t>
        </w:r>
      </w:hyperlink>
    </w:p>
    <w:p w14:paraId="7DE42490" w14:textId="77777777" w:rsidR="006D5251" w:rsidRDefault="006D5251" w:rsidP="006F7C4E">
      <w:pPr>
        <w:pStyle w:val="ListParagraph"/>
        <w:numPr>
          <w:ilvl w:val="0"/>
          <w:numId w:val="31"/>
        </w:numPr>
        <w:spacing w:after="0" w:line="240" w:lineRule="auto"/>
        <w:jc w:val="both"/>
        <w:rPr>
          <w:rFonts w:ascii="Arial" w:hAnsi="Arial" w:cs="Arial"/>
          <w:sz w:val="20"/>
          <w:szCs w:val="20"/>
          <w:lang w:val="en-US"/>
        </w:rPr>
      </w:pPr>
      <w:r w:rsidRPr="00CF26F4">
        <w:rPr>
          <w:rFonts w:ascii="Arial" w:hAnsi="Arial" w:cs="Arial"/>
          <w:sz w:val="20"/>
          <w:szCs w:val="20"/>
          <w:lang w:val="en-US"/>
        </w:rPr>
        <w:t xml:space="preserve">Mody, L., &amp; </w:t>
      </w:r>
      <w:proofErr w:type="spellStart"/>
      <w:r w:rsidRPr="00CF26F4">
        <w:rPr>
          <w:rFonts w:ascii="Arial" w:hAnsi="Arial" w:cs="Arial"/>
          <w:sz w:val="20"/>
          <w:szCs w:val="20"/>
          <w:lang w:val="en-US"/>
        </w:rPr>
        <w:t>Juthani</w:t>
      </w:r>
      <w:proofErr w:type="spellEnd"/>
      <w:r w:rsidRPr="00CF26F4">
        <w:rPr>
          <w:rFonts w:ascii="Arial" w:hAnsi="Arial" w:cs="Arial"/>
          <w:sz w:val="20"/>
          <w:szCs w:val="20"/>
          <w:lang w:val="en-US"/>
        </w:rPr>
        <w:t xml:space="preserve">-Mehta, M. (2014). Urinary Tract Infections in Older Women: A Clinical Review. JAMA, 311(8), 844. </w:t>
      </w:r>
      <w:hyperlink r:id="rId41" w:history="1">
        <w:r w:rsidRPr="009F6D5B">
          <w:rPr>
            <w:rStyle w:val="Hyperlink"/>
            <w:rFonts w:ascii="Arial" w:hAnsi="Arial" w:cs="Arial"/>
            <w:sz w:val="20"/>
            <w:szCs w:val="20"/>
            <w:lang w:val="en-US"/>
          </w:rPr>
          <w:t>https://doi.org/10.1001/jama.2014.303</w:t>
        </w:r>
      </w:hyperlink>
    </w:p>
    <w:p w14:paraId="7C9B6A73"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523C08">
        <w:rPr>
          <w:rFonts w:ascii="Arial" w:hAnsi="Arial" w:cs="Arial"/>
          <w:sz w:val="20"/>
          <w:szCs w:val="20"/>
          <w:lang w:val="en-US"/>
        </w:rPr>
        <w:t xml:space="preserve">National Academies of Sciences, Engineering, and Medicine; Health and Medicine Division; Board on Health Care Services; Committee on Implementing High-Quality Primary Care; Robinson SK, </w:t>
      </w:r>
      <w:proofErr w:type="spellStart"/>
      <w:r w:rsidRPr="00523C08">
        <w:rPr>
          <w:rFonts w:ascii="Arial" w:hAnsi="Arial" w:cs="Arial"/>
          <w:sz w:val="20"/>
          <w:szCs w:val="20"/>
          <w:lang w:val="en-US"/>
        </w:rPr>
        <w:t>Meisnere</w:t>
      </w:r>
      <w:proofErr w:type="spellEnd"/>
      <w:r w:rsidRPr="00523C08">
        <w:rPr>
          <w:rFonts w:ascii="Arial" w:hAnsi="Arial" w:cs="Arial"/>
          <w:sz w:val="20"/>
          <w:szCs w:val="20"/>
          <w:lang w:val="en-US"/>
        </w:rPr>
        <w:t xml:space="preserve"> M, Phillips RL Jr., et al., editors.</w:t>
      </w:r>
      <w:r>
        <w:rPr>
          <w:rFonts w:ascii="Arial" w:hAnsi="Arial" w:cs="Arial"/>
          <w:sz w:val="20"/>
          <w:szCs w:val="20"/>
          <w:lang w:val="en-US"/>
        </w:rPr>
        <w:t xml:space="preserve"> (2021).</w:t>
      </w:r>
    </w:p>
    <w:p w14:paraId="3229685F" w14:textId="1B52C1CB" w:rsidR="00A57799" w:rsidRDefault="00A57799" w:rsidP="006F7C4E">
      <w:pPr>
        <w:pStyle w:val="ListParagraph"/>
        <w:numPr>
          <w:ilvl w:val="0"/>
          <w:numId w:val="31"/>
        </w:numPr>
        <w:spacing w:after="0" w:line="240" w:lineRule="auto"/>
        <w:jc w:val="both"/>
        <w:rPr>
          <w:rFonts w:ascii="Arial" w:hAnsi="Arial" w:cs="Arial"/>
          <w:sz w:val="20"/>
          <w:szCs w:val="20"/>
          <w:lang w:val="en-US"/>
        </w:rPr>
      </w:pPr>
      <w:r w:rsidRPr="00A57799">
        <w:rPr>
          <w:rFonts w:ascii="Arial" w:hAnsi="Arial" w:cs="Arial"/>
          <w:sz w:val="20"/>
          <w:szCs w:val="20"/>
          <w:lang w:val="en-US"/>
        </w:rPr>
        <w:t xml:space="preserve">Orlando, V., Monetti, V. M., Mucherino, S., Vaccaro, O., </w:t>
      </w:r>
      <w:proofErr w:type="spellStart"/>
      <w:r w:rsidRPr="00A57799">
        <w:rPr>
          <w:rFonts w:ascii="Arial" w:hAnsi="Arial" w:cs="Arial"/>
          <w:sz w:val="20"/>
          <w:szCs w:val="20"/>
          <w:lang w:val="en-US"/>
        </w:rPr>
        <w:t>Forjaz</w:t>
      </w:r>
      <w:proofErr w:type="spellEnd"/>
      <w:r w:rsidRPr="00A57799">
        <w:rPr>
          <w:rFonts w:ascii="Arial" w:hAnsi="Arial" w:cs="Arial"/>
          <w:sz w:val="20"/>
          <w:szCs w:val="20"/>
          <w:lang w:val="en-US"/>
        </w:rPr>
        <w:t xml:space="preserve">, M. J., </w:t>
      </w:r>
      <w:proofErr w:type="spellStart"/>
      <w:r w:rsidRPr="00A57799">
        <w:rPr>
          <w:rFonts w:ascii="Arial" w:hAnsi="Arial" w:cs="Arial"/>
          <w:sz w:val="20"/>
          <w:szCs w:val="20"/>
          <w:lang w:val="en-US"/>
        </w:rPr>
        <w:t>Poblador</w:t>
      </w:r>
      <w:proofErr w:type="spellEnd"/>
      <w:r w:rsidRPr="00A57799">
        <w:rPr>
          <w:rFonts w:ascii="Arial" w:hAnsi="Arial" w:cs="Arial"/>
          <w:sz w:val="20"/>
          <w:szCs w:val="20"/>
          <w:lang w:val="en-US"/>
        </w:rPr>
        <w:t xml:space="preserve"> </w:t>
      </w:r>
      <w:proofErr w:type="spellStart"/>
      <w:r w:rsidRPr="00A57799">
        <w:rPr>
          <w:rFonts w:ascii="Arial" w:hAnsi="Arial" w:cs="Arial"/>
          <w:sz w:val="20"/>
          <w:szCs w:val="20"/>
          <w:lang w:val="en-US"/>
        </w:rPr>
        <w:t>Plou</w:t>
      </w:r>
      <w:proofErr w:type="spellEnd"/>
      <w:r w:rsidRPr="00A57799">
        <w:rPr>
          <w:rFonts w:ascii="Arial" w:hAnsi="Arial" w:cs="Arial"/>
          <w:sz w:val="20"/>
          <w:szCs w:val="20"/>
          <w:lang w:val="en-US"/>
        </w:rPr>
        <w:t xml:space="preserve">, B., Riccardi, G., &amp; Menditto, E. (2020). Comorbidity in an Older Population with Type-2 Diabetes Mellitus: Identification of the Characteristics and Healthcare Utilization of High-Cost Patients. Frontiers in Pharmacology, 11, 586187. </w:t>
      </w:r>
      <w:hyperlink r:id="rId42" w:history="1">
        <w:r w:rsidRPr="00D73D9E">
          <w:rPr>
            <w:rStyle w:val="Hyperlink"/>
            <w:rFonts w:ascii="Arial" w:hAnsi="Arial" w:cs="Arial"/>
            <w:sz w:val="20"/>
            <w:szCs w:val="20"/>
            <w:lang w:val="en-US"/>
          </w:rPr>
          <w:t>https://doi.org/10.3389/fphar.2020.586187</w:t>
        </w:r>
      </w:hyperlink>
    </w:p>
    <w:p w14:paraId="2634E5CA" w14:textId="77777777" w:rsidR="008126F3" w:rsidRDefault="008126F3" w:rsidP="008126F3">
      <w:pPr>
        <w:pStyle w:val="ListParagraph"/>
        <w:numPr>
          <w:ilvl w:val="0"/>
          <w:numId w:val="31"/>
        </w:numPr>
        <w:spacing w:after="0" w:line="240" w:lineRule="auto"/>
        <w:jc w:val="both"/>
        <w:rPr>
          <w:rFonts w:ascii="Arial" w:hAnsi="Arial" w:cs="Arial"/>
          <w:sz w:val="20"/>
          <w:szCs w:val="20"/>
          <w:lang w:val="en-US"/>
        </w:rPr>
      </w:pPr>
      <w:r w:rsidRPr="004F6D11">
        <w:rPr>
          <w:rFonts w:ascii="Arial" w:hAnsi="Arial" w:cs="Arial"/>
          <w:sz w:val="20"/>
          <w:szCs w:val="20"/>
          <w:lang w:val="en-US"/>
        </w:rPr>
        <w:t xml:space="preserve">Park, J. H., Moon, J. H., Kim, H. J., Kong, M. H., &amp; Oh, Y. H. (2020). Sedentary Lifestyle: Overview of Updated Evidence of Potential Health Risks. Korean journal of family medicine, 41(6), 365–373. </w:t>
      </w:r>
      <w:hyperlink r:id="rId43" w:history="1">
        <w:r w:rsidRPr="00045A39">
          <w:rPr>
            <w:rStyle w:val="Hyperlink"/>
            <w:rFonts w:ascii="Arial" w:hAnsi="Arial" w:cs="Arial"/>
            <w:sz w:val="20"/>
            <w:szCs w:val="20"/>
            <w:lang w:val="en-US"/>
          </w:rPr>
          <w:t>https://doi.org/10.4082/kjfm.20.0165</w:t>
        </w:r>
      </w:hyperlink>
    </w:p>
    <w:p w14:paraId="1A7FA16E" w14:textId="1C398261" w:rsidR="0070700F" w:rsidRDefault="00A57799" w:rsidP="006F7C4E">
      <w:pPr>
        <w:pStyle w:val="ListParagraph"/>
        <w:numPr>
          <w:ilvl w:val="0"/>
          <w:numId w:val="31"/>
        </w:numPr>
        <w:spacing w:after="0" w:line="240" w:lineRule="auto"/>
        <w:jc w:val="both"/>
        <w:rPr>
          <w:rFonts w:ascii="Arial" w:hAnsi="Arial" w:cs="Arial"/>
          <w:sz w:val="20"/>
          <w:szCs w:val="20"/>
          <w:lang w:val="en-US"/>
        </w:rPr>
      </w:pPr>
      <w:r w:rsidRPr="00A57799">
        <w:rPr>
          <w:rFonts w:ascii="Arial" w:hAnsi="Arial" w:cs="Arial"/>
          <w:sz w:val="20"/>
          <w:szCs w:val="20"/>
          <w:lang w:val="en-US"/>
        </w:rPr>
        <w:t>Pearson-</w:t>
      </w:r>
      <w:proofErr w:type="spellStart"/>
      <w:r w:rsidRPr="00A57799">
        <w:rPr>
          <w:rFonts w:ascii="Arial" w:hAnsi="Arial" w:cs="Arial"/>
          <w:sz w:val="20"/>
          <w:szCs w:val="20"/>
          <w:lang w:val="en-US"/>
        </w:rPr>
        <w:t>Stuttard</w:t>
      </w:r>
      <w:proofErr w:type="spellEnd"/>
      <w:r w:rsidRPr="00A57799">
        <w:rPr>
          <w:rFonts w:ascii="Arial" w:hAnsi="Arial" w:cs="Arial"/>
          <w:sz w:val="20"/>
          <w:szCs w:val="20"/>
          <w:lang w:val="en-US"/>
        </w:rPr>
        <w:t xml:space="preserve">, J., Holloway, S., Polya, R., Sloan, R., Zhang, L., Gregg, E. W., Harrison, K., Elvidge, J., Jonsson, P., &amp; Porter, T. (2022). Variations in comorbidity burden in people with type 2 diabetes over disease duration: A population-based analysis of </w:t>
      </w:r>
      <w:proofErr w:type="gramStart"/>
      <w:r w:rsidRPr="00A57799">
        <w:rPr>
          <w:rFonts w:ascii="Arial" w:hAnsi="Arial" w:cs="Arial"/>
          <w:sz w:val="20"/>
          <w:szCs w:val="20"/>
          <w:lang w:val="en-US"/>
        </w:rPr>
        <w:t>real world</w:t>
      </w:r>
      <w:proofErr w:type="gramEnd"/>
      <w:r w:rsidRPr="00A57799">
        <w:rPr>
          <w:rFonts w:ascii="Arial" w:hAnsi="Arial" w:cs="Arial"/>
          <w:sz w:val="20"/>
          <w:szCs w:val="20"/>
          <w:lang w:val="en-US"/>
        </w:rPr>
        <w:t xml:space="preserve"> evidence. </w:t>
      </w:r>
      <w:proofErr w:type="spellStart"/>
      <w:r w:rsidRPr="00A57799">
        <w:rPr>
          <w:rFonts w:ascii="Arial" w:hAnsi="Arial" w:cs="Arial"/>
          <w:sz w:val="20"/>
          <w:szCs w:val="20"/>
          <w:lang w:val="en-US"/>
        </w:rPr>
        <w:t>EClinicalMedicine</w:t>
      </w:r>
      <w:proofErr w:type="spellEnd"/>
      <w:r w:rsidRPr="00A57799">
        <w:rPr>
          <w:rFonts w:ascii="Arial" w:hAnsi="Arial" w:cs="Arial"/>
          <w:sz w:val="20"/>
          <w:szCs w:val="20"/>
          <w:lang w:val="en-US"/>
        </w:rPr>
        <w:t xml:space="preserve">, 52, 101584. </w:t>
      </w:r>
      <w:hyperlink r:id="rId44" w:history="1">
        <w:r w:rsidRPr="00D73D9E">
          <w:rPr>
            <w:rStyle w:val="Hyperlink"/>
            <w:rFonts w:ascii="Arial" w:hAnsi="Arial" w:cs="Arial"/>
            <w:sz w:val="20"/>
            <w:szCs w:val="20"/>
            <w:lang w:val="en-US"/>
          </w:rPr>
          <w:t>https://doi.org/10.1016/j.eclinm.2022.101584</w:t>
        </w:r>
      </w:hyperlink>
    </w:p>
    <w:p w14:paraId="64FB336E"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B539D5">
        <w:rPr>
          <w:rFonts w:ascii="Arial" w:hAnsi="Arial" w:cs="Arial"/>
          <w:sz w:val="20"/>
          <w:szCs w:val="20"/>
          <w:lang w:val="en-US"/>
        </w:rPr>
        <w:t xml:space="preserve">Petersen, P. E., &amp; Kwan, S. (2011). Equity, social determinants and public health </w:t>
      </w:r>
      <w:proofErr w:type="spellStart"/>
      <w:r w:rsidRPr="00B539D5">
        <w:rPr>
          <w:rFonts w:ascii="Arial" w:hAnsi="Arial" w:cs="Arial"/>
          <w:sz w:val="20"/>
          <w:szCs w:val="20"/>
          <w:lang w:val="en-US"/>
        </w:rPr>
        <w:t>programmes</w:t>
      </w:r>
      <w:proofErr w:type="spellEnd"/>
      <w:r w:rsidRPr="00B539D5">
        <w:rPr>
          <w:rFonts w:ascii="Arial" w:hAnsi="Arial" w:cs="Arial"/>
          <w:sz w:val="20"/>
          <w:szCs w:val="20"/>
          <w:lang w:val="en-US"/>
        </w:rPr>
        <w:t xml:space="preserve">--the case of oral health. Community dentistry and oral epidemiology, 39(6), 481–487. </w:t>
      </w:r>
      <w:hyperlink r:id="rId45" w:history="1">
        <w:r w:rsidRPr="00045A39">
          <w:rPr>
            <w:rStyle w:val="Hyperlink"/>
            <w:rFonts w:ascii="Arial" w:hAnsi="Arial" w:cs="Arial"/>
            <w:sz w:val="20"/>
            <w:szCs w:val="20"/>
            <w:lang w:val="en-US"/>
          </w:rPr>
          <w:t>https://doi.org/10.1111/j.1600-0528.2011.00623.x</w:t>
        </w:r>
      </w:hyperlink>
    </w:p>
    <w:p w14:paraId="4219E857" w14:textId="5283DC5F" w:rsidR="00E367D8" w:rsidRDefault="00DC22D4" w:rsidP="006F7C4E">
      <w:pPr>
        <w:pStyle w:val="ListParagraph"/>
        <w:numPr>
          <w:ilvl w:val="0"/>
          <w:numId w:val="31"/>
        </w:numPr>
        <w:spacing w:after="0" w:line="240" w:lineRule="auto"/>
        <w:jc w:val="both"/>
        <w:rPr>
          <w:rFonts w:ascii="Arial" w:hAnsi="Arial" w:cs="Arial"/>
          <w:sz w:val="20"/>
          <w:szCs w:val="20"/>
          <w:lang w:val="en-US"/>
        </w:rPr>
      </w:pPr>
      <w:r w:rsidRPr="00DC22D4">
        <w:rPr>
          <w:rFonts w:ascii="Arial" w:hAnsi="Arial" w:cs="Arial"/>
          <w:sz w:val="20"/>
          <w:szCs w:val="20"/>
          <w:lang w:val="en-US"/>
        </w:rPr>
        <w:t xml:space="preserve">Radchenko, A. O., &amp; Kolesnikova, O. V. (2021). Prevalence of cardiometabolic risk factors in patients with hypertension and subclinical hypothyroidism. </w:t>
      </w:r>
      <w:proofErr w:type="spellStart"/>
      <w:r w:rsidRPr="00DC22D4">
        <w:rPr>
          <w:rFonts w:ascii="Arial" w:hAnsi="Arial" w:cs="Arial"/>
          <w:sz w:val="20"/>
          <w:szCs w:val="20"/>
          <w:lang w:val="en-US"/>
        </w:rPr>
        <w:t>Zaporozhye</w:t>
      </w:r>
      <w:proofErr w:type="spellEnd"/>
      <w:r w:rsidRPr="00DC22D4">
        <w:rPr>
          <w:rFonts w:ascii="Arial" w:hAnsi="Arial" w:cs="Arial"/>
          <w:sz w:val="20"/>
          <w:szCs w:val="20"/>
          <w:lang w:val="en-US"/>
        </w:rPr>
        <w:t xml:space="preserve"> Medical Journal, 23(6), 800–805. </w:t>
      </w:r>
      <w:hyperlink r:id="rId46" w:history="1">
        <w:r w:rsidRPr="00400BB6">
          <w:rPr>
            <w:rStyle w:val="Hyperlink"/>
            <w:rFonts w:ascii="Arial" w:hAnsi="Arial" w:cs="Arial"/>
            <w:sz w:val="20"/>
            <w:szCs w:val="20"/>
            <w:lang w:val="en-US"/>
          </w:rPr>
          <w:t>https://doi.org/10.14739/2310-1210.2021.6.232495</w:t>
        </w:r>
      </w:hyperlink>
    </w:p>
    <w:p w14:paraId="62110D2E"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2C5613">
        <w:rPr>
          <w:rFonts w:ascii="Arial" w:hAnsi="Arial" w:cs="Arial"/>
          <w:sz w:val="20"/>
          <w:szCs w:val="20"/>
          <w:lang w:val="en-US"/>
        </w:rPr>
        <w:t xml:space="preserve">Rizos, C. V., Elisaf, M. S., &amp; </w:t>
      </w:r>
      <w:proofErr w:type="spellStart"/>
      <w:r w:rsidRPr="002C5613">
        <w:rPr>
          <w:rFonts w:ascii="Arial" w:hAnsi="Arial" w:cs="Arial"/>
          <w:sz w:val="20"/>
          <w:szCs w:val="20"/>
          <w:lang w:val="en-US"/>
        </w:rPr>
        <w:t>Liberopoulos</w:t>
      </w:r>
      <w:proofErr w:type="spellEnd"/>
      <w:r w:rsidRPr="002C5613">
        <w:rPr>
          <w:rFonts w:ascii="Arial" w:hAnsi="Arial" w:cs="Arial"/>
          <w:sz w:val="20"/>
          <w:szCs w:val="20"/>
          <w:lang w:val="en-US"/>
        </w:rPr>
        <w:t xml:space="preserve">, E. N. (2011). Effects of thyroid dysfunction on lipid profile. The open cardiovascular medicine journal, 5, 76–84. </w:t>
      </w:r>
      <w:hyperlink r:id="rId47" w:history="1">
        <w:r w:rsidRPr="00400BB6">
          <w:rPr>
            <w:rStyle w:val="Hyperlink"/>
            <w:rFonts w:ascii="Arial" w:hAnsi="Arial" w:cs="Arial"/>
            <w:sz w:val="20"/>
            <w:szCs w:val="20"/>
            <w:lang w:val="en-US"/>
          </w:rPr>
          <w:t>https://doi.org/10.2174/1874192401105010076</w:t>
        </w:r>
      </w:hyperlink>
    </w:p>
    <w:p w14:paraId="61441B3D" w14:textId="32982B76" w:rsidR="009A5EEA" w:rsidRDefault="005E5C68" w:rsidP="006F7C4E">
      <w:pPr>
        <w:pStyle w:val="ListParagraph"/>
        <w:numPr>
          <w:ilvl w:val="0"/>
          <w:numId w:val="31"/>
        </w:numPr>
        <w:spacing w:after="0" w:line="240" w:lineRule="auto"/>
        <w:jc w:val="both"/>
        <w:rPr>
          <w:rFonts w:ascii="Arial" w:hAnsi="Arial" w:cs="Arial"/>
          <w:sz w:val="20"/>
          <w:szCs w:val="20"/>
          <w:lang w:val="en-US"/>
        </w:rPr>
      </w:pPr>
      <w:r w:rsidRPr="005E5C68">
        <w:rPr>
          <w:rFonts w:ascii="Arial" w:hAnsi="Arial" w:cs="Arial"/>
          <w:sz w:val="20"/>
          <w:szCs w:val="20"/>
          <w:lang w:val="en-US"/>
        </w:rPr>
        <w:t xml:space="preserve">Sheen, J., &amp; Sheu, W. H. (2014). Risks of rapid decline renal function in patients with type 2 diabetes. World Journal of Diabetes, 5(6), 835. </w:t>
      </w:r>
      <w:hyperlink r:id="rId48" w:history="1">
        <w:r w:rsidRPr="00400BB6">
          <w:rPr>
            <w:rStyle w:val="Hyperlink"/>
            <w:rFonts w:ascii="Arial" w:hAnsi="Arial" w:cs="Arial"/>
            <w:sz w:val="20"/>
            <w:szCs w:val="20"/>
            <w:lang w:val="en-US"/>
          </w:rPr>
          <w:t>https://doi.org/10.4239/wjd.v5.i6.835</w:t>
        </w:r>
      </w:hyperlink>
    </w:p>
    <w:p w14:paraId="1D74C29C" w14:textId="77777777" w:rsidR="006D5251" w:rsidRPr="006D5251" w:rsidRDefault="006D5251" w:rsidP="006F7C4E">
      <w:pPr>
        <w:pStyle w:val="ListParagraph"/>
        <w:numPr>
          <w:ilvl w:val="0"/>
          <w:numId w:val="31"/>
        </w:numPr>
        <w:spacing w:after="0" w:line="240" w:lineRule="auto"/>
        <w:jc w:val="both"/>
        <w:rPr>
          <w:rFonts w:ascii="Arial" w:hAnsi="Arial" w:cs="Arial"/>
          <w:sz w:val="20"/>
          <w:szCs w:val="20"/>
          <w:lang w:val="en-US"/>
        </w:rPr>
      </w:pPr>
      <w:proofErr w:type="spellStart"/>
      <w:r w:rsidRPr="00471BED">
        <w:rPr>
          <w:rFonts w:ascii="Arial" w:hAnsi="Arial" w:cs="Arial"/>
          <w:sz w:val="20"/>
          <w:szCs w:val="20"/>
          <w:lang w:val="en-US"/>
        </w:rPr>
        <w:t>Vlacho</w:t>
      </w:r>
      <w:proofErr w:type="spellEnd"/>
      <w:r w:rsidRPr="00471BED">
        <w:rPr>
          <w:rFonts w:ascii="Arial" w:hAnsi="Arial" w:cs="Arial"/>
          <w:sz w:val="20"/>
          <w:szCs w:val="20"/>
          <w:lang w:val="en-US"/>
        </w:rPr>
        <w:t>, B., Fernandez-</w:t>
      </w:r>
      <w:proofErr w:type="spellStart"/>
      <w:r w:rsidRPr="00471BED">
        <w:rPr>
          <w:rFonts w:ascii="Arial" w:hAnsi="Arial" w:cs="Arial"/>
          <w:sz w:val="20"/>
          <w:szCs w:val="20"/>
          <w:lang w:val="en-US"/>
        </w:rPr>
        <w:t>Camins</w:t>
      </w:r>
      <w:proofErr w:type="spellEnd"/>
      <w:r w:rsidRPr="00471BED">
        <w:rPr>
          <w:rFonts w:ascii="Arial" w:hAnsi="Arial" w:cs="Arial"/>
          <w:sz w:val="20"/>
          <w:szCs w:val="20"/>
          <w:lang w:val="en-US"/>
        </w:rPr>
        <w:t xml:space="preserve">, B., </w:t>
      </w:r>
      <w:proofErr w:type="spellStart"/>
      <w:r w:rsidRPr="00471BED">
        <w:rPr>
          <w:rFonts w:ascii="Arial" w:hAnsi="Arial" w:cs="Arial"/>
          <w:sz w:val="20"/>
          <w:szCs w:val="20"/>
          <w:lang w:val="en-US"/>
        </w:rPr>
        <w:t>Canudas</w:t>
      </w:r>
      <w:proofErr w:type="spellEnd"/>
      <w:r w:rsidRPr="00471BED">
        <w:rPr>
          <w:rFonts w:ascii="Arial" w:hAnsi="Arial" w:cs="Arial"/>
          <w:sz w:val="20"/>
          <w:szCs w:val="20"/>
          <w:lang w:val="en-US"/>
        </w:rPr>
        <w:t xml:space="preserve">-Ventura, A., Rodríguez, A., Mollo, À., Cos </w:t>
      </w:r>
      <w:proofErr w:type="spellStart"/>
      <w:r w:rsidRPr="00471BED">
        <w:rPr>
          <w:rFonts w:ascii="Arial" w:hAnsi="Arial" w:cs="Arial"/>
          <w:sz w:val="20"/>
          <w:szCs w:val="20"/>
          <w:lang w:val="en-US"/>
        </w:rPr>
        <w:t>Claramunt</w:t>
      </w:r>
      <w:proofErr w:type="spellEnd"/>
      <w:r w:rsidRPr="00471BED">
        <w:rPr>
          <w:rFonts w:ascii="Arial" w:hAnsi="Arial" w:cs="Arial"/>
          <w:sz w:val="20"/>
          <w:szCs w:val="20"/>
          <w:lang w:val="en-US"/>
        </w:rPr>
        <w:t xml:space="preserve">, F. X., </w:t>
      </w:r>
      <w:proofErr w:type="spellStart"/>
      <w:r w:rsidRPr="00471BED">
        <w:rPr>
          <w:rFonts w:ascii="Arial" w:hAnsi="Arial" w:cs="Arial"/>
          <w:sz w:val="20"/>
          <w:szCs w:val="20"/>
          <w:lang w:val="en-US"/>
        </w:rPr>
        <w:t>Antentas</w:t>
      </w:r>
      <w:proofErr w:type="spellEnd"/>
      <w:r w:rsidRPr="00471BED">
        <w:rPr>
          <w:rFonts w:ascii="Arial" w:hAnsi="Arial" w:cs="Arial"/>
          <w:sz w:val="20"/>
          <w:szCs w:val="20"/>
          <w:lang w:val="en-US"/>
        </w:rPr>
        <w:t xml:space="preserve">, M., Mauricio, D., &amp; Franch-Nadal, J. (2024). Performance of Primary Care Physicians in the Management of Glycemia, Lipids, and Blood Pressure among People with Type 2 Diabetes: A Cross-Sectional Study. Journal of clinical medicine, 13(6), 1544. </w:t>
      </w:r>
      <w:hyperlink r:id="rId49" w:history="1">
        <w:r w:rsidRPr="00045A39">
          <w:rPr>
            <w:rStyle w:val="Hyperlink"/>
            <w:rFonts w:ascii="Arial" w:hAnsi="Arial" w:cs="Arial"/>
            <w:sz w:val="20"/>
            <w:szCs w:val="20"/>
            <w:lang w:val="en-US"/>
          </w:rPr>
          <w:t>https://doi.org/10.3390/jcm13061544</w:t>
        </w:r>
      </w:hyperlink>
    </w:p>
    <w:p w14:paraId="2BE402CF" w14:textId="77777777" w:rsidR="006F7C4E" w:rsidRDefault="006F7C4E" w:rsidP="006F7C4E">
      <w:pPr>
        <w:pStyle w:val="ListParagraph"/>
        <w:numPr>
          <w:ilvl w:val="0"/>
          <w:numId w:val="31"/>
        </w:numPr>
        <w:spacing w:after="0" w:line="240" w:lineRule="auto"/>
        <w:jc w:val="both"/>
        <w:rPr>
          <w:rFonts w:ascii="Arial" w:hAnsi="Arial" w:cs="Arial"/>
          <w:sz w:val="20"/>
          <w:szCs w:val="20"/>
          <w:lang w:val="en-US"/>
        </w:rPr>
      </w:pPr>
      <w:r w:rsidRPr="00A57799">
        <w:rPr>
          <w:rFonts w:ascii="Arial" w:hAnsi="Arial" w:cs="Arial"/>
          <w:sz w:val="20"/>
          <w:szCs w:val="20"/>
          <w:lang w:val="en-US"/>
        </w:rPr>
        <w:t xml:space="preserve">Yen, H., Lee, S., Lin, C., Lee, T., Yamaguchi, Y., &amp; Lee, P. (2023). Complications and comorbidities as influencing factors of health outcomes in older adults with type 2 diabetes mellitus. Collegian, 30(2), 230-235. </w:t>
      </w:r>
      <w:hyperlink r:id="rId50" w:history="1">
        <w:r w:rsidRPr="00A57799">
          <w:rPr>
            <w:rStyle w:val="Hyperlink"/>
            <w:rFonts w:ascii="Arial" w:hAnsi="Arial" w:cs="Arial"/>
            <w:sz w:val="20"/>
            <w:szCs w:val="20"/>
            <w:lang w:val="en-US"/>
          </w:rPr>
          <w:t>https://doi.org/10.1016/j.colegn.2022.08.010</w:t>
        </w:r>
      </w:hyperlink>
    </w:p>
    <w:p w14:paraId="632A1339" w14:textId="77777777" w:rsidR="006F7C4E" w:rsidRPr="006D5251" w:rsidRDefault="006F7C4E" w:rsidP="006F7C4E">
      <w:pPr>
        <w:pStyle w:val="ListParagraph"/>
        <w:numPr>
          <w:ilvl w:val="0"/>
          <w:numId w:val="31"/>
        </w:numPr>
        <w:spacing w:after="0" w:line="240" w:lineRule="auto"/>
        <w:jc w:val="both"/>
        <w:rPr>
          <w:rFonts w:ascii="Arial" w:hAnsi="Arial" w:cs="Arial"/>
          <w:sz w:val="20"/>
          <w:szCs w:val="20"/>
          <w:lang w:val="en-US"/>
        </w:rPr>
      </w:pPr>
      <w:r w:rsidRPr="00E5425A">
        <w:rPr>
          <w:rFonts w:ascii="Arial" w:hAnsi="Arial" w:cs="Arial"/>
          <w:sz w:val="20"/>
          <w:szCs w:val="20"/>
          <w:lang w:val="en-US"/>
        </w:rPr>
        <w:t xml:space="preserve">Yoshida, Y., Chen, Z., Fonseca, V. A., &amp; Mauvais-Jarvis, F. (2023). Sex Differences in Cardiovascular Risk Associated </w:t>
      </w:r>
      <w:proofErr w:type="gramStart"/>
      <w:r w:rsidRPr="00E5425A">
        <w:rPr>
          <w:rFonts w:ascii="Arial" w:hAnsi="Arial" w:cs="Arial"/>
          <w:sz w:val="20"/>
          <w:szCs w:val="20"/>
          <w:lang w:val="en-US"/>
        </w:rPr>
        <w:t>With</w:t>
      </w:r>
      <w:proofErr w:type="gramEnd"/>
      <w:r w:rsidRPr="00E5425A">
        <w:rPr>
          <w:rFonts w:ascii="Arial" w:hAnsi="Arial" w:cs="Arial"/>
          <w:sz w:val="20"/>
          <w:szCs w:val="20"/>
          <w:lang w:val="en-US"/>
        </w:rPr>
        <w:t xml:space="preserve"> Prediabetes and Undiagnosed Diabetes. American Journal of Preventive Medicine, 65(5), 854-862. </w:t>
      </w:r>
      <w:hyperlink r:id="rId51" w:history="1">
        <w:r w:rsidRPr="009F6D5B">
          <w:rPr>
            <w:rStyle w:val="Hyperlink"/>
            <w:rFonts w:ascii="Arial" w:hAnsi="Arial" w:cs="Arial"/>
            <w:sz w:val="20"/>
            <w:szCs w:val="20"/>
            <w:lang w:val="en-US"/>
          </w:rPr>
          <w:t>https://doi.org/10.1016/j.amepre.2023.05.011</w:t>
        </w:r>
      </w:hyperlink>
    </w:p>
    <w:p w14:paraId="7DC3553D" w14:textId="35E86150" w:rsidR="006F7C4E" w:rsidRPr="006F7C4E" w:rsidRDefault="006F7C4E" w:rsidP="006F7C4E">
      <w:pPr>
        <w:pStyle w:val="ListParagraph"/>
        <w:numPr>
          <w:ilvl w:val="0"/>
          <w:numId w:val="31"/>
        </w:numPr>
        <w:spacing w:after="0" w:line="240" w:lineRule="auto"/>
        <w:jc w:val="both"/>
        <w:rPr>
          <w:rFonts w:ascii="Arial" w:hAnsi="Arial" w:cs="Arial"/>
          <w:sz w:val="20"/>
          <w:szCs w:val="20"/>
          <w:lang w:val="en-US"/>
        </w:rPr>
      </w:pPr>
      <w:r w:rsidRPr="007409F2">
        <w:rPr>
          <w:rFonts w:ascii="Arial" w:hAnsi="Arial" w:cs="Arial"/>
          <w:sz w:val="20"/>
          <w:szCs w:val="20"/>
          <w:lang w:val="en-US"/>
        </w:rPr>
        <w:t xml:space="preserve">Zargham, M., Hajian, M. R., Alizadeh, F., Eslami, M. J., Khalili Boroujeni, N., &amp; Gholipour, F. (2022). Hypothyroidism is prevalent among adult women with chronic lower urinary tract symptoms. Lower urinary tract symptoms, 14(4), 248–254. </w:t>
      </w:r>
      <w:hyperlink r:id="rId52" w:history="1">
        <w:r w:rsidRPr="00400BB6">
          <w:rPr>
            <w:rStyle w:val="Hyperlink"/>
            <w:rFonts w:ascii="Arial" w:hAnsi="Arial" w:cs="Arial"/>
            <w:sz w:val="20"/>
            <w:szCs w:val="20"/>
            <w:lang w:val="en-US"/>
          </w:rPr>
          <w:t>https://doi.org/10.1111/luts.12428</w:t>
        </w:r>
      </w:hyperlink>
    </w:p>
    <w:sectPr w:rsidR="006F7C4E" w:rsidRPr="006F7C4E" w:rsidSect="00EA4BA5">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30562" w14:textId="77777777" w:rsidR="00734396" w:rsidRDefault="00734396">
      <w:pPr>
        <w:spacing w:after="0" w:line="240" w:lineRule="auto"/>
      </w:pPr>
      <w:r>
        <w:separator/>
      </w:r>
    </w:p>
  </w:endnote>
  <w:endnote w:type="continuationSeparator" w:id="0">
    <w:p w14:paraId="3950F99E" w14:textId="77777777" w:rsidR="00734396" w:rsidRDefault="00734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B07F" w14:textId="77777777" w:rsidR="00EA4BA5" w:rsidRDefault="00EA4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1A07C" w14:textId="77777777" w:rsidR="00EA4BA5" w:rsidRDefault="00EA4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C2B6C" w14:textId="2979AA68" w:rsidR="002321D1" w:rsidRPr="00EA4BA5" w:rsidRDefault="002321D1" w:rsidP="00EA4BA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60018" w14:textId="77777777" w:rsidR="00734396" w:rsidRDefault="00734396">
      <w:pPr>
        <w:spacing w:after="0" w:line="240" w:lineRule="auto"/>
      </w:pPr>
      <w:r>
        <w:separator/>
      </w:r>
    </w:p>
  </w:footnote>
  <w:footnote w:type="continuationSeparator" w:id="0">
    <w:p w14:paraId="0C892F42" w14:textId="77777777" w:rsidR="00734396" w:rsidRDefault="00734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E4C1" w14:textId="0B07870C" w:rsidR="00EA4BA5" w:rsidRDefault="00EA4BA5">
    <w:pPr>
      <w:pStyle w:val="Header"/>
    </w:pPr>
    <w:r>
      <w:rPr>
        <w:noProof/>
      </w:rPr>
      <w:pict w14:anchorId="497E3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86141"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3CA1" w14:textId="0283D328" w:rsidR="00EA4BA5" w:rsidRDefault="00EA4BA5">
    <w:pPr>
      <w:pStyle w:val="Header"/>
    </w:pPr>
    <w:r>
      <w:rPr>
        <w:noProof/>
      </w:rPr>
      <w:pict w14:anchorId="7C346E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86142"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723C" w14:textId="4F326190" w:rsidR="002321D1" w:rsidRPr="0054404D" w:rsidRDefault="00EA4BA5" w:rsidP="00296529">
    <w:pPr>
      <w:ind w:left="2160"/>
      <w:jc w:val="center"/>
      <w:rPr>
        <w:rFonts w:ascii="Times New Roman" w:eastAsia="Calibri" w:hAnsi="Times New Roman"/>
        <w:i/>
        <w:sz w:val="18"/>
        <w:szCs w:val="22"/>
      </w:rPr>
    </w:pPr>
    <w:r>
      <w:rPr>
        <w:noProof/>
      </w:rPr>
      <w:pict w14:anchorId="1C42F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86140" o:spid="_x0000_s2049" type="#_x0000_t136" style="position:absolute;left:0;text-align:left;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A0255F1" w14:textId="77777777" w:rsidR="002321D1" w:rsidRPr="0054404D" w:rsidRDefault="00BE5D05" w:rsidP="00296529">
    <w:pPr>
      <w:ind w:left="4320"/>
      <w:rPr>
        <w:rFonts w:ascii="Times New Roman" w:eastAsia="Calibri" w:hAnsi="Times New Roman"/>
        <w:i/>
        <w:sz w:val="18"/>
        <w:szCs w:val="22"/>
      </w:rPr>
    </w:pPr>
    <w:r w:rsidRPr="0054404D">
      <w:rPr>
        <w:rFonts w:ascii="Times New Roman" w:eastAsia="Calibri" w:hAnsi="Times New Roman"/>
        <w:i/>
        <w:sz w:val="18"/>
        <w:szCs w:val="22"/>
      </w:rPr>
      <w:t xml:space="preserve">.     </w:t>
    </w:r>
  </w:p>
  <w:p w14:paraId="06A7D8D8" w14:textId="77777777" w:rsidR="002321D1" w:rsidRPr="0054404D" w:rsidRDefault="00BE5D05" w:rsidP="00296529">
    <w:pPr>
      <w:jc w:val="center"/>
      <w:rPr>
        <w:rFonts w:ascii="Times New Roman" w:eastAsia="Calibri" w:hAnsi="Times New Roman"/>
        <w:i/>
        <w:sz w:val="18"/>
        <w:szCs w:val="22"/>
      </w:rPr>
    </w:pPr>
    <w:r w:rsidRPr="0054404D">
      <w:rPr>
        <w:rFonts w:ascii="Times New Roman" w:eastAsia="Calibri" w:hAnsi="Times New Roman"/>
        <w:i/>
        <w:sz w:val="18"/>
        <w:szCs w:val="22"/>
      </w:rPr>
      <w:t>.</w:t>
    </w:r>
  </w:p>
  <w:p w14:paraId="70368539" w14:textId="77777777" w:rsidR="002321D1" w:rsidRPr="0054404D" w:rsidRDefault="00BE5D05" w:rsidP="00296529">
    <w:pPr>
      <w:spacing w:after="200"/>
      <w:jc w:val="center"/>
      <w:rPr>
        <w:rFonts w:ascii="Times New Roman" w:eastAsia="Calibri" w:hAnsi="Times New Roman"/>
        <w:b/>
        <w:i/>
        <w:sz w:val="32"/>
        <w:szCs w:val="22"/>
      </w:rPr>
    </w:pPr>
    <w:r w:rsidRPr="0054404D">
      <w:rPr>
        <w:rFonts w:ascii="Times New Roman" w:eastAsia="Calibri" w:hAnsi="Times New Roman"/>
        <w:b/>
        <w:i/>
        <w:sz w:val="32"/>
        <w:szCs w:val="22"/>
      </w:rPr>
      <w:t xml:space="preserve">              . </w:t>
    </w:r>
  </w:p>
  <w:p w14:paraId="76A1C2BB" w14:textId="77777777" w:rsidR="002321D1" w:rsidRPr="0054404D" w:rsidRDefault="00BE5D05" w:rsidP="00296529">
    <w:pPr>
      <w:jc w:val="center"/>
      <w:rPr>
        <w:rFonts w:ascii="Times New Roman" w:eastAsia="Calibri" w:hAnsi="Times New Roman"/>
        <w:i/>
        <w:sz w:val="18"/>
        <w:szCs w:val="22"/>
      </w:rPr>
    </w:pPr>
    <w:r w:rsidRPr="0054404D">
      <w:rPr>
        <w:rFonts w:ascii="Times New Roman" w:eastAsia="Calibri" w:hAnsi="Times New Roman"/>
        <w:i/>
        <w:sz w:val="18"/>
        <w:szCs w:val="22"/>
      </w:rPr>
      <w:t xml:space="preserve">                     </w:t>
    </w:r>
  </w:p>
  <w:p w14:paraId="36B876D8" w14:textId="77777777" w:rsidR="002321D1" w:rsidRPr="0054404D" w:rsidRDefault="00BE5D05" w:rsidP="00296529">
    <w:pPr>
      <w:tabs>
        <w:tab w:val="left" w:pos="2145"/>
      </w:tabs>
      <w:rPr>
        <w:rFonts w:ascii="Times New Roman" w:eastAsia="Calibri" w:hAnsi="Times New Roman"/>
        <w:i/>
        <w:sz w:val="18"/>
        <w:szCs w:val="22"/>
      </w:rPr>
    </w:pPr>
    <w:r w:rsidRPr="0054404D">
      <w:rPr>
        <w:rFonts w:ascii="Times New Roman" w:eastAsia="Calibri" w:hAnsi="Times New Roman"/>
        <w:i/>
        <w:sz w:val="18"/>
        <w:szCs w:val="22"/>
      </w:rPr>
      <w:tab/>
      <w:t>.</w:t>
    </w:r>
  </w:p>
  <w:p w14:paraId="5DB4207F" w14:textId="77777777" w:rsidR="002321D1" w:rsidRPr="0054404D" w:rsidRDefault="00BE5D05">
    <w:pPr>
      <w:pStyle w:val="Header"/>
    </w:pPr>
    <w:r w:rsidRPr="0054404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633682"/>
    <w:multiLevelType w:val="multilevel"/>
    <w:tmpl w:val="9D48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642D2"/>
    <w:multiLevelType w:val="multilevel"/>
    <w:tmpl w:val="652E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A522D"/>
    <w:multiLevelType w:val="hybridMultilevel"/>
    <w:tmpl w:val="8B04BA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9BE1052"/>
    <w:multiLevelType w:val="hybridMultilevel"/>
    <w:tmpl w:val="AFE45312"/>
    <w:lvl w:ilvl="0" w:tplc="5704957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CB4E9B"/>
    <w:multiLevelType w:val="hybridMultilevel"/>
    <w:tmpl w:val="890C38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7D4626E"/>
    <w:multiLevelType w:val="hybridMultilevel"/>
    <w:tmpl w:val="D9AADC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EA852F2"/>
    <w:multiLevelType w:val="hybridMultilevel"/>
    <w:tmpl w:val="9670F3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1"/>
  </w:num>
  <w:num w:numId="8">
    <w:abstractNumId w:val="16"/>
  </w:num>
  <w:num w:numId="9">
    <w:abstractNumId w:val="32"/>
  </w:num>
  <w:num w:numId="10">
    <w:abstractNumId w:val="2"/>
  </w:num>
  <w:num w:numId="11">
    <w:abstractNumId w:val="25"/>
  </w:num>
  <w:num w:numId="12">
    <w:abstractNumId w:val="4"/>
  </w:num>
  <w:num w:numId="13">
    <w:abstractNumId w:val="24"/>
  </w:num>
  <w:num w:numId="14">
    <w:abstractNumId w:val="11"/>
  </w:num>
  <w:num w:numId="15">
    <w:abstractNumId w:val="28"/>
  </w:num>
  <w:num w:numId="16">
    <w:abstractNumId w:val="6"/>
  </w:num>
  <w:num w:numId="17">
    <w:abstractNumId w:val="29"/>
  </w:num>
  <w:num w:numId="18">
    <w:abstractNumId w:val="19"/>
  </w:num>
  <w:num w:numId="19">
    <w:abstractNumId w:val="35"/>
  </w:num>
  <w:num w:numId="20">
    <w:abstractNumId w:val="14"/>
  </w:num>
  <w:num w:numId="21">
    <w:abstractNumId w:val="12"/>
  </w:num>
  <w:num w:numId="22">
    <w:abstractNumId w:val="18"/>
  </w:num>
  <w:num w:numId="23">
    <w:abstractNumId w:val="26"/>
  </w:num>
  <w:num w:numId="24">
    <w:abstractNumId w:val="33"/>
  </w:num>
  <w:num w:numId="25">
    <w:abstractNumId w:val="5"/>
  </w:num>
  <w:num w:numId="26">
    <w:abstractNumId w:val="23"/>
  </w:num>
  <w:num w:numId="27">
    <w:abstractNumId w:val="27"/>
  </w:num>
  <w:num w:numId="28">
    <w:abstractNumId w:val="34"/>
  </w:num>
  <w:num w:numId="29">
    <w:abstractNumId w:val="31"/>
  </w:num>
  <w:num w:numId="30">
    <w:abstractNumId w:val="13"/>
  </w:num>
  <w:num w:numId="31">
    <w:abstractNumId w:val="20"/>
  </w:num>
  <w:num w:numId="32">
    <w:abstractNumId w:val="3"/>
  </w:num>
  <w:num w:numId="33">
    <w:abstractNumId w:val="7"/>
  </w:num>
  <w:num w:numId="34">
    <w:abstractNumId w:val="8"/>
  </w:num>
  <w:num w:numId="35">
    <w:abstractNumId w:val="17"/>
  </w:num>
  <w:num w:numId="36">
    <w:abstractNumId w:val="2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1B4"/>
    <w:rsid w:val="0000370F"/>
    <w:rsid w:val="00006EA7"/>
    <w:rsid w:val="00021792"/>
    <w:rsid w:val="0004070D"/>
    <w:rsid w:val="00045A13"/>
    <w:rsid w:val="000779FD"/>
    <w:rsid w:val="00087268"/>
    <w:rsid w:val="00091A54"/>
    <w:rsid w:val="000B1567"/>
    <w:rsid w:val="000B3386"/>
    <w:rsid w:val="000D092A"/>
    <w:rsid w:val="000E561A"/>
    <w:rsid w:val="00121804"/>
    <w:rsid w:val="00126B48"/>
    <w:rsid w:val="0014794B"/>
    <w:rsid w:val="0015740D"/>
    <w:rsid w:val="0016721E"/>
    <w:rsid w:val="0017470F"/>
    <w:rsid w:val="0017578E"/>
    <w:rsid w:val="001873DF"/>
    <w:rsid w:val="001A3E35"/>
    <w:rsid w:val="001A5B97"/>
    <w:rsid w:val="001B1510"/>
    <w:rsid w:val="001C1BE9"/>
    <w:rsid w:val="001D3355"/>
    <w:rsid w:val="001E7A36"/>
    <w:rsid w:val="001F356C"/>
    <w:rsid w:val="001F7800"/>
    <w:rsid w:val="00205B74"/>
    <w:rsid w:val="002116F5"/>
    <w:rsid w:val="00217F37"/>
    <w:rsid w:val="00223AE8"/>
    <w:rsid w:val="00225D1E"/>
    <w:rsid w:val="00227A4F"/>
    <w:rsid w:val="002321D1"/>
    <w:rsid w:val="002633A1"/>
    <w:rsid w:val="00270E68"/>
    <w:rsid w:val="0027297B"/>
    <w:rsid w:val="00280254"/>
    <w:rsid w:val="00282579"/>
    <w:rsid w:val="00285EDD"/>
    <w:rsid w:val="002A14FA"/>
    <w:rsid w:val="002A2C71"/>
    <w:rsid w:val="002A4342"/>
    <w:rsid w:val="002B0E44"/>
    <w:rsid w:val="002B31B4"/>
    <w:rsid w:val="002C1728"/>
    <w:rsid w:val="002C5613"/>
    <w:rsid w:val="00333233"/>
    <w:rsid w:val="00336225"/>
    <w:rsid w:val="00346A4B"/>
    <w:rsid w:val="00363B14"/>
    <w:rsid w:val="00374465"/>
    <w:rsid w:val="00382EE1"/>
    <w:rsid w:val="003A4785"/>
    <w:rsid w:val="003A6198"/>
    <w:rsid w:val="003A63DF"/>
    <w:rsid w:val="003C1FE2"/>
    <w:rsid w:val="00403604"/>
    <w:rsid w:val="00410E41"/>
    <w:rsid w:val="0043302A"/>
    <w:rsid w:val="00450B81"/>
    <w:rsid w:val="0046539D"/>
    <w:rsid w:val="0047124A"/>
    <w:rsid w:val="00471BED"/>
    <w:rsid w:val="00482D3E"/>
    <w:rsid w:val="00484917"/>
    <w:rsid w:val="004A5011"/>
    <w:rsid w:val="004C06B3"/>
    <w:rsid w:val="004D0A2B"/>
    <w:rsid w:val="004D735F"/>
    <w:rsid w:val="004F58EF"/>
    <w:rsid w:val="004F5ABD"/>
    <w:rsid w:val="004F6D11"/>
    <w:rsid w:val="00503464"/>
    <w:rsid w:val="005200BA"/>
    <w:rsid w:val="00521CB5"/>
    <w:rsid w:val="00523C08"/>
    <w:rsid w:val="00531D01"/>
    <w:rsid w:val="005414AD"/>
    <w:rsid w:val="00541831"/>
    <w:rsid w:val="00571A80"/>
    <w:rsid w:val="0059007F"/>
    <w:rsid w:val="00596841"/>
    <w:rsid w:val="005B1C2E"/>
    <w:rsid w:val="005C2198"/>
    <w:rsid w:val="005E5C68"/>
    <w:rsid w:val="00602CFD"/>
    <w:rsid w:val="00610E59"/>
    <w:rsid w:val="0061388F"/>
    <w:rsid w:val="006222C8"/>
    <w:rsid w:val="00640FA9"/>
    <w:rsid w:val="00655C8B"/>
    <w:rsid w:val="00662BDA"/>
    <w:rsid w:val="00662C68"/>
    <w:rsid w:val="00666EE8"/>
    <w:rsid w:val="00667C0C"/>
    <w:rsid w:val="00672272"/>
    <w:rsid w:val="00676CFB"/>
    <w:rsid w:val="00683764"/>
    <w:rsid w:val="006A12B1"/>
    <w:rsid w:val="006A22CC"/>
    <w:rsid w:val="006B0A21"/>
    <w:rsid w:val="006D5251"/>
    <w:rsid w:val="006F0522"/>
    <w:rsid w:val="006F7C4E"/>
    <w:rsid w:val="0070061E"/>
    <w:rsid w:val="0070700F"/>
    <w:rsid w:val="00714D6B"/>
    <w:rsid w:val="00726D79"/>
    <w:rsid w:val="00734396"/>
    <w:rsid w:val="007409F2"/>
    <w:rsid w:val="00767BD1"/>
    <w:rsid w:val="00786990"/>
    <w:rsid w:val="007A113C"/>
    <w:rsid w:val="007A16F8"/>
    <w:rsid w:val="007A17BD"/>
    <w:rsid w:val="007B4AE0"/>
    <w:rsid w:val="007C1278"/>
    <w:rsid w:val="007E4B9E"/>
    <w:rsid w:val="007E5CEF"/>
    <w:rsid w:val="007F39A1"/>
    <w:rsid w:val="00800732"/>
    <w:rsid w:val="008126F3"/>
    <w:rsid w:val="00822810"/>
    <w:rsid w:val="00844F3B"/>
    <w:rsid w:val="008631E4"/>
    <w:rsid w:val="00867EB2"/>
    <w:rsid w:val="008A0896"/>
    <w:rsid w:val="008A2857"/>
    <w:rsid w:val="008B0C98"/>
    <w:rsid w:val="008B4EA0"/>
    <w:rsid w:val="008D11AA"/>
    <w:rsid w:val="008D6CD6"/>
    <w:rsid w:val="008E111A"/>
    <w:rsid w:val="008F15BA"/>
    <w:rsid w:val="00917E30"/>
    <w:rsid w:val="00953C22"/>
    <w:rsid w:val="0096577A"/>
    <w:rsid w:val="009717D3"/>
    <w:rsid w:val="00977E73"/>
    <w:rsid w:val="00986199"/>
    <w:rsid w:val="009A5EEA"/>
    <w:rsid w:val="009B2B13"/>
    <w:rsid w:val="009C1B4F"/>
    <w:rsid w:val="009F248D"/>
    <w:rsid w:val="009F5B95"/>
    <w:rsid w:val="00A21615"/>
    <w:rsid w:val="00A25086"/>
    <w:rsid w:val="00A559B7"/>
    <w:rsid w:val="00A57799"/>
    <w:rsid w:val="00A606CD"/>
    <w:rsid w:val="00A6310D"/>
    <w:rsid w:val="00A64C95"/>
    <w:rsid w:val="00A744D9"/>
    <w:rsid w:val="00A81E31"/>
    <w:rsid w:val="00B3021E"/>
    <w:rsid w:val="00B43E4A"/>
    <w:rsid w:val="00B539D5"/>
    <w:rsid w:val="00B544A8"/>
    <w:rsid w:val="00BB3CD1"/>
    <w:rsid w:val="00BB767A"/>
    <w:rsid w:val="00BC4FB8"/>
    <w:rsid w:val="00BC65A6"/>
    <w:rsid w:val="00BE5D05"/>
    <w:rsid w:val="00BE722C"/>
    <w:rsid w:val="00C06D50"/>
    <w:rsid w:val="00C222FD"/>
    <w:rsid w:val="00C24CEF"/>
    <w:rsid w:val="00C366AC"/>
    <w:rsid w:val="00C42E06"/>
    <w:rsid w:val="00C60C87"/>
    <w:rsid w:val="00C70827"/>
    <w:rsid w:val="00C77E4B"/>
    <w:rsid w:val="00C81973"/>
    <w:rsid w:val="00C94999"/>
    <w:rsid w:val="00CA0946"/>
    <w:rsid w:val="00CA652E"/>
    <w:rsid w:val="00CC156D"/>
    <w:rsid w:val="00CF26F4"/>
    <w:rsid w:val="00D02356"/>
    <w:rsid w:val="00D03EB7"/>
    <w:rsid w:val="00D109B0"/>
    <w:rsid w:val="00D163F7"/>
    <w:rsid w:val="00D4257E"/>
    <w:rsid w:val="00D44227"/>
    <w:rsid w:val="00D66DAF"/>
    <w:rsid w:val="00D7616A"/>
    <w:rsid w:val="00D764C0"/>
    <w:rsid w:val="00D87492"/>
    <w:rsid w:val="00D90A12"/>
    <w:rsid w:val="00D97F3B"/>
    <w:rsid w:val="00DB6976"/>
    <w:rsid w:val="00DB7EBB"/>
    <w:rsid w:val="00DC0159"/>
    <w:rsid w:val="00DC22D4"/>
    <w:rsid w:val="00DC432F"/>
    <w:rsid w:val="00E17AEE"/>
    <w:rsid w:val="00E21978"/>
    <w:rsid w:val="00E230F8"/>
    <w:rsid w:val="00E23E9A"/>
    <w:rsid w:val="00E367D8"/>
    <w:rsid w:val="00E502F9"/>
    <w:rsid w:val="00E53B39"/>
    <w:rsid w:val="00E5425A"/>
    <w:rsid w:val="00E6326E"/>
    <w:rsid w:val="00E94820"/>
    <w:rsid w:val="00EA4BA5"/>
    <w:rsid w:val="00EB3E51"/>
    <w:rsid w:val="00ED0502"/>
    <w:rsid w:val="00ED5FD0"/>
    <w:rsid w:val="00EF61C4"/>
    <w:rsid w:val="00F036B0"/>
    <w:rsid w:val="00F14212"/>
    <w:rsid w:val="00F4422F"/>
    <w:rsid w:val="00F56F37"/>
    <w:rsid w:val="00F6497B"/>
    <w:rsid w:val="00F660EF"/>
    <w:rsid w:val="00F74ABE"/>
    <w:rsid w:val="00F8558A"/>
    <w:rsid w:val="00FA1AB5"/>
    <w:rsid w:val="00FA3677"/>
    <w:rsid w:val="00FB1A33"/>
    <w:rsid w:val="00FD124D"/>
    <w:rsid w:val="00FF4E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F25C89"/>
  <w15:chartTrackingRefBased/>
  <w15:docId w15:val="{3C2CF66C-9FA1-40D9-8106-7791C2B9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B3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3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31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31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31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3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1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31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31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31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31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3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1B4"/>
    <w:rPr>
      <w:rFonts w:eastAsiaTheme="majorEastAsia" w:cstheme="majorBidi"/>
      <w:color w:val="272727" w:themeColor="text1" w:themeTint="D8"/>
    </w:rPr>
  </w:style>
  <w:style w:type="paragraph" w:styleId="Title">
    <w:name w:val="Title"/>
    <w:basedOn w:val="Normal"/>
    <w:next w:val="Normal"/>
    <w:link w:val="TitleChar"/>
    <w:qFormat/>
    <w:rsid w:val="002B3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B3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B3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1B4"/>
    <w:pPr>
      <w:spacing w:before="160"/>
      <w:jc w:val="center"/>
    </w:pPr>
    <w:rPr>
      <w:i/>
      <w:iCs/>
      <w:color w:val="404040" w:themeColor="text1" w:themeTint="BF"/>
    </w:rPr>
  </w:style>
  <w:style w:type="character" w:customStyle="1" w:styleId="QuoteChar">
    <w:name w:val="Quote Char"/>
    <w:basedOn w:val="DefaultParagraphFont"/>
    <w:link w:val="Quote"/>
    <w:uiPriority w:val="29"/>
    <w:rsid w:val="002B31B4"/>
    <w:rPr>
      <w:i/>
      <w:iCs/>
      <w:color w:val="404040" w:themeColor="text1" w:themeTint="BF"/>
    </w:rPr>
  </w:style>
  <w:style w:type="paragraph" w:styleId="ListParagraph">
    <w:name w:val="List Paragraph"/>
    <w:basedOn w:val="Normal"/>
    <w:uiPriority w:val="34"/>
    <w:qFormat/>
    <w:rsid w:val="002B31B4"/>
    <w:pPr>
      <w:ind w:left="720"/>
      <w:contextualSpacing/>
    </w:pPr>
  </w:style>
  <w:style w:type="character" w:styleId="IntenseEmphasis">
    <w:name w:val="Intense Emphasis"/>
    <w:basedOn w:val="DefaultParagraphFont"/>
    <w:uiPriority w:val="21"/>
    <w:qFormat/>
    <w:rsid w:val="002B31B4"/>
    <w:rPr>
      <w:i/>
      <w:iCs/>
      <w:color w:val="2F5496" w:themeColor="accent1" w:themeShade="BF"/>
    </w:rPr>
  </w:style>
  <w:style w:type="paragraph" w:styleId="IntenseQuote">
    <w:name w:val="Intense Quote"/>
    <w:basedOn w:val="Normal"/>
    <w:next w:val="Normal"/>
    <w:link w:val="IntenseQuoteChar"/>
    <w:uiPriority w:val="30"/>
    <w:qFormat/>
    <w:rsid w:val="002B3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31B4"/>
    <w:rPr>
      <w:i/>
      <w:iCs/>
      <w:color w:val="2F5496" w:themeColor="accent1" w:themeShade="BF"/>
    </w:rPr>
  </w:style>
  <w:style w:type="character" w:styleId="IntenseReference">
    <w:name w:val="Intense Reference"/>
    <w:basedOn w:val="DefaultParagraphFont"/>
    <w:uiPriority w:val="32"/>
    <w:qFormat/>
    <w:rsid w:val="002B31B4"/>
    <w:rPr>
      <w:b/>
      <w:bCs/>
      <w:smallCaps/>
      <w:color w:val="2F5496" w:themeColor="accent1" w:themeShade="BF"/>
      <w:spacing w:val="5"/>
    </w:rPr>
  </w:style>
  <w:style w:type="paragraph" w:customStyle="1" w:styleId="Author">
    <w:name w:val="Author"/>
    <w:basedOn w:val="Normal"/>
    <w:rsid w:val="00C81973"/>
    <w:pPr>
      <w:spacing w:after="0" w:line="280" w:lineRule="exact"/>
      <w:jc w:val="right"/>
    </w:pPr>
    <w:rPr>
      <w:rFonts w:ascii="Helvetica" w:eastAsia="Times New Roman" w:hAnsi="Helvetica" w:cs="Times New Roman"/>
      <w:b/>
      <w:kern w:val="0"/>
      <w:szCs w:val="20"/>
      <w:lang w:val="en-GB"/>
      <w14:ligatures w14:val="none"/>
    </w:rPr>
  </w:style>
  <w:style w:type="paragraph" w:customStyle="1" w:styleId="Affiliation">
    <w:name w:val="Affiliation"/>
    <w:basedOn w:val="Normal"/>
    <w:rsid w:val="00C81973"/>
    <w:pPr>
      <w:spacing w:after="240" w:line="240" w:lineRule="exact"/>
      <w:jc w:val="right"/>
    </w:pPr>
    <w:rPr>
      <w:rFonts w:ascii="Helvetica" w:eastAsia="Times New Roman" w:hAnsi="Helvetica" w:cs="Times New Roman"/>
      <w:kern w:val="0"/>
      <w:sz w:val="20"/>
      <w:szCs w:val="20"/>
      <w:lang w:val="en-GB"/>
      <w14:ligatures w14:val="none"/>
    </w:rPr>
  </w:style>
  <w:style w:type="paragraph" w:customStyle="1" w:styleId="Body">
    <w:name w:val="Body"/>
    <w:basedOn w:val="Normal"/>
    <w:rsid w:val="00C81973"/>
    <w:pPr>
      <w:spacing w:after="240" w:line="240" w:lineRule="auto"/>
      <w:jc w:val="both"/>
    </w:pPr>
    <w:rPr>
      <w:rFonts w:ascii="Helvetica" w:eastAsia="Times New Roman" w:hAnsi="Helvetica" w:cs="Times New Roman"/>
      <w:kern w:val="0"/>
      <w:sz w:val="20"/>
      <w:szCs w:val="20"/>
      <w:lang w:val="en-GB"/>
      <w14:ligatures w14:val="none"/>
    </w:rPr>
  </w:style>
  <w:style w:type="paragraph" w:customStyle="1" w:styleId="AbstHead">
    <w:name w:val="Abst Head"/>
    <w:basedOn w:val="MainHead"/>
    <w:rsid w:val="00C81973"/>
    <w:rPr>
      <w:sz w:val="22"/>
    </w:rPr>
  </w:style>
  <w:style w:type="paragraph" w:customStyle="1" w:styleId="IntroHead">
    <w:name w:val="Intro Head"/>
    <w:basedOn w:val="MainHead"/>
    <w:rsid w:val="00C81973"/>
    <w:rPr>
      <w:sz w:val="22"/>
    </w:rPr>
  </w:style>
  <w:style w:type="paragraph" w:customStyle="1" w:styleId="PaperNumber">
    <w:name w:val="Paper Number"/>
    <w:basedOn w:val="Normal"/>
    <w:rsid w:val="00C81973"/>
    <w:pPr>
      <w:spacing w:after="280" w:line="280" w:lineRule="exact"/>
      <w:jc w:val="right"/>
    </w:pPr>
    <w:rPr>
      <w:rFonts w:ascii="Helvetica" w:eastAsia="Times New Roman" w:hAnsi="Helvetica" w:cs="Times New Roman"/>
      <w:b/>
      <w:kern w:val="0"/>
      <w:sz w:val="28"/>
      <w:szCs w:val="20"/>
      <w:lang w:val="en-GB"/>
      <w14:ligatures w14:val="none"/>
    </w:rPr>
  </w:style>
  <w:style w:type="paragraph" w:customStyle="1" w:styleId="ConcHead">
    <w:name w:val="Conc Head"/>
    <w:basedOn w:val="MainHead"/>
    <w:rsid w:val="00C81973"/>
    <w:rPr>
      <w:sz w:val="22"/>
    </w:rPr>
  </w:style>
  <w:style w:type="paragraph" w:customStyle="1" w:styleId="AcknHead">
    <w:name w:val="Ackn Head"/>
    <w:basedOn w:val="MainHead"/>
    <w:rsid w:val="00C81973"/>
    <w:rPr>
      <w:sz w:val="22"/>
    </w:rPr>
  </w:style>
  <w:style w:type="paragraph" w:customStyle="1" w:styleId="ReferHead">
    <w:name w:val="Refer Head"/>
    <w:basedOn w:val="MainHead"/>
    <w:rsid w:val="00C81973"/>
    <w:rPr>
      <w:sz w:val="22"/>
    </w:rPr>
  </w:style>
  <w:style w:type="paragraph" w:customStyle="1" w:styleId="AddSrcHead">
    <w:name w:val="AddSrc Head"/>
    <w:basedOn w:val="MainHead"/>
    <w:rsid w:val="00C81973"/>
    <w:rPr>
      <w:sz w:val="22"/>
    </w:rPr>
  </w:style>
  <w:style w:type="paragraph" w:customStyle="1" w:styleId="DefAcrHead">
    <w:name w:val="DefAcrHead"/>
    <w:basedOn w:val="MainHead"/>
    <w:rsid w:val="00C81973"/>
    <w:rPr>
      <w:sz w:val="22"/>
    </w:rPr>
  </w:style>
  <w:style w:type="paragraph" w:customStyle="1" w:styleId="Copyright">
    <w:name w:val="Copyright"/>
    <w:basedOn w:val="Normal"/>
    <w:rsid w:val="00C81973"/>
    <w:pPr>
      <w:spacing w:after="960" w:line="200" w:lineRule="exact"/>
    </w:pPr>
    <w:rPr>
      <w:rFonts w:ascii="Helvetica" w:eastAsia="Times New Roman" w:hAnsi="Helvetica" w:cs="Times New Roman"/>
      <w:kern w:val="0"/>
      <w:sz w:val="16"/>
      <w:szCs w:val="20"/>
      <w:lang w:val="en-GB"/>
      <w14:ligatures w14:val="none"/>
    </w:rPr>
  </w:style>
  <w:style w:type="paragraph" w:customStyle="1" w:styleId="Reference">
    <w:name w:val="Reference"/>
    <w:basedOn w:val="Body"/>
    <w:rsid w:val="00C81973"/>
    <w:pPr>
      <w:numPr>
        <w:numId w:val="23"/>
      </w:numPr>
      <w:spacing w:after="0" w:line="240" w:lineRule="exact"/>
    </w:pPr>
  </w:style>
  <w:style w:type="paragraph" w:customStyle="1" w:styleId="Head1">
    <w:name w:val="Head1"/>
    <w:basedOn w:val="MainHead"/>
    <w:rsid w:val="00C81973"/>
    <w:rPr>
      <w:sz w:val="22"/>
    </w:rPr>
  </w:style>
  <w:style w:type="paragraph" w:customStyle="1" w:styleId="ContactHead">
    <w:name w:val="Contact Head"/>
    <w:basedOn w:val="MainHead"/>
    <w:rsid w:val="00C81973"/>
    <w:rPr>
      <w:sz w:val="22"/>
    </w:rPr>
  </w:style>
  <w:style w:type="paragraph" w:customStyle="1" w:styleId="Head3">
    <w:name w:val="Head3"/>
    <w:basedOn w:val="Head2"/>
    <w:rsid w:val="00C81973"/>
    <w:rPr>
      <w:caps w:val="0"/>
      <w:u w:val="single"/>
    </w:rPr>
  </w:style>
  <w:style w:type="paragraph" w:customStyle="1" w:styleId="Head4">
    <w:name w:val="Head4"/>
    <w:basedOn w:val="Head3"/>
    <w:rsid w:val="00C81973"/>
    <w:rPr>
      <w:u w:val="none"/>
    </w:rPr>
  </w:style>
  <w:style w:type="paragraph" w:customStyle="1" w:styleId="UnordList">
    <w:name w:val="Unord List"/>
    <w:basedOn w:val="Body"/>
    <w:rsid w:val="00C81973"/>
    <w:pPr>
      <w:spacing w:after="0"/>
      <w:ind w:left="360" w:hanging="360"/>
    </w:pPr>
  </w:style>
  <w:style w:type="paragraph" w:customStyle="1" w:styleId="OrdList">
    <w:name w:val="Ord List"/>
    <w:basedOn w:val="UnordList"/>
    <w:rsid w:val="00C81973"/>
    <w:pPr>
      <w:jc w:val="left"/>
    </w:pPr>
  </w:style>
  <w:style w:type="paragraph" w:customStyle="1" w:styleId="Appendix">
    <w:name w:val="Appendix"/>
    <w:basedOn w:val="MainHead"/>
    <w:rsid w:val="00C81973"/>
    <w:rPr>
      <w:sz w:val="22"/>
    </w:rPr>
  </w:style>
  <w:style w:type="paragraph" w:customStyle="1" w:styleId="Term">
    <w:name w:val="Term"/>
    <w:basedOn w:val="Body"/>
    <w:rsid w:val="00C81973"/>
    <w:pPr>
      <w:spacing w:after="0"/>
    </w:pPr>
    <w:rPr>
      <w:b/>
    </w:rPr>
  </w:style>
  <w:style w:type="paragraph" w:customStyle="1" w:styleId="Definition">
    <w:name w:val="Definition"/>
    <w:basedOn w:val="Body"/>
    <w:rsid w:val="00C81973"/>
  </w:style>
  <w:style w:type="paragraph" w:customStyle="1" w:styleId="Head2">
    <w:name w:val="Head2"/>
    <w:basedOn w:val="Normal"/>
    <w:next w:val="Body"/>
    <w:rsid w:val="00C81973"/>
    <w:pPr>
      <w:keepNext/>
      <w:spacing w:after="240" w:line="240" w:lineRule="auto"/>
    </w:pPr>
    <w:rPr>
      <w:rFonts w:ascii="Helvetica" w:eastAsia="Times New Roman" w:hAnsi="Helvetica" w:cs="Times New Roman"/>
      <w:caps/>
      <w:kern w:val="0"/>
      <w:sz w:val="20"/>
      <w:szCs w:val="20"/>
      <w:lang w:val="en-GB"/>
      <w14:ligatures w14:val="none"/>
    </w:rPr>
  </w:style>
  <w:style w:type="character" w:customStyle="1" w:styleId="Bold">
    <w:name w:val="Bold"/>
    <w:rsid w:val="00C81973"/>
    <w:rPr>
      <w:b/>
    </w:rPr>
  </w:style>
  <w:style w:type="character" w:customStyle="1" w:styleId="Italic">
    <w:name w:val="Italic"/>
    <w:rsid w:val="00C81973"/>
    <w:rPr>
      <w:i/>
    </w:rPr>
  </w:style>
  <w:style w:type="character" w:customStyle="1" w:styleId="Underline">
    <w:name w:val="Underline"/>
    <w:rsid w:val="00C81973"/>
    <w:rPr>
      <w:u w:val="single"/>
    </w:rPr>
  </w:style>
  <w:style w:type="paragraph" w:customStyle="1" w:styleId="MainHead">
    <w:name w:val="Main Head"/>
    <w:basedOn w:val="Normal"/>
    <w:rsid w:val="00C81973"/>
    <w:pPr>
      <w:keepNext/>
      <w:spacing w:after="240" w:line="240" w:lineRule="auto"/>
    </w:pPr>
    <w:rPr>
      <w:rFonts w:ascii="Helvetica" w:eastAsia="Times New Roman" w:hAnsi="Helvetica" w:cs="Times New Roman"/>
      <w:b/>
      <w:caps/>
      <w:kern w:val="0"/>
      <w:sz w:val="20"/>
      <w:szCs w:val="20"/>
      <w:lang w:val="en-GB"/>
      <w14:ligatures w14:val="none"/>
    </w:rPr>
  </w:style>
  <w:style w:type="paragraph" w:customStyle="1" w:styleId="Equation">
    <w:name w:val="Equation"/>
    <w:basedOn w:val="Body"/>
    <w:rsid w:val="00C81973"/>
  </w:style>
  <w:style w:type="paragraph" w:customStyle="1" w:styleId="Figure">
    <w:name w:val="Figure"/>
    <w:basedOn w:val="Copyright"/>
    <w:rsid w:val="00C81973"/>
    <w:pPr>
      <w:spacing w:after="240"/>
    </w:pPr>
    <w:rPr>
      <w:sz w:val="20"/>
    </w:rPr>
  </w:style>
  <w:style w:type="paragraph" w:styleId="Footer">
    <w:name w:val="footer"/>
    <w:basedOn w:val="Normal"/>
    <w:link w:val="FooterChar"/>
    <w:rsid w:val="00C81973"/>
    <w:pPr>
      <w:tabs>
        <w:tab w:val="center" w:pos="4320"/>
        <w:tab w:val="right" w:pos="8640"/>
      </w:tabs>
      <w:spacing w:after="0" w:line="240" w:lineRule="auto"/>
    </w:pPr>
    <w:rPr>
      <w:rFonts w:ascii="Helvetica" w:eastAsia="Times New Roman" w:hAnsi="Helvetica" w:cs="Times New Roman"/>
      <w:kern w:val="0"/>
      <w:sz w:val="20"/>
      <w:szCs w:val="20"/>
      <w:lang w:val="en-GB"/>
      <w14:ligatures w14:val="none"/>
    </w:rPr>
  </w:style>
  <w:style w:type="character" w:customStyle="1" w:styleId="FooterChar">
    <w:name w:val="Footer Char"/>
    <w:basedOn w:val="DefaultParagraphFont"/>
    <w:link w:val="Footer"/>
    <w:rsid w:val="00C81973"/>
    <w:rPr>
      <w:rFonts w:ascii="Helvetica" w:eastAsia="Times New Roman" w:hAnsi="Helvetica" w:cs="Times New Roman"/>
      <w:kern w:val="0"/>
      <w:sz w:val="20"/>
      <w:szCs w:val="20"/>
      <w:lang w:val="en-GB"/>
      <w14:ligatures w14:val="none"/>
    </w:rPr>
  </w:style>
  <w:style w:type="paragraph" w:customStyle="1" w:styleId="Head40">
    <w:name w:val="Head 4"/>
    <w:basedOn w:val="Head3"/>
    <w:rsid w:val="00C81973"/>
    <w:rPr>
      <w:u w:val="none"/>
    </w:rPr>
  </w:style>
  <w:style w:type="paragraph" w:styleId="Header">
    <w:name w:val="header"/>
    <w:basedOn w:val="Normal"/>
    <w:link w:val="HeaderChar"/>
    <w:rsid w:val="00C81973"/>
    <w:pPr>
      <w:tabs>
        <w:tab w:val="center" w:pos="4320"/>
        <w:tab w:val="right" w:pos="8640"/>
      </w:tabs>
      <w:spacing w:after="0" w:line="240" w:lineRule="auto"/>
    </w:pPr>
    <w:rPr>
      <w:rFonts w:ascii="Helvetica" w:eastAsia="Times New Roman" w:hAnsi="Helvetica" w:cs="Times New Roman"/>
      <w:kern w:val="0"/>
      <w:sz w:val="20"/>
      <w:szCs w:val="20"/>
      <w:lang w:val="en-GB"/>
      <w14:ligatures w14:val="none"/>
    </w:rPr>
  </w:style>
  <w:style w:type="character" w:customStyle="1" w:styleId="HeaderChar">
    <w:name w:val="Header Char"/>
    <w:basedOn w:val="DefaultParagraphFont"/>
    <w:link w:val="Header"/>
    <w:rsid w:val="00C81973"/>
    <w:rPr>
      <w:rFonts w:ascii="Helvetica" w:eastAsia="Times New Roman" w:hAnsi="Helvetica" w:cs="Times New Roman"/>
      <w:kern w:val="0"/>
      <w:sz w:val="20"/>
      <w:szCs w:val="20"/>
      <w:lang w:val="en-GB"/>
      <w14:ligatures w14:val="none"/>
    </w:rPr>
  </w:style>
  <w:style w:type="paragraph" w:customStyle="1" w:styleId="Paper">
    <w:name w:val="Paper"/>
    <w:basedOn w:val="Normal"/>
    <w:rsid w:val="00C81973"/>
    <w:pPr>
      <w:spacing w:after="360" w:line="440" w:lineRule="exact"/>
      <w:jc w:val="right"/>
    </w:pPr>
    <w:rPr>
      <w:rFonts w:ascii="Helvetica" w:eastAsia="Times New Roman" w:hAnsi="Helvetica" w:cs="Times New Roman"/>
      <w:b/>
      <w:kern w:val="0"/>
      <w:sz w:val="36"/>
      <w:szCs w:val="20"/>
      <w:lang w:val="en-GB"/>
      <w14:ligatures w14:val="none"/>
    </w:rPr>
  </w:style>
  <w:style w:type="paragraph" w:styleId="Signature">
    <w:name w:val="Signature"/>
    <w:basedOn w:val="Normal"/>
    <w:link w:val="SignatureChar"/>
    <w:rsid w:val="00C81973"/>
    <w:pPr>
      <w:spacing w:after="0" w:line="240" w:lineRule="auto"/>
      <w:ind w:left="4320"/>
    </w:pPr>
    <w:rPr>
      <w:rFonts w:ascii="Helvetica" w:eastAsia="Times New Roman" w:hAnsi="Helvetica" w:cs="Times New Roman"/>
      <w:kern w:val="0"/>
      <w:sz w:val="20"/>
      <w:szCs w:val="20"/>
      <w:lang w:val="en-GB"/>
      <w14:ligatures w14:val="none"/>
    </w:rPr>
  </w:style>
  <w:style w:type="character" w:customStyle="1" w:styleId="SignatureChar">
    <w:name w:val="Signature Char"/>
    <w:basedOn w:val="DefaultParagraphFont"/>
    <w:link w:val="Signature"/>
    <w:rsid w:val="00C81973"/>
    <w:rPr>
      <w:rFonts w:ascii="Helvetica" w:eastAsia="Times New Roman" w:hAnsi="Helvetica" w:cs="Times New Roman"/>
      <w:kern w:val="0"/>
      <w:sz w:val="20"/>
      <w:szCs w:val="20"/>
      <w:lang w:val="en-GB"/>
      <w14:ligatures w14:val="none"/>
    </w:rPr>
  </w:style>
  <w:style w:type="character" w:customStyle="1" w:styleId="Subscript">
    <w:name w:val="Subscript"/>
    <w:rsid w:val="00C81973"/>
    <w:rPr>
      <w:vertAlign w:val="subscript"/>
    </w:rPr>
  </w:style>
  <w:style w:type="character" w:customStyle="1" w:styleId="Superscript">
    <w:name w:val="Superscript"/>
    <w:rsid w:val="00C81973"/>
    <w:rPr>
      <w:vertAlign w:val="superscript"/>
    </w:rPr>
  </w:style>
  <w:style w:type="character" w:customStyle="1" w:styleId="Symbol">
    <w:name w:val="Symbol"/>
    <w:rsid w:val="00C81973"/>
    <w:rPr>
      <w:rFonts w:ascii="Symbol" w:hAnsi="Symbol"/>
    </w:rPr>
  </w:style>
  <w:style w:type="paragraph" w:customStyle="1" w:styleId="SymbolP">
    <w:name w:val="Symbol P"/>
    <w:basedOn w:val="Body"/>
    <w:rsid w:val="00C81973"/>
    <w:pPr>
      <w:tabs>
        <w:tab w:val="left" w:pos="720"/>
        <w:tab w:val="left" w:pos="3780"/>
      </w:tabs>
      <w:spacing w:after="0"/>
    </w:pPr>
    <w:rPr>
      <w:sz w:val="24"/>
    </w:rPr>
  </w:style>
  <w:style w:type="character" w:customStyle="1" w:styleId="BoldItal">
    <w:name w:val="BoldItal"/>
    <w:basedOn w:val="DefaultParagraphFont"/>
    <w:rsid w:val="00C81973"/>
    <w:rPr>
      <w:b/>
      <w:i/>
    </w:rPr>
  </w:style>
  <w:style w:type="character" w:customStyle="1" w:styleId="SubItal">
    <w:name w:val="SubItal"/>
    <w:rsid w:val="00C81973"/>
    <w:rPr>
      <w:i/>
      <w:vertAlign w:val="subscript"/>
    </w:rPr>
  </w:style>
  <w:style w:type="character" w:customStyle="1" w:styleId="SuperItal">
    <w:name w:val="SuperItal"/>
    <w:rsid w:val="00C81973"/>
    <w:rPr>
      <w:i/>
      <w:vertAlign w:val="superscript"/>
    </w:rPr>
  </w:style>
  <w:style w:type="character" w:customStyle="1" w:styleId="SymItal">
    <w:name w:val="SymItal"/>
    <w:rsid w:val="00C81973"/>
    <w:rPr>
      <w:rFonts w:ascii="Symbol" w:hAnsi="Symbol"/>
      <w:i/>
    </w:rPr>
  </w:style>
  <w:style w:type="character" w:styleId="Hyperlink">
    <w:name w:val="Hyperlink"/>
    <w:basedOn w:val="DefaultParagraphFont"/>
    <w:rsid w:val="00C81973"/>
    <w:rPr>
      <w:color w:val="FF0080"/>
      <w:u w:val="single"/>
    </w:rPr>
  </w:style>
  <w:style w:type="character" w:styleId="FollowedHyperlink">
    <w:name w:val="FollowedHyperlink"/>
    <w:basedOn w:val="DefaultParagraphFont"/>
    <w:rsid w:val="00C81973"/>
    <w:rPr>
      <w:color w:val="800080"/>
      <w:u w:val="single"/>
    </w:rPr>
  </w:style>
  <w:style w:type="table" w:styleId="TableGrid">
    <w:name w:val="Table Grid"/>
    <w:basedOn w:val="TableNormal"/>
    <w:uiPriority w:val="39"/>
    <w:rsid w:val="00C81973"/>
    <w:pPr>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C81973"/>
    <w:pPr>
      <w:spacing w:after="120" w:line="480" w:lineRule="auto"/>
    </w:pPr>
    <w:rPr>
      <w:rFonts w:ascii="Helvetica" w:eastAsia="Times New Roman" w:hAnsi="Helvetica" w:cs="Times New Roman"/>
      <w:kern w:val="0"/>
      <w:sz w:val="20"/>
      <w:szCs w:val="20"/>
      <w:lang w:val="en-GB"/>
      <w14:ligatures w14:val="none"/>
    </w:rPr>
  </w:style>
  <w:style w:type="character" w:customStyle="1" w:styleId="BodyText2Char">
    <w:name w:val="Body Text 2 Char"/>
    <w:basedOn w:val="DefaultParagraphFont"/>
    <w:link w:val="BodyText2"/>
    <w:rsid w:val="00C81973"/>
    <w:rPr>
      <w:rFonts w:ascii="Helvetica" w:eastAsia="Times New Roman" w:hAnsi="Helvetica" w:cs="Times New Roman"/>
      <w:kern w:val="0"/>
      <w:sz w:val="20"/>
      <w:szCs w:val="20"/>
      <w:lang w:val="en-GB"/>
      <w14:ligatures w14:val="none"/>
    </w:rPr>
  </w:style>
  <w:style w:type="character" w:styleId="CommentReference">
    <w:name w:val="annotation reference"/>
    <w:basedOn w:val="DefaultParagraphFont"/>
    <w:uiPriority w:val="99"/>
    <w:unhideWhenUsed/>
    <w:rsid w:val="00C81973"/>
    <w:rPr>
      <w:sz w:val="16"/>
      <w:szCs w:val="16"/>
    </w:rPr>
  </w:style>
  <w:style w:type="paragraph" w:styleId="CommentText">
    <w:name w:val="annotation text"/>
    <w:basedOn w:val="Normal"/>
    <w:link w:val="CommentTextChar"/>
    <w:uiPriority w:val="99"/>
    <w:unhideWhenUsed/>
    <w:rsid w:val="00C81973"/>
    <w:pPr>
      <w:spacing w:after="0" w:line="240" w:lineRule="auto"/>
    </w:pPr>
    <w:rPr>
      <w:rFonts w:ascii="Times New Roman" w:eastAsia="Times New Roman" w:hAnsi="Times New Roman" w:cs="Times New Roman"/>
      <w:kern w:val="0"/>
      <w:sz w:val="20"/>
      <w:szCs w:val="20"/>
      <w:lang w:val="nb-NO" w:eastAsia="nb-NO"/>
      <w14:ligatures w14:val="none"/>
    </w:rPr>
  </w:style>
  <w:style w:type="character" w:customStyle="1" w:styleId="CommentTextChar">
    <w:name w:val="Comment Text Char"/>
    <w:basedOn w:val="DefaultParagraphFont"/>
    <w:link w:val="CommentText"/>
    <w:uiPriority w:val="99"/>
    <w:rsid w:val="00C81973"/>
    <w:rPr>
      <w:rFonts w:ascii="Times New Roman" w:eastAsia="Times New Roman" w:hAnsi="Times New Roman" w:cs="Times New Roman"/>
      <w:kern w:val="0"/>
      <w:sz w:val="20"/>
      <w:szCs w:val="20"/>
      <w:lang w:val="nb-NO" w:eastAsia="nb-NO"/>
      <w14:ligatures w14:val="none"/>
    </w:rPr>
  </w:style>
  <w:style w:type="paragraph" w:styleId="BalloonText">
    <w:name w:val="Balloon Text"/>
    <w:basedOn w:val="Normal"/>
    <w:link w:val="BalloonTextChar"/>
    <w:rsid w:val="00C81973"/>
    <w:pPr>
      <w:spacing w:after="0" w:line="240" w:lineRule="auto"/>
    </w:pPr>
    <w:rPr>
      <w:rFonts w:ascii="Tahoma" w:eastAsia="Times New Roman" w:hAnsi="Tahoma" w:cs="Tahoma"/>
      <w:kern w:val="0"/>
      <w:sz w:val="16"/>
      <w:szCs w:val="16"/>
      <w:lang w:val="en-GB"/>
      <w14:ligatures w14:val="none"/>
    </w:rPr>
  </w:style>
  <w:style w:type="character" w:customStyle="1" w:styleId="BalloonTextChar">
    <w:name w:val="Balloon Text Char"/>
    <w:basedOn w:val="DefaultParagraphFont"/>
    <w:link w:val="BalloonText"/>
    <w:rsid w:val="00C81973"/>
    <w:rPr>
      <w:rFonts w:ascii="Tahoma" w:eastAsia="Times New Roman" w:hAnsi="Tahoma" w:cs="Tahoma"/>
      <w:kern w:val="0"/>
      <w:sz w:val="16"/>
      <w:szCs w:val="16"/>
      <w:lang w:val="en-GB"/>
      <w14:ligatures w14:val="none"/>
    </w:rPr>
  </w:style>
  <w:style w:type="paragraph" w:styleId="BodyText3">
    <w:name w:val="Body Text 3"/>
    <w:basedOn w:val="Normal"/>
    <w:link w:val="BodyText3Char"/>
    <w:rsid w:val="00C81973"/>
    <w:pPr>
      <w:spacing w:after="120" w:line="240" w:lineRule="auto"/>
    </w:pPr>
    <w:rPr>
      <w:rFonts w:ascii="Helvetica" w:eastAsia="Times New Roman" w:hAnsi="Helvetica" w:cs="Times New Roman"/>
      <w:kern w:val="0"/>
      <w:sz w:val="16"/>
      <w:szCs w:val="16"/>
      <w:lang w:val="en-GB"/>
      <w14:ligatures w14:val="none"/>
    </w:rPr>
  </w:style>
  <w:style w:type="character" w:customStyle="1" w:styleId="BodyText3Char">
    <w:name w:val="Body Text 3 Char"/>
    <w:basedOn w:val="DefaultParagraphFont"/>
    <w:link w:val="BodyText3"/>
    <w:rsid w:val="00C81973"/>
    <w:rPr>
      <w:rFonts w:ascii="Helvetica" w:eastAsia="Times New Roman" w:hAnsi="Helvetica" w:cs="Times New Roman"/>
      <w:kern w:val="0"/>
      <w:sz w:val="16"/>
      <w:szCs w:val="16"/>
      <w:lang w:val="en-GB"/>
      <w14:ligatures w14:val="none"/>
    </w:rPr>
  </w:style>
  <w:style w:type="character" w:styleId="LineNumber">
    <w:name w:val="line number"/>
    <w:basedOn w:val="DefaultParagraphFont"/>
    <w:rsid w:val="00C81973"/>
  </w:style>
  <w:style w:type="character" w:styleId="Emphasis">
    <w:name w:val="Emphasis"/>
    <w:basedOn w:val="DefaultParagraphFont"/>
    <w:uiPriority w:val="20"/>
    <w:qFormat/>
    <w:rsid w:val="00C81973"/>
    <w:rPr>
      <w:i/>
      <w:iCs/>
    </w:rPr>
  </w:style>
  <w:style w:type="character" w:customStyle="1" w:styleId="Mencinsinresolver1">
    <w:name w:val="Mención sin resolver1"/>
    <w:basedOn w:val="DefaultParagraphFont"/>
    <w:uiPriority w:val="99"/>
    <w:semiHidden/>
    <w:unhideWhenUsed/>
    <w:rsid w:val="00C81973"/>
    <w:rPr>
      <w:color w:val="605E5C"/>
      <w:shd w:val="clear" w:color="auto" w:fill="E1DFDD"/>
    </w:rPr>
  </w:style>
  <w:style w:type="character" w:customStyle="1" w:styleId="Mencinsinresolver2">
    <w:name w:val="Mención sin resolver2"/>
    <w:basedOn w:val="DefaultParagraphFont"/>
    <w:uiPriority w:val="99"/>
    <w:semiHidden/>
    <w:unhideWhenUsed/>
    <w:rsid w:val="00C81973"/>
    <w:rPr>
      <w:color w:val="605E5C"/>
      <w:shd w:val="clear" w:color="auto" w:fill="E1DFDD"/>
    </w:rPr>
  </w:style>
  <w:style w:type="character" w:styleId="UnresolvedMention">
    <w:name w:val="Unresolved Mention"/>
    <w:basedOn w:val="DefaultParagraphFont"/>
    <w:uiPriority w:val="99"/>
    <w:semiHidden/>
    <w:unhideWhenUsed/>
    <w:rsid w:val="00C81973"/>
    <w:rPr>
      <w:color w:val="605E5C"/>
      <w:shd w:val="clear" w:color="auto" w:fill="E1DFDD"/>
    </w:rPr>
  </w:style>
  <w:style w:type="paragraph" w:styleId="NormalWeb">
    <w:name w:val="Normal (Web)"/>
    <w:basedOn w:val="Normal"/>
    <w:uiPriority w:val="99"/>
    <w:semiHidden/>
    <w:unhideWhenUsed/>
    <w:rsid w:val="00C81973"/>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katex-mathml">
    <w:name w:val="katex-mathml"/>
    <w:basedOn w:val="DefaultParagraphFont"/>
    <w:rsid w:val="00C81973"/>
  </w:style>
  <w:style w:type="character" w:customStyle="1" w:styleId="mord">
    <w:name w:val="mord"/>
    <w:basedOn w:val="DefaultParagraphFont"/>
    <w:rsid w:val="00C81973"/>
  </w:style>
  <w:style w:type="character" w:customStyle="1" w:styleId="mrel">
    <w:name w:val="mrel"/>
    <w:basedOn w:val="DefaultParagraphFont"/>
    <w:rsid w:val="00C81973"/>
  </w:style>
  <w:style w:type="character" w:customStyle="1" w:styleId="mbin">
    <w:name w:val="mbin"/>
    <w:basedOn w:val="DefaultParagraphFont"/>
    <w:rsid w:val="00C81973"/>
  </w:style>
  <w:style w:type="character" w:customStyle="1" w:styleId="delimsizing">
    <w:name w:val="delimsizing"/>
    <w:basedOn w:val="DefaultParagraphFont"/>
    <w:rsid w:val="00C81973"/>
  </w:style>
  <w:style w:type="character" w:customStyle="1" w:styleId="vlist-s">
    <w:name w:val="vlist-s"/>
    <w:basedOn w:val="DefaultParagraphFont"/>
    <w:rsid w:val="00C81973"/>
  </w:style>
  <w:style w:type="character" w:customStyle="1" w:styleId="mpunct">
    <w:name w:val="mpunct"/>
    <w:basedOn w:val="DefaultParagraphFont"/>
    <w:rsid w:val="00C81973"/>
  </w:style>
  <w:style w:type="paragraph" w:styleId="CommentSubject">
    <w:name w:val="annotation subject"/>
    <w:basedOn w:val="CommentText"/>
    <w:next w:val="CommentText"/>
    <w:link w:val="CommentSubjectChar"/>
    <w:uiPriority w:val="99"/>
    <w:semiHidden/>
    <w:unhideWhenUsed/>
    <w:rsid w:val="007B4AE0"/>
    <w:pPr>
      <w:spacing w:after="160"/>
    </w:pPr>
    <w:rPr>
      <w:rFonts w:asciiTheme="minorHAnsi" w:eastAsiaTheme="minorHAnsi" w:hAnsiTheme="minorHAnsi" w:cstheme="minorBidi"/>
      <w:b/>
      <w:bCs/>
      <w:kern w:val="2"/>
      <w:lang w:val="es-MX" w:eastAsia="en-US"/>
      <w14:ligatures w14:val="standardContextual"/>
    </w:rPr>
  </w:style>
  <w:style w:type="character" w:customStyle="1" w:styleId="CommentSubjectChar">
    <w:name w:val="Comment Subject Char"/>
    <w:basedOn w:val="CommentTextChar"/>
    <w:link w:val="CommentSubject"/>
    <w:uiPriority w:val="99"/>
    <w:semiHidden/>
    <w:rsid w:val="007B4AE0"/>
    <w:rPr>
      <w:rFonts w:ascii="Times New Roman" w:eastAsia="Times New Roman" w:hAnsi="Times New Roman" w:cs="Times New Roman"/>
      <w:b/>
      <w:bCs/>
      <w:kern w:val="0"/>
      <w:sz w:val="20"/>
      <w:szCs w:val="20"/>
      <w:lang w:val="nb-NO"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3389/fendo.2022.919223" TargetMode="External"/><Relationship Id="rId26" Type="http://schemas.openxmlformats.org/officeDocument/2006/relationships/hyperlink" Target="https://doi.org/10.1016/S0140-6736(23)01301-6" TargetMode="External"/><Relationship Id="rId39" Type="http://schemas.openxmlformats.org/officeDocument/2006/relationships/hyperlink" Target="https://doi.org/10.1186/s12872-023-03165-3" TargetMode="External"/><Relationship Id="rId21" Type="http://schemas.openxmlformats.org/officeDocument/2006/relationships/hyperlink" Target="https://doi.org/10.3389/fpubh.2021.559595" TargetMode="External"/><Relationship Id="rId34" Type="http://schemas.openxmlformats.org/officeDocument/2006/relationships/hyperlink" Target="https://www.ncbi.nlm.nih.gov/books/NBK597416/" TargetMode="External"/><Relationship Id="rId42" Type="http://schemas.openxmlformats.org/officeDocument/2006/relationships/hyperlink" Target="https://doi.org/10.3389/fphar.2020.586187" TargetMode="External"/><Relationship Id="rId47" Type="http://schemas.openxmlformats.org/officeDocument/2006/relationships/hyperlink" Target="https://doi.org/10.2174/1874192401105010076" TargetMode="External"/><Relationship Id="rId50" Type="http://schemas.openxmlformats.org/officeDocument/2006/relationships/hyperlink" Target="https://doi.org/10.1016/j.colegn.2022.08.010"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doi.org/10.1186/s12992-022-00897-3" TargetMode="External"/><Relationship Id="rId11" Type="http://schemas.openxmlformats.org/officeDocument/2006/relationships/header" Target="header3.xml"/><Relationship Id="rId24" Type="http://schemas.openxmlformats.org/officeDocument/2006/relationships/hyperlink" Target="https://doi.org/10.3390/nu13114176" TargetMode="External"/><Relationship Id="rId32" Type="http://schemas.openxmlformats.org/officeDocument/2006/relationships/hyperlink" Target="https://www.ncbi.nlm.nih.gov/books/NBK571813/" TargetMode="External"/><Relationship Id="rId37" Type="http://schemas.openxmlformats.org/officeDocument/2006/relationships/hyperlink" Target="https://doi.org/10.1016/j.ydbio.2022.11.003" TargetMode="External"/><Relationship Id="rId40" Type="http://schemas.openxmlformats.org/officeDocument/2006/relationships/hyperlink" Target="https://doi.org/10.1371/journal.pone.0319648" TargetMode="External"/><Relationship Id="rId45" Type="http://schemas.openxmlformats.org/officeDocument/2006/relationships/hyperlink" Target="https://doi.org/10.1111/j.1600-0528.2011.00623.x"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doi.org/10.21149/14832" TargetMode="External"/><Relationship Id="rId31" Type="http://schemas.openxmlformats.org/officeDocument/2006/relationships/hyperlink" Target="https://doi.org/10.1185/03007995.2016.1168291" TargetMode="External"/><Relationship Id="rId44" Type="http://schemas.openxmlformats.org/officeDocument/2006/relationships/hyperlink" Target="https://doi.org/10.1016/j.eclinm.2022.101584" TargetMode="External"/><Relationship Id="rId52" Type="http://schemas.openxmlformats.org/officeDocument/2006/relationships/hyperlink" Target="https://doi.org/10.1111/luts.1242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s://doi.org/10.1016/j.ecl.2021.05.012" TargetMode="External"/><Relationship Id="rId27" Type="http://schemas.openxmlformats.org/officeDocument/2006/relationships/hyperlink" Target="https://doi.org/10.3390/ijms22115808" TargetMode="External"/><Relationship Id="rId30" Type="http://schemas.openxmlformats.org/officeDocument/2006/relationships/hyperlink" Target="https://doi.org/10.2337/dci20-0053" TargetMode="External"/><Relationship Id="rId35" Type="http://schemas.openxmlformats.org/officeDocument/2006/relationships/hyperlink" Target="https://doi.org/10.1210/er.2015-1137" TargetMode="External"/><Relationship Id="rId43" Type="http://schemas.openxmlformats.org/officeDocument/2006/relationships/hyperlink" Target="https://doi.org/10.4082/kjfm.20.0165" TargetMode="External"/><Relationship Id="rId48" Type="http://schemas.openxmlformats.org/officeDocument/2006/relationships/hyperlink" Target="https://doi.org/10.4239/wjd.v5.i6.835" TargetMode="External"/><Relationship Id="rId8" Type="http://schemas.openxmlformats.org/officeDocument/2006/relationships/header" Target="header2.xml"/><Relationship Id="rId51" Type="http://schemas.openxmlformats.org/officeDocument/2006/relationships/hyperlink" Target="https://doi.org/10.1016/j.amepre.2023.05.011"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1016/S0140-6736(23)01301-6" TargetMode="External"/><Relationship Id="rId25" Type="http://schemas.openxmlformats.org/officeDocument/2006/relationships/hyperlink" Target="https://doi.org/10.1007/s00125-002-1012-5" TargetMode="External"/><Relationship Id="rId33" Type="http://schemas.openxmlformats.org/officeDocument/2006/relationships/hyperlink" Target="https://www.diabetesatlas.org" TargetMode="External"/><Relationship Id="rId38" Type="http://schemas.openxmlformats.org/officeDocument/2006/relationships/hyperlink" Target="https://doi.org/10.4239/wjd.v15.i8.1663" TargetMode="External"/><Relationship Id="rId46" Type="http://schemas.openxmlformats.org/officeDocument/2006/relationships/hyperlink" Target="https://doi.org/10.14739/2310-1210.2021.6.232495" TargetMode="External"/><Relationship Id="rId20" Type="http://schemas.openxmlformats.org/officeDocument/2006/relationships/hyperlink" Target="https://doi.org/10.26633/RPSP.2017.128" TargetMode="External"/><Relationship Id="rId41" Type="http://schemas.openxmlformats.org/officeDocument/2006/relationships/hyperlink" Target="https://doi.org/10.1001/jama.2014.303"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doi.org/10.1186/s13293-019-0277-z" TargetMode="External"/><Relationship Id="rId28" Type="http://schemas.openxmlformats.org/officeDocument/2006/relationships/hyperlink" Target="https://doi.org/10.1016/j.medcli.2016.10.041" TargetMode="External"/><Relationship Id="rId36" Type="http://schemas.openxmlformats.org/officeDocument/2006/relationships/hyperlink" Target="https://doi.org/10.2337/cd21-0119" TargetMode="External"/><Relationship Id="rId49" Type="http://schemas.openxmlformats.org/officeDocument/2006/relationships/hyperlink" Target="https://doi.org/10.3390/jcm1306154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2766</TotalTime>
  <Pages>18</Pages>
  <Words>9174</Words>
  <Characters>52294</Characters>
  <Application>Microsoft Office Word</Application>
  <DocSecurity>0</DocSecurity>
  <Lines>435</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López Hernández</dc:creator>
  <cp:keywords/>
  <dc:description/>
  <cp:lastModifiedBy>SDI 1084</cp:lastModifiedBy>
  <cp:revision>128</cp:revision>
  <dcterms:created xsi:type="dcterms:W3CDTF">2025-07-17T04:25:00Z</dcterms:created>
  <dcterms:modified xsi:type="dcterms:W3CDTF">2025-09-15T12:44:00Z</dcterms:modified>
</cp:coreProperties>
</file>