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DC10B" w14:textId="77777777" w:rsidR="003A459A" w:rsidRPr="003A459A" w:rsidRDefault="003A459A" w:rsidP="003A459A">
      <w:pPr>
        <w:spacing w:before="240" w:after="240"/>
        <w:rPr>
          <w:rFonts w:asciiTheme="majorHAnsi" w:eastAsiaTheme="majorEastAsia" w:hAnsiTheme="majorHAnsi" w:cstheme="majorBidi"/>
          <w:b/>
          <w:bCs/>
          <w:color w:val="2E74B5" w:themeColor="accent1" w:themeShade="BF"/>
          <w:sz w:val="28"/>
          <w:szCs w:val="28"/>
        </w:rPr>
      </w:pPr>
      <w:r w:rsidRPr="003A459A">
        <w:rPr>
          <w:rFonts w:asciiTheme="majorHAnsi" w:eastAsiaTheme="majorEastAsia" w:hAnsiTheme="majorHAnsi" w:cstheme="majorBidi"/>
          <w:b/>
          <w:bCs/>
          <w:color w:val="2E74B5" w:themeColor="accent1" w:themeShade="BF"/>
          <w:sz w:val="28"/>
          <w:szCs w:val="28"/>
        </w:rPr>
        <w:t xml:space="preserve">Case report </w:t>
      </w:r>
    </w:p>
    <w:p w14:paraId="1F05E225" w14:textId="77777777" w:rsidR="003A459A" w:rsidRDefault="003A459A" w:rsidP="003A459A">
      <w:pPr>
        <w:spacing w:before="240" w:after="240"/>
        <w:rPr>
          <w:rFonts w:asciiTheme="majorHAnsi" w:eastAsiaTheme="majorEastAsia" w:hAnsiTheme="majorHAnsi" w:cstheme="majorBidi"/>
          <w:b/>
          <w:bCs/>
          <w:color w:val="2E74B5" w:themeColor="accent1" w:themeShade="BF"/>
          <w:sz w:val="28"/>
          <w:szCs w:val="28"/>
        </w:rPr>
      </w:pPr>
      <w:r w:rsidRPr="003A459A">
        <w:rPr>
          <w:rFonts w:asciiTheme="majorHAnsi" w:eastAsiaTheme="majorEastAsia" w:hAnsiTheme="majorHAnsi" w:cstheme="majorBidi"/>
          <w:b/>
          <w:bCs/>
          <w:color w:val="2E74B5" w:themeColor="accent1" w:themeShade="BF"/>
          <w:sz w:val="28"/>
          <w:szCs w:val="28"/>
        </w:rPr>
        <w:t xml:space="preserve">Successful Percutaneous Device Closure of a Large </w:t>
      </w:r>
      <w:proofErr w:type="spellStart"/>
      <w:r w:rsidRPr="003A459A">
        <w:rPr>
          <w:rFonts w:asciiTheme="majorHAnsi" w:eastAsiaTheme="majorEastAsia" w:hAnsiTheme="majorHAnsi" w:cstheme="majorBidi"/>
          <w:b/>
          <w:bCs/>
          <w:color w:val="2E74B5" w:themeColor="accent1" w:themeShade="BF"/>
          <w:sz w:val="28"/>
          <w:szCs w:val="28"/>
        </w:rPr>
        <w:t>Secundum</w:t>
      </w:r>
      <w:proofErr w:type="spellEnd"/>
      <w:r w:rsidRPr="003A459A">
        <w:rPr>
          <w:rFonts w:asciiTheme="majorHAnsi" w:eastAsiaTheme="majorEastAsia" w:hAnsiTheme="majorHAnsi" w:cstheme="majorBidi"/>
          <w:b/>
          <w:bCs/>
          <w:color w:val="2E74B5" w:themeColor="accent1" w:themeShade="BF"/>
          <w:sz w:val="28"/>
          <w:szCs w:val="28"/>
        </w:rPr>
        <w:t xml:space="preserve"> Atrial Septal Defect in an Elderly Female with COPD and Atrial Fibrillation:  A Case Report</w:t>
      </w:r>
    </w:p>
    <w:p w14:paraId="775D7977" w14:textId="77777777" w:rsidR="003A459A" w:rsidRDefault="003A459A" w:rsidP="003A459A">
      <w:pPr>
        <w:spacing w:before="240" w:after="240"/>
      </w:pPr>
    </w:p>
    <w:p w14:paraId="4E49BDDE" w14:textId="77777777" w:rsidR="0059183B" w:rsidRPr="00C03A94" w:rsidRDefault="0059183B" w:rsidP="0059183B">
      <w:bookmarkStart w:id="0" w:name="_GoBack"/>
      <w:bookmarkEnd w:id="0"/>
    </w:p>
    <w:p w14:paraId="7E05C83C" w14:textId="77777777" w:rsidR="0059183B" w:rsidRDefault="00EB79BA" w:rsidP="0059183B">
      <w:r>
        <w:rPr>
          <w:noProof/>
        </w:rPr>
        <w:pict w14:anchorId="58A88395">
          <v:rect id="_x0000_i1025" style="width:0;height:1.5pt" o:hralign="center" o:hrstd="t" o:hr="t" fillcolor="#a0a0a0" stroked="f"/>
        </w:pict>
      </w:r>
      <w:r w:rsidR="0059183B">
        <w:t>Abstract</w:t>
      </w:r>
    </w:p>
    <w:p w14:paraId="3EDF96CA" w14:textId="77777777" w:rsidR="0059183B" w:rsidRDefault="0059183B" w:rsidP="0059183B">
      <w:pPr>
        <w:pStyle w:val="NormalWeb"/>
      </w:pPr>
      <w:r>
        <w:t xml:space="preserve">We describe a 72-year-old female with chronic obstructive pulmonary disease (COPD), atrial fibrillation, and a large ostium </w:t>
      </w:r>
      <w:proofErr w:type="spellStart"/>
      <w:r>
        <w:t>secundum</w:t>
      </w:r>
      <w:proofErr w:type="spellEnd"/>
      <w:r>
        <w:t xml:space="preserve"> atrial septal defect (ASD), who presented with progressive </w:t>
      </w:r>
      <w:proofErr w:type="spellStart"/>
      <w:r>
        <w:t>dyspnea</w:t>
      </w:r>
      <w:proofErr w:type="spellEnd"/>
      <w:r>
        <w:t xml:space="preserve">, hypoxemia, and acute COPD exacerbation. Despite advanced age, lung disease, arrhythmia, and a high surgical risk score, the defect was successfully closed percutaneously using a 46 mm </w:t>
      </w:r>
      <w:proofErr w:type="spellStart"/>
      <w:r>
        <w:t>Lifetech</w:t>
      </w:r>
      <w:proofErr w:type="spellEnd"/>
      <w:r>
        <w:t xml:space="preserve"> CERA device. This case demonstrates that transcatheter ASD closure can be safely and effectively performed in carefully selected elderly patients with significant left-to-right shunting and without Eisenmenger physiology, even in the presence of multiple comorbidities (1–3).</w:t>
      </w:r>
    </w:p>
    <w:p w14:paraId="22A899ED" w14:textId="77777777" w:rsidR="0059183B" w:rsidRDefault="00EB79BA" w:rsidP="0059183B">
      <w:r>
        <w:rPr>
          <w:noProof/>
        </w:rPr>
        <w:pict w14:anchorId="10F3368A">
          <v:rect id="_x0000_i1026" style="width:0;height:1.5pt" o:hralign="center" o:hrstd="t" o:hr="t" fillcolor="#a0a0a0" stroked="f"/>
        </w:pict>
      </w:r>
    </w:p>
    <w:p w14:paraId="3925EB12" w14:textId="77777777" w:rsidR="0059183B" w:rsidRDefault="0059183B" w:rsidP="0059183B">
      <w:pPr>
        <w:pStyle w:val="Heading3"/>
      </w:pPr>
      <w:r>
        <w:t>Introduction</w:t>
      </w:r>
    </w:p>
    <w:p w14:paraId="7EB7E06F" w14:textId="77777777" w:rsidR="0059183B" w:rsidRDefault="0059183B" w:rsidP="0059183B">
      <w:pPr>
        <w:pStyle w:val="NormalWeb"/>
      </w:pPr>
      <w:r>
        <w:t>Atrial septal defect (ASD) represents about 5–10% of congenital heart disease in adults and is often undiagnosed until later life (4). Hemodynamically significant ASDs can lead to right-sided chamber enlargement, pulmonary hypertension (PH), tricuspid regurgitation (TR), and atrial arrhythmias (5,6). In elderly patients, surgical closure carries increased perioperative risk, particularly when COPD and frailty coexist (7). For appropriately selected anatomies, transcatheter closure has become the preferred strategy and is feasible even in high-risk groups (8).</w:t>
      </w:r>
    </w:p>
    <w:p w14:paraId="6F2A0CCA" w14:textId="77777777" w:rsidR="0059183B" w:rsidRDefault="0059183B" w:rsidP="0059183B">
      <w:pPr>
        <w:pStyle w:val="Heading3"/>
      </w:pPr>
      <w:r>
        <w:t>Case Presentation</w:t>
      </w:r>
    </w:p>
    <w:p w14:paraId="3B3994FF" w14:textId="77777777" w:rsidR="00785188" w:rsidRDefault="00785188" w:rsidP="0059183B"/>
    <w:p w14:paraId="2B15DEF8" w14:textId="77777777" w:rsidR="0059183B" w:rsidRPr="00007EE5" w:rsidRDefault="0059183B" w:rsidP="0059183B">
      <w:pPr>
        <w:rPr>
          <w:rFonts w:ascii="Times New Roman" w:hAnsi="Times New Roman" w:cs="Times New Roman"/>
        </w:rPr>
      </w:pPr>
      <w:r w:rsidRPr="00007EE5">
        <w:rPr>
          <w:rFonts w:ascii="Times New Roman" w:hAnsi="Times New Roman" w:cs="Times New Roman"/>
        </w:rPr>
        <w:t xml:space="preserve">A 72-year-old female, known case of COPD, presented with progressive dyspnea on exertion (NYHA II–III) for 3 months, and fever with dry cough for 5 days. On examination her Oxygen saturation was 88–90% on room air, she had Bilateral wheeze and Irregular pulse. ECG showed Atrial fibrillation with fast ventricular response (FVR) and right bundle branch block (RBBB). </w:t>
      </w:r>
    </w:p>
    <w:p w14:paraId="01178BE4" w14:textId="77777777" w:rsidR="0059183B" w:rsidRPr="00007EE5" w:rsidRDefault="0059183B" w:rsidP="0059183B">
      <w:pPr>
        <w:rPr>
          <w:rFonts w:ascii="Times New Roman" w:hAnsi="Times New Roman" w:cs="Times New Roman"/>
        </w:rPr>
      </w:pPr>
      <w:r w:rsidRPr="00007EE5">
        <w:rPr>
          <w:rFonts w:ascii="Times New Roman" w:hAnsi="Times New Roman" w:cs="Times New Roman"/>
        </w:rPr>
        <w:t xml:space="preserve">On 2D Echocardiography (Figure 1) patient had Large Ostium </w:t>
      </w:r>
      <w:proofErr w:type="spellStart"/>
      <w:r w:rsidRPr="00007EE5">
        <w:rPr>
          <w:rFonts w:ascii="Times New Roman" w:hAnsi="Times New Roman" w:cs="Times New Roman"/>
        </w:rPr>
        <w:t>secundum</w:t>
      </w:r>
      <w:proofErr w:type="spellEnd"/>
      <w:r w:rsidRPr="00007EE5">
        <w:rPr>
          <w:rFonts w:ascii="Times New Roman" w:hAnsi="Times New Roman" w:cs="Times New Roman"/>
        </w:rPr>
        <w:t xml:space="preserve"> ASD (~40 mm) with left-to-right </w:t>
      </w:r>
      <w:proofErr w:type="gramStart"/>
      <w:r w:rsidRPr="00007EE5">
        <w:rPr>
          <w:rFonts w:ascii="Times New Roman" w:hAnsi="Times New Roman" w:cs="Times New Roman"/>
        </w:rPr>
        <w:t>shunt ,</w:t>
      </w:r>
      <w:proofErr w:type="gramEnd"/>
      <w:r w:rsidRPr="00007EE5">
        <w:rPr>
          <w:rFonts w:ascii="Times New Roman" w:hAnsi="Times New Roman" w:cs="Times New Roman"/>
        </w:rPr>
        <w:t xml:space="preserve"> Severe TR, severe PAH . RA, RV Dilated with RA measuring 58 x 62mm and RV at base </w:t>
      </w:r>
      <w:proofErr w:type="gramStart"/>
      <w:r w:rsidRPr="00007EE5">
        <w:rPr>
          <w:rFonts w:ascii="Times New Roman" w:hAnsi="Times New Roman" w:cs="Times New Roman"/>
        </w:rPr>
        <w:t>measuring  44</w:t>
      </w:r>
      <w:proofErr w:type="gramEnd"/>
      <w:r w:rsidRPr="00007EE5">
        <w:rPr>
          <w:rFonts w:ascii="Times New Roman" w:hAnsi="Times New Roman" w:cs="Times New Roman"/>
        </w:rPr>
        <w:t xml:space="preserve">mm , MPA measuring 29mm , Pulmonary  Acceleration Time 82ms,  LVEF: 60% , TAPSE: 15.2 mm,  IVC 16mm </w:t>
      </w:r>
      <w:proofErr w:type="spellStart"/>
      <w:r w:rsidRPr="00007EE5">
        <w:rPr>
          <w:rFonts w:ascii="Times New Roman" w:hAnsi="Times New Roman" w:cs="Times New Roman"/>
        </w:rPr>
        <w:t>dialted</w:t>
      </w:r>
      <w:proofErr w:type="spellEnd"/>
      <w:r w:rsidRPr="00007EE5">
        <w:rPr>
          <w:rFonts w:ascii="Times New Roman" w:hAnsi="Times New Roman" w:cs="Times New Roman"/>
        </w:rPr>
        <w:t xml:space="preserve">, with Hepatic diastolic flow reversal.  </w:t>
      </w:r>
      <w:r w:rsidRPr="00007EE5">
        <w:rPr>
          <w:rFonts w:ascii="Times New Roman" w:hAnsi="Times New Roman" w:cs="Times New Roman"/>
        </w:rPr>
        <w:br/>
      </w:r>
      <w:r w:rsidRPr="00007EE5">
        <w:rPr>
          <w:rFonts w:ascii="Times New Roman" w:hAnsi="Times New Roman" w:cs="Times New Roman"/>
        </w:rPr>
        <w:lastRenderedPageBreak/>
        <w:br/>
        <w:t xml:space="preserve">Pulmonary Function Test done s/o Restrictive ventilatory defect with small airway obstructive ventilatory Defect. (Table 1). Patient managed medically with Non-invasive ventilation (NIV), antibiotics, nebulization, diuretics, and rate </w:t>
      </w:r>
      <w:proofErr w:type="gramStart"/>
      <w:r w:rsidRPr="00007EE5">
        <w:rPr>
          <w:rFonts w:ascii="Times New Roman" w:hAnsi="Times New Roman" w:cs="Times New Roman"/>
        </w:rPr>
        <w:t>control  with</w:t>
      </w:r>
      <w:proofErr w:type="gramEnd"/>
      <w:r w:rsidRPr="00007EE5">
        <w:rPr>
          <w:rFonts w:ascii="Times New Roman" w:hAnsi="Times New Roman" w:cs="Times New Roman"/>
        </w:rPr>
        <w:t xml:space="preserve"> symptomatic improvement.</w:t>
      </w:r>
    </w:p>
    <w:p w14:paraId="7F5E5B5A" w14:textId="77777777" w:rsidR="0059183B" w:rsidRPr="00007EE5" w:rsidRDefault="0059183B" w:rsidP="0059183B">
      <w:pPr>
        <w:rPr>
          <w:rFonts w:ascii="Times New Roman" w:hAnsi="Times New Roman" w:cs="Times New Roman"/>
        </w:rPr>
      </w:pPr>
      <w:r w:rsidRPr="005705B2">
        <w:rPr>
          <w:rFonts w:ascii="Times New Roman" w:hAnsi="Times New Roman" w:cs="Times New Roman"/>
        </w:rPr>
        <w:t xml:space="preserve">Post Medical management Review 2D Echo done s/o decrease in PAH from severe to Moderate. After medical stabilization Patient underwent Cardiac catheterization study s/o </w:t>
      </w:r>
      <w:proofErr w:type="spellStart"/>
      <w:r w:rsidRPr="005705B2">
        <w:rPr>
          <w:rFonts w:ascii="Times New Roman" w:hAnsi="Times New Roman" w:cs="Times New Roman"/>
        </w:rPr>
        <w:t>Qp</w:t>
      </w:r>
      <w:proofErr w:type="spellEnd"/>
      <w:r w:rsidRPr="005705B2">
        <w:rPr>
          <w:rFonts w:ascii="Times New Roman" w:hAnsi="Times New Roman" w:cs="Times New Roman"/>
        </w:rPr>
        <w:t xml:space="preserve">/Qs: 3.47, PVR: 3.07 Wood </w:t>
      </w:r>
      <w:proofErr w:type="gramStart"/>
      <w:r w:rsidRPr="005705B2">
        <w:rPr>
          <w:rFonts w:ascii="Times New Roman" w:hAnsi="Times New Roman" w:cs="Times New Roman"/>
        </w:rPr>
        <w:t>units ,</w:t>
      </w:r>
      <w:proofErr w:type="gramEnd"/>
      <w:r w:rsidRPr="005705B2">
        <w:rPr>
          <w:rFonts w:ascii="Times New Roman" w:hAnsi="Times New Roman" w:cs="Times New Roman"/>
        </w:rPr>
        <w:t xml:space="preserve"> SVR: 41.17 Wood units and predominant L </w:t>
      </w:r>
      <w:r w:rsidRPr="005705B2">
        <w:rPr>
          <w:rFonts w:ascii="Times New Roman" w:hAnsi="Times New Roman" w:cs="Times New Roman"/>
        </w:rPr>
        <w:sym w:font="Wingdings" w:char="F0E0"/>
      </w:r>
      <w:r w:rsidRPr="005705B2">
        <w:rPr>
          <w:rFonts w:ascii="Times New Roman" w:hAnsi="Times New Roman" w:cs="Times New Roman"/>
        </w:rPr>
        <w:t xml:space="preserve"> R shunt with no </w:t>
      </w:r>
      <w:proofErr w:type="spellStart"/>
      <w:r w:rsidRPr="005705B2">
        <w:rPr>
          <w:rFonts w:ascii="Times New Roman" w:hAnsi="Times New Roman" w:cs="Times New Roman"/>
        </w:rPr>
        <w:t>Eisenmengerization</w:t>
      </w:r>
      <w:proofErr w:type="spellEnd"/>
      <w:r w:rsidRPr="005705B2">
        <w:rPr>
          <w:rFonts w:ascii="Times New Roman" w:hAnsi="Times New Roman" w:cs="Times New Roman"/>
        </w:rPr>
        <w:t xml:space="preserve">. Coronary angiography done in view </w:t>
      </w:r>
      <w:proofErr w:type="gramStart"/>
      <w:r w:rsidRPr="005705B2">
        <w:rPr>
          <w:rFonts w:ascii="Times New Roman" w:hAnsi="Times New Roman" w:cs="Times New Roman"/>
        </w:rPr>
        <w:t>of  old</w:t>
      </w:r>
      <w:proofErr w:type="gramEnd"/>
      <w:r w:rsidRPr="005705B2">
        <w:rPr>
          <w:rFonts w:ascii="Times New Roman" w:hAnsi="Times New Roman" w:cs="Times New Roman"/>
        </w:rPr>
        <w:t xml:space="preserve"> age s/o Normal coronaries.</w:t>
      </w:r>
      <w:r w:rsidRPr="005705B2">
        <w:rPr>
          <w:rFonts w:ascii="Times New Roman" w:hAnsi="Times New Roman" w:cs="Times New Roman"/>
        </w:rPr>
        <w:br/>
      </w:r>
      <w:r w:rsidRPr="005705B2">
        <w:rPr>
          <w:rFonts w:ascii="Times New Roman" w:hAnsi="Times New Roman" w:cs="Times New Roman"/>
        </w:rPr>
        <w:br/>
        <w:t>Given the large defect, Significant left to right shunt with reversible PH, normal coronaries, and high surgical risk device closure was performed</w:t>
      </w:r>
      <w:r w:rsidRPr="00007EE5">
        <w:rPr>
          <w:rFonts w:ascii="Times New Roman" w:hAnsi="Times New Roman" w:cs="Times New Roman"/>
        </w:rPr>
        <w:t>.</w:t>
      </w:r>
    </w:p>
    <w:p w14:paraId="61E38E5F" w14:textId="77777777" w:rsidR="0059183B" w:rsidRPr="008875E0" w:rsidRDefault="0059183B" w:rsidP="0059183B">
      <w:pPr>
        <w:rPr>
          <w:noProof/>
          <w:sz w:val="20"/>
          <w:lang w:val="en-IN" w:eastAsia="en-IN"/>
        </w:rPr>
      </w:pPr>
      <w:r w:rsidRPr="007B7283">
        <w:rPr>
          <w:noProof/>
          <w:lang w:val="en-IN" w:eastAsia="en-IN"/>
        </w:rPr>
        <w:drawing>
          <wp:inline distT="0" distB="0" distL="0" distR="0" wp14:anchorId="1EB4D02E" wp14:editId="19A342F0">
            <wp:extent cx="1924050" cy="1851025"/>
            <wp:effectExtent l="0" t="0" r="0" b="0"/>
            <wp:docPr id="12" name="Picture 12" descr="C:\Users\Admin\Desktop\devka asd\Capture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Desktop\devka asd\Capture0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4050" cy="1851025"/>
                    </a:xfrm>
                    <a:prstGeom prst="rect">
                      <a:avLst/>
                    </a:prstGeom>
                    <a:noFill/>
                    <a:ln>
                      <a:noFill/>
                    </a:ln>
                  </pic:spPr>
                </pic:pic>
              </a:graphicData>
            </a:graphic>
          </wp:inline>
        </w:drawing>
      </w:r>
      <w:r>
        <w:rPr>
          <w:noProof/>
          <w:lang w:val="en-IN" w:eastAsia="en-IN"/>
        </w:rPr>
        <w:t xml:space="preserve">       </w:t>
      </w:r>
    </w:p>
    <w:p w14:paraId="71D9AF7F" w14:textId="77777777" w:rsidR="0059183B" w:rsidRDefault="0059183B" w:rsidP="0059183B">
      <w:pPr>
        <w:spacing w:after="0"/>
        <w:rPr>
          <w:rFonts w:ascii="Times New Roman" w:hAnsi="Times New Roman" w:cs="Times New Roman"/>
          <w:noProof/>
          <w:sz w:val="18"/>
          <w:lang w:val="en-IN" w:eastAsia="en-IN"/>
        </w:rPr>
      </w:pPr>
      <w:r w:rsidRPr="00007EE5">
        <w:rPr>
          <w:rFonts w:ascii="Times New Roman" w:hAnsi="Times New Roman" w:cs="Times New Roman"/>
          <w:noProof/>
          <w:sz w:val="18"/>
          <w:lang w:val="en-IN" w:eastAsia="en-IN"/>
        </w:rPr>
        <w:t>Figure 1. Transthorasic Echocardiography Apical 4 chamber view showing large ostium secondum Atrial Septal Defect.</w:t>
      </w:r>
    </w:p>
    <w:p w14:paraId="472E84EF" w14:textId="77777777" w:rsidR="0059183B" w:rsidRPr="00007EE5" w:rsidRDefault="0059183B" w:rsidP="0059183B">
      <w:pPr>
        <w:spacing w:after="0"/>
        <w:rPr>
          <w:rFonts w:ascii="Times New Roman" w:hAnsi="Times New Roman" w:cs="Times New Roman"/>
          <w:noProof/>
          <w:sz w:val="18"/>
          <w:lang w:val="en-IN" w:eastAsia="en-IN"/>
        </w:rPr>
      </w:pPr>
    </w:p>
    <w:p w14:paraId="5EAEB0F2" w14:textId="77777777" w:rsidR="0059183B" w:rsidRPr="00007EE5" w:rsidRDefault="0059183B" w:rsidP="0059183B">
      <w:pPr>
        <w:spacing w:after="0"/>
        <w:rPr>
          <w:rFonts w:ascii="Times New Roman" w:hAnsi="Times New Roman" w:cs="Times New Roman"/>
          <w:noProof/>
          <w:sz w:val="18"/>
          <w:lang w:val="en-IN" w:eastAsia="en-IN"/>
        </w:rPr>
      </w:pPr>
      <w:r w:rsidRPr="00007EE5">
        <w:rPr>
          <w:rFonts w:ascii="Times New Roman" w:hAnsi="Times New Roman" w:cs="Times New Roman"/>
          <w:noProof/>
          <w:sz w:val="18"/>
          <w:lang w:val="en-IN" w:eastAsia="en-IN"/>
        </w:rPr>
        <w:t xml:space="preserve">Pulmonary Function Test : </w:t>
      </w:r>
    </w:p>
    <w:tbl>
      <w:tblPr>
        <w:tblStyle w:val="TableGrid"/>
        <w:tblW w:w="0" w:type="auto"/>
        <w:tblInd w:w="-289" w:type="dxa"/>
        <w:tblLook w:val="04A0" w:firstRow="1" w:lastRow="0" w:firstColumn="1" w:lastColumn="0" w:noHBand="0" w:noVBand="1"/>
      </w:tblPr>
      <w:tblGrid>
        <w:gridCol w:w="1521"/>
        <w:gridCol w:w="1233"/>
        <w:gridCol w:w="1233"/>
        <w:gridCol w:w="1233"/>
        <w:gridCol w:w="1233"/>
        <w:gridCol w:w="1233"/>
        <w:gridCol w:w="1233"/>
      </w:tblGrid>
      <w:tr w:rsidR="0059183B" w14:paraId="1A4A6365" w14:textId="77777777" w:rsidTr="00FF3FEE">
        <w:tc>
          <w:tcPr>
            <w:tcW w:w="1521" w:type="dxa"/>
            <w:shd w:val="clear" w:color="auto" w:fill="0070C0"/>
          </w:tcPr>
          <w:p w14:paraId="6EC711DF" w14:textId="77777777" w:rsidR="0059183B" w:rsidRPr="00BA3D8C" w:rsidRDefault="0059183B" w:rsidP="00FF3FEE">
            <w:pPr>
              <w:tabs>
                <w:tab w:val="left" w:pos="1170"/>
              </w:tabs>
              <w:rPr>
                <w:noProof/>
                <w:color w:val="FFFFFF" w:themeColor="background1"/>
                <w:sz w:val="18"/>
                <w:lang w:val="en-IN" w:eastAsia="en-IN"/>
              </w:rPr>
            </w:pPr>
            <w:r w:rsidRPr="00BA3D8C">
              <w:rPr>
                <w:noProof/>
                <w:color w:val="FFFFFF" w:themeColor="background1"/>
                <w:sz w:val="18"/>
                <w:lang w:val="en-IN" w:eastAsia="en-IN"/>
              </w:rPr>
              <w:tab/>
            </w:r>
          </w:p>
        </w:tc>
        <w:tc>
          <w:tcPr>
            <w:tcW w:w="3699" w:type="dxa"/>
            <w:gridSpan w:val="3"/>
            <w:shd w:val="clear" w:color="auto" w:fill="ACB9CA" w:themeFill="text2" w:themeFillTint="66"/>
          </w:tcPr>
          <w:p w14:paraId="66058FAC" w14:textId="77777777" w:rsidR="0059183B" w:rsidRDefault="0059183B" w:rsidP="00FF3FEE">
            <w:pPr>
              <w:jc w:val="center"/>
              <w:rPr>
                <w:noProof/>
                <w:sz w:val="18"/>
                <w:lang w:val="en-IN" w:eastAsia="en-IN"/>
              </w:rPr>
            </w:pPr>
            <w:r w:rsidRPr="00BA3D8C">
              <w:rPr>
                <w:noProof/>
                <w:sz w:val="18"/>
                <w:shd w:val="clear" w:color="auto" w:fill="ACB9CA" w:themeFill="text2" w:themeFillTint="66"/>
                <w:lang w:val="en-IN" w:eastAsia="en-IN"/>
              </w:rPr>
              <w:t>PR</w:t>
            </w:r>
            <w:r>
              <w:rPr>
                <w:noProof/>
                <w:sz w:val="18"/>
                <w:lang w:val="en-IN" w:eastAsia="en-IN"/>
              </w:rPr>
              <w:t>E BRONCHODILATOR</w:t>
            </w:r>
          </w:p>
        </w:tc>
        <w:tc>
          <w:tcPr>
            <w:tcW w:w="3699" w:type="dxa"/>
            <w:gridSpan w:val="3"/>
            <w:shd w:val="clear" w:color="auto" w:fill="ACB9CA" w:themeFill="text2" w:themeFillTint="66"/>
          </w:tcPr>
          <w:p w14:paraId="7E659678" w14:textId="77777777" w:rsidR="0059183B" w:rsidRDefault="0059183B" w:rsidP="00FF3FEE">
            <w:pPr>
              <w:jc w:val="center"/>
              <w:rPr>
                <w:noProof/>
                <w:sz w:val="18"/>
                <w:lang w:val="en-IN" w:eastAsia="en-IN"/>
              </w:rPr>
            </w:pPr>
            <w:r>
              <w:rPr>
                <w:noProof/>
                <w:sz w:val="18"/>
                <w:lang w:val="en-IN" w:eastAsia="en-IN"/>
              </w:rPr>
              <w:t>POST BRONCHODILATOR</w:t>
            </w:r>
          </w:p>
        </w:tc>
      </w:tr>
      <w:tr w:rsidR="0059183B" w14:paraId="6511182B" w14:textId="77777777" w:rsidTr="00FF3FEE">
        <w:tc>
          <w:tcPr>
            <w:tcW w:w="1521" w:type="dxa"/>
            <w:shd w:val="clear" w:color="auto" w:fill="0070C0"/>
          </w:tcPr>
          <w:p w14:paraId="32D3DF73" w14:textId="77777777" w:rsidR="0059183B" w:rsidRPr="00BA3D8C" w:rsidRDefault="0059183B" w:rsidP="00FF3FEE">
            <w:pPr>
              <w:rPr>
                <w:noProof/>
                <w:color w:val="FFFFFF" w:themeColor="background1"/>
                <w:sz w:val="18"/>
                <w:lang w:val="en-IN" w:eastAsia="en-IN"/>
              </w:rPr>
            </w:pPr>
            <w:r w:rsidRPr="00BA3D8C">
              <w:rPr>
                <w:noProof/>
                <w:color w:val="FFFFFF" w:themeColor="background1"/>
                <w:sz w:val="18"/>
                <w:lang w:val="en-IN" w:eastAsia="en-IN"/>
              </w:rPr>
              <w:t>Lung Volumes</w:t>
            </w:r>
          </w:p>
        </w:tc>
        <w:tc>
          <w:tcPr>
            <w:tcW w:w="1233" w:type="dxa"/>
            <w:shd w:val="clear" w:color="auto" w:fill="ACB9CA" w:themeFill="text2" w:themeFillTint="66"/>
          </w:tcPr>
          <w:p w14:paraId="05301CBE" w14:textId="77777777" w:rsidR="0059183B" w:rsidRDefault="0059183B" w:rsidP="00FF3FEE">
            <w:pPr>
              <w:rPr>
                <w:noProof/>
                <w:sz w:val="18"/>
                <w:lang w:val="en-IN" w:eastAsia="en-IN"/>
              </w:rPr>
            </w:pPr>
            <w:r>
              <w:rPr>
                <w:noProof/>
                <w:sz w:val="18"/>
                <w:lang w:val="en-IN" w:eastAsia="en-IN"/>
              </w:rPr>
              <w:t xml:space="preserve">ACTUAL </w:t>
            </w:r>
          </w:p>
        </w:tc>
        <w:tc>
          <w:tcPr>
            <w:tcW w:w="1233" w:type="dxa"/>
            <w:shd w:val="clear" w:color="auto" w:fill="ACB9CA" w:themeFill="text2" w:themeFillTint="66"/>
          </w:tcPr>
          <w:p w14:paraId="21CB4FF6" w14:textId="77777777" w:rsidR="0059183B" w:rsidRDefault="0059183B" w:rsidP="00FF3FEE">
            <w:pPr>
              <w:rPr>
                <w:noProof/>
                <w:sz w:val="18"/>
                <w:lang w:val="en-IN" w:eastAsia="en-IN"/>
              </w:rPr>
            </w:pPr>
            <w:r>
              <w:rPr>
                <w:noProof/>
                <w:sz w:val="18"/>
                <w:lang w:val="en-IN" w:eastAsia="en-IN"/>
              </w:rPr>
              <w:t xml:space="preserve">PRED </w:t>
            </w:r>
          </w:p>
        </w:tc>
        <w:tc>
          <w:tcPr>
            <w:tcW w:w="1233" w:type="dxa"/>
            <w:shd w:val="clear" w:color="auto" w:fill="ACB9CA" w:themeFill="text2" w:themeFillTint="66"/>
          </w:tcPr>
          <w:p w14:paraId="0FC746EB" w14:textId="77777777" w:rsidR="0059183B" w:rsidRDefault="0059183B" w:rsidP="00FF3FEE">
            <w:pPr>
              <w:rPr>
                <w:noProof/>
                <w:sz w:val="18"/>
                <w:lang w:val="en-IN" w:eastAsia="en-IN"/>
              </w:rPr>
            </w:pPr>
            <w:r>
              <w:rPr>
                <w:noProof/>
                <w:sz w:val="18"/>
                <w:lang w:val="en-IN" w:eastAsia="en-IN"/>
              </w:rPr>
              <w:t xml:space="preserve">% PRED </w:t>
            </w:r>
          </w:p>
        </w:tc>
        <w:tc>
          <w:tcPr>
            <w:tcW w:w="1233" w:type="dxa"/>
            <w:shd w:val="clear" w:color="auto" w:fill="ACB9CA" w:themeFill="text2" w:themeFillTint="66"/>
          </w:tcPr>
          <w:p w14:paraId="6AF861D6" w14:textId="77777777" w:rsidR="0059183B" w:rsidRDefault="0059183B" w:rsidP="00FF3FEE">
            <w:pPr>
              <w:rPr>
                <w:noProof/>
                <w:sz w:val="18"/>
                <w:lang w:val="en-IN" w:eastAsia="en-IN"/>
              </w:rPr>
            </w:pPr>
            <w:r>
              <w:rPr>
                <w:noProof/>
                <w:sz w:val="18"/>
                <w:lang w:val="en-IN" w:eastAsia="en-IN"/>
              </w:rPr>
              <w:t xml:space="preserve">ACTUAL </w:t>
            </w:r>
          </w:p>
        </w:tc>
        <w:tc>
          <w:tcPr>
            <w:tcW w:w="1233" w:type="dxa"/>
            <w:shd w:val="clear" w:color="auto" w:fill="ACB9CA" w:themeFill="text2" w:themeFillTint="66"/>
          </w:tcPr>
          <w:p w14:paraId="55CE3EFC" w14:textId="77777777" w:rsidR="0059183B" w:rsidRDefault="0059183B" w:rsidP="00FF3FEE">
            <w:pPr>
              <w:rPr>
                <w:noProof/>
                <w:sz w:val="18"/>
                <w:lang w:val="en-IN" w:eastAsia="en-IN"/>
              </w:rPr>
            </w:pPr>
            <w:r>
              <w:rPr>
                <w:noProof/>
                <w:sz w:val="18"/>
                <w:lang w:val="en-IN" w:eastAsia="en-IN"/>
              </w:rPr>
              <w:t xml:space="preserve">PRED </w:t>
            </w:r>
          </w:p>
        </w:tc>
        <w:tc>
          <w:tcPr>
            <w:tcW w:w="1233" w:type="dxa"/>
            <w:shd w:val="clear" w:color="auto" w:fill="ACB9CA" w:themeFill="text2" w:themeFillTint="66"/>
          </w:tcPr>
          <w:p w14:paraId="64532721" w14:textId="77777777" w:rsidR="0059183B" w:rsidRDefault="0059183B" w:rsidP="00FF3FEE">
            <w:pPr>
              <w:rPr>
                <w:noProof/>
                <w:sz w:val="18"/>
                <w:lang w:val="en-IN" w:eastAsia="en-IN"/>
              </w:rPr>
            </w:pPr>
            <w:r>
              <w:rPr>
                <w:noProof/>
                <w:sz w:val="18"/>
                <w:lang w:val="en-IN" w:eastAsia="en-IN"/>
              </w:rPr>
              <w:t xml:space="preserve">% PRED </w:t>
            </w:r>
          </w:p>
        </w:tc>
      </w:tr>
      <w:tr w:rsidR="0059183B" w14:paraId="232853DD" w14:textId="77777777" w:rsidTr="00FF3FEE">
        <w:tc>
          <w:tcPr>
            <w:tcW w:w="1521" w:type="dxa"/>
            <w:shd w:val="clear" w:color="auto" w:fill="0070C0"/>
          </w:tcPr>
          <w:p w14:paraId="5BD91B23" w14:textId="77777777" w:rsidR="0059183B" w:rsidRPr="00BA3D8C" w:rsidRDefault="0059183B" w:rsidP="00FF3FEE">
            <w:pPr>
              <w:rPr>
                <w:noProof/>
                <w:color w:val="FFFFFF" w:themeColor="background1"/>
                <w:sz w:val="18"/>
                <w:lang w:val="en-IN" w:eastAsia="en-IN"/>
              </w:rPr>
            </w:pPr>
            <w:r w:rsidRPr="00BA3D8C">
              <w:rPr>
                <w:noProof/>
                <w:color w:val="FFFFFF" w:themeColor="background1"/>
                <w:sz w:val="18"/>
                <w:lang w:val="en-IN" w:eastAsia="en-IN"/>
              </w:rPr>
              <w:t>MVV</w:t>
            </w:r>
          </w:p>
        </w:tc>
        <w:tc>
          <w:tcPr>
            <w:tcW w:w="1233" w:type="dxa"/>
            <w:shd w:val="clear" w:color="auto" w:fill="DEEAF6" w:themeFill="accent1" w:themeFillTint="33"/>
          </w:tcPr>
          <w:p w14:paraId="32F2EEAC" w14:textId="77777777" w:rsidR="0059183B" w:rsidRDefault="0059183B" w:rsidP="00FF3FEE">
            <w:pPr>
              <w:jc w:val="center"/>
              <w:rPr>
                <w:noProof/>
                <w:sz w:val="18"/>
                <w:lang w:val="en-IN" w:eastAsia="en-IN"/>
              </w:rPr>
            </w:pPr>
            <w:r>
              <w:rPr>
                <w:noProof/>
                <w:sz w:val="18"/>
                <w:lang w:val="en-IN" w:eastAsia="en-IN"/>
              </w:rPr>
              <w:t>18</w:t>
            </w:r>
          </w:p>
        </w:tc>
        <w:tc>
          <w:tcPr>
            <w:tcW w:w="1233" w:type="dxa"/>
            <w:shd w:val="clear" w:color="auto" w:fill="DEEAF6" w:themeFill="accent1" w:themeFillTint="33"/>
          </w:tcPr>
          <w:p w14:paraId="2CBB17F9" w14:textId="77777777" w:rsidR="0059183B" w:rsidRDefault="0059183B" w:rsidP="00FF3FEE">
            <w:pPr>
              <w:jc w:val="center"/>
              <w:rPr>
                <w:noProof/>
                <w:sz w:val="18"/>
                <w:lang w:val="en-IN" w:eastAsia="en-IN"/>
              </w:rPr>
            </w:pPr>
            <w:r>
              <w:rPr>
                <w:noProof/>
                <w:sz w:val="18"/>
                <w:lang w:val="en-IN" w:eastAsia="en-IN"/>
              </w:rPr>
              <w:t>75.5</w:t>
            </w:r>
          </w:p>
        </w:tc>
        <w:tc>
          <w:tcPr>
            <w:tcW w:w="1233" w:type="dxa"/>
            <w:shd w:val="clear" w:color="auto" w:fill="DEEAF6" w:themeFill="accent1" w:themeFillTint="33"/>
          </w:tcPr>
          <w:p w14:paraId="20937CFB" w14:textId="77777777" w:rsidR="0059183B" w:rsidRDefault="0059183B" w:rsidP="00FF3FEE">
            <w:pPr>
              <w:jc w:val="center"/>
              <w:rPr>
                <w:noProof/>
                <w:sz w:val="18"/>
                <w:lang w:val="en-IN" w:eastAsia="en-IN"/>
              </w:rPr>
            </w:pPr>
            <w:r>
              <w:rPr>
                <w:noProof/>
                <w:sz w:val="18"/>
                <w:lang w:val="en-IN" w:eastAsia="en-IN"/>
              </w:rPr>
              <w:t>24</w:t>
            </w:r>
          </w:p>
        </w:tc>
        <w:tc>
          <w:tcPr>
            <w:tcW w:w="1233" w:type="dxa"/>
            <w:shd w:val="clear" w:color="auto" w:fill="DEEAF6" w:themeFill="accent1" w:themeFillTint="33"/>
          </w:tcPr>
          <w:p w14:paraId="552E74A3" w14:textId="77777777" w:rsidR="0059183B" w:rsidRDefault="0059183B" w:rsidP="00FF3FEE">
            <w:pPr>
              <w:jc w:val="center"/>
              <w:rPr>
                <w:noProof/>
                <w:sz w:val="18"/>
                <w:lang w:val="en-IN" w:eastAsia="en-IN"/>
              </w:rPr>
            </w:pPr>
          </w:p>
        </w:tc>
        <w:tc>
          <w:tcPr>
            <w:tcW w:w="1233" w:type="dxa"/>
            <w:shd w:val="clear" w:color="auto" w:fill="DEEAF6" w:themeFill="accent1" w:themeFillTint="33"/>
          </w:tcPr>
          <w:p w14:paraId="723D67AE" w14:textId="77777777" w:rsidR="0059183B" w:rsidRDefault="0059183B" w:rsidP="00FF3FEE">
            <w:pPr>
              <w:jc w:val="center"/>
              <w:rPr>
                <w:noProof/>
                <w:sz w:val="18"/>
                <w:lang w:val="en-IN" w:eastAsia="en-IN"/>
              </w:rPr>
            </w:pPr>
          </w:p>
        </w:tc>
        <w:tc>
          <w:tcPr>
            <w:tcW w:w="1233" w:type="dxa"/>
            <w:shd w:val="clear" w:color="auto" w:fill="DEEAF6" w:themeFill="accent1" w:themeFillTint="33"/>
          </w:tcPr>
          <w:p w14:paraId="38BF6F94" w14:textId="77777777" w:rsidR="0059183B" w:rsidRDefault="0059183B" w:rsidP="00FF3FEE">
            <w:pPr>
              <w:jc w:val="center"/>
              <w:rPr>
                <w:noProof/>
                <w:sz w:val="18"/>
                <w:lang w:val="en-IN" w:eastAsia="en-IN"/>
              </w:rPr>
            </w:pPr>
          </w:p>
        </w:tc>
      </w:tr>
      <w:tr w:rsidR="0059183B" w14:paraId="4B18BE1A" w14:textId="77777777" w:rsidTr="00FF3FEE">
        <w:tc>
          <w:tcPr>
            <w:tcW w:w="1521" w:type="dxa"/>
            <w:shd w:val="clear" w:color="auto" w:fill="0070C0"/>
          </w:tcPr>
          <w:p w14:paraId="5D26099E" w14:textId="77777777" w:rsidR="0059183B" w:rsidRPr="00BA3D8C" w:rsidRDefault="0059183B" w:rsidP="00FF3FEE">
            <w:pPr>
              <w:rPr>
                <w:noProof/>
                <w:color w:val="FFFFFF" w:themeColor="background1"/>
                <w:sz w:val="18"/>
                <w:lang w:val="en-IN" w:eastAsia="en-IN"/>
              </w:rPr>
            </w:pPr>
            <w:r w:rsidRPr="00BA3D8C">
              <w:rPr>
                <w:noProof/>
                <w:color w:val="FFFFFF" w:themeColor="background1"/>
                <w:sz w:val="18"/>
                <w:lang w:val="en-IN" w:eastAsia="en-IN"/>
              </w:rPr>
              <w:t>FVC</w:t>
            </w:r>
          </w:p>
        </w:tc>
        <w:tc>
          <w:tcPr>
            <w:tcW w:w="1233" w:type="dxa"/>
            <w:shd w:val="clear" w:color="auto" w:fill="DEEAF6" w:themeFill="accent1" w:themeFillTint="33"/>
          </w:tcPr>
          <w:p w14:paraId="174BE56B" w14:textId="77777777" w:rsidR="0059183B" w:rsidRDefault="0059183B" w:rsidP="00FF3FEE">
            <w:pPr>
              <w:jc w:val="center"/>
              <w:rPr>
                <w:noProof/>
                <w:sz w:val="18"/>
                <w:lang w:val="en-IN" w:eastAsia="en-IN"/>
              </w:rPr>
            </w:pPr>
            <w:r>
              <w:rPr>
                <w:noProof/>
                <w:sz w:val="18"/>
                <w:lang w:val="en-IN" w:eastAsia="en-IN"/>
              </w:rPr>
              <w:t>0.59</w:t>
            </w:r>
          </w:p>
        </w:tc>
        <w:tc>
          <w:tcPr>
            <w:tcW w:w="1233" w:type="dxa"/>
            <w:shd w:val="clear" w:color="auto" w:fill="DEEAF6" w:themeFill="accent1" w:themeFillTint="33"/>
          </w:tcPr>
          <w:p w14:paraId="55ACE661" w14:textId="77777777" w:rsidR="0059183B" w:rsidRDefault="0059183B" w:rsidP="00FF3FEE">
            <w:pPr>
              <w:jc w:val="center"/>
              <w:rPr>
                <w:noProof/>
                <w:sz w:val="18"/>
                <w:lang w:val="en-IN" w:eastAsia="en-IN"/>
              </w:rPr>
            </w:pPr>
            <w:r>
              <w:rPr>
                <w:noProof/>
                <w:sz w:val="18"/>
                <w:lang w:val="en-IN" w:eastAsia="en-IN"/>
              </w:rPr>
              <w:t>2.50</w:t>
            </w:r>
          </w:p>
        </w:tc>
        <w:tc>
          <w:tcPr>
            <w:tcW w:w="1233" w:type="dxa"/>
            <w:shd w:val="clear" w:color="auto" w:fill="DEEAF6" w:themeFill="accent1" w:themeFillTint="33"/>
          </w:tcPr>
          <w:p w14:paraId="650EED07" w14:textId="77777777" w:rsidR="0059183B" w:rsidRDefault="0059183B" w:rsidP="00FF3FEE">
            <w:pPr>
              <w:jc w:val="center"/>
              <w:rPr>
                <w:noProof/>
                <w:sz w:val="18"/>
                <w:lang w:val="en-IN" w:eastAsia="en-IN"/>
              </w:rPr>
            </w:pPr>
            <w:r>
              <w:rPr>
                <w:noProof/>
                <w:sz w:val="18"/>
                <w:lang w:val="en-IN" w:eastAsia="en-IN"/>
              </w:rPr>
              <w:t>24</w:t>
            </w:r>
          </w:p>
        </w:tc>
        <w:tc>
          <w:tcPr>
            <w:tcW w:w="1233" w:type="dxa"/>
            <w:shd w:val="clear" w:color="auto" w:fill="DEEAF6" w:themeFill="accent1" w:themeFillTint="33"/>
          </w:tcPr>
          <w:p w14:paraId="08A824ED" w14:textId="77777777" w:rsidR="0059183B" w:rsidRDefault="0059183B" w:rsidP="00FF3FEE">
            <w:pPr>
              <w:jc w:val="center"/>
              <w:rPr>
                <w:noProof/>
                <w:sz w:val="18"/>
                <w:lang w:val="en-IN" w:eastAsia="en-IN"/>
              </w:rPr>
            </w:pPr>
            <w:r>
              <w:rPr>
                <w:noProof/>
                <w:sz w:val="18"/>
                <w:lang w:val="en-IN" w:eastAsia="en-IN"/>
              </w:rPr>
              <w:t>0.59</w:t>
            </w:r>
          </w:p>
        </w:tc>
        <w:tc>
          <w:tcPr>
            <w:tcW w:w="1233" w:type="dxa"/>
            <w:shd w:val="clear" w:color="auto" w:fill="DEEAF6" w:themeFill="accent1" w:themeFillTint="33"/>
          </w:tcPr>
          <w:p w14:paraId="359D437B" w14:textId="77777777" w:rsidR="0059183B" w:rsidRDefault="0059183B" w:rsidP="00FF3FEE">
            <w:pPr>
              <w:jc w:val="center"/>
              <w:rPr>
                <w:noProof/>
                <w:sz w:val="18"/>
                <w:lang w:val="en-IN" w:eastAsia="en-IN"/>
              </w:rPr>
            </w:pPr>
            <w:r>
              <w:rPr>
                <w:noProof/>
                <w:sz w:val="18"/>
                <w:lang w:val="en-IN" w:eastAsia="en-IN"/>
              </w:rPr>
              <w:t>24</w:t>
            </w:r>
          </w:p>
        </w:tc>
        <w:tc>
          <w:tcPr>
            <w:tcW w:w="1233" w:type="dxa"/>
            <w:shd w:val="clear" w:color="auto" w:fill="DEEAF6" w:themeFill="accent1" w:themeFillTint="33"/>
          </w:tcPr>
          <w:p w14:paraId="6D32A60A" w14:textId="77777777" w:rsidR="0059183B" w:rsidRDefault="0059183B" w:rsidP="00FF3FEE">
            <w:pPr>
              <w:jc w:val="center"/>
              <w:rPr>
                <w:noProof/>
                <w:sz w:val="18"/>
                <w:lang w:val="en-IN" w:eastAsia="en-IN"/>
              </w:rPr>
            </w:pPr>
            <w:r>
              <w:rPr>
                <w:noProof/>
                <w:sz w:val="18"/>
                <w:lang w:val="en-IN" w:eastAsia="en-IN"/>
              </w:rPr>
              <w:t>0</w:t>
            </w:r>
          </w:p>
        </w:tc>
      </w:tr>
      <w:tr w:rsidR="0059183B" w14:paraId="5E91F376" w14:textId="77777777" w:rsidTr="00FF3FEE">
        <w:tc>
          <w:tcPr>
            <w:tcW w:w="1521" w:type="dxa"/>
            <w:shd w:val="clear" w:color="auto" w:fill="0070C0"/>
          </w:tcPr>
          <w:p w14:paraId="0F41B7A7" w14:textId="77777777" w:rsidR="0059183B" w:rsidRPr="00BA3D8C" w:rsidRDefault="0059183B" w:rsidP="00FF3FEE">
            <w:pPr>
              <w:rPr>
                <w:noProof/>
                <w:color w:val="FFFFFF" w:themeColor="background1"/>
                <w:sz w:val="18"/>
                <w:lang w:val="en-IN" w:eastAsia="en-IN"/>
              </w:rPr>
            </w:pPr>
            <w:r w:rsidRPr="00BA3D8C">
              <w:rPr>
                <w:noProof/>
                <w:color w:val="FFFFFF" w:themeColor="background1"/>
                <w:sz w:val="18"/>
                <w:lang w:val="en-IN" w:eastAsia="en-IN"/>
              </w:rPr>
              <w:t>FEV1</w:t>
            </w:r>
          </w:p>
        </w:tc>
        <w:tc>
          <w:tcPr>
            <w:tcW w:w="1233" w:type="dxa"/>
            <w:shd w:val="clear" w:color="auto" w:fill="DEEAF6" w:themeFill="accent1" w:themeFillTint="33"/>
          </w:tcPr>
          <w:p w14:paraId="672F2ABA" w14:textId="77777777" w:rsidR="0059183B" w:rsidRDefault="0059183B" w:rsidP="00FF3FEE">
            <w:pPr>
              <w:jc w:val="center"/>
              <w:rPr>
                <w:noProof/>
                <w:sz w:val="18"/>
                <w:lang w:val="en-IN" w:eastAsia="en-IN"/>
              </w:rPr>
            </w:pPr>
            <w:r>
              <w:rPr>
                <w:noProof/>
                <w:sz w:val="18"/>
                <w:lang w:val="en-IN" w:eastAsia="en-IN"/>
              </w:rPr>
              <w:t>0.59</w:t>
            </w:r>
          </w:p>
        </w:tc>
        <w:tc>
          <w:tcPr>
            <w:tcW w:w="1233" w:type="dxa"/>
            <w:shd w:val="clear" w:color="auto" w:fill="DEEAF6" w:themeFill="accent1" w:themeFillTint="33"/>
          </w:tcPr>
          <w:p w14:paraId="17871018" w14:textId="77777777" w:rsidR="0059183B" w:rsidRDefault="0059183B" w:rsidP="00FF3FEE">
            <w:pPr>
              <w:jc w:val="center"/>
              <w:rPr>
                <w:noProof/>
                <w:sz w:val="18"/>
                <w:lang w:val="en-IN" w:eastAsia="en-IN"/>
              </w:rPr>
            </w:pPr>
            <w:r>
              <w:rPr>
                <w:noProof/>
                <w:sz w:val="18"/>
                <w:lang w:val="en-IN" w:eastAsia="en-IN"/>
              </w:rPr>
              <w:t>2.00</w:t>
            </w:r>
          </w:p>
        </w:tc>
        <w:tc>
          <w:tcPr>
            <w:tcW w:w="1233" w:type="dxa"/>
            <w:shd w:val="clear" w:color="auto" w:fill="DEEAF6" w:themeFill="accent1" w:themeFillTint="33"/>
          </w:tcPr>
          <w:p w14:paraId="33811920" w14:textId="77777777" w:rsidR="0059183B" w:rsidRDefault="0059183B" w:rsidP="00FF3FEE">
            <w:pPr>
              <w:jc w:val="center"/>
              <w:rPr>
                <w:noProof/>
                <w:sz w:val="18"/>
                <w:lang w:val="en-IN" w:eastAsia="en-IN"/>
              </w:rPr>
            </w:pPr>
            <w:r>
              <w:rPr>
                <w:noProof/>
                <w:sz w:val="18"/>
                <w:lang w:val="en-IN" w:eastAsia="en-IN"/>
              </w:rPr>
              <w:t>30</w:t>
            </w:r>
          </w:p>
        </w:tc>
        <w:tc>
          <w:tcPr>
            <w:tcW w:w="1233" w:type="dxa"/>
            <w:shd w:val="clear" w:color="auto" w:fill="DEEAF6" w:themeFill="accent1" w:themeFillTint="33"/>
          </w:tcPr>
          <w:p w14:paraId="7AADA123" w14:textId="77777777" w:rsidR="0059183B" w:rsidRDefault="0059183B" w:rsidP="00FF3FEE">
            <w:pPr>
              <w:jc w:val="center"/>
              <w:rPr>
                <w:noProof/>
                <w:sz w:val="18"/>
                <w:lang w:val="en-IN" w:eastAsia="en-IN"/>
              </w:rPr>
            </w:pPr>
            <w:r>
              <w:rPr>
                <w:noProof/>
                <w:sz w:val="18"/>
                <w:lang w:val="en-IN" w:eastAsia="en-IN"/>
              </w:rPr>
              <w:t>0.59</w:t>
            </w:r>
          </w:p>
        </w:tc>
        <w:tc>
          <w:tcPr>
            <w:tcW w:w="1233" w:type="dxa"/>
            <w:shd w:val="clear" w:color="auto" w:fill="DEEAF6" w:themeFill="accent1" w:themeFillTint="33"/>
          </w:tcPr>
          <w:p w14:paraId="720BA49D" w14:textId="77777777" w:rsidR="0059183B" w:rsidRDefault="0059183B" w:rsidP="00FF3FEE">
            <w:pPr>
              <w:jc w:val="center"/>
              <w:rPr>
                <w:noProof/>
                <w:sz w:val="18"/>
                <w:lang w:val="en-IN" w:eastAsia="en-IN"/>
              </w:rPr>
            </w:pPr>
            <w:r>
              <w:rPr>
                <w:noProof/>
                <w:sz w:val="18"/>
                <w:lang w:val="en-IN" w:eastAsia="en-IN"/>
              </w:rPr>
              <w:t>30</w:t>
            </w:r>
          </w:p>
        </w:tc>
        <w:tc>
          <w:tcPr>
            <w:tcW w:w="1233" w:type="dxa"/>
            <w:shd w:val="clear" w:color="auto" w:fill="DEEAF6" w:themeFill="accent1" w:themeFillTint="33"/>
          </w:tcPr>
          <w:p w14:paraId="43B70043" w14:textId="77777777" w:rsidR="0059183B" w:rsidRDefault="0059183B" w:rsidP="00FF3FEE">
            <w:pPr>
              <w:jc w:val="center"/>
              <w:rPr>
                <w:noProof/>
                <w:sz w:val="18"/>
                <w:lang w:val="en-IN" w:eastAsia="en-IN"/>
              </w:rPr>
            </w:pPr>
            <w:r>
              <w:rPr>
                <w:noProof/>
                <w:sz w:val="18"/>
                <w:lang w:val="en-IN" w:eastAsia="en-IN"/>
              </w:rPr>
              <w:t>0</w:t>
            </w:r>
          </w:p>
        </w:tc>
      </w:tr>
      <w:tr w:rsidR="0059183B" w14:paraId="5057341C" w14:textId="77777777" w:rsidTr="00FF3FEE">
        <w:tc>
          <w:tcPr>
            <w:tcW w:w="1521" w:type="dxa"/>
            <w:shd w:val="clear" w:color="auto" w:fill="0070C0"/>
          </w:tcPr>
          <w:p w14:paraId="2035F001" w14:textId="77777777" w:rsidR="0059183B" w:rsidRPr="00BA3D8C" w:rsidRDefault="0059183B" w:rsidP="00FF3FEE">
            <w:pPr>
              <w:rPr>
                <w:noProof/>
                <w:color w:val="FFFFFF" w:themeColor="background1"/>
                <w:sz w:val="18"/>
                <w:lang w:val="en-IN" w:eastAsia="en-IN"/>
              </w:rPr>
            </w:pPr>
            <w:r w:rsidRPr="00BA3D8C">
              <w:rPr>
                <w:noProof/>
                <w:color w:val="FFFFFF" w:themeColor="background1"/>
                <w:sz w:val="18"/>
                <w:lang w:val="en-IN" w:eastAsia="en-IN"/>
              </w:rPr>
              <w:t>FEV1/ FVC</w:t>
            </w:r>
          </w:p>
        </w:tc>
        <w:tc>
          <w:tcPr>
            <w:tcW w:w="1233" w:type="dxa"/>
            <w:shd w:val="clear" w:color="auto" w:fill="DEEAF6" w:themeFill="accent1" w:themeFillTint="33"/>
          </w:tcPr>
          <w:p w14:paraId="50450CB0" w14:textId="77777777" w:rsidR="0059183B" w:rsidRDefault="0059183B" w:rsidP="00FF3FEE">
            <w:pPr>
              <w:jc w:val="center"/>
              <w:rPr>
                <w:noProof/>
                <w:sz w:val="18"/>
                <w:lang w:val="en-IN" w:eastAsia="en-IN"/>
              </w:rPr>
            </w:pPr>
            <w:r>
              <w:rPr>
                <w:noProof/>
                <w:sz w:val="18"/>
                <w:lang w:val="en-IN" w:eastAsia="en-IN"/>
              </w:rPr>
              <w:t>100</w:t>
            </w:r>
          </w:p>
        </w:tc>
        <w:tc>
          <w:tcPr>
            <w:tcW w:w="1233" w:type="dxa"/>
            <w:shd w:val="clear" w:color="auto" w:fill="DEEAF6" w:themeFill="accent1" w:themeFillTint="33"/>
          </w:tcPr>
          <w:p w14:paraId="040489DE" w14:textId="77777777" w:rsidR="0059183B" w:rsidRDefault="0059183B" w:rsidP="00FF3FEE">
            <w:pPr>
              <w:jc w:val="center"/>
              <w:rPr>
                <w:noProof/>
                <w:sz w:val="18"/>
                <w:lang w:val="en-IN" w:eastAsia="en-IN"/>
              </w:rPr>
            </w:pPr>
            <w:r>
              <w:rPr>
                <w:noProof/>
                <w:sz w:val="18"/>
                <w:lang w:val="en-IN" w:eastAsia="en-IN"/>
              </w:rPr>
              <w:t>79.3</w:t>
            </w:r>
          </w:p>
        </w:tc>
        <w:tc>
          <w:tcPr>
            <w:tcW w:w="1233" w:type="dxa"/>
            <w:shd w:val="clear" w:color="auto" w:fill="DEEAF6" w:themeFill="accent1" w:themeFillTint="33"/>
          </w:tcPr>
          <w:p w14:paraId="3D29B987" w14:textId="77777777" w:rsidR="0059183B" w:rsidRDefault="0059183B" w:rsidP="00FF3FEE">
            <w:pPr>
              <w:jc w:val="center"/>
              <w:rPr>
                <w:noProof/>
                <w:sz w:val="18"/>
                <w:lang w:val="en-IN" w:eastAsia="en-IN"/>
              </w:rPr>
            </w:pPr>
            <w:r>
              <w:rPr>
                <w:noProof/>
                <w:sz w:val="18"/>
                <w:lang w:val="en-IN" w:eastAsia="en-IN"/>
              </w:rPr>
              <w:t>126</w:t>
            </w:r>
          </w:p>
        </w:tc>
        <w:tc>
          <w:tcPr>
            <w:tcW w:w="1233" w:type="dxa"/>
            <w:shd w:val="clear" w:color="auto" w:fill="DEEAF6" w:themeFill="accent1" w:themeFillTint="33"/>
          </w:tcPr>
          <w:p w14:paraId="04BF4C82" w14:textId="77777777" w:rsidR="0059183B" w:rsidRDefault="0059183B" w:rsidP="00FF3FEE">
            <w:pPr>
              <w:jc w:val="center"/>
              <w:rPr>
                <w:noProof/>
                <w:sz w:val="18"/>
                <w:lang w:val="en-IN" w:eastAsia="en-IN"/>
              </w:rPr>
            </w:pPr>
            <w:r>
              <w:rPr>
                <w:noProof/>
                <w:sz w:val="18"/>
                <w:lang w:val="en-IN" w:eastAsia="en-IN"/>
              </w:rPr>
              <w:t>100</w:t>
            </w:r>
          </w:p>
        </w:tc>
        <w:tc>
          <w:tcPr>
            <w:tcW w:w="1233" w:type="dxa"/>
            <w:shd w:val="clear" w:color="auto" w:fill="DEEAF6" w:themeFill="accent1" w:themeFillTint="33"/>
          </w:tcPr>
          <w:p w14:paraId="39E6D03F" w14:textId="77777777" w:rsidR="0059183B" w:rsidRDefault="0059183B" w:rsidP="00FF3FEE">
            <w:pPr>
              <w:jc w:val="center"/>
              <w:rPr>
                <w:noProof/>
                <w:sz w:val="18"/>
                <w:lang w:val="en-IN" w:eastAsia="en-IN"/>
              </w:rPr>
            </w:pPr>
            <w:r>
              <w:rPr>
                <w:noProof/>
                <w:sz w:val="18"/>
                <w:lang w:val="en-IN" w:eastAsia="en-IN"/>
              </w:rPr>
              <w:t>126</w:t>
            </w:r>
          </w:p>
        </w:tc>
        <w:tc>
          <w:tcPr>
            <w:tcW w:w="1233" w:type="dxa"/>
            <w:shd w:val="clear" w:color="auto" w:fill="DEEAF6" w:themeFill="accent1" w:themeFillTint="33"/>
          </w:tcPr>
          <w:p w14:paraId="66CFE37E" w14:textId="77777777" w:rsidR="0059183B" w:rsidRDefault="0059183B" w:rsidP="00FF3FEE">
            <w:pPr>
              <w:jc w:val="center"/>
              <w:rPr>
                <w:noProof/>
                <w:sz w:val="18"/>
                <w:lang w:val="en-IN" w:eastAsia="en-IN"/>
              </w:rPr>
            </w:pPr>
            <w:r>
              <w:rPr>
                <w:noProof/>
                <w:sz w:val="18"/>
                <w:lang w:val="en-IN" w:eastAsia="en-IN"/>
              </w:rPr>
              <w:t>0</w:t>
            </w:r>
          </w:p>
        </w:tc>
      </w:tr>
      <w:tr w:rsidR="0059183B" w14:paraId="0A6D051F" w14:textId="77777777" w:rsidTr="00FF3FEE">
        <w:tc>
          <w:tcPr>
            <w:tcW w:w="1521" w:type="dxa"/>
            <w:shd w:val="clear" w:color="auto" w:fill="0070C0"/>
          </w:tcPr>
          <w:p w14:paraId="3C77001F" w14:textId="77777777" w:rsidR="0059183B" w:rsidRPr="00BA3D8C" w:rsidRDefault="0059183B" w:rsidP="00FF3FEE">
            <w:pPr>
              <w:rPr>
                <w:noProof/>
                <w:color w:val="FFFFFF" w:themeColor="background1"/>
                <w:sz w:val="18"/>
                <w:lang w:val="en-IN" w:eastAsia="en-IN"/>
              </w:rPr>
            </w:pPr>
            <w:r w:rsidRPr="00BA3D8C">
              <w:rPr>
                <w:noProof/>
                <w:color w:val="FFFFFF" w:themeColor="background1"/>
                <w:sz w:val="18"/>
                <w:lang w:val="en-IN" w:eastAsia="en-IN"/>
              </w:rPr>
              <w:t xml:space="preserve">FEF 25-75 </w:t>
            </w:r>
          </w:p>
        </w:tc>
        <w:tc>
          <w:tcPr>
            <w:tcW w:w="1233" w:type="dxa"/>
            <w:shd w:val="clear" w:color="auto" w:fill="DEEAF6" w:themeFill="accent1" w:themeFillTint="33"/>
          </w:tcPr>
          <w:p w14:paraId="3C4C78F5" w14:textId="77777777" w:rsidR="0059183B" w:rsidRDefault="0059183B" w:rsidP="00FF3FEE">
            <w:pPr>
              <w:jc w:val="center"/>
              <w:rPr>
                <w:noProof/>
                <w:sz w:val="18"/>
                <w:lang w:val="en-IN" w:eastAsia="en-IN"/>
              </w:rPr>
            </w:pPr>
            <w:r>
              <w:rPr>
                <w:noProof/>
                <w:sz w:val="18"/>
                <w:lang w:val="en-IN" w:eastAsia="en-IN"/>
              </w:rPr>
              <w:t>0.95</w:t>
            </w:r>
          </w:p>
        </w:tc>
        <w:tc>
          <w:tcPr>
            <w:tcW w:w="1233" w:type="dxa"/>
            <w:shd w:val="clear" w:color="auto" w:fill="DEEAF6" w:themeFill="accent1" w:themeFillTint="33"/>
          </w:tcPr>
          <w:p w14:paraId="5CC924B8" w14:textId="77777777" w:rsidR="0059183B" w:rsidRDefault="0059183B" w:rsidP="00FF3FEE">
            <w:pPr>
              <w:jc w:val="center"/>
              <w:rPr>
                <w:noProof/>
                <w:sz w:val="18"/>
                <w:lang w:val="en-IN" w:eastAsia="en-IN"/>
              </w:rPr>
            </w:pPr>
            <w:r>
              <w:rPr>
                <w:noProof/>
                <w:sz w:val="18"/>
                <w:lang w:val="en-IN" w:eastAsia="en-IN"/>
              </w:rPr>
              <w:t>1.94</w:t>
            </w:r>
          </w:p>
        </w:tc>
        <w:tc>
          <w:tcPr>
            <w:tcW w:w="1233" w:type="dxa"/>
            <w:shd w:val="clear" w:color="auto" w:fill="DEEAF6" w:themeFill="accent1" w:themeFillTint="33"/>
          </w:tcPr>
          <w:p w14:paraId="2B929F41" w14:textId="77777777" w:rsidR="0059183B" w:rsidRDefault="0059183B" w:rsidP="00FF3FEE">
            <w:pPr>
              <w:jc w:val="center"/>
              <w:rPr>
                <w:noProof/>
                <w:sz w:val="18"/>
                <w:lang w:val="en-IN" w:eastAsia="en-IN"/>
              </w:rPr>
            </w:pPr>
            <w:r>
              <w:rPr>
                <w:noProof/>
                <w:sz w:val="18"/>
                <w:lang w:val="en-IN" w:eastAsia="en-IN"/>
              </w:rPr>
              <w:t>43</w:t>
            </w:r>
          </w:p>
        </w:tc>
        <w:tc>
          <w:tcPr>
            <w:tcW w:w="1233" w:type="dxa"/>
            <w:shd w:val="clear" w:color="auto" w:fill="DEEAF6" w:themeFill="accent1" w:themeFillTint="33"/>
          </w:tcPr>
          <w:p w14:paraId="32F4567B" w14:textId="77777777" w:rsidR="0059183B" w:rsidRDefault="0059183B" w:rsidP="00FF3FEE">
            <w:pPr>
              <w:jc w:val="center"/>
              <w:rPr>
                <w:noProof/>
                <w:sz w:val="18"/>
                <w:lang w:val="en-IN" w:eastAsia="en-IN"/>
              </w:rPr>
            </w:pPr>
            <w:r>
              <w:rPr>
                <w:noProof/>
                <w:sz w:val="18"/>
                <w:lang w:val="en-IN" w:eastAsia="en-IN"/>
              </w:rPr>
              <w:t>0.96</w:t>
            </w:r>
          </w:p>
        </w:tc>
        <w:tc>
          <w:tcPr>
            <w:tcW w:w="1233" w:type="dxa"/>
            <w:shd w:val="clear" w:color="auto" w:fill="DEEAF6" w:themeFill="accent1" w:themeFillTint="33"/>
          </w:tcPr>
          <w:p w14:paraId="62A68CAA" w14:textId="77777777" w:rsidR="0059183B" w:rsidRDefault="0059183B" w:rsidP="00FF3FEE">
            <w:pPr>
              <w:jc w:val="center"/>
              <w:rPr>
                <w:noProof/>
                <w:sz w:val="18"/>
                <w:lang w:val="en-IN" w:eastAsia="en-IN"/>
              </w:rPr>
            </w:pPr>
            <w:r>
              <w:rPr>
                <w:noProof/>
                <w:sz w:val="18"/>
                <w:lang w:val="en-IN" w:eastAsia="en-IN"/>
              </w:rPr>
              <w:t>49</w:t>
            </w:r>
          </w:p>
        </w:tc>
        <w:tc>
          <w:tcPr>
            <w:tcW w:w="1233" w:type="dxa"/>
            <w:shd w:val="clear" w:color="auto" w:fill="DEEAF6" w:themeFill="accent1" w:themeFillTint="33"/>
          </w:tcPr>
          <w:p w14:paraId="2A6F49C0" w14:textId="77777777" w:rsidR="0059183B" w:rsidRDefault="0059183B" w:rsidP="00FF3FEE">
            <w:pPr>
              <w:jc w:val="center"/>
              <w:rPr>
                <w:noProof/>
                <w:sz w:val="18"/>
                <w:lang w:val="en-IN" w:eastAsia="en-IN"/>
              </w:rPr>
            </w:pPr>
            <w:r>
              <w:rPr>
                <w:noProof/>
                <w:sz w:val="18"/>
                <w:lang w:val="en-IN" w:eastAsia="en-IN"/>
              </w:rPr>
              <w:t>+ 1</w:t>
            </w:r>
          </w:p>
        </w:tc>
      </w:tr>
      <w:tr w:rsidR="0059183B" w14:paraId="1CA42C4E" w14:textId="77777777" w:rsidTr="00FF3FEE">
        <w:tc>
          <w:tcPr>
            <w:tcW w:w="1521" w:type="dxa"/>
            <w:shd w:val="clear" w:color="auto" w:fill="0070C0"/>
          </w:tcPr>
          <w:p w14:paraId="136A3CD9" w14:textId="77777777" w:rsidR="0059183B" w:rsidRPr="00BA3D8C" w:rsidRDefault="0059183B" w:rsidP="00FF3FEE">
            <w:pPr>
              <w:rPr>
                <w:noProof/>
                <w:color w:val="FFFFFF" w:themeColor="background1"/>
                <w:sz w:val="18"/>
                <w:lang w:val="en-IN" w:eastAsia="en-IN"/>
              </w:rPr>
            </w:pPr>
            <w:r w:rsidRPr="00BA3D8C">
              <w:rPr>
                <w:noProof/>
                <w:color w:val="FFFFFF" w:themeColor="background1"/>
                <w:sz w:val="18"/>
                <w:lang w:val="en-IN" w:eastAsia="en-IN"/>
              </w:rPr>
              <w:t>PEF</w:t>
            </w:r>
          </w:p>
        </w:tc>
        <w:tc>
          <w:tcPr>
            <w:tcW w:w="1233" w:type="dxa"/>
            <w:shd w:val="clear" w:color="auto" w:fill="DEEAF6" w:themeFill="accent1" w:themeFillTint="33"/>
          </w:tcPr>
          <w:p w14:paraId="6DAD085A" w14:textId="77777777" w:rsidR="0059183B" w:rsidRDefault="0059183B" w:rsidP="00FF3FEE">
            <w:pPr>
              <w:jc w:val="center"/>
              <w:rPr>
                <w:noProof/>
                <w:sz w:val="18"/>
                <w:lang w:val="en-IN" w:eastAsia="en-IN"/>
              </w:rPr>
            </w:pPr>
            <w:r>
              <w:rPr>
                <w:noProof/>
                <w:sz w:val="18"/>
                <w:lang w:val="en-IN" w:eastAsia="en-IN"/>
              </w:rPr>
              <w:t>1.20</w:t>
            </w:r>
          </w:p>
        </w:tc>
        <w:tc>
          <w:tcPr>
            <w:tcW w:w="1233" w:type="dxa"/>
            <w:shd w:val="clear" w:color="auto" w:fill="DEEAF6" w:themeFill="accent1" w:themeFillTint="33"/>
          </w:tcPr>
          <w:p w14:paraId="22265564" w14:textId="77777777" w:rsidR="0059183B" w:rsidRDefault="0059183B" w:rsidP="00FF3FEE">
            <w:pPr>
              <w:jc w:val="center"/>
              <w:rPr>
                <w:noProof/>
                <w:sz w:val="18"/>
                <w:lang w:val="en-IN" w:eastAsia="en-IN"/>
              </w:rPr>
            </w:pPr>
            <w:r>
              <w:rPr>
                <w:noProof/>
                <w:sz w:val="18"/>
                <w:lang w:val="en-IN" w:eastAsia="en-IN"/>
              </w:rPr>
              <w:t>5.01</w:t>
            </w:r>
          </w:p>
        </w:tc>
        <w:tc>
          <w:tcPr>
            <w:tcW w:w="1233" w:type="dxa"/>
            <w:shd w:val="clear" w:color="auto" w:fill="DEEAF6" w:themeFill="accent1" w:themeFillTint="33"/>
          </w:tcPr>
          <w:p w14:paraId="33A69800" w14:textId="77777777" w:rsidR="0059183B" w:rsidRDefault="0059183B" w:rsidP="00FF3FEE">
            <w:pPr>
              <w:jc w:val="center"/>
              <w:rPr>
                <w:noProof/>
                <w:sz w:val="18"/>
                <w:lang w:val="en-IN" w:eastAsia="en-IN"/>
              </w:rPr>
            </w:pPr>
            <w:r>
              <w:rPr>
                <w:noProof/>
                <w:sz w:val="18"/>
                <w:lang w:val="en-IN" w:eastAsia="en-IN"/>
              </w:rPr>
              <w:t>24</w:t>
            </w:r>
          </w:p>
        </w:tc>
        <w:tc>
          <w:tcPr>
            <w:tcW w:w="1233" w:type="dxa"/>
            <w:shd w:val="clear" w:color="auto" w:fill="DEEAF6" w:themeFill="accent1" w:themeFillTint="33"/>
          </w:tcPr>
          <w:p w14:paraId="1921F418" w14:textId="77777777" w:rsidR="0059183B" w:rsidRDefault="0059183B" w:rsidP="00FF3FEE">
            <w:pPr>
              <w:jc w:val="center"/>
              <w:rPr>
                <w:noProof/>
                <w:sz w:val="18"/>
                <w:lang w:val="en-IN" w:eastAsia="en-IN"/>
              </w:rPr>
            </w:pPr>
            <w:r>
              <w:rPr>
                <w:noProof/>
                <w:sz w:val="18"/>
                <w:lang w:val="en-IN" w:eastAsia="en-IN"/>
              </w:rPr>
              <w:t>2.12</w:t>
            </w:r>
          </w:p>
        </w:tc>
        <w:tc>
          <w:tcPr>
            <w:tcW w:w="1233" w:type="dxa"/>
            <w:shd w:val="clear" w:color="auto" w:fill="DEEAF6" w:themeFill="accent1" w:themeFillTint="33"/>
          </w:tcPr>
          <w:p w14:paraId="469E0A1F" w14:textId="77777777" w:rsidR="0059183B" w:rsidRDefault="0059183B" w:rsidP="00FF3FEE">
            <w:pPr>
              <w:jc w:val="center"/>
              <w:rPr>
                <w:noProof/>
                <w:sz w:val="18"/>
                <w:lang w:val="en-IN" w:eastAsia="en-IN"/>
              </w:rPr>
            </w:pPr>
            <w:r>
              <w:rPr>
                <w:noProof/>
                <w:sz w:val="18"/>
                <w:lang w:val="en-IN" w:eastAsia="en-IN"/>
              </w:rPr>
              <w:t>42</w:t>
            </w:r>
          </w:p>
        </w:tc>
        <w:tc>
          <w:tcPr>
            <w:tcW w:w="1233" w:type="dxa"/>
            <w:shd w:val="clear" w:color="auto" w:fill="DEEAF6" w:themeFill="accent1" w:themeFillTint="33"/>
          </w:tcPr>
          <w:p w14:paraId="37F71317" w14:textId="77777777" w:rsidR="0059183B" w:rsidRDefault="0059183B" w:rsidP="00FF3FEE">
            <w:pPr>
              <w:jc w:val="center"/>
              <w:rPr>
                <w:noProof/>
                <w:sz w:val="18"/>
                <w:lang w:val="en-IN" w:eastAsia="en-IN"/>
              </w:rPr>
            </w:pPr>
            <w:r>
              <w:rPr>
                <w:noProof/>
                <w:sz w:val="18"/>
                <w:lang w:val="en-IN" w:eastAsia="en-IN"/>
              </w:rPr>
              <w:t>+ 51</w:t>
            </w:r>
          </w:p>
        </w:tc>
      </w:tr>
      <w:tr w:rsidR="0059183B" w14:paraId="15837158" w14:textId="77777777" w:rsidTr="00FF3FEE">
        <w:tc>
          <w:tcPr>
            <w:tcW w:w="1521" w:type="dxa"/>
            <w:shd w:val="clear" w:color="auto" w:fill="0070C0"/>
          </w:tcPr>
          <w:p w14:paraId="614462BB" w14:textId="77777777" w:rsidR="0059183B" w:rsidRPr="00BA3D8C" w:rsidRDefault="0059183B" w:rsidP="00FF3FEE">
            <w:pPr>
              <w:rPr>
                <w:noProof/>
                <w:color w:val="FFFFFF" w:themeColor="background1"/>
                <w:sz w:val="18"/>
                <w:lang w:val="en-IN" w:eastAsia="en-IN"/>
              </w:rPr>
            </w:pPr>
            <w:r w:rsidRPr="00BA3D8C">
              <w:rPr>
                <w:noProof/>
                <w:color w:val="FFFFFF" w:themeColor="background1"/>
                <w:sz w:val="18"/>
                <w:lang w:val="en-IN" w:eastAsia="en-IN"/>
              </w:rPr>
              <w:t>SVC</w:t>
            </w:r>
          </w:p>
        </w:tc>
        <w:tc>
          <w:tcPr>
            <w:tcW w:w="1233" w:type="dxa"/>
            <w:shd w:val="clear" w:color="auto" w:fill="DEEAF6" w:themeFill="accent1" w:themeFillTint="33"/>
          </w:tcPr>
          <w:p w14:paraId="178C9B32" w14:textId="77777777" w:rsidR="0059183B" w:rsidRDefault="0059183B" w:rsidP="00FF3FEE">
            <w:pPr>
              <w:jc w:val="center"/>
              <w:rPr>
                <w:noProof/>
                <w:sz w:val="18"/>
                <w:lang w:val="en-IN" w:eastAsia="en-IN"/>
              </w:rPr>
            </w:pPr>
            <w:r>
              <w:rPr>
                <w:noProof/>
                <w:sz w:val="18"/>
                <w:lang w:val="en-IN" w:eastAsia="en-IN"/>
              </w:rPr>
              <w:t>1.14</w:t>
            </w:r>
          </w:p>
        </w:tc>
        <w:tc>
          <w:tcPr>
            <w:tcW w:w="1233" w:type="dxa"/>
            <w:shd w:val="clear" w:color="auto" w:fill="DEEAF6" w:themeFill="accent1" w:themeFillTint="33"/>
          </w:tcPr>
          <w:p w14:paraId="082A78ED" w14:textId="77777777" w:rsidR="0059183B" w:rsidRDefault="0059183B" w:rsidP="00FF3FEE">
            <w:pPr>
              <w:jc w:val="center"/>
              <w:rPr>
                <w:noProof/>
                <w:sz w:val="18"/>
                <w:lang w:val="en-IN" w:eastAsia="en-IN"/>
              </w:rPr>
            </w:pPr>
            <w:r>
              <w:rPr>
                <w:noProof/>
                <w:sz w:val="18"/>
                <w:lang w:val="en-IN" w:eastAsia="en-IN"/>
              </w:rPr>
              <w:t>2.50</w:t>
            </w:r>
          </w:p>
        </w:tc>
        <w:tc>
          <w:tcPr>
            <w:tcW w:w="1233" w:type="dxa"/>
            <w:shd w:val="clear" w:color="auto" w:fill="DEEAF6" w:themeFill="accent1" w:themeFillTint="33"/>
          </w:tcPr>
          <w:p w14:paraId="606DD292" w14:textId="77777777" w:rsidR="0059183B" w:rsidRDefault="0059183B" w:rsidP="00FF3FEE">
            <w:pPr>
              <w:jc w:val="center"/>
              <w:rPr>
                <w:noProof/>
                <w:sz w:val="18"/>
                <w:lang w:val="en-IN" w:eastAsia="en-IN"/>
              </w:rPr>
            </w:pPr>
            <w:r>
              <w:rPr>
                <w:noProof/>
                <w:sz w:val="18"/>
                <w:lang w:val="en-IN" w:eastAsia="en-IN"/>
              </w:rPr>
              <w:t>46</w:t>
            </w:r>
          </w:p>
        </w:tc>
        <w:tc>
          <w:tcPr>
            <w:tcW w:w="1233" w:type="dxa"/>
            <w:shd w:val="clear" w:color="auto" w:fill="DEEAF6" w:themeFill="accent1" w:themeFillTint="33"/>
          </w:tcPr>
          <w:p w14:paraId="703406E6" w14:textId="77777777" w:rsidR="0059183B" w:rsidRDefault="0059183B" w:rsidP="00FF3FEE">
            <w:pPr>
              <w:jc w:val="center"/>
              <w:rPr>
                <w:noProof/>
                <w:sz w:val="18"/>
                <w:lang w:val="en-IN" w:eastAsia="en-IN"/>
              </w:rPr>
            </w:pPr>
          </w:p>
        </w:tc>
        <w:tc>
          <w:tcPr>
            <w:tcW w:w="1233" w:type="dxa"/>
            <w:shd w:val="clear" w:color="auto" w:fill="DEEAF6" w:themeFill="accent1" w:themeFillTint="33"/>
          </w:tcPr>
          <w:p w14:paraId="16F999EC" w14:textId="77777777" w:rsidR="0059183B" w:rsidRDefault="0059183B" w:rsidP="00FF3FEE">
            <w:pPr>
              <w:jc w:val="center"/>
              <w:rPr>
                <w:noProof/>
                <w:sz w:val="18"/>
                <w:lang w:val="en-IN" w:eastAsia="en-IN"/>
              </w:rPr>
            </w:pPr>
          </w:p>
        </w:tc>
        <w:tc>
          <w:tcPr>
            <w:tcW w:w="1233" w:type="dxa"/>
            <w:shd w:val="clear" w:color="auto" w:fill="DEEAF6" w:themeFill="accent1" w:themeFillTint="33"/>
          </w:tcPr>
          <w:p w14:paraId="0092A9A9" w14:textId="77777777" w:rsidR="0059183B" w:rsidRDefault="0059183B" w:rsidP="00FF3FEE">
            <w:pPr>
              <w:jc w:val="center"/>
              <w:rPr>
                <w:noProof/>
                <w:sz w:val="18"/>
                <w:lang w:val="en-IN" w:eastAsia="en-IN"/>
              </w:rPr>
            </w:pPr>
          </w:p>
        </w:tc>
      </w:tr>
    </w:tbl>
    <w:p w14:paraId="6E9FF23E" w14:textId="77777777" w:rsidR="0059183B" w:rsidRDefault="0059183B" w:rsidP="0059183B">
      <w:pPr>
        <w:spacing w:after="0"/>
        <w:rPr>
          <w:noProof/>
          <w:sz w:val="18"/>
          <w:lang w:val="en-IN" w:eastAsia="en-IN"/>
        </w:rPr>
      </w:pPr>
    </w:p>
    <w:p w14:paraId="091D1F7D" w14:textId="77777777" w:rsidR="0059183B" w:rsidRPr="00007EE5" w:rsidRDefault="0059183B" w:rsidP="0059183B">
      <w:pPr>
        <w:spacing w:after="0"/>
        <w:rPr>
          <w:rFonts w:ascii="Times New Roman" w:hAnsi="Times New Roman" w:cs="Times New Roman"/>
          <w:noProof/>
          <w:sz w:val="18"/>
          <w:lang w:val="en-IN" w:eastAsia="en-IN"/>
        </w:rPr>
      </w:pPr>
      <w:r w:rsidRPr="00007EE5">
        <w:rPr>
          <w:rFonts w:ascii="Times New Roman" w:hAnsi="Times New Roman" w:cs="Times New Roman"/>
          <w:noProof/>
          <w:sz w:val="18"/>
          <w:lang w:val="en-IN" w:eastAsia="en-IN"/>
        </w:rPr>
        <w:t xml:space="preserve">Table 1 - Impression : Restrictive ventilatory defect with small airway obstructive ventilatory defect </w:t>
      </w:r>
    </w:p>
    <w:p w14:paraId="3D4DA9F2" w14:textId="77777777" w:rsidR="0059183B" w:rsidRPr="00007EE5" w:rsidRDefault="0059183B" w:rsidP="0059183B">
      <w:pPr>
        <w:spacing w:after="0"/>
        <w:rPr>
          <w:rFonts w:ascii="Times New Roman" w:hAnsi="Times New Roman" w:cs="Times New Roman"/>
          <w:noProof/>
          <w:sz w:val="18"/>
          <w:lang w:val="en-IN" w:eastAsia="en-IN"/>
        </w:rPr>
      </w:pPr>
      <w:r w:rsidRPr="00007EE5">
        <w:rPr>
          <w:rFonts w:ascii="Times New Roman" w:hAnsi="Times New Roman" w:cs="Times New Roman"/>
          <w:noProof/>
          <w:sz w:val="18"/>
          <w:lang w:val="en-IN" w:eastAsia="en-IN"/>
        </w:rPr>
        <w:t xml:space="preserve">MVV – Maximal voluntary ventilation, FVC – Forced vital capacity , FEV1- Forced expiratory volume in 1 sec, </w:t>
      </w:r>
    </w:p>
    <w:p w14:paraId="677D70D8" w14:textId="77777777" w:rsidR="0059183B" w:rsidRPr="00007EE5" w:rsidRDefault="0059183B" w:rsidP="0059183B">
      <w:pPr>
        <w:spacing w:after="0"/>
        <w:rPr>
          <w:rFonts w:ascii="Times New Roman" w:hAnsi="Times New Roman" w:cs="Times New Roman"/>
          <w:noProof/>
          <w:sz w:val="18"/>
          <w:lang w:val="en-IN" w:eastAsia="en-IN"/>
        </w:rPr>
      </w:pPr>
      <w:r w:rsidRPr="00007EE5">
        <w:rPr>
          <w:rFonts w:ascii="Times New Roman" w:hAnsi="Times New Roman" w:cs="Times New Roman"/>
          <w:noProof/>
          <w:sz w:val="18"/>
          <w:lang w:val="en-IN" w:eastAsia="en-IN"/>
        </w:rPr>
        <w:t>FEF – Forced expiratory flow,   PEF – Peak expiratory flow, SVC – Slow vital capacity .</w:t>
      </w:r>
    </w:p>
    <w:p w14:paraId="525EF6B1" w14:textId="77777777" w:rsidR="0059183B" w:rsidRDefault="0059183B" w:rsidP="0059183B">
      <w:pPr>
        <w:spacing w:after="0"/>
        <w:rPr>
          <w:noProof/>
          <w:sz w:val="18"/>
          <w:lang w:val="en-IN" w:eastAsia="en-IN"/>
        </w:rPr>
      </w:pPr>
    </w:p>
    <w:p w14:paraId="202AD78B" w14:textId="77777777" w:rsidR="0059183B" w:rsidRDefault="0059183B" w:rsidP="0059183B">
      <w:pPr>
        <w:pStyle w:val="Heading2"/>
      </w:pPr>
      <w:r>
        <w:t>Intervention</w:t>
      </w:r>
    </w:p>
    <w:p w14:paraId="269BB0E9" w14:textId="77777777" w:rsidR="0059183B" w:rsidRPr="005705B2" w:rsidRDefault="0059183B" w:rsidP="0059183B">
      <w:pPr>
        <w:rPr>
          <w:rFonts w:ascii="Times New Roman" w:hAnsi="Times New Roman" w:cs="Times New Roman"/>
        </w:rPr>
      </w:pPr>
      <w:r w:rsidRPr="005705B2">
        <w:rPr>
          <w:rFonts w:ascii="Times New Roman" w:hAnsi="Times New Roman" w:cs="Times New Roman"/>
        </w:rPr>
        <w:t xml:space="preserve">Under fluoroscopic guidance Femoral Venous access obtained using 7F </w:t>
      </w:r>
      <w:proofErr w:type="gramStart"/>
      <w:r w:rsidRPr="005705B2">
        <w:rPr>
          <w:rFonts w:ascii="Times New Roman" w:hAnsi="Times New Roman" w:cs="Times New Roman"/>
        </w:rPr>
        <w:t>sheath,  Guide</w:t>
      </w:r>
      <w:proofErr w:type="gramEnd"/>
      <w:r w:rsidRPr="005705B2">
        <w:rPr>
          <w:rFonts w:ascii="Times New Roman" w:hAnsi="Times New Roman" w:cs="Times New Roman"/>
        </w:rPr>
        <w:t xml:space="preserve"> catheter then passed into RA followed by  crossing the Atrial septum  then catheter positioned in left sided pulmonary vein. Balloon Interrogation of defect done and delivery sheath was placed. A </w:t>
      </w:r>
      <w:proofErr w:type="spellStart"/>
      <w:r w:rsidRPr="005705B2">
        <w:rPr>
          <w:rFonts w:ascii="Times New Roman" w:hAnsi="Times New Roman" w:cs="Times New Roman"/>
        </w:rPr>
        <w:t>Lifetech</w:t>
      </w:r>
      <w:proofErr w:type="spellEnd"/>
      <w:r w:rsidRPr="005705B2">
        <w:rPr>
          <w:rFonts w:ascii="Times New Roman" w:hAnsi="Times New Roman" w:cs="Times New Roman"/>
        </w:rPr>
        <w:t xml:space="preserve"> CERA ASD </w:t>
      </w:r>
      <w:proofErr w:type="spellStart"/>
      <w:r w:rsidRPr="005705B2">
        <w:rPr>
          <w:rFonts w:ascii="Times New Roman" w:hAnsi="Times New Roman" w:cs="Times New Roman"/>
        </w:rPr>
        <w:t>Occluder</w:t>
      </w:r>
      <w:proofErr w:type="spellEnd"/>
      <w:r w:rsidRPr="005705B2">
        <w:rPr>
          <w:rFonts w:ascii="Times New Roman" w:hAnsi="Times New Roman" w:cs="Times New Roman"/>
        </w:rPr>
        <w:t xml:space="preserve"> (46 mm) is then deployed under fluoroscopic guidance using Antero-Posterior (AP) view and Left Anterior Oblique (LAO) </w:t>
      </w:r>
      <w:proofErr w:type="gramStart"/>
      <w:r w:rsidRPr="005705B2">
        <w:rPr>
          <w:rFonts w:ascii="Times New Roman" w:hAnsi="Times New Roman" w:cs="Times New Roman"/>
        </w:rPr>
        <w:t>view(</w:t>
      </w:r>
      <w:proofErr w:type="gramEnd"/>
      <w:r w:rsidRPr="005705B2">
        <w:rPr>
          <w:rFonts w:ascii="Times New Roman" w:hAnsi="Times New Roman" w:cs="Times New Roman"/>
        </w:rPr>
        <w:t>Figure 2). The procedure was uneventful with stable hemodynamics</w:t>
      </w:r>
      <w:r w:rsidRPr="005705B2">
        <w:rPr>
          <w:rFonts w:ascii="Times New Roman" w:hAnsi="Times New Roman" w:cs="Times New Roman"/>
          <w:noProof/>
          <w:lang w:val="en-IN" w:eastAsia="en-IN"/>
        </w:rPr>
        <mc:AlternateContent>
          <mc:Choice Requires="wps">
            <w:drawing>
              <wp:anchor distT="0" distB="0" distL="114300" distR="114300" simplePos="0" relativeHeight="251662336" behindDoc="0" locked="0" layoutInCell="1" allowOverlap="1" wp14:anchorId="274BBCF1" wp14:editId="1F9C3588">
                <wp:simplePos x="0" y="0"/>
                <wp:positionH relativeFrom="column">
                  <wp:posOffset>2352675</wp:posOffset>
                </wp:positionH>
                <wp:positionV relativeFrom="paragraph">
                  <wp:posOffset>7620</wp:posOffset>
                </wp:positionV>
                <wp:extent cx="219075" cy="314325"/>
                <wp:effectExtent l="0" t="0" r="0" b="0"/>
                <wp:wrapNone/>
                <wp:docPr id="8" name="Text Box 8"/>
                <wp:cNvGraphicFramePr/>
                <a:graphic xmlns:a="http://schemas.openxmlformats.org/drawingml/2006/main">
                  <a:graphicData uri="http://schemas.microsoft.com/office/word/2010/wordprocessingShape">
                    <wps:wsp>
                      <wps:cNvSpPr txBox="1"/>
                      <wps:spPr>
                        <a:xfrm>
                          <a:off x="0" y="0"/>
                          <a:ext cx="21907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F163C2" w14:textId="77777777" w:rsidR="0059183B" w:rsidRPr="00757601" w:rsidRDefault="0059183B" w:rsidP="0059183B">
                            <w:pPr>
                              <w:rPr>
                                <w:b/>
                                <w:color w:val="FFFFFF" w:themeColor="background1"/>
                              </w:rPr>
                            </w:pPr>
                            <w:r w:rsidRPr="00757601">
                              <w:rPr>
                                <w:b/>
                                <w:color w:val="FFFFFF" w:themeColor="background1"/>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4BBCF1" id="_x0000_t202" coordsize="21600,21600" o:spt="202" path="m,l,21600r21600,l21600,xe">
                <v:stroke joinstyle="miter"/>
                <v:path gradientshapeok="t" o:connecttype="rect"/>
              </v:shapetype>
              <v:shape id="Text Box 8" o:spid="_x0000_s1026" type="#_x0000_t202" style="position:absolute;margin-left:185.25pt;margin-top:.6pt;width:17.2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" filled="f" stroked="f" strokeweight=".5pt">
                <v:textbox>
                  <w:txbxContent>
                    <w:p w14:paraId="5DF163C2" w14:textId="77777777" w:rsidR="0059183B" w:rsidRPr="00757601" w:rsidRDefault="0059183B" w:rsidP="0059183B">
                      <w:pPr>
                        <w:rPr>
                          <w:b/>
                          <w:color w:val="FFFFFF" w:themeColor="background1"/>
                        </w:rPr>
                      </w:pPr>
                      <w:r w:rsidRPr="00757601">
                        <w:rPr>
                          <w:b/>
                          <w:color w:val="FFFFFF" w:themeColor="background1"/>
                        </w:rPr>
                        <w:t>B</w:t>
                      </w:r>
                    </w:p>
                  </w:txbxContent>
                </v:textbox>
              </v:shape>
            </w:pict>
          </mc:Fallback>
        </mc:AlternateContent>
      </w:r>
      <w:r w:rsidRPr="005705B2">
        <w:rPr>
          <w:rFonts w:ascii="Times New Roman" w:hAnsi="Times New Roman" w:cs="Times New Roman"/>
          <w:noProof/>
          <w:lang w:val="en-IN" w:eastAsia="en-IN"/>
        </w:rPr>
        <mc:AlternateContent>
          <mc:Choice Requires="wps">
            <w:drawing>
              <wp:anchor distT="0" distB="0" distL="114300" distR="114300" simplePos="0" relativeHeight="251661312" behindDoc="0" locked="0" layoutInCell="1" allowOverlap="1" wp14:anchorId="46BE5CED" wp14:editId="0FFFC49F">
                <wp:simplePos x="0" y="0"/>
                <wp:positionH relativeFrom="column">
                  <wp:posOffset>180975</wp:posOffset>
                </wp:positionH>
                <wp:positionV relativeFrom="paragraph">
                  <wp:posOffset>17145</wp:posOffset>
                </wp:positionV>
                <wp:extent cx="209550" cy="247650"/>
                <wp:effectExtent l="0" t="0" r="0" b="0"/>
                <wp:wrapNone/>
                <wp:docPr id="9" name="Text Box 9"/>
                <wp:cNvGraphicFramePr/>
                <a:graphic xmlns:a="http://schemas.openxmlformats.org/drawingml/2006/main">
                  <a:graphicData uri="http://schemas.microsoft.com/office/word/2010/wordprocessingShape">
                    <wps:wsp>
                      <wps:cNvSpPr txBox="1"/>
                      <wps:spPr>
                        <a:xfrm>
                          <a:off x="0" y="0"/>
                          <a:ext cx="20955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DEB3B7" w14:textId="77777777" w:rsidR="0059183B" w:rsidRPr="00757601" w:rsidRDefault="0059183B" w:rsidP="0059183B">
                            <w:pPr>
                              <w:rPr>
                                <w:b/>
                                <w:color w:val="FFFFFF" w:themeColor="background1"/>
                              </w:rPr>
                            </w:pPr>
                            <w:r w:rsidRPr="00757601">
                              <w:rPr>
                                <w:b/>
                                <w:color w:val="FFFFFF" w:themeColor="background1"/>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BE5CED" id="Text Box 9" o:spid="_x0000_s1027" type="#_x0000_t202" style="position:absolute;margin-left:14.25pt;margin-top:1.35pt;width:16.5pt;height:1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" filled="f" stroked="f" strokeweight=".5pt">
                <v:textbox>
                  <w:txbxContent>
                    <w:p w14:paraId="0CDEB3B7" w14:textId="77777777" w:rsidR="0059183B" w:rsidRPr="00757601" w:rsidRDefault="0059183B" w:rsidP="0059183B">
                      <w:pPr>
                        <w:rPr>
                          <w:b/>
                          <w:color w:val="FFFFFF" w:themeColor="background1"/>
                        </w:rPr>
                      </w:pPr>
                      <w:r w:rsidRPr="00757601">
                        <w:rPr>
                          <w:b/>
                          <w:color w:val="FFFFFF" w:themeColor="background1"/>
                        </w:rPr>
                        <w:t>A</w:t>
                      </w:r>
                    </w:p>
                  </w:txbxContent>
                </v:textbox>
              </v:shape>
            </w:pict>
          </mc:Fallback>
        </mc:AlternateContent>
      </w:r>
      <w:r w:rsidRPr="005705B2">
        <w:rPr>
          <w:rFonts w:ascii="Times New Roman" w:hAnsi="Times New Roman" w:cs="Times New Roman"/>
        </w:rPr>
        <w:t>.</w:t>
      </w:r>
    </w:p>
    <w:p w14:paraId="3DDEA413" w14:textId="77777777" w:rsidR="0059183B" w:rsidRDefault="0059183B" w:rsidP="0059183B">
      <w:pPr>
        <w:spacing w:after="0"/>
        <w:rPr>
          <w:noProof/>
          <w:sz w:val="18"/>
          <w:lang w:val="en-IN" w:eastAsia="en-IN"/>
        </w:rPr>
      </w:pPr>
    </w:p>
    <w:p w14:paraId="2149470B" w14:textId="77777777" w:rsidR="0059183B" w:rsidRPr="00BB0120" w:rsidRDefault="0059183B" w:rsidP="0059183B">
      <w:pPr>
        <w:spacing w:after="0"/>
        <w:rPr>
          <w:noProof/>
          <w:sz w:val="18"/>
          <w:lang w:val="en-IN" w:eastAsia="en-IN"/>
        </w:rPr>
      </w:pPr>
      <w:r>
        <w:rPr>
          <w:noProof/>
          <w:lang w:val="en-IN" w:eastAsia="en-IN"/>
        </w:rPr>
        <mc:AlternateContent>
          <mc:Choice Requires="wps">
            <w:drawing>
              <wp:anchor distT="0" distB="0" distL="114300" distR="114300" simplePos="0" relativeHeight="251659264" behindDoc="0" locked="0" layoutInCell="1" allowOverlap="1" wp14:anchorId="6226B70A" wp14:editId="0248EC14">
                <wp:simplePos x="0" y="0"/>
                <wp:positionH relativeFrom="column">
                  <wp:posOffset>-7619</wp:posOffset>
                </wp:positionH>
                <wp:positionV relativeFrom="paragraph">
                  <wp:posOffset>284480</wp:posOffset>
                </wp:positionV>
                <wp:extent cx="45719" cy="47625"/>
                <wp:effectExtent l="57150" t="19050" r="50165" b="9525"/>
                <wp:wrapNone/>
                <wp:docPr id="10" name="Text Box 10"/>
                <wp:cNvGraphicFramePr/>
                <a:graphic xmlns:a="http://schemas.openxmlformats.org/drawingml/2006/main">
                  <a:graphicData uri="http://schemas.microsoft.com/office/word/2010/wordprocessingShape">
                    <wps:wsp>
                      <wps:cNvSpPr txBox="1"/>
                      <wps:spPr>
                        <a:xfrm flipH="1">
                          <a:off x="0" y="0"/>
                          <a:ext cx="45719" cy="47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408C98" w14:textId="77777777" w:rsidR="0059183B" w:rsidRDefault="0059183B" w:rsidP="005918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26B70A" id="Text Box 10" o:spid="_x0000_s1028" type="#_x0000_t202" style="position:absolute;margin-left:-.6pt;margin-top:22.4pt;width:3.6pt;height:3.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" filled="f" stroked="f" strokeweight=".5pt">
                <v:textbox>
                  <w:txbxContent>
                    <w:p w14:paraId="00408C98" w14:textId="77777777" w:rsidR="0059183B" w:rsidRDefault="0059183B" w:rsidP="0059183B"/>
                  </w:txbxContent>
                </v:textbox>
              </v:shape>
            </w:pict>
          </mc:Fallback>
        </mc:AlternateContent>
      </w:r>
    </w:p>
    <w:p w14:paraId="1337382E" w14:textId="77777777" w:rsidR="0059183B" w:rsidRDefault="0059183B" w:rsidP="0059183B">
      <w:pPr>
        <w:rPr>
          <w:noProof/>
          <w:lang w:val="en-IN" w:eastAsia="en-IN"/>
        </w:rPr>
      </w:pPr>
      <w:r>
        <w:rPr>
          <w:noProof/>
          <w:lang w:val="en-IN" w:eastAsia="en-IN"/>
        </w:rPr>
        <mc:AlternateContent>
          <mc:Choice Requires="wps">
            <w:drawing>
              <wp:anchor distT="0" distB="0" distL="114300" distR="114300" simplePos="0" relativeHeight="251660288" behindDoc="0" locked="0" layoutInCell="1" allowOverlap="1" wp14:anchorId="42956EE4" wp14:editId="79CC0070">
                <wp:simplePos x="0" y="0"/>
                <wp:positionH relativeFrom="column">
                  <wp:posOffset>1790700</wp:posOffset>
                </wp:positionH>
                <wp:positionV relativeFrom="paragraph">
                  <wp:posOffset>12700</wp:posOffset>
                </wp:positionV>
                <wp:extent cx="257175" cy="28575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5717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F1D635" w14:textId="77777777" w:rsidR="0059183B" w:rsidRDefault="0059183B" w:rsidP="005918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956EE4" id="Text Box 11" o:spid="_x0000_s1029" type="#_x0000_t202" style="position:absolute;margin-left:141pt;margin-top:1pt;width:20.2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" filled="f" stroked="f" strokeweight=".5pt">
                <v:textbox>
                  <w:txbxContent>
                    <w:p w14:paraId="06F1D635" w14:textId="77777777" w:rsidR="0059183B" w:rsidRDefault="0059183B" w:rsidP="0059183B"/>
                  </w:txbxContent>
                </v:textbox>
              </v:shape>
            </w:pict>
          </mc:Fallback>
        </mc:AlternateContent>
      </w:r>
      <w:r>
        <w:t xml:space="preserve"> </w:t>
      </w:r>
      <w:r>
        <w:rPr>
          <w:noProof/>
          <w:lang w:val="en-IN" w:eastAsia="en-IN"/>
        </w:rPr>
        <w:t xml:space="preserve">  </w:t>
      </w:r>
      <w:r w:rsidRPr="0009422E">
        <w:rPr>
          <w:noProof/>
          <w:lang w:val="en-IN" w:eastAsia="en-IN"/>
        </w:rPr>
        <w:t xml:space="preserve"> </w:t>
      </w:r>
      <w:r>
        <w:rPr>
          <w:noProof/>
          <w:lang w:val="en-IN" w:eastAsia="en-IN"/>
        </w:rPr>
        <w:t xml:space="preserve">   </w:t>
      </w:r>
      <w:r w:rsidRPr="007B7283">
        <w:rPr>
          <w:noProof/>
          <w:lang w:val="en-IN" w:eastAsia="en-IN"/>
        </w:rPr>
        <w:drawing>
          <wp:inline distT="0" distB="0" distL="0" distR="0" wp14:anchorId="2239B0D7" wp14:editId="1A41EE04">
            <wp:extent cx="1605477" cy="1609725"/>
            <wp:effectExtent l="0" t="0" r="0" b="0"/>
            <wp:docPr id="13" name="Picture 13" descr="C:\Users\Admin\Desktop\devka asd\asd 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Admin\Desktop\devka asd\asd 0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5999" cy="1610249"/>
                    </a:xfrm>
                    <a:prstGeom prst="rect">
                      <a:avLst/>
                    </a:prstGeom>
                    <a:noFill/>
                    <a:ln>
                      <a:noFill/>
                    </a:ln>
                  </pic:spPr>
                </pic:pic>
              </a:graphicData>
            </a:graphic>
          </wp:inline>
        </w:drawing>
      </w:r>
      <w:r w:rsidRPr="0009422E">
        <w:rPr>
          <w:noProof/>
          <w:lang w:val="en-IN" w:eastAsia="en-IN"/>
        </w:rPr>
        <w:t xml:space="preserve"> </w:t>
      </w:r>
      <w:r>
        <w:rPr>
          <w:noProof/>
          <w:lang w:val="en-IN" w:eastAsia="en-IN"/>
        </w:rPr>
        <w:t xml:space="preserve"> </w:t>
      </w:r>
    </w:p>
    <w:p w14:paraId="4873059E" w14:textId="77777777" w:rsidR="0059183B" w:rsidRPr="00007EE5" w:rsidRDefault="0059183B" w:rsidP="0059183B">
      <w:pPr>
        <w:rPr>
          <w:rFonts w:ascii="Times New Roman" w:hAnsi="Times New Roman" w:cs="Times New Roman"/>
          <w:sz w:val="18"/>
          <w:szCs w:val="18"/>
        </w:rPr>
      </w:pPr>
      <w:r w:rsidRPr="00007EE5">
        <w:rPr>
          <w:rFonts w:ascii="Times New Roman" w:hAnsi="Times New Roman" w:cs="Times New Roman"/>
          <w:noProof/>
          <w:sz w:val="18"/>
          <w:szCs w:val="18"/>
          <w:lang w:val="en-IN" w:eastAsia="en-IN"/>
        </w:rPr>
        <w:t xml:space="preserve">Figure 2. Fluoroscopic image showing Atrial Septal defect closure with </w:t>
      </w:r>
      <w:r w:rsidRPr="00007EE5">
        <w:rPr>
          <w:rFonts w:ascii="Times New Roman" w:hAnsi="Times New Roman" w:cs="Times New Roman"/>
          <w:sz w:val="18"/>
          <w:szCs w:val="18"/>
        </w:rPr>
        <w:t xml:space="preserve">a </w:t>
      </w:r>
      <w:proofErr w:type="spellStart"/>
      <w:r w:rsidRPr="00007EE5">
        <w:rPr>
          <w:rFonts w:ascii="Times New Roman" w:hAnsi="Times New Roman" w:cs="Times New Roman"/>
          <w:sz w:val="18"/>
          <w:szCs w:val="18"/>
        </w:rPr>
        <w:t>Lifetech</w:t>
      </w:r>
      <w:proofErr w:type="spellEnd"/>
      <w:r w:rsidRPr="00007EE5">
        <w:rPr>
          <w:rFonts w:ascii="Times New Roman" w:hAnsi="Times New Roman" w:cs="Times New Roman"/>
          <w:sz w:val="18"/>
          <w:szCs w:val="18"/>
        </w:rPr>
        <w:t xml:space="preserve"> CERA ASD </w:t>
      </w:r>
      <w:proofErr w:type="spellStart"/>
      <w:r w:rsidRPr="00007EE5">
        <w:rPr>
          <w:rFonts w:ascii="Times New Roman" w:hAnsi="Times New Roman" w:cs="Times New Roman"/>
          <w:sz w:val="18"/>
          <w:szCs w:val="18"/>
        </w:rPr>
        <w:t>Occluder</w:t>
      </w:r>
      <w:proofErr w:type="spellEnd"/>
      <w:r w:rsidRPr="00007EE5">
        <w:rPr>
          <w:rFonts w:ascii="Times New Roman" w:hAnsi="Times New Roman" w:cs="Times New Roman"/>
          <w:sz w:val="18"/>
          <w:szCs w:val="18"/>
        </w:rPr>
        <w:t xml:space="preserve"> (46 mm)</w:t>
      </w:r>
    </w:p>
    <w:p w14:paraId="7FAB4E1E" w14:textId="77777777" w:rsidR="0059183B" w:rsidRDefault="0059183B" w:rsidP="0059183B">
      <w:pPr>
        <w:pStyle w:val="Heading2"/>
      </w:pPr>
      <w:r>
        <w:t>Outcome and follow up</w:t>
      </w:r>
    </w:p>
    <w:p w14:paraId="69E0DF4A" w14:textId="77777777" w:rsidR="0059183B" w:rsidRPr="005705B2" w:rsidRDefault="0059183B" w:rsidP="0059183B">
      <w:pPr>
        <w:rPr>
          <w:rFonts w:ascii="Times New Roman" w:hAnsi="Times New Roman" w:cs="Times New Roman"/>
          <w:noProof/>
          <w:lang w:val="en-IN" w:eastAsia="en-IN"/>
        </w:rPr>
      </w:pPr>
      <w:r w:rsidRPr="005705B2">
        <w:rPr>
          <w:rFonts w:ascii="Times New Roman" w:hAnsi="Times New Roman" w:cs="Times New Roman"/>
        </w:rPr>
        <w:t>Post-procedure, the patient improved symptomatically, with better oxygenation and exercise tolerance. No device embolization, arrhythmia exacerbation, residual shunt, or hemolysis was observed (Figure 3). She was discharged on anticoagulation, antiarrhythmic therapy, and standard COPD medications.</w:t>
      </w:r>
    </w:p>
    <w:p w14:paraId="72E3069A" w14:textId="77777777" w:rsidR="0059183B" w:rsidRDefault="0059183B" w:rsidP="0059183B">
      <w:pPr>
        <w:rPr>
          <w:noProof/>
          <w:lang w:val="en-IN" w:eastAsia="en-IN"/>
        </w:rPr>
      </w:pPr>
      <w:r>
        <w:rPr>
          <w:noProof/>
          <w:lang w:val="en-IN" w:eastAsia="en-IN"/>
        </w:rPr>
        <w:t xml:space="preserve">     </w:t>
      </w:r>
      <w:r w:rsidRPr="007B7283">
        <w:rPr>
          <w:noProof/>
          <w:lang w:val="en-IN" w:eastAsia="en-IN"/>
        </w:rPr>
        <w:drawing>
          <wp:inline distT="0" distB="0" distL="0" distR="0" wp14:anchorId="6E54D4FC" wp14:editId="477BB6F7">
            <wp:extent cx="2135213" cy="1609725"/>
            <wp:effectExtent l="0" t="0" r="0" b="0"/>
            <wp:docPr id="14" name="Picture 14" descr="C:\Users\Admin\Desktop\devka asd\post ASD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Admin\Desktop\devka asd\post ASD0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2137360" cy="1611343"/>
                    </a:xfrm>
                    <a:prstGeom prst="rect">
                      <a:avLst/>
                    </a:prstGeom>
                    <a:noFill/>
                    <a:ln>
                      <a:noFill/>
                    </a:ln>
                  </pic:spPr>
                </pic:pic>
              </a:graphicData>
            </a:graphic>
          </wp:inline>
        </w:drawing>
      </w:r>
      <w:r>
        <w:rPr>
          <w:noProof/>
          <w:lang w:val="en-IN" w:eastAsia="en-IN"/>
        </w:rPr>
        <w:t xml:space="preserve">  </w:t>
      </w:r>
    </w:p>
    <w:p w14:paraId="0A81314B" w14:textId="77777777" w:rsidR="0059183B" w:rsidRDefault="0059183B" w:rsidP="0059183B">
      <w:r w:rsidRPr="00007EE5">
        <w:rPr>
          <w:rFonts w:ascii="Times New Roman" w:hAnsi="Times New Roman" w:cs="Times New Roman"/>
          <w:noProof/>
          <w:sz w:val="18"/>
          <w:szCs w:val="18"/>
          <w:lang w:val="en-IN" w:eastAsia="en-IN"/>
        </w:rPr>
        <w:t>Figure 3. Transthorasic Echocardiography Apical 4 chamber view showing Atrial Septal Defect device in situ</w:t>
      </w:r>
      <w:r>
        <w:rPr>
          <w:noProof/>
          <w:lang w:val="en-IN" w:eastAsia="en-IN"/>
        </w:rPr>
        <w:t xml:space="preserve"> </w:t>
      </w:r>
      <w:r w:rsidRPr="005C3020">
        <w:rPr>
          <w:noProof/>
          <w:sz w:val="18"/>
          <w:szCs w:val="18"/>
          <w:lang w:val="en-IN" w:eastAsia="en-IN"/>
        </w:rPr>
        <w:t>with no shunt across the device.</w:t>
      </w:r>
    </w:p>
    <w:p w14:paraId="194CBA94" w14:textId="77777777" w:rsidR="0059183B" w:rsidRDefault="00EB79BA" w:rsidP="00785188">
      <w:pPr>
        <w:pStyle w:val="NormalWeb"/>
      </w:pPr>
      <w:r>
        <w:rPr>
          <w:noProof/>
        </w:rPr>
        <w:pict w14:anchorId="5092653D">
          <v:rect id="_x0000_i1027" style="width:0;height:1.5pt" o:hralign="center" o:hrstd="t" o:hr="t" fillcolor="#a0a0a0" stroked="f"/>
        </w:pict>
      </w:r>
    </w:p>
    <w:p w14:paraId="2F9E7950" w14:textId="77777777" w:rsidR="0059183B" w:rsidRDefault="0059183B" w:rsidP="0059183B">
      <w:pPr>
        <w:pStyle w:val="Heading3"/>
      </w:pPr>
      <w:r>
        <w:lastRenderedPageBreak/>
        <w:t>Discussion</w:t>
      </w:r>
    </w:p>
    <w:p w14:paraId="6DA0B8B8" w14:textId="77777777" w:rsidR="0059183B" w:rsidRDefault="0059183B" w:rsidP="0059183B">
      <w:pPr>
        <w:pStyle w:val="NormalWeb"/>
      </w:pPr>
      <w:r>
        <w:t>This patient had several adverse factors such as advanced age, COPD, atrial fibrillation, severe TR, and pulmonary hypertension which markedly increased surgical risk. However, the large left-to-right shunt (</w:t>
      </w:r>
      <w:proofErr w:type="spellStart"/>
      <w:r>
        <w:t>Qp</w:t>
      </w:r>
      <w:proofErr w:type="spellEnd"/>
      <w:r>
        <w:t>/Qs 3.47) with acceptable pulmonary vascular resistance made her a suitable candidate for transcatheter closure.</w:t>
      </w:r>
    </w:p>
    <w:p w14:paraId="49DB4FB2" w14:textId="77777777" w:rsidR="0059183B" w:rsidRDefault="0059183B" w:rsidP="0059183B">
      <w:pPr>
        <w:pStyle w:val="NormalWeb"/>
      </w:pPr>
      <w:r>
        <w:t>Elderly patients with ASD often present with atrial arrhythmias, right heart failure, and pulmonary vascular changes (6,9). If untreated, the condition predisposes to paradoxical embolism, arrhythmias, and progressive right ventricular dysfunction (4).</w:t>
      </w:r>
    </w:p>
    <w:p w14:paraId="7D8D4C3B" w14:textId="77777777" w:rsidR="0059183B" w:rsidRDefault="0059183B" w:rsidP="0059183B">
      <w:pPr>
        <w:pStyle w:val="NormalWeb"/>
      </w:pPr>
      <w:r>
        <w:t xml:space="preserve">Both ASD and COPD contribute to right heart dilatation through different mechanisms. ASD produces chronic volume overload, while COPD causes hypoxia-induced pulmonary vasoconstriction leading to pressure overload. When coexistent, these mechanisms act synergistically, hastening right ventricular </w:t>
      </w:r>
      <w:proofErr w:type="spellStart"/>
      <w:r>
        <w:t>remodeling</w:t>
      </w:r>
      <w:proofErr w:type="spellEnd"/>
      <w:r>
        <w:t xml:space="preserve"> and increasing the risk of right heart failure or early pulmonary vascular disease (2,3).</w:t>
      </w:r>
    </w:p>
    <w:p w14:paraId="30B27B34" w14:textId="77777777" w:rsidR="0059183B" w:rsidRDefault="0059183B" w:rsidP="0059183B">
      <w:pPr>
        <w:pStyle w:val="NormalWeb"/>
      </w:pPr>
      <w:r>
        <w:t>If left uncorrected in older patients, ASD can progress to irreversible right ventricular dysfunction. Percutaneous closure eliminates abnormal shunting, relieves volume overload, and prevents further decline in right heart function. In those with moderate or reversible PH, closure may also reduce pulmonary pressures and improve exercise capacity (1,5,7).</w:t>
      </w:r>
    </w:p>
    <w:p w14:paraId="4A2D58D3" w14:textId="77777777" w:rsidR="0059183B" w:rsidRDefault="0059183B" w:rsidP="0059183B">
      <w:pPr>
        <w:pStyle w:val="NormalWeb"/>
      </w:pPr>
      <w:r>
        <w:t xml:space="preserve">Compared with surgery, device closure avoids sternotomy and cardiopulmonary bypass, and can be performed under local </w:t>
      </w:r>
      <w:proofErr w:type="spellStart"/>
      <w:r>
        <w:t>anesthesia</w:t>
      </w:r>
      <w:proofErr w:type="spellEnd"/>
      <w:r>
        <w:t xml:space="preserve"> with sedation, making it particularly suitable for elderly or comorbid patients. It is associated with lower complication rates, shorter hospitalization, and faster recovery (8,9).</w:t>
      </w:r>
    </w:p>
    <w:p w14:paraId="48B575D0" w14:textId="77777777" w:rsidR="0059183B" w:rsidRDefault="0059183B" w:rsidP="0059183B">
      <w:pPr>
        <w:pStyle w:val="NormalWeb"/>
      </w:pPr>
      <w:r>
        <w:t xml:space="preserve">Several studies have confirmed symptomatic improvement and </w:t>
      </w:r>
      <w:proofErr w:type="spellStart"/>
      <w:r>
        <w:t>favorable</w:t>
      </w:r>
      <w:proofErr w:type="spellEnd"/>
      <w:r>
        <w:t xml:space="preserve"> long-term outcomes after device closure in elderly patients (1,4,5). Pre-procedural cardiac catheterization remains crucial to assess pulmonary vascular resistance and exclude fixed pulmonary vascular disease (6).</w:t>
      </w:r>
    </w:p>
    <w:p w14:paraId="74757A43" w14:textId="77777777" w:rsidR="0059183B" w:rsidRDefault="0059183B" w:rsidP="0059183B">
      <w:pPr>
        <w:pStyle w:val="NormalWeb"/>
      </w:pPr>
      <w:r>
        <w:t>This case highlights that even in elderly patients with COPD and arrhythmia, percutaneous closure of large ASDs is safe and effective when carefully selected. The availability of large devices (up to 48 mm) enables closure of even very large defects with excellent outcomes (10).</w:t>
      </w:r>
    </w:p>
    <w:p w14:paraId="59E0440A" w14:textId="77777777" w:rsidR="0059183B" w:rsidRDefault="00EB79BA" w:rsidP="0059183B">
      <w:r>
        <w:rPr>
          <w:noProof/>
        </w:rPr>
        <w:pict w14:anchorId="7D5548B7">
          <v:rect id="_x0000_i1028" style="width:0;height:1.5pt" o:hralign="center" o:hrstd="t" o:hr="t" fillcolor="#a0a0a0" stroked="f"/>
        </w:pict>
      </w:r>
    </w:p>
    <w:p w14:paraId="0B9F1C76" w14:textId="77777777" w:rsidR="0059183B" w:rsidRDefault="0059183B" w:rsidP="0059183B">
      <w:pPr>
        <w:pStyle w:val="Heading3"/>
      </w:pPr>
      <w:r>
        <w:t>Conclusion</w:t>
      </w:r>
    </w:p>
    <w:p w14:paraId="721392C3" w14:textId="77777777" w:rsidR="0059183B" w:rsidRDefault="0059183B" w:rsidP="0059183B">
      <w:pPr>
        <w:pStyle w:val="NormalWeb"/>
      </w:pPr>
      <w:r>
        <w:t xml:space="preserve">Percutaneous ASD closure provides a safe alternative to surgery in elderly patients with COPD, atrial fibrillation, and pulmonary hypertension. This case underscores that large-device closure can reduce surgical risk, improve functional capacity, and prevent </w:t>
      </w:r>
      <w:r>
        <w:lastRenderedPageBreak/>
        <w:t>progression of right heart dysfunction, supporting its role as the treatment of choice in suitable elderly patients (1–3,10).</w:t>
      </w:r>
    </w:p>
    <w:p w14:paraId="73F23002" w14:textId="77777777" w:rsidR="0059183B" w:rsidRDefault="00EB79BA" w:rsidP="0059183B">
      <w:r>
        <w:rPr>
          <w:noProof/>
        </w:rPr>
        <w:pict w14:anchorId="08709F50">
          <v:rect id="_x0000_i1029" style="width:0;height:1.5pt" o:hralign="center" o:hrstd="t" o:hr="t" fillcolor="#a0a0a0" stroked="f"/>
        </w:pict>
      </w:r>
    </w:p>
    <w:p w14:paraId="2D28AF98" w14:textId="77777777" w:rsidR="0059183B" w:rsidRDefault="0059183B" w:rsidP="0059183B">
      <w:pPr>
        <w:pStyle w:val="Heading3"/>
      </w:pPr>
      <w:r>
        <w:t>References</w:t>
      </w:r>
    </w:p>
    <w:p w14:paraId="0CE51F3B" w14:textId="77777777" w:rsidR="0059183B" w:rsidRDefault="0059183B" w:rsidP="0059183B">
      <w:pPr>
        <w:pStyle w:val="NormalWeb"/>
        <w:numPr>
          <w:ilvl w:val="0"/>
          <w:numId w:val="1"/>
        </w:numPr>
      </w:pPr>
      <w:proofErr w:type="spellStart"/>
      <w:r>
        <w:t>Baroutidou</w:t>
      </w:r>
      <w:proofErr w:type="spellEnd"/>
      <w:r>
        <w:t xml:space="preserve"> A, </w:t>
      </w:r>
      <w:proofErr w:type="spellStart"/>
      <w:r>
        <w:t>Drakopoulou</w:t>
      </w:r>
      <w:proofErr w:type="spellEnd"/>
      <w:r>
        <w:t xml:space="preserve"> M, </w:t>
      </w:r>
      <w:proofErr w:type="spellStart"/>
      <w:r>
        <w:t>Tsioufis</w:t>
      </w:r>
      <w:proofErr w:type="spellEnd"/>
      <w:r>
        <w:t xml:space="preserve"> C, </w:t>
      </w:r>
      <w:proofErr w:type="spellStart"/>
      <w:r>
        <w:t>Toutouzas</w:t>
      </w:r>
      <w:proofErr w:type="spellEnd"/>
      <w:r>
        <w:t xml:space="preserve"> K. Transcatheter closure of atrial septal defect in the elderly. </w:t>
      </w:r>
      <w:r>
        <w:rPr>
          <w:rStyle w:val="Emphasis"/>
        </w:rPr>
        <w:t>Heart</w:t>
      </w:r>
      <w:r>
        <w:t xml:space="preserve">. 2023;109(23):1741–1747. doi:10.1136/heartjnl-2023-322529. Available from: </w:t>
      </w:r>
      <w:hyperlink r:id="rId10" w:tgtFrame="_new" w:history="1">
        <w:r>
          <w:rPr>
            <w:rStyle w:val="Hyperlink"/>
          </w:rPr>
          <w:t>https://pubmed.ncbi.nlm.nih.gov/37380331</w:t>
        </w:r>
      </w:hyperlink>
    </w:p>
    <w:p w14:paraId="4CEBD913" w14:textId="77777777" w:rsidR="0059183B" w:rsidRDefault="0059183B" w:rsidP="0059183B">
      <w:pPr>
        <w:pStyle w:val="NormalWeb"/>
        <w:numPr>
          <w:ilvl w:val="0"/>
          <w:numId w:val="1"/>
        </w:numPr>
      </w:pPr>
      <w:r>
        <w:t xml:space="preserve">Miranda-Segura R, Hernandez J, Rueda J, et al. Successful Evolution of Atrial Septal Defect Closure in an Elderly Patient. </w:t>
      </w:r>
      <w:r>
        <w:rPr>
          <w:rStyle w:val="Emphasis"/>
        </w:rPr>
        <w:t>Cardiovasc Case Rep</w:t>
      </w:r>
      <w:r>
        <w:t>. 2024; [</w:t>
      </w:r>
      <w:proofErr w:type="spellStart"/>
      <w:r>
        <w:t>Epub</w:t>
      </w:r>
      <w:proofErr w:type="spellEnd"/>
      <w:r>
        <w:t xml:space="preserve"> ahead of print]. Available from: </w:t>
      </w:r>
      <w:hyperlink r:id="rId11" w:tgtFrame="_new" w:history="1">
        <w:r>
          <w:rPr>
            <w:rStyle w:val="Hyperlink"/>
          </w:rPr>
          <w:t>https://pmc.ncbi.nlm.nih.gov/articles/PMC11405808</w:t>
        </w:r>
      </w:hyperlink>
    </w:p>
    <w:p w14:paraId="0EF3820D" w14:textId="77777777" w:rsidR="0059183B" w:rsidRDefault="0059183B" w:rsidP="0059183B">
      <w:pPr>
        <w:pStyle w:val="NormalWeb"/>
        <w:numPr>
          <w:ilvl w:val="0"/>
          <w:numId w:val="1"/>
        </w:numPr>
      </w:pPr>
      <w:proofErr w:type="spellStart"/>
      <w:r>
        <w:t>Honghiranrueng</w:t>
      </w:r>
      <w:proofErr w:type="spellEnd"/>
      <w:r>
        <w:t xml:space="preserve"> L, </w:t>
      </w:r>
      <w:proofErr w:type="spellStart"/>
      <w:r>
        <w:t>Kaewlai</w:t>
      </w:r>
      <w:proofErr w:type="spellEnd"/>
      <w:r>
        <w:t xml:space="preserve"> C, </w:t>
      </w:r>
      <w:proofErr w:type="spellStart"/>
      <w:r>
        <w:t>Chanthong</w:t>
      </w:r>
      <w:proofErr w:type="spellEnd"/>
      <w:r>
        <w:t xml:space="preserve"> S, et al. Long-term outcomes of transcatheter atrial septal defect closure: age is not a limiting factor. </w:t>
      </w:r>
      <w:r>
        <w:rPr>
          <w:rStyle w:val="Emphasis"/>
        </w:rPr>
        <w:t>Front Cardiovasc Med</w:t>
      </w:r>
      <w:r>
        <w:t xml:space="preserve">. </w:t>
      </w:r>
      <w:proofErr w:type="gramStart"/>
      <w:r>
        <w:t>2024;11:1448967</w:t>
      </w:r>
      <w:proofErr w:type="gramEnd"/>
      <w:r>
        <w:t>. doi:10.3389/fcvm.2024.1448967. Available from: https://www.frontiersin.org/articles/10.3389/fcvm.2024.1448967/full</w:t>
      </w:r>
    </w:p>
    <w:p w14:paraId="2ED0DF87" w14:textId="77777777" w:rsidR="0059183B" w:rsidRDefault="0059183B" w:rsidP="0059183B">
      <w:pPr>
        <w:pStyle w:val="NormalWeb"/>
        <w:numPr>
          <w:ilvl w:val="0"/>
          <w:numId w:val="1"/>
        </w:numPr>
      </w:pPr>
      <w:proofErr w:type="spellStart"/>
      <w:r>
        <w:t>Abrahamyan</w:t>
      </w:r>
      <w:proofErr w:type="spellEnd"/>
      <w:r>
        <w:t xml:space="preserve"> L, </w:t>
      </w:r>
      <w:proofErr w:type="spellStart"/>
      <w:r>
        <w:t>Kpodonu</w:t>
      </w:r>
      <w:proofErr w:type="spellEnd"/>
      <w:r>
        <w:t xml:space="preserve"> J, Guerrero M, et al. Long-Term Outcomes After Atrial Septal Defect Closure in Older Patients. </w:t>
      </w:r>
      <w:r>
        <w:rPr>
          <w:rStyle w:val="Emphasis"/>
        </w:rPr>
        <w:t xml:space="preserve">JACC Cardiovasc </w:t>
      </w:r>
      <w:proofErr w:type="spellStart"/>
      <w:r>
        <w:rPr>
          <w:rStyle w:val="Emphasis"/>
        </w:rPr>
        <w:t>Interv</w:t>
      </w:r>
      <w:proofErr w:type="spellEnd"/>
      <w:r>
        <w:t xml:space="preserve">. 2021;14(7):764–773. </w:t>
      </w:r>
      <w:proofErr w:type="gramStart"/>
      <w:r>
        <w:t>doi:10.1016/j.jcin</w:t>
      </w:r>
      <w:proofErr w:type="gramEnd"/>
      <w:r>
        <w:t xml:space="preserve">.2020.12.029. Available from: </w:t>
      </w:r>
      <w:hyperlink r:id="rId12" w:tgtFrame="_new" w:history="1">
        <w:r>
          <w:rPr>
            <w:rStyle w:val="Hyperlink"/>
          </w:rPr>
          <w:t>https://www.jacc.org/doi/10.1016/j.jcin.2020.12.029</w:t>
        </w:r>
      </w:hyperlink>
    </w:p>
    <w:p w14:paraId="1E1BF75E" w14:textId="77777777" w:rsidR="0059183B" w:rsidRDefault="0059183B" w:rsidP="0059183B">
      <w:pPr>
        <w:pStyle w:val="NormalWeb"/>
        <w:numPr>
          <w:ilvl w:val="0"/>
          <w:numId w:val="1"/>
        </w:numPr>
      </w:pPr>
      <w:r>
        <w:t xml:space="preserve">Lima MR, Freitas HC, Freitas ACV, et al. Long-term prognosis of elderly patients undergoing atrial septal defect closure. </w:t>
      </w:r>
      <w:r>
        <w:rPr>
          <w:rStyle w:val="Emphasis"/>
        </w:rPr>
        <w:t xml:space="preserve">Int J </w:t>
      </w:r>
      <w:proofErr w:type="spellStart"/>
      <w:r>
        <w:rPr>
          <w:rStyle w:val="Emphasis"/>
        </w:rPr>
        <w:t>Cardiol</w:t>
      </w:r>
      <w:proofErr w:type="spellEnd"/>
      <w:r>
        <w:t>. 2025; [</w:t>
      </w:r>
      <w:proofErr w:type="spellStart"/>
      <w:r>
        <w:t>Epub</w:t>
      </w:r>
      <w:proofErr w:type="spellEnd"/>
      <w:r>
        <w:t xml:space="preserve"> ahead of print]. Available from: </w:t>
      </w:r>
      <w:hyperlink r:id="rId13" w:tgtFrame="_new" w:history="1">
        <w:r>
          <w:rPr>
            <w:rStyle w:val="Hyperlink"/>
          </w:rPr>
          <w:t>https://www.sciencedirect.com/science/article/pii/S0146280624005656</w:t>
        </w:r>
      </w:hyperlink>
    </w:p>
    <w:p w14:paraId="31ED82E7" w14:textId="77777777" w:rsidR="0059183B" w:rsidRDefault="0059183B" w:rsidP="0059183B">
      <w:pPr>
        <w:pStyle w:val="NormalWeb"/>
        <w:numPr>
          <w:ilvl w:val="0"/>
          <w:numId w:val="1"/>
        </w:numPr>
      </w:pPr>
      <w:proofErr w:type="spellStart"/>
      <w:r>
        <w:t>Komar</w:t>
      </w:r>
      <w:proofErr w:type="spellEnd"/>
      <w:r>
        <w:t xml:space="preserve"> M, </w:t>
      </w:r>
      <w:proofErr w:type="spellStart"/>
      <w:r>
        <w:t>Hagendorff</w:t>
      </w:r>
      <w:proofErr w:type="spellEnd"/>
      <w:r>
        <w:t xml:space="preserve"> A, </w:t>
      </w:r>
      <w:proofErr w:type="spellStart"/>
      <w:r>
        <w:t>Thilén</w:t>
      </w:r>
      <w:proofErr w:type="spellEnd"/>
      <w:r>
        <w:t xml:space="preserve"> U, et al. The benefit of atrial septal defect closure in elderly patients. </w:t>
      </w:r>
      <w:r>
        <w:rPr>
          <w:rStyle w:val="Emphasis"/>
        </w:rPr>
        <w:t xml:space="preserve">Clin </w:t>
      </w:r>
      <w:proofErr w:type="spellStart"/>
      <w:r>
        <w:rPr>
          <w:rStyle w:val="Emphasis"/>
        </w:rPr>
        <w:t>Interv</w:t>
      </w:r>
      <w:proofErr w:type="spellEnd"/>
      <w:r>
        <w:rPr>
          <w:rStyle w:val="Emphasis"/>
        </w:rPr>
        <w:t xml:space="preserve"> Aging</w:t>
      </w:r>
      <w:r>
        <w:t xml:space="preserve">. </w:t>
      </w:r>
      <w:proofErr w:type="gramStart"/>
      <w:r>
        <w:t>2014;9:1887</w:t>
      </w:r>
      <w:proofErr w:type="gramEnd"/>
      <w:r>
        <w:t xml:space="preserve">–1894. doi:10.2147/CIA.S62313. Available from: </w:t>
      </w:r>
      <w:hyperlink r:id="rId14" w:tgtFrame="_new" w:history="1">
        <w:r>
          <w:rPr>
            <w:rStyle w:val="Hyperlink"/>
          </w:rPr>
          <w:t>https://pmc.ncbi.nlm.nih.gov/articles/PMC4106953</w:t>
        </w:r>
      </w:hyperlink>
    </w:p>
    <w:p w14:paraId="7FC3A2C5" w14:textId="77777777" w:rsidR="0059183B" w:rsidRDefault="0059183B" w:rsidP="0059183B">
      <w:pPr>
        <w:pStyle w:val="NormalWeb"/>
        <w:numPr>
          <w:ilvl w:val="0"/>
          <w:numId w:val="1"/>
        </w:numPr>
      </w:pPr>
      <w:proofErr w:type="spellStart"/>
      <w:r>
        <w:t>Thilén</w:t>
      </w:r>
      <w:proofErr w:type="spellEnd"/>
      <w:r>
        <w:t xml:space="preserve"> U, </w:t>
      </w:r>
      <w:proofErr w:type="spellStart"/>
      <w:r>
        <w:t>Nellgård</w:t>
      </w:r>
      <w:proofErr w:type="spellEnd"/>
      <w:r>
        <w:t xml:space="preserve"> B, </w:t>
      </w:r>
      <w:proofErr w:type="spellStart"/>
      <w:r>
        <w:t>Dellborg</w:t>
      </w:r>
      <w:proofErr w:type="spellEnd"/>
      <w:r>
        <w:t xml:space="preserve"> M, et al. Catheter closure of atrial septal defect in the elderly (≥ 60 years). </w:t>
      </w:r>
      <w:r>
        <w:rPr>
          <w:rStyle w:val="Emphasis"/>
        </w:rPr>
        <w:t xml:space="preserve">Int J </w:t>
      </w:r>
      <w:proofErr w:type="spellStart"/>
      <w:r>
        <w:rPr>
          <w:rStyle w:val="Emphasis"/>
        </w:rPr>
        <w:t>Cardiol</w:t>
      </w:r>
      <w:proofErr w:type="spellEnd"/>
      <w:r>
        <w:t xml:space="preserve">. </w:t>
      </w:r>
      <w:proofErr w:type="gramStart"/>
      <w:r>
        <w:t>2016;205:6</w:t>
      </w:r>
      <w:proofErr w:type="gramEnd"/>
      <w:r>
        <w:t xml:space="preserve">–11. </w:t>
      </w:r>
      <w:proofErr w:type="gramStart"/>
      <w:r>
        <w:t>doi:10.1016/j.ijcard</w:t>
      </w:r>
      <w:proofErr w:type="gramEnd"/>
      <w:r>
        <w:t xml:space="preserve">.2016.04.108. Available from: </w:t>
      </w:r>
      <w:hyperlink r:id="rId15" w:tgtFrame="_new" w:history="1">
        <w:r>
          <w:rPr>
            <w:rStyle w:val="Hyperlink"/>
          </w:rPr>
          <w:t>https://www.sciencedirect.com/science/article/abs/pii/S0167527316309184</w:t>
        </w:r>
      </w:hyperlink>
    </w:p>
    <w:p w14:paraId="0F484B04" w14:textId="77777777" w:rsidR="0059183B" w:rsidRDefault="0059183B" w:rsidP="0059183B">
      <w:pPr>
        <w:pStyle w:val="NormalWeb"/>
        <w:numPr>
          <w:ilvl w:val="0"/>
          <w:numId w:val="1"/>
        </w:numPr>
      </w:pPr>
      <w:r>
        <w:t xml:space="preserve">O’Neill L, Tomlinson R, Chen W, et al. Percutaneous </w:t>
      </w:r>
      <w:proofErr w:type="spellStart"/>
      <w:r>
        <w:t>secundum</w:t>
      </w:r>
      <w:proofErr w:type="spellEnd"/>
      <w:r>
        <w:t xml:space="preserve"> atrial septal defect closure: meta-analysis on effect on atrial arrhythmia. </w:t>
      </w:r>
      <w:r>
        <w:rPr>
          <w:rStyle w:val="Emphasis"/>
        </w:rPr>
        <w:t xml:space="preserve">Int J </w:t>
      </w:r>
      <w:proofErr w:type="spellStart"/>
      <w:r>
        <w:rPr>
          <w:rStyle w:val="Emphasis"/>
        </w:rPr>
        <w:t>Cardiol</w:t>
      </w:r>
      <w:proofErr w:type="spellEnd"/>
      <w:r>
        <w:t xml:space="preserve">. </w:t>
      </w:r>
      <w:proofErr w:type="gramStart"/>
      <w:r>
        <w:t>2020;310:77</w:t>
      </w:r>
      <w:proofErr w:type="gramEnd"/>
      <w:r>
        <w:t xml:space="preserve">–83. </w:t>
      </w:r>
      <w:proofErr w:type="gramStart"/>
      <w:r>
        <w:t>doi:10.1016/j.ijcard</w:t>
      </w:r>
      <w:proofErr w:type="gramEnd"/>
      <w:r>
        <w:t xml:space="preserve">.2020.02.020. Available from: </w:t>
      </w:r>
      <w:hyperlink r:id="rId16" w:tgtFrame="_new" w:history="1">
        <w:r>
          <w:rPr>
            <w:rStyle w:val="Hyperlink"/>
          </w:rPr>
          <w:t>https://www.sciencedirect.com/science/article/abs/pii/S0167527320334628</w:t>
        </w:r>
      </w:hyperlink>
    </w:p>
    <w:p w14:paraId="63729E0F" w14:textId="77777777" w:rsidR="0059183B" w:rsidRDefault="0059183B" w:rsidP="0059183B">
      <w:pPr>
        <w:pStyle w:val="NormalWeb"/>
        <w:numPr>
          <w:ilvl w:val="0"/>
          <w:numId w:val="1"/>
        </w:numPr>
      </w:pPr>
      <w:proofErr w:type="spellStart"/>
      <w:r>
        <w:t>Fujii</w:t>
      </w:r>
      <w:proofErr w:type="spellEnd"/>
      <w:r>
        <w:t xml:space="preserve"> Y, Kimura T, Hara K, et al. Clinical impact of transcatheter atrial septal defect closure. </w:t>
      </w:r>
      <w:r>
        <w:rPr>
          <w:rStyle w:val="Emphasis"/>
        </w:rPr>
        <w:t xml:space="preserve">Int J </w:t>
      </w:r>
      <w:proofErr w:type="spellStart"/>
      <w:r>
        <w:rPr>
          <w:rStyle w:val="Emphasis"/>
        </w:rPr>
        <w:t>Cardiol</w:t>
      </w:r>
      <w:proofErr w:type="spellEnd"/>
      <w:r>
        <w:t xml:space="preserve">. </w:t>
      </w:r>
      <w:proofErr w:type="gramStart"/>
      <w:r>
        <w:t>2020;306:8</w:t>
      </w:r>
      <w:proofErr w:type="gramEnd"/>
      <w:r>
        <w:t xml:space="preserve">–15. </w:t>
      </w:r>
      <w:proofErr w:type="gramStart"/>
      <w:r>
        <w:t>doi:10.1016/j.ijcard</w:t>
      </w:r>
      <w:proofErr w:type="gramEnd"/>
      <w:r>
        <w:t xml:space="preserve">.2020.01.091. Available from: </w:t>
      </w:r>
      <w:hyperlink r:id="rId17" w:tgtFrame="_new" w:history="1">
        <w:r>
          <w:rPr>
            <w:rStyle w:val="Hyperlink"/>
          </w:rPr>
          <w:t>https://www.sciencedirect.com/science/article/pii/S0914508720300277</w:t>
        </w:r>
      </w:hyperlink>
    </w:p>
    <w:p w14:paraId="3F269BD6" w14:textId="77777777" w:rsidR="0059183B" w:rsidRDefault="0059183B" w:rsidP="0059183B">
      <w:pPr>
        <w:pStyle w:val="NormalWeb"/>
        <w:numPr>
          <w:ilvl w:val="0"/>
          <w:numId w:val="1"/>
        </w:numPr>
      </w:pPr>
      <w:proofErr w:type="spellStart"/>
      <w:r>
        <w:t>Singhi</w:t>
      </w:r>
      <w:proofErr w:type="spellEnd"/>
      <w:r>
        <w:t xml:space="preserve"> AK, Mahapatra SK, Kumar D, Dey S, Mishra A, De A. Large Fenestrated Atrial Septal </w:t>
      </w:r>
      <w:proofErr w:type="spellStart"/>
      <w:r>
        <w:t>Occluder</w:t>
      </w:r>
      <w:proofErr w:type="spellEnd"/>
      <w:r>
        <w:t xml:space="preserve"> to Treat an Elderly Patient with Multiple Comorbidities. </w:t>
      </w:r>
      <w:r>
        <w:rPr>
          <w:rStyle w:val="Emphasis"/>
        </w:rPr>
        <w:t>JACC Case Rep</w:t>
      </w:r>
      <w:r>
        <w:t xml:space="preserve">. 2022;4(4):230–233. </w:t>
      </w:r>
      <w:proofErr w:type="gramStart"/>
      <w:r>
        <w:t>doi:10.1016/j.jaccas</w:t>
      </w:r>
      <w:proofErr w:type="gramEnd"/>
      <w:r>
        <w:t xml:space="preserve">.2021.12.032. Available </w:t>
      </w:r>
      <w:r>
        <w:lastRenderedPageBreak/>
        <w:t xml:space="preserve">from: </w:t>
      </w:r>
      <w:hyperlink r:id="rId18" w:tgtFrame="_new" w:history="1">
        <w:r>
          <w:rPr>
            <w:rStyle w:val="Hyperlink"/>
          </w:rPr>
          <w:t>https://journals.lww.com/accd/fulltext/2022/04020/large_fenestrated_atrial_septal_occluder_to_treat.10.aspx</w:t>
        </w:r>
      </w:hyperlink>
    </w:p>
    <w:p w14:paraId="47353A48" w14:textId="77777777" w:rsidR="0059183B" w:rsidRPr="00BC6D85" w:rsidRDefault="0059183B" w:rsidP="0059183B">
      <w:pPr>
        <w:ind w:firstLine="45"/>
        <w:rPr>
          <w:b/>
        </w:rPr>
      </w:pPr>
    </w:p>
    <w:p w14:paraId="6009B851" w14:textId="77777777" w:rsidR="00373056" w:rsidRDefault="00373056"/>
    <w:sectPr w:rsidR="00373056" w:rsidSect="00034616">
      <w:headerReference w:type="even" r:id="rId19"/>
      <w:headerReference w:type="default" r:id="rId20"/>
      <w:footerReference w:type="even" r:id="rId21"/>
      <w:footerReference w:type="default" r:id="rId22"/>
      <w:headerReference w:type="first" r:id="rId23"/>
      <w:footerReference w:type="first" r:id="rId2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73A4D" w14:textId="77777777" w:rsidR="00EB79BA" w:rsidRDefault="00EB79BA" w:rsidP="006A41EC">
      <w:pPr>
        <w:spacing w:after="0" w:line="240" w:lineRule="auto"/>
      </w:pPr>
      <w:r>
        <w:separator/>
      </w:r>
    </w:p>
  </w:endnote>
  <w:endnote w:type="continuationSeparator" w:id="0">
    <w:p w14:paraId="7E75DEAD" w14:textId="77777777" w:rsidR="00EB79BA" w:rsidRDefault="00EB79BA" w:rsidP="006A4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55AAA" w14:textId="77777777" w:rsidR="006A41EC" w:rsidRDefault="006A41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3ED8A" w14:textId="77777777" w:rsidR="006A41EC" w:rsidRDefault="006A41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2FCAF" w14:textId="77777777" w:rsidR="006A41EC" w:rsidRDefault="006A41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21A02" w14:textId="77777777" w:rsidR="00EB79BA" w:rsidRDefault="00EB79BA" w:rsidP="006A41EC">
      <w:pPr>
        <w:spacing w:after="0" w:line="240" w:lineRule="auto"/>
      </w:pPr>
      <w:r>
        <w:separator/>
      </w:r>
    </w:p>
  </w:footnote>
  <w:footnote w:type="continuationSeparator" w:id="0">
    <w:p w14:paraId="658FEFCD" w14:textId="77777777" w:rsidR="00EB79BA" w:rsidRDefault="00EB79BA" w:rsidP="006A41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9C6F1" w14:textId="1709B874" w:rsidR="006A41EC" w:rsidRDefault="006A41EC">
    <w:pPr>
      <w:pStyle w:val="Header"/>
    </w:pPr>
    <w:r>
      <w:rPr>
        <w:noProof/>
      </w:rPr>
      <w:pict w14:anchorId="1DA9D2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491204" o:spid="_x0000_s2050" type="#_x0000_t136" style="position:absolute;margin-left:0;margin-top:0;width:512.85pt;height:9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CBDC4" w14:textId="157D3709" w:rsidR="006A41EC" w:rsidRDefault="006A41EC">
    <w:pPr>
      <w:pStyle w:val="Header"/>
    </w:pPr>
    <w:r>
      <w:rPr>
        <w:noProof/>
      </w:rPr>
      <w:pict w14:anchorId="6D7AA7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491205" o:spid="_x0000_s2051" type="#_x0000_t136" style="position:absolute;margin-left:0;margin-top:0;width:512.85pt;height:9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E73D8" w14:textId="7D703DDF" w:rsidR="006A41EC" w:rsidRDefault="006A41EC">
    <w:pPr>
      <w:pStyle w:val="Header"/>
    </w:pPr>
    <w:r>
      <w:rPr>
        <w:noProof/>
      </w:rPr>
      <w:pict w14:anchorId="386B0A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491203" o:spid="_x0000_s2049" type="#_x0000_t136" style="position:absolute;margin-left:0;margin-top:0;width:512.85pt;height:9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07807"/>
    <w:multiLevelType w:val="multilevel"/>
    <w:tmpl w:val="F976D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83B"/>
    <w:rsid w:val="00373056"/>
    <w:rsid w:val="003A459A"/>
    <w:rsid w:val="0059183B"/>
    <w:rsid w:val="006A41EC"/>
    <w:rsid w:val="00772BA4"/>
    <w:rsid w:val="00785188"/>
    <w:rsid w:val="00830FBA"/>
    <w:rsid w:val="00EB79B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E14D6C"/>
  <w15:chartTrackingRefBased/>
  <w15:docId w15:val="{2AD4E868-3D62-48CF-82D2-65C7559F0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183B"/>
    <w:pPr>
      <w:spacing w:after="200" w:line="276" w:lineRule="auto"/>
    </w:pPr>
    <w:rPr>
      <w:rFonts w:eastAsiaTheme="minorEastAsia"/>
      <w:lang w:val="en-US"/>
    </w:rPr>
  </w:style>
  <w:style w:type="paragraph" w:styleId="Heading1">
    <w:name w:val="heading 1"/>
    <w:basedOn w:val="Normal"/>
    <w:next w:val="Normal"/>
    <w:link w:val="Heading1Char"/>
    <w:uiPriority w:val="9"/>
    <w:qFormat/>
    <w:rsid w:val="0059183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59183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59183B"/>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83B"/>
    <w:rPr>
      <w:rFonts w:asciiTheme="majorHAnsi" w:eastAsiaTheme="majorEastAsia" w:hAnsiTheme="majorHAnsi" w:cstheme="majorBidi"/>
      <w:b/>
      <w:bCs/>
      <w:color w:val="2E74B5" w:themeColor="accent1" w:themeShade="BF"/>
      <w:sz w:val="28"/>
      <w:szCs w:val="28"/>
      <w:lang w:val="en-US"/>
    </w:rPr>
  </w:style>
  <w:style w:type="character" w:customStyle="1" w:styleId="Heading2Char">
    <w:name w:val="Heading 2 Char"/>
    <w:basedOn w:val="DefaultParagraphFont"/>
    <w:link w:val="Heading2"/>
    <w:uiPriority w:val="9"/>
    <w:rsid w:val="0059183B"/>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uiPriority w:val="9"/>
    <w:rsid w:val="0059183B"/>
    <w:rPr>
      <w:rFonts w:asciiTheme="majorHAnsi" w:eastAsiaTheme="majorEastAsia" w:hAnsiTheme="majorHAnsi" w:cstheme="majorBidi"/>
      <w:b/>
      <w:bCs/>
      <w:color w:val="5B9BD5" w:themeColor="accent1"/>
      <w:lang w:val="en-US"/>
    </w:rPr>
  </w:style>
  <w:style w:type="character" w:styleId="Emphasis">
    <w:name w:val="Emphasis"/>
    <w:basedOn w:val="DefaultParagraphFont"/>
    <w:uiPriority w:val="20"/>
    <w:qFormat/>
    <w:rsid w:val="0059183B"/>
    <w:rPr>
      <w:i/>
      <w:iCs/>
    </w:rPr>
  </w:style>
  <w:style w:type="table" w:styleId="TableGrid">
    <w:name w:val="Table Grid"/>
    <w:basedOn w:val="TableNormal"/>
    <w:uiPriority w:val="59"/>
    <w:rsid w:val="0059183B"/>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9183B"/>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59183B"/>
    <w:rPr>
      <w:color w:val="0563C1" w:themeColor="hyperlink"/>
      <w:u w:val="single"/>
    </w:rPr>
  </w:style>
  <w:style w:type="paragraph" w:styleId="Header">
    <w:name w:val="header"/>
    <w:basedOn w:val="Normal"/>
    <w:link w:val="HeaderChar"/>
    <w:uiPriority w:val="99"/>
    <w:unhideWhenUsed/>
    <w:rsid w:val="006A41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1EC"/>
    <w:rPr>
      <w:rFonts w:eastAsiaTheme="minorEastAsia"/>
      <w:lang w:val="en-US"/>
    </w:rPr>
  </w:style>
  <w:style w:type="paragraph" w:styleId="Footer">
    <w:name w:val="footer"/>
    <w:basedOn w:val="Normal"/>
    <w:link w:val="FooterChar"/>
    <w:uiPriority w:val="99"/>
    <w:unhideWhenUsed/>
    <w:rsid w:val="006A4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1EC"/>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sciencedirect.com/science/article/pii/S0146280624005656?utm_source=chatgpt.com" TargetMode="External"/><Relationship Id="rId18" Type="http://schemas.openxmlformats.org/officeDocument/2006/relationships/hyperlink" Target="https://journals.lww.com/accd/fulltext/2022/04020/large_fenestrated_atrial_septal_occluder_to_treat.10.aspx?utm_source=chatgpt.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jacc.org/doi/10.1016/j.jcin.2020.12.029?utm_source=chatgpt.com" TargetMode="External"/><Relationship Id="rId17" Type="http://schemas.openxmlformats.org/officeDocument/2006/relationships/hyperlink" Target="https://www.sciencedirect.com/science/article/pii/S0914508720300277?utm_source=chatgpt.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ciencedirect.com/science/article/abs/pii/S0167527320334628"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mc.ncbi.nlm.nih.gov/articles/PMC11405808?utm_source=chatgpt.com"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sciencedirect.com/science/article/abs/pii/S0167527316309184" TargetMode="External"/><Relationship Id="rId23" Type="http://schemas.openxmlformats.org/officeDocument/2006/relationships/header" Target="header3.xml"/><Relationship Id="rId10" Type="http://schemas.openxmlformats.org/officeDocument/2006/relationships/hyperlink" Target="https://pubmed.ncbi.nlm.nih.gov/37380331?utm_source=chatgpt.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pmc.ncbi.nlm.nih.gov/articles/PMC4106953?utm_source=chatgpt.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1651</Words>
  <Characters>9416</Characters>
  <Application>Microsoft Office Word</Application>
  <DocSecurity>0</DocSecurity>
  <Lines>78</Lines>
  <Paragraphs>22</Paragraphs>
  <ScaleCrop>false</ScaleCrop>
  <Company/>
  <LinksUpToDate>false</LinksUpToDate>
  <CharactersWithSpaces>11045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4</cp:revision>
  <dcterms:created xsi:type="dcterms:W3CDTF">2025-09-26T18:55:00Z</dcterms:created>
  <dcterms:modified xsi:type="dcterms:W3CDTF">2025-09-27T07:19:00Z</dcterms:modified>
</cp:coreProperties>
</file>