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A725" w14:textId="487B5F69" w:rsidR="00754C9A" w:rsidRDefault="00BA047D" w:rsidP="00CC0279">
      <w:pPr>
        <w:pStyle w:val="Title"/>
        <w:spacing w:after="0"/>
        <w:jc w:val="left"/>
        <w:rPr>
          <w:rFonts w:ascii="Arial" w:hAnsi="Arial" w:cs="Arial"/>
        </w:rPr>
      </w:pPr>
      <w:r w:rsidRPr="00BA047D">
        <w:rPr>
          <w:rFonts w:ascii="Arial" w:hAnsi="Arial" w:cs="Arial"/>
        </w:rPr>
        <w:t>Review Article</w:t>
      </w:r>
    </w:p>
    <w:p w14:paraId="72A11466" w14:textId="77777777" w:rsidR="00163BC4" w:rsidRPr="00163BC4" w:rsidRDefault="002A3EC6" w:rsidP="00CC0279">
      <w:pPr>
        <w:pStyle w:val="Author"/>
        <w:spacing w:line="240" w:lineRule="auto"/>
        <w:jc w:val="left"/>
        <w:rPr>
          <w:rFonts w:ascii="Arial" w:hAnsi="Arial" w:cs="Arial"/>
          <w:bCs/>
          <w:iCs/>
          <w:kern w:val="28"/>
          <w:sz w:val="36"/>
        </w:rPr>
      </w:pPr>
      <w:r w:rsidRPr="002A3EC6">
        <w:rPr>
          <w:rFonts w:ascii="Arial" w:hAnsi="Arial" w:cs="Arial"/>
          <w:bCs/>
          <w:iCs/>
          <w:kern w:val="28"/>
          <w:sz w:val="36"/>
        </w:rPr>
        <w:t>Human Milk Compositional Plasticity: A Review of Implications for Maternal Nutrition Policies in Togo</w:t>
      </w:r>
      <w:r w:rsidR="00231920">
        <w:rPr>
          <w:rFonts w:ascii="Arial" w:hAnsi="Arial" w:cs="Arial"/>
          <w:bCs/>
          <w:iCs/>
          <w:kern w:val="28"/>
          <w:sz w:val="36"/>
        </w:rPr>
        <w:t xml:space="preserve"> </w:t>
      </w:r>
    </w:p>
    <w:p w14:paraId="289884B8" w14:textId="77777777" w:rsidR="00A258C3" w:rsidRPr="00790ADA" w:rsidRDefault="00A258C3" w:rsidP="00CC0279">
      <w:pPr>
        <w:pStyle w:val="Author"/>
        <w:spacing w:line="240" w:lineRule="auto"/>
        <w:jc w:val="left"/>
        <w:rPr>
          <w:rFonts w:ascii="Arial" w:hAnsi="Arial" w:cs="Arial"/>
          <w:sz w:val="36"/>
        </w:rPr>
      </w:pPr>
    </w:p>
    <w:p w14:paraId="09F124FE" w14:textId="77777777" w:rsidR="00790ADA" w:rsidRDefault="00790ADA" w:rsidP="00CC0279">
      <w:pPr>
        <w:pStyle w:val="Affiliation"/>
        <w:spacing w:after="0" w:line="240" w:lineRule="auto"/>
        <w:jc w:val="left"/>
        <w:rPr>
          <w:rFonts w:ascii="Arial" w:hAnsi="Arial" w:cs="Arial"/>
        </w:rPr>
      </w:pPr>
    </w:p>
    <w:p w14:paraId="0324E0BF" w14:textId="77777777" w:rsidR="002C57D2" w:rsidRPr="00FB3A86" w:rsidRDefault="002C57D2" w:rsidP="00CC0279">
      <w:pPr>
        <w:pStyle w:val="Affiliation"/>
        <w:spacing w:after="0" w:line="240" w:lineRule="auto"/>
        <w:jc w:val="left"/>
        <w:rPr>
          <w:rFonts w:ascii="Arial" w:hAnsi="Arial" w:cs="Arial"/>
        </w:rPr>
      </w:pPr>
    </w:p>
    <w:p w14:paraId="38CEA2E7" w14:textId="77777777" w:rsidR="00B01FCD" w:rsidRPr="00FB3A86" w:rsidRDefault="008F667F" w:rsidP="00CC0279">
      <w:pPr>
        <w:pStyle w:val="Copyright"/>
        <w:spacing w:after="0" w:line="240" w:lineRule="auto"/>
        <w:rPr>
          <w:rFonts w:ascii="Arial" w:hAnsi="Arial" w:cs="Arial"/>
        </w:rPr>
        <w:sectPr w:rsidR="00B01FCD" w:rsidRPr="00FB3A86" w:rsidSect="00E1563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4BE9D316" wp14:editId="6453C2A4">
                <wp:extent cx="5303520" cy="635"/>
                <wp:effectExtent l="9525" t="11430" r="11430"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B47367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A4C5581" w14:textId="77777777" w:rsidR="00B01FCD" w:rsidRDefault="00B01FCD" w:rsidP="00CC0279">
      <w:pPr>
        <w:pStyle w:val="AbstHead"/>
        <w:spacing w:after="0"/>
        <w:rPr>
          <w:rFonts w:ascii="Arial" w:hAnsi="Arial" w:cs="Arial"/>
        </w:rPr>
      </w:pPr>
      <w:r w:rsidRPr="00FB3A86">
        <w:rPr>
          <w:rFonts w:ascii="Arial" w:hAnsi="Arial" w:cs="Arial"/>
        </w:rPr>
        <w:t>ABSTRACT</w:t>
      </w:r>
      <w:r w:rsidR="006152B5">
        <w:rPr>
          <w:rFonts w:ascii="Arial" w:hAnsi="Arial" w:cs="Arial"/>
        </w:rPr>
        <w:t xml:space="preserve"> </w:t>
      </w:r>
    </w:p>
    <w:p w14:paraId="0D7921B0" w14:textId="77777777" w:rsidR="00790ADA" w:rsidRPr="00FB3A86" w:rsidRDefault="00790ADA" w:rsidP="00CC0279">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409F83C" w14:textId="77777777" w:rsidTr="001E44FE">
        <w:tc>
          <w:tcPr>
            <w:tcW w:w="9576" w:type="dxa"/>
            <w:shd w:val="clear" w:color="auto" w:fill="F2F2F2"/>
          </w:tcPr>
          <w:p w14:paraId="7B0E1F05" w14:textId="77777777" w:rsidR="002A3EC6" w:rsidRPr="002A3EC6" w:rsidRDefault="002A3EC6" w:rsidP="00CC0279">
            <w:pPr>
              <w:pStyle w:val="Body"/>
              <w:jc w:val="left"/>
              <w:rPr>
                <w:rFonts w:ascii="Arial" w:eastAsia="Calibri" w:hAnsi="Arial" w:cs="Arial"/>
                <w:szCs w:val="22"/>
              </w:rPr>
            </w:pPr>
            <w:proofErr w:type="gramStart"/>
            <w:r w:rsidRPr="002A3EC6">
              <w:rPr>
                <w:rFonts w:ascii="Arial" w:eastAsia="Calibri" w:hAnsi="Arial" w:cs="Arial"/>
                <w:szCs w:val="22"/>
              </w:rPr>
              <w:t>Background :</w:t>
            </w:r>
            <w:proofErr w:type="gramEnd"/>
            <w:r w:rsidRPr="002A3EC6">
              <w:rPr>
                <w:rFonts w:ascii="Arial" w:eastAsia="Calibri" w:hAnsi="Arial" w:cs="Arial"/>
                <w:szCs w:val="22"/>
              </w:rPr>
              <w:t xml:space="preserve"> Human milk is recognized as the optimal nutrition for infants, and its composition is often presumed to be stable due to potent maternal homeostatic mechanisms. However, this paradigm is challenged by physiological evidence that milk components are derived from the mother's diet and endogenous stores. This review examines the dichotomy between the intrinsic stability and dietary dependence of human milk composition to inform public health policies in nutritionally precarious contexts such as Togo.</w:t>
            </w:r>
          </w:p>
          <w:p w14:paraId="67C90AF6" w14:textId="77777777" w:rsidR="002A3EC6" w:rsidRPr="002A3EC6" w:rsidRDefault="002A3EC6" w:rsidP="00CC0279">
            <w:pPr>
              <w:pStyle w:val="Body"/>
              <w:jc w:val="left"/>
              <w:rPr>
                <w:rFonts w:ascii="Arial" w:eastAsia="Calibri" w:hAnsi="Arial" w:cs="Arial"/>
                <w:szCs w:val="22"/>
              </w:rPr>
            </w:pPr>
            <w:proofErr w:type="gramStart"/>
            <w:r w:rsidRPr="002A3EC6">
              <w:rPr>
                <w:rFonts w:ascii="Arial" w:eastAsia="Calibri" w:hAnsi="Arial" w:cs="Arial"/>
                <w:szCs w:val="22"/>
              </w:rPr>
              <w:t>Objective :</w:t>
            </w:r>
            <w:proofErr w:type="gramEnd"/>
            <w:r w:rsidRPr="002A3EC6">
              <w:rPr>
                <w:rFonts w:ascii="Arial" w:eastAsia="Calibri" w:hAnsi="Arial" w:cs="Arial"/>
                <w:szCs w:val="22"/>
              </w:rPr>
              <w:t xml:space="preserve"> This review aims to synthesize current scientific evidence on the influence of maternal nutrition on the biochemical composition of human milk. The primary goal is to distinguish between biochemically stable and plastic components to evaluate the rationale for targeted nutritional interventions for lactating women in the Togolese public health context.</w:t>
            </w:r>
          </w:p>
          <w:p w14:paraId="26B65ADB" w14:textId="77777777" w:rsidR="002A3EC6" w:rsidRPr="002A3EC6" w:rsidRDefault="002A3EC6" w:rsidP="00CC0279">
            <w:pPr>
              <w:pStyle w:val="Body"/>
              <w:jc w:val="left"/>
              <w:rPr>
                <w:rFonts w:ascii="Arial" w:eastAsia="Calibri" w:hAnsi="Arial" w:cs="Arial"/>
                <w:szCs w:val="22"/>
              </w:rPr>
            </w:pPr>
            <w:proofErr w:type="gramStart"/>
            <w:r w:rsidRPr="002A3EC6">
              <w:rPr>
                <w:rFonts w:ascii="Arial" w:eastAsia="Calibri" w:hAnsi="Arial" w:cs="Arial"/>
                <w:szCs w:val="22"/>
              </w:rPr>
              <w:t>Methods :</w:t>
            </w:r>
            <w:proofErr w:type="gramEnd"/>
            <w:r w:rsidRPr="002A3EC6">
              <w:rPr>
                <w:rFonts w:ascii="Arial" w:eastAsia="Calibri" w:hAnsi="Arial" w:cs="Arial"/>
                <w:szCs w:val="22"/>
              </w:rPr>
              <w:t xml:space="preserve"> A narrative review was conducted using a systematic bibliographic search of the PubMed/MEDLINE, Scopus, Cochrane Library, and Google Scholar databases between January and March 2024. The search included studies published from 2000 to 2024 that quantitatively assessed the relationship between maternal diet or nutritional status and nutrient concentrations in human milk. Data were organized by nutrient category and a narrative synthesis was employed to identify patterns of stability versus variability.</w:t>
            </w:r>
          </w:p>
          <w:p w14:paraId="3CC85515" w14:textId="77777777" w:rsidR="002A3EC6" w:rsidRPr="002A3EC6" w:rsidRDefault="002A3EC6" w:rsidP="00CC0279">
            <w:pPr>
              <w:pStyle w:val="Body"/>
              <w:jc w:val="left"/>
              <w:rPr>
                <w:rFonts w:ascii="Arial" w:eastAsia="Calibri" w:hAnsi="Arial" w:cs="Arial"/>
                <w:szCs w:val="22"/>
              </w:rPr>
            </w:pPr>
            <w:proofErr w:type="gramStart"/>
            <w:r w:rsidRPr="002A3EC6">
              <w:rPr>
                <w:rFonts w:ascii="Arial" w:eastAsia="Calibri" w:hAnsi="Arial" w:cs="Arial"/>
                <w:szCs w:val="22"/>
              </w:rPr>
              <w:t>Results :</w:t>
            </w:r>
            <w:proofErr w:type="gramEnd"/>
            <w:r w:rsidRPr="002A3EC6">
              <w:rPr>
                <w:rFonts w:ascii="Arial" w:eastAsia="Calibri" w:hAnsi="Arial" w:cs="Arial"/>
                <w:szCs w:val="22"/>
              </w:rPr>
              <w:t xml:space="preserve"> The evidence reveals a differential homeostasis in human milk composition. The concentrations of energy-providing macronutrients</w:t>
            </w:r>
            <w:r>
              <w:rPr>
                <w:rFonts w:ascii="Arial" w:eastAsia="Calibri" w:hAnsi="Arial" w:cs="Arial"/>
                <w:szCs w:val="22"/>
              </w:rPr>
              <w:t xml:space="preserve"> a</w:t>
            </w:r>
            <w:r w:rsidRPr="002A3EC6">
              <w:rPr>
                <w:rFonts w:ascii="Arial" w:eastAsia="Calibri" w:hAnsi="Arial" w:cs="Arial"/>
                <w:szCs w:val="22"/>
              </w:rPr>
              <w:t>re remarkably stable and preserved even at the expense of maternal tissue reserves. In contrast, the qualitative aspects of milk are highly plastic. The fatty acid profile, particularly the content of docosahexaenoic acid (DHA), is directly correlated with maternal dietary intake. Micronutrient concentrations are also highly dependent on maternal status and are classified into two groups: Type I nutrients, which have low maternal storage and directly reflect recent intake, and Type II nutrients, for which maternal reserves can buffer short-term dietary inadequacy but are depleted by chronic deficiency.</w:t>
            </w:r>
          </w:p>
          <w:p w14:paraId="6C74D214" w14:textId="77777777" w:rsidR="00636EB2" w:rsidRDefault="002A3EC6" w:rsidP="00CC0279">
            <w:pPr>
              <w:pStyle w:val="Body"/>
              <w:spacing w:after="0"/>
              <w:jc w:val="left"/>
              <w:rPr>
                <w:rFonts w:ascii="Arial" w:eastAsia="Calibri" w:hAnsi="Arial" w:cs="Arial"/>
                <w:szCs w:val="22"/>
              </w:rPr>
            </w:pPr>
            <w:r w:rsidRPr="002A3EC6">
              <w:rPr>
                <w:rFonts w:ascii="Arial" w:eastAsia="Calibri" w:hAnsi="Arial" w:cs="Arial"/>
                <w:szCs w:val="22"/>
              </w:rPr>
              <w:t>Conclusion: The nutritional stability of human milk is a nuanced concept rather than an absolute state. While robust homeostasis maintains energy content, the quality of milk</w:t>
            </w:r>
            <w:r>
              <w:rPr>
                <w:rFonts w:ascii="Arial" w:eastAsia="Calibri" w:hAnsi="Arial" w:cs="Arial"/>
                <w:szCs w:val="22"/>
              </w:rPr>
              <w:t xml:space="preserve"> </w:t>
            </w:r>
            <w:r w:rsidRPr="002A3EC6">
              <w:rPr>
                <w:rFonts w:ascii="Arial" w:eastAsia="Calibri" w:hAnsi="Arial" w:cs="Arial"/>
                <w:szCs w:val="22"/>
              </w:rPr>
              <w:t>is markedly vulnerable to maternal dietary intake. This plasticity is a critical public health concern in regions like Togo. Therefore, policies must extend beyond promoting breastfeeding to include active, evidence-based nutritional support for lactating women to ensure milk provides its full biological potential.</w:t>
            </w:r>
          </w:p>
          <w:p w14:paraId="58AC4618" w14:textId="77777777" w:rsidR="00505F06" w:rsidRPr="00BA1B01" w:rsidRDefault="00505F06" w:rsidP="00CC0279">
            <w:pPr>
              <w:pStyle w:val="Body"/>
              <w:spacing w:after="0"/>
              <w:jc w:val="left"/>
              <w:rPr>
                <w:rFonts w:ascii="Arial" w:eastAsia="Calibri" w:hAnsi="Arial" w:cs="Arial"/>
                <w:szCs w:val="22"/>
              </w:rPr>
            </w:pPr>
          </w:p>
        </w:tc>
      </w:tr>
    </w:tbl>
    <w:p w14:paraId="6D84F6C0" w14:textId="77777777" w:rsidR="00636EB2" w:rsidRDefault="00636EB2" w:rsidP="00CC0279">
      <w:pPr>
        <w:pStyle w:val="Body"/>
        <w:spacing w:after="0"/>
        <w:jc w:val="left"/>
        <w:rPr>
          <w:rFonts w:ascii="Arial" w:hAnsi="Arial" w:cs="Arial"/>
          <w:i/>
        </w:rPr>
      </w:pPr>
    </w:p>
    <w:p w14:paraId="20FB259A" w14:textId="77777777" w:rsidR="00A24E7E" w:rsidRDefault="002A3EC6" w:rsidP="00CC0279">
      <w:pPr>
        <w:pStyle w:val="Body"/>
        <w:spacing w:after="0"/>
        <w:jc w:val="left"/>
        <w:rPr>
          <w:rFonts w:ascii="Arial" w:hAnsi="Arial" w:cs="Arial"/>
          <w:i/>
        </w:rPr>
      </w:pPr>
      <w:r>
        <w:rPr>
          <w:rFonts w:ascii="Arial" w:hAnsi="Arial" w:cs="Arial"/>
          <w:i/>
        </w:rPr>
        <w:t xml:space="preserve">Keywords: </w:t>
      </w:r>
      <w:r w:rsidRPr="002A3EC6">
        <w:rPr>
          <w:rFonts w:ascii="Arial" w:hAnsi="Arial" w:cs="Arial"/>
          <w:i/>
        </w:rPr>
        <w:t>Human milk composition, Maternal nutrition, Lactation, Nutritional plasticity, Micronutrients, Fatty acids, Public health, Togo</w:t>
      </w:r>
      <w:r w:rsidR="0066510A">
        <w:rPr>
          <w:rFonts w:ascii="Arial" w:hAnsi="Arial" w:cs="Arial"/>
          <w:i/>
        </w:rPr>
        <w:t>)</w:t>
      </w:r>
    </w:p>
    <w:p w14:paraId="5DDE568A" w14:textId="77777777" w:rsidR="00790ADA" w:rsidRDefault="00790ADA" w:rsidP="00CC0279">
      <w:pPr>
        <w:pStyle w:val="Body"/>
        <w:spacing w:after="0"/>
        <w:jc w:val="left"/>
        <w:rPr>
          <w:rFonts w:ascii="Arial" w:hAnsi="Arial" w:cs="Arial"/>
          <w:i/>
        </w:rPr>
      </w:pPr>
    </w:p>
    <w:p w14:paraId="35AAE4EB" w14:textId="77777777" w:rsidR="0024282C" w:rsidRDefault="0024282C" w:rsidP="00CC0279">
      <w:pPr>
        <w:pStyle w:val="Body"/>
        <w:spacing w:after="0"/>
        <w:jc w:val="left"/>
        <w:rPr>
          <w:rFonts w:ascii="Arial" w:hAnsi="Arial" w:cs="Arial"/>
          <w:i/>
          <w:sz w:val="18"/>
        </w:rPr>
      </w:pPr>
    </w:p>
    <w:p w14:paraId="781CDDB7" w14:textId="77777777" w:rsidR="00505F06" w:rsidRPr="00A24E7E" w:rsidRDefault="00505F06" w:rsidP="00CC0279">
      <w:pPr>
        <w:pStyle w:val="Body"/>
        <w:spacing w:after="0"/>
        <w:jc w:val="left"/>
        <w:rPr>
          <w:rFonts w:ascii="Arial" w:hAnsi="Arial" w:cs="Arial"/>
          <w:i/>
        </w:rPr>
      </w:pPr>
    </w:p>
    <w:p w14:paraId="0672A73A" w14:textId="77777777" w:rsidR="007F7B32" w:rsidRDefault="00902823" w:rsidP="00CC0279">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14:paraId="7786055A" w14:textId="77777777" w:rsidR="00790ADA" w:rsidRPr="00FB3A86" w:rsidRDefault="00790ADA" w:rsidP="00CC0279">
      <w:pPr>
        <w:pStyle w:val="AbstHead"/>
        <w:spacing w:after="0"/>
        <w:rPr>
          <w:rFonts w:ascii="Arial" w:hAnsi="Arial" w:cs="Arial"/>
        </w:rPr>
      </w:pPr>
    </w:p>
    <w:p w14:paraId="6B88511E" w14:textId="77777777" w:rsidR="00C927E3" w:rsidRPr="00C927E3" w:rsidRDefault="00C927E3" w:rsidP="00CC0279">
      <w:pPr>
        <w:pStyle w:val="Body"/>
        <w:jc w:val="left"/>
        <w:rPr>
          <w:rFonts w:ascii="Arial" w:hAnsi="Arial" w:cs="Arial"/>
        </w:rPr>
      </w:pPr>
      <w:r w:rsidRPr="00C927E3">
        <w:rPr>
          <w:rFonts w:ascii="Arial" w:hAnsi="Arial" w:cs="Arial"/>
        </w:rPr>
        <w:t xml:space="preserve">Human milk is unanimously recognized as the optimal source of infant nutrition, providing a complex and dynamic biochemical matrix that is superior for infant growth, neurocognitive development, and immune health [Horta &amp; </w:t>
      </w:r>
      <w:proofErr w:type="spellStart"/>
      <w:r w:rsidRPr="00C927E3">
        <w:rPr>
          <w:rFonts w:ascii="Arial" w:hAnsi="Arial" w:cs="Arial"/>
        </w:rPr>
        <w:t>Victora</w:t>
      </w:r>
      <w:proofErr w:type="spellEnd"/>
      <w:r w:rsidRPr="00C927E3">
        <w:rPr>
          <w:rFonts w:ascii="Arial" w:hAnsi="Arial" w:cs="Arial"/>
        </w:rPr>
        <w:t>, 2013]. The World Health Organization (WHO) consequently recommends exclusive breastfeeding for the first six months of life, a guideline predicated on the nutritional completeness of human milk to meet the physiological needs of the newborn [WHO, 2011]. It is more than a caloric source; its composition includes a sophisticated array of macronutrients, micronutrients, and bioactive compounds essential for immune system maturation and neurological development [</w:t>
      </w:r>
      <w:proofErr w:type="spellStart"/>
      <w:r w:rsidRPr="00C927E3">
        <w:rPr>
          <w:rFonts w:ascii="Arial" w:hAnsi="Arial" w:cs="Arial"/>
        </w:rPr>
        <w:t>Kinshella</w:t>
      </w:r>
      <w:proofErr w:type="spellEnd"/>
      <w:r w:rsidRPr="00C927E3">
        <w:rPr>
          <w:rFonts w:ascii="Arial" w:hAnsi="Arial" w:cs="Arial"/>
        </w:rPr>
        <w:t xml:space="preserve"> et al., 2021].</w:t>
      </w:r>
    </w:p>
    <w:p w14:paraId="679CDCD0" w14:textId="77777777" w:rsidR="00C927E3" w:rsidRPr="00C927E3" w:rsidRDefault="00C927E3" w:rsidP="00CC0279">
      <w:pPr>
        <w:pStyle w:val="Body"/>
        <w:jc w:val="left"/>
        <w:rPr>
          <w:rFonts w:ascii="Arial" w:hAnsi="Arial" w:cs="Arial"/>
        </w:rPr>
      </w:pPr>
      <w:r w:rsidRPr="00C927E3">
        <w:rPr>
          <w:rFonts w:ascii="Arial" w:hAnsi="Arial" w:cs="Arial"/>
        </w:rPr>
        <w:t xml:space="preserve">Central to breastfeeding recommendations is a prevailing paradigm of compositional stability; wherein potent homeostatic mechanisms are thought to buffer human milk from maternal dietary variations. This concept posits that the maternal organism will mobilize its own reserves to ensure consistent milk quality, an evolutionary adaptation for species survival. However, this perspective is challenged by the physiological principle that milk components are synthesized from metabolic precursors derived from either the mother's recent diet or her endogenous stores. This link implies that maternal dietary quality is a critical determinant of the nutritional value of her </w:t>
      </w:r>
      <w:proofErr w:type="gramStart"/>
      <w:r w:rsidRPr="00C927E3">
        <w:rPr>
          <w:rFonts w:ascii="Arial" w:hAnsi="Arial" w:cs="Arial"/>
        </w:rPr>
        <w:t>milk ,</w:t>
      </w:r>
      <w:proofErr w:type="gramEnd"/>
      <w:r w:rsidRPr="00C927E3">
        <w:rPr>
          <w:rFonts w:ascii="Arial" w:hAnsi="Arial" w:cs="Arial"/>
        </w:rPr>
        <w:t xml:space="preserve"> creating a scientific dichotomy between intrinsic homeostasis and dietary dependence that warrants critical examination [</w:t>
      </w:r>
      <w:proofErr w:type="spellStart"/>
      <w:r w:rsidRPr="00C927E3">
        <w:rPr>
          <w:rFonts w:ascii="Arial" w:hAnsi="Arial" w:cs="Arial"/>
        </w:rPr>
        <w:t>Kinshella</w:t>
      </w:r>
      <w:proofErr w:type="spellEnd"/>
      <w:r w:rsidRPr="00C927E3">
        <w:rPr>
          <w:rFonts w:ascii="Arial" w:hAnsi="Arial" w:cs="Arial"/>
        </w:rPr>
        <w:t xml:space="preserve"> et al., 2021].</w:t>
      </w:r>
    </w:p>
    <w:p w14:paraId="07D00D94" w14:textId="77777777" w:rsidR="00C927E3" w:rsidRPr="00C927E3" w:rsidRDefault="00C927E3" w:rsidP="00CC0279">
      <w:pPr>
        <w:pStyle w:val="Body"/>
        <w:jc w:val="left"/>
        <w:rPr>
          <w:rFonts w:ascii="Arial" w:hAnsi="Arial" w:cs="Arial"/>
        </w:rPr>
      </w:pPr>
      <w:r w:rsidRPr="00C927E3">
        <w:rPr>
          <w:rFonts w:ascii="Arial" w:hAnsi="Arial" w:cs="Arial"/>
        </w:rPr>
        <w:t xml:space="preserve">Resolving this dichotomy is critical for public health </w:t>
      </w:r>
      <w:proofErr w:type="gramStart"/>
      <w:r w:rsidRPr="00C927E3">
        <w:rPr>
          <w:rFonts w:ascii="Arial" w:hAnsi="Arial" w:cs="Arial"/>
        </w:rPr>
        <w:t>policy ;</w:t>
      </w:r>
      <w:proofErr w:type="gramEnd"/>
      <w:r w:rsidRPr="00C927E3">
        <w:rPr>
          <w:rFonts w:ascii="Arial" w:hAnsi="Arial" w:cs="Arial"/>
        </w:rPr>
        <w:t xml:space="preserve"> if milk composition is indeed resilient to maternal diet, then the rationale for widespread nutritional supplementation programs for lactating mothers in high-malnutrition settings, such as Togo, would require strategic reassessment</w:t>
      </w:r>
    </w:p>
    <w:p w14:paraId="53A59D76" w14:textId="77777777" w:rsidR="00B01FCD" w:rsidRDefault="00C927E3" w:rsidP="00CC0279">
      <w:pPr>
        <w:pStyle w:val="Body"/>
        <w:spacing w:after="0"/>
        <w:jc w:val="left"/>
        <w:rPr>
          <w:rFonts w:ascii="Arial" w:hAnsi="Arial" w:cs="Arial"/>
        </w:rPr>
      </w:pPr>
      <w:r w:rsidRPr="00C927E3">
        <w:rPr>
          <w:rFonts w:ascii="Arial" w:hAnsi="Arial" w:cs="Arial"/>
        </w:rPr>
        <w:t>This review therefore synthesizes current evidence on the influence of maternal nutrition on human milk's biochemical composition, distinguishing between stable and plastic components to evaluate the rationale for targeted nutritional interventions in the Togolese public health context</w:t>
      </w:r>
      <w:r w:rsidR="006B57D0" w:rsidRPr="006B57D0">
        <w:rPr>
          <w:rFonts w:ascii="Arial" w:hAnsi="Arial" w:cs="Arial"/>
        </w:rPr>
        <w:t>.</w:t>
      </w:r>
    </w:p>
    <w:p w14:paraId="1396A8A3" w14:textId="77777777" w:rsidR="00790ADA" w:rsidRPr="00FB3A86" w:rsidRDefault="00790ADA" w:rsidP="00CC0279">
      <w:pPr>
        <w:pStyle w:val="Body"/>
        <w:spacing w:after="0"/>
        <w:jc w:val="left"/>
        <w:rPr>
          <w:rFonts w:ascii="Arial" w:hAnsi="Arial" w:cs="Arial"/>
        </w:rPr>
      </w:pPr>
    </w:p>
    <w:p w14:paraId="15D036DB" w14:textId="77777777" w:rsidR="007F7B32" w:rsidRDefault="00902823" w:rsidP="00CC0279">
      <w:pPr>
        <w:pStyle w:val="AbstHead"/>
        <w:spacing w:after="0"/>
        <w:rPr>
          <w:rFonts w:ascii="Arial" w:hAnsi="Arial" w:cs="Arial"/>
        </w:rPr>
      </w:pPr>
      <w:r>
        <w:rPr>
          <w:rFonts w:ascii="Arial" w:hAnsi="Arial" w:cs="Arial"/>
        </w:rPr>
        <w:t xml:space="preserve">2. </w:t>
      </w:r>
      <w:r w:rsidR="00C927E3" w:rsidRPr="00C927E3">
        <w:rPr>
          <w:rFonts w:ascii="Arial" w:hAnsi="Arial" w:cs="Arial"/>
        </w:rPr>
        <w:t>METHODOLOGY</w:t>
      </w:r>
    </w:p>
    <w:p w14:paraId="6FD52787" w14:textId="77777777" w:rsidR="00790ADA" w:rsidRPr="00FB3A86" w:rsidRDefault="00790ADA" w:rsidP="00CC0279">
      <w:pPr>
        <w:pStyle w:val="AbstHead"/>
        <w:spacing w:after="0"/>
        <w:rPr>
          <w:rFonts w:ascii="Arial" w:hAnsi="Arial" w:cs="Arial"/>
        </w:rPr>
      </w:pPr>
    </w:p>
    <w:p w14:paraId="5F5A5A2E" w14:textId="77777777" w:rsidR="00C927E3" w:rsidRPr="00C927E3" w:rsidRDefault="00C927E3" w:rsidP="00CC0279">
      <w:pPr>
        <w:pStyle w:val="Body"/>
        <w:jc w:val="left"/>
        <w:rPr>
          <w:rFonts w:ascii="Arial" w:hAnsi="Arial" w:cs="Arial"/>
        </w:rPr>
      </w:pPr>
      <w:r w:rsidRPr="00C927E3">
        <w:rPr>
          <w:rFonts w:ascii="Arial" w:hAnsi="Arial" w:cs="Arial"/>
        </w:rPr>
        <w:t xml:space="preserve">This narrative review employed a systematic search strategy to identify relevant evidence concerning the influence of maternal nutritional status and diet on the biochemical composition of human milk. A systematic bibliographic search was conducted between January and March 2024 across several international </w:t>
      </w:r>
      <w:r w:rsidR="00106C9C" w:rsidRPr="00C927E3">
        <w:rPr>
          <w:rFonts w:ascii="Arial" w:hAnsi="Arial" w:cs="Arial"/>
        </w:rPr>
        <w:t>databases:</w:t>
      </w:r>
      <w:r w:rsidRPr="00C927E3">
        <w:rPr>
          <w:rFonts w:ascii="Arial" w:hAnsi="Arial" w:cs="Arial"/>
        </w:rPr>
        <w:t xml:space="preserve"> PubMed/MEDLINE, Scopus, Cochrane Library, and Google Scholar.</w:t>
      </w:r>
    </w:p>
    <w:p w14:paraId="28428588" w14:textId="77777777" w:rsidR="00C927E3" w:rsidRPr="00C927E3" w:rsidRDefault="00C927E3" w:rsidP="00CC0279">
      <w:pPr>
        <w:pStyle w:val="Body"/>
        <w:jc w:val="left"/>
        <w:rPr>
          <w:rFonts w:ascii="Arial" w:hAnsi="Arial" w:cs="Arial"/>
        </w:rPr>
      </w:pPr>
      <w:r w:rsidRPr="00C927E3">
        <w:rPr>
          <w:rFonts w:ascii="Arial" w:hAnsi="Arial" w:cs="Arial"/>
        </w:rPr>
        <w:t>The search strategy combined keywords (</w:t>
      </w:r>
      <w:proofErr w:type="spellStart"/>
      <w:r w:rsidRPr="00C927E3">
        <w:rPr>
          <w:rFonts w:ascii="Arial" w:hAnsi="Arial" w:cs="Arial"/>
        </w:rPr>
        <w:t>MeSH</w:t>
      </w:r>
      <w:proofErr w:type="spellEnd"/>
      <w:r w:rsidRPr="00C927E3">
        <w:rPr>
          <w:rFonts w:ascii="Arial" w:hAnsi="Arial" w:cs="Arial"/>
        </w:rPr>
        <w:t xml:space="preserve"> terms and free-text words) related to human milk, maternal nutrition, and nutritional composition. Search queries were adapted for each database, combining terms in both English and French, such as: ("human milk" OR "breast milk" OR "lait </w:t>
      </w:r>
      <w:proofErr w:type="spellStart"/>
      <w:r w:rsidRPr="00C927E3">
        <w:rPr>
          <w:rFonts w:ascii="Arial" w:hAnsi="Arial" w:cs="Arial"/>
        </w:rPr>
        <w:t>maternel</w:t>
      </w:r>
      <w:proofErr w:type="spellEnd"/>
      <w:r w:rsidRPr="00C927E3">
        <w:rPr>
          <w:rFonts w:ascii="Arial" w:hAnsi="Arial" w:cs="Arial"/>
        </w:rPr>
        <w:t xml:space="preserve">") AND ("composition" OR "nutrients" OR "micronutrients") AND ("maternal nutrition" OR "maternal diet" OR "nutrition </w:t>
      </w:r>
      <w:proofErr w:type="spellStart"/>
      <w:r w:rsidRPr="00C927E3">
        <w:rPr>
          <w:rFonts w:ascii="Arial" w:hAnsi="Arial" w:cs="Arial"/>
        </w:rPr>
        <w:t>maternelle</w:t>
      </w:r>
      <w:proofErr w:type="spellEnd"/>
      <w:r w:rsidRPr="00C927E3">
        <w:rPr>
          <w:rFonts w:ascii="Arial" w:hAnsi="Arial" w:cs="Arial"/>
        </w:rPr>
        <w:t>" OR "maternal status").</w:t>
      </w:r>
    </w:p>
    <w:p w14:paraId="1B097EB0" w14:textId="77777777" w:rsidR="00C927E3" w:rsidRPr="00C927E3" w:rsidRDefault="00C927E3" w:rsidP="00CC0279">
      <w:pPr>
        <w:pStyle w:val="Body"/>
        <w:jc w:val="left"/>
        <w:rPr>
          <w:rFonts w:ascii="Arial" w:hAnsi="Arial" w:cs="Arial"/>
        </w:rPr>
      </w:pPr>
      <w:r w:rsidRPr="00C927E3">
        <w:rPr>
          <w:rFonts w:ascii="Arial" w:hAnsi="Arial" w:cs="Arial"/>
        </w:rPr>
        <w:lastRenderedPageBreak/>
        <w:t xml:space="preserve">Inclusion criteria for article selection </w:t>
      </w:r>
      <w:r w:rsidR="00106C9C" w:rsidRPr="00C927E3">
        <w:rPr>
          <w:rFonts w:ascii="Arial" w:hAnsi="Arial" w:cs="Arial"/>
        </w:rPr>
        <w:t>were:</w:t>
      </w:r>
      <w:r w:rsidRPr="00C927E3">
        <w:rPr>
          <w:rFonts w:ascii="Arial" w:hAnsi="Arial" w:cs="Arial"/>
        </w:rPr>
        <w:t xml:space="preserve"> systematic reviews, meta-analyses, observational studies (cohort, case-control), and randomized clinical trials published between 2000 and 2024, to reflect the current state of knowledge based on modern analytical techniques. Studies were required to involve human populations and quantitatively assess the relationship between maternal dietary intake (or biological markers of nutritional status) and the concentration of one or more nutrients in milk. Particular attention was given to studies conducted in sub-Saharan Africa to contextualize the findings. Opinion articles, uncontrolled case studies, research conducted on animal models, and studies not specifically addressing nutrients were excluded.</w:t>
      </w:r>
    </w:p>
    <w:p w14:paraId="564DD5F7" w14:textId="77777777" w:rsidR="00C927E3" w:rsidRPr="00C927E3" w:rsidRDefault="00C927E3" w:rsidP="00CC0279">
      <w:pPr>
        <w:pStyle w:val="Body"/>
        <w:jc w:val="left"/>
        <w:rPr>
          <w:rFonts w:ascii="Arial" w:hAnsi="Arial" w:cs="Arial"/>
        </w:rPr>
      </w:pPr>
      <w:r w:rsidRPr="00C927E3">
        <w:rPr>
          <w:rFonts w:ascii="Arial" w:hAnsi="Arial" w:cs="Arial"/>
        </w:rPr>
        <w:t xml:space="preserve">The selection of relevant articles was performed in two </w:t>
      </w:r>
      <w:r w:rsidR="00106C9C" w:rsidRPr="00C927E3">
        <w:rPr>
          <w:rFonts w:ascii="Arial" w:hAnsi="Arial" w:cs="Arial"/>
        </w:rPr>
        <w:t>stages:</w:t>
      </w:r>
      <w:r w:rsidRPr="00C927E3">
        <w:rPr>
          <w:rFonts w:ascii="Arial" w:hAnsi="Arial" w:cs="Arial"/>
        </w:rPr>
        <w:t xml:space="preserve"> an initial screening based on titles and abstracts, followed by a full-text review of the pre-selected articles to confirm their final alignment with the review's objectives. </w:t>
      </w:r>
    </w:p>
    <w:p w14:paraId="03164F22" w14:textId="77777777" w:rsidR="00C927E3" w:rsidRPr="00C927E3" w:rsidRDefault="00C927E3" w:rsidP="00CC0279">
      <w:pPr>
        <w:pStyle w:val="Body"/>
        <w:jc w:val="left"/>
        <w:rPr>
          <w:rFonts w:ascii="Arial" w:hAnsi="Arial" w:cs="Arial"/>
        </w:rPr>
      </w:pPr>
      <w:r w:rsidRPr="00C927E3">
        <w:rPr>
          <w:rFonts w:ascii="Arial" w:hAnsi="Arial" w:cs="Arial"/>
        </w:rPr>
        <w:t>The extracted data were organized by nutrient category, macronutrients, micronutrients, and bioactive compounds, and a narrative synthesis was employed to compare findings across studies, identifying consistent patterns of nutritional stability versus variability</w:t>
      </w:r>
    </w:p>
    <w:p w14:paraId="09E67C22" w14:textId="77777777" w:rsidR="00AA74E0" w:rsidRDefault="00C927E3" w:rsidP="00CC0279">
      <w:pPr>
        <w:pStyle w:val="Body"/>
        <w:spacing w:after="0"/>
        <w:jc w:val="left"/>
        <w:rPr>
          <w:rFonts w:ascii="Arial" w:hAnsi="Arial" w:cs="Arial"/>
        </w:rPr>
      </w:pPr>
      <w:r w:rsidRPr="00C927E3">
        <w:rPr>
          <w:rFonts w:ascii="Arial" w:hAnsi="Arial" w:cs="Arial"/>
        </w:rPr>
        <w:t>Consistent with a narrative review methodology, a formal risk-of-bias assessment of individual studies was not performed. The primary objective was to synthesize and contextualize existing findings rather than condu</w:t>
      </w:r>
      <w:r>
        <w:rPr>
          <w:rFonts w:ascii="Arial" w:hAnsi="Arial" w:cs="Arial"/>
        </w:rPr>
        <w:t>ct a quantitative meta-analysis.</w:t>
      </w:r>
      <w:r w:rsidR="00AA74E0" w:rsidRPr="00FB3A86">
        <w:rPr>
          <w:rFonts w:ascii="Arial" w:hAnsi="Arial" w:cs="Arial"/>
        </w:rPr>
        <w:t xml:space="preserve">  </w:t>
      </w:r>
    </w:p>
    <w:p w14:paraId="6A34E158" w14:textId="77777777" w:rsidR="00790ADA" w:rsidRPr="00FB3A86" w:rsidRDefault="00790ADA" w:rsidP="00CC0279">
      <w:pPr>
        <w:pStyle w:val="Body"/>
        <w:spacing w:after="0"/>
        <w:jc w:val="left"/>
        <w:rPr>
          <w:rFonts w:ascii="Arial" w:hAnsi="Arial" w:cs="Arial"/>
        </w:rPr>
      </w:pPr>
    </w:p>
    <w:p w14:paraId="09B5D843" w14:textId="77777777" w:rsidR="00902823" w:rsidRDefault="00000F8F" w:rsidP="00CC0279">
      <w:pPr>
        <w:pStyle w:val="Head1"/>
        <w:spacing w:after="0"/>
        <w:rPr>
          <w:rFonts w:ascii="Arial" w:hAnsi="Arial" w:cs="Arial"/>
        </w:rPr>
      </w:pPr>
      <w:r>
        <w:rPr>
          <w:rFonts w:ascii="Arial" w:hAnsi="Arial" w:cs="Arial"/>
        </w:rPr>
        <w:t>3</w:t>
      </w:r>
      <w:r w:rsidR="00902823">
        <w:rPr>
          <w:rFonts w:ascii="Arial" w:hAnsi="Arial" w:cs="Arial"/>
        </w:rPr>
        <w:t xml:space="preserve">. </w:t>
      </w:r>
      <w:r w:rsidR="00106C9C" w:rsidRPr="00106C9C">
        <w:rPr>
          <w:rFonts w:ascii="Arial" w:hAnsi="Arial" w:cs="Arial"/>
        </w:rPr>
        <w:t>REVIEW FINDINGS</w:t>
      </w:r>
    </w:p>
    <w:p w14:paraId="20362ABA" w14:textId="77777777" w:rsidR="00790ADA" w:rsidRPr="00FB3A86" w:rsidRDefault="00790ADA" w:rsidP="00CC0279">
      <w:pPr>
        <w:pStyle w:val="Head1"/>
        <w:spacing w:after="0"/>
        <w:rPr>
          <w:rFonts w:ascii="Arial" w:hAnsi="Arial" w:cs="Arial"/>
        </w:rPr>
      </w:pPr>
    </w:p>
    <w:p w14:paraId="5911F7BD" w14:textId="77777777" w:rsidR="00106C9C" w:rsidRPr="00106C9C" w:rsidRDefault="00106C9C" w:rsidP="00CC0279">
      <w:pPr>
        <w:pStyle w:val="Body"/>
        <w:jc w:val="left"/>
        <w:rPr>
          <w:rFonts w:ascii="Arial" w:hAnsi="Arial" w:cs="Arial"/>
        </w:rPr>
      </w:pPr>
      <w:r w:rsidRPr="00106C9C">
        <w:rPr>
          <w:rFonts w:ascii="Arial" w:hAnsi="Arial" w:cs="Arial"/>
        </w:rPr>
        <w:t>A comprehensive analysis of the scientific literature reveals a critical dichotomy in the compositional regulation of human milk. Far from being a static matrix, its composition is the product of complex regulation. It emerges that while the mammary gland maintains rigorous homeostasis for certain key components, other biochemical fractions exhibit manifest plasticity, directly reflecting maternal nutritional status. This variability, far from being random, depends on the biochemical nature of the nutrient, its metabolic physiology, and the maternal organism's capacity to store and mobilize it.</w:t>
      </w:r>
    </w:p>
    <w:p w14:paraId="2159E328" w14:textId="77777777" w:rsidR="00106C9C" w:rsidRPr="009C1A61" w:rsidRDefault="00106C9C" w:rsidP="00CC0279">
      <w:pPr>
        <w:pStyle w:val="Body"/>
        <w:jc w:val="left"/>
        <w:rPr>
          <w:rFonts w:ascii="Arial" w:hAnsi="Arial" w:cs="Arial"/>
          <w:b/>
        </w:rPr>
      </w:pPr>
      <w:r w:rsidRPr="009C1A61">
        <w:rPr>
          <w:rFonts w:ascii="Arial" w:hAnsi="Arial" w:cs="Arial"/>
          <w:b/>
        </w:rPr>
        <w:t>1. Macronutrients</w:t>
      </w:r>
    </w:p>
    <w:p w14:paraId="106C32AD" w14:textId="77777777" w:rsidR="00106C9C" w:rsidRPr="00106C9C" w:rsidRDefault="00106C9C" w:rsidP="00CC0279">
      <w:pPr>
        <w:pStyle w:val="Body"/>
        <w:jc w:val="left"/>
        <w:rPr>
          <w:rFonts w:ascii="Arial" w:hAnsi="Arial" w:cs="Arial"/>
        </w:rPr>
      </w:pPr>
      <w:r w:rsidRPr="00106C9C">
        <w:rPr>
          <w:rFonts w:ascii="Arial" w:hAnsi="Arial" w:cs="Arial"/>
        </w:rPr>
        <w:t>The overall concentration of macronutrients, which provide the bulk of the energy intake essential for infant growth, is surprisingly constant among individuals and largely insensitive to short-term maternal dietary variations. This phenomenon represents an evolutionary protective mechanism for the survival of the species.</w:t>
      </w:r>
    </w:p>
    <w:p w14:paraId="21E0D2B8"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1.1. Lactose</w:t>
      </w:r>
    </w:p>
    <w:p w14:paraId="49009557" w14:textId="77777777" w:rsidR="00106C9C" w:rsidRPr="00106C9C" w:rsidRDefault="00106C9C" w:rsidP="00CC0279">
      <w:pPr>
        <w:pStyle w:val="Body"/>
        <w:jc w:val="left"/>
        <w:rPr>
          <w:rFonts w:ascii="Arial" w:hAnsi="Arial" w:cs="Arial"/>
        </w:rPr>
      </w:pPr>
      <w:r w:rsidRPr="00106C9C">
        <w:rPr>
          <w:rFonts w:ascii="Arial" w:hAnsi="Arial" w:cs="Arial"/>
        </w:rPr>
        <w:t>As the principal carbohydrate in human milk, this disaccharide is the cornerstone of the milk's stability. Its synthesis occurs de novo within lactocytes (mammary alveolar cells) from blood glucose, via a highly regulated enzymatic pathway. The key enzyme, lactose synthase, catalyzes the bonding of activated galactose (UDP-galactose) to glucose. The lactose concentration (approximately 70 g/L) is very strictly maintained, as it is the primary determinant of the milk's osmotic pressure, thereby controlling the volume of milk produced [Lawrence &amp; Lawrence, 2021]. Even in cases of severe maternal undernutrition, its concentration is preserved as long as maternal glycemia is maintained, illustrating the absolute metabolic priority given to lactation.</w:t>
      </w:r>
    </w:p>
    <w:p w14:paraId="366E02CC"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1.2. Total proteins</w:t>
      </w:r>
    </w:p>
    <w:p w14:paraId="356E1DEF" w14:textId="77777777" w:rsidR="00106C9C" w:rsidRPr="00106C9C" w:rsidRDefault="00106C9C" w:rsidP="00CC0279">
      <w:pPr>
        <w:pStyle w:val="Body"/>
        <w:jc w:val="left"/>
        <w:rPr>
          <w:rFonts w:ascii="Arial" w:hAnsi="Arial" w:cs="Arial"/>
        </w:rPr>
      </w:pPr>
      <w:r w:rsidRPr="00106C9C">
        <w:rPr>
          <w:rFonts w:ascii="Arial" w:hAnsi="Arial" w:cs="Arial"/>
        </w:rPr>
        <w:lastRenderedPageBreak/>
        <w:t>The protein content of mature milk (approximately 8-10 g/L) is also relatively well conserved. The major proteins, such as caseins and alpha-lactalbumin, are synthesized directly by the mammary gland from amino acids drawn from the maternal bloodstream. In the face of insufficient dietary protein intake, the maternal organism initiates a catabolic process of its own protein reserves, particularly muscular, to maintain an adequate pool of circulating amino acids [</w:t>
      </w:r>
      <w:proofErr w:type="spellStart"/>
      <w:r w:rsidRPr="00106C9C">
        <w:rPr>
          <w:rFonts w:ascii="Arial" w:hAnsi="Arial" w:cs="Arial"/>
        </w:rPr>
        <w:t>Gidrewicz</w:t>
      </w:r>
      <w:proofErr w:type="spellEnd"/>
      <w:r w:rsidRPr="00106C9C">
        <w:rPr>
          <w:rFonts w:ascii="Arial" w:hAnsi="Arial" w:cs="Arial"/>
        </w:rPr>
        <w:t>, &amp; Fenton, 2014]. This adaptation protects the milk's composition but occurs at the expense of maternal tissue stores. Only chronic and severe protein-energy malnutrition, such as that observed in certain crisis contexts in Africa, can lead to the depletion of these reserves and cause a slight but significant decrease in the milk's protein concentration [</w:t>
      </w:r>
      <w:proofErr w:type="spellStart"/>
      <w:r w:rsidRPr="00106C9C">
        <w:rPr>
          <w:rFonts w:ascii="Arial" w:hAnsi="Arial" w:cs="Arial"/>
        </w:rPr>
        <w:t>Gidrewicz</w:t>
      </w:r>
      <w:proofErr w:type="spellEnd"/>
      <w:r w:rsidRPr="00106C9C">
        <w:rPr>
          <w:rFonts w:ascii="Arial" w:hAnsi="Arial" w:cs="Arial"/>
        </w:rPr>
        <w:t>, &amp; Fenton, 2014].</w:t>
      </w:r>
    </w:p>
    <w:p w14:paraId="5C7F1AC9"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 xml:space="preserve">1.3. Lipids </w:t>
      </w:r>
    </w:p>
    <w:p w14:paraId="13337D5E"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1.3.1. Total lipid concentration</w:t>
      </w:r>
    </w:p>
    <w:p w14:paraId="395D4BA7" w14:textId="77777777" w:rsidR="00106C9C" w:rsidRPr="00106C9C" w:rsidRDefault="00106C9C" w:rsidP="00CC0279">
      <w:pPr>
        <w:pStyle w:val="Body"/>
        <w:jc w:val="left"/>
        <w:rPr>
          <w:rFonts w:ascii="Arial" w:hAnsi="Arial" w:cs="Arial"/>
        </w:rPr>
      </w:pPr>
      <w:r w:rsidRPr="00106C9C">
        <w:rPr>
          <w:rFonts w:ascii="Arial" w:hAnsi="Arial" w:cs="Arial"/>
        </w:rPr>
        <w:t>The average 24-hour total lipid concentration (approx. 35-40 g/L) is well-maintained and largely independent of the mother's total fat intake. This stability is achieved through metabolic flexibility, as lactocytes utilize fatty acids derived from both de novo synthesis and circulating lipoproteins, which originate from either recent diet or mobilized adipose reserves. [Andreas et al., 2015; Liu et al., 2025]. This metabolic flexibility ensures a constant energy supply to the infant.</w:t>
      </w:r>
    </w:p>
    <w:p w14:paraId="4B2C0A9A"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1.3.2. Fatty acid profile</w:t>
      </w:r>
    </w:p>
    <w:p w14:paraId="739F93FA" w14:textId="77777777" w:rsidR="00106C9C" w:rsidRPr="00106C9C" w:rsidRDefault="00106C9C" w:rsidP="00CC0279">
      <w:pPr>
        <w:pStyle w:val="Body"/>
        <w:jc w:val="left"/>
        <w:rPr>
          <w:rFonts w:ascii="Arial" w:hAnsi="Arial" w:cs="Arial"/>
        </w:rPr>
      </w:pPr>
      <w:r w:rsidRPr="00106C9C">
        <w:rPr>
          <w:rFonts w:ascii="Arial" w:hAnsi="Arial" w:cs="Arial"/>
        </w:rPr>
        <w:t>While the total quantity of lipids is stable, their quality, that is, the profile of the different fatty acids that compose them, is, in contrast, extraordinarily sensitive to the maternal diet. It is here that the dogma of stability finds its most significant and relevant public health limitation.</w:t>
      </w:r>
    </w:p>
    <w:p w14:paraId="4BFCDC73" w14:textId="77777777" w:rsidR="00106C9C" w:rsidRPr="00106C9C" w:rsidRDefault="00106C9C" w:rsidP="00CC0279">
      <w:pPr>
        <w:pStyle w:val="Body"/>
        <w:jc w:val="left"/>
        <w:rPr>
          <w:rFonts w:ascii="Arial" w:hAnsi="Arial" w:cs="Arial"/>
        </w:rPr>
      </w:pPr>
      <w:r w:rsidRPr="00106C9C">
        <w:rPr>
          <w:rFonts w:ascii="Arial" w:hAnsi="Arial" w:cs="Arial"/>
        </w:rPr>
        <w:t>The fatty acid profile of human milk is highly correlated with the fatty acid composition of the mother's recent diet and her mobilized adipose stores [Kaur et al., 2014; Liu et al., 2025]. Paramount importance is given to long-chain polyunsaturated fatty acids (LC-PUFAs), notably docosahexaenoic acid (DHA, omega-3) and arachidonic acid (ARA, omega-6), which are indispensable structural components of neuronal and retinal photoreceptor membranes.</w:t>
      </w:r>
    </w:p>
    <w:p w14:paraId="3EA200B8" w14:textId="77777777" w:rsidR="00106C9C" w:rsidRPr="00106C9C" w:rsidRDefault="00106C9C" w:rsidP="00CC0279">
      <w:pPr>
        <w:pStyle w:val="Body"/>
        <w:jc w:val="left"/>
        <w:rPr>
          <w:rFonts w:ascii="Arial" w:hAnsi="Arial" w:cs="Arial"/>
        </w:rPr>
      </w:pPr>
      <w:r w:rsidRPr="00106C9C">
        <w:rPr>
          <w:rFonts w:ascii="Arial" w:hAnsi="Arial" w:cs="Arial"/>
        </w:rPr>
        <w:t>Numerous studies have demonstrated that a high maternal consumption of fatty fish, rich in DHA, results in a significantly higher DHA content in milk [Brenna et al., 2007]. In the Togolese and broader West African context, where the diet is often based on cereals or tubers and rich in local vegetable oils (palm oil, groundnut oil), the intake of omega-6 is predominant. Access to sea fish, the primary source of DHA, may be limited for inland populations. This situation creates a proven risk of low DHA concentration in human milk, which could have implications for the optimal neurocognitive development of infants, thereby justifying targeted dietary recommendations for lactating women [</w:t>
      </w:r>
      <w:proofErr w:type="spellStart"/>
      <w:r w:rsidRPr="00106C9C">
        <w:rPr>
          <w:rFonts w:ascii="Arial" w:hAnsi="Arial" w:cs="Arial"/>
        </w:rPr>
        <w:t>Makrides</w:t>
      </w:r>
      <w:proofErr w:type="spellEnd"/>
      <w:r w:rsidRPr="00106C9C">
        <w:rPr>
          <w:rFonts w:ascii="Arial" w:hAnsi="Arial" w:cs="Arial"/>
        </w:rPr>
        <w:t xml:space="preserve"> et al., 2010].</w:t>
      </w:r>
    </w:p>
    <w:p w14:paraId="68025D9F" w14:textId="77777777" w:rsidR="00106C9C" w:rsidRPr="00106C9C" w:rsidRDefault="00106C9C" w:rsidP="00CC0279">
      <w:pPr>
        <w:pStyle w:val="Body"/>
        <w:jc w:val="left"/>
        <w:rPr>
          <w:rFonts w:ascii="Arial" w:hAnsi="Arial" w:cs="Arial"/>
        </w:rPr>
      </w:pPr>
      <w:r w:rsidRPr="00106C9C">
        <w:rPr>
          <w:rFonts w:ascii="Arial" w:hAnsi="Arial" w:cs="Arial"/>
        </w:rPr>
        <w:t>2. Micronutrients</w:t>
      </w:r>
    </w:p>
    <w:p w14:paraId="3DCE813E" w14:textId="77777777" w:rsidR="00106C9C" w:rsidRPr="00106C9C" w:rsidRDefault="00106C9C" w:rsidP="00CC0279">
      <w:pPr>
        <w:pStyle w:val="Body"/>
        <w:jc w:val="left"/>
        <w:rPr>
          <w:rFonts w:ascii="Arial" w:hAnsi="Arial" w:cs="Arial"/>
        </w:rPr>
      </w:pPr>
      <w:r w:rsidRPr="00106C9C">
        <w:rPr>
          <w:rFonts w:ascii="Arial" w:hAnsi="Arial" w:cs="Arial"/>
        </w:rPr>
        <w:t>It is at the level of vitamins and trace elements that the influence of maternal nutrition is most direct and critical. Their transfer into milk can be classified into two major categories, a concept that has strategic implications for public health interventions.</w:t>
      </w:r>
    </w:p>
    <w:p w14:paraId="3640F141"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2.1. Type I nutrients</w:t>
      </w:r>
    </w:p>
    <w:p w14:paraId="74741A42" w14:textId="77777777" w:rsidR="00106C9C" w:rsidRPr="00106C9C" w:rsidRDefault="00106C9C" w:rsidP="00CC0279">
      <w:pPr>
        <w:pStyle w:val="Body"/>
        <w:jc w:val="left"/>
        <w:rPr>
          <w:rFonts w:ascii="Arial" w:hAnsi="Arial" w:cs="Arial"/>
        </w:rPr>
      </w:pPr>
      <w:r w:rsidRPr="00106C9C">
        <w:rPr>
          <w:rFonts w:ascii="Arial" w:hAnsi="Arial" w:cs="Arial"/>
        </w:rPr>
        <w:lastRenderedPageBreak/>
        <w:t xml:space="preserve">These nutrients are characterized by a low storage capacity in the maternal </w:t>
      </w:r>
      <w:proofErr w:type="gramStart"/>
      <w:r w:rsidRPr="00106C9C">
        <w:rPr>
          <w:rFonts w:ascii="Arial" w:hAnsi="Arial" w:cs="Arial"/>
        </w:rPr>
        <w:t>organism ;</w:t>
      </w:r>
      <w:proofErr w:type="gramEnd"/>
      <w:r w:rsidRPr="00106C9C">
        <w:rPr>
          <w:rFonts w:ascii="Arial" w:hAnsi="Arial" w:cs="Arial"/>
        </w:rPr>
        <w:t xml:space="preserve"> consequently, their concentration in milk is closely and rapidly correlated with recent dietary intake, as no effective homeostatic mechanism exists to buffer against deficient intake by drawing from reserves</w:t>
      </w:r>
    </w:p>
    <w:p w14:paraId="25205967"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2.1.1. Water-soluble vitamins</w:t>
      </w:r>
    </w:p>
    <w:p w14:paraId="65128EF8" w14:textId="77777777" w:rsidR="00106C9C" w:rsidRPr="00106C9C" w:rsidRDefault="00106C9C" w:rsidP="00CC0279">
      <w:pPr>
        <w:pStyle w:val="Body"/>
        <w:jc w:val="left"/>
        <w:rPr>
          <w:rFonts w:ascii="Arial" w:hAnsi="Arial" w:cs="Arial"/>
        </w:rPr>
      </w:pPr>
      <w:r w:rsidRPr="00106C9C">
        <w:rPr>
          <w:rFonts w:ascii="Arial" w:hAnsi="Arial" w:cs="Arial"/>
        </w:rPr>
        <w:t xml:space="preserve">The majority of B-group vitamins (thiamine (B1), riboflavin (B2), B6, B12) and vitamin C belong to this category [Samuel et al., </w:t>
      </w:r>
      <w:proofErr w:type="gramStart"/>
      <w:r w:rsidRPr="00106C9C">
        <w:rPr>
          <w:rFonts w:ascii="Arial" w:hAnsi="Arial" w:cs="Arial"/>
        </w:rPr>
        <w:t>2020 ;</w:t>
      </w:r>
      <w:proofErr w:type="gramEnd"/>
      <w:r w:rsidRPr="00106C9C">
        <w:rPr>
          <w:rFonts w:ascii="Arial" w:hAnsi="Arial" w:cs="Arial"/>
        </w:rPr>
        <w:t xml:space="preserve"> </w:t>
      </w:r>
      <w:proofErr w:type="spellStart"/>
      <w:r w:rsidRPr="00106C9C">
        <w:rPr>
          <w:rFonts w:ascii="Arial" w:hAnsi="Arial" w:cs="Arial"/>
        </w:rPr>
        <w:t>Carretero</w:t>
      </w:r>
      <w:proofErr w:type="spellEnd"/>
      <w:r w:rsidRPr="00106C9C">
        <w:rPr>
          <w:rFonts w:ascii="Arial" w:hAnsi="Arial" w:cs="Arial"/>
        </w:rPr>
        <w:t>-Krug et al., 2024]. Their transport to the mammary gland is an active process but is directly dependent on their plasma concentration. For example, a maternal thiamine deficiency, historically linked to the consumption of highly refined cereals, leads to deficient milk that can cause infantile beriberi, a potentially fatal acute encephalopathy [Keating et al., 2023].</w:t>
      </w:r>
    </w:p>
    <w:p w14:paraId="1403B609"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2.1.2. Iodine and selenium</w:t>
      </w:r>
    </w:p>
    <w:p w14:paraId="6D6B26FF" w14:textId="77777777" w:rsidR="00106C9C" w:rsidRPr="00106C9C" w:rsidRDefault="00106C9C" w:rsidP="00CC0279">
      <w:pPr>
        <w:pStyle w:val="Body"/>
        <w:jc w:val="left"/>
        <w:rPr>
          <w:rFonts w:ascii="Arial" w:hAnsi="Arial" w:cs="Arial"/>
        </w:rPr>
      </w:pPr>
      <w:r w:rsidRPr="00106C9C">
        <w:rPr>
          <w:rFonts w:ascii="Arial" w:hAnsi="Arial" w:cs="Arial"/>
        </w:rPr>
        <w:t>These two trace elements are also highly dependent on maternal intake. The mammary gland actively uptakes iodine from the blood via the sodium-iodide symporter (NIS) to enrich the milk. A maternal deficiency, endemic in certain mountainous or remote-from-sea regions in Africa, leads to significantly reduced iodine concentration in milk, exposing the infant to a risk of hypothyroidism and delayed brain development [</w:t>
      </w:r>
      <w:proofErr w:type="spellStart"/>
      <w:r w:rsidRPr="00106C9C">
        <w:rPr>
          <w:rFonts w:ascii="Arial" w:hAnsi="Arial" w:cs="Arial"/>
        </w:rPr>
        <w:t>Dror</w:t>
      </w:r>
      <w:proofErr w:type="spellEnd"/>
      <w:r w:rsidRPr="00106C9C">
        <w:rPr>
          <w:rFonts w:ascii="Arial" w:hAnsi="Arial" w:cs="Arial"/>
        </w:rPr>
        <w:t xml:space="preserve"> &amp; Allen, 2018].</w:t>
      </w:r>
    </w:p>
    <w:p w14:paraId="42C3F986"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2.2. Type II nutrients</w:t>
      </w:r>
    </w:p>
    <w:p w14:paraId="7348714D" w14:textId="77777777" w:rsidR="00106C9C" w:rsidRPr="00106C9C" w:rsidRDefault="00106C9C" w:rsidP="00CC0279">
      <w:pPr>
        <w:pStyle w:val="Body"/>
        <w:jc w:val="left"/>
        <w:rPr>
          <w:rFonts w:ascii="Arial" w:hAnsi="Arial" w:cs="Arial"/>
        </w:rPr>
      </w:pPr>
      <w:r w:rsidRPr="00106C9C">
        <w:rPr>
          <w:rFonts w:ascii="Arial" w:hAnsi="Arial" w:cs="Arial"/>
        </w:rPr>
        <w:t>For this second group of nutrients, the maternal organism has bodily reserves that can be mobilized to maintain a relatively stable concentration in the milk, at least for a certain period. However, chronic dietary deficiency will eventually deplete these stores, inevitably affecting the milk's composition.</w:t>
      </w:r>
    </w:p>
    <w:p w14:paraId="3D2F9F31"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2.2.1. Fat-soluble vitamins</w:t>
      </w:r>
    </w:p>
    <w:p w14:paraId="66FAFD54" w14:textId="77777777" w:rsidR="00106C9C" w:rsidRPr="00106C9C" w:rsidRDefault="00106C9C" w:rsidP="00CC0279">
      <w:pPr>
        <w:pStyle w:val="Body"/>
        <w:jc w:val="left"/>
        <w:rPr>
          <w:rFonts w:ascii="Arial" w:hAnsi="Arial" w:cs="Arial"/>
        </w:rPr>
      </w:pPr>
      <w:r w:rsidRPr="00106C9C">
        <w:rPr>
          <w:rFonts w:ascii="Arial" w:hAnsi="Arial" w:cs="Arial"/>
        </w:rPr>
        <w:t>Vitamin A is an excellent example. The maternal liver stores significant quantities of retinol. These reserves can be released into circulation and transferred into the milk fat globule, ensuring an adequate concentration even if maternal intake is temporarily low. In Togo, the consumption of foods rich in precursors (beta-carotene) such as red palm oil, mangoes, or dark green leafy vegetables is a protective factor. However, chronic malnutrition depletes these hepatic reserves, leading to deficient milk that increases the risk of infections and xerophthalmia in the child [Rice et al., 1999]. Vitamin D is also variable, depending on both scarce dietary sources and, above all, the mother's sun exposure.</w:t>
      </w:r>
    </w:p>
    <w:p w14:paraId="45D57A40"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2.2.2. Iron, zinc, and copper</w:t>
      </w:r>
    </w:p>
    <w:p w14:paraId="29BFB0F5" w14:textId="77777777" w:rsidR="00106C9C" w:rsidRPr="00106C9C" w:rsidRDefault="00106C9C" w:rsidP="00CC0279">
      <w:pPr>
        <w:pStyle w:val="Body"/>
        <w:jc w:val="left"/>
        <w:rPr>
          <w:rFonts w:ascii="Arial" w:hAnsi="Arial" w:cs="Arial"/>
        </w:rPr>
      </w:pPr>
      <w:r w:rsidRPr="00106C9C">
        <w:rPr>
          <w:rFonts w:ascii="Arial" w:hAnsi="Arial" w:cs="Arial"/>
        </w:rPr>
        <w:t>These minerals are subject to stricter homeostatic regulation, which is primarily hormonal (prolactin-driven) rather than dietary. Their concentration in milk is relatively low but very constant and little influenced by short-term maternal diet or status [</w:t>
      </w:r>
      <w:proofErr w:type="spellStart"/>
      <w:r w:rsidRPr="00106C9C">
        <w:rPr>
          <w:rFonts w:ascii="Arial" w:hAnsi="Arial" w:cs="Arial"/>
        </w:rPr>
        <w:t>Lönnerdal</w:t>
      </w:r>
      <w:proofErr w:type="spellEnd"/>
      <w:r w:rsidRPr="00106C9C">
        <w:rPr>
          <w:rFonts w:ascii="Arial" w:hAnsi="Arial" w:cs="Arial"/>
        </w:rPr>
        <w:t xml:space="preserve">, 2007; </w:t>
      </w:r>
      <w:proofErr w:type="spellStart"/>
      <w:r w:rsidRPr="00106C9C">
        <w:rPr>
          <w:rFonts w:ascii="Arial" w:hAnsi="Arial" w:cs="Arial"/>
        </w:rPr>
        <w:t>Wessells</w:t>
      </w:r>
      <w:proofErr w:type="spellEnd"/>
      <w:r w:rsidRPr="00106C9C">
        <w:rPr>
          <w:rFonts w:ascii="Arial" w:hAnsi="Arial" w:cs="Arial"/>
        </w:rPr>
        <w:t xml:space="preserve"> et al., 2012]. The transfer of these minerals into milk is an actively regulated process that draws on maternal reserves if necessary. This is why maternal iron supplementation only minimally increases the iron concentration in her milk. This, however, underscores the critical importance for the mother to build up sufficient reserves before and during pregnancy so as not to deplete her own stores during lactation.</w:t>
      </w:r>
    </w:p>
    <w:p w14:paraId="39F47A53"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 xml:space="preserve">3. Bioactive and immunological components </w:t>
      </w:r>
    </w:p>
    <w:p w14:paraId="73059B64" w14:textId="77777777" w:rsidR="00106C9C" w:rsidRPr="00106C9C" w:rsidRDefault="00106C9C" w:rsidP="00CC0279">
      <w:pPr>
        <w:pStyle w:val="Body"/>
        <w:jc w:val="left"/>
        <w:rPr>
          <w:rFonts w:ascii="Arial" w:hAnsi="Arial" w:cs="Arial"/>
        </w:rPr>
      </w:pPr>
      <w:r w:rsidRPr="00106C9C">
        <w:rPr>
          <w:rFonts w:ascii="Arial" w:hAnsi="Arial" w:cs="Arial"/>
        </w:rPr>
        <w:lastRenderedPageBreak/>
        <w:t xml:space="preserve">Human milk is a complex biological system containing numerous bioactive factors that support immune development and modulate infant physiology </w:t>
      </w:r>
    </w:p>
    <w:p w14:paraId="392731FB" w14:textId="77777777" w:rsidR="00106C9C" w:rsidRPr="00106C9C" w:rsidRDefault="00106C9C" w:rsidP="00CC0279">
      <w:pPr>
        <w:pStyle w:val="Body"/>
        <w:jc w:val="left"/>
        <w:rPr>
          <w:rFonts w:ascii="Arial" w:hAnsi="Arial" w:cs="Arial"/>
        </w:rPr>
      </w:pPr>
      <w:r w:rsidRPr="00106C9C">
        <w:rPr>
          <w:rFonts w:ascii="Arial" w:hAnsi="Arial" w:cs="Arial"/>
        </w:rPr>
        <w:t xml:space="preserve">While the preceding sections have effectively established the dichotomy between the relative stability of energy-providing macronutrients (lactose, total lipids, total proteins) and the plasticity of qualitative fractions (fatty acid profile, micronutrients), it is imperative to anchor the analysis in the biochemical and physiological complexity of bioactive factors. Human milk is not merely a vehicle for </w:t>
      </w:r>
      <w:proofErr w:type="gramStart"/>
      <w:r w:rsidRPr="00106C9C">
        <w:rPr>
          <w:rFonts w:ascii="Arial" w:hAnsi="Arial" w:cs="Arial"/>
        </w:rPr>
        <w:t>nutrients ;</w:t>
      </w:r>
      <w:proofErr w:type="gramEnd"/>
      <w:r w:rsidRPr="00106C9C">
        <w:rPr>
          <w:rFonts w:ascii="Arial" w:hAnsi="Arial" w:cs="Arial"/>
        </w:rPr>
        <w:t xml:space="preserve"> it is a dynamic immunobiological and metabolic matrix whose composition is subject to finely orchestrated glandular regulation [Ballard &amp; Morrow, 2013; Karimova et al., 2023; Liu et al., 2025].</w:t>
      </w:r>
    </w:p>
    <w:p w14:paraId="2FB53E54"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3.1.1. Bioactive proteins and immunity</w:t>
      </w:r>
    </w:p>
    <w:p w14:paraId="5724F5AE" w14:textId="77777777" w:rsidR="00106C9C" w:rsidRPr="00106C9C" w:rsidRDefault="00106C9C" w:rsidP="00CC0279">
      <w:pPr>
        <w:pStyle w:val="Body"/>
        <w:jc w:val="left"/>
        <w:rPr>
          <w:rFonts w:ascii="Arial" w:hAnsi="Arial" w:cs="Arial"/>
        </w:rPr>
      </w:pPr>
      <w:r w:rsidRPr="00106C9C">
        <w:rPr>
          <w:rFonts w:ascii="Arial" w:hAnsi="Arial" w:cs="Arial"/>
        </w:rPr>
        <w:t xml:space="preserve">Beyond their nutritional role, milk proteins are major actors in non-specific defense and immune modulation. Lactoferrin, for example, is a key glycoprotein whose functions range from iron sequestration (a bacteriostatic property) to the inhibition of viral and bacterial adhesion to the intestinal mucosa. Although its concentration is relatively stable, its high content illustrates an essential evolutionary protection for the newborn [Hanson et al., </w:t>
      </w:r>
      <w:proofErr w:type="gramStart"/>
      <w:r w:rsidRPr="00106C9C">
        <w:rPr>
          <w:rFonts w:ascii="Arial" w:hAnsi="Arial" w:cs="Arial"/>
        </w:rPr>
        <w:t>2005 ;</w:t>
      </w:r>
      <w:proofErr w:type="gramEnd"/>
      <w:r w:rsidRPr="00106C9C">
        <w:rPr>
          <w:rFonts w:ascii="Arial" w:hAnsi="Arial" w:cs="Arial"/>
        </w:rPr>
        <w:t xml:space="preserve"> D’Alessandro et al., 2010]. Other components, such as secretory immunoglobulin A (</w:t>
      </w:r>
      <w:proofErr w:type="spellStart"/>
      <w:r w:rsidRPr="00106C9C">
        <w:rPr>
          <w:rFonts w:ascii="Arial" w:hAnsi="Arial" w:cs="Arial"/>
        </w:rPr>
        <w:t>sIgA</w:t>
      </w:r>
      <w:proofErr w:type="spellEnd"/>
      <w:r w:rsidRPr="00106C9C">
        <w:rPr>
          <w:rFonts w:ascii="Arial" w:hAnsi="Arial" w:cs="Arial"/>
        </w:rPr>
        <w:t>), confer localized passive immunity, protecting the intestinal epithelium against pathogens. The synthesis of these antibodies is linked to the mother's environmental exposure, thus offering a defense system contextualized to local microbial risks, an invaluable advantage in the Togolese context [Andreas et al., 2015].</w:t>
      </w:r>
    </w:p>
    <w:p w14:paraId="3FF1F3E5"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3.1.2. Human milk oligosaccharides (HMOs)</w:t>
      </w:r>
    </w:p>
    <w:p w14:paraId="4026704F" w14:textId="77777777" w:rsidR="00106C9C" w:rsidRPr="00106C9C" w:rsidRDefault="00106C9C" w:rsidP="00CC0279">
      <w:pPr>
        <w:pStyle w:val="Body"/>
        <w:jc w:val="left"/>
        <w:rPr>
          <w:rFonts w:ascii="Arial" w:hAnsi="Arial" w:cs="Arial"/>
        </w:rPr>
      </w:pPr>
      <w:r w:rsidRPr="00106C9C">
        <w:rPr>
          <w:rFonts w:ascii="Arial" w:hAnsi="Arial" w:cs="Arial"/>
        </w:rPr>
        <w:t>These complex and non-digestible carbohydrates, representing the third most abundant solid fraction after lactose and lipids, are essential substrates for the infant's commensal intestinal flora, acting as selective prebiotics. Furthermore, they function as molecular decoys (decoy receptors), preventing the adhesion of pathogenic agents (bacteria and viruses) to the intestinal wall, thereby minimizing the risks of diarrhea and enteropathies [</w:t>
      </w:r>
      <w:proofErr w:type="spellStart"/>
      <w:r w:rsidRPr="00106C9C">
        <w:rPr>
          <w:rFonts w:ascii="Arial" w:hAnsi="Arial" w:cs="Arial"/>
        </w:rPr>
        <w:t>Garwolinska</w:t>
      </w:r>
      <w:proofErr w:type="spellEnd"/>
      <w:r w:rsidRPr="00106C9C">
        <w:rPr>
          <w:rFonts w:ascii="Arial" w:hAnsi="Arial" w:cs="Arial"/>
        </w:rPr>
        <w:t xml:space="preserve"> et al., 2018; Nagel et al., 2023]. Their profile varies according to the maternal genetic status (Secretor/Non-secretor status), but their presence ensures an early modulation of the microbiota, the foundation for future digestive and metabolic health.</w:t>
      </w:r>
    </w:p>
    <w:p w14:paraId="1DAF518E"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3.3. Togolese contextualization</w:t>
      </w:r>
    </w:p>
    <w:p w14:paraId="69D879AB" w14:textId="77777777" w:rsidR="00106C9C" w:rsidRPr="00106C9C" w:rsidRDefault="00106C9C" w:rsidP="00CC0279">
      <w:pPr>
        <w:pStyle w:val="Body"/>
        <w:jc w:val="left"/>
        <w:rPr>
          <w:rFonts w:ascii="Arial" w:hAnsi="Arial" w:cs="Arial"/>
        </w:rPr>
      </w:pPr>
      <w:r w:rsidRPr="00106C9C">
        <w:rPr>
          <w:rFonts w:ascii="Arial" w:hAnsi="Arial" w:cs="Arial"/>
        </w:rPr>
        <w:t>The concept of human milk plasticity becomes particularly acute in the African context. While the maternal organism, through a process of physiological altruism, sacrifices its own reserves to maintain energy content (muscle proteins, adipose reserves) [</w:t>
      </w:r>
      <w:proofErr w:type="spellStart"/>
      <w:r w:rsidRPr="00106C9C">
        <w:rPr>
          <w:rFonts w:ascii="Arial" w:hAnsi="Arial" w:cs="Arial"/>
        </w:rPr>
        <w:t>Picciano</w:t>
      </w:r>
      <w:proofErr w:type="spellEnd"/>
      <w:r w:rsidRPr="00106C9C">
        <w:rPr>
          <w:rFonts w:ascii="Arial" w:hAnsi="Arial" w:cs="Arial"/>
        </w:rPr>
        <w:t>, 2001], this adaptive mechanism has its limits, especially in cases of chronic protein-energy malnutrition. In Togo, where food security can be precarious and access to a diversified diet (rich in animal products, dark green leafy vegetables, and fish) is often restricted, the risk of maternal deficiencies accumulates.</w:t>
      </w:r>
    </w:p>
    <w:p w14:paraId="30C08118" w14:textId="77777777" w:rsidR="00106C9C" w:rsidRPr="00106C9C" w:rsidRDefault="00106C9C" w:rsidP="00CC0279">
      <w:pPr>
        <w:pStyle w:val="Body"/>
        <w:jc w:val="left"/>
        <w:rPr>
          <w:rFonts w:ascii="Arial" w:hAnsi="Arial" w:cs="Arial"/>
        </w:rPr>
      </w:pPr>
      <w:r w:rsidRPr="00106C9C">
        <w:rPr>
          <w:rFonts w:ascii="Arial" w:hAnsi="Arial" w:cs="Arial"/>
        </w:rPr>
        <w:t xml:space="preserve">This situation is particularly concerning for type I nutrients, such as iodine and B-group vitamins, whose deficiency is immediately reflected in the milk. Maintaining an adequate vitamin A status (a type II nutrient) is also a major challenge, as it depends on hepatic reserves that can be depleted by closely spaced pregnancies and lactation periods. These deficiencies in milk, even if they are subclinical in the mother, directly expose the child to increased morbidity and mortality, justifying targeted supplementation and nutritional education programs adapted to local cultural and dietary realities. The understanding of the complex regulatory mechanisms of milk composition, far from refuting the dependence on </w:t>
      </w:r>
      <w:r w:rsidRPr="00106C9C">
        <w:rPr>
          <w:rFonts w:ascii="Arial" w:hAnsi="Arial" w:cs="Arial"/>
        </w:rPr>
        <w:lastRenderedPageBreak/>
        <w:t>maternal status, confirms it as a critical determinant of the quality of infant nutrition in these regions.</w:t>
      </w:r>
    </w:p>
    <w:p w14:paraId="642545BE" w14:textId="77777777" w:rsidR="00106C9C" w:rsidRPr="009C1A61" w:rsidRDefault="004139CF" w:rsidP="00CC0279">
      <w:pPr>
        <w:pStyle w:val="Body"/>
        <w:jc w:val="left"/>
        <w:rPr>
          <w:rFonts w:ascii="Arial" w:hAnsi="Arial" w:cs="Arial"/>
          <w:b/>
          <w:sz w:val="22"/>
        </w:rPr>
      </w:pPr>
      <w:r>
        <w:rPr>
          <w:rFonts w:ascii="Arial" w:hAnsi="Arial" w:cs="Arial"/>
          <w:b/>
          <w:sz w:val="22"/>
        </w:rPr>
        <w:t>4. Transfer of e</w:t>
      </w:r>
      <w:r w:rsidR="00106C9C" w:rsidRPr="009C1A61">
        <w:rPr>
          <w:rFonts w:ascii="Arial" w:hAnsi="Arial" w:cs="Arial"/>
          <w:b/>
          <w:sz w:val="22"/>
        </w:rPr>
        <w:t>nvironmental xenobiotics</w:t>
      </w:r>
    </w:p>
    <w:p w14:paraId="04F16391" w14:textId="77777777" w:rsidR="006C2084" w:rsidRDefault="00106C9C" w:rsidP="00CC0279">
      <w:pPr>
        <w:pStyle w:val="Body"/>
        <w:spacing w:after="0"/>
        <w:jc w:val="left"/>
        <w:rPr>
          <w:rFonts w:ascii="Arial" w:hAnsi="Arial" w:cs="Arial"/>
        </w:rPr>
      </w:pPr>
      <w:r w:rsidRPr="00106C9C">
        <w:rPr>
          <w:rFonts w:ascii="Arial" w:hAnsi="Arial" w:cs="Arial"/>
        </w:rPr>
        <w:t>Beyond endogenous nutrients, human milk can be a vehicle for the transfer of environmental contaminants. The lipophilic nature of compounds such as organochlorine pesticides and mycotoxins, notably aflatoxins, facilitates their accumulation in maternal adipose tissue. During lactation, these stores are mobilized, leading to the excretion of these substances into milk. This represents a significant pathway of infant exposure, posing potential risks of neurotoxicity and endocrine disruption, a particular concern in regions where food storage practices may increase mycotoxin exposure</w:t>
      </w:r>
      <w:r w:rsidR="006C2084">
        <w:rPr>
          <w:rFonts w:ascii="Arial" w:hAnsi="Arial" w:cs="Arial"/>
        </w:rPr>
        <w:t>.</w:t>
      </w:r>
    </w:p>
    <w:p w14:paraId="3B85677A" w14:textId="77777777" w:rsidR="006C2084" w:rsidRDefault="006C2084" w:rsidP="00CC0279">
      <w:pPr>
        <w:pStyle w:val="Body"/>
        <w:spacing w:after="0"/>
        <w:jc w:val="left"/>
        <w:rPr>
          <w:rFonts w:ascii="Arial" w:hAnsi="Arial" w:cs="Arial"/>
        </w:rPr>
      </w:pPr>
    </w:p>
    <w:p w14:paraId="07DF76D6" w14:textId="77777777" w:rsidR="006C2084" w:rsidRPr="006C2084" w:rsidRDefault="006C2084" w:rsidP="00CC0279">
      <w:pPr>
        <w:pStyle w:val="Body"/>
        <w:jc w:val="left"/>
        <w:rPr>
          <w:rFonts w:ascii="Arial" w:hAnsi="Arial" w:cs="Arial"/>
          <w:b/>
          <w:sz w:val="22"/>
        </w:rPr>
      </w:pPr>
      <w:r w:rsidRPr="006C2084">
        <w:rPr>
          <w:rFonts w:ascii="Arial" w:hAnsi="Arial" w:cs="Arial"/>
          <w:b/>
          <w:sz w:val="22"/>
        </w:rPr>
        <w:t>4.</w:t>
      </w:r>
      <w:r w:rsidRPr="006C2084">
        <w:rPr>
          <w:rFonts w:ascii="Arial" w:hAnsi="Arial" w:cs="Arial"/>
          <w:b/>
          <w:sz w:val="22"/>
        </w:rPr>
        <w:tab/>
        <w:t>DISCUSSION</w:t>
      </w:r>
    </w:p>
    <w:p w14:paraId="22DE961C" w14:textId="77777777" w:rsidR="006C2084" w:rsidRPr="006C2084" w:rsidRDefault="006C2084" w:rsidP="00CC0279">
      <w:pPr>
        <w:pStyle w:val="Body"/>
        <w:jc w:val="left"/>
        <w:rPr>
          <w:rFonts w:ascii="Arial" w:hAnsi="Arial" w:cs="Arial"/>
        </w:rPr>
      </w:pPr>
      <w:r w:rsidRPr="006C2084">
        <w:rPr>
          <w:rFonts w:ascii="Arial" w:hAnsi="Arial" w:cs="Arial"/>
        </w:rPr>
        <w:t>The findings of this review compel a critical reassessment of the paradigm of absolute nutritional stability in human milk. The evidence reveals a differential homeostasis, characterized by remarkable resilience for energy-providing macronutrients and significant plasticity for key qualitative components. This dichotomy carries profound pathophysiological implications for the mother-infant dyad and mandates a strategic re-evaluation of public health interventions, particularly within contexts of nutritional precarity such as Togo.</w:t>
      </w:r>
    </w:p>
    <w:p w14:paraId="503163A6" w14:textId="77777777" w:rsidR="006C2084" w:rsidRPr="006C2084" w:rsidRDefault="006C2084" w:rsidP="00CC0279">
      <w:pPr>
        <w:pStyle w:val="Body"/>
        <w:jc w:val="left"/>
        <w:rPr>
          <w:rFonts w:ascii="Arial" w:hAnsi="Arial" w:cs="Arial"/>
        </w:rPr>
      </w:pPr>
      <w:r w:rsidRPr="006C2084">
        <w:rPr>
          <w:rFonts w:ascii="Arial" w:hAnsi="Arial" w:cs="Arial"/>
        </w:rPr>
        <w:t>The relative constancy of lactose, total protein, and total lipid concentrations constitutes an essential metabolic safeguard, guaranteeing the infant the indispensable energy supply for survival. However, this apparent stability conceals a significant physiological cost for the mother, illustrating a principle of "biological altruism" [</w:t>
      </w:r>
      <w:proofErr w:type="spellStart"/>
      <w:r w:rsidRPr="006C2084">
        <w:rPr>
          <w:rFonts w:ascii="Arial" w:hAnsi="Arial" w:cs="Arial"/>
        </w:rPr>
        <w:t>Picciano</w:t>
      </w:r>
      <w:proofErr w:type="spellEnd"/>
      <w:r w:rsidRPr="006C2084">
        <w:rPr>
          <w:rFonts w:ascii="Arial" w:hAnsi="Arial" w:cs="Arial"/>
        </w:rPr>
        <w:t>, 2001]. The mobilization of maternal tissue reserves—muscular for amino acids, adipose for lipids—to preserve lacteal composition highlights the prioritization of lactation. In the West African context, and specifically in Togo, where closely spaced pregnancies, physically demanding agricultural labor, and seasonal food insecurity are frequent, this depletion process can precipitate the mother into a state of chronic malnutrition, increasing her risk of anemia and osteoporosis [</w:t>
      </w:r>
      <w:proofErr w:type="spellStart"/>
      <w:r w:rsidRPr="006C2084">
        <w:rPr>
          <w:rFonts w:ascii="Arial" w:hAnsi="Arial" w:cs="Arial"/>
        </w:rPr>
        <w:t>Lutter</w:t>
      </w:r>
      <w:proofErr w:type="spellEnd"/>
      <w:r w:rsidRPr="006C2084">
        <w:rPr>
          <w:rFonts w:ascii="Arial" w:hAnsi="Arial" w:cs="Arial"/>
        </w:rPr>
        <w:t xml:space="preserve"> &amp; Dewey, 2003]. The stability of milk thus masks a maternal vulnerability that must imperatively be integrated into perinatal health policies.</w:t>
      </w:r>
    </w:p>
    <w:p w14:paraId="11C8A8FB" w14:textId="77777777" w:rsidR="006C2084" w:rsidRPr="006C2084" w:rsidRDefault="006C2084" w:rsidP="00CC0279">
      <w:pPr>
        <w:pStyle w:val="Body"/>
        <w:jc w:val="left"/>
        <w:rPr>
          <w:rFonts w:ascii="Arial" w:hAnsi="Arial" w:cs="Arial"/>
        </w:rPr>
      </w:pPr>
      <w:r w:rsidRPr="006C2084">
        <w:rPr>
          <w:rFonts w:ascii="Arial" w:hAnsi="Arial" w:cs="Arial"/>
        </w:rPr>
        <w:t xml:space="preserve">Beyond the simple energy guarantee, the intrinsic quality of milk is eminently sensitive to the maternal nutritional environment. The fatty acid profile is the most compelling example. The confirmation that the docosahexaenoic acid (DHA) content, a key nutrient for neurodevelopment [Narinder et al., 2014; </w:t>
      </w:r>
      <w:proofErr w:type="spellStart"/>
      <w:r w:rsidRPr="006C2084">
        <w:rPr>
          <w:rFonts w:ascii="Arial" w:hAnsi="Arial" w:cs="Arial"/>
        </w:rPr>
        <w:t>Koletzko</w:t>
      </w:r>
      <w:proofErr w:type="spellEnd"/>
      <w:r w:rsidRPr="006C2084">
        <w:rPr>
          <w:rFonts w:ascii="Arial" w:hAnsi="Arial" w:cs="Arial"/>
        </w:rPr>
        <w:t xml:space="preserve"> et al., 2008; Liu et al., 2025], is a direct reflection of maternal consumption is of capital importance for Togo. The local diet, often dominated by vegetable oils (palm, groundnut) rich in omega-6 precursors, and where access to sea fish is limited, creates enzymatic competition at the level of desaturases and </w:t>
      </w:r>
      <w:proofErr w:type="spellStart"/>
      <w:r w:rsidRPr="006C2084">
        <w:rPr>
          <w:rFonts w:ascii="Arial" w:hAnsi="Arial" w:cs="Arial"/>
        </w:rPr>
        <w:t>elongases</w:t>
      </w:r>
      <w:proofErr w:type="spellEnd"/>
      <w:r w:rsidRPr="006C2084">
        <w:rPr>
          <w:rFonts w:ascii="Arial" w:hAnsi="Arial" w:cs="Arial"/>
        </w:rPr>
        <w:t>, which is unfavorable to the endogenous synthesis of DHA [Brenna et al., 2007]. This situation exposes a tangible risk of milk with low DHA content, with potential consequences for the child's cognitive development and visual acuity. Furthermore, milk quality is not limited to lipids; a low content of bioactive proteins such as lactoferrin or secretory immunoglobulin A (</w:t>
      </w:r>
      <w:proofErr w:type="spellStart"/>
      <w:r w:rsidRPr="006C2084">
        <w:rPr>
          <w:rFonts w:ascii="Arial" w:hAnsi="Arial" w:cs="Arial"/>
        </w:rPr>
        <w:t>sIgA</w:t>
      </w:r>
      <w:proofErr w:type="spellEnd"/>
      <w:r w:rsidRPr="006C2084">
        <w:rPr>
          <w:rFonts w:ascii="Arial" w:hAnsi="Arial" w:cs="Arial"/>
        </w:rPr>
        <w:t>), possibly linked to maternal protein malnutrition, weakens the immune defense of the infant's intestinal mucosa, making them more vulnerable to prevalent enteric pathogens in their environment [Hanson et al., 2005].</w:t>
      </w:r>
    </w:p>
    <w:p w14:paraId="5A075835" w14:textId="77777777" w:rsidR="006C2084" w:rsidRPr="006C2084" w:rsidRDefault="006C2084" w:rsidP="00CC0279">
      <w:pPr>
        <w:pStyle w:val="Body"/>
        <w:jc w:val="left"/>
        <w:rPr>
          <w:rFonts w:ascii="Arial" w:hAnsi="Arial" w:cs="Arial"/>
        </w:rPr>
      </w:pPr>
      <w:r w:rsidRPr="006C2084">
        <w:rPr>
          <w:rFonts w:ascii="Arial" w:hAnsi="Arial" w:cs="Arial"/>
        </w:rPr>
        <w:t xml:space="preserve">The impact of the maternal diet on the lipid profile, already highlighted, warrants biochemical clarification. Long-chain polyunsaturated fatty acids (LC-PUFAs), notably docosahexaenoic acid (DHA), are transported from the maternal plasma to the lactocyte through uptake and incorporation mechanisms. The efficiency of this transfer, which directly reflects maternal </w:t>
      </w:r>
      <w:r w:rsidRPr="006C2084">
        <w:rPr>
          <w:rFonts w:ascii="Arial" w:hAnsi="Arial" w:cs="Arial"/>
        </w:rPr>
        <w:lastRenderedPageBreak/>
        <w:t>adipose reserves and recent intake, is of paramount importance for the child's neurodevelopment [</w:t>
      </w:r>
      <w:proofErr w:type="spellStart"/>
      <w:r w:rsidRPr="006C2084">
        <w:rPr>
          <w:rFonts w:ascii="Arial" w:hAnsi="Arial" w:cs="Arial"/>
        </w:rPr>
        <w:t>Perrella</w:t>
      </w:r>
      <w:proofErr w:type="spellEnd"/>
      <w:r w:rsidRPr="006C2084">
        <w:rPr>
          <w:rFonts w:ascii="Arial" w:hAnsi="Arial" w:cs="Arial"/>
        </w:rPr>
        <w:t xml:space="preserve"> et al., 2021]. In many West African countries, including Togo, diets are often characterized by an imbalanced ω−6/ω−3 ratio, favoring ω−6 fatty acids from common vegetable oils (palm, groundnut). This imbalance induces enzymatic competition at the level of desaturases and </w:t>
      </w:r>
      <w:proofErr w:type="spellStart"/>
      <w:r w:rsidRPr="006C2084">
        <w:rPr>
          <w:rFonts w:ascii="Arial" w:hAnsi="Arial" w:cs="Arial"/>
        </w:rPr>
        <w:t>elongases</w:t>
      </w:r>
      <w:proofErr w:type="spellEnd"/>
      <w:r w:rsidRPr="006C2084">
        <w:rPr>
          <w:rFonts w:ascii="Arial" w:hAnsi="Arial" w:cs="Arial"/>
        </w:rPr>
        <w:t xml:space="preserve"> (enzymes involved in the endogenous synthesis of LC-PUFAs), which can potentially limit DHA biosynthesis in the mother. Consequently, optimizing ω−3 intake from marine sources or through supplementation becomes a critical public health intervention to ensure the optimal concentration of these essential lipids for myelination and retinal function [Chung, 2014].</w:t>
      </w:r>
    </w:p>
    <w:p w14:paraId="66CFDDD7" w14:textId="77777777" w:rsidR="006C2084" w:rsidRPr="006C2084" w:rsidRDefault="006C2084" w:rsidP="00CC0279">
      <w:pPr>
        <w:pStyle w:val="Body"/>
        <w:jc w:val="left"/>
        <w:rPr>
          <w:rFonts w:ascii="Arial" w:hAnsi="Arial" w:cs="Arial"/>
        </w:rPr>
      </w:pPr>
      <w:r w:rsidRPr="006C2084">
        <w:rPr>
          <w:rFonts w:ascii="Arial" w:hAnsi="Arial" w:cs="Arial"/>
        </w:rPr>
        <w:t>This dependence is even more critical for micronutrients, which function as veritable tracers of maternal status. The distinction between type I nutrients (B vitamins, iodine, selenium), with low storage capacity, and type II nutrients (vitamin A, iron), for which reserves exist, is of fundamental strategic importance. For the former, a maternal deficiency has an almost immediate impact on the milk, exposing the infant to severe pathologies such as infantile beriberi (thiamine deficiency) or suboptimal neurological development in case of iodine deficiency [Zimmermann, 2009]. For the latter, although maternal reserves offer a buffer, chronic malnutrition eventually depletes them. A vitamin A-deficient milk, for example, drastically increases the risk of xerophthalmia and mortality from respiratory and diarrheal infections in children [Horn et al., 2020].</w:t>
      </w:r>
    </w:p>
    <w:p w14:paraId="4F7E7338" w14:textId="77777777" w:rsidR="006C2084" w:rsidRPr="006C2084" w:rsidRDefault="006C2084" w:rsidP="00CC0279">
      <w:pPr>
        <w:pStyle w:val="Body"/>
        <w:jc w:val="left"/>
        <w:rPr>
          <w:rFonts w:ascii="Arial" w:hAnsi="Arial" w:cs="Arial"/>
        </w:rPr>
      </w:pPr>
      <w:r w:rsidRPr="006C2084">
        <w:rPr>
          <w:rFonts w:ascii="Arial" w:hAnsi="Arial" w:cs="Arial"/>
        </w:rPr>
        <w:t>Finally, the discussion on milk quality must extend beyond nutritional deficiencies to include the xenobiotic load. In the Togolese context, exposure to environmental contaminants is a major concern. Aflatoxins from the consumption of poorly preserved staple foods like groundnuts and maize, as well as organochlorine pesticide residues, are lipophilic compounds that can accumulate in maternal adipose tissue and be excreted in milk. The infant's exposure, even at low doses, to these neurotoxic and potentially endocrine-disrupting substances constitutes an insidious threat to their long-term development. [Nickerson et al., 2006]</w:t>
      </w:r>
    </w:p>
    <w:p w14:paraId="41171DAF" w14:textId="77777777" w:rsidR="006C2084" w:rsidRPr="006C2084" w:rsidRDefault="006C2084" w:rsidP="00CC0279">
      <w:pPr>
        <w:pStyle w:val="Body"/>
        <w:jc w:val="left"/>
        <w:rPr>
          <w:rFonts w:ascii="Arial" w:hAnsi="Arial" w:cs="Arial"/>
        </w:rPr>
      </w:pPr>
      <w:r w:rsidRPr="006C2084">
        <w:rPr>
          <w:rFonts w:ascii="Arial" w:hAnsi="Arial" w:cs="Arial"/>
        </w:rPr>
        <w:t xml:space="preserve">The biochemical and physiological framework underpinning optimal infant development is fundamentally reliant on the dynamic and bioavailable composition of human milk (HM), recognized as the nutritional gold standard. In resource-constrained settings like Togo, where alternatives pose significant accessibility and microbial contamination risks, the nutritional and biological integrity of HM becomes a critical determinant of child survival and long-term health outcomes. A suboptimal maternal nutritional status directly compromises this integrity, leading to a systemic cascade of deficiencies in the infant's developing organism. Specifically, a reduction in long-chain polyunsaturated fatty acids (LC-PUFAs), such as docosahexaenoic acid (DHA) and arachidonic acid (ARA), which are dependent on maternal dietary intake, is intrinsically linked to impaired axonal myelination and synaptogenesis, thus raising the risk of neurocognitive and visual acuity deficits [Narinder et al., </w:t>
      </w:r>
      <w:proofErr w:type="gramStart"/>
      <w:r w:rsidRPr="006C2084">
        <w:rPr>
          <w:rFonts w:ascii="Arial" w:hAnsi="Arial" w:cs="Arial"/>
        </w:rPr>
        <w:t>2014 ;</w:t>
      </w:r>
      <w:proofErr w:type="gramEnd"/>
      <w:r w:rsidRPr="006C2084">
        <w:rPr>
          <w:rFonts w:ascii="Arial" w:hAnsi="Arial" w:cs="Arial"/>
        </w:rPr>
        <w:t xml:space="preserve"> </w:t>
      </w:r>
      <w:proofErr w:type="spellStart"/>
      <w:r w:rsidRPr="006C2084">
        <w:rPr>
          <w:rFonts w:ascii="Arial" w:hAnsi="Arial" w:cs="Arial"/>
        </w:rPr>
        <w:t>Koletzko</w:t>
      </w:r>
      <w:proofErr w:type="spellEnd"/>
      <w:r w:rsidRPr="006C2084">
        <w:rPr>
          <w:rFonts w:ascii="Arial" w:hAnsi="Arial" w:cs="Arial"/>
        </w:rPr>
        <w:t xml:space="preserve"> et al., 2008 ; Liu et al., 2025]. Furthermore, insufficient protein delivery via HM contributes directly to growth faltering (stunting), a prevalent public health challenge. Crucially, a diminished concentration of bioactive immune factors (including secretory immunoglobulin A (</w:t>
      </w:r>
      <w:proofErr w:type="spellStart"/>
      <w:r w:rsidRPr="006C2084">
        <w:rPr>
          <w:rFonts w:ascii="Arial" w:hAnsi="Arial" w:cs="Arial"/>
        </w:rPr>
        <w:t>sIgA</w:t>
      </w:r>
      <w:proofErr w:type="spellEnd"/>
      <w:r w:rsidRPr="006C2084">
        <w:rPr>
          <w:rFonts w:ascii="Arial" w:hAnsi="Arial" w:cs="Arial"/>
        </w:rPr>
        <w:t>), lactoferrin, and lysozyme) erodes the infant's mucosal and systemic first-line immune defense, heightening susceptibility to environmental pathogens [Hanson et al., 2005]. Beyond macronutrients, maternal micronutrient deficiencies translate into infant "hidden hunger," with inadequate concentrations of essential elements like iron contributing to neurodevelopmental impairment and anemia [</w:t>
      </w:r>
      <w:proofErr w:type="spellStart"/>
      <w:r w:rsidRPr="006C2084">
        <w:rPr>
          <w:rFonts w:ascii="Arial" w:hAnsi="Arial" w:cs="Arial"/>
        </w:rPr>
        <w:t>Adu-Afarwuah</w:t>
      </w:r>
      <w:proofErr w:type="spellEnd"/>
      <w:r w:rsidRPr="006C2084">
        <w:rPr>
          <w:rFonts w:ascii="Arial" w:hAnsi="Arial" w:cs="Arial"/>
        </w:rPr>
        <w:t xml:space="preserve"> et al., 2008], and a lack of Vitamin A compromising epithelial integrity and increasing vulnerability to infectious morbidity [Horn et al., 2020]. Finally, the potential transfer of xenobiotics, such as heavy metals and lipophilic pesticides, from maternal adipose stores into HM poses a risk of neurotoxicity and endocrine disruption in the vulnerable infant [Nickerson et al., 2006]. </w:t>
      </w:r>
      <w:r w:rsidRPr="006C2084">
        <w:rPr>
          <w:rFonts w:ascii="Arial" w:hAnsi="Arial" w:cs="Arial"/>
        </w:rPr>
        <w:lastRenderedPageBreak/>
        <w:t xml:space="preserve">Collectively, these biochemical alterations in HM do not merely restrict somatic </w:t>
      </w:r>
      <w:proofErr w:type="gramStart"/>
      <w:r w:rsidRPr="006C2084">
        <w:rPr>
          <w:rFonts w:ascii="Arial" w:hAnsi="Arial" w:cs="Arial"/>
        </w:rPr>
        <w:t>growth ;</w:t>
      </w:r>
      <w:proofErr w:type="gramEnd"/>
      <w:r w:rsidRPr="006C2084">
        <w:rPr>
          <w:rFonts w:ascii="Arial" w:hAnsi="Arial" w:cs="Arial"/>
        </w:rPr>
        <w:t xml:space="preserve"> they fundamentally compromise the child's neurological architecture, immune competence, and metabolic programming, underscoring the urgent necessity for targeted maternal nutritional support strategies to safeguard infant health.</w:t>
      </w:r>
    </w:p>
    <w:p w14:paraId="2EDAA375" w14:textId="77777777" w:rsidR="006C2084" w:rsidRPr="006C2084" w:rsidRDefault="006C2084" w:rsidP="00CC0279">
      <w:pPr>
        <w:pStyle w:val="Body"/>
        <w:jc w:val="left"/>
        <w:rPr>
          <w:rFonts w:ascii="Arial" w:hAnsi="Arial" w:cs="Arial"/>
        </w:rPr>
      </w:pPr>
    </w:p>
    <w:p w14:paraId="14BD9407" w14:textId="77777777" w:rsidR="006C2084" w:rsidRPr="006C2084" w:rsidRDefault="006C2084" w:rsidP="00CC0279">
      <w:pPr>
        <w:pStyle w:val="Body"/>
        <w:jc w:val="left"/>
        <w:rPr>
          <w:rFonts w:ascii="Arial" w:hAnsi="Arial" w:cs="Arial"/>
        </w:rPr>
      </w:pPr>
      <w:r w:rsidRPr="006C2084">
        <w:rPr>
          <w:rFonts w:ascii="Arial" w:hAnsi="Arial" w:cs="Arial"/>
        </w:rPr>
        <w:t>It should be acknowledged that this narrative review, although systematic in its approach, extrapolates data from various contexts. The main perspective emerging from this review is therefore the imperative need to initiate contextual epidemiological and biochemical studies. It is crucial to quantify the prevalence of specific deficiencies (DHA, iodine, zinc, B vitamins) and the contaminant load in the milk of Togolese mothers, stratifying by region, dietary habits, and socioeconomic status. Such data would allow for moving beyond generalities to design precise, efficient, and locally evidence-based public health interventions.</w:t>
      </w:r>
    </w:p>
    <w:p w14:paraId="47E47FD3" w14:textId="77777777" w:rsidR="006C2084" w:rsidRDefault="006C2084" w:rsidP="00CC0279">
      <w:pPr>
        <w:pStyle w:val="Body"/>
        <w:spacing w:after="0"/>
        <w:jc w:val="left"/>
        <w:rPr>
          <w:rFonts w:ascii="Arial" w:hAnsi="Arial" w:cs="Arial"/>
        </w:rPr>
      </w:pPr>
      <w:r w:rsidRPr="006C2084">
        <w:rPr>
          <w:rFonts w:ascii="Arial" w:hAnsi="Arial" w:cs="Arial"/>
        </w:rPr>
        <w:t>Collectively, a suboptimal maternal nutritional status threatens to compromise the biochemical integrity of human milk. This can manifest as impaired neurological architecture from insufficient LC-PUFAs, stunted growth from inadequate protein, and reduced immune competence due to lower concentrations of bioactive factors, all of which underscore the necessity for targeted maternal nutritional support</w:t>
      </w:r>
    </w:p>
    <w:p w14:paraId="24088CBC" w14:textId="77777777" w:rsidR="00C30A0F" w:rsidRDefault="00C30A0F" w:rsidP="00CC0279">
      <w:pPr>
        <w:pStyle w:val="Body"/>
        <w:spacing w:after="0"/>
        <w:jc w:val="left"/>
        <w:rPr>
          <w:rFonts w:ascii="Arial" w:hAnsi="Arial" w:cs="Arial"/>
        </w:rPr>
      </w:pPr>
      <w:r w:rsidRPr="00FB3A86">
        <w:rPr>
          <w:rFonts w:ascii="Arial" w:hAnsi="Arial" w:cs="Arial"/>
        </w:rPr>
        <w:t xml:space="preserve">  </w:t>
      </w:r>
    </w:p>
    <w:p w14:paraId="770BBBEB" w14:textId="77777777" w:rsidR="00E053D0" w:rsidRDefault="00E053D0" w:rsidP="00CC0279">
      <w:pPr>
        <w:pStyle w:val="Body"/>
        <w:spacing w:after="0"/>
        <w:jc w:val="left"/>
        <w:rPr>
          <w:rFonts w:ascii="Arial" w:hAnsi="Arial" w:cs="Arial"/>
        </w:rPr>
      </w:pPr>
    </w:p>
    <w:p w14:paraId="18352C58" w14:textId="77777777" w:rsidR="00790ADA" w:rsidRPr="00FB3A86" w:rsidRDefault="00790ADA" w:rsidP="00CC0279">
      <w:pPr>
        <w:pStyle w:val="Body"/>
        <w:spacing w:after="0"/>
        <w:jc w:val="left"/>
        <w:rPr>
          <w:rFonts w:ascii="Arial" w:hAnsi="Arial" w:cs="Arial"/>
        </w:rPr>
      </w:pPr>
    </w:p>
    <w:p w14:paraId="4AF2FD1E" w14:textId="77777777" w:rsidR="00B01FCD" w:rsidRDefault="00000F8F" w:rsidP="00CC0279">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66E536DF" w14:textId="77777777" w:rsidR="00790ADA" w:rsidRPr="00FB3A86" w:rsidRDefault="00790ADA" w:rsidP="00CC0279">
      <w:pPr>
        <w:pStyle w:val="ConcHead"/>
        <w:spacing w:after="0"/>
        <w:rPr>
          <w:rFonts w:ascii="Arial" w:hAnsi="Arial" w:cs="Arial"/>
        </w:rPr>
      </w:pPr>
    </w:p>
    <w:p w14:paraId="0276F417" w14:textId="77777777" w:rsidR="00B01FCD" w:rsidRDefault="00157D33" w:rsidP="00CC0279">
      <w:pPr>
        <w:pStyle w:val="Body"/>
        <w:spacing w:after="0"/>
        <w:jc w:val="left"/>
        <w:rPr>
          <w:rFonts w:ascii="Arial" w:hAnsi="Arial" w:cs="Arial"/>
        </w:rPr>
      </w:pPr>
      <w:r w:rsidRPr="00157D33">
        <w:rPr>
          <w:rFonts w:ascii="Arial" w:hAnsi="Arial" w:cs="Arial"/>
        </w:rPr>
        <w:t>This review concludes that the nutritional stability of human milk is a nuanced concept. While a robust homeostasis preserves the concentration of energy-providing macronutrients, the qualitative composition of milk is markedly vulnerable to maternal diet. Key components, including the fatty acid profile (notably DHA content) and the concentrations of many vitamins and trace elements, are directly dependent on maternal nutritional status. This plasticity is a critical public health concern in regions like Togo, where maternal diets may lack diversity. Therefore, public health strategies must move beyond the promotion of exclusive breastfeeding alone and integrate active, evidence-based nutritional support for lactating women. Such an approach is essential to ensure that human milk realizes its full biological potential as the gold standard for infant nutrition. Future context-specific research is imperative to translate this understanding into effective, targeted interventions in Togo</w:t>
      </w:r>
    </w:p>
    <w:p w14:paraId="287EB920" w14:textId="77777777" w:rsidR="00790ADA" w:rsidRPr="00FB3A86" w:rsidRDefault="00790ADA" w:rsidP="00CC0279">
      <w:pPr>
        <w:pStyle w:val="Body"/>
        <w:spacing w:after="0"/>
        <w:jc w:val="left"/>
        <w:rPr>
          <w:rFonts w:ascii="Arial" w:hAnsi="Arial" w:cs="Arial"/>
        </w:rPr>
      </w:pPr>
    </w:p>
    <w:p w14:paraId="77A9B1E2" w14:textId="77777777" w:rsidR="00315186" w:rsidRPr="00315186" w:rsidRDefault="00315186" w:rsidP="00CC0279"/>
    <w:p w14:paraId="441A114E" w14:textId="77777777" w:rsidR="00315186" w:rsidRPr="00315186" w:rsidRDefault="00315186" w:rsidP="00CC0279"/>
    <w:p w14:paraId="3E81ED4A" w14:textId="77777777" w:rsidR="002B685A" w:rsidRDefault="002B685A" w:rsidP="00CC0279">
      <w:pPr>
        <w:pStyle w:val="ReferHead"/>
        <w:spacing w:after="0"/>
        <w:rPr>
          <w:rFonts w:ascii="Arial" w:hAnsi="Arial" w:cs="Arial"/>
          <w:b w:val="0"/>
          <w:caps w:val="0"/>
          <w:sz w:val="20"/>
        </w:rPr>
      </w:pPr>
    </w:p>
    <w:p w14:paraId="1978F74B" w14:textId="77777777" w:rsidR="00B01FCD" w:rsidRDefault="00B01FCD" w:rsidP="00CC0279">
      <w:pPr>
        <w:pStyle w:val="ReferHead"/>
        <w:spacing w:after="0"/>
        <w:rPr>
          <w:rFonts w:ascii="Arial" w:hAnsi="Arial" w:cs="Arial"/>
        </w:rPr>
      </w:pPr>
      <w:r w:rsidRPr="00FB3A86">
        <w:rPr>
          <w:rFonts w:ascii="Arial" w:hAnsi="Arial" w:cs="Arial"/>
        </w:rPr>
        <w:t>References</w:t>
      </w:r>
    </w:p>
    <w:p w14:paraId="50B3AFB1" w14:textId="77777777" w:rsidR="00790ADA" w:rsidRPr="00FB3A86" w:rsidRDefault="00790ADA" w:rsidP="00CC0279">
      <w:pPr>
        <w:pStyle w:val="ReferHead"/>
        <w:spacing w:after="0"/>
        <w:rPr>
          <w:rFonts w:ascii="Arial" w:hAnsi="Arial" w:cs="Arial"/>
        </w:rPr>
      </w:pPr>
    </w:p>
    <w:p w14:paraId="18680307" w14:textId="77777777" w:rsidR="000C1AF7" w:rsidRDefault="000C1AF7" w:rsidP="00CC0279">
      <w:pPr>
        <w:pStyle w:val="Body"/>
        <w:jc w:val="left"/>
      </w:pPr>
      <w:proofErr w:type="spellStart"/>
      <w:r>
        <w:t>Adu-Afarwuah</w:t>
      </w:r>
      <w:proofErr w:type="spellEnd"/>
      <w:r>
        <w:t xml:space="preserve">, S., Lartey, A., Brown, K. H., </w:t>
      </w:r>
      <w:proofErr w:type="spellStart"/>
      <w:r>
        <w:t>Zlotkin</w:t>
      </w:r>
      <w:proofErr w:type="spellEnd"/>
      <w:r>
        <w:t xml:space="preserve">, S., </w:t>
      </w:r>
      <w:proofErr w:type="spellStart"/>
      <w:r>
        <w:t>Briend</w:t>
      </w:r>
      <w:proofErr w:type="spellEnd"/>
      <w:r>
        <w:t>, A., &amp; Dewey, K. G. (2008). Home fortification of complementary foods with micronutrient supplements is well accepted and has positive effects on infant iron status in Ghana. The American journal of clinical nutrition, 87(4), 929-938.</w:t>
      </w:r>
    </w:p>
    <w:p w14:paraId="6948E255" w14:textId="77777777" w:rsidR="000C1AF7" w:rsidRDefault="000C1AF7" w:rsidP="00CC0279">
      <w:pPr>
        <w:pStyle w:val="Body"/>
        <w:jc w:val="left"/>
      </w:pPr>
      <w:r>
        <w:t xml:space="preserve">Samuel, T. M., Zhou, Q., Giuffrida, F., </w:t>
      </w:r>
      <w:proofErr w:type="spellStart"/>
      <w:r>
        <w:t>Munblit</w:t>
      </w:r>
      <w:proofErr w:type="spellEnd"/>
      <w:r>
        <w:t xml:space="preserve">, D., </w:t>
      </w:r>
      <w:proofErr w:type="spellStart"/>
      <w:r>
        <w:t>Verhasselt</w:t>
      </w:r>
      <w:proofErr w:type="spellEnd"/>
      <w:r>
        <w:t>, V., &amp; Thakkar, S. K. (2020). Nutritional and non-nutritional composition of human milk is modulated by maternal, infant, and methodological factors. Frontiers in nutrition, 7, 576133.</w:t>
      </w:r>
    </w:p>
    <w:p w14:paraId="2C1FB8F6" w14:textId="77777777" w:rsidR="000C1AF7" w:rsidRDefault="000C1AF7" w:rsidP="00CC0279">
      <w:pPr>
        <w:pStyle w:val="Body"/>
        <w:jc w:val="left"/>
      </w:pPr>
      <w:r>
        <w:t xml:space="preserve">Andreas, N. J., </w:t>
      </w:r>
      <w:proofErr w:type="spellStart"/>
      <w:r>
        <w:t>Kampmann</w:t>
      </w:r>
      <w:proofErr w:type="spellEnd"/>
      <w:r>
        <w:t>, B., &amp; Le-</w:t>
      </w:r>
      <w:proofErr w:type="spellStart"/>
      <w:r>
        <w:t>Doare</w:t>
      </w:r>
      <w:proofErr w:type="spellEnd"/>
      <w:r>
        <w:t xml:space="preserve">, K. M. (2015). Human breast </w:t>
      </w:r>
      <w:proofErr w:type="gramStart"/>
      <w:r>
        <w:t>milk :</w:t>
      </w:r>
      <w:proofErr w:type="gramEnd"/>
      <w:r>
        <w:t xml:space="preserve"> A review on its composition and bioactivity. Early human development, 91(11), 629-635.</w:t>
      </w:r>
    </w:p>
    <w:p w14:paraId="5807864A" w14:textId="77777777" w:rsidR="000C1AF7" w:rsidRDefault="000C1AF7" w:rsidP="00CC0279">
      <w:pPr>
        <w:pStyle w:val="Body"/>
        <w:jc w:val="left"/>
      </w:pPr>
      <w:r>
        <w:lastRenderedPageBreak/>
        <w:t xml:space="preserve">Ballard, O., &amp; Morrow, A. L. (2013). Human milk </w:t>
      </w:r>
      <w:proofErr w:type="gramStart"/>
      <w:r>
        <w:t>composition :</w:t>
      </w:r>
      <w:proofErr w:type="gramEnd"/>
      <w:r>
        <w:t xml:space="preserve"> nutrients and bioactive factors. Pediatric Clinics, 60(1), 49-74.</w:t>
      </w:r>
    </w:p>
    <w:p w14:paraId="33B7A551" w14:textId="77777777" w:rsidR="000C1AF7" w:rsidRDefault="000C1AF7" w:rsidP="00CC0279">
      <w:pPr>
        <w:pStyle w:val="Body"/>
        <w:jc w:val="left"/>
      </w:pPr>
      <w:r>
        <w:t xml:space="preserve">Black, R. E., </w:t>
      </w:r>
      <w:proofErr w:type="spellStart"/>
      <w:r>
        <w:t>Victora</w:t>
      </w:r>
      <w:proofErr w:type="spellEnd"/>
      <w:r>
        <w:t xml:space="preserve">, C. G., Walker, S. P., </w:t>
      </w:r>
      <w:proofErr w:type="spellStart"/>
      <w:r>
        <w:t>Bhutta</w:t>
      </w:r>
      <w:proofErr w:type="spellEnd"/>
      <w:r>
        <w:t xml:space="preserve">, Z. A., Christian, P., De </w:t>
      </w:r>
      <w:proofErr w:type="spellStart"/>
      <w:r>
        <w:t>Onis</w:t>
      </w:r>
      <w:proofErr w:type="spellEnd"/>
      <w:r>
        <w:t xml:space="preserve">, M., ... &amp; </w:t>
      </w:r>
      <w:proofErr w:type="spellStart"/>
      <w:r>
        <w:t>Uauy</w:t>
      </w:r>
      <w:proofErr w:type="spellEnd"/>
      <w:r>
        <w:t>, R. (2013). Maternal and child undernutrition and overweight in low-income and middle-income countries. The lancet, 382(9890), 427-451.</w:t>
      </w:r>
    </w:p>
    <w:p w14:paraId="274DE580" w14:textId="77777777" w:rsidR="000C1AF7" w:rsidRDefault="000C1AF7" w:rsidP="00CC0279">
      <w:pPr>
        <w:pStyle w:val="Body"/>
        <w:jc w:val="left"/>
      </w:pPr>
      <w:r>
        <w:t xml:space="preserve">Bode, L. (2012). Human milk </w:t>
      </w:r>
      <w:proofErr w:type="gramStart"/>
      <w:r>
        <w:t>oligosaccharides :</w:t>
      </w:r>
      <w:proofErr w:type="gramEnd"/>
      <w:r>
        <w:t xml:space="preserve"> every baby needs a sugar mama. Glycobiology, 22(9), 1147-1162.</w:t>
      </w:r>
    </w:p>
    <w:p w14:paraId="726A2781" w14:textId="77777777" w:rsidR="000C1AF7" w:rsidRDefault="000C1AF7" w:rsidP="00CC0279">
      <w:pPr>
        <w:pStyle w:val="Body"/>
        <w:jc w:val="left"/>
      </w:pPr>
      <w:r>
        <w:t xml:space="preserve">Blake, B. (2009). Preventing infant allergies. </w:t>
      </w:r>
      <w:proofErr w:type="gramStart"/>
      <w:r>
        <w:t>Midwifery :</w:t>
      </w:r>
      <w:proofErr w:type="gramEnd"/>
      <w:r>
        <w:t xml:space="preserve"> Best Practice Volume 5, 5, 129.</w:t>
      </w:r>
    </w:p>
    <w:p w14:paraId="6D7A6F0E" w14:textId="77777777" w:rsidR="000C1AF7" w:rsidRDefault="000C1AF7" w:rsidP="00CC0279">
      <w:pPr>
        <w:pStyle w:val="Body"/>
        <w:jc w:val="left"/>
      </w:pPr>
      <w:r>
        <w:t xml:space="preserve">Brenna, J. T., </w:t>
      </w:r>
      <w:proofErr w:type="spellStart"/>
      <w:r>
        <w:t>Varamini</w:t>
      </w:r>
      <w:proofErr w:type="spellEnd"/>
      <w:r>
        <w:t xml:space="preserve">, B., Jensen, R. G., </w:t>
      </w:r>
      <w:proofErr w:type="spellStart"/>
      <w:r>
        <w:t>Diersen</w:t>
      </w:r>
      <w:proofErr w:type="spellEnd"/>
      <w:r>
        <w:t xml:space="preserve">-Schade, D. A., Boettcher, J. A., &amp; </w:t>
      </w:r>
      <w:proofErr w:type="spellStart"/>
      <w:r>
        <w:t>Arterburn</w:t>
      </w:r>
      <w:proofErr w:type="spellEnd"/>
      <w:r>
        <w:t>, L. M. (2007). Docosahexaenoic and arachidonic acid concentrations in human breast milk worldwide. The American journal of clinical nutrition, 85(6), 1457-1464.</w:t>
      </w:r>
    </w:p>
    <w:p w14:paraId="0D035B35" w14:textId="77777777" w:rsidR="000C1AF7" w:rsidRDefault="000C1AF7" w:rsidP="00CC0279">
      <w:pPr>
        <w:pStyle w:val="Body"/>
        <w:jc w:val="left"/>
      </w:pPr>
      <w:r>
        <w:t xml:space="preserve">Horn, B., &amp; Yu, W. (2020). Nutritional influences on </w:t>
      </w:r>
      <w:proofErr w:type="gramStart"/>
      <w:r>
        <w:t>reproduction :</w:t>
      </w:r>
      <w:proofErr w:type="gramEnd"/>
      <w:r>
        <w:t xml:space="preserve"> a functional approach. In Integrative and functional medical nutrition </w:t>
      </w:r>
      <w:proofErr w:type="gramStart"/>
      <w:r>
        <w:t>therapy :</w:t>
      </w:r>
      <w:proofErr w:type="gramEnd"/>
      <w:r>
        <w:t xml:space="preserve"> principles and practices (pp. 533-561). </w:t>
      </w:r>
      <w:proofErr w:type="gramStart"/>
      <w:r>
        <w:t>Cham :</w:t>
      </w:r>
      <w:proofErr w:type="gramEnd"/>
      <w:r>
        <w:t xml:space="preserve"> Springer International Publishing.</w:t>
      </w:r>
    </w:p>
    <w:p w14:paraId="54CEC21D" w14:textId="77777777" w:rsidR="000C1AF7" w:rsidRDefault="000C1AF7" w:rsidP="00CC0279">
      <w:pPr>
        <w:pStyle w:val="Body"/>
        <w:jc w:val="left"/>
      </w:pPr>
      <w:r>
        <w:t>Chung, M. Y. (2014). Factors affecting human milk composition. Pediatrics &amp; Neonatology, 55(6), 421-422.</w:t>
      </w:r>
    </w:p>
    <w:p w14:paraId="1AF9C5C7" w14:textId="77777777" w:rsidR="000C1AF7" w:rsidRDefault="000C1AF7" w:rsidP="00CC0279">
      <w:pPr>
        <w:pStyle w:val="Body"/>
        <w:jc w:val="left"/>
      </w:pPr>
      <w:r>
        <w:t xml:space="preserve">Keating, E. M., Johnson, C. R., </w:t>
      </w:r>
      <w:proofErr w:type="spellStart"/>
      <w:r>
        <w:t>Cardiel</w:t>
      </w:r>
      <w:proofErr w:type="spellEnd"/>
      <w:r>
        <w:t xml:space="preserve"> Nunez, K. E., &amp; Fischer, P. R. (2023). Thiamine deficiency disorders in women and children. </w:t>
      </w:r>
      <w:proofErr w:type="spellStart"/>
      <w:r>
        <w:t>Paediatrics</w:t>
      </w:r>
      <w:proofErr w:type="spellEnd"/>
      <w:r>
        <w:t xml:space="preserve"> and International Child Health, 43(4), 40-49.</w:t>
      </w:r>
    </w:p>
    <w:p w14:paraId="7B2524B4" w14:textId="77777777" w:rsidR="000C1AF7" w:rsidRDefault="000C1AF7" w:rsidP="00CC0279">
      <w:pPr>
        <w:pStyle w:val="Body"/>
        <w:jc w:val="left"/>
      </w:pPr>
      <w:r>
        <w:t xml:space="preserve">D’Alessandro, A., </w:t>
      </w:r>
      <w:proofErr w:type="spellStart"/>
      <w:r>
        <w:t>Scaloni</w:t>
      </w:r>
      <w:proofErr w:type="spellEnd"/>
      <w:r>
        <w:t xml:space="preserve">, A., &amp; </w:t>
      </w:r>
      <w:proofErr w:type="spellStart"/>
      <w:r>
        <w:t>Zolla</w:t>
      </w:r>
      <w:proofErr w:type="spellEnd"/>
      <w:r>
        <w:t xml:space="preserve">, L. (2010). Human milk </w:t>
      </w:r>
      <w:proofErr w:type="gramStart"/>
      <w:r>
        <w:t>proteins :</w:t>
      </w:r>
      <w:proofErr w:type="gramEnd"/>
      <w:r>
        <w:t xml:space="preserve"> an </w:t>
      </w:r>
      <w:proofErr w:type="spellStart"/>
      <w:r>
        <w:t>interactomics</w:t>
      </w:r>
      <w:proofErr w:type="spellEnd"/>
      <w:r>
        <w:t xml:space="preserve"> and updated functional overview. Journal of proteome research, 9(7), 3339-3373.</w:t>
      </w:r>
    </w:p>
    <w:p w14:paraId="5AFDFD2F" w14:textId="77777777" w:rsidR="000C1AF7" w:rsidRDefault="000C1AF7" w:rsidP="00CC0279">
      <w:pPr>
        <w:pStyle w:val="Body"/>
        <w:jc w:val="left"/>
      </w:pPr>
      <w:proofErr w:type="spellStart"/>
      <w:r>
        <w:t>Dror</w:t>
      </w:r>
      <w:proofErr w:type="spellEnd"/>
      <w:r>
        <w:t xml:space="preserve">, D. K., &amp; Allen, L. H. (2018). Iodine in human </w:t>
      </w:r>
      <w:proofErr w:type="gramStart"/>
      <w:r>
        <w:t>milk :</w:t>
      </w:r>
      <w:proofErr w:type="gramEnd"/>
      <w:r>
        <w:t xml:space="preserve"> a systematic review. Advances in Nutrition, 9, 347S-357S.</w:t>
      </w:r>
    </w:p>
    <w:p w14:paraId="5CE6CE36" w14:textId="77777777" w:rsidR="000C1AF7" w:rsidRDefault="000C1AF7" w:rsidP="00CC0279">
      <w:pPr>
        <w:pStyle w:val="Body"/>
        <w:jc w:val="left"/>
      </w:pPr>
      <w:r>
        <w:t xml:space="preserve"> </w:t>
      </w:r>
      <w:proofErr w:type="spellStart"/>
      <w:r>
        <w:t>Garwolinska</w:t>
      </w:r>
      <w:proofErr w:type="spellEnd"/>
      <w:r>
        <w:t xml:space="preserve">, D., </w:t>
      </w:r>
      <w:proofErr w:type="spellStart"/>
      <w:r>
        <w:t>Namiesnik</w:t>
      </w:r>
      <w:proofErr w:type="spellEnd"/>
      <w:r>
        <w:t xml:space="preserve">, J., </w:t>
      </w:r>
      <w:proofErr w:type="spellStart"/>
      <w:r>
        <w:t>Kot-Wasik</w:t>
      </w:r>
      <w:proofErr w:type="spellEnd"/>
      <w:r>
        <w:t xml:space="preserve">, A., &amp; </w:t>
      </w:r>
      <w:proofErr w:type="spellStart"/>
      <w:r>
        <w:t>Hewelt</w:t>
      </w:r>
      <w:proofErr w:type="spellEnd"/>
      <w:r>
        <w:t>-Belka, W. (2018). Chemistry of human breast milk—a comprehensive review of the composition and role of milk metabolites in child development. Journal of agricultural and food chemistry, 66(45), 11881-11896.</w:t>
      </w:r>
    </w:p>
    <w:p w14:paraId="1D81DB2A" w14:textId="77777777" w:rsidR="000C1AF7" w:rsidRDefault="000C1AF7" w:rsidP="00CC0279">
      <w:pPr>
        <w:pStyle w:val="Body"/>
        <w:jc w:val="left"/>
      </w:pPr>
      <w:proofErr w:type="spellStart"/>
      <w:r>
        <w:t>Gidrewicz</w:t>
      </w:r>
      <w:proofErr w:type="spellEnd"/>
      <w:r>
        <w:t>, D. A., &amp; Fenton, T. R. (2014). A systematic review and meta-analysis of the nutrient content of preterm and term breast milk. BMC pediatrics, 14(1), 216.</w:t>
      </w:r>
    </w:p>
    <w:p w14:paraId="19C1A32A" w14:textId="77777777" w:rsidR="000C1AF7" w:rsidRDefault="000C1AF7" w:rsidP="00CC0279">
      <w:pPr>
        <w:pStyle w:val="Body"/>
        <w:jc w:val="left"/>
      </w:pPr>
      <w:proofErr w:type="spellStart"/>
      <w:r>
        <w:t>Carretero</w:t>
      </w:r>
      <w:proofErr w:type="spellEnd"/>
      <w:r>
        <w:t xml:space="preserve">-Krug, A., Montero-Bravo, A., </w:t>
      </w:r>
      <w:proofErr w:type="spellStart"/>
      <w:r>
        <w:t>Morais</w:t>
      </w:r>
      <w:proofErr w:type="spellEnd"/>
      <w:r>
        <w:t xml:space="preserve">-Moreno, C., </w:t>
      </w:r>
      <w:proofErr w:type="spellStart"/>
      <w:r>
        <w:t>Puga</w:t>
      </w:r>
      <w:proofErr w:type="spellEnd"/>
      <w:r>
        <w:t>, A. M., Samaniego-</w:t>
      </w:r>
      <w:proofErr w:type="spellStart"/>
      <w:r>
        <w:t>Vaesken</w:t>
      </w:r>
      <w:proofErr w:type="spellEnd"/>
      <w:r>
        <w:t xml:space="preserve">, M. D. L., </w:t>
      </w:r>
      <w:proofErr w:type="spellStart"/>
      <w:r>
        <w:t>Partearroyo</w:t>
      </w:r>
      <w:proofErr w:type="spellEnd"/>
      <w:r>
        <w:t>, T., &amp; Varela-</w:t>
      </w:r>
      <w:proofErr w:type="spellStart"/>
      <w:r>
        <w:t>Moreiras</w:t>
      </w:r>
      <w:proofErr w:type="spellEnd"/>
      <w:r>
        <w:t xml:space="preserve">, G. (2024). Nutritional status of breastfeeding mothers and impact of diet and dietary </w:t>
      </w:r>
      <w:proofErr w:type="gramStart"/>
      <w:r>
        <w:t>supplementation :</w:t>
      </w:r>
      <w:proofErr w:type="gramEnd"/>
      <w:r>
        <w:t xml:space="preserve"> a narrative review. Nutrients, 16(2), 301.</w:t>
      </w:r>
    </w:p>
    <w:p w14:paraId="349D51FC" w14:textId="77777777" w:rsidR="000C1AF7" w:rsidRDefault="000C1AF7" w:rsidP="00CC0279">
      <w:pPr>
        <w:pStyle w:val="Body"/>
        <w:jc w:val="left"/>
      </w:pPr>
      <w:r>
        <w:t xml:space="preserve">Hanson, L. A., </w:t>
      </w:r>
      <w:proofErr w:type="spellStart"/>
      <w:r>
        <w:t>Korotkova</w:t>
      </w:r>
      <w:proofErr w:type="spellEnd"/>
      <w:r>
        <w:t xml:space="preserve">, M., &amp; </w:t>
      </w:r>
      <w:proofErr w:type="spellStart"/>
      <w:r>
        <w:t>Telemo</w:t>
      </w:r>
      <w:proofErr w:type="spellEnd"/>
      <w:r>
        <w:t xml:space="preserve">, E. (2005). Human </w:t>
      </w:r>
      <w:proofErr w:type="gramStart"/>
      <w:r>
        <w:t>milk :</w:t>
      </w:r>
      <w:proofErr w:type="gramEnd"/>
      <w:r>
        <w:t xml:space="preserve"> Its components and their </w:t>
      </w:r>
      <w:proofErr w:type="spellStart"/>
      <w:r>
        <w:t>immunobiologic</w:t>
      </w:r>
      <w:proofErr w:type="spellEnd"/>
      <w:r>
        <w:t xml:space="preserve"> functions. Mucosal Immunology, 1795-1827.</w:t>
      </w:r>
    </w:p>
    <w:p w14:paraId="125EEE37" w14:textId="77777777" w:rsidR="000C1AF7" w:rsidRDefault="000C1AF7" w:rsidP="00CC0279">
      <w:pPr>
        <w:pStyle w:val="Body"/>
        <w:jc w:val="left"/>
      </w:pPr>
      <w:r>
        <w:t xml:space="preserve">Hanson, L. Å., </w:t>
      </w:r>
      <w:proofErr w:type="spellStart"/>
      <w:r>
        <w:t>Korotkova</w:t>
      </w:r>
      <w:proofErr w:type="spellEnd"/>
      <w:r>
        <w:t xml:space="preserve">, M., </w:t>
      </w:r>
      <w:proofErr w:type="spellStart"/>
      <w:r>
        <w:t>Håversen</w:t>
      </w:r>
      <w:proofErr w:type="spellEnd"/>
      <w:r>
        <w:t xml:space="preserve">, L., </w:t>
      </w:r>
      <w:proofErr w:type="spellStart"/>
      <w:r>
        <w:t>Mattsby</w:t>
      </w:r>
      <w:r>
        <w:rPr>
          <w:rFonts w:ascii="Cambria Math" w:hAnsi="Cambria Math" w:cs="Cambria Math"/>
        </w:rPr>
        <w:t>‐</w:t>
      </w:r>
      <w:r>
        <w:t>Baltzer</w:t>
      </w:r>
      <w:proofErr w:type="spellEnd"/>
      <w:r>
        <w:t>, I., Hahn</w:t>
      </w:r>
      <w:r>
        <w:rPr>
          <w:rFonts w:ascii="Cambria Math" w:hAnsi="Cambria Math" w:cs="Cambria Math"/>
        </w:rPr>
        <w:t>‐</w:t>
      </w:r>
      <w:proofErr w:type="spellStart"/>
      <w:r>
        <w:t>Zoric</w:t>
      </w:r>
      <w:proofErr w:type="spellEnd"/>
      <w:r>
        <w:t xml:space="preserve">, M., </w:t>
      </w:r>
      <w:proofErr w:type="spellStart"/>
      <w:r>
        <w:t>Silfverdal</w:t>
      </w:r>
      <w:proofErr w:type="spellEnd"/>
      <w:r>
        <w:t xml:space="preserve">, S. A., ... &amp; </w:t>
      </w:r>
      <w:proofErr w:type="spellStart"/>
      <w:r>
        <w:t>Telemo</w:t>
      </w:r>
      <w:proofErr w:type="spellEnd"/>
      <w:r>
        <w:t>, E. (2002). Breast</w:t>
      </w:r>
      <w:r>
        <w:rPr>
          <w:rFonts w:ascii="Cambria Math" w:hAnsi="Cambria Math" w:cs="Cambria Math"/>
        </w:rPr>
        <w:t>‐</w:t>
      </w:r>
      <w:r>
        <w:t>feeding, a complex support system for the offspring. Pediatrics International, 44(4), 347-352.</w:t>
      </w:r>
    </w:p>
    <w:p w14:paraId="5EE57A43" w14:textId="77777777" w:rsidR="000C1AF7" w:rsidRDefault="000C1AF7" w:rsidP="00CC0279">
      <w:pPr>
        <w:pStyle w:val="Body"/>
        <w:jc w:val="left"/>
      </w:pPr>
      <w:r>
        <w:lastRenderedPageBreak/>
        <w:t xml:space="preserve">Horta, B. L., &amp; </w:t>
      </w:r>
      <w:proofErr w:type="spellStart"/>
      <w:r>
        <w:t>Victora</w:t>
      </w:r>
      <w:proofErr w:type="spellEnd"/>
      <w:r>
        <w:t xml:space="preserve">, C. G. (2013). Long-term effects of breastfeeding. </w:t>
      </w:r>
      <w:proofErr w:type="gramStart"/>
      <w:r>
        <w:t>Geneva :</w:t>
      </w:r>
      <w:proofErr w:type="gramEnd"/>
      <w:r>
        <w:t xml:space="preserve"> World Health Organization, 74.</w:t>
      </w:r>
    </w:p>
    <w:p w14:paraId="249044B8" w14:textId="77777777" w:rsidR="000C1AF7" w:rsidRDefault="000C1AF7" w:rsidP="00CC0279">
      <w:pPr>
        <w:pStyle w:val="Body"/>
        <w:jc w:val="left"/>
      </w:pPr>
      <w:r>
        <w:t xml:space="preserve">Narinder Kaur, N. K., Vishal </w:t>
      </w:r>
      <w:proofErr w:type="spellStart"/>
      <w:r>
        <w:t>Chugh</w:t>
      </w:r>
      <w:proofErr w:type="spellEnd"/>
      <w:r>
        <w:t>, V. C., &amp; Gupta, A. K. (2014). Essential fatty acids as functional components of foods-a review.</w:t>
      </w:r>
    </w:p>
    <w:p w14:paraId="4DA8FB4B" w14:textId="77777777" w:rsidR="000C1AF7" w:rsidRDefault="000C1AF7" w:rsidP="00CC0279">
      <w:pPr>
        <w:pStyle w:val="Body"/>
        <w:jc w:val="left"/>
      </w:pPr>
      <w:r>
        <w:t xml:space="preserve">Kaur, N., </w:t>
      </w:r>
      <w:proofErr w:type="spellStart"/>
      <w:r>
        <w:t>Chugh</w:t>
      </w:r>
      <w:proofErr w:type="spellEnd"/>
      <w:r>
        <w:t>, V., &amp; Gupta, A. K. (2014). Essential fatty acids as functional components of foods-a review. Journal of food science and technology, 51(10), 2289-2303.</w:t>
      </w:r>
    </w:p>
    <w:p w14:paraId="66BD4BC7" w14:textId="77777777" w:rsidR="000C1AF7" w:rsidRDefault="000C1AF7" w:rsidP="00CC0279">
      <w:pPr>
        <w:pStyle w:val="Body"/>
        <w:jc w:val="left"/>
      </w:pPr>
      <w:proofErr w:type="spellStart"/>
      <w:r>
        <w:t>Koletzko</w:t>
      </w:r>
      <w:proofErr w:type="spellEnd"/>
      <w:r>
        <w:t xml:space="preserve">, B., Lien, E., </w:t>
      </w:r>
      <w:proofErr w:type="spellStart"/>
      <w:r>
        <w:t>Agostoni</w:t>
      </w:r>
      <w:proofErr w:type="spellEnd"/>
      <w:r>
        <w:t xml:space="preserve">, C., </w:t>
      </w:r>
      <w:proofErr w:type="spellStart"/>
      <w:r>
        <w:t>Böhles</w:t>
      </w:r>
      <w:proofErr w:type="spellEnd"/>
      <w:r>
        <w:t xml:space="preserve">, H., </w:t>
      </w:r>
      <w:proofErr w:type="spellStart"/>
      <w:r>
        <w:t>Campoy</w:t>
      </w:r>
      <w:proofErr w:type="spellEnd"/>
      <w:r>
        <w:t xml:space="preserve">, C., Cetin, I., ... &amp; </w:t>
      </w:r>
      <w:proofErr w:type="spellStart"/>
      <w:r>
        <w:t>Uauy</w:t>
      </w:r>
      <w:proofErr w:type="spellEnd"/>
      <w:r>
        <w:t xml:space="preserve"> </w:t>
      </w:r>
      <w:proofErr w:type="spellStart"/>
      <w:r>
        <w:t>Dagach-Imbarack</w:t>
      </w:r>
      <w:proofErr w:type="spellEnd"/>
      <w:r>
        <w:t xml:space="preserve">, R. (2008). The roles of long-chain polyunsaturated fatty acids in pregnancy, lactation and </w:t>
      </w:r>
      <w:proofErr w:type="gramStart"/>
      <w:r>
        <w:t>infancy :</w:t>
      </w:r>
      <w:proofErr w:type="gramEnd"/>
      <w:r>
        <w:t xml:space="preserve"> review of current knowledge and consensus recommendations.</w:t>
      </w:r>
    </w:p>
    <w:p w14:paraId="071101D7" w14:textId="77777777" w:rsidR="000C1AF7" w:rsidRDefault="000C1AF7" w:rsidP="00CC0279">
      <w:pPr>
        <w:pStyle w:val="Body"/>
        <w:jc w:val="left"/>
      </w:pPr>
      <w:proofErr w:type="spellStart"/>
      <w:r>
        <w:t>Koletzko</w:t>
      </w:r>
      <w:proofErr w:type="spellEnd"/>
      <w:r>
        <w:t xml:space="preserve">, B., Lien, E., </w:t>
      </w:r>
      <w:proofErr w:type="spellStart"/>
      <w:r>
        <w:t>Agostoni</w:t>
      </w:r>
      <w:proofErr w:type="spellEnd"/>
      <w:r>
        <w:t xml:space="preserve">, C., </w:t>
      </w:r>
      <w:proofErr w:type="spellStart"/>
      <w:r>
        <w:t>Böhles</w:t>
      </w:r>
      <w:proofErr w:type="spellEnd"/>
      <w:r>
        <w:t xml:space="preserve">, H., </w:t>
      </w:r>
      <w:proofErr w:type="spellStart"/>
      <w:r>
        <w:t>Campoy</w:t>
      </w:r>
      <w:proofErr w:type="spellEnd"/>
      <w:r>
        <w:t xml:space="preserve">, C., Cetin, I., ... &amp; </w:t>
      </w:r>
      <w:proofErr w:type="spellStart"/>
      <w:r>
        <w:t>Uauy</w:t>
      </w:r>
      <w:proofErr w:type="spellEnd"/>
      <w:r>
        <w:t xml:space="preserve"> </w:t>
      </w:r>
      <w:proofErr w:type="spellStart"/>
      <w:r>
        <w:t>Dagach-Imbarack</w:t>
      </w:r>
      <w:proofErr w:type="spellEnd"/>
      <w:r>
        <w:t xml:space="preserve">, R. (2008). The roles of long-chain polyunsaturated fatty acids in pregnancy, lactation and </w:t>
      </w:r>
      <w:proofErr w:type="gramStart"/>
      <w:r>
        <w:t>infancy :</w:t>
      </w:r>
      <w:proofErr w:type="gramEnd"/>
      <w:r>
        <w:t xml:space="preserve"> review of current knowledge and consensus recommendations.</w:t>
      </w:r>
    </w:p>
    <w:p w14:paraId="328041D7" w14:textId="77777777" w:rsidR="000C1AF7" w:rsidRDefault="000C1AF7" w:rsidP="00CC0279">
      <w:pPr>
        <w:pStyle w:val="Body"/>
        <w:jc w:val="left"/>
      </w:pPr>
      <w:r>
        <w:t>Karimova, S. F., &amp; Ismailova, G. O. (2023). Chemical composition of human and mammalian milk (A Review). Russian Journal of Bioorganic Chemistry, 49(6), 1263-1278.</w:t>
      </w:r>
    </w:p>
    <w:p w14:paraId="7D6A9970" w14:textId="77777777" w:rsidR="000C1AF7" w:rsidRDefault="000C1AF7" w:rsidP="00CC0279">
      <w:pPr>
        <w:pStyle w:val="Body"/>
        <w:jc w:val="left"/>
      </w:pPr>
      <w:r>
        <w:t xml:space="preserve">Lawrence, R. A., &amp; Lawrence, R. M. (2021). </w:t>
      </w:r>
      <w:proofErr w:type="gramStart"/>
      <w:r>
        <w:t>Breastfeeding :</w:t>
      </w:r>
      <w:proofErr w:type="gramEnd"/>
      <w:r>
        <w:t xml:space="preserve"> A guide for the medical professional. Elsevier Health Sciences.</w:t>
      </w:r>
    </w:p>
    <w:p w14:paraId="7D8D50B3" w14:textId="77777777" w:rsidR="000C1AF7" w:rsidRDefault="000C1AF7" w:rsidP="00CC0279">
      <w:pPr>
        <w:pStyle w:val="Body"/>
        <w:jc w:val="left"/>
      </w:pPr>
      <w:proofErr w:type="spellStart"/>
      <w:r>
        <w:t>Lönnerdal</w:t>
      </w:r>
      <w:proofErr w:type="spellEnd"/>
      <w:r>
        <w:t xml:space="preserve">, B. O. (2007). Trace element transport in the mammary gland. </w:t>
      </w:r>
      <w:proofErr w:type="spellStart"/>
      <w:r>
        <w:t>Annu</w:t>
      </w:r>
      <w:proofErr w:type="spellEnd"/>
      <w:r>
        <w:t xml:space="preserve">. Rev. </w:t>
      </w:r>
      <w:proofErr w:type="spellStart"/>
      <w:r>
        <w:t>Nutr</w:t>
      </w:r>
      <w:proofErr w:type="spellEnd"/>
      <w:r>
        <w:t>., 27, 165-177.</w:t>
      </w:r>
    </w:p>
    <w:p w14:paraId="315DDC56" w14:textId="77777777" w:rsidR="000C1AF7" w:rsidRDefault="000C1AF7" w:rsidP="00CC0279">
      <w:pPr>
        <w:pStyle w:val="Body"/>
        <w:jc w:val="left"/>
      </w:pPr>
      <w:r>
        <w:t xml:space="preserve">Liu, Y., Zhong, L., Sun, Z., Feng, Y., Ding, Q., &amp; Zhang, Y. (2025). N–3 Fatty Acid Supplementation in Mothers and Infants for Childhood Psychomotor and Cognitive </w:t>
      </w:r>
      <w:proofErr w:type="gramStart"/>
      <w:r>
        <w:t>Development :</w:t>
      </w:r>
      <w:proofErr w:type="gramEnd"/>
      <w:r>
        <w:t xml:space="preserve"> An Updated Systematic Review and Meta</w:t>
      </w:r>
      <w:r>
        <w:rPr>
          <w:rFonts w:ascii="Cambria Math" w:hAnsi="Cambria Math" w:cs="Cambria Math"/>
        </w:rPr>
        <w:t>‐</w:t>
      </w:r>
      <w:r>
        <w:t>Analysis. Maternal &amp; Child Nutrition, 21(2), e13767.</w:t>
      </w:r>
    </w:p>
    <w:p w14:paraId="78DAAC13" w14:textId="77777777" w:rsidR="000C1AF7" w:rsidRDefault="000C1AF7" w:rsidP="00CC0279">
      <w:pPr>
        <w:pStyle w:val="Body"/>
        <w:jc w:val="left"/>
      </w:pPr>
      <w:proofErr w:type="spellStart"/>
      <w:r>
        <w:t>Lutter</w:t>
      </w:r>
      <w:proofErr w:type="spellEnd"/>
      <w:r>
        <w:t>, C. K., &amp; Dewey, K. G. (2003). Proposed nutrient composition for fortified complementary foods. The Journal of nutrition, 133(9), 3011S-3020S.</w:t>
      </w:r>
    </w:p>
    <w:p w14:paraId="78085720" w14:textId="77777777" w:rsidR="000C1AF7" w:rsidRDefault="000C1AF7" w:rsidP="00CC0279">
      <w:pPr>
        <w:pStyle w:val="Body"/>
        <w:jc w:val="left"/>
      </w:pPr>
      <w:proofErr w:type="spellStart"/>
      <w:r>
        <w:t>Makrides</w:t>
      </w:r>
      <w:proofErr w:type="spellEnd"/>
      <w:r>
        <w:t xml:space="preserve">, M., Gibson, R. A., McPhee, A. J., Yelland, L., </w:t>
      </w:r>
      <w:proofErr w:type="spellStart"/>
      <w:r>
        <w:t>Quinlivan</w:t>
      </w:r>
      <w:proofErr w:type="spellEnd"/>
      <w:r>
        <w:t xml:space="preserve">, J., Ryan, P., &amp; </w:t>
      </w:r>
      <w:proofErr w:type="spellStart"/>
      <w:r>
        <w:t>DOMInO</w:t>
      </w:r>
      <w:proofErr w:type="spellEnd"/>
      <w:r>
        <w:t xml:space="preserve"> Investigative Team. (2010). Effect of DHA supplementation during pregnancy on maternal depression and neurodevelopment of young </w:t>
      </w:r>
      <w:proofErr w:type="gramStart"/>
      <w:r>
        <w:t>children :</w:t>
      </w:r>
      <w:proofErr w:type="gramEnd"/>
      <w:r>
        <w:t xml:space="preserve"> a randomized controlled trial. Jama, 304(15), 1675-1683.</w:t>
      </w:r>
    </w:p>
    <w:p w14:paraId="73035B23" w14:textId="77777777" w:rsidR="000C1AF7" w:rsidRDefault="000C1AF7" w:rsidP="00CC0279">
      <w:pPr>
        <w:pStyle w:val="Body"/>
        <w:jc w:val="left"/>
      </w:pPr>
      <w:r>
        <w:t xml:space="preserve">Nagel, E. M., Elgersma, K. M., Gallagher, T. T., Johnson, K. E., </w:t>
      </w:r>
      <w:proofErr w:type="spellStart"/>
      <w:r>
        <w:t>Demerath</w:t>
      </w:r>
      <w:proofErr w:type="spellEnd"/>
      <w:r>
        <w:t>, E., &amp; Gale, C. A. (2023). Importance of human milk for infants in the clinical setting: updates and mechanistic links. Nutrition in Clinical Practice, 38, S39-S55.</w:t>
      </w:r>
    </w:p>
    <w:p w14:paraId="62CC38EF" w14:textId="77777777" w:rsidR="000C1AF7" w:rsidRDefault="000C1AF7" w:rsidP="00CC0279">
      <w:pPr>
        <w:pStyle w:val="Body"/>
        <w:jc w:val="left"/>
      </w:pPr>
      <w:r>
        <w:t>Nickerson, K. (2006). Environmental contaminants in breast milk. Journal of midwifery &amp; women's health, 51(1), 26-34.</w:t>
      </w:r>
    </w:p>
    <w:p w14:paraId="4FB12654" w14:textId="77777777" w:rsidR="000C1AF7" w:rsidRDefault="000C1AF7" w:rsidP="00CC0279">
      <w:pPr>
        <w:pStyle w:val="Body"/>
        <w:jc w:val="left"/>
      </w:pPr>
      <w:proofErr w:type="spellStart"/>
      <w:r>
        <w:t>Perrella</w:t>
      </w:r>
      <w:proofErr w:type="spellEnd"/>
      <w:r>
        <w:t xml:space="preserve">, S., </w:t>
      </w:r>
      <w:proofErr w:type="spellStart"/>
      <w:r>
        <w:t>Gridneva</w:t>
      </w:r>
      <w:proofErr w:type="spellEnd"/>
      <w:r>
        <w:t>, Z., Lai, C. T., Stinson, L., George, A., Bilston-John, S., &amp; Geddes, D. (2021, March). Human milk composition promotes optimal infant growth, development and health. In Seminars in perinatology (Vol. 45, No. 2, p. 151380). WB Saunders.</w:t>
      </w:r>
    </w:p>
    <w:p w14:paraId="5A1847DF" w14:textId="77777777" w:rsidR="000C1AF7" w:rsidRDefault="000C1AF7" w:rsidP="00CC0279">
      <w:pPr>
        <w:pStyle w:val="Body"/>
        <w:jc w:val="left"/>
      </w:pPr>
      <w:proofErr w:type="spellStart"/>
      <w:r>
        <w:t>Picciano</w:t>
      </w:r>
      <w:proofErr w:type="spellEnd"/>
      <w:r>
        <w:t>, M. F. (2001). Nutrient composition of human milk. Pediatric Clinics of North America, 48(1), 53-67.</w:t>
      </w:r>
    </w:p>
    <w:p w14:paraId="708A0A4E" w14:textId="77777777" w:rsidR="000C1AF7" w:rsidRDefault="000C1AF7" w:rsidP="00CC0279">
      <w:pPr>
        <w:pStyle w:val="Body"/>
        <w:jc w:val="left"/>
      </w:pPr>
      <w:r>
        <w:lastRenderedPageBreak/>
        <w:t xml:space="preserve">Rice, A. L., Stoltzfus, R. J., de Francisco, A., Chakraborty, J., </w:t>
      </w:r>
      <w:proofErr w:type="spellStart"/>
      <w:r>
        <w:t>Kjolhede</w:t>
      </w:r>
      <w:proofErr w:type="spellEnd"/>
      <w:r>
        <w:t xml:space="preserve">, C. L., &amp; </w:t>
      </w:r>
      <w:proofErr w:type="spellStart"/>
      <w:r>
        <w:t>Wahed</w:t>
      </w:r>
      <w:proofErr w:type="spellEnd"/>
      <w:r>
        <w:t>, M. A. (1999). Maternal vitamin A or β-carotene supplementation in lactating Bangladeshi women benefits mothers and infants but does not prevent subclinical deficiency. The Journal of nutrition, 129(2), 356-365.</w:t>
      </w:r>
    </w:p>
    <w:p w14:paraId="7ABA396F" w14:textId="77777777" w:rsidR="000C1AF7" w:rsidRDefault="000C1AF7" w:rsidP="00CC0279">
      <w:pPr>
        <w:pStyle w:val="Body"/>
        <w:jc w:val="left"/>
      </w:pPr>
      <w:proofErr w:type="spellStart"/>
      <w:r>
        <w:t>Carretero</w:t>
      </w:r>
      <w:proofErr w:type="spellEnd"/>
      <w:r>
        <w:t xml:space="preserve">-Krug, A., Montero-Bravo, A., </w:t>
      </w:r>
      <w:proofErr w:type="spellStart"/>
      <w:r>
        <w:t>Morais</w:t>
      </w:r>
      <w:proofErr w:type="spellEnd"/>
      <w:r>
        <w:t xml:space="preserve">-Moreno, C., </w:t>
      </w:r>
      <w:proofErr w:type="spellStart"/>
      <w:r>
        <w:t>Puga</w:t>
      </w:r>
      <w:proofErr w:type="spellEnd"/>
      <w:r>
        <w:t>, A. M., Samaniego-</w:t>
      </w:r>
      <w:proofErr w:type="spellStart"/>
      <w:r>
        <w:t>Vaesken</w:t>
      </w:r>
      <w:proofErr w:type="spellEnd"/>
      <w:r>
        <w:t xml:space="preserve">, M. D. L., </w:t>
      </w:r>
      <w:proofErr w:type="spellStart"/>
      <w:r>
        <w:t>Partearroyo</w:t>
      </w:r>
      <w:proofErr w:type="spellEnd"/>
      <w:r>
        <w:t>, T., &amp; Varela-</w:t>
      </w:r>
      <w:proofErr w:type="spellStart"/>
      <w:r>
        <w:t>Moreiras</w:t>
      </w:r>
      <w:proofErr w:type="spellEnd"/>
      <w:r>
        <w:t xml:space="preserve">, G. (2024). Nutritional status of breastfeeding mothers and impact of diet and dietary </w:t>
      </w:r>
      <w:proofErr w:type="gramStart"/>
      <w:r>
        <w:t>supplementation :</w:t>
      </w:r>
      <w:proofErr w:type="gramEnd"/>
      <w:r>
        <w:t xml:space="preserve"> a narrative review. Nutrients, 16(2), 301.</w:t>
      </w:r>
    </w:p>
    <w:p w14:paraId="553A5521" w14:textId="77777777" w:rsidR="000C1AF7" w:rsidRDefault="000C1AF7" w:rsidP="00CC0279">
      <w:pPr>
        <w:pStyle w:val="Body"/>
        <w:jc w:val="left"/>
      </w:pPr>
      <w:proofErr w:type="spellStart"/>
      <w:r>
        <w:t>Kinshella</w:t>
      </w:r>
      <w:proofErr w:type="spellEnd"/>
      <w:r>
        <w:t xml:space="preserve">, M. L. W., Omar, S., </w:t>
      </w:r>
      <w:proofErr w:type="spellStart"/>
      <w:r>
        <w:t>Scherbinsky</w:t>
      </w:r>
      <w:proofErr w:type="spellEnd"/>
      <w:r>
        <w:t xml:space="preserve">, K., Vidler, M., Magee, L. A., Von </w:t>
      </w:r>
      <w:proofErr w:type="spellStart"/>
      <w:r>
        <w:t>Dadelszen</w:t>
      </w:r>
      <w:proofErr w:type="spellEnd"/>
      <w:r>
        <w:t xml:space="preserve">, P., ... &amp; </w:t>
      </w:r>
      <w:proofErr w:type="spellStart"/>
      <w:r>
        <w:t>Elango</w:t>
      </w:r>
      <w:proofErr w:type="spellEnd"/>
      <w:r>
        <w:t xml:space="preserve">, R. (2021). Maternal dietary patterns and pregnancy hypertension in low-and middle-income </w:t>
      </w:r>
      <w:proofErr w:type="gramStart"/>
      <w:r>
        <w:t>countries :</w:t>
      </w:r>
      <w:proofErr w:type="gramEnd"/>
      <w:r>
        <w:t xml:space="preserve"> a systematic review and meta-analysis. Advances in Nutrition, 12(6), 2387-2400.</w:t>
      </w:r>
    </w:p>
    <w:p w14:paraId="39E0ABEE" w14:textId="77777777" w:rsidR="000C1AF7" w:rsidRDefault="000C1AF7" w:rsidP="00CC0279">
      <w:pPr>
        <w:pStyle w:val="Body"/>
        <w:jc w:val="left"/>
      </w:pPr>
      <w:proofErr w:type="spellStart"/>
      <w:r>
        <w:t>Wessells</w:t>
      </w:r>
      <w:proofErr w:type="spellEnd"/>
      <w:r>
        <w:t xml:space="preserve">, K. R., &amp; Brown, K. H. (2012). Estimating the global prevalence of zinc </w:t>
      </w:r>
      <w:proofErr w:type="gramStart"/>
      <w:r>
        <w:t>deficiency :</w:t>
      </w:r>
      <w:proofErr w:type="gramEnd"/>
      <w:r>
        <w:t xml:space="preserve"> results based on zinc availability in national food supplies and the prevalence of stunting. </w:t>
      </w:r>
      <w:proofErr w:type="spellStart"/>
      <w:r>
        <w:t>PloS</w:t>
      </w:r>
      <w:proofErr w:type="spellEnd"/>
      <w:r>
        <w:t xml:space="preserve"> one, 7(11), e50568.</w:t>
      </w:r>
    </w:p>
    <w:p w14:paraId="7B30943C" w14:textId="77777777" w:rsidR="000C1AF7" w:rsidRDefault="000C1AF7" w:rsidP="00CC0279">
      <w:pPr>
        <w:pStyle w:val="Body"/>
        <w:jc w:val="left"/>
      </w:pPr>
      <w:r>
        <w:t>World Health Organization. (2011). Exclusive breastfeeding for six months best for babies everywhere.</w:t>
      </w:r>
    </w:p>
    <w:p w14:paraId="11B3CCA4" w14:textId="77777777" w:rsidR="00441B6F" w:rsidRDefault="000C1AF7" w:rsidP="00CC0279">
      <w:pPr>
        <w:pStyle w:val="Body"/>
        <w:spacing w:after="0"/>
        <w:jc w:val="left"/>
        <w:rPr>
          <w:rFonts w:ascii="Arial" w:hAnsi="Arial" w:cs="Arial"/>
        </w:rPr>
      </w:pPr>
      <w:r>
        <w:t>Zimmermann, M. B. (2009). Iodine deficiency. Endocrine Reviews, 30(4), 376-408. https://doi.org/10.1210/er.2009-0011</w:t>
      </w:r>
    </w:p>
    <w:p w14:paraId="39BE7962" w14:textId="77777777" w:rsidR="00B01FCD" w:rsidRPr="00FB3A86" w:rsidRDefault="00B01FCD" w:rsidP="00CC0279">
      <w:pPr>
        <w:pStyle w:val="Reference"/>
        <w:numPr>
          <w:ilvl w:val="0"/>
          <w:numId w:val="0"/>
        </w:numPr>
        <w:spacing w:line="240" w:lineRule="auto"/>
        <w:jc w:val="left"/>
        <w:rPr>
          <w:rFonts w:ascii="Arial" w:hAnsi="Arial" w:cs="Arial"/>
        </w:rPr>
      </w:pPr>
    </w:p>
    <w:p w14:paraId="5B437B38" w14:textId="77777777" w:rsidR="00B01FCD" w:rsidRDefault="00B01FCD" w:rsidP="00CC0279">
      <w:pPr>
        <w:pStyle w:val="Body"/>
        <w:spacing w:after="0"/>
        <w:jc w:val="left"/>
        <w:rPr>
          <w:rFonts w:ascii="Arial" w:hAnsi="Arial" w:cs="Arial"/>
        </w:rPr>
      </w:pPr>
    </w:p>
    <w:p w14:paraId="46DAEC49" w14:textId="77777777" w:rsidR="00790ADA" w:rsidRPr="00FB3A86" w:rsidRDefault="00790ADA" w:rsidP="00CC0279">
      <w:pPr>
        <w:pStyle w:val="Body"/>
        <w:spacing w:after="0"/>
        <w:jc w:val="left"/>
        <w:rPr>
          <w:rFonts w:ascii="Arial" w:hAnsi="Arial" w:cs="Arial"/>
        </w:rPr>
      </w:pPr>
    </w:p>
    <w:p w14:paraId="57A7774C" w14:textId="77777777" w:rsidR="004D4277" w:rsidRPr="00FB3A86" w:rsidRDefault="000C1AF7" w:rsidP="00CC0279">
      <w:pPr>
        <w:pStyle w:val="Appendix"/>
        <w:spacing w:after="0"/>
        <w:rPr>
          <w:rFonts w:ascii="Arial" w:hAnsi="Arial" w:cs="Arial"/>
          <w:b w:val="0"/>
        </w:rPr>
        <w:sectPr w:rsidR="004D4277" w:rsidRPr="00FB3A86" w:rsidSect="00E1563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Pr>
          <w:rFonts w:ascii="Arial" w:hAnsi="Arial" w:cs="Arial"/>
        </w:rPr>
        <w:t xml:space="preserve"> </w:t>
      </w:r>
    </w:p>
    <w:p w14:paraId="4E988316" w14:textId="77777777" w:rsidR="00B01FCD" w:rsidRPr="00FB3A86" w:rsidRDefault="00B01FCD" w:rsidP="00CC0279">
      <w:pPr>
        <w:pStyle w:val="Appendix"/>
        <w:spacing w:after="0"/>
        <w:rPr>
          <w:rFonts w:ascii="Arial" w:hAnsi="Arial" w:cs="Arial"/>
          <w:b w:val="0"/>
        </w:rPr>
      </w:pPr>
    </w:p>
    <w:sectPr w:rsidR="00B01FCD" w:rsidRPr="00FB3A86" w:rsidSect="00E156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E75D6" w14:textId="77777777" w:rsidR="006B2F96" w:rsidRDefault="006B2F96" w:rsidP="00C37E61">
      <w:r>
        <w:separator/>
      </w:r>
    </w:p>
  </w:endnote>
  <w:endnote w:type="continuationSeparator" w:id="0">
    <w:p w14:paraId="55715D8C" w14:textId="77777777" w:rsidR="006B2F96" w:rsidRDefault="006B2F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77F2E" w14:textId="77777777" w:rsidR="00E15632" w:rsidRDefault="00E15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6847" w14:textId="77777777" w:rsidR="00E15632" w:rsidRDefault="00E15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4E2E9" w14:textId="11761788" w:rsidR="00754C9A" w:rsidRPr="00E15632" w:rsidRDefault="00754C9A" w:rsidP="00E1563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408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1A2BA" w14:textId="77777777" w:rsidR="006B2F96" w:rsidRDefault="006B2F96" w:rsidP="00C37E61">
      <w:r>
        <w:separator/>
      </w:r>
    </w:p>
  </w:footnote>
  <w:footnote w:type="continuationSeparator" w:id="0">
    <w:p w14:paraId="7DBDC115" w14:textId="77777777" w:rsidR="006B2F96" w:rsidRDefault="006B2F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793D7" w14:textId="6F2CC8AF" w:rsidR="00E15632" w:rsidRDefault="00E15632">
    <w:pPr>
      <w:pStyle w:val="Header"/>
    </w:pPr>
    <w:r>
      <w:rPr>
        <w:noProof/>
      </w:rPr>
      <w:pict w14:anchorId="72598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6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A2816" w14:textId="631705DF" w:rsidR="00E15632" w:rsidRDefault="00E15632">
    <w:pPr>
      <w:pStyle w:val="Header"/>
    </w:pPr>
    <w:r>
      <w:rPr>
        <w:noProof/>
      </w:rPr>
      <w:pict w14:anchorId="77C1D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6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D2761" w14:textId="06B07758" w:rsidR="00296529" w:rsidRPr="00296529" w:rsidRDefault="00E15632" w:rsidP="00296529">
    <w:pPr>
      <w:ind w:left="2160"/>
      <w:jc w:val="center"/>
      <w:rPr>
        <w:rFonts w:ascii="Times New Roman" w:eastAsia="Calibri" w:hAnsi="Times New Roman"/>
        <w:i/>
        <w:sz w:val="18"/>
        <w:szCs w:val="22"/>
      </w:rPr>
    </w:pPr>
    <w:r>
      <w:rPr>
        <w:noProof/>
      </w:rPr>
      <w:pict w14:anchorId="4505B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6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DC6F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B17B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DE85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A41F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57F1D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E5CE9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1BA0" w14:textId="4774CAD0" w:rsidR="00E15632" w:rsidRDefault="00E15632">
    <w:pPr>
      <w:pStyle w:val="Header"/>
    </w:pPr>
    <w:r>
      <w:rPr>
        <w:noProof/>
      </w:rPr>
      <w:pict w14:anchorId="2979F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6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4ABA" w14:textId="14A823E7" w:rsidR="00E15632" w:rsidRDefault="00E15632">
    <w:pPr>
      <w:pStyle w:val="Header"/>
    </w:pPr>
    <w:r>
      <w:rPr>
        <w:noProof/>
      </w:rPr>
      <w:pict w14:anchorId="79859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6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7D46" w14:textId="589B5854" w:rsidR="00E15632" w:rsidRDefault="00E15632">
    <w:pPr>
      <w:pStyle w:val="Header"/>
    </w:pPr>
    <w:r>
      <w:rPr>
        <w:noProof/>
      </w:rPr>
      <w:pict w14:anchorId="423A7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6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074D8"/>
    <w:multiLevelType w:val="hybridMultilevel"/>
    <w:tmpl w:val="88E06996"/>
    <w:lvl w:ilvl="0" w:tplc="075A83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C1AF7"/>
    <w:rsid w:val="000D689F"/>
    <w:rsid w:val="000E7B7B"/>
    <w:rsid w:val="000E7D62"/>
    <w:rsid w:val="00103357"/>
    <w:rsid w:val="00106C9C"/>
    <w:rsid w:val="00123C9F"/>
    <w:rsid w:val="00126190"/>
    <w:rsid w:val="00130F17"/>
    <w:rsid w:val="001320BF"/>
    <w:rsid w:val="00157D33"/>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424"/>
    <w:rsid w:val="00283105"/>
    <w:rsid w:val="00284C4C"/>
    <w:rsid w:val="00287E68"/>
    <w:rsid w:val="00296529"/>
    <w:rsid w:val="002A3EC6"/>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39CF"/>
    <w:rsid w:val="00423789"/>
    <w:rsid w:val="00440F43"/>
    <w:rsid w:val="00441B6F"/>
    <w:rsid w:val="00446221"/>
    <w:rsid w:val="00450E62"/>
    <w:rsid w:val="004539DB"/>
    <w:rsid w:val="00471A80"/>
    <w:rsid w:val="004D305E"/>
    <w:rsid w:val="004D4277"/>
    <w:rsid w:val="00502516"/>
    <w:rsid w:val="00505F06"/>
    <w:rsid w:val="00506828"/>
    <w:rsid w:val="0053056E"/>
    <w:rsid w:val="00553007"/>
    <w:rsid w:val="00554FDA"/>
    <w:rsid w:val="005C784C"/>
    <w:rsid w:val="005D17F6"/>
    <w:rsid w:val="005E5539"/>
    <w:rsid w:val="00602BF5"/>
    <w:rsid w:val="006152B5"/>
    <w:rsid w:val="00617FDD"/>
    <w:rsid w:val="00633614"/>
    <w:rsid w:val="00633F68"/>
    <w:rsid w:val="00636EB2"/>
    <w:rsid w:val="006375B8"/>
    <w:rsid w:val="0066510A"/>
    <w:rsid w:val="00673F9F"/>
    <w:rsid w:val="00686953"/>
    <w:rsid w:val="00687DEA"/>
    <w:rsid w:val="00687E67"/>
    <w:rsid w:val="006967F7"/>
    <w:rsid w:val="006A250C"/>
    <w:rsid w:val="006B21D3"/>
    <w:rsid w:val="006B2F96"/>
    <w:rsid w:val="006B57D0"/>
    <w:rsid w:val="006C2084"/>
    <w:rsid w:val="006D30FF"/>
    <w:rsid w:val="006D6940"/>
    <w:rsid w:val="006F11EC"/>
    <w:rsid w:val="0070082C"/>
    <w:rsid w:val="007369E6"/>
    <w:rsid w:val="00746E59"/>
    <w:rsid w:val="00754C9A"/>
    <w:rsid w:val="0075599A"/>
    <w:rsid w:val="00761D52"/>
    <w:rsid w:val="007641AC"/>
    <w:rsid w:val="00764640"/>
    <w:rsid w:val="0077749E"/>
    <w:rsid w:val="00782A50"/>
    <w:rsid w:val="00790ADA"/>
    <w:rsid w:val="007D2288"/>
    <w:rsid w:val="007D4DD5"/>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67F"/>
    <w:rsid w:val="008F69D6"/>
    <w:rsid w:val="00902823"/>
    <w:rsid w:val="00915CA6"/>
    <w:rsid w:val="00927834"/>
    <w:rsid w:val="009500A6"/>
    <w:rsid w:val="00957C18"/>
    <w:rsid w:val="009659BA"/>
    <w:rsid w:val="00983040"/>
    <w:rsid w:val="009B3FB9"/>
    <w:rsid w:val="009C1A61"/>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047D"/>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27E3"/>
    <w:rsid w:val="00CC0279"/>
    <w:rsid w:val="00CD6755"/>
    <w:rsid w:val="00CD6856"/>
    <w:rsid w:val="00CE0089"/>
    <w:rsid w:val="00CE793C"/>
    <w:rsid w:val="00CF193C"/>
    <w:rsid w:val="00D173F1"/>
    <w:rsid w:val="00D74CB0"/>
    <w:rsid w:val="00D8295D"/>
    <w:rsid w:val="00DC2A65"/>
    <w:rsid w:val="00DE15F0"/>
    <w:rsid w:val="00DE5663"/>
    <w:rsid w:val="00DE78AA"/>
    <w:rsid w:val="00E053D0"/>
    <w:rsid w:val="00E15632"/>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576E0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A3E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2A3EC6"/>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A3EC6"/>
    <w:pPr>
      <w:spacing w:after="160" w:line="259" w:lineRule="auto"/>
      <w:ind w:left="720"/>
      <w:contextualSpacing/>
    </w:pPr>
    <w:rPr>
      <w:rFonts w:asciiTheme="minorHAnsi" w:eastAsiaTheme="minorHAnsi" w:hAnsiTheme="minorHAnsi" w:cstheme="minorBidi"/>
      <w:sz w:val="22"/>
      <w:szCs w:val="22"/>
      <w:lang w:val="fr-FR"/>
    </w:rPr>
  </w:style>
  <w:style w:type="paragraph" w:styleId="NormalWeb">
    <w:name w:val="Normal (Web)"/>
    <w:basedOn w:val="Normal"/>
    <w:uiPriority w:val="99"/>
    <w:semiHidden/>
    <w:unhideWhenUsed/>
    <w:rsid w:val="000C1AF7"/>
    <w:pPr>
      <w:spacing w:before="100" w:beforeAutospacing="1" w:after="100" w:afterAutospacing="1"/>
    </w:pPr>
    <w:rPr>
      <w:rFonts w:ascii="Times New Roman" w:hAnsi="Times New Roman"/>
      <w:sz w:val="24"/>
      <w:szCs w:val="24"/>
      <w:lang w:val="fr-FR" w:eastAsia="fr-FR"/>
    </w:rPr>
  </w:style>
  <w:style w:type="character" w:styleId="UnresolvedMention">
    <w:name w:val="Unresolved Mention"/>
    <w:basedOn w:val="DefaultParagraphFont"/>
    <w:uiPriority w:val="99"/>
    <w:semiHidden/>
    <w:unhideWhenUsed/>
    <w:rsid w:val="007D4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07330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A4EA6-A146-41B5-9FF8-FF6E7AF2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12</Pages>
  <Words>5578</Words>
  <Characters>31800</Characters>
  <Application>Microsoft Office Word</Application>
  <DocSecurity>0</DocSecurity>
  <Lines>265</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37304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2025-10-12T22:25:00Z</dcterms:created>
  <dcterms:modified xsi:type="dcterms:W3CDTF">2025-10-14T07:12:00Z</dcterms:modified>
</cp:coreProperties>
</file>