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937F91" w14:textId="5AB18D5B" w:rsidR="00DF4516" w:rsidRPr="00DF4516" w:rsidRDefault="00DF4516" w:rsidP="00587614">
      <w:pPr>
        <w:spacing w:before="100" w:beforeAutospacing="1" w:after="100" w:afterAutospacing="1" w:line="360" w:lineRule="auto"/>
        <w:jc w:val="both"/>
        <w:outlineLvl w:val="2"/>
        <w:rPr>
          <w:rFonts w:ascii="Times New Roman" w:eastAsia="Times New Roman" w:hAnsi="Times New Roman" w:cs="Times New Roman"/>
          <w:b/>
          <w:bCs/>
          <w:sz w:val="24"/>
          <w:szCs w:val="24"/>
          <w:u w:val="single"/>
          <w:lang w:eastAsia="en-IN"/>
        </w:rPr>
      </w:pPr>
      <w:r w:rsidRPr="00DF4516">
        <w:rPr>
          <w:rFonts w:ascii="Times New Roman" w:eastAsia="Times New Roman" w:hAnsi="Times New Roman" w:cs="Times New Roman"/>
          <w:b/>
          <w:bCs/>
          <w:sz w:val="24"/>
          <w:szCs w:val="24"/>
          <w:u w:val="single"/>
          <w:lang w:eastAsia="en-IN"/>
        </w:rPr>
        <w:t>Minireview Article</w:t>
      </w:r>
    </w:p>
    <w:p w14:paraId="7388621A" w14:textId="2A89D3EA" w:rsidR="004E072F" w:rsidRDefault="004E072F" w:rsidP="00587614">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sidRPr="004E072F">
        <w:rPr>
          <w:rFonts w:ascii="Times New Roman" w:eastAsia="Times New Roman" w:hAnsi="Times New Roman" w:cs="Times New Roman"/>
          <w:b/>
          <w:bCs/>
          <w:sz w:val="24"/>
          <w:szCs w:val="24"/>
          <w:lang w:eastAsia="en-IN"/>
        </w:rPr>
        <w:t>Integration of Sprinkler Technology and Precision Irrigation for Enhanced Resource Management in Crop Production: A Review</w:t>
      </w:r>
    </w:p>
    <w:p w14:paraId="3DF5B934" w14:textId="77777777" w:rsidR="000D2320" w:rsidRDefault="000D2320" w:rsidP="000D2320">
      <w:pPr>
        <w:rPr>
          <w:color w:val="000000" w:themeColor="text1"/>
          <w:sz w:val="20"/>
          <w:szCs w:val="18"/>
          <w:shd w:val="clear" w:color="auto" w:fill="FFFFFF"/>
        </w:rPr>
      </w:pPr>
    </w:p>
    <w:p w14:paraId="767531A0" w14:textId="50072A7C" w:rsidR="00587614" w:rsidRPr="00587614" w:rsidRDefault="00587614" w:rsidP="000D2320">
      <w:pPr>
        <w:rPr>
          <w:rFonts w:ascii="Times New Roman" w:eastAsia="Times New Roman" w:hAnsi="Times New Roman" w:cs="Times New Roman"/>
          <w:b/>
          <w:bCs/>
          <w:sz w:val="24"/>
          <w:szCs w:val="24"/>
          <w:lang w:eastAsia="en-IN"/>
        </w:rPr>
      </w:pPr>
      <w:r w:rsidRPr="00587614">
        <w:rPr>
          <w:rFonts w:ascii="Times New Roman" w:eastAsia="Times New Roman" w:hAnsi="Times New Roman" w:cs="Times New Roman"/>
          <w:b/>
          <w:bCs/>
          <w:sz w:val="24"/>
          <w:szCs w:val="24"/>
          <w:lang w:eastAsia="en-IN"/>
        </w:rPr>
        <w:t>Abstract</w:t>
      </w:r>
    </w:p>
    <w:p w14:paraId="08FDD09F" w14:textId="77777777" w:rsidR="00587614" w:rsidRPr="00587614" w:rsidRDefault="00587614" w:rsidP="00587614">
      <w:pPr>
        <w:spacing w:before="100" w:beforeAutospacing="1" w:after="100" w:afterAutospacing="1" w:line="360" w:lineRule="auto"/>
        <w:jc w:val="both"/>
        <w:rPr>
          <w:rFonts w:ascii="Times New Roman" w:eastAsia="Times New Roman" w:hAnsi="Times New Roman" w:cs="Times New Roman"/>
          <w:sz w:val="24"/>
          <w:szCs w:val="24"/>
          <w:lang w:eastAsia="en-IN"/>
        </w:rPr>
      </w:pPr>
      <w:r w:rsidRPr="00587614">
        <w:rPr>
          <w:rFonts w:ascii="Times New Roman" w:eastAsia="Times New Roman" w:hAnsi="Times New Roman" w:cs="Times New Roman"/>
          <w:sz w:val="24"/>
          <w:szCs w:val="24"/>
          <w:lang w:eastAsia="en-IN"/>
        </w:rPr>
        <w:t>The non-judicious allocation of water resources at the farm level, predominantly through traditional irrigation methods, presents a critical challenge to global sustainability, particularly given that the agricultural sector consumes in excess of 70% of available freshwater. Enhancing application efficiency through the deployment of advanced pressurized techniques, specifically sprinkler irrigation, is an essential strategy for mitigation. This review systematically assesses the evolution of sprinkler technology and its critical convergence with precision irrigation (PI) methodologies. A modified literature exploration, guided by principles derived from PRISMA 2020 guidelines, was employed to synthesize primary research focusing on quantitative outcomes. Findings confirm that traditional sprinkl</w:t>
      </w:r>
      <w:r>
        <w:rPr>
          <w:rFonts w:ascii="Times New Roman" w:eastAsia="Times New Roman" w:hAnsi="Times New Roman" w:cs="Times New Roman"/>
          <w:sz w:val="24"/>
          <w:szCs w:val="24"/>
          <w:lang w:eastAsia="en-IN"/>
        </w:rPr>
        <w:t xml:space="preserve">er systems achieve a remarkable </w:t>
      </w:r>
      <w:r w:rsidRPr="00587614">
        <w:rPr>
          <w:rFonts w:ascii="Times New Roman" w:eastAsia="Times New Roman" w:hAnsi="Times New Roman" w:cs="Times New Roman"/>
          <w:sz w:val="24"/>
          <w:szCs w:val="24"/>
          <w:lang w:eastAsia="en-IN"/>
        </w:rPr>
        <w:t>39% reduction in water consumption and elevate water productivity by over 14.1% when contrasted with surface gravity systems. Furthermore, the technological apex is reached when sprinkler application is coupled with PI automation and sensor integration. Suc</w:t>
      </w:r>
      <w:r>
        <w:rPr>
          <w:rFonts w:ascii="Times New Roman" w:eastAsia="Times New Roman" w:hAnsi="Times New Roman" w:cs="Times New Roman"/>
          <w:sz w:val="24"/>
          <w:szCs w:val="24"/>
          <w:lang w:eastAsia="en-IN"/>
        </w:rPr>
        <w:t xml:space="preserve">h systems realize an additional </w:t>
      </w:r>
      <w:r w:rsidRPr="00587614">
        <w:rPr>
          <w:rFonts w:ascii="Times New Roman" w:eastAsia="Times New Roman" w:hAnsi="Times New Roman" w:cs="Times New Roman"/>
          <w:sz w:val="24"/>
          <w:szCs w:val="24"/>
          <w:lang w:eastAsia="en-IN"/>
        </w:rPr>
        <w:t xml:space="preserve">20−30% water saving and contribute to significant crop yield increases, ranging from 20% to 27.5%. Critical technological domains </w:t>
      </w:r>
      <w:proofErr w:type="spellStart"/>
      <w:r w:rsidRPr="00587614">
        <w:rPr>
          <w:rFonts w:ascii="Times New Roman" w:eastAsia="Times New Roman" w:hAnsi="Times New Roman" w:cs="Times New Roman"/>
          <w:sz w:val="24"/>
          <w:szCs w:val="24"/>
          <w:lang w:eastAsia="en-IN"/>
        </w:rPr>
        <w:t>analyzed</w:t>
      </w:r>
      <w:proofErr w:type="spellEnd"/>
      <w:r w:rsidRPr="00587614">
        <w:rPr>
          <w:rFonts w:ascii="Times New Roman" w:eastAsia="Times New Roman" w:hAnsi="Times New Roman" w:cs="Times New Roman"/>
          <w:sz w:val="24"/>
          <w:szCs w:val="24"/>
          <w:lang w:eastAsia="en-IN"/>
        </w:rPr>
        <w:t xml:space="preserve"> include the optimization of mechanical systems (</w:t>
      </w:r>
      <w:proofErr w:type="spellStart"/>
      <w:r w:rsidRPr="00587614">
        <w:rPr>
          <w:rFonts w:ascii="Times New Roman" w:eastAsia="Times New Roman" w:hAnsi="Times New Roman" w:cs="Times New Roman"/>
          <w:sz w:val="24"/>
          <w:szCs w:val="24"/>
          <w:lang w:eastAsia="en-IN"/>
        </w:rPr>
        <w:t>Center</w:t>
      </w:r>
      <w:proofErr w:type="spellEnd"/>
      <w:r w:rsidRPr="00587614">
        <w:rPr>
          <w:rFonts w:ascii="Times New Roman" w:eastAsia="Times New Roman" w:hAnsi="Times New Roman" w:cs="Times New Roman"/>
          <w:sz w:val="24"/>
          <w:szCs w:val="24"/>
          <w:lang w:eastAsia="en-IN"/>
        </w:rPr>
        <w:t xml:space="preserve"> Pivot and Linear Mover), the innovation in low-pressure hydraulic nozzles, and the development of responsive control systems, such as Model Predictive Control (MPC). The study underscores that future research must prioritize developing easily adoptable, cost-effective advanced control algorithms and refine nozzle hydraulics to reliably minimize wind drift and evaporation losses, which often compromise application efficiency.   </w:t>
      </w:r>
    </w:p>
    <w:p w14:paraId="0C39233B" w14:textId="71DEFD3B" w:rsidR="00587614" w:rsidRDefault="00587614" w:rsidP="00587614">
      <w:pPr>
        <w:spacing w:before="100" w:beforeAutospacing="1" w:after="100" w:afterAutospacing="1" w:line="240" w:lineRule="auto"/>
        <w:rPr>
          <w:rFonts w:ascii="Times New Roman" w:eastAsia="Times New Roman" w:hAnsi="Times New Roman" w:cs="Times New Roman"/>
          <w:lang w:eastAsia="en-IN"/>
        </w:rPr>
      </w:pPr>
      <w:r w:rsidRPr="00587614">
        <w:rPr>
          <w:rFonts w:ascii="Times New Roman" w:eastAsia="Times New Roman" w:hAnsi="Times New Roman" w:cs="Times New Roman"/>
          <w:b/>
          <w:bCs/>
          <w:lang w:eastAsia="en-IN"/>
        </w:rPr>
        <w:t>Keywords:</w:t>
      </w:r>
      <w:r w:rsidRPr="00587614">
        <w:rPr>
          <w:rFonts w:ascii="Times New Roman" w:eastAsia="Times New Roman" w:hAnsi="Times New Roman" w:cs="Times New Roman"/>
          <w:lang w:eastAsia="en-IN"/>
        </w:rPr>
        <w:t xml:space="preserve"> Application efficiency, Sprinkler types, Irrigation automation, Variable rate irrigation (VRI), Low-pressure nozzles, Model Predictive Control (MPC).   </w:t>
      </w:r>
    </w:p>
    <w:p w14:paraId="12A5C44F" w14:textId="7C68D88C" w:rsidR="00813D2E" w:rsidRDefault="00813D2E" w:rsidP="00587614">
      <w:pPr>
        <w:spacing w:before="100" w:beforeAutospacing="1" w:after="100" w:afterAutospacing="1" w:line="240" w:lineRule="auto"/>
        <w:rPr>
          <w:rFonts w:ascii="Times New Roman" w:eastAsia="Times New Roman" w:hAnsi="Times New Roman" w:cs="Times New Roman"/>
          <w:lang w:eastAsia="en-IN"/>
        </w:rPr>
      </w:pPr>
    </w:p>
    <w:p w14:paraId="5D48687F" w14:textId="3DDDB0DF" w:rsidR="00813D2E" w:rsidRDefault="00813D2E" w:rsidP="00587614">
      <w:pPr>
        <w:spacing w:before="100" w:beforeAutospacing="1" w:after="100" w:afterAutospacing="1" w:line="240" w:lineRule="auto"/>
        <w:rPr>
          <w:rFonts w:ascii="Times New Roman" w:eastAsia="Times New Roman" w:hAnsi="Times New Roman" w:cs="Times New Roman"/>
          <w:lang w:eastAsia="en-IN"/>
        </w:rPr>
      </w:pPr>
    </w:p>
    <w:p w14:paraId="7CD72197" w14:textId="77777777" w:rsidR="00813D2E" w:rsidRPr="00587614" w:rsidRDefault="00813D2E" w:rsidP="00587614">
      <w:pPr>
        <w:spacing w:before="100" w:beforeAutospacing="1" w:after="100" w:afterAutospacing="1" w:line="240" w:lineRule="auto"/>
        <w:rPr>
          <w:rFonts w:ascii="Times New Roman" w:eastAsia="Times New Roman" w:hAnsi="Times New Roman" w:cs="Times New Roman"/>
          <w:lang w:eastAsia="en-IN"/>
        </w:rPr>
      </w:pPr>
      <w:bookmarkStart w:id="0" w:name="_GoBack"/>
      <w:bookmarkEnd w:id="0"/>
    </w:p>
    <w:p w14:paraId="07093C25" w14:textId="77777777" w:rsidR="00587614" w:rsidRPr="00587614" w:rsidRDefault="00587614" w:rsidP="00587614">
      <w:pPr>
        <w:spacing w:line="360" w:lineRule="auto"/>
        <w:rPr>
          <w:rFonts w:ascii="Times New Roman" w:hAnsi="Times New Roman" w:cs="Times New Roman"/>
          <w:b/>
          <w:sz w:val="24"/>
          <w:szCs w:val="24"/>
        </w:rPr>
      </w:pPr>
      <w:r w:rsidRPr="00587614">
        <w:rPr>
          <w:rFonts w:ascii="Times New Roman" w:hAnsi="Times New Roman" w:cs="Times New Roman"/>
          <w:b/>
          <w:sz w:val="24"/>
          <w:szCs w:val="24"/>
        </w:rPr>
        <w:lastRenderedPageBreak/>
        <w:t>1. Introduction: Addressing Global Water Scarcity through Efficient Irrigation Technologies</w:t>
      </w:r>
    </w:p>
    <w:p w14:paraId="08550347" w14:textId="77777777" w:rsidR="00587614" w:rsidRPr="00587614" w:rsidRDefault="00587614" w:rsidP="00587614">
      <w:pPr>
        <w:spacing w:line="360" w:lineRule="auto"/>
        <w:rPr>
          <w:rFonts w:ascii="Times New Roman" w:hAnsi="Times New Roman" w:cs="Times New Roman"/>
          <w:b/>
          <w:sz w:val="24"/>
          <w:szCs w:val="24"/>
        </w:rPr>
      </w:pPr>
      <w:r w:rsidRPr="00587614">
        <w:rPr>
          <w:rFonts w:ascii="Times New Roman" w:hAnsi="Times New Roman" w:cs="Times New Roman"/>
          <w:b/>
          <w:sz w:val="24"/>
          <w:szCs w:val="24"/>
        </w:rPr>
        <w:t>1.1. Context and Global Imperatives in Irrigated Agriculture</w:t>
      </w:r>
    </w:p>
    <w:p w14:paraId="406B783C" w14:textId="214A11E9" w:rsidR="00587614" w:rsidRPr="00587614" w:rsidRDefault="00587614" w:rsidP="00587614">
      <w:pPr>
        <w:spacing w:line="360" w:lineRule="auto"/>
        <w:jc w:val="both"/>
        <w:rPr>
          <w:rFonts w:ascii="Times New Roman" w:hAnsi="Times New Roman" w:cs="Times New Roman"/>
          <w:sz w:val="24"/>
          <w:szCs w:val="24"/>
        </w:rPr>
      </w:pPr>
      <w:r w:rsidRPr="00587614">
        <w:rPr>
          <w:rFonts w:ascii="Times New Roman" w:hAnsi="Times New Roman" w:cs="Times New Roman"/>
          <w:sz w:val="24"/>
          <w:szCs w:val="24"/>
        </w:rPr>
        <w:t>Global food security is intrinsically linked to the eff</w:t>
      </w:r>
      <w:r>
        <w:rPr>
          <w:rFonts w:ascii="Times New Roman" w:hAnsi="Times New Roman" w:cs="Times New Roman"/>
          <w:sz w:val="24"/>
          <w:szCs w:val="24"/>
        </w:rPr>
        <w:t xml:space="preserve">icient management of freshwater </w:t>
      </w:r>
      <w:r w:rsidRPr="00587614">
        <w:rPr>
          <w:rFonts w:ascii="Times New Roman" w:hAnsi="Times New Roman" w:cs="Times New Roman"/>
          <w:sz w:val="24"/>
          <w:szCs w:val="24"/>
        </w:rPr>
        <w:t>resources, which are under intense pressure worldwide. The agricultural sector is the dominant consumer of water, utilizing in excess of 70% of available freshwater in a manner that is often non-judicious</w:t>
      </w:r>
      <w:r w:rsidR="00D21A24">
        <w:rPr>
          <w:rFonts w:ascii="Times New Roman" w:hAnsi="Times New Roman" w:cs="Times New Roman"/>
          <w:sz w:val="24"/>
          <w:szCs w:val="24"/>
        </w:rPr>
        <w:t xml:space="preserve"> </w:t>
      </w:r>
      <w:r w:rsidR="00465B0F">
        <w:rPr>
          <w:rFonts w:ascii="Times New Roman" w:hAnsi="Times New Roman" w:cs="Times New Roman"/>
          <w:sz w:val="24"/>
          <w:szCs w:val="24"/>
        </w:rPr>
        <w:t>(Mishra et al., 2021)</w:t>
      </w:r>
      <w:r w:rsidRPr="00587614">
        <w:rPr>
          <w:rFonts w:ascii="Times New Roman" w:hAnsi="Times New Roman" w:cs="Times New Roman"/>
          <w:sz w:val="24"/>
          <w:szCs w:val="24"/>
        </w:rPr>
        <w:t>. Projections indicate that if current consumption patterns persist, water scarcity will escalate significantly. By 2050, it is anticipated that 45 countries will face severe</w:t>
      </w:r>
      <w:r>
        <w:rPr>
          <w:rFonts w:ascii="Times New Roman" w:hAnsi="Times New Roman" w:cs="Times New Roman"/>
          <w:sz w:val="24"/>
          <w:szCs w:val="24"/>
        </w:rPr>
        <w:t xml:space="preserve"> water scarcity (defined as &lt;500 m</w:t>
      </w:r>
      <w:r w:rsidRPr="00587614">
        <w:rPr>
          <w:rFonts w:ascii="Times New Roman" w:hAnsi="Times New Roman" w:cs="Times New Roman"/>
          <w:sz w:val="24"/>
          <w:szCs w:val="24"/>
        </w:rPr>
        <w:t xml:space="preserve"> /capita/annum), with an additional 87 countries nearin</w:t>
      </w:r>
      <w:r>
        <w:rPr>
          <w:rFonts w:ascii="Times New Roman" w:hAnsi="Times New Roman" w:cs="Times New Roman"/>
          <w:sz w:val="24"/>
          <w:szCs w:val="24"/>
        </w:rPr>
        <w:t xml:space="preserve">g the scarcity margin (&lt;1700 m </w:t>
      </w:r>
      <w:r w:rsidRPr="00587614">
        <w:rPr>
          <w:rFonts w:ascii="Times New Roman" w:hAnsi="Times New Roman" w:cs="Times New Roman"/>
          <w:sz w:val="24"/>
          <w:szCs w:val="24"/>
        </w:rPr>
        <w:t xml:space="preserve">/capita/annum), highlighting the increasing strain on resources necessary to sustain </w:t>
      </w:r>
      <w:r>
        <w:rPr>
          <w:rFonts w:ascii="Times New Roman" w:hAnsi="Times New Roman" w:cs="Times New Roman"/>
          <w:sz w:val="24"/>
          <w:szCs w:val="24"/>
        </w:rPr>
        <w:t>a growing global population</w:t>
      </w:r>
      <w:r w:rsidR="00465B0F">
        <w:rPr>
          <w:rFonts w:ascii="Arial" w:hAnsi="Arial" w:cs="Arial"/>
          <w:color w:val="222222"/>
          <w:sz w:val="20"/>
          <w:szCs w:val="20"/>
          <w:shd w:val="clear" w:color="auto" w:fill="FFFFFF"/>
        </w:rPr>
        <w:t xml:space="preserve"> </w:t>
      </w:r>
      <w:r w:rsidR="00465B0F">
        <w:rPr>
          <w:rFonts w:ascii="Times New Roman" w:hAnsi="Times New Roman" w:cs="Times New Roman"/>
          <w:sz w:val="24"/>
          <w:szCs w:val="24"/>
        </w:rPr>
        <w:t>(Baggio et al., 2021)</w:t>
      </w:r>
      <w:r w:rsidR="00465B0F" w:rsidRPr="00587614">
        <w:rPr>
          <w:rFonts w:ascii="Times New Roman" w:hAnsi="Times New Roman" w:cs="Times New Roman"/>
          <w:sz w:val="24"/>
          <w:szCs w:val="24"/>
        </w:rPr>
        <w:t>.</w:t>
      </w:r>
      <w:r w:rsidR="00465B0F">
        <w:rPr>
          <w:rFonts w:ascii="Times New Roman" w:hAnsi="Times New Roman" w:cs="Times New Roman"/>
          <w:sz w:val="24"/>
          <w:szCs w:val="24"/>
        </w:rPr>
        <w:t xml:space="preserve"> </w:t>
      </w:r>
      <w:r w:rsidRPr="00587614">
        <w:rPr>
          <w:rFonts w:ascii="Times New Roman" w:hAnsi="Times New Roman" w:cs="Times New Roman"/>
          <w:sz w:val="24"/>
          <w:szCs w:val="24"/>
        </w:rPr>
        <w:t>The importance of irrigated land cannot be overstated; while representing only one-fifth of the world’s agricultural area, it directly contributes nearly half of global crop production. Irrigated systems are responsibl</w:t>
      </w:r>
      <w:r>
        <w:rPr>
          <w:rFonts w:ascii="Times New Roman" w:hAnsi="Times New Roman" w:cs="Times New Roman"/>
          <w:sz w:val="24"/>
          <w:szCs w:val="24"/>
        </w:rPr>
        <w:t xml:space="preserve">e for growing approximately </w:t>
      </w:r>
      <w:r w:rsidRPr="00587614">
        <w:rPr>
          <w:rFonts w:ascii="Times New Roman" w:hAnsi="Times New Roman" w:cs="Times New Roman"/>
          <w:sz w:val="24"/>
          <w:szCs w:val="24"/>
        </w:rPr>
        <w:t>80% of cereal crops and 90% of vegetable crops, demonstrating their vital role in maintaining the world’s food supply and enabling crop diversification and intensification</w:t>
      </w:r>
      <w:r w:rsidR="00D21A24">
        <w:rPr>
          <w:rFonts w:ascii="Times New Roman" w:hAnsi="Times New Roman" w:cs="Times New Roman"/>
          <w:sz w:val="24"/>
          <w:szCs w:val="24"/>
        </w:rPr>
        <w:t xml:space="preserve"> </w:t>
      </w:r>
      <w:r w:rsidR="00465B0F">
        <w:rPr>
          <w:rFonts w:ascii="Times New Roman" w:hAnsi="Times New Roman" w:cs="Times New Roman"/>
          <w:sz w:val="24"/>
          <w:szCs w:val="24"/>
        </w:rPr>
        <w:t>(World Bank, 2021)</w:t>
      </w:r>
      <w:r w:rsidRPr="00587614">
        <w:rPr>
          <w:rFonts w:ascii="Times New Roman" w:hAnsi="Times New Roman" w:cs="Times New Roman"/>
          <w:sz w:val="24"/>
          <w:szCs w:val="24"/>
        </w:rPr>
        <w:t>. Despite this critical role, traditional irrigation practices, such as basin or furrow irrigation, suffer from inherent inefficiencies. These methods often apply water at constant intervals without adequately accounting for localized crop needs, resulting in low application efficiencies. The inevitable non-uniformity of water distribution leads to pockets of over-irrigation in some areas while others experience water stress, necessitating a transition toward adv</w:t>
      </w:r>
      <w:r>
        <w:rPr>
          <w:rFonts w:ascii="Times New Roman" w:hAnsi="Times New Roman" w:cs="Times New Roman"/>
          <w:sz w:val="24"/>
          <w:szCs w:val="24"/>
        </w:rPr>
        <w:t>anced, mechanized practices</w:t>
      </w:r>
      <w:r w:rsidR="00751068">
        <w:rPr>
          <w:rFonts w:ascii="Times New Roman" w:hAnsi="Times New Roman" w:cs="Times New Roman"/>
          <w:sz w:val="24"/>
          <w:szCs w:val="24"/>
        </w:rPr>
        <w:t xml:space="preserve"> </w:t>
      </w:r>
      <w:r w:rsidR="00465B0F">
        <w:rPr>
          <w:rFonts w:ascii="Times New Roman" w:hAnsi="Times New Roman" w:cs="Times New Roman"/>
          <w:sz w:val="24"/>
          <w:szCs w:val="24"/>
        </w:rPr>
        <w:t>(</w:t>
      </w:r>
      <w:proofErr w:type="spellStart"/>
      <w:r w:rsidR="00465B0F">
        <w:rPr>
          <w:rFonts w:ascii="Times New Roman" w:hAnsi="Times New Roman" w:cs="Times New Roman"/>
          <w:sz w:val="24"/>
          <w:szCs w:val="24"/>
        </w:rPr>
        <w:t>Semananda</w:t>
      </w:r>
      <w:proofErr w:type="spellEnd"/>
      <w:r w:rsidR="004E072F">
        <w:rPr>
          <w:rFonts w:ascii="Times New Roman" w:hAnsi="Times New Roman" w:cs="Times New Roman"/>
          <w:sz w:val="24"/>
          <w:szCs w:val="24"/>
        </w:rPr>
        <w:t xml:space="preserve"> et al., 2018</w:t>
      </w:r>
      <w:r w:rsidR="00230BCD">
        <w:rPr>
          <w:rFonts w:ascii="Times New Roman" w:hAnsi="Times New Roman" w:cs="Times New Roman"/>
          <w:sz w:val="24"/>
          <w:szCs w:val="24"/>
        </w:rPr>
        <w:t>;</w:t>
      </w:r>
      <w:r w:rsidR="00465B0F">
        <w:rPr>
          <w:rFonts w:ascii="Times New Roman" w:hAnsi="Times New Roman" w:cs="Times New Roman"/>
          <w:sz w:val="24"/>
          <w:szCs w:val="24"/>
        </w:rPr>
        <w:t xml:space="preserve"> </w:t>
      </w:r>
      <w:proofErr w:type="spellStart"/>
      <w:r w:rsidR="00465B0F">
        <w:rPr>
          <w:rFonts w:ascii="Times New Roman" w:hAnsi="Times New Roman" w:cs="Times New Roman"/>
          <w:sz w:val="24"/>
          <w:szCs w:val="24"/>
        </w:rPr>
        <w:t>Lakhiar</w:t>
      </w:r>
      <w:proofErr w:type="spellEnd"/>
      <w:r w:rsidR="00465B0F">
        <w:rPr>
          <w:rFonts w:ascii="Times New Roman" w:hAnsi="Times New Roman" w:cs="Times New Roman"/>
          <w:sz w:val="24"/>
          <w:szCs w:val="24"/>
        </w:rPr>
        <w:t xml:space="preserve"> et al., 2018)</w:t>
      </w:r>
      <w:r>
        <w:rPr>
          <w:rFonts w:ascii="Times New Roman" w:hAnsi="Times New Roman" w:cs="Times New Roman"/>
          <w:sz w:val="24"/>
          <w:szCs w:val="24"/>
        </w:rPr>
        <w:t xml:space="preserve">.   </w:t>
      </w:r>
    </w:p>
    <w:p w14:paraId="75F06D89" w14:textId="77777777" w:rsidR="00587614" w:rsidRPr="00587614" w:rsidRDefault="00587614" w:rsidP="00587614">
      <w:pPr>
        <w:spacing w:line="360" w:lineRule="auto"/>
        <w:rPr>
          <w:rFonts w:ascii="Times New Roman" w:hAnsi="Times New Roman" w:cs="Times New Roman"/>
          <w:b/>
          <w:sz w:val="24"/>
          <w:szCs w:val="24"/>
        </w:rPr>
      </w:pPr>
      <w:r w:rsidRPr="00587614">
        <w:rPr>
          <w:rFonts w:ascii="Times New Roman" w:hAnsi="Times New Roman" w:cs="Times New Roman"/>
          <w:b/>
          <w:sz w:val="24"/>
          <w:szCs w:val="24"/>
        </w:rPr>
        <w:t>1.2. The Shift to Pressurized Systems and High Efficiency</w:t>
      </w:r>
    </w:p>
    <w:p w14:paraId="23A71583" w14:textId="351C2AEC" w:rsidR="00587614" w:rsidRPr="00587614" w:rsidRDefault="00587614" w:rsidP="00587614">
      <w:pPr>
        <w:spacing w:line="360" w:lineRule="auto"/>
        <w:jc w:val="both"/>
        <w:rPr>
          <w:rFonts w:ascii="Times New Roman" w:hAnsi="Times New Roman" w:cs="Times New Roman"/>
          <w:sz w:val="24"/>
          <w:szCs w:val="24"/>
        </w:rPr>
      </w:pPr>
      <w:r w:rsidRPr="00587614">
        <w:rPr>
          <w:rFonts w:ascii="Times New Roman" w:hAnsi="Times New Roman" w:cs="Times New Roman"/>
          <w:sz w:val="24"/>
          <w:szCs w:val="24"/>
        </w:rPr>
        <w:t xml:space="preserve">The drive toward mechanized water application has been </w:t>
      </w:r>
      <w:proofErr w:type="spellStart"/>
      <w:r w:rsidRPr="00587614">
        <w:rPr>
          <w:rFonts w:ascii="Times New Roman" w:hAnsi="Times New Roman" w:cs="Times New Roman"/>
          <w:sz w:val="24"/>
          <w:szCs w:val="24"/>
        </w:rPr>
        <w:t>fueled</w:t>
      </w:r>
      <w:proofErr w:type="spellEnd"/>
      <w:r w:rsidRPr="00587614">
        <w:rPr>
          <w:rFonts w:ascii="Times New Roman" w:hAnsi="Times New Roman" w:cs="Times New Roman"/>
          <w:sz w:val="24"/>
          <w:szCs w:val="24"/>
        </w:rPr>
        <w:t xml:space="preserve"> by the limitations of traditional systems. The global agriculture-based Gross Domestic Product (GDP) is experiencing substantial growth, reported at a rate of 9.4% worldwide</w:t>
      </w:r>
      <w:r w:rsidR="00751068">
        <w:rPr>
          <w:rFonts w:ascii="Times New Roman" w:hAnsi="Times New Roman" w:cs="Times New Roman"/>
          <w:sz w:val="24"/>
          <w:szCs w:val="24"/>
        </w:rPr>
        <w:t xml:space="preserve"> </w:t>
      </w:r>
      <w:r w:rsidR="00465B0F">
        <w:rPr>
          <w:rFonts w:ascii="Times New Roman" w:hAnsi="Times New Roman" w:cs="Times New Roman"/>
          <w:sz w:val="24"/>
          <w:szCs w:val="24"/>
        </w:rPr>
        <w:t>(CSP, 2019)</w:t>
      </w:r>
      <w:r w:rsidRPr="00587614">
        <w:rPr>
          <w:rFonts w:ascii="Times New Roman" w:hAnsi="Times New Roman" w:cs="Times New Roman"/>
          <w:sz w:val="24"/>
          <w:szCs w:val="24"/>
        </w:rPr>
        <w:t>. This growth, coupled with the rapid expansion of irrigated land in agricultural economies such as China, indicates that current productivity increases are often reliant on expanding resource input rather than maximizing the efficiency of existing resources</w:t>
      </w:r>
      <w:r w:rsidR="008A53D9">
        <w:rPr>
          <w:rFonts w:ascii="Times New Roman" w:hAnsi="Times New Roman" w:cs="Times New Roman"/>
          <w:sz w:val="24"/>
          <w:szCs w:val="24"/>
        </w:rPr>
        <w:t xml:space="preserve"> </w:t>
      </w:r>
      <w:r w:rsidR="00465B0F">
        <w:rPr>
          <w:rFonts w:ascii="Times New Roman" w:hAnsi="Times New Roman" w:cs="Times New Roman"/>
          <w:sz w:val="24"/>
          <w:szCs w:val="24"/>
        </w:rPr>
        <w:t>(Wang et al., 2010)</w:t>
      </w:r>
      <w:r w:rsidRPr="00587614">
        <w:rPr>
          <w:rFonts w:ascii="Times New Roman" w:hAnsi="Times New Roman" w:cs="Times New Roman"/>
          <w:sz w:val="24"/>
          <w:szCs w:val="24"/>
        </w:rPr>
        <w:t xml:space="preserve">. The global context demands that the high technical benefits offered by high-efficiency irrigation </w:t>
      </w:r>
      <w:r w:rsidRPr="00587614">
        <w:rPr>
          <w:rFonts w:ascii="Times New Roman" w:hAnsi="Times New Roman" w:cs="Times New Roman"/>
          <w:sz w:val="24"/>
          <w:szCs w:val="24"/>
        </w:rPr>
        <w:lastRenderedPageBreak/>
        <w:t xml:space="preserve">must translate into widespread policy adoption to sustainably decouple agricultural productivity growth from escalating freshwater consumption.   </w:t>
      </w:r>
    </w:p>
    <w:p w14:paraId="461CBBD9" w14:textId="1AD446D6" w:rsidR="00587614" w:rsidRPr="00587614" w:rsidRDefault="00587614" w:rsidP="00587614">
      <w:pPr>
        <w:spacing w:line="360" w:lineRule="auto"/>
        <w:jc w:val="both"/>
        <w:rPr>
          <w:rFonts w:ascii="Times New Roman" w:hAnsi="Times New Roman" w:cs="Times New Roman"/>
          <w:sz w:val="24"/>
          <w:szCs w:val="24"/>
        </w:rPr>
      </w:pPr>
      <w:r w:rsidRPr="00587614">
        <w:rPr>
          <w:rFonts w:ascii="Times New Roman" w:hAnsi="Times New Roman" w:cs="Times New Roman"/>
          <w:sz w:val="24"/>
          <w:szCs w:val="24"/>
        </w:rPr>
        <w:t xml:space="preserve">Sprinkler irrigation, which gained prominence in the late 1970s, represents a fundamental reform in water application technology. This technology significantly improves application efficiency (with a </w:t>
      </w:r>
      <w:r>
        <w:rPr>
          <w:rFonts w:ascii="Times New Roman" w:hAnsi="Times New Roman" w:cs="Times New Roman"/>
          <w:sz w:val="24"/>
          <w:szCs w:val="24"/>
        </w:rPr>
        <w:t xml:space="preserve">typical field efficiency of </w:t>
      </w:r>
      <w:r w:rsidRPr="00587614">
        <w:rPr>
          <w:rFonts w:ascii="Times New Roman" w:hAnsi="Times New Roman" w:cs="Times New Roman"/>
          <w:sz w:val="24"/>
          <w:szCs w:val="24"/>
        </w:rPr>
        <w:t>75% or higher) and uniformity compared with surface methods (typically 60% efficiency)</w:t>
      </w:r>
      <w:r w:rsidR="008A53D9">
        <w:rPr>
          <w:rFonts w:ascii="Times New Roman" w:hAnsi="Times New Roman" w:cs="Times New Roman"/>
          <w:sz w:val="24"/>
          <w:szCs w:val="24"/>
        </w:rPr>
        <w:t xml:space="preserve"> </w:t>
      </w:r>
      <w:r w:rsidR="00000BE5">
        <w:rPr>
          <w:rFonts w:ascii="Times New Roman" w:hAnsi="Times New Roman" w:cs="Times New Roman"/>
          <w:sz w:val="24"/>
          <w:szCs w:val="24"/>
        </w:rPr>
        <w:t>(</w:t>
      </w:r>
      <w:r w:rsidR="00230BCD">
        <w:rPr>
          <w:rFonts w:ascii="Times New Roman" w:hAnsi="Times New Roman" w:cs="Times New Roman"/>
          <w:sz w:val="24"/>
          <w:szCs w:val="24"/>
        </w:rPr>
        <w:t>; Liu et al., 2013)</w:t>
      </w:r>
      <w:r w:rsidRPr="00587614">
        <w:rPr>
          <w:rFonts w:ascii="Times New Roman" w:hAnsi="Times New Roman" w:cs="Times New Roman"/>
          <w:sz w:val="24"/>
          <w:szCs w:val="24"/>
        </w:rPr>
        <w:t xml:space="preserve">. Quantitative analyses reveal that conventional sprinkler systems offer substantial water savings, reducing consumption by approximately    </w:t>
      </w:r>
    </w:p>
    <w:p w14:paraId="575F4D38" w14:textId="42DCA5F9" w:rsidR="00587614" w:rsidRPr="00587614" w:rsidRDefault="00587614" w:rsidP="00587614">
      <w:pPr>
        <w:spacing w:line="360" w:lineRule="auto"/>
        <w:jc w:val="both"/>
        <w:rPr>
          <w:rFonts w:ascii="Times New Roman" w:hAnsi="Times New Roman" w:cs="Times New Roman"/>
          <w:sz w:val="24"/>
          <w:szCs w:val="24"/>
        </w:rPr>
      </w:pPr>
      <w:r w:rsidRPr="00587614">
        <w:rPr>
          <w:rFonts w:ascii="Times New Roman" w:hAnsi="Times New Roman" w:cs="Times New Roman"/>
          <w:sz w:val="24"/>
          <w:szCs w:val="24"/>
        </w:rPr>
        <w:t>39% compared to gravity irrigation systems. Moreover, this transition also enhance</w:t>
      </w:r>
      <w:r>
        <w:rPr>
          <w:rFonts w:ascii="Times New Roman" w:hAnsi="Times New Roman" w:cs="Times New Roman"/>
          <w:sz w:val="24"/>
          <w:szCs w:val="24"/>
        </w:rPr>
        <w:t xml:space="preserve">s water productivity by over </w:t>
      </w:r>
      <w:r w:rsidRPr="00587614">
        <w:rPr>
          <w:rFonts w:ascii="Times New Roman" w:hAnsi="Times New Roman" w:cs="Times New Roman"/>
          <w:sz w:val="24"/>
          <w:szCs w:val="24"/>
        </w:rPr>
        <w:t xml:space="preserve">14.1%. The commercial and ecological viability of sprinkler systems has driven significant global adoption, with Western countries like </w:t>
      </w:r>
      <w:r>
        <w:rPr>
          <w:rFonts w:ascii="Times New Roman" w:hAnsi="Times New Roman" w:cs="Times New Roman"/>
          <w:sz w:val="24"/>
          <w:szCs w:val="24"/>
        </w:rPr>
        <w:t xml:space="preserve">the USA and Europe covering </w:t>
      </w:r>
      <w:r w:rsidRPr="00587614">
        <w:rPr>
          <w:rFonts w:ascii="Times New Roman" w:hAnsi="Times New Roman" w:cs="Times New Roman"/>
          <w:sz w:val="24"/>
          <w:szCs w:val="24"/>
        </w:rPr>
        <w:t>3 </w:t>
      </w:r>
      <w:proofErr w:type="spellStart"/>
      <w:r w:rsidRPr="00587614">
        <w:rPr>
          <w:rFonts w:ascii="Times New Roman" w:hAnsi="Times New Roman" w:cs="Times New Roman"/>
          <w:sz w:val="24"/>
          <w:szCs w:val="24"/>
        </w:rPr>
        <w:t>Mha</w:t>
      </w:r>
      <w:proofErr w:type="spellEnd"/>
      <w:r w:rsidRPr="00587614">
        <w:rPr>
          <w:rFonts w:ascii="Times New Roman" w:hAnsi="Times New Roman" w:cs="Times New Roman"/>
          <w:sz w:val="24"/>
          <w:szCs w:val="24"/>
        </w:rPr>
        <w:t xml:space="preserve"> and 2.5 </w:t>
      </w:r>
      <w:proofErr w:type="spellStart"/>
      <w:r w:rsidRPr="00587614">
        <w:rPr>
          <w:rFonts w:ascii="Times New Roman" w:hAnsi="Times New Roman" w:cs="Times New Roman"/>
          <w:sz w:val="24"/>
          <w:szCs w:val="24"/>
        </w:rPr>
        <w:t>Mha</w:t>
      </w:r>
      <w:proofErr w:type="spellEnd"/>
      <w:r w:rsidRPr="00587614">
        <w:rPr>
          <w:rFonts w:ascii="Times New Roman" w:hAnsi="Times New Roman" w:cs="Times New Roman"/>
          <w:sz w:val="24"/>
          <w:szCs w:val="24"/>
        </w:rPr>
        <w:t>, respectively, under these systems by the 1970s</w:t>
      </w:r>
      <w:r w:rsidR="008A53D9">
        <w:rPr>
          <w:rFonts w:ascii="Times New Roman" w:hAnsi="Times New Roman" w:cs="Times New Roman"/>
          <w:sz w:val="24"/>
          <w:szCs w:val="24"/>
        </w:rPr>
        <w:t xml:space="preserve"> </w:t>
      </w:r>
      <w:r w:rsidR="00230BCD">
        <w:rPr>
          <w:rFonts w:ascii="Times New Roman" w:hAnsi="Times New Roman" w:cs="Times New Roman"/>
          <w:sz w:val="24"/>
          <w:szCs w:val="24"/>
        </w:rPr>
        <w:t>(Shankar et al., 2018)</w:t>
      </w:r>
      <w:r w:rsidRPr="00587614">
        <w:rPr>
          <w:rFonts w:ascii="Times New Roman" w:hAnsi="Times New Roman" w:cs="Times New Roman"/>
          <w:sz w:val="24"/>
          <w:szCs w:val="24"/>
        </w:rPr>
        <w:t xml:space="preserve">. Countries such as China have aggressively promoted adoption through demonstration projects, funding research, and providing subsidies for the indigenous manufacturing of components, validating the economic and logistical importance of this technology.   </w:t>
      </w:r>
    </w:p>
    <w:p w14:paraId="7E2251EE" w14:textId="77777777" w:rsidR="00587614" w:rsidRPr="00587614" w:rsidRDefault="00587614" w:rsidP="00587614">
      <w:pPr>
        <w:spacing w:line="360" w:lineRule="auto"/>
        <w:jc w:val="both"/>
        <w:rPr>
          <w:rFonts w:ascii="Times New Roman" w:hAnsi="Times New Roman" w:cs="Times New Roman"/>
          <w:b/>
          <w:sz w:val="24"/>
          <w:szCs w:val="24"/>
        </w:rPr>
      </w:pPr>
      <w:r w:rsidRPr="00587614">
        <w:rPr>
          <w:rFonts w:ascii="Times New Roman" w:hAnsi="Times New Roman" w:cs="Times New Roman"/>
          <w:b/>
          <w:sz w:val="24"/>
          <w:szCs w:val="24"/>
        </w:rPr>
        <w:t>1.3. Objectives and Review Structure</w:t>
      </w:r>
    </w:p>
    <w:p w14:paraId="05AE0995" w14:textId="77777777" w:rsidR="00587614" w:rsidRPr="00587614" w:rsidRDefault="00587614" w:rsidP="00587614">
      <w:pPr>
        <w:spacing w:line="360" w:lineRule="auto"/>
        <w:jc w:val="both"/>
        <w:rPr>
          <w:rFonts w:ascii="Times New Roman" w:hAnsi="Times New Roman" w:cs="Times New Roman"/>
          <w:sz w:val="24"/>
          <w:szCs w:val="24"/>
        </w:rPr>
      </w:pPr>
      <w:r w:rsidRPr="00587614">
        <w:rPr>
          <w:rFonts w:ascii="Times New Roman" w:hAnsi="Times New Roman" w:cs="Times New Roman"/>
          <w:sz w:val="24"/>
          <w:szCs w:val="24"/>
        </w:rPr>
        <w:t xml:space="preserve">This report aims to deliver an expert synthesis of the current state of sprinkler irrigation technology and its integration into the precision irrigation paradigm. The objectives are threefold: (1) to summarize and evaluate the core technological advancements in sprinkler system design, encompassing hydraulics and mechanics; (2) to quantify the agronomic benefits, particularly concerning water savings, yield increases, and fertigation efficiency; and (3) to systematically detail the sensing requirements and control strategies (e.g., OLT, CLT, MPC) necessary for achieving optimal precision irrigation performance. The subsequent sections are structured to progress from establishing the review’s rigorous methodology to the core technological components, concluding with the most advanced control theories required for maximizing spatial and temporal water application precision.   </w:t>
      </w:r>
    </w:p>
    <w:p w14:paraId="00B23ED2" w14:textId="77777777" w:rsidR="00587614" w:rsidRPr="00587614" w:rsidRDefault="00587614" w:rsidP="00587614">
      <w:pPr>
        <w:pStyle w:val="Heading3"/>
        <w:spacing w:line="360" w:lineRule="auto"/>
        <w:rPr>
          <w:sz w:val="24"/>
          <w:szCs w:val="24"/>
        </w:rPr>
      </w:pPr>
      <w:r w:rsidRPr="00587614">
        <w:rPr>
          <w:sz w:val="24"/>
          <w:szCs w:val="24"/>
        </w:rPr>
        <w:t>2. Review Strategy and Systematic Literature Exploration</w:t>
      </w:r>
    </w:p>
    <w:p w14:paraId="5120BFC7" w14:textId="77777777" w:rsidR="00587614" w:rsidRPr="00587614" w:rsidRDefault="00587614" w:rsidP="00230BCD">
      <w:pPr>
        <w:pStyle w:val="NormalWeb"/>
        <w:spacing w:line="360" w:lineRule="auto"/>
        <w:jc w:val="both"/>
      </w:pPr>
      <w:r w:rsidRPr="00587614">
        <w:t>To ensure the credibility and scientific rigor of the findings presented herein, a systematic literature exploration was conducted. The methodology employed was strategically modified based on the systematic review principles outlined in the PRISMA 2020 guidelines.</w:t>
      </w:r>
      <w:r w:rsidRPr="00587614">
        <w:rPr>
          <w:rStyle w:val="button-container"/>
        </w:rPr>
        <w:t xml:space="preserve">   </w:t>
      </w:r>
    </w:p>
    <w:p w14:paraId="706A05B1" w14:textId="4C0A7002" w:rsidR="00587614" w:rsidRPr="00587614" w:rsidRDefault="00587614" w:rsidP="00230BCD">
      <w:pPr>
        <w:pStyle w:val="NormalWeb"/>
        <w:spacing w:line="360" w:lineRule="auto"/>
        <w:jc w:val="both"/>
      </w:pPr>
      <w:r w:rsidRPr="00587614">
        <w:lastRenderedPageBreak/>
        <w:t>The investigative scope was divided into three prima</w:t>
      </w:r>
      <w:r>
        <w:t>ry research domains: "</w:t>
      </w:r>
      <w:r w:rsidR="00AD1465">
        <w:t>sprinkler irrigation</w:t>
      </w:r>
      <w:r w:rsidRPr="00587614">
        <w:t>," "precision irrigation," and the overarching field of "irrigation water management". Literature was identified using four primary approaches: searching manuscript titles, specialized keywords (e.g., "application efficiency," "variable rate irrigation"), institutional affiliations, and citation-based exploration of highly relevant published articles. Multiple renowned scholarly databases were leveraged for this process, including Google Scholar, Science Direct, IEEE Xplore, and Springer.</w:t>
      </w:r>
      <w:r w:rsidRPr="00587614">
        <w:rPr>
          <w:rStyle w:val="button-container"/>
        </w:rPr>
        <w:t xml:space="preserve">   </w:t>
      </w:r>
    </w:p>
    <w:p w14:paraId="2E6938C9" w14:textId="77777777" w:rsidR="00587614" w:rsidRDefault="00587614" w:rsidP="00950C29">
      <w:pPr>
        <w:pStyle w:val="NormalWeb"/>
        <w:spacing w:line="360" w:lineRule="auto"/>
        <w:jc w:val="both"/>
        <w:rPr>
          <w:rStyle w:val="button-container"/>
        </w:rPr>
      </w:pPr>
      <w:r w:rsidRPr="00587614">
        <w:t>A comprehensive set of inclusion and exclusion criteria was applied rigorously to refine the search results and ensure the synthesis focused solely on influential, contemporary, primary research. Inclusion criteria prioritized research published in prestigious journals, articles available in English or Chinese, studies reporting outcomes from actual field experiments, and publications dated after 2005. Crucially, priority was given to publications containing quantitative data suitable for onward calculation and comparison of performance parameters. Conversely, the exclusion criteria systematically eliminated all other review articles, publications with redundant or duplicated results, documents containing potential data errors, and all material published before 2005. This systematic focus on primary fieldwork ensures that the synthesis is grounded in tested field parameters, increasing the reliability and novelty of the reported benefits.</w:t>
      </w:r>
      <w:r w:rsidRPr="00587614">
        <w:rPr>
          <w:rStyle w:val="button-container"/>
        </w:rPr>
        <w:t xml:space="preserve">   </w:t>
      </w:r>
    </w:p>
    <w:p w14:paraId="15B436A3" w14:textId="77777777" w:rsidR="00950C29" w:rsidRPr="00950C29" w:rsidRDefault="00950C29" w:rsidP="00950C29">
      <w:pPr>
        <w:pStyle w:val="NormalWeb"/>
        <w:spacing w:line="360" w:lineRule="auto"/>
        <w:jc w:val="both"/>
        <w:rPr>
          <w:b/>
        </w:rPr>
      </w:pPr>
      <w:r w:rsidRPr="00950C29">
        <w:rPr>
          <w:b/>
        </w:rPr>
        <w:t>3. Core Advancements in Sprinkler System Technology</w:t>
      </w:r>
    </w:p>
    <w:p w14:paraId="3DA0C6DC" w14:textId="77777777" w:rsidR="00950C29" w:rsidRDefault="00950C29" w:rsidP="00950C29">
      <w:pPr>
        <w:pStyle w:val="NormalWeb"/>
        <w:spacing w:line="360" w:lineRule="auto"/>
        <w:jc w:val="both"/>
      </w:pPr>
      <w:r>
        <w:t>3.1. Mechanical Classification and Distribution Uniformity</w:t>
      </w:r>
    </w:p>
    <w:p w14:paraId="5BF9AFE0" w14:textId="2A17E29B" w:rsidR="00950C29" w:rsidRDefault="00950C29" w:rsidP="00950C29">
      <w:pPr>
        <w:pStyle w:val="NormalWeb"/>
        <w:spacing w:line="360" w:lineRule="auto"/>
        <w:jc w:val="both"/>
      </w:pPr>
      <w:r>
        <w:t xml:space="preserve">The evolution of sprinkler systems reflects continuous efforts to optimize coverage area and maximize water application uniformity. Early systems relied on movable single-point sprinklers fed by heavy, erosion-susceptible iron pipes, which were later replaced by lighter </w:t>
      </w:r>
      <w:r w:rsidR="00AD1465">
        <w:t>aluminium</w:t>
      </w:r>
      <w:r>
        <w:t xml:space="preserve"> and finally plastic/PVC pipes. Modern designs are </w:t>
      </w:r>
      <w:proofErr w:type="spellStart"/>
      <w:r>
        <w:t>centered</w:t>
      </w:r>
      <w:proofErr w:type="spellEnd"/>
      <w:r>
        <w:t xml:space="preserve"> on highly movable systems capable of irrigating vast areas with reduced </w:t>
      </w:r>
      <w:r w:rsidR="00AD1465">
        <w:t>labour</w:t>
      </w:r>
      <w:r>
        <w:t xml:space="preserve"> requirements</w:t>
      </w:r>
      <w:r w:rsidR="00225B16">
        <w:t xml:space="preserve"> </w:t>
      </w:r>
      <w:r w:rsidR="00AD1465">
        <w:t>(Yan et al., 2020</w:t>
      </w:r>
      <w:r w:rsidR="00230BCD">
        <w:t>; Liu et al., 2013)</w:t>
      </w:r>
      <w:r w:rsidR="00230BCD" w:rsidRPr="00587614">
        <w:t xml:space="preserve">. </w:t>
      </w:r>
      <w:r>
        <w:t xml:space="preserve">   </w:t>
      </w:r>
    </w:p>
    <w:p w14:paraId="14DD08EF" w14:textId="06D16D2C" w:rsidR="00950C29" w:rsidRDefault="00950C29" w:rsidP="00950C29">
      <w:pPr>
        <w:pStyle w:val="NormalWeb"/>
        <w:spacing w:line="360" w:lineRule="auto"/>
        <w:jc w:val="both"/>
      </w:pPr>
      <w:r>
        <w:t>The primary metric used to evaluate system performance is Distribution Uniformity (DU), calculated as the ratio of the average lowest quarter depth of water received to the average total depth of water received</w:t>
      </w:r>
      <w:r w:rsidR="00225B16">
        <w:t xml:space="preserve"> </w:t>
      </w:r>
      <w:r w:rsidR="00230BCD">
        <w:t>(Howell, 2003; Patel et al., 2020)</w:t>
      </w:r>
      <w:r>
        <w:t xml:space="preserve">. The mechanical classification of systems demonstrates varied DU based on operational constraints and field </w:t>
      </w:r>
      <w:proofErr w:type="gramStart"/>
      <w:r>
        <w:t>geometry</w:t>
      </w:r>
      <w:r w:rsidR="00225B16">
        <w:t xml:space="preserve"> </w:t>
      </w:r>
      <w:r>
        <w:t>:</w:t>
      </w:r>
      <w:proofErr w:type="gramEnd"/>
      <w:r>
        <w:t xml:space="preserve">   </w:t>
      </w:r>
    </w:p>
    <w:p w14:paraId="7EAC6328" w14:textId="77777777" w:rsidR="00950C29" w:rsidRDefault="00225B16" w:rsidP="00950C29">
      <w:pPr>
        <w:pStyle w:val="NormalWeb"/>
        <w:spacing w:line="360" w:lineRule="auto"/>
        <w:jc w:val="both"/>
      </w:pPr>
      <w:r>
        <w:lastRenderedPageBreak/>
        <w:t xml:space="preserve"> Distribution Uniformity (DU|) = </w:t>
      </w:r>
      <m:oMath>
        <m:f>
          <m:fPr>
            <m:ctrlPr>
              <w:rPr>
                <w:rFonts w:ascii="Cambria Math" w:hAnsi="Cambria Math"/>
                <w:i/>
              </w:rPr>
            </m:ctrlPr>
          </m:fPr>
          <m:num>
            <m:r>
              <m:rPr>
                <m:sty m:val="p"/>
              </m:rPr>
              <w:rPr>
                <w:rFonts w:ascii="Cambria Math" w:hAnsi="Cambria Math"/>
              </w:rPr>
              <m:t>average lowest quarter depth of water received</m:t>
            </m:r>
          </m:num>
          <m:den>
            <m:r>
              <m:rPr>
                <m:sty m:val="p"/>
              </m:rPr>
              <w:rPr>
                <w:rFonts w:ascii="Cambria Math" w:hAnsi="Cambria Math"/>
              </w:rPr>
              <m:t>average total depth of water received</m:t>
            </m:r>
          </m:den>
        </m:f>
      </m:oMath>
    </w:p>
    <w:p w14:paraId="3664E76C" w14:textId="77777777" w:rsidR="00950C29" w:rsidRDefault="00950C29" w:rsidP="00950C29">
      <w:pPr>
        <w:pStyle w:val="NormalWeb"/>
        <w:spacing w:line="360" w:lineRule="auto"/>
        <w:jc w:val="both"/>
      </w:pPr>
    </w:p>
    <w:p w14:paraId="2A25118C" w14:textId="77777777" w:rsidR="00950C29" w:rsidRDefault="00950C29" w:rsidP="00950C29">
      <w:pPr>
        <w:pStyle w:val="NormalWeb"/>
        <w:spacing w:line="360" w:lineRule="auto"/>
        <w:jc w:val="both"/>
      </w:pPr>
    </w:p>
    <w:p w14:paraId="41100EEE" w14:textId="5C15163E" w:rsidR="004E072F" w:rsidRPr="004E072F" w:rsidRDefault="00950C29" w:rsidP="00950C29">
      <w:pPr>
        <w:pStyle w:val="NormalWeb"/>
        <w:spacing w:line="360" w:lineRule="auto"/>
        <w:jc w:val="both"/>
      </w:pPr>
      <w:r w:rsidRPr="00950C29">
        <w:t>Table 1: Comparative Features and Distribution Uniformity of</w:t>
      </w:r>
      <w:r>
        <w:t xml:space="preserve"> Major Sprinkler System Types </w:t>
      </w:r>
    </w:p>
    <w:tbl>
      <w:tblPr>
        <w:tblStyle w:val="TableGrid"/>
        <w:tblW w:w="0" w:type="auto"/>
        <w:tblLook w:val="04A0" w:firstRow="1" w:lastRow="0" w:firstColumn="1" w:lastColumn="0" w:noHBand="0" w:noVBand="1"/>
      </w:tblPr>
      <w:tblGrid>
        <w:gridCol w:w="1809"/>
        <w:gridCol w:w="3828"/>
        <w:gridCol w:w="3605"/>
      </w:tblGrid>
      <w:tr w:rsidR="004E072F" w:rsidRPr="004E072F" w14:paraId="7F958E07" w14:textId="77777777" w:rsidTr="004E072F">
        <w:tc>
          <w:tcPr>
            <w:tcW w:w="1809" w:type="dxa"/>
          </w:tcPr>
          <w:p w14:paraId="48854B85" w14:textId="0B33350F" w:rsidR="004E072F" w:rsidRPr="004E072F" w:rsidRDefault="004E072F" w:rsidP="00950C29">
            <w:pPr>
              <w:pStyle w:val="NormalWeb"/>
              <w:spacing w:line="360" w:lineRule="auto"/>
              <w:jc w:val="both"/>
              <w:rPr>
                <w:b/>
              </w:rPr>
            </w:pPr>
            <w:r w:rsidRPr="004E072F">
              <w:rPr>
                <w:b/>
              </w:rPr>
              <w:t>Sprinkler Type</w:t>
            </w:r>
          </w:p>
        </w:tc>
        <w:tc>
          <w:tcPr>
            <w:tcW w:w="3828" w:type="dxa"/>
          </w:tcPr>
          <w:p w14:paraId="3CAF0AC1" w14:textId="4E9D723C" w:rsidR="004E072F" w:rsidRPr="004E072F" w:rsidRDefault="004E072F" w:rsidP="00950C29">
            <w:pPr>
              <w:pStyle w:val="NormalWeb"/>
              <w:spacing w:line="360" w:lineRule="auto"/>
              <w:jc w:val="both"/>
              <w:rPr>
                <w:b/>
              </w:rPr>
            </w:pPr>
            <w:r w:rsidRPr="004E072F">
              <w:rPr>
                <w:b/>
              </w:rPr>
              <w:t>Key Function and Field Suitability</w:t>
            </w:r>
          </w:p>
        </w:tc>
        <w:tc>
          <w:tcPr>
            <w:tcW w:w="3605" w:type="dxa"/>
          </w:tcPr>
          <w:p w14:paraId="223C54FF" w14:textId="2ABBFE8B" w:rsidR="004E072F" w:rsidRPr="004E072F" w:rsidRDefault="004E072F" w:rsidP="00950C29">
            <w:pPr>
              <w:pStyle w:val="NormalWeb"/>
              <w:spacing w:line="360" w:lineRule="auto"/>
              <w:jc w:val="both"/>
              <w:rPr>
                <w:b/>
              </w:rPr>
            </w:pPr>
            <w:r w:rsidRPr="004E072F">
              <w:rPr>
                <w:b/>
              </w:rPr>
              <w:t>Distribution Uniformity Range</w:t>
            </w:r>
          </w:p>
        </w:tc>
      </w:tr>
      <w:tr w:rsidR="004E072F" w14:paraId="7A674290" w14:textId="77777777" w:rsidTr="004E072F">
        <w:tc>
          <w:tcPr>
            <w:tcW w:w="1809" w:type="dxa"/>
          </w:tcPr>
          <w:p w14:paraId="2776A91E" w14:textId="4D665FE4" w:rsidR="004E072F" w:rsidRDefault="004E072F" w:rsidP="00950C29">
            <w:pPr>
              <w:pStyle w:val="NormalWeb"/>
              <w:spacing w:line="360" w:lineRule="auto"/>
              <w:jc w:val="both"/>
            </w:pPr>
            <w:proofErr w:type="spellStart"/>
            <w:r w:rsidRPr="00950C29">
              <w:t>Center</w:t>
            </w:r>
            <w:proofErr w:type="spellEnd"/>
            <w:r w:rsidRPr="00950C29">
              <w:t xml:space="preserve"> Pivot System (CPS)</w:t>
            </w:r>
          </w:p>
        </w:tc>
        <w:tc>
          <w:tcPr>
            <w:tcW w:w="3828" w:type="dxa"/>
          </w:tcPr>
          <w:p w14:paraId="0E42A012" w14:textId="30434993" w:rsidR="004E072F" w:rsidRDefault="004E072F" w:rsidP="00950C29">
            <w:pPr>
              <w:pStyle w:val="NormalWeb"/>
              <w:spacing w:line="360" w:lineRule="auto"/>
              <w:jc w:val="both"/>
            </w:pPr>
            <w:r w:rsidRPr="00950C29">
              <w:t>Large, circular fields; comparatively high efficiency; requires less pressure than rain guns. Dominant in mechanized agriculture</w:t>
            </w:r>
            <w:r>
              <w:t>.</w:t>
            </w:r>
          </w:p>
        </w:tc>
        <w:tc>
          <w:tcPr>
            <w:tcW w:w="3605" w:type="dxa"/>
          </w:tcPr>
          <w:p w14:paraId="2D03808C" w14:textId="22B0C1D0" w:rsidR="004E072F" w:rsidRDefault="004E072F" w:rsidP="00950C29">
            <w:pPr>
              <w:pStyle w:val="NormalWeb"/>
              <w:spacing w:line="360" w:lineRule="auto"/>
              <w:jc w:val="both"/>
            </w:pPr>
            <w:r w:rsidRPr="00950C29">
              <w:t>Up to 70–80%</w:t>
            </w:r>
          </w:p>
        </w:tc>
      </w:tr>
      <w:tr w:rsidR="004E072F" w14:paraId="1598E28A" w14:textId="77777777" w:rsidTr="004E072F">
        <w:tc>
          <w:tcPr>
            <w:tcW w:w="1809" w:type="dxa"/>
          </w:tcPr>
          <w:p w14:paraId="667187FE" w14:textId="24717D5B" w:rsidR="004E072F" w:rsidRDefault="004E072F" w:rsidP="00950C29">
            <w:pPr>
              <w:pStyle w:val="NormalWeb"/>
              <w:spacing w:line="360" w:lineRule="auto"/>
              <w:jc w:val="both"/>
            </w:pPr>
            <w:r w:rsidRPr="00950C29">
              <w:t>Linear Mover</w:t>
            </w:r>
          </w:p>
        </w:tc>
        <w:tc>
          <w:tcPr>
            <w:tcW w:w="3828" w:type="dxa"/>
          </w:tcPr>
          <w:p w14:paraId="2C7B1AE1" w14:textId="0A2A3EC7" w:rsidR="004E072F" w:rsidRDefault="004E072F" w:rsidP="00950C29">
            <w:pPr>
              <w:pStyle w:val="NormalWeb"/>
              <w:spacing w:line="360" w:lineRule="auto"/>
              <w:jc w:val="both"/>
            </w:pPr>
            <w:r w:rsidRPr="00950C29">
              <w:t>Large, rectangular fields; notable for reduced evaporation losses along its path.</w:t>
            </w:r>
          </w:p>
        </w:tc>
        <w:tc>
          <w:tcPr>
            <w:tcW w:w="3605" w:type="dxa"/>
          </w:tcPr>
          <w:p w14:paraId="09C2EA08" w14:textId="72081C8E" w:rsidR="004E072F" w:rsidRDefault="004E072F" w:rsidP="00950C29">
            <w:pPr>
              <w:pStyle w:val="NormalWeb"/>
              <w:spacing w:line="360" w:lineRule="auto"/>
              <w:jc w:val="both"/>
            </w:pPr>
            <w:r w:rsidRPr="00950C29">
              <w:t>Up to 70–80%</w:t>
            </w:r>
          </w:p>
        </w:tc>
      </w:tr>
      <w:tr w:rsidR="004E072F" w14:paraId="2FE7D5ED" w14:textId="77777777" w:rsidTr="004E072F">
        <w:tc>
          <w:tcPr>
            <w:tcW w:w="1809" w:type="dxa"/>
          </w:tcPr>
          <w:p w14:paraId="2537935D" w14:textId="2CED9C80" w:rsidR="004E072F" w:rsidRDefault="004E072F" w:rsidP="00950C29">
            <w:pPr>
              <w:pStyle w:val="NormalWeb"/>
              <w:spacing w:line="360" w:lineRule="auto"/>
              <w:jc w:val="both"/>
            </w:pPr>
            <w:r w:rsidRPr="00950C29">
              <w:t>Side Roll System</w:t>
            </w:r>
          </w:p>
        </w:tc>
        <w:tc>
          <w:tcPr>
            <w:tcW w:w="3828" w:type="dxa"/>
          </w:tcPr>
          <w:p w14:paraId="601D1859" w14:textId="1E85EDE1" w:rsidR="004E072F" w:rsidRDefault="004E072F" w:rsidP="00950C29">
            <w:pPr>
              <w:pStyle w:val="NormalWeb"/>
              <w:spacing w:line="360" w:lineRule="auto"/>
              <w:jc w:val="both"/>
            </w:pPr>
            <w:r w:rsidRPr="00950C29">
              <w:t>Rectangular fields in plain areas; provides good application efficiency</w:t>
            </w:r>
            <w:r>
              <w:t>.</w:t>
            </w:r>
          </w:p>
        </w:tc>
        <w:tc>
          <w:tcPr>
            <w:tcW w:w="3605" w:type="dxa"/>
          </w:tcPr>
          <w:p w14:paraId="573BE5B3" w14:textId="0AF218DB" w:rsidR="004E072F" w:rsidRDefault="004E072F" w:rsidP="00950C29">
            <w:pPr>
              <w:pStyle w:val="NormalWeb"/>
              <w:spacing w:line="360" w:lineRule="auto"/>
              <w:jc w:val="both"/>
            </w:pPr>
            <w:r>
              <w:t>Up to 60–7</w:t>
            </w:r>
            <w:r w:rsidRPr="00950C29">
              <w:t>0%</w:t>
            </w:r>
          </w:p>
        </w:tc>
      </w:tr>
      <w:tr w:rsidR="004E072F" w14:paraId="430E75B3" w14:textId="77777777" w:rsidTr="004E072F">
        <w:tc>
          <w:tcPr>
            <w:tcW w:w="1809" w:type="dxa"/>
          </w:tcPr>
          <w:p w14:paraId="6C06AD07" w14:textId="30E48239" w:rsidR="004E072F" w:rsidRDefault="004E072F" w:rsidP="00950C29">
            <w:pPr>
              <w:pStyle w:val="NormalWeb"/>
              <w:spacing w:line="360" w:lineRule="auto"/>
              <w:jc w:val="both"/>
            </w:pPr>
            <w:r>
              <w:t>Big Gun</w:t>
            </w:r>
          </w:p>
        </w:tc>
        <w:tc>
          <w:tcPr>
            <w:tcW w:w="3828" w:type="dxa"/>
          </w:tcPr>
          <w:p w14:paraId="5728CDC4" w14:textId="3F2C966D" w:rsidR="004E072F" w:rsidRDefault="004E072F" w:rsidP="00950C29">
            <w:pPr>
              <w:pStyle w:val="NormalWeb"/>
              <w:spacing w:line="360" w:lineRule="auto"/>
              <w:jc w:val="both"/>
            </w:pPr>
            <w:r w:rsidRPr="00950C29">
              <w:t>Irregularly shaped fields; suitable for soils with high intake rates.</w:t>
            </w:r>
          </w:p>
        </w:tc>
        <w:tc>
          <w:tcPr>
            <w:tcW w:w="3605" w:type="dxa"/>
          </w:tcPr>
          <w:p w14:paraId="536ACB84" w14:textId="1D527880" w:rsidR="004E072F" w:rsidRDefault="004E072F" w:rsidP="00950C29">
            <w:pPr>
              <w:pStyle w:val="NormalWeb"/>
              <w:spacing w:line="360" w:lineRule="auto"/>
              <w:jc w:val="both"/>
            </w:pPr>
            <w:r>
              <w:t>Up to 55–65</w:t>
            </w:r>
            <w:r w:rsidRPr="00950C29">
              <w:t>%</w:t>
            </w:r>
          </w:p>
        </w:tc>
      </w:tr>
      <w:tr w:rsidR="004E072F" w14:paraId="682DB973" w14:textId="77777777" w:rsidTr="004E072F">
        <w:tc>
          <w:tcPr>
            <w:tcW w:w="1809" w:type="dxa"/>
          </w:tcPr>
          <w:p w14:paraId="1CC61957" w14:textId="70648A28" w:rsidR="004E072F" w:rsidRDefault="004E072F" w:rsidP="00950C29">
            <w:pPr>
              <w:pStyle w:val="NormalWeb"/>
              <w:spacing w:line="360" w:lineRule="auto"/>
              <w:jc w:val="both"/>
            </w:pPr>
            <w:r>
              <w:t>Hand Move</w:t>
            </w:r>
          </w:p>
        </w:tc>
        <w:tc>
          <w:tcPr>
            <w:tcW w:w="3828" w:type="dxa"/>
          </w:tcPr>
          <w:p w14:paraId="76C6D2C1" w14:textId="6CF20196" w:rsidR="004E072F" w:rsidRDefault="004E072F" w:rsidP="00950C29">
            <w:pPr>
              <w:pStyle w:val="NormalWeb"/>
              <w:spacing w:line="360" w:lineRule="auto"/>
              <w:jc w:val="both"/>
            </w:pPr>
            <w:r w:rsidRPr="00950C29">
              <w:t>Hilly or rolling terrains; low capital cost but highly</w:t>
            </w:r>
            <w:r>
              <w:t>.</w:t>
            </w:r>
          </w:p>
        </w:tc>
        <w:tc>
          <w:tcPr>
            <w:tcW w:w="3605" w:type="dxa"/>
          </w:tcPr>
          <w:p w14:paraId="44902023" w14:textId="06589BC1" w:rsidR="004E072F" w:rsidRDefault="004E072F" w:rsidP="00950C29">
            <w:pPr>
              <w:pStyle w:val="NormalWeb"/>
              <w:spacing w:line="360" w:lineRule="auto"/>
              <w:jc w:val="both"/>
            </w:pPr>
            <w:r>
              <w:t>Up to 50–65</w:t>
            </w:r>
            <w:r w:rsidRPr="00950C29">
              <w:t>%</w:t>
            </w:r>
          </w:p>
        </w:tc>
      </w:tr>
    </w:tbl>
    <w:p w14:paraId="6B1EE1B4" w14:textId="30033027" w:rsidR="00950C29" w:rsidRDefault="00950C29" w:rsidP="00950C29">
      <w:pPr>
        <w:pStyle w:val="NormalWeb"/>
        <w:spacing w:line="360" w:lineRule="auto"/>
        <w:jc w:val="both"/>
      </w:pPr>
    </w:p>
    <w:p w14:paraId="59E1F677" w14:textId="6E0E1337" w:rsidR="00950C29" w:rsidRPr="00950C29" w:rsidRDefault="00950C29" w:rsidP="004E072F">
      <w:pPr>
        <w:pStyle w:val="NormalWeb"/>
        <w:spacing w:line="360" w:lineRule="auto"/>
        <w:jc w:val="both"/>
      </w:pPr>
      <w:r w:rsidRPr="00950C29">
        <w:t xml:space="preserve">  The </w:t>
      </w:r>
      <w:proofErr w:type="spellStart"/>
      <w:r w:rsidRPr="00950C29">
        <w:t>Center</w:t>
      </w:r>
      <w:proofErr w:type="spellEnd"/>
      <w:r w:rsidRPr="00950C29">
        <w:t xml:space="preserve"> Pivot System (CPS) has been a primary focus of research due to its superior efficiency and popularity, covering over 13% of China’s sprinkler-irrigated area</w:t>
      </w:r>
      <w:r w:rsidR="00E6365C">
        <w:t xml:space="preserve"> </w:t>
      </w:r>
      <w:r w:rsidR="00230BCD">
        <w:t>(Yan et al., 2015)</w:t>
      </w:r>
      <w:r w:rsidRPr="00950C29">
        <w:t>. Research efforts are directed toward optimizing nozzle configuration based on the corresponding movement speed of the pivot to achieve consistently higher uniformity coefficients</w:t>
      </w:r>
      <w:r w:rsidR="00E6365C">
        <w:t xml:space="preserve"> </w:t>
      </w:r>
      <w:r w:rsidR="00231604">
        <w:t>(Li et al., 2015; Yan et al., 2011)</w:t>
      </w:r>
      <w:r w:rsidR="00231604" w:rsidRPr="00587614">
        <w:t xml:space="preserve">. </w:t>
      </w:r>
      <w:r w:rsidRPr="00950C29">
        <w:t xml:space="preserve">   </w:t>
      </w:r>
    </w:p>
    <w:p w14:paraId="4CB90CD8" w14:textId="77777777" w:rsidR="00950C29" w:rsidRPr="00950C29" w:rsidRDefault="00950C29" w:rsidP="00950C29">
      <w:pPr>
        <w:pStyle w:val="NormalWeb"/>
        <w:spacing w:line="360" w:lineRule="auto"/>
        <w:jc w:val="both"/>
        <w:rPr>
          <w:b/>
        </w:rPr>
      </w:pPr>
      <w:r w:rsidRPr="00950C29">
        <w:rPr>
          <w:b/>
        </w:rPr>
        <w:t>3.2. Hydraulic Innovations: The Role of Low-Pressure Nozzles</w:t>
      </w:r>
    </w:p>
    <w:p w14:paraId="0160DC57" w14:textId="055B03AA" w:rsidR="00950C29" w:rsidRDefault="00950C29" w:rsidP="00950C29">
      <w:pPr>
        <w:pStyle w:val="NormalWeb"/>
        <w:spacing w:line="360" w:lineRule="auto"/>
        <w:jc w:val="both"/>
      </w:pPr>
      <w:r>
        <w:t>The hydraulic performance of sprinkler systems is fundamentally linked to energy consumption, an increasingly critical constraint. Conventional systems operate at high pressures, typically ≥300 KPa, incurring significant pumping and operating costs</w:t>
      </w:r>
      <w:r w:rsidR="00E6365C">
        <w:t xml:space="preserve"> </w:t>
      </w:r>
      <w:r w:rsidR="00231604">
        <w:t xml:space="preserve">(Jiang et al., </w:t>
      </w:r>
      <w:r w:rsidR="00231604">
        <w:lastRenderedPageBreak/>
        <w:t>2020)</w:t>
      </w:r>
      <w:r w:rsidR="00231604" w:rsidRPr="00587614">
        <w:t xml:space="preserve">. </w:t>
      </w:r>
      <w:r>
        <w:t xml:space="preserve"> The development of Low-Pressure Sprinklers (LPS) represents a critical innovation, enabling effective operation at pressures &lt;200 KPa</w:t>
      </w:r>
      <w:r w:rsidR="00FC1D76">
        <w:t xml:space="preserve"> </w:t>
      </w:r>
      <w:r w:rsidR="00231604">
        <w:t xml:space="preserve">(Jiang et al., 2020; Jiménez-Bello et al., 2015; </w:t>
      </w:r>
      <w:proofErr w:type="spellStart"/>
      <w:r w:rsidR="00231604">
        <w:t>Tarjuelo</w:t>
      </w:r>
      <w:proofErr w:type="spellEnd"/>
      <w:r w:rsidR="00231604">
        <w:t xml:space="preserve"> et al., 2015)</w:t>
      </w:r>
      <w:r>
        <w:t xml:space="preserve">. This R&amp;D trend demonstrates that energy efficiency is now treated as an equal and inseparable factor alongside water efficiency in modern irrigation design.   </w:t>
      </w:r>
    </w:p>
    <w:p w14:paraId="7BF19C7D" w14:textId="471E94C9" w:rsidR="00950C29" w:rsidRDefault="00950C29" w:rsidP="00950C29">
      <w:pPr>
        <w:pStyle w:val="NormalWeb"/>
        <w:spacing w:line="360" w:lineRule="auto"/>
        <w:jc w:val="both"/>
      </w:pPr>
      <w:r>
        <w:t>The key technical challenge in LPS design is modifying the internal nozzle structure to reduce operating pressure while successfully maintaining the water droplet dispersion and overall application uniformity. Innovations have included redesigning diffusers, incorporating aerated pipes, and optimizing the structure of spray plates</w:t>
      </w:r>
      <w:r w:rsidR="00FC1D76">
        <w:t xml:space="preserve"> </w:t>
      </w:r>
      <w:r w:rsidR="00231604">
        <w:t>(Chaudhary et al., 2023)</w:t>
      </w:r>
      <w:r>
        <w:t xml:space="preserve">.   </w:t>
      </w:r>
    </w:p>
    <w:p w14:paraId="7F0D7206" w14:textId="094C4653" w:rsidR="00950C29" w:rsidRDefault="00950C29" w:rsidP="00950C29">
      <w:pPr>
        <w:pStyle w:val="NormalWeb"/>
        <w:spacing w:line="360" w:lineRule="auto"/>
        <w:jc w:val="both"/>
      </w:pPr>
      <w:r>
        <w:t xml:space="preserve">Despite advancements in design, all pressurized systems face the inherent limitation of water loss due to wind drift and evaporation (WDE Loss) during droplet travel. WDE Loss is a major operational concern, with reported </w:t>
      </w:r>
      <w:r w:rsidR="003E3926">
        <w:t xml:space="preserve">magnitudes varying widely from </w:t>
      </w:r>
      <w:r>
        <w:t>3.3% to as high as 36.4% under severe wind and climatic conditions in regions such as the Mediterranean</w:t>
      </w:r>
      <w:r w:rsidR="00FC1D76">
        <w:t xml:space="preserve"> </w:t>
      </w:r>
      <w:r w:rsidR="00231604">
        <w:t>(Ortíz et al., 2009; Faria et al., 2015)</w:t>
      </w:r>
      <w:r>
        <w:t>. This high degree of variability in WDE Loss demonstrates that reliance solely on optimal mechanical design is insufficient for high-efficiency application. Since WDE Loss scales with environmental factors (wind speed, temperature), this inherent vulnerability strongly suggests that real-time environmental data integration is indispensabl</w:t>
      </w:r>
      <w:r w:rsidR="008234DB">
        <w:t>e for dynamic system adjustment-</w:t>
      </w:r>
      <w:r>
        <w:t>a core function of precision irrigation</w:t>
      </w:r>
      <w:r w:rsidR="008234DB">
        <w:t xml:space="preserve"> </w:t>
      </w:r>
      <w:r w:rsidR="00231604">
        <w:t>(Sanchez et al., 2011)</w:t>
      </w:r>
      <w:r>
        <w:t xml:space="preserve">.   </w:t>
      </w:r>
    </w:p>
    <w:p w14:paraId="41DC5D45" w14:textId="200B70E7" w:rsidR="00950C29" w:rsidRDefault="00950C29" w:rsidP="00950C29">
      <w:pPr>
        <w:pStyle w:val="NormalWeb"/>
        <w:spacing w:line="360" w:lineRule="auto"/>
        <w:jc w:val="both"/>
      </w:pPr>
      <w:r>
        <w:t>Mitigation strategies are vital to control these losses, which can otherwise increase production costs and reduce net income. Researchers have identified that using specific sprinkler types, such as the 1-Wob sprinkler, can improve efficiency and reduce drift. Furthermore, predictive models, including multiple linear regression models, have been developed to forecast WDE losses under varying weather conditions, allowing operators to set optimal operating conditions dynamically and thus minimize drift losses</w:t>
      </w:r>
      <w:r w:rsidR="008234DB">
        <w:t xml:space="preserve"> </w:t>
      </w:r>
      <w:r w:rsidR="00231604">
        <w:t>(</w:t>
      </w:r>
      <w:proofErr w:type="spellStart"/>
      <w:r w:rsidR="00231604">
        <w:t>Baifus</w:t>
      </w:r>
      <w:proofErr w:type="spellEnd"/>
      <w:r w:rsidR="00231604">
        <w:t xml:space="preserve"> et al., 2019)</w:t>
      </w:r>
      <w:r>
        <w:t xml:space="preserve">.   </w:t>
      </w:r>
    </w:p>
    <w:p w14:paraId="3DF2FB1B" w14:textId="77777777" w:rsidR="00950C29" w:rsidRPr="00950C29" w:rsidRDefault="00950C29" w:rsidP="00950C29">
      <w:pPr>
        <w:pStyle w:val="NormalWeb"/>
        <w:spacing w:line="360" w:lineRule="auto"/>
        <w:jc w:val="both"/>
        <w:rPr>
          <w:b/>
        </w:rPr>
      </w:pPr>
      <w:r w:rsidRPr="00950C29">
        <w:rPr>
          <w:b/>
        </w:rPr>
        <w:t>3.3. Agronomic Performance and Microclimate Management</w:t>
      </w:r>
    </w:p>
    <w:p w14:paraId="2D9808E3" w14:textId="09AA165C" w:rsidR="00950C29" w:rsidRDefault="00950C29" w:rsidP="00950C29">
      <w:pPr>
        <w:pStyle w:val="NormalWeb"/>
        <w:spacing w:line="360" w:lineRule="auto"/>
        <w:jc w:val="both"/>
      </w:pPr>
      <w:r>
        <w:t xml:space="preserve">The utility of sprinkler irrigation extends beyond water conservation to providing tangible agronomic benefits. Sprinkler use has been shown to maximize crop production compared to </w:t>
      </w:r>
      <w:r>
        <w:lastRenderedPageBreak/>
        <w:t>traditional flood irrigation, with measured yield improvements in wheat (16.9%), maize (8.0%), and sunflower (11.4%)</w:t>
      </w:r>
      <w:r w:rsidR="00231604">
        <w:t xml:space="preserve"> (Xue et al., 2016)</w:t>
      </w:r>
      <w:r>
        <w:t xml:space="preserve">.   </w:t>
      </w:r>
    </w:p>
    <w:p w14:paraId="3C99AA48" w14:textId="1CF81EAF" w:rsidR="00950C29" w:rsidRDefault="00950C29" w:rsidP="00950C29">
      <w:pPr>
        <w:pStyle w:val="NormalWeb"/>
        <w:spacing w:line="360" w:lineRule="auto"/>
        <w:jc w:val="both"/>
      </w:pPr>
      <w:r>
        <w:t>A significant advantage of sprinkler systems is their utility in fertigation, the application of soluble fertilizers along with irrigation water. While typical fertilizer use efficiency is low (around 30%), applying nutrients via sprinkler systems dramatically improves overall efficiency by &gt;35%. This requires the seamless integration of injection devices and specialized Variable Rate Technology (VRT)</w:t>
      </w:r>
      <w:r w:rsidR="00231604">
        <w:t xml:space="preserve"> (Chaudhary et al., 2023)</w:t>
      </w:r>
      <w:r>
        <w:t xml:space="preserve">.   </w:t>
      </w:r>
    </w:p>
    <w:p w14:paraId="6E266060" w14:textId="38BD49EC" w:rsidR="00950C29" w:rsidRDefault="00950C29" w:rsidP="00950C29">
      <w:pPr>
        <w:pStyle w:val="NormalWeb"/>
        <w:spacing w:line="360" w:lineRule="auto"/>
        <w:jc w:val="both"/>
      </w:pPr>
      <w:r>
        <w:t>In addition to resource efficiency, sprinklers offer distinct microclimate management capabilities. Overhead water application provides protection against freezing temperatures and reduces canopy temperature, vapor pressure, and transpiration, particularly under hot-dry windy conditions, thereby improving the efficiency of the photosynthesis process</w:t>
      </w:r>
      <w:r w:rsidR="003B5513">
        <w:t xml:space="preserve"> </w:t>
      </w:r>
      <w:r w:rsidR="00231604">
        <w:t>(Pan et al., 202</w:t>
      </w:r>
      <w:r w:rsidR="00D6240E">
        <w:t>4</w:t>
      </w:r>
      <w:r w:rsidR="00231604">
        <w:t>)</w:t>
      </w:r>
      <w:r>
        <w:t xml:space="preserve">. However, this practice carries a trade-off: introducing excessive moisture into the crop canopy, especially in humid and warm climates, can facilitate the outbreak of fungal and bacterial diseases, necessitating careful management of irrigation duration and frequency to mitigate pathogen spread.   </w:t>
      </w:r>
    </w:p>
    <w:p w14:paraId="514C2302" w14:textId="77777777" w:rsidR="00950C29" w:rsidRPr="00950C29" w:rsidRDefault="00950C29" w:rsidP="00950C29">
      <w:pPr>
        <w:pStyle w:val="NormalWeb"/>
        <w:spacing w:line="360" w:lineRule="auto"/>
        <w:jc w:val="both"/>
        <w:rPr>
          <w:b/>
        </w:rPr>
      </w:pPr>
      <w:r w:rsidRPr="00950C29">
        <w:t> </w:t>
      </w:r>
      <w:r w:rsidRPr="00950C29">
        <w:rPr>
          <w:b/>
        </w:rPr>
        <w:t>4. Precision Irrigation (PI) Framework using Sprinkler Systems</w:t>
      </w:r>
    </w:p>
    <w:p w14:paraId="70E7DF5C" w14:textId="77777777" w:rsidR="00950C29" w:rsidRPr="00950C29" w:rsidRDefault="00950C29" w:rsidP="00950C29">
      <w:pPr>
        <w:pStyle w:val="NormalWeb"/>
        <w:spacing w:line="360" w:lineRule="auto"/>
        <w:jc w:val="both"/>
        <w:rPr>
          <w:b/>
        </w:rPr>
      </w:pPr>
      <w:r w:rsidRPr="00950C29">
        <w:rPr>
          <w:b/>
        </w:rPr>
        <w:t>4.1. Definition and Rationale for Variable Rate Irrigation (VRI)</w:t>
      </w:r>
    </w:p>
    <w:p w14:paraId="7E07EC69" w14:textId="662339CB" w:rsidR="00EE63A2" w:rsidRDefault="00950C29" w:rsidP="00950C29">
      <w:pPr>
        <w:pStyle w:val="NormalWeb"/>
        <w:spacing w:line="360" w:lineRule="auto"/>
        <w:jc w:val="both"/>
      </w:pPr>
      <w:r>
        <w:t>Precision Irrigation (PI) represents the convergence of advanced sensing, data analysis, and automation, moving beyond the mechanical constraints of conventional sprinklers. The fundamental principle of PI is the customized application of water, varying the rate both temporally and spatially based on the actual, real-time, heterogeneous water requirements within a field</w:t>
      </w:r>
      <w:r w:rsidR="003B5513">
        <w:t xml:space="preserve"> </w:t>
      </w:r>
      <w:r w:rsidR="00D6240E">
        <w:t>(</w:t>
      </w:r>
      <w:proofErr w:type="spellStart"/>
      <w:r w:rsidR="00D6240E">
        <w:t>Stalidzans</w:t>
      </w:r>
      <w:proofErr w:type="spellEnd"/>
      <w:r w:rsidR="00D6240E">
        <w:t>, 2012)</w:t>
      </w:r>
      <w:r>
        <w:t>. This realization is achieved through Variable Rate Irrigation (VRI), which treats the field as a collection of small management zones, applying the exact required water volume to each zone. The application of PI to sprinkler systems offers substantial efficiency improvements, saving an additional 20−30% of water compared to manually operated sprinkler systems, and driving crop yield increases up to 27.5%</w:t>
      </w:r>
      <w:r w:rsidR="00BC3536">
        <w:t xml:space="preserve"> </w:t>
      </w:r>
      <w:r w:rsidR="00D6240E">
        <w:t>(Chaudhary et al., 2023)</w:t>
      </w:r>
      <w:r>
        <w:t xml:space="preserve">. </w:t>
      </w:r>
      <w:r w:rsidR="00000BE5" w:rsidRPr="00000BE5">
        <w:t>Recent studies have also demonstrated the operational advantage of utilizing a variable application rate in sprinkler systems, tailored to match the soil infiltration capacity rather than ap</w:t>
      </w:r>
      <w:r w:rsidR="00EE63A2">
        <w:t xml:space="preserve">plying water at a constant rate. </w:t>
      </w:r>
      <w:r w:rsidR="00000BE5" w:rsidRPr="00000BE5">
        <w:t xml:space="preserve">A mathematical approach developed to </w:t>
      </w:r>
      <w:r w:rsidR="00000BE5" w:rsidRPr="00000BE5">
        <w:lastRenderedPageBreak/>
        <w:t>estimate time savings indicated that variable application rates can significantly reduce irrigation time without compromising the target application depth</w:t>
      </w:r>
      <w:r w:rsidR="00EE63A2">
        <w:t xml:space="preserve"> </w:t>
      </w:r>
      <w:r w:rsidR="00EE63A2" w:rsidRPr="00000BE5">
        <w:t>(</w:t>
      </w:r>
      <w:r w:rsidR="00EE63A2">
        <w:t>Dadhich et al., 2012)</w:t>
      </w:r>
      <w:r w:rsidR="00000BE5" w:rsidRPr="00000BE5">
        <w:t xml:space="preserve">. </w:t>
      </w:r>
    </w:p>
    <w:p w14:paraId="253E7E40" w14:textId="77777777" w:rsidR="00950C29" w:rsidRPr="00950C29" w:rsidRDefault="00950C29" w:rsidP="00950C29">
      <w:pPr>
        <w:pStyle w:val="NormalWeb"/>
        <w:spacing w:line="360" w:lineRule="auto"/>
        <w:jc w:val="both"/>
        <w:rPr>
          <w:b/>
        </w:rPr>
      </w:pPr>
      <w:r w:rsidRPr="00950C29">
        <w:rPr>
          <w:b/>
        </w:rPr>
        <w:t>4.2. Field Monitoring Parameters for Irrigation Scheduling</w:t>
      </w:r>
    </w:p>
    <w:p w14:paraId="697E1C0A" w14:textId="77777777" w:rsidR="00950C29" w:rsidRDefault="00950C29" w:rsidP="00950C29">
      <w:pPr>
        <w:pStyle w:val="NormalWeb"/>
        <w:spacing w:line="360" w:lineRule="auto"/>
        <w:jc w:val="both"/>
      </w:pPr>
      <w:r>
        <w:t xml:space="preserve">Effective VRI requires constant, accurate monitoring across three critical domains that govern the crop water balance:   </w:t>
      </w:r>
    </w:p>
    <w:p w14:paraId="26068DB7" w14:textId="77777777" w:rsidR="00950C29" w:rsidRPr="00950C29" w:rsidRDefault="00950C29" w:rsidP="00950C29">
      <w:pPr>
        <w:pStyle w:val="NormalWeb"/>
        <w:spacing w:line="360" w:lineRule="auto"/>
        <w:jc w:val="both"/>
        <w:rPr>
          <w:b/>
        </w:rPr>
      </w:pPr>
      <w:r w:rsidRPr="00950C29">
        <w:rPr>
          <w:b/>
        </w:rPr>
        <w:t>4.2.1. Soil Parameters</w:t>
      </w:r>
    </w:p>
    <w:p w14:paraId="64777667" w14:textId="5DBDE93D" w:rsidR="00950C29" w:rsidRDefault="00950C29" w:rsidP="00950C29">
      <w:pPr>
        <w:pStyle w:val="NormalWeb"/>
        <w:spacing w:line="360" w:lineRule="auto"/>
        <w:jc w:val="both"/>
      </w:pPr>
      <w:r>
        <w:t>This group focuses on the physical availability of water in the root zone. Key parameters include soil moisture content (the most critical factor), soil salinity, soil pH, and soil water absorption capacity</w:t>
      </w:r>
      <w:r w:rsidR="00236CA8">
        <w:t xml:space="preserve"> </w:t>
      </w:r>
      <w:r w:rsidR="00D6240E">
        <w:t>(</w:t>
      </w:r>
      <w:proofErr w:type="spellStart"/>
      <w:r w:rsidR="00D6240E">
        <w:t>Lakhiar</w:t>
      </w:r>
      <w:proofErr w:type="spellEnd"/>
      <w:r w:rsidR="00D6240E">
        <w:t xml:space="preserve"> et al., 2018; </w:t>
      </w:r>
      <w:proofErr w:type="spellStart"/>
      <w:r w:rsidR="00D6240E">
        <w:t>Culibrk</w:t>
      </w:r>
      <w:proofErr w:type="spellEnd"/>
      <w:r w:rsidR="00D6240E">
        <w:t xml:space="preserve"> et al., 2014)</w:t>
      </w:r>
      <w:r>
        <w:t xml:space="preserve">.   </w:t>
      </w:r>
    </w:p>
    <w:p w14:paraId="56062DDA" w14:textId="77777777" w:rsidR="00950C29" w:rsidRPr="00950C29" w:rsidRDefault="00950C29" w:rsidP="00950C29">
      <w:pPr>
        <w:pStyle w:val="NormalWeb"/>
        <w:spacing w:line="360" w:lineRule="auto"/>
        <w:jc w:val="both"/>
        <w:rPr>
          <w:b/>
        </w:rPr>
      </w:pPr>
      <w:r w:rsidRPr="00950C29">
        <w:rPr>
          <w:b/>
        </w:rPr>
        <w:t>4.2.2. Plant Parameters</w:t>
      </w:r>
    </w:p>
    <w:p w14:paraId="4619D545" w14:textId="7436442A" w:rsidR="00950C29" w:rsidRDefault="00950C29" w:rsidP="00950C29">
      <w:pPr>
        <w:pStyle w:val="NormalWeb"/>
        <w:spacing w:line="360" w:lineRule="auto"/>
        <w:jc w:val="both"/>
      </w:pPr>
      <w:r>
        <w:t>These indicators provide the most realistic picture of the plant's actual physiological demand and its response to existing water and nutrient conditions. They include the Leaf Area Index (LAI), Normalized Difference Vegetation Index (NDVI), stomatal conductance, Crop Water Stress Index (CWSI), leaf turgor pressure, and actual evapotranspiration. Because current PI is often optimized based on indirect measures (soil moisture, climate inputs), advancing PI requires improving robust, real-time, in-field plant-based sensing to capture this most realistic physiological demand</w:t>
      </w:r>
      <w:r w:rsidR="003974E3">
        <w:t xml:space="preserve"> </w:t>
      </w:r>
      <w:r w:rsidR="00D6240E">
        <w:t>(</w:t>
      </w:r>
      <w:proofErr w:type="spellStart"/>
      <w:r w:rsidR="00D6240E">
        <w:t>Lakhiar</w:t>
      </w:r>
      <w:proofErr w:type="spellEnd"/>
      <w:r w:rsidR="00D6240E">
        <w:t xml:space="preserve"> et al., 2018; </w:t>
      </w:r>
      <w:proofErr w:type="spellStart"/>
      <w:r w:rsidR="00D6240E">
        <w:t>Culibrk</w:t>
      </w:r>
      <w:proofErr w:type="spellEnd"/>
      <w:r w:rsidR="00D6240E">
        <w:t xml:space="preserve"> et al., 2014)</w:t>
      </w:r>
      <w:r>
        <w:t xml:space="preserve">.   </w:t>
      </w:r>
    </w:p>
    <w:p w14:paraId="68178012" w14:textId="77777777" w:rsidR="00950C29" w:rsidRPr="00950C29" w:rsidRDefault="00950C29" w:rsidP="00950C29">
      <w:pPr>
        <w:pStyle w:val="NormalWeb"/>
        <w:spacing w:line="360" w:lineRule="auto"/>
        <w:jc w:val="both"/>
        <w:rPr>
          <w:b/>
        </w:rPr>
      </w:pPr>
      <w:r w:rsidRPr="00950C29">
        <w:rPr>
          <w:b/>
        </w:rPr>
        <w:t>4.2.3. Climatic Parameters</w:t>
      </w:r>
    </w:p>
    <w:p w14:paraId="689921BB" w14:textId="1788A7E9" w:rsidR="00950C29" w:rsidRDefault="00950C29" w:rsidP="00950C29">
      <w:pPr>
        <w:pStyle w:val="NormalWeb"/>
        <w:spacing w:line="360" w:lineRule="auto"/>
        <w:jc w:val="both"/>
      </w:pPr>
      <w:r>
        <w:t>Climatic variables serve as essential inputs for empirical and theoretical models used in irrigation scheduling. Key parameters monitored include ambient temperature, humidity, solar radiation, wind speed, and precipitation. These are fed into established models, such as the Penman–Monteith evapotranspiration model, to calculate the reference and develop predictive irrigation schedules</w:t>
      </w:r>
      <w:r w:rsidR="001B4483">
        <w:t xml:space="preserve"> </w:t>
      </w:r>
      <w:r w:rsidR="00D6240E">
        <w:t>(Rahman et al., 2019)</w:t>
      </w:r>
      <w:r>
        <w:t xml:space="preserve">.   </w:t>
      </w:r>
    </w:p>
    <w:p w14:paraId="55AFF20D" w14:textId="77777777" w:rsidR="00950C29" w:rsidRPr="00950C29" w:rsidRDefault="00950C29" w:rsidP="00950C29">
      <w:pPr>
        <w:pStyle w:val="NormalWeb"/>
        <w:spacing w:line="360" w:lineRule="auto"/>
        <w:jc w:val="both"/>
        <w:rPr>
          <w:b/>
        </w:rPr>
      </w:pPr>
      <w:r w:rsidRPr="00950C29">
        <w:rPr>
          <w:b/>
        </w:rPr>
        <w:t>4.3. Data Acquisition Technologies: From Local Sensors to Remote Sensing</w:t>
      </w:r>
    </w:p>
    <w:p w14:paraId="59E5C4DF" w14:textId="77777777" w:rsidR="00950C29" w:rsidRPr="00950C29" w:rsidRDefault="00950C29" w:rsidP="00950C29">
      <w:pPr>
        <w:pStyle w:val="NormalWeb"/>
        <w:spacing w:line="360" w:lineRule="auto"/>
        <w:jc w:val="both"/>
      </w:pPr>
      <w:r>
        <w:t>Implementing PI necessitates highly accurate measurement of field parameters. Data acquisition technologies establish a crucial spatial and temporal hierarchy for effective VRI:</w:t>
      </w:r>
    </w:p>
    <w:p w14:paraId="5EBE8B48" w14:textId="77777777" w:rsidR="00950C29" w:rsidRPr="00950C29" w:rsidRDefault="00950C29" w:rsidP="00950C29">
      <w:pPr>
        <w:pStyle w:val="NormalWeb"/>
        <w:spacing w:line="360" w:lineRule="auto"/>
        <w:jc w:val="both"/>
        <w:rPr>
          <w:b/>
        </w:rPr>
      </w:pPr>
      <w:r w:rsidRPr="00950C29">
        <w:rPr>
          <w:b/>
        </w:rPr>
        <w:lastRenderedPageBreak/>
        <w:t>4.3.1. In-Field Sensors</w:t>
      </w:r>
    </w:p>
    <w:p w14:paraId="4EF2350D" w14:textId="78649F46" w:rsidR="00950C29" w:rsidRDefault="00950C29" w:rsidP="00950C29">
      <w:pPr>
        <w:pStyle w:val="NormalWeb"/>
        <w:spacing w:line="360" w:lineRule="auto"/>
        <w:jc w:val="both"/>
      </w:pPr>
      <w:r>
        <w:t>Local sensors provide high temporal fidelity, crucial for responsive control systems. Devices such as Time Domain Reflectometry (TDR) offer high accuracy but are expensive, whereas capacitance-based sensors provide a reliable, low-cost option, contingent on effective field calibration. Beyond moisture, these sensors can monitor nutrient levels, integrating critical data for comprehensive management</w:t>
      </w:r>
      <w:r w:rsidR="001B4483">
        <w:t xml:space="preserve"> </w:t>
      </w:r>
      <w:r w:rsidR="00D6240E">
        <w:t>(</w:t>
      </w:r>
      <w:proofErr w:type="spellStart"/>
      <w:r w:rsidR="00D6240E">
        <w:t>Bitella</w:t>
      </w:r>
      <w:proofErr w:type="spellEnd"/>
      <w:r w:rsidR="00D6240E">
        <w:t xml:space="preserve"> et al., 2014)</w:t>
      </w:r>
      <w:r>
        <w:t xml:space="preserve">.   </w:t>
      </w:r>
    </w:p>
    <w:p w14:paraId="3CEA2324" w14:textId="77777777" w:rsidR="00950C29" w:rsidRPr="00950C29" w:rsidRDefault="00950C29" w:rsidP="00950C29">
      <w:pPr>
        <w:pStyle w:val="NormalWeb"/>
        <w:spacing w:line="360" w:lineRule="auto"/>
        <w:jc w:val="both"/>
        <w:rPr>
          <w:b/>
        </w:rPr>
      </w:pPr>
      <w:r w:rsidRPr="00950C29">
        <w:rPr>
          <w:b/>
        </w:rPr>
        <w:t>4.3.2. Remote Sensing (Satellite)</w:t>
      </w:r>
    </w:p>
    <w:p w14:paraId="7D52F9BC" w14:textId="688B261B" w:rsidR="00950C29" w:rsidRDefault="00950C29" w:rsidP="00950C29">
      <w:pPr>
        <w:pStyle w:val="NormalWeb"/>
        <w:spacing w:line="360" w:lineRule="auto"/>
        <w:jc w:val="both"/>
      </w:pPr>
      <w:r>
        <w:t>Satellite remote sensing, utilizing platforms like Landsat, MODIS, and SPOT, offers an excellent, reliable option for broad-scale data collection. Satellites use different spectral bands to differentiate water-stressed crop areas, providing data on parameters like NDVI and evapotranspiration at high spatial and temporal frequencies</w:t>
      </w:r>
      <w:r w:rsidR="001B4483">
        <w:t xml:space="preserve"> </w:t>
      </w:r>
      <w:r w:rsidR="00D6240E">
        <w:t>(Bwambale et al., 2022)</w:t>
      </w:r>
      <w:r>
        <w:t xml:space="preserve">. This method provides large-scale, low-cost monitoring for regional evapotranspiration mapping, and its incorporation has been proven to achieve 10−20% additional water saving within integrated pressurized systems.   </w:t>
      </w:r>
    </w:p>
    <w:p w14:paraId="7343A372" w14:textId="77777777" w:rsidR="00950C29" w:rsidRPr="00950C29" w:rsidRDefault="00950C29" w:rsidP="00950C29">
      <w:pPr>
        <w:pStyle w:val="NormalWeb"/>
        <w:spacing w:line="360" w:lineRule="auto"/>
        <w:jc w:val="both"/>
        <w:rPr>
          <w:b/>
        </w:rPr>
      </w:pPr>
      <w:r w:rsidRPr="00950C29">
        <w:rPr>
          <w:b/>
        </w:rPr>
        <w:t>4.3.3. Unmanned Aerial Vehicles (UAVs)</w:t>
      </w:r>
    </w:p>
    <w:p w14:paraId="04E239E3" w14:textId="365D7544" w:rsidR="00950C29" w:rsidRDefault="00950C29" w:rsidP="00950C29">
      <w:pPr>
        <w:pStyle w:val="NormalWeb"/>
        <w:spacing w:line="360" w:lineRule="auto"/>
        <w:jc w:val="both"/>
      </w:pPr>
      <w:r>
        <w:t>UAVs, or drones, are rapid, reliable, and affordable alternatives to satellites for localized, small-scale application. Equipped with specialized sensors, UAVs can monitor soil moisture and plant water stress in real-time at high spatial resolution</w:t>
      </w:r>
      <w:r w:rsidR="009C3EB5">
        <w:t xml:space="preserve"> </w:t>
      </w:r>
      <w:r w:rsidR="00D6240E">
        <w:t>(Mokhtari et al., 2021)</w:t>
      </w:r>
      <w:r>
        <w:t xml:space="preserve">. UAVs bridge the gap between fixed-point sensor measurements and large-scale satellite data, ensuring that VRI prescription maps accurately capture high spatial variability.   </w:t>
      </w:r>
    </w:p>
    <w:p w14:paraId="75D37B79" w14:textId="77777777" w:rsidR="00950C29" w:rsidRPr="00950C29" w:rsidRDefault="00950C29" w:rsidP="00950C29">
      <w:pPr>
        <w:pStyle w:val="NormalWeb"/>
        <w:spacing w:line="360" w:lineRule="auto"/>
        <w:jc w:val="both"/>
        <w:rPr>
          <w:b/>
          <w:bCs/>
        </w:rPr>
      </w:pPr>
      <w:r w:rsidRPr="00950C29">
        <w:rPr>
          <w:b/>
          <w:bCs/>
        </w:rPr>
        <w:t>5. Automation and Control Strategies for Precision Application</w:t>
      </w:r>
    </w:p>
    <w:p w14:paraId="4D34D222" w14:textId="77777777" w:rsidR="00950C29" w:rsidRPr="00950C29" w:rsidRDefault="00950C29" w:rsidP="00950C29">
      <w:pPr>
        <w:pStyle w:val="NormalWeb"/>
        <w:spacing w:line="360" w:lineRule="auto"/>
        <w:jc w:val="both"/>
        <w:rPr>
          <w:b/>
          <w:bCs/>
        </w:rPr>
      </w:pPr>
      <w:r w:rsidRPr="00950C29">
        <w:rPr>
          <w:b/>
          <w:bCs/>
        </w:rPr>
        <w:t>5.1. Data Management and Operational Control Mechanisms</w:t>
      </w:r>
    </w:p>
    <w:p w14:paraId="7E6E41E2" w14:textId="5C88B559" w:rsidR="00950C29" w:rsidRPr="00950C29" w:rsidRDefault="00950C29" w:rsidP="00950C29">
      <w:pPr>
        <w:pStyle w:val="NormalWeb"/>
        <w:spacing w:line="360" w:lineRule="auto"/>
        <w:jc w:val="both"/>
      </w:pPr>
      <w:r w:rsidRPr="00950C29">
        <w:t xml:space="preserve">After field data is acquired, it must be </w:t>
      </w:r>
      <w:proofErr w:type="spellStart"/>
      <w:r w:rsidRPr="00950C29">
        <w:t>analyzed</w:t>
      </w:r>
      <w:proofErr w:type="spellEnd"/>
      <w:r w:rsidRPr="00950C29">
        <w:t xml:space="preserve"> and transformed into actionable irrigation maps defining the necessary application rate across management zones. </w:t>
      </w:r>
      <w:proofErr w:type="spellStart"/>
      <w:r w:rsidRPr="00950C29">
        <w:t>Modeling</w:t>
      </w:r>
      <w:proofErr w:type="spellEnd"/>
      <w:r w:rsidRPr="00950C29">
        <w:t xml:space="preserve"> tools, such as DSSAT and MATLAB, are utilized to simulate field conditions, predict spatially heterogeneous water demands, and create prescription maps for VRI application</w:t>
      </w:r>
      <w:r w:rsidR="009C3EB5">
        <w:t xml:space="preserve"> </w:t>
      </w:r>
      <w:r w:rsidR="00D6240E">
        <w:t>(Bwambale et al., 2022)</w:t>
      </w:r>
      <w:r w:rsidRPr="00950C29">
        <w:t xml:space="preserve">. The actual mechanized application is governed by two principal control philosophies:   </w:t>
      </w:r>
    </w:p>
    <w:p w14:paraId="66E26BA4" w14:textId="77777777" w:rsidR="00950C29" w:rsidRPr="00950C29" w:rsidRDefault="00950C29" w:rsidP="00950C29">
      <w:pPr>
        <w:pStyle w:val="NormalWeb"/>
        <w:spacing w:line="360" w:lineRule="auto"/>
        <w:jc w:val="both"/>
        <w:rPr>
          <w:b/>
          <w:bCs/>
        </w:rPr>
      </w:pPr>
      <w:r w:rsidRPr="00950C29">
        <w:rPr>
          <w:b/>
          <w:bCs/>
        </w:rPr>
        <w:lastRenderedPageBreak/>
        <w:t>5.1.1. Open Loop Technique (OLT)</w:t>
      </w:r>
    </w:p>
    <w:p w14:paraId="17486C31" w14:textId="0BB6F675" w:rsidR="00950C29" w:rsidRPr="00950C29" w:rsidRDefault="00950C29" w:rsidP="00950C29">
      <w:pPr>
        <w:pStyle w:val="NormalWeb"/>
        <w:spacing w:line="360" w:lineRule="auto"/>
        <w:jc w:val="both"/>
      </w:pPr>
      <w:r w:rsidRPr="00950C29">
        <w:t>The OLT operates based on a predetermined, pre-set program (input) without continuous reliance on output feedback from the field. This technique is simple, inexpensive, and easy to implement, leading to high farmer adoption</w:t>
      </w:r>
      <w:r w:rsidR="009C3EB5">
        <w:t xml:space="preserve"> </w:t>
      </w:r>
      <w:r w:rsidR="00D6240E">
        <w:t xml:space="preserve">(Bwambale et al., 2022). </w:t>
      </w:r>
      <w:r w:rsidRPr="00950C29">
        <w:t xml:space="preserve">However, OLT cannot autonomously sense and adapt to sudden environmental disturbances, such as unpredicted rainfall or rapid changes in temperature or wind.   </w:t>
      </w:r>
    </w:p>
    <w:p w14:paraId="506B3FB5" w14:textId="77777777" w:rsidR="00950C29" w:rsidRPr="00950C29" w:rsidRDefault="00950C29" w:rsidP="00950C29">
      <w:pPr>
        <w:pStyle w:val="NormalWeb"/>
        <w:spacing w:line="360" w:lineRule="auto"/>
        <w:jc w:val="both"/>
        <w:rPr>
          <w:b/>
          <w:bCs/>
        </w:rPr>
      </w:pPr>
      <w:r w:rsidRPr="00950C29">
        <w:rPr>
          <w:b/>
          <w:bCs/>
        </w:rPr>
        <w:t>5.1.2. Closed Loop Technique (CLT)</w:t>
      </w:r>
    </w:p>
    <w:p w14:paraId="3D77ED87" w14:textId="474AE4B5" w:rsidR="00950C29" w:rsidRPr="00950C29" w:rsidRDefault="00950C29" w:rsidP="00950C29">
      <w:pPr>
        <w:pStyle w:val="NormalWeb"/>
        <w:spacing w:line="360" w:lineRule="auto"/>
        <w:jc w:val="both"/>
      </w:pPr>
      <w:r w:rsidRPr="00950C29">
        <w:t xml:space="preserve">The CLT incorporates a continuous feedback loop, constantly retrieving real-time field data (soil moisture, plant stress) from sensors and dynamically adjusting the irrigation operation to maintain a desired set point. This approach achieves the true spirit of </w:t>
      </w:r>
      <w:r>
        <w:t xml:space="preserve">precision, potentially yielding </w:t>
      </w:r>
      <w:r w:rsidRPr="00950C29">
        <w:t>20−30% higher efficiency than OLT</w:t>
      </w:r>
      <w:r w:rsidR="009C3EB5">
        <w:t xml:space="preserve"> </w:t>
      </w:r>
      <w:r w:rsidR="00D6240E">
        <w:t>(Bwambale et al., 2022)</w:t>
      </w:r>
      <w:r w:rsidRPr="00950C29">
        <w:t xml:space="preserve">. However, CLT presents the greatest implementation struggles. It incurs high capital costs due to sensor proliferation and complex structure. Furthermore, the continuous dynamics of the agricultural environment make control management extremely cumbersome. This high cost/complexity trade-off explains why simple OLT systems, despite being suboptimal, are currently </w:t>
      </w:r>
      <w:proofErr w:type="spellStart"/>
      <w:r w:rsidRPr="00950C29">
        <w:t>favored</w:t>
      </w:r>
      <w:proofErr w:type="spellEnd"/>
      <w:r w:rsidRPr="00950C29">
        <w:t xml:space="preserve"> in many agricultural settings.   </w:t>
      </w:r>
    </w:p>
    <w:p w14:paraId="3CE027AA" w14:textId="77777777" w:rsidR="00950C29" w:rsidRPr="00950C29" w:rsidRDefault="00950C29" w:rsidP="00950C29">
      <w:pPr>
        <w:pStyle w:val="NormalWeb"/>
        <w:spacing w:line="360" w:lineRule="auto"/>
        <w:jc w:val="both"/>
        <w:rPr>
          <w:b/>
          <w:bCs/>
        </w:rPr>
      </w:pPr>
      <w:r w:rsidRPr="00950C29">
        <w:rPr>
          <w:b/>
          <w:bCs/>
        </w:rPr>
        <w:t>5.2. Integration of Intelligent Controllers</w:t>
      </w:r>
    </w:p>
    <w:p w14:paraId="7E5E7381" w14:textId="1831EA94" w:rsidR="00950C29" w:rsidRPr="00950C29" w:rsidRDefault="00950C29" w:rsidP="00950C29">
      <w:pPr>
        <w:pStyle w:val="NormalWeb"/>
        <w:spacing w:line="360" w:lineRule="auto"/>
        <w:jc w:val="both"/>
      </w:pPr>
      <w:r w:rsidRPr="00950C29">
        <w:t>To execute the complex VRI commands generated by the data analysis stage, advanced controllers are necessary. Traditional Proportional-Integrated Derivative (PID) controllers are structurally simple but struggle to handle external environmental disturbances, making them suboptimal for the dynamic complexities of VRI</w:t>
      </w:r>
      <w:r w:rsidR="00E41621">
        <w:t xml:space="preserve"> </w:t>
      </w:r>
      <w:r w:rsidR="00D6240E">
        <w:t>(Gauri et al., 2013)</w:t>
      </w:r>
      <w:r w:rsidRPr="00950C29">
        <w:t xml:space="preserve">.   </w:t>
      </w:r>
    </w:p>
    <w:p w14:paraId="08821866" w14:textId="17214B4B" w:rsidR="00950C29" w:rsidRPr="00950C29" w:rsidRDefault="00950C29" w:rsidP="00950C29">
      <w:pPr>
        <w:pStyle w:val="NormalWeb"/>
        <w:spacing w:line="360" w:lineRule="auto"/>
        <w:jc w:val="both"/>
      </w:pPr>
      <w:r w:rsidRPr="00950C29">
        <w:t>Intelligent control systems, such as those employing Artificial Intelligence (AI) and fuzzy logic, offer a more robust solution by utilizing briskly developed algorithms to emulate human decision-making. The integration of systems like Fuzzy Neural Networks coupled with Genetic Algorithms has been shown to result in substantial agronomic improvements, including 15−25% better yield and 25% water saving. However, these AI-based systems are often expensive and structurally complex</w:t>
      </w:r>
      <w:r w:rsidR="00E41621">
        <w:t xml:space="preserve"> </w:t>
      </w:r>
      <w:r w:rsidR="00D6240E">
        <w:t>(Fuentes et al., 2018)</w:t>
      </w:r>
      <w:r w:rsidRPr="00950C29">
        <w:t xml:space="preserve">.   </w:t>
      </w:r>
    </w:p>
    <w:p w14:paraId="2554EACC" w14:textId="77777777" w:rsidR="00DB0521" w:rsidRDefault="00950C29" w:rsidP="00950C29">
      <w:pPr>
        <w:pStyle w:val="NormalWeb"/>
        <w:spacing w:line="360" w:lineRule="auto"/>
        <w:jc w:val="both"/>
      </w:pPr>
      <w:r w:rsidRPr="00950C29">
        <w:t xml:space="preserve">The most promising future direction lies in the development of Model Predictive Control (MPC) systems. MPC uses a dynamic model of the agricultural system to predict future state </w:t>
      </w:r>
      <w:r w:rsidRPr="00950C29">
        <w:lastRenderedPageBreak/>
        <w:t>outcomes, optimizing control actions over a receding time horizon</w:t>
      </w:r>
      <w:r w:rsidR="00FB267E">
        <w:t xml:space="preserve"> </w:t>
      </w:r>
      <w:r w:rsidR="00D6240E">
        <w:t>(Wong et al., 2018)</w:t>
      </w:r>
      <w:r w:rsidRPr="00950C29">
        <w:t xml:space="preserve">. Implementing MPC on sprinkler machines offers superior efficiency, robustness, and optimality. Research indicates that future development of smart MPC controllers could enhance PI efficiency by an additional 20−30% over current conventional control mechanisms. Crucially, the operational success of MPC relies heavily on continuous, high-quality input data; poor sensor calibration or data gaps could lead to immense implementation struggles and negate the complexity of the advanced control system. </w:t>
      </w:r>
    </w:p>
    <w:p w14:paraId="01EEB057" w14:textId="0ADD308B" w:rsidR="00950C29" w:rsidRPr="00950C29" w:rsidRDefault="009A6D75" w:rsidP="00950C29">
      <w:pPr>
        <w:pStyle w:val="NormalWeb"/>
        <w:spacing w:line="360" w:lineRule="auto"/>
        <w:jc w:val="both"/>
      </w:pPr>
      <w:r w:rsidRPr="009A6D75">
        <w:t>While the current review primarily focuses on precision sprinkler irrigation, relevant advancements in other pressurized irrigation systems, particularly drip irrigation, provide useful insights into automation strategies. Recent research highlights that automated irrigation control systems using low-cost sensors and simple circuits can significantly enhance water use efficiency while maintaining or improving crop yields. An automated irrigation mechanism was developed to autonomously control pump operation based on real-time soil moisture sensing, enabling timely water application with minimal manual intervention. Field testing on tomato crops revealed that plants irrigated using the automated system exhibited slightly greater plant height and improved yield and quality compared to those under manual irrigation. This demonstrates the potential of simple, cost-effective automation frameworks to support small and marginal farmers, particularly in water-scarce regions. Integrating such sensor-based control principles into sprinkler systems can further enhance their responsiveness and efficiency, making precision irrigation more accessible and scalable across varying farm sizes</w:t>
      </w:r>
      <w:r>
        <w:t xml:space="preserve"> (Pandey et al., 2023)</w:t>
      </w:r>
      <w:r w:rsidRPr="009A6D75">
        <w:t>.</w:t>
      </w:r>
      <w:r w:rsidR="00950C29" w:rsidRPr="00950C29">
        <w:t xml:space="preserve">  </w:t>
      </w:r>
    </w:p>
    <w:p w14:paraId="3CEF9E52" w14:textId="77777777" w:rsidR="00950C29" w:rsidRPr="00950C29" w:rsidRDefault="00950C29" w:rsidP="00950C29">
      <w:pPr>
        <w:pStyle w:val="NormalWeb"/>
        <w:spacing w:line="360" w:lineRule="auto"/>
        <w:jc w:val="both"/>
        <w:rPr>
          <w:b/>
          <w:bCs/>
        </w:rPr>
      </w:pPr>
      <w:r w:rsidRPr="00950C29">
        <w:rPr>
          <w:b/>
          <w:bCs/>
        </w:rPr>
        <w:t>5.3. Quantitative Impact of Precision Systems on Crop Production</w:t>
      </w:r>
    </w:p>
    <w:p w14:paraId="4F9989C8" w14:textId="58BF4BD5" w:rsidR="00950C29" w:rsidRPr="00950C29" w:rsidRDefault="00950C29" w:rsidP="00950C29">
      <w:pPr>
        <w:pStyle w:val="NormalWeb"/>
        <w:spacing w:line="360" w:lineRule="auto"/>
        <w:jc w:val="both"/>
      </w:pPr>
      <w:r w:rsidRPr="00950C29">
        <w:t>The integration of precision management with sprinkler technology yields verifiable quantitative improvements in agronomic outcomes. The application of IoT-based PI systems in tomato production has been documented to increase irrigation uniformity by 71% and boost yield by 27.5%, alongside 10% water saving</w:t>
      </w:r>
      <w:r w:rsidR="00FB267E">
        <w:t xml:space="preserve"> </w:t>
      </w:r>
      <w:r w:rsidR="00D6240E">
        <w:t>(Seyar et al., 2023)</w:t>
      </w:r>
      <w:r w:rsidRPr="00950C29">
        <w:t xml:space="preserve">. Comparative analyses confirm that the coupling of precision strategies with pressurized sprinkler irrigation technology exerts a profoundly positive influence on global irrigated agronomy.   </w:t>
      </w:r>
    </w:p>
    <w:p w14:paraId="50478DE7" w14:textId="77777777" w:rsidR="00950C29" w:rsidRPr="00950C29" w:rsidRDefault="00950C29" w:rsidP="00950C29">
      <w:pPr>
        <w:pStyle w:val="NormalWeb"/>
        <w:spacing w:line="360" w:lineRule="auto"/>
        <w:jc w:val="both"/>
        <w:rPr>
          <w:b/>
        </w:rPr>
      </w:pPr>
      <w:r w:rsidRPr="00950C29">
        <w:rPr>
          <w:b/>
        </w:rPr>
        <w:t>6. Conclusions</w:t>
      </w:r>
    </w:p>
    <w:p w14:paraId="641BC55C" w14:textId="77777777" w:rsidR="00950C29" w:rsidRDefault="00950C29" w:rsidP="00950C29">
      <w:pPr>
        <w:pStyle w:val="NormalWeb"/>
        <w:spacing w:line="360" w:lineRule="auto"/>
        <w:jc w:val="both"/>
      </w:pPr>
      <w:r>
        <w:lastRenderedPageBreak/>
        <w:t xml:space="preserve">Sprinkler irrigation is confirmed as a critical high-efficiency technology, providing foundational resource savings of 39% for water and &gt;35% for fertilizer application compared to traditional gravity methods. However, the inherent susceptibility of pressurized systems to environmental variables, which results in WDE losses of up to 36.4%, necessitates advanced management.   </w:t>
      </w:r>
    </w:p>
    <w:p w14:paraId="186F5096" w14:textId="77777777" w:rsidR="00950C29" w:rsidRDefault="00950C29" w:rsidP="00950C29">
      <w:pPr>
        <w:pStyle w:val="NormalWeb"/>
        <w:spacing w:line="360" w:lineRule="auto"/>
        <w:jc w:val="both"/>
      </w:pPr>
      <w:r>
        <w:t xml:space="preserve">The transition to precision applications (PI) represents the optimal management strategy, achieving maximal efficiency gains. This integration of sensor-based monitoring (IoT, UAVs, remote sensing) and automation delivers a cumulative 20−30% additional water saving and up to a 27.5% yield increase. The future of PI is dependent on evolving control mechanisms, moving past static Open Loop systems toward dynamic, feedback-driven Closed Loop systems. Advanced controllers, particularly Model Predictive Control (MPC), are identified as the key technology capable of simplifying complex control issues and reliably delivering substantial future efficiency gains.   </w:t>
      </w:r>
    </w:p>
    <w:p w14:paraId="01734F21" w14:textId="77777777" w:rsidR="00950C29" w:rsidRPr="00950C29" w:rsidRDefault="00950C29" w:rsidP="00950C29">
      <w:pPr>
        <w:pStyle w:val="NormalWeb"/>
        <w:spacing w:line="360" w:lineRule="auto"/>
        <w:jc w:val="both"/>
        <w:rPr>
          <w:b/>
        </w:rPr>
      </w:pPr>
      <w:r w:rsidRPr="00950C29">
        <w:rPr>
          <w:b/>
        </w:rPr>
        <w:t>7. Future Perspectives in Sprinkler-Integrated Precision Irrigation</w:t>
      </w:r>
    </w:p>
    <w:p w14:paraId="3FAF6726" w14:textId="77777777" w:rsidR="00950C29" w:rsidRDefault="00950C29" w:rsidP="00950C29">
      <w:pPr>
        <w:pStyle w:val="NormalWeb"/>
        <w:spacing w:line="360" w:lineRule="auto"/>
        <w:jc w:val="both"/>
      </w:pPr>
      <w:r>
        <w:t>Future research must focus on overcoming the barriers of complexity and cost while maximizing system robustness:</w:t>
      </w:r>
    </w:p>
    <w:p w14:paraId="4715058E" w14:textId="77777777" w:rsidR="00950C29" w:rsidRDefault="00950C29" w:rsidP="00950C29">
      <w:pPr>
        <w:pStyle w:val="NormalWeb"/>
        <w:spacing w:line="360" w:lineRule="auto"/>
        <w:jc w:val="both"/>
      </w:pPr>
      <w:r>
        <w:t xml:space="preserve">1. Smart Nozzle and Hydraulic Design: Continued research and development is required to finalize the hydraulic optimization of low-pressure sprinkler nozzles. Future work should prioritize the design of components that inherently minimize WDE losses, utilizing environmental impact assessment protocols to guide performance improvements and ensure reliability under changing climatic conditions.   </w:t>
      </w:r>
    </w:p>
    <w:p w14:paraId="0C82FB58" w14:textId="77777777" w:rsidR="00950C29" w:rsidRDefault="00950C29" w:rsidP="00950C29">
      <w:pPr>
        <w:pStyle w:val="NormalWeb"/>
        <w:spacing w:line="360" w:lineRule="auto"/>
        <w:jc w:val="both"/>
      </w:pPr>
      <w:r>
        <w:t xml:space="preserve">2. Simplified PI Implementation: Efforts must be directed toward lowering the capital cost and technical complexity of current Closed Loop Techniques. This includes developing simplified, robust application mechanisms and standardized sensor calibration protocols to make advanced PI systems accessible and practical for broader commercial field adoption, particularly by smallholder farmers.   </w:t>
      </w:r>
    </w:p>
    <w:p w14:paraId="17F121E2" w14:textId="77777777" w:rsidR="00950C29" w:rsidRDefault="00950C29" w:rsidP="00950C29">
      <w:pPr>
        <w:pStyle w:val="NormalWeb"/>
        <w:spacing w:line="360" w:lineRule="auto"/>
        <w:jc w:val="both"/>
      </w:pPr>
      <w:r>
        <w:t xml:space="preserve">3. Robust Model Predictive Control (MPC): Further theoretical and applied research is warranted on the development of smart MPC controllers specifically adapted for the dynamic </w:t>
      </w:r>
      <w:r>
        <w:lastRenderedPageBreak/>
        <w:t xml:space="preserve">variables of irrigated agronomy. This is the most promising path toward achieving the maximal estimated efficiency gains of 20−30% reliably and affordably.   </w:t>
      </w:r>
    </w:p>
    <w:p w14:paraId="68DCC92D" w14:textId="5CF0031B" w:rsidR="008254BF" w:rsidRPr="008254BF" w:rsidRDefault="008254BF" w:rsidP="00950C29">
      <w:pPr>
        <w:pStyle w:val="NormalWeb"/>
        <w:spacing w:line="360" w:lineRule="auto"/>
        <w:jc w:val="both"/>
        <w:rPr>
          <w:b/>
        </w:rPr>
      </w:pPr>
      <w:r w:rsidRPr="008254BF">
        <w:rPr>
          <w:b/>
        </w:rPr>
        <w:t xml:space="preserve">Acknowledgement: </w:t>
      </w:r>
    </w:p>
    <w:p w14:paraId="4928ABB4" w14:textId="2A9DEDFE" w:rsidR="008254BF" w:rsidRDefault="008254BF" w:rsidP="00950C29">
      <w:pPr>
        <w:pStyle w:val="NormalWeb"/>
        <w:spacing w:line="360" w:lineRule="auto"/>
        <w:jc w:val="both"/>
      </w:pPr>
      <w:r>
        <w:t>This research did not receive any specific grant from funding agencies in the public, commercial, or not-for-profit sectors. The sponsors, if any, had no role in the study design, data collection and analysis, interpretation of data, or in the writing of the manuscript.</w:t>
      </w:r>
    </w:p>
    <w:p w14:paraId="58D7AA13" w14:textId="77777777" w:rsidR="00F8169C" w:rsidRDefault="00F8169C" w:rsidP="00950C29">
      <w:pPr>
        <w:pStyle w:val="NormalWeb"/>
        <w:spacing w:line="360" w:lineRule="auto"/>
        <w:jc w:val="both"/>
      </w:pPr>
    </w:p>
    <w:p w14:paraId="3F40CFCB" w14:textId="77777777" w:rsidR="00F8169C" w:rsidRPr="00F8169C" w:rsidRDefault="00F8169C" w:rsidP="00F8169C">
      <w:pPr>
        <w:jc w:val="both"/>
        <w:outlineLvl w:val="0"/>
        <w:rPr>
          <w:rFonts w:ascii="Arial" w:eastAsia="Times New Roman" w:hAnsi="Arial" w:cs="Arial"/>
          <w:lang w:val="en-GB" w:eastAsia="en-GB"/>
        </w:rPr>
      </w:pPr>
      <w:r w:rsidRPr="00F8169C">
        <w:rPr>
          <w:rFonts w:ascii="Arial" w:eastAsia="Times New Roman" w:hAnsi="Arial" w:cs="Arial"/>
          <w:b/>
          <w:bCs/>
          <w:lang w:val="en-GB" w:eastAsia="en-GB"/>
        </w:rPr>
        <w:t>COMPETING INTERESTS DISCLAIMER:</w:t>
      </w:r>
    </w:p>
    <w:p w14:paraId="347068B4" w14:textId="77777777" w:rsidR="00F8169C" w:rsidRPr="00F8169C" w:rsidRDefault="00F8169C" w:rsidP="00F8169C">
      <w:pPr>
        <w:rPr>
          <w:rFonts w:ascii="Calibri" w:eastAsia="Times New Roman" w:hAnsi="Calibri" w:cs="Times New Roman"/>
          <w:lang w:val="en-GB" w:eastAsia="en-GB"/>
        </w:rPr>
      </w:pPr>
      <w:r w:rsidRPr="00F8169C">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138435AF" w14:textId="77777777" w:rsidR="00F8169C" w:rsidRDefault="00F8169C" w:rsidP="00950C29">
      <w:pPr>
        <w:pStyle w:val="NormalWeb"/>
        <w:spacing w:line="360" w:lineRule="auto"/>
        <w:jc w:val="both"/>
        <w:rPr>
          <w:b/>
          <w:bCs/>
        </w:rPr>
      </w:pPr>
    </w:p>
    <w:p w14:paraId="04CA1907" w14:textId="3CE481D0" w:rsidR="00DB0521" w:rsidRPr="00DB0521" w:rsidRDefault="00AD1465" w:rsidP="00950C29">
      <w:pPr>
        <w:pStyle w:val="NormalWeb"/>
        <w:spacing w:line="360" w:lineRule="auto"/>
        <w:jc w:val="both"/>
        <w:rPr>
          <w:b/>
          <w:bCs/>
        </w:rPr>
      </w:pPr>
      <w:r w:rsidRPr="00E23C15">
        <w:rPr>
          <w:b/>
          <w:bCs/>
        </w:rPr>
        <w:t>References</w:t>
      </w:r>
    </w:p>
    <w:p w14:paraId="582EE14E" w14:textId="77777777" w:rsidR="00DB0521" w:rsidRPr="00816308" w:rsidRDefault="00DB0521" w:rsidP="00AD1465">
      <w:pPr>
        <w:pStyle w:val="NormalWeb"/>
        <w:numPr>
          <w:ilvl w:val="0"/>
          <w:numId w:val="1"/>
        </w:numPr>
        <w:spacing w:line="360" w:lineRule="auto"/>
        <w:jc w:val="both"/>
      </w:pPr>
      <w:r w:rsidRPr="00816308">
        <w:t xml:space="preserve">Baggio, G.; Qadir, M.; </w:t>
      </w:r>
      <w:proofErr w:type="spellStart"/>
      <w:r w:rsidRPr="00816308">
        <w:t>Smakhtin</w:t>
      </w:r>
      <w:proofErr w:type="spellEnd"/>
      <w:r w:rsidRPr="00816308">
        <w:t xml:space="preserve">, V. Freshwater Availability Status across Countries for Human and Ecosystem Needs. </w:t>
      </w:r>
      <w:r w:rsidRPr="00816308">
        <w:rPr>
          <w:i/>
          <w:iCs/>
        </w:rPr>
        <w:t>Sci. Total Environ.</w:t>
      </w:r>
      <w:r w:rsidRPr="00816308">
        <w:t xml:space="preserve"> 2021, 792, 148230. </w:t>
      </w:r>
      <w:r w:rsidRPr="00816308">
        <w:rPr>
          <w:rStyle w:val="button-container"/>
        </w:rPr>
        <w:t xml:space="preserve">  </w:t>
      </w:r>
    </w:p>
    <w:p w14:paraId="19865D48" w14:textId="77777777" w:rsidR="00DB0521" w:rsidRDefault="00DB0521" w:rsidP="00AD1465">
      <w:pPr>
        <w:pStyle w:val="NormalWeb"/>
        <w:numPr>
          <w:ilvl w:val="0"/>
          <w:numId w:val="1"/>
        </w:numPr>
        <w:spacing w:line="360" w:lineRule="auto"/>
        <w:jc w:val="both"/>
      </w:pPr>
      <w:proofErr w:type="spellStart"/>
      <w:r>
        <w:t>Baifus</w:t>
      </w:r>
      <w:proofErr w:type="spellEnd"/>
      <w:r>
        <w:t xml:space="preserve"> </w:t>
      </w:r>
      <w:proofErr w:type="spellStart"/>
      <w:r>
        <w:t>Manke</w:t>
      </w:r>
      <w:proofErr w:type="spellEnd"/>
      <w:r>
        <w:t xml:space="preserve">, E.; </w:t>
      </w:r>
      <w:proofErr w:type="spellStart"/>
      <w:r>
        <w:t>Nörenberg</w:t>
      </w:r>
      <w:proofErr w:type="spellEnd"/>
      <w:r>
        <w:t xml:space="preserve">, B.G.; </w:t>
      </w:r>
      <w:proofErr w:type="spellStart"/>
      <w:r>
        <w:t>Faria</w:t>
      </w:r>
      <w:proofErr w:type="spellEnd"/>
      <w:r>
        <w:t xml:space="preserve">, L.C.; </w:t>
      </w:r>
      <w:proofErr w:type="spellStart"/>
      <w:r>
        <w:t>Tarjuelo</w:t>
      </w:r>
      <w:proofErr w:type="spellEnd"/>
      <w:r>
        <w:t>, J.M.; Colombo, A.; Chagas Neta, M.C.C.; Parfitt, J.M.B. Wind Drift and Evaporation Losses of a Mechanical Lateral-Move Irrigation System: Oscillating Plate versus Fixed Spray Plate Sprinklers. Agric. Water Manag. 2019, 225, 105759.</w:t>
      </w:r>
    </w:p>
    <w:p w14:paraId="1185ADF4" w14:textId="77777777" w:rsidR="00DB0521" w:rsidRDefault="00DB0521" w:rsidP="00AD1465">
      <w:pPr>
        <w:pStyle w:val="NormalWeb"/>
        <w:numPr>
          <w:ilvl w:val="0"/>
          <w:numId w:val="1"/>
        </w:numPr>
        <w:spacing w:line="360" w:lineRule="auto"/>
        <w:jc w:val="both"/>
      </w:pPr>
      <w:proofErr w:type="spellStart"/>
      <w:r w:rsidRPr="00EE4B30">
        <w:t>Bitella</w:t>
      </w:r>
      <w:proofErr w:type="spellEnd"/>
      <w:r w:rsidRPr="00EE4B30">
        <w:t xml:space="preserve">, G.; Rossi, R.; Bochicchio, R.; </w:t>
      </w:r>
      <w:proofErr w:type="spellStart"/>
      <w:r w:rsidRPr="00EE4B30">
        <w:t>Perniola</w:t>
      </w:r>
      <w:proofErr w:type="spellEnd"/>
      <w:r w:rsidRPr="00EE4B30">
        <w:t xml:space="preserve">, M.; Amato, M. A Novel Low-Cost Open-Hardware Platform for Monitoring Soil Water Content and Multiple Soil-Air-Vegetation Parameters. </w:t>
      </w:r>
      <w:r w:rsidRPr="00EE4B30">
        <w:rPr>
          <w:i/>
        </w:rPr>
        <w:t xml:space="preserve">Sensors </w:t>
      </w:r>
      <w:r w:rsidRPr="00EE63A2">
        <w:t>2014,</w:t>
      </w:r>
      <w:r w:rsidRPr="00EE4B30">
        <w:t xml:space="preserve"> </w:t>
      </w:r>
      <w:r w:rsidRPr="00EE4B30">
        <w:rPr>
          <w:i/>
        </w:rPr>
        <w:t>14</w:t>
      </w:r>
      <w:r w:rsidRPr="00EE4B30">
        <w:t>, 19639–19659.</w:t>
      </w:r>
    </w:p>
    <w:p w14:paraId="506F334B" w14:textId="77777777" w:rsidR="00DB0521" w:rsidRDefault="00DB0521" w:rsidP="00AD1465">
      <w:pPr>
        <w:pStyle w:val="NormalWeb"/>
        <w:numPr>
          <w:ilvl w:val="0"/>
          <w:numId w:val="1"/>
        </w:numPr>
        <w:spacing w:line="360" w:lineRule="auto"/>
        <w:jc w:val="both"/>
      </w:pPr>
      <w:r w:rsidRPr="007136A1">
        <w:t xml:space="preserve">Bwambale, E.; </w:t>
      </w:r>
      <w:proofErr w:type="spellStart"/>
      <w:r w:rsidRPr="007136A1">
        <w:t>Abagale</w:t>
      </w:r>
      <w:proofErr w:type="spellEnd"/>
      <w:r w:rsidRPr="007136A1">
        <w:t xml:space="preserve">, F.K.; </w:t>
      </w:r>
      <w:proofErr w:type="spellStart"/>
      <w:r w:rsidRPr="007136A1">
        <w:t>Anornu</w:t>
      </w:r>
      <w:proofErr w:type="spellEnd"/>
      <w:r w:rsidRPr="007136A1">
        <w:t xml:space="preserve">, G.K. Smart Irrigation Monitoring and Control Strategies for Improving Water Use Efficiency in Precision Agriculture: A Review. </w:t>
      </w:r>
      <w:r w:rsidRPr="007136A1">
        <w:rPr>
          <w:i/>
        </w:rPr>
        <w:t xml:space="preserve">Agric. Water Manag. </w:t>
      </w:r>
      <w:r w:rsidRPr="001C2400">
        <w:t>2022</w:t>
      </w:r>
      <w:r w:rsidRPr="007136A1">
        <w:t xml:space="preserve">, </w:t>
      </w:r>
      <w:r w:rsidRPr="007136A1">
        <w:rPr>
          <w:i/>
        </w:rPr>
        <w:t>260</w:t>
      </w:r>
      <w:r w:rsidRPr="007136A1">
        <w:t>, 107324.</w:t>
      </w:r>
    </w:p>
    <w:p w14:paraId="550FB34A" w14:textId="77777777" w:rsidR="00DB0521" w:rsidRDefault="00DB0521" w:rsidP="00AD1465">
      <w:pPr>
        <w:pStyle w:val="NormalWeb"/>
        <w:numPr>
          <w:ilvl w:val="0"/>
          <w:numId w:val="1"/>
        </w:numPr>
        <w:spacing w:line="360" w:lineRule="auto"/>
        <w:jc w:val="both"/>
      </w:pPr>
      <w:r w:rsidRPr="00EE4B30">
        <w:t xml:space="preserve">Bwambale, E.; </w:t>
      </w:r>
      <w:proofErr w:type="spellStart"/>
      <w:r w:rsidRPr="00EE4B30">
        <w:t>Naangmenyele</w:t>
      </w:r>
      <w:proofErr w:type="spellEnd"/>
      <w:r w:rsidRPr="00EE4B30">
        <w:t xml:space="preserve">, Z.; Iradukunda, P.; </w:t>
      </w:r>
      <w:proofErr w:type="spellStart"/>
      <w:r w:rsidRPr="00EE4B30">
        <w:t>Agboka</w:t>
      </w:r>
      <w:proofErr w:type="spellEnd"/>
      <w:r w:rsidRPr="00EE4B30">
        <w:t xml:space="preserve">, K.M.; </w:t>
      </w:r>
      <w:proofErr w:type="spellStart"/>
      <w:r w:rsidRPr="00EE4B30">
        <w:t>Houessou-Dossou</w:t>
      </w:r>
      <w:proofErr w:type="spellEnd"/>
      <w:r w:rsidRPr="00EE4B30">
        <w:t xml:space="preserve">, E.A.Y.; </w:t>
      </w:r>
      <w:proofErr w:type="spellStart"/>
      <w:r w:rsidRPr="00EE4B30">
        <w:t>Akansake</w:t>
      </w:r>
      <w:proofErr w:type="spellEnd"/>
      <w:r w:rsidRPr="00EE4B30">
        <w:t xml:space="preserve">, D.A.; </w:t>
      </w:r>
      <w:proofErr w:type="spellStart"/>
      <w:r w:rsidRPr="00EE4B30">
        <w:t>Bisa</w:t>
      </w:r>
      <w:proofErr w:type="spellEnd"/>
      <w:r w:rsidRPr="00EE4B30">
        <w:t xml:space="preserve">, M.E.; Hamadou, A.-A.H.; </w:t>
      </w:r>
      <w:proofErr w:type="spellStart"/>
      <w:r w:rsidRPr="00EE4B30">
        <w:t>Hakizayezu</w:t>
      </w:r>
      <w:proofErr w:type="spellEnd"/>
      <w:r w:rsidRPr="00EE4B30">
        <w:t xml:space="preserve">, J.; </w:t>
      </w:r>
      <w:proofErr w:type="spellStart"/>
      <w:r w:rsidRPr="00EE4B30">
        <w:t>Onofua</w:t>
      </w:r>
      <w:proofErr w:type="spellEnd"/>
      <w:r w:rsidRPr="00EE4B30">
        <w:t xml:space="preserve">, O.E.; et al. Towards Precision Irrigation Management: A Review of GIS, Remote Sensing and Emerging Technologies. </w:t>
      </w:r>
      <w:r w:rsidRPr="00EE4B30">
        <w:rPr>
          <w:i/>
        </w:rPr>
        <w:t xml:space="preserve">Cogent Eng. </w:t>
      </w:r>
      <w:r w:rsidRPr="00EE63A2">
        <w:t>2022</w:t>
      </w:r>
      <w:r w:rsidRPr="00EE4B30">
        <w:t xml:space="preserve">, </w:t>
      </w:r>
      <w:r w:rsidRPr="00EE4B30">
        <w:rPr>
          <w:i/>
        </w:rPr>
        <w:t>9</w:t>
      </w:r>
      <w:r w:rsidRPr="00EE4B30">
        <w:t>, 2100573.</w:t>
      </w:r>
    </w:p>
    <w:p w14:paraId="565DFF10" w14:textId="77777777" w:rsidR="00DB0521" w:rsidRDefault="00DB0521" w:rsidP="00AD1465">
      <w:pPr>
        <w:pStyle w:val="NormalWeb"/>
        <w:numPr>
          <w:ilvl w:val="0"/>
          <w:numId w:val="1"/>
        </w:numPr>
        <w:spacing w:line="360" w:lineRule="auto"/>
        <w:jc w:val="both"/>
      </w:pPr>
      <w:proofErr w:type="spellStart"/>
      <w:r w:rsidRPr="00B2788B">
        <w:lastRenderedPageBreak/>
        <w:t>Chauhdary</w:t>
      </w:r>
      <w:proofErr w:type="spellEnd"/>
      <w:r w:rsidRPr="00B2788B">
        <w:t xml:space="preserve"> JN, Li H, Jiang Y, Pan X, Hussain Z, Javaid M, Rizwan M. Advances in sprinkler irrigation: a review in the context of precision irrigation for crop production. Agronomy. 2023 Dec 23;14(1):47.</w:t>
      </w:r>
    </w:p>
    <w:p w14:paraId="6F0EF934" w14:textId="77777777" w:rsidR="00DB0521" w:rsidRDefault="00DB0521" w:rsidP="00AD1465">
      <w:pPr>
        <w:pStyle w:val="NormalWeb"/>
        <w:numPr>
          <w:ilvl w:val="0"/>
          <w:numId w:val="1"/>
        </w:numPr>
        <w:spacing w:line="360" w:lineRule="auto"/>
        <w:jc w:val="both"/>
      </w:pPr>
      <w:r>
        <w:t>CSP. China Rural Statistical Yearbook; China Statistics Press: Beijing, China, 2019.</w:t>
      </w:r>
    </w:p>
    <w:p w14:paraId="2C7B2B6A" w14:textId="77777777" w:rsidR="00DB0521" w:rsidRDefault="00DB0521" w:rsidP="00AD1465">
      <w:pPr>
        <w:pStyle w:val="ListParagraph"/>
        <w:numPr>
          <w:ilvl w:val="0"/>
          <w:numId w:val="1"/>
        </w:numPr>
        <w:spacing w:line="360" w:lineRule="auto"/>
        <w:jc w:val="both"/>
        <w:rPr>
          <w:rFonts w:ascii="Times New Roman" w:eastAsia="Times New Roman" w:hAnsi="Times New Roman" w:cs="Times New Roman"/>
          <w:sz w:val="24"/>
          <w:szCs w:val="24"/>
          <w:lang w:eastAsia="en-IN"/>
        </w:rPr>
      </w:pPr>
      <w:proofErr w:type="spellStart"/>
      <w:r w:rsidRPr="00207B45">
        <w:rPr>
          <w:rFonts w:ascii="Times New Roman" w:eastAsia="Times New Roman" w:hAnsi="Times New Roman" w:cs="Times New Roman"/>
          <w:sz w:val="24"/>
          <w:szCs w:val="24"/>
          <w:lang w:eastAsia="en-IN"/>
        </w:rPr>
        <w:t>Culibrk</w:t>
      </w:r>
      <w:proofErr w:type="spellEnd"/>
      <w:r w:rsidRPr="00207B45">
        <w:rPr>
          <w:rFonts w:ascii="Times New Roman" w:eastAsia="Times New Roman" w:hAnsi="Times New Roman" w:cs="Times New Roman"/>
          <w:sz w:val="24"/>
          <w:szCs w:val="24"/>
          <w:lang w:eastAsia="en-IN"/>
        </w:rPr>
        <w:t xml:space="preserve">, D.; </w:t>
      </w:r>
      <w:proofErr w:type="spellStart"/>
      <w:r w:rsidRPr="00207B45">
        <w:rPr>
          <w:rFonts w:ascii="Times New Roman" w:eastAsia="Times New Roman" w:hAnsi="Times New Roman" w:cs="Times New Roman"/>
          <w:sz w:val="24"/>
          <w:szCs w:val="24"/>
          <w:lang w:eastAsia="en-IN"/>
        </w:rPr>
        <w:t>Vukobratovic</w:t>
      </w:r>
      <w:proofErr w:type="spellEnd"/>
      <w:r w:rsidRPr="00207B45">
        <w:rPr>
          <w:rFonts w:ascii="Times New Roman" w:eastAsia="Times New Roman" w:hAnsi="Times New Roman" w:cs="Times New Roman"/>
          <w:sz w:val="24"/>
          <w:szCs w:val="24"/>
          <w:lang w:eastAsia="en-IN"/>
        </w:rPr>
        <w:t xml:space="preserve">, D.; Minic, V.; Alonso </w:t>
      </w:r>
      <w:r>
        <w:rPr>
          <w:rFonts w:ascii="Times New Roman" w:eastAsia="Times New Roman" w:hAnsi="Times New Roman" w:cs="Times New Roman"/>
          <w:sz w:val="24"/>
          <w:szCs w:val="24"/>
          <w:lang w:eastAsia="en-IN"/>
        </w:rPr>
        <w:t>Man</w:t>
      </w:r>
      <w:r w:rsidRPr="00207B45">
        <w:rPr>
          <w:rFonts w:ascii="Times New Roman" w:eastAsia="Times New Roman" w:hAnsi="Times New Roman" w:cs="Times New Roman"/>
          <w:sz w:val="24"/>
          <w:szCs w:val="24"/>
          <w:lang w:eastAsia="en-IN"/>
        </w:rPr>
        <w:t xml:space="preserve">, M.; Alvarez Osuna, J.; </w:t>
      </w:r>
      <w:proofErr w:type="spellStart"/>
      <w:r w:rsidRPr="00207B45">
        <w:rPr>
          <w:rFonts w:ascii="Times New Roman" w:eastAsia="Times New Roman" w:hAnsi="Times New Roman" w:cs="Times New Roman"/>
          <w:sz w:val="24"/>
          <w:szCs w:val="24"/>
          <w:lang w:eastAsia="en-IN"/>
        </w:rPr>
        <w:t>Crnojevic</w:t>
      </w:r>
      <w:proofErr w:type="spellEnd"/>
      <w:r w:rsidRPr="00207B45">
        <w:rPr>
          <w:rFonts w:ascii="Times New Roman" w:eastAsia="Times New Roman" w:hAnsi="Times New Roman" w:cs="Times New Roman"/>
          <w:sz w:val="24"/>
          <w:szCs w:val="24"/>
          <w:lang w:eastAsia="en-IN"/>
        </w:rPr>
        <w:t>, V.´</w:t>
      </w:r>
      <w:r w:rsidRPr="00207B45">
        <w:rPr>
          <w:rFonts w:ascii="Times New Roman" w:eastAsia="Times New Roman" w:hAnsi="Times New Roman" w:cs="Times New Roman"/>
          <w:sz w:val="24"/>
          <w:szCs w:val="24"/>
          <w:lang w:eastAsia="en-IN"/>
        </w:rPr>
        <w:tab/>
        <w:t>Sensing Technologies for Precision Irrigation; Springer: New York, NY, USA, 2014; ISBN 978-1-4614-8328-1.</w:t>
      </w:r>
    </w:p>
    <w:p w14:paraId="0C3D4E2A" w14:textId="77777777" w:rsidR="00DB0521" w:rsidRPr="00207B45" w:rsidRDefault="00DB0521" w:rsidP="00EE63A2">
      <w:pPr>
        <w:pStyle w:val="ListParagraph"/>
        <w:numPr>
          <w:ilvl w:val="0"/>
          <w:numId w:val="1"/>
        </w:numPr>
        <w:spacing w:line="360" w:lineRule="auto"/>
        <w:jc w:val="both"/>
        <w:rPr>
          <w:rFonts w:ascii="Times New Roman" w:eastAsia="Times New Roman" w:hAnsi="Times New Roman" w:cs="Times New Roman"/>
          <w:sz w:val="24"/>
          <w:szCs w:val="24"/>
          <w:lang w:eastAsia="en-IN"/>
        </w:rPr>
      </w:pPr>
      <w:r w:rsidRPr="00EE63A2">
        <w:rPr>
          <w:rFonts w:ascii="Times New Roman" w:eastAsia="Times New Roman" w:hAnsi="Times New Roman" w:cs="Times New Roman"/>
          <w:sz w:val="24"/>
          <w:szCs w:val="24"/>
          <w:lang w:eastAsia="en-IN"/>
        </w:rPr>
        <w:t>Dadhich, S.M., Singh, R.P. and Mahar, P.S., 2012. Saving time in sprinkler irrigation application through cyclic operation: A theoretical approach. Irrigation and Drainage, 61(5), pp.631-635.</w:t>
      </w:r>
    </w:p>
    <w:p w14:paraId="26EC4DC4" w14:textId="77777777" w:rsidR="00DB0521" w:rsidRDefault="00DB0521" w:rsidP="00AD1465">
      <w:pPr>
        <w:pStyle w:val="NormalWeb"/>
        <w:numPr>
          <w:ilvl w:val="0"/>
          <w:numId w:val="1"/>
        </w:numPr>
        <w:spacing w:line="360" w:lineRule="auto"/>
        <w:jc w:val="both"/>
      </w:pPr>
      <w:r>
        <w:t xml:space="preserve">Faria, L.C.; Beskow, S.; Colombo, A.; </w:t>
      </w:r>
      <w:proofErr w:type="spellStart"/>
      <w:r>
        <w:t>Nörenberg</w:t>
      </w:r>
      <w:proofErr w:type="spellEnd"/>
      <w:r>
        <w:t xml:space="preserve">, B.G.; </w:t>
      </w:r>
      <w:proofErr w:type="spellStart"/>
      <w:r>
        <w:t>Rettore</w:t>
      </w:r>
      <w:proofErr w:type="spellEnd"/>
      <w:r>
        <w:t xml:space="preserve"> </w:t>
      </w:r>
      <w:proofErr w:type="spellStart"/>
      <w:r>
        <w:t>Neto</w:t>
      </w:r>
      <w:proofErr w:type="spellEnd"/>
      <w:r>
        <w:t xml:space="preserve">, O.; Simões, M.C. Influence of the Wind on Water Application Uniformity of a Mechanical Lateral Move Irrigation Equipment Using Rotating Plate Sprinklers. </w:t>
      </w:r>
      <w:proofErr w:type="spellStart"/>
      <w:r>
        <w:t>Ciênc</w:t>
      </w:r>
      <w:proofErr w:type="spellEnd"/>
      <w:r>
        <w:t>. Rural 2015, 46, 83–88.</w:t>
      </w:r>
    </w:p>
    <w:p w14:paraId="52702DFF" w14:textId="77777777" w:rsidR="00DB0521" w:rsidRPr="005B3FEB" w:rsidRDefault="00DB0521" w:rsidP="00AD1465">
      <w:pPr>
        <w:pStyle w:val="ListParagraph"/>
        <w:numPr>
          <w:ilvl w:val="0"/>
          <w:numId w:val="1"/>
        </w:numPr>
        <w:spacing w:line="360" w:lineRule="auto"/>
        <w:jc w:val="both"/>
        <w:rPr>
          <w:rFonts w:ascii="Times New Roman" w:eastAsia="Times New Roman" w:hAnsi="Times New Roman" w:cs="Times New Roman"/>
          <w:sz w:val="24"/>
          <w:szCs w:val="24"/>
          <w:lang w:eastAsia="en-IN"/>
        </w:rPr>
      </w:pPr>
      <w:r w:rsidRPr="005B3FEB">
        <w:rPr>
          <w:rFonts w:ascii="Times New Roman" w:eastAsia="Times New Roman" w:hAnsi="Times New Roman" w:cs="Times New Roman"/>
          <w:sz w:val="24"/>
          <w:szCs w:val="24"/>
          <w:lang w:eastAsia="en-IN"/>
        </w:rPr>
        <w:t xml:space="preserve">Fuentes, S.; Tongson, E. Advances and Requirements for Machine Learning and Artificial Intelligence Applications in Viticulture. Wine </w:t>
      </w:r>
      <w:proofErr w:type="spellStart"/>
      <w:r w:rsidRPr="005B3FEB">
        <w:rPr>
          <w:rFonts w:ascii="Times New Roman" w:eastAsia="Times New Roman" w:hAnsi="Times New Roman" w:cs="Times New Roman"/>
          <w:sz w:val="24"/>
          <w:szCs w:val="24"/>
          <w:lang w:eastAsia="en-IN"/>
        </w:rPr>
        <w:t>Vitic</w:t>
      </w:r>
      <w:proofErr w:type="spellEnd"/>
      <w:r w:rsidRPr="005B3FEB">
        <w:rPr>
          <w:rFonts w:ascii="Times New Roman" w:eastAsia="Times New Roman" w:hAnsi="Times New Roman" w:cs="Times New Roman"/>
          <w:sz w:val="24"/>
          <w:szCs w:val="24"/>
          <w:lang w:eastAsia="en-IN"/>
        </w:rPr>
        <w:t>. J. 2018, 33, 47–52.</w:t>
      </w:r>
    </w:p>
    <w:p w14:paraId="34A168A7" w14:textId="77777777" w:rsidR="00DB0521" w:rsidRDefault="00DB0521" w:rsidP="00AD1465">
      <w:pPr>
        <w:pStyle w:val="NormalWeb"/>
        <w:numPr>
          <w:ilvl w:val="0"/>
          <w:numId w:val="1"/>
        </w:numPr>
        <w:spacing w:line="360" w:lineRule="auto"/>
        <w:jc w:val="both"/>
      </w:pPr>
      <w:r w:rsidRPr="005B3FEB">
        <w:t xml:space="preserve">Gauri, M.; Kulkarni, N.R. Design and optimization of </w:t>
      </w:r>
      <w:proofErr w:type="spellStart"/>
      <w:r w:rsidRPr="005B3FEB">
        <w:t>pid</w:t>
      </w:r>
      <w:proofErr w:type="spellEnd"/>
      <w:r w:rsidRPr="005B3FEB">
        <w:t xml:space="preserve"> controller using genetic algorithm. </w:t>
      </w:r>
      <w:r w:rsidRPr="005B3FEB">
        <w:rPr>
          <w:i/>
        </w:rPr>
        <w:t xml:space="preserve">Int. J. Res. Eng. Technol. </w:t>
      </w:r>
      <w:r w:rsidRPr="00EE63A2">
        <w:t>2013,</w:t>
      </w:r>
      <w:r w:rsidRPr="005B3FEB">
        <w:t xml:space="preserve"> </w:t>
      </w:r>
      <w:r w:rsidRPr="005B3FEB">
        <w:rPr>
          <w:i/>
        </w:rPr>
        <w:t>2</w:t>
      </w:r>
      <w:r w:rsidRPr="005B3FEB">
        <w:t>, 926–930.</w:t>
      </w:r>
    </w:p>
    <w:p w14:paraId="2F38A06B" w14:textId="77777777" w:rsidR="00DB0521" w:rsidRPr="00816308" w:rsidRDefault="00DB0521" w:rsidP="00AD1465">
      <w:pPr>
        <w:pStyle w:val="NormalWeb"/>
        <w:numPr>
          <w:ilvl w:val="0"/>
          <w:numId w:val="1"/>
        </w:numPr>
        <w:spacing w:line="360" w:lineRule="auto"/>
        <w:jc w:val="both"/>
      </w:pPr>
      <w:r w:rsidRPr="00816308">
        <w:t xml:space="preserve">Howell, T. Irrigation Efficiency. </w:t>
      </w:r>
      <w:proofErr w:type="spellStart"/>
      <w:r w:rsidRPr="00816308">
        <w:rPr>
          <w:i/>
          <w:iCs/>
        </w:rPr>
        <w:t>Encyclopedia</w:t>
      </w:r>
      <w:proofErr w:type="spellEnd"/>
      <w:r w:rsidRPr="00816308">
        <w:rPr>
          <w:i/>
          <w:iCs/>
        </w:rPr>
        <w:t xml:space="preserve"> of Water Science</w:t>
      </w:r>
      <w:r w:rsidRPr="00816308">
        <w:t xml:space="preserve">; CRC: Boca Raton, FL, USA, 2003. </w:t>
      </w:r>
      <w:r w:rsidRPr="00816308">
        <w:rPr>
          <w:rStyle w:val="button-container"/>
        </w:rPr>
        <w:t xml:space="preserve">  </w:t>
      </w:r>
    </w:p>
    <w:p w14:paraId="2A6EE2DE" w14:textId="77777777" w:rsidR="00DB0521" w:rsidRDefault="00DB0521" w:rsidP="00AD1465">
      <w:pPr>
        <w:pStyle w:val="NormalWeb"/>
        <w:numPr>
          <w:ilvl w:val="0"/>
          <w:numId w:val="1"/>
        </w:numPr>
        <w:spacing w:line="360" w:lineRule="auto"/>
        <w:jc w:val="both"/>
      </w:pPr>
      <w:r>
        <w:t xml:space="preserve">Jiang, Y.; Li, H.; Hua, L.; Zhang, D. Three-Dimensional Flow Breakup Characteristics of a Circular Jet with Different Nozzle Geometries. </w:t>
      </w:r>
      <w:proofErr w:type="spellStart"/>
      <w:r>
        <w:t>Biosyst</w:t>
      </w:r>
      <w:proofErr w:type="spellEnd"/>
      <w:r>
        <w:t>. Eng. 2020, 193, 216–231.</w:t>
      </w:r>
    </w:p>
    <w:p w14:paraId="7B0228C0" w14:textId="77777777" w:rsidR="00DB0521" w:rsidRDefault="00DB0521" w:rsidP="00AD1465">
      <w:pPr>
        <w:pStyle w:val="NormalWeb"/>
        <w:numPr>
          <w:ilvl w:val="0"/>
          <w:numId w:val="1"/>
        </w:numPr>
        <w:spacing w:line="360" w:lineRule="auto"/>
        <w:jc w:val="both"/>
      </w:pPr>
      <w:r>
        <w:t>Jiménez-Bello, M.A.; Royuela, A.; Manzano, J.; Prats, A.G.; Martínez-Alzamora, F. Methodology to Improve Water and Energy Use by Proper Irrigation Scheduling in Pressurised Networks. Agric. Water Manag. 2015, 149, 91–101.</w:t>
      </w:r>
    </w:p>
    <w:p w14:paraId="1CE2403E" w14:textId="77777777" w:rsidR="00DB0521" w:rsidRPr="00816308" w:rsidRDefault="00DB0521" w:rsidP="00AD1465">
      <w:pPr>
        <w:pStyle w:val="NormalWeb"/>
        <w:numPr>
          <w:ilvl w:val="0"/>
          <w:numId w:val="1"/>
        </w:numPr>
        <w:spacing w:line="360" w:lineRule="auto"/>
        <w:jc w:val="both"/>
      </w:pPr>
      <w:proofErr w:type="spellStart"/>
      <w:r w:rsidRPr="00816308">
        <w:t>Lakhiar</w:t>
      </w:r>
      <w:proofErr w:type="spellEnd"/>
      <w:r w:rsidRPr="00816308">
        <w:t xml:space="preserve">, I.A.; </w:t>
      </w:r>
      <w:proofErr w:type="spellStart"/>
      <w:r w:rsidRPr="00816308">
        <w:t>Jianmin</w:t>
      </w:r>
      <w:proofErr w:type="spellEnd"/>
      <w:r w:rsidRPr="00816308">
        <w:t xml:space="preserve">, G.; Syed, T.N.; Chandio, F.A.; Buttar, N.A.; Qureshi, W.A. Monitoring and Control Systems in Agriculture Using Intelligent Sensor Techniques: A Review of the Aeroponic System. </w:t>
      </w:r>
      <w:r w:rsidRPr="00816308">
        <w:rPr>
          <w:i/>
          <w:iCs/>
        </w:rPr>
        <w:t>J. Sens.</w:t>
      </w:r>
      <w:r w:rsidRPr="00816308">
        <w:t xml:space="preserve"> 2018, 2018, 8672769. </w:t>
      </w:r>
      <w:r w:rsidRPr="00816308">
        <w:rPr>
          <w:rStyle w:val="button-container"/>
        </w:rPr>
        <w:t xml:space="preserve">  </w:t>
      </w:r>
    </w:p>
    <w:p w14:paraId="2EC752FB" w14:textId="77777777" w:rsidR="00DB0521" w:rsidRDefault="00DB0521" w:rsidP="00AD1465">
      <w:pPr>
        <w:pStyle w:val="NormalWeb"/>
        <w:numPr>
          <w:ilvl w:val="0"/>
          <w:numId w:val="1"/>
        </w:numPr>
        <w:spacing w:line="360" w:lineRule="auto"/>
        <w:jc w:val="both"/>
      </w:pPr>
      <w:r>
        <w:t>Li, Y.; Bai, G.; Yan, H. Development and Validation of a Modified Model to Simulate the Sprinkler Water Distribution. Comput. Electron. Agric. 2015, 111, 38–47.</w:t>
      </w:r>
    </w:p>
    <w:p w14:paraId="2FC73376" w14:textId="77777777" w:rsidR="00DB0521" w:rsidRDefault="00DB0521" w:rsidP="00AD1465">
      <w:pPr>
        <w:pStyle w:val="NormalWeb"/>
        <w:numPr>
          <w:ilvl w:val="0"/>
          <w:numId w:val="1"/>
        </w:numPr>
        <w:spacing w:line="360" w:lineRule="auto"/>
        <w:jc w:val="both"/>
      </w:pPr>
      <w:r>
        <w:lastRenderedPageBreak/>
        <w:t xml:space="preserve">Liu, H.-J.; Kang, Y.; Yao, S.-M.; Sun, Z.-Q.; Liu, S.-P.; Wang, Q.-G. Field evaluation on water productivity of winter wheat under sprinkler or surface irrigation in the North China plain. </w:t>
      </w:r>
      <w:proofErr w:type="spellStart"/>
      <w:r>
        <w:t>Irrig</w:t>
      </w:r>
      <w:proofErr w:type="spellEnd"/>
      <w:r>
        <w:t>. Drain. 2013, 62, 37–49.</w:t>
      </w:r>
    </w:p>
    <w:p w14:paraId="080E0C43" w14:textId="77777777" w:rsidR="00DB0521" w:rsidRPr="00816308" w:rsidRDefault="00DB0521" w:rsidP="00AD1465">
      <w:pPr>
        <w:pStyle w:val="NormalWeb"/>
        <w:numPr>
          <w:ilvl w:val="0"/>
          <w:numId w:val="1"/>
        </w:numPr>
        <w:spacing w:line="360" w:lineRule="auto"/>
        <w:jc w:val="both"/>
      </w:pPr>
      <w:r w:rsidRPr="00816308">
        <w:t xml:space="preserve">Liu, J.; Zang, C.; Tian, S.; Liu, J.; Yang, H.; Jia, S.; You, L.; Liu, B.; Zhang, M. Water Conservancy Projects in China: Achievements, Challenges and Way Forward. </w:t>
      </w:r>
      <w:r w:rsidRPr="00816308">
        <w:rPr>
          <w:i/>
          <w:iCs/>
        </w:rPr>
        <w:t>Glob. Environ. Chang.</w:t>
      </w:r>
      <w:r w:rsidRPr="00816308">
        <w:t xml:space="preserve"> 2013, 23, 633–643. </w:t>
      </w:r>
      <w:r w:rsidRPr="00816308">
        <w:rPr>
          <w:rStyle w:val="button-container"/>
        </w:rPr>
        <w:t xml:space="preserve">  </w:t>
      </w:r>
    </w:p>
    <w:p w14:paraId="7ADB7C03" w14:textId="77777777" w:rsidR="00DB0521" w:rsidRPr="00414CC4" w:rsidRDefault="00DB0521" w:rsidP="00AD1465">
      <w:pPr>
        <w:pStyle w:val="NormalWeb"/>
        <w:numPr>
          <w:ilvl w:val="0"/>
          <w:numId w:val="1"/>
        </w:numPr>
        <w:spacing w:line="360" w:lineRule="auto"/>
        <w:jc w:val="both"/>
        <w:rPr>
          <w:sz w:val="32"/>
          <w:szCs w:val="32"/>
        </w:rPr>
      </w:pPr>
      <w:r w:rsidRPr="00414CC4">
        <w:rPr>
          <w:color w:val="222222"/>
          <w:shd w:val="clear" w:color="auto" w:fill="FFFFFF"/>
        </w:rPr>
        <w:t xml:space="preserve">Mishra AK, Arya R, Tyagi R, Grover D, Mishra J, Vimal SR, Mishra S, Sharma S. Non-judicious use of pesticides indicating potential threat to sustainable agriculture. </w:t>
      </w:r>
      <w:proofErr w:type="spellStart"/>
      <w:r w:rsidRPr="00414CC4">
        <w:rPr>
          <w:color w:val="222222"/>
          <w:shd w:val="clear" w:color="auto" w:fill="FFFFFF"/>
        </w:rPr>
        <w:t>InSustainable</w:t>
      </w:r>
      <w:proofErr w:type="spellEnd"/>
      <w:r w:rsidRPr="00414CC4">
        <w:rPr>
          <w:color w:val="222222"/>
          <w:shd w:val="clear" w:color="auto" w:fill="FFFFFF"/>
        </w:rPr>
        <w:t xml:space="preserve"> agriculture reviews 50: Emerging contaminants in agriculture 2021 Mar 13 (pp. 383-400). Cham: Springer International Publishing.</w:t>
      </w:r>
    </w:p>
    <w:p w14:paraId="513188CF" w14:textId="77777777" w:rsidR="00DB0521" w:rsidRDefault="00DB0521" w:rsidP="00AD1465">
      <w:pPr>
        <w:pStyle w:val="NormalWeb"/>
        <w:numPr>
          <w:ilvl w:val="0"/>
          <w:numId w:val="1"/>
        </w:numPr>
        <w:spacing w:line="360" w:lineRule="auto"/>
        <w:jc w:val="both"/>
      </w:pPr>
      <w:r w:rsidRPr="007136A1">
        <w:t xml:space="preserve">Mokhtari, A.; Ahmadi, A.; </w:t>
      </w:r>
      <w:proofErr w:type="spellStart"/>
      <w:r w:rsidRPr="007136A1">
        <w:t>Daccache</w:t>
      </w:r>
      <w:proofErr w:type="spellEnd"/>
      <w:r w:rsidRPr="007136A1">
        <w:t xml:space="preserve">, A.; Drechsler, K. Actual Evapotranspiration from UAV Images: A Multi-Sensor Data Fusion Approach. </w:t>
      </w:r>
      <w:r w:rsidRPr="007136A1">
        <w:rPr>
          <w:i/>
        </w:rPr>
        <w:t xml:space="preserve">Remote Sens. </w:t>
      </w:r>
      <w:r w:rsidRPr="007136A1">
        <w:rPr>
          <w:b/>
        </w:rPr>
        <w:t>2021</w:t>
      </w:r>
      <w:r w:rsidRPr="007136A1">
        <w:t xml:space="preserve">, </w:t>
      </w:r>
      <w:r w:rsidRPr="007136A1">
        <w:rPr>
          <w:i/>
        </w:rPr>
        <w:t>13</w:t>
      </w:r>
      <w:r w:rsidRPr="007136A1">
        <w:t>, 2315.</w:t>
      </w:r>
    </w:p>
    <w:p w14:paraId="745A417E" w14:textId="77777777" w:rsidR="00DB0521" w:rsidRDefault="00DB0521" w:rsidP="00AD1465">
      <w:pPr>
        <w:pStyle w:val="NormalWeb"/>
        <w:numPr>
          <w:ilvl w:val="0"/>
          <w:numId w:val="1"/>
        </w:numPr>
        <w:spacing w:line="360" w:lineRule="auto"/>
        <w:jc w:val="both"/>
      </w:pPr>
      <w:proofErr w:type="spellStart"/>
      <w:r>
        <w:t>Ortíz</w:t>
      </w:r>
      <w:proofErr w:type="spellEnd"/>
      <w:r>
        <w:t xml:space="preserve">, J.N.; </w:t>
      </w:r>
      <w:proofErr w:type="spellStart"/>
      <w:r>
        <w:t>Tarjuelo</w:t>
      </w:r>
      <w:proofErr w:type="spellEnd"/>
      <w:r>
        <w:t>, J.M.; de Juan, J.A. Characterisation of Evaporation and Drift Losses with Centre Pivots. Agric. Water Manag. 2009, 96, 1541–1546.</w:t>
      </w:r>
    </w:p>
    <w:p w14:paraId="458F65E0" w14:textId="77777777" w:rsidR="00DB0521" w:rsidRDefault="00DB0521" w:rsidP="00AD1465">
      <w:pPr>
        <w:pStyle w:val="NormalWeb"/>
        <w:numPr>
          <w:ilvl w:val="0"/>
          <w:numId w:val="1"/>
        </w:numPr>
        <w:spacing w:line="360" w:lineRule="auto"/>
        <w:jc w:val="both"/>
      </w:pPr>
      <w:r w:rsidRPr="00E37487">
        <w:t xml:space="preserve">Pan, Q.; Lu, Y.; Hu, H.; Hu, Y. Review and Research Prospects on Sprinkler Irrigation Frost Protection for Horticultural Crops. </w:t>
      </w:r>
      <w:r w:rsidRPr="00E37487">
        <w:rPr>
          <w:i/>
        </w:rPr>
        <w:t xml:space="preserve">Sci. </w:t>
      </w:r>
      <w:proofErr w:type="spellStart"/>
      <w:r w:rsidRPr="00E37487">
        <w:rPr>
          <w:i/>
        </w:rPr>
        <w:t>Hortic</w:t>
      </w:r>
      <w:proofErr w:type="spellEnd"/>
      <w:r w:rsidRPr="00E37487">
        <w:rPr>
          <w:i/>
        </w:rPr>
        <w:t xml:space="preserve">. </w:t>
      </w:r>
      <w:r w:rsidRPr="00E37487">
        <w:rPr>
          <w:b/>
        </w:rPr>
        <w:t>2024</w:t>
      </w:r>
      <w:r w:rsidRPr="00E37487">
        <w:t xml:space="preserve">, </w:t>
      </w:r>
      <w:r w:rsidRPr="00E37487">
        <w:rPr>
          <w:i/>
        </w:rPr>
        <w:t>326</w:t>
      </w:r>
      <w:r w:rsidRPr="00E37487">
        <w:t>, 112775.</w:t>
      </w:r>
    </w:p>
    <w:p w14:paraId="629C0CA6" w14:textId="7E1F8276" w:rsidR="009A6D75" w:rsidRDefault="009A6D75" w:rsidP="009A6D75">
      <w:pPr>
        <w:pStyle w:val="NormalWeb"/>
        <w:numPr>
          <w:ilvl w:val="0"/>
          <w:numId w:val="1"/>
        </w:numPr>
        <w:spacing w:line="360" w:lineRule="auto"/>
        <w:jc w:val="both"/>
      </w:pPr>
      <w:r>
        <w:t>Pandey, Y., Mehraj, N., Maryam, M., Dadhich</w:t>
      </w:r>
      <w:r w:rsidRPr="009A6D75">
        <w:t xml:space="preserve">, S. M., &amp; MIR, G. (2023). Studies on smart irrigation system using IoT approaches: Smart irrigation system. Journal of </w:t>
      </w:r>
      <w:proofErr w:type="spellStart"/>
      <w:r w:rsidRPr="009A6D75">
        <w:t>AgriSearch</w:t>
      </w:r>
      <w:proofErr w:type="spellEnd"/>
      <w:r w:rsidRPr="009A6D75">
        <w:t>, 10(4), 249-255.</w:t>
      </w:r>
    </w:p>
    <w:p w14:paraId="294419D1" w14:textId="77777777" w:rsidR="00DB0521" w:rsidRDefault="00DB0521" w:rsidP="00AD1465">
      <w:pPr>
        <w:pStyle w:val="NormalWeb"/>
        <w:numPr>
          <w:ilvl w:val="0"/>
          <w:numId w:val="1"/>
        </w:numPr>
        <w:spacing w:line="360" w:lineRule="auto"/>
        <w:jc w:val="both"/>
      </w:pPr>
      <w:r>
        <w:t>Patel, N.H.; Prajapati, C.R. Agricultural Sprinkler for Irrigation System. Int. J. Eng. Res. Tech. Res. 2020, 9, 162–166.</w:t>
      </w:r>
    </w:p>
    <w:p w14:paraId="349F3FCB" w14:textId="77777777" w:rsidR="00DB0521" w:rsidRDefault="00DB0521" w:rsidP="00AD1465">
      <w:pPr>
        <w:pStyle w:val="NormalWeb"/>
        <w:numPr>
          <w:ilvl w:val="0"/>
          <w:numId w:val="1"/>
        </w:numPr>
        <w:spacing w:line="360" w:lineRule="auto"/>
        <w:jc w:val="both"/>
      </w:pPr>
      <w:r>
        <w:t xml:space="preserve">Rahman, M.K.I.; Zainal Abidin, M.S.; Mahmud, M.S.A.; </w:t>
      </w:r>
      <w:proofErr w:type="spellStart"/>
      <w:r>
        <w:t>Buyamin</w:t>
      </w:r>
      <w:proofErr w:type="spellEnd"/>
      <w:r>
        <w:t xml:space="preserve">, S.; Ishak, M.H.I.; Emmanuel, A.A. Advancement of a Smart Fibrous Capillary Irrigation Management System with an Internet of Things Integration. Bull. </w:t>
      </w:r>
      <w:proofErr w:type="spellStart"/>
      <w:r>
        <w:t>Electr</w:t>
      </w:r>
      <w:proofErr w:type="spellEnd"/>
      <w:r>
        <w:t>. Eng. Inform. 2019, 8, 1402–1410.</w:t>
      </w:r>
    </w:p>
    <w:p w14:paraId="5C5F128E" w14:textId="77777777" w:rsidR="00DB0521" w:rsidRDefault="00DB0521" w:rsidP="00AD1465">
      <w:pPr>
        <w:pStyle w:val="NormalWeb"/>
        <w:numPr>
          <w:ilvl w:val="0"/>
          <w:numId w:val="1"/>
        </w:numPr>
        <w:spacing w:line="360" w:lineRule="auto"/>
        <w:jc w:val="both"/>
      </w:pPr>
      <w:r>
        <w:t>Sanchez, I.; Faci, J.M.; Zapata, N. The Effects of Pressure, Nozzle Diameter and Meteorological Conditions on the Performance of Agricultural Impact Sprinklers. Agric. Water Manag. 2011, 102, 13–24.</w:t>
      </w:r>
    </w:p>
    <w:p w14:paraId="4657BA30" w14:textId="77777777" w:rsidR="00DB0521" w:rsidRDefault="00DB0521" w:rsidP="00AD1465">
      <w:pPr>
        <w:pStyle w:val="NormalWeb"/>
        <w:numPr>
          <w:ilvl w:val="0"/>
          <w:numId w:val="1"/>
        </w:numPr>
        <w:spacing w:line="360" w:lineRule="auto"/>
        <w:jc w:val="both"/>
        <w:rPr>
          <w:rStyle w:val="button-container"/>
        </w:rPr>
      </w:pPr>
      <w:proofErr w:type="spellStart"/>
      <w:r w:rsidRPr="00816308">
        <w:t>Semananda</w:t>
      </w:r>
      <w:proofErr w:type="spellEnd"/>
      <w:r w:rsidRPr="00816308">
        <w:t xml:space="preserve">, N.P.K.; Ward, J.D.; Myers, B.R. A Semi-Systematic Review of Capillary Irrigation: The Benefits, Limitations, and Opportunities. </w:t>
      </w:r>
      <w:proofErr w:type="spellStart"/>
      <w:r w:rsidRPr="00816308">
        <w:rPr>
          <w:i/>
          <w:iCs/>
        </w:rPr>
        <w:t>Horticulturae</w:t>
      </w:r>
      <w:proofErr w:type="spellEnd"/>
      <w:r w:rsidRPr="00816308">
        <w:t xml:space="preserve"> 2018, 4, 23. </w:t>
      </w:r>
      <w:r w:rsidRPr="00816308">
        <w:rPr>
          <w:rStyle w:val="button-container"/>
        </w:rPr>
        <w:t> </w:t>
      </w:r>
    </w:p>
    <w:p w14:paraId="2E8E8CCB" w14:textId="77777777" w:rsidR="00DB0521" w:rsidRPr="00D21A24" w:rsidRDefault="00DB0521" w:rsidP="00AD1465">
      <w:pPr>
        <w:pStyle w:val="NormalWeb"/>
        <w:numPr>
          <w:ilvl w:val="0"/>
          <w:numId w:val="1"/>
        </w:numPr>
        <w:spacing w:line="360" w:lineRule="auto"/>
        <w:jc w:val="both"/>
      </w:pPr>
      <w:r w:rsidRPr="00414CC4">
        <w:t xml:space="preserve">Seyar, M.H.; Ahamed, T. Development of an IoT-Based Precision Irrigation System for Tomato Production from Indoor Seedling Germination to Outdoor Field Production. </w:t>
      </w:r>
      <w:r w:rsidRPr="00414CC4">
        <w:rPr>
          <w:i/>
        </w:rPr>
        <w:t xml:space="preserve">Appl. Sci. </w:t>
      </w:r>
      <w:r w:rsidRPr="001C2400">
        <w:t>2023,</w:t>
      </w:r>
      <w:r w:rsidRPr="00414CC4">
        <w:t xml:space="preserve"> </w:t>
      </w:r>
      <w:r w:rsidRPr="00414CC4">
        <w:rPr>
          <w:i/>
        </w:rPr>
        <w:t>13</w:t>
      </w:r>
      <w:r w:rsidRPr="00414CC4">
        <w:t>, 5556.</w:t>
      </w:r>
    </w:p>
    <w:p w14:paraId="2DBC1AEB" w14:textId="77777777" w:rsidR="00DB0521" w:rsidRPr="00816308" w:rsidRDefault="00DB0521" w:rsidP="00AD1465">
      <w:pPr>
        <w:pStyle w:val="NormalWeb"/>
        <w:numPr>
          <w:ilvl w:val="0"/>
          <w:numId w:val="1"/>
        </w:numPr>
        <w:spacing w:line="360" w:lineRule="auto"/>
        <w:jc w:val="both"/>
      </w:pPr>
      <w:r w:rsidRPr="00816308">
        <w:lastRenderedPageBreak/>
        <w:t xml:space="preserve">Shankar, M.; Neelima, T.; Das, A.; Ramanjaneyulu, A. Sprinkler Irrigation—An asset in water scarce and undulating areas. In </w:t>
      </w:r>
      <w:r w:rsidRPr="00816308">
        <w:rPr>
          <w:i/>
          <w:iCs/>
        </w:rPr>
        <w:t>Integrated Soil and Water Resource Management for Livelihood and Environmental Security</w:t>
      </w:r>
      <w:r w:rsidRPr="00816308">
        <w:t xml:space="preserve">; ICAR Research Complex for NEH Region: Shillong, India, 2018. </w:t>
      </w:r>
      <w:r w:rsidRPr="00816308">
        <w:rPr>
          <w:rStyle w:val="button-container"/>
        </w:rPr>
        <w:t xml:space="preserve">  </w:t>
      </w:r>
    </w:p>
    <w:p w14:paraId="246174AD" w14:textId="77777777" w:rsidR="00DB0521" w:rsidRPr="00CC4C05" w:rsidRDefault="00DB0521" w:rsidP="00AD1465">
      <w:pPr>
        <w:pStyle w:val="ListParagraph"/>
        <w:numPr>
          <w:ilvl w:val="0"/>
          <w:numId w:val="1"/>
        </w:numPr>
        <w:spacing w:line="360" w:lineRule="auto"/>
        <w:jc w:val="both"/>
        <w:rPr>
          <w:rFonts w:ascii="Times New Roman" w:eastAsia="Times New Roman" w:hAnsi="Times New Roman" w:cs="Times New Roman"/>
          <w:sz w:val="24"/>
          <w:szCs w:val="24"/>
          <w:lang w:eastAsia="en-IN"/>
        </w:rPr>
      </w:pPr>
      <w:proofErr w:type="spellStart"/>
      <w:r w:rsidRPr="00CC4C05">
        <w:rPr>
          <w:rFonts w:ascii="Times New Roman" w:eastAsia="Times New Roman" w:hAnsi="Times New Roman" w:cs="Times New Roman"/>
          <w:sz w:val="24"/>
          <w:szCs w:val="24"/>
          <w:lang w:eastAsia="en-IN"/>
        </w:rPr>
        <w:t>Stalidzans</w:t>
      </w:r>
      <w:proofErr w:type="spellEnd"/>
      <w:r w:rsidRPr="00CC4C05">
        <w:rPr>
          <w:rFonts w:ascii="Times New Roman" w:eastAsia="Times New Roman" w:hAnsi="Times New Roman" w:cs="Times New Roman"/>
          <w:sz w:val="24"/>
          <w:szCs w:val="24"/>
          <w:lang w:eastAsia="en-IN"/>
        </w:rPr>
        <w:t>, E. Application of information technologies in precision apiculture. In Proceedings of the 13th International Conference on Precision Agriculture (ICPA 2012), Indianapolis, IN, USA, 15−18 July 2012.</w:t>
      </w:r>
    </w:p>
    <w:p w14:paraId="49C5D961" w14:textId="77777777" w:rsidR="00DB0521" w:rsidRDefault="00DB0521" w:rsidP="00AD1465">
      <w:pPr>
        <w:pStyle w:val="NormalWeb"/>
        <w:numPr>
          <w:ilvl w:val="0"/>
          <w:numId w:val="1"/>
        </w:numPr>
        <w:spacing w:line="360" w:lineRule="auto"/>
        <w:jc w:val="both"/>
      </w:pPr>
      <w:proofErr w:type="spellStart"/>
      <w:r>
        <w:t>Tarjuelo</w:t>
      </w:r>
      <w:proofErr w:type="spellEnd"/>
      <w:r>
        <w:t>, J.M.; Rodriguez-Diaz, J.A.; Abadía, R.; Camacho, E.; Rocamora, C.; Moreno, M.A. Efficient Water and Energy Use in Irrigation Modernization: Lessons from Spanish Case Studies. Agric. Water Manag. 2015, 162, 67–77.</w:t>
      </w:r>
    </w:p>
    <w:p w14:paraId="4631317C" w14:textId="77777777" w:rsidR="00DB0521" w:rsidRPr="00816308" w:rsidRDefault="00DB0521" w:rsidP="00AD1465">
      <w:pPr>
        <w:pStyle w:val="NormalWeb"/>
        <w:numPr>
          <w:ilvl w:val="0"/>
          <w:numId w:val="1"/>
        </w:numPr>
        <w:spacing w:line="360" w:lineRule="auto"/>
        <w:jc w:val="both"/>
      </w:pPr>
      <w:r w:rsidRPr="00816308">
        <w:t xml:space="preserve">Wang, J.; Huang, J.; Zhang, L.; Huang, Q.; Rozelle, S. Water Governance and Water Use Efficiency: The Five Principles of WUA Management and Performance in China. </w:t>
      </w:r>
      <w:r w:rsidRPr="00816308">
        <w:rPr>
          <w:i/>
          <w:iCs/>
        </w:rPr>
        <w:t xml:space="preserve">JAWRA J. Am. Water </w:t>
      </w:r>
      <w:proofErr w:type="spellStart"/>
      <w:r w:rsidRPr="00816308">
        <w:rPr>
          <w:i/>
          <w:iCs/>
        </w:rPr>
        <w:t>Resour</w:t>
      </w:r>
      <w:proofErr w:type="spellEnd"/>
      <w:r w:rsidRPr="00816308">
        <w:rPr>
          <w:i/>
          <w:iCs/>
        </w:rPr>
        <w:t>. Assoc.</w:t>
      </w:r>
      <w:r w:rsidRPr="00816308">
        <w:t xml:space="preserve"> 2010, 46, 665–685. </w:t>
      </w:r>
      <w:r w:rsidRPr="00816308">
        <w:rPr>
          <w:rStyle w:val="button-container"/>
        </w:rPr>
        <w:t xml:space="preserve">  </w:t>
      </w:r>
    </w:p>
    <w:p w14:paraId="68443451" w14:textId="77777777" w:rsidR="00DB0521" w:rsidRDefault="00DB0521" w:rsidP="00AD1465">
      <w:pPr>
        <w:pStyle w:val="NormalWeb"/>
        <w:numPr>
          <w:ilvl w:val="0"/>
          <w:numId w:val="1"/>
        </w:numPr>
        <w:spacing w:line="360" w:lineRule="auto"/>
        <w:jc w:val="both"/>
      </w:pPr>
      <w:r w:rsidRPr="005B3FEB">
        <w:t xml:space="preserve">Wong, W.; Chee, E.; Li, J.; Wang, X. Recurrent Neural Network-Based Model Predictive Control for Continuous Pharmaceutical Manufacturing. </w:t>
      </w:r>
      <w:r w:rsidRPr="005B3FEB">
        <w:rPr>
          <w:i/>
        </w:rPr>
        <w:t xml:space="preserve">Mathematics </w:t>
      </w:r>
      <w:r w:rsidRPr="005B3FEB">
        <w:rPr>
          <w:b/>
        </w:rPr>
        <w:t>2018</w:t>
      </w:r>
      <w:r w:rsidRPr="005B3FEB">
        <w:t xml:space="preserve">, </w:t>
      </w:r>
      <w:r w:rsidRPr="005B3FEB">
        <w:rPr>
          <w:i/>
        </w:rPr>
        <w:t>6</w:t>
      </w:r>
      <w:r w:rsidRPr="005B3FEB">
        <w:t>, 242.</w:t>
      </w:r>
    </w:p>
    <w:p w14:paraId="1B97F233" w14:textId="77777777" w:rsidR="00DB0521" w:rsidRPr="00816308" w:rsidRDefault="00DB0521" w:rsidP="00AD1465">
      <w:pPr>
        <w:pStyle w:val="NormalWeb"/>
        <w:numPr>
          <w:ilvl w:val="0"/>
          <w:numId w:val="1"/>
        </w:numPr>
        <w:spacing w:line="360" w:lineRule="auto"/>
        <w:jc w:val="both"/>
      </w:pPr>
      <w:r w:rsidRPr="00816308">
        <w:t xml:space="preserve">World Bank. </w:t>
      </w:r>
      <w:r w:rsidRPr="00816308">
        <w:rPr>
          <w:i/>
          <w:iCs/>
        </w:rPr>
        <w:t>The World Bank Annual Report 2020</w:t>
      </w:r>
      <w:r w:rsidRPr="00816308">
        <w:t>; World</w:t>
      </w:r>
      <w:r>
        <w:t xml:space="preserve"> Bank: Washington, DC, USA, 2021</w:t>
      </w:r>
      <w:r w:rsidRPr="00816308">
        <w:t xml:space="preserve">; ISBN 978-1-4648-1619-2. </w:t>
      </w:r>
      <w:r w:rsidRPr="00816308">
        <w:rPr>
          <w:rStyle w:val="button-container"/>
        </w:rPr>
        <w:t xml:space="preserve">  </w:t>
      </w:r>
    </w:p>
    <w:p w14:paraId="2F336226" w14:textId="77777777" w:rsidR="00DB0521" w:rsidRDefault="00DB0521" w:rsidP="00AD1465">
      <w:pPr>
        <w:pStyle w:val="NormalWeb"/>
        <w:numPr>
          <w:ilvl w:val="0"/>
          <w:numId w:val="1"/>
        </w:numPr>
        <w:spacing w:line="360" w:lineRule="auto"/>
        <w:jc w:val="both"/>
      </w:pPr>
      <w:r w:rsidRPr="00E37487">
        <w:t xml:space="preserve">Xue, J.; Ren, L. Evaluation of Crop Water Productivity under Sprinkler Irrigation Regime Using a Distributed Agro-Hydrological Model in an Irrigation District of China. </w:t>
      </w:r>
      <w:r w:rsidRPr="00E37487">
        <w:rPr>
          <w:i/>
        </w:rPr>
        <w:t xml:space="preserve">Agric. Water Manag. </w:t>
      </w:r>
      <w:r w:rsidRPr="001C2400">
        <w:t>2016,</w:t>
      </w:r>
      <w:r w:rsidRPr="00E37487">
        <w:t xml:space="preserve"> </w:t>
      </w:r>
      <w:r w:rsidRPr="00E37487">
        <w:rPr>
          <w:i/>
        </w:rPr>
        <w:t>178</w:t>
      </w:r>
      <w:r w:rsidRPr="00E37487">
        <w:t>, 350–365</w:t>
      </w:r>
      <w:r>
        <w:t>.</w:t>
      </w:r>
    </w:p>
    <w:p w14:paraId="61491A8D" w14:textId="77777777" w:rsidR="00DB0521" w:rsidRPr="00816308" w:rsidRDefault="00DB0521" w:rsidP="00AD1465">
      <w:pPr>
        <w:pStyle w:val="NormalWeb"/>
        <w:numPr>
          <w:ilvl w:val="0"/>
          <w:numId w:val="1"/>
        </w:numPr>
        <w:spacing w:line="360" w:lineRule="auto"/>
        <w:jc w:val="both"/>
      </w:pPr>
      <w:r w:rsidRPr="00816308">
        <w:t xml:space="preserve">Yan, H.; Hui, X.; Li, M.; Xu, Y. Development in Sprinkler Irrigation Technology in China. </w:t>
      </w:r>
      <w:proofErr w:type="spellStart"/>
      <w:r w:rsidRPr="00816308">
        <w:rPr>
          <w:i/>
          <w:iCs/>
        </w:rPr>
        <w:t>Irrig</w:t>
      </w:r>
      <w:proofErr w:type="spellEnd"/>
      <w:r w:rsidRPr="00816308">
        <w:rPr>
          <w:i/>
          <w:iCs/>
        </w:rPr>
        <w:t>. Drain.</w:t>
      </w:r>
      <w:r w:rsidRPr="00816308">
        <w:t xml:space="preserve"> 2020, 69, 75–87. </w:t>
      </w:r>
      <w:r w:rsidRPr="00816308">
        <w:rPr>
          <w:rStyle w:val="button-container"/>
        </w:rPr>
        <w:t xml:space="preserve">  </w:t>
      </w:r>
    </w:p>
    <w:p w14:paraId="4C8C8FC1" w14:textId="77777777" w:rsidR="00DB0521" w:rsidRDefault="00DB0521" w:rsidP="00AD1465">
      <w:pPr>
        <w:pStyle w:val="NormalWeb"/>
        <w:numPr>
          <w:ilvl w:val="0"/>
          <w:numId w:val="1"/>
        </w:numPr>
        <w:spacing w:line="360" w:lineRule="auto"/>
        <w:jc w:val="both"/>
      </w:pPr>
      <w:r>
        <w:t xml:space="preserve">Yan, H.; Ma, J.; Wang, Z. Design and Field Experiment on Fertilizer Injection Device in </w:t>
      </w:r>
      <w:proofErr w:type="spellStart"/>
      <w:r>
        <w:t>Center</w:t>
      </w:r>
      <w:proofErr w:type="spellEnd"/>
      <w:r>
        <w:t xml:space="preserve"> Pivot Irrigation System. Trans. Chin. Soc. Agric. Mach. 2015, 46, 100–106.</w:t>
      </w:r>
    </w:p>
    <w:p w14:paraId="4773B49B" w14:textId="77777777" w:rsidR="00DB0521" w:rsidRDefault="00DB0521" w:rsidP="00AD1465">
      <w:pPr>
        <w:pStyle w:val="NormalWeb"/>
        <w:numPr>
          <w:ilvl w:val="0"/>
          <w:numId w:val="1"/>
        </w:numPr>
        <w:spacing w:line="360" w:lineRule="auto"/>
        <w:jc w:val="both"/>
      </w:pPr>
      <w:r>
        <w:t xml:space="preserve">Yan, H.; Yao, P.; Zhu, Y.; Yu, P. Nozzle Configuration and Software for </w:t>
      </w:r>
      <w:proofErr w:type="spellStart"/>
      <w:r>
        <w:t>Center</w:t>
      </w:r>
      <w:proofErr w:type="spellEnd"/>
      <w:r>
        <w:t xml:space="preserve"> Pivot Irrigation System. Trans. Chin. Soc. Agric. Mach. 2011, 42, 84–88.</w:t>
      </w:r>
    </w:p>
    <w:sectPr w:rsidR="00DB0521">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29AAB0" w14:textId="77777777" w:rsidR="0004717D" w:rsidRDefault="0004717D" w:rsidP="00813D2E">
      <w:pPr>
        <w:spacing w:after="0" w:line="240" w:lineRule="auto"/>
      </w:pPr>
      <w:r>
        <w:separator/>
      </w:r>
    </w:p>
  </w:endnote>
  <w:endnote w:type="continuationSeparator" w:id="0">
    <w:p w14:paraId="7E3C5679" w14:textId="77777777" w:rsidR="0004717D" w:rsidRDefault="0004717D" w:rsidP="00813D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1F121" w14:textId="77777777" w:rsidR="00813D2E" w:rsidRDefault="00813D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E73C9" w14:textId="77777777" w:rsidR="00813D2E" w:rsidRDefault="00813D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43DCF" w14:textId="77777777" w:rsidR="00813D2E" w:rsidRDefault="00813D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BDF97D" w14:textId="77777777" w:rsidR="0004717D" w:rsidRDefault="0004717D" w:rsidP="00813D2E">
      <w:pPr>
        <w:spacing w:after="0" w:line="240" w:lineRule="auto"/>
      </w:pPr>
      <w:r>
        <w:separator/>
      </w:r>
    </w:p>
  </w:footnote>
  <w:footnote w:type="continuationSeparator" w:id="0">
    <w:p w14:paraId="3A1F0ACF" w14:textId="77777777" w:rsidR="0004717D" w:rsidRDefault="0004717D" w:rsidP="00813D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D1F0E0" w14:textId="4FED6076" w:rsidR="00813D2E" w:rsidRDefault="00813D2E">
    <w:pPr>
      <w:pStyle w:val="Header"/>
    </w:pPr>
    <w:r>
      <w:rPr>
        <w:noProof/>
      </w:rPr>
      <w:pict w14:anchorId="6C929F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404726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3E560" w14:textId="310F4926" w:rsidR="00813D2E" w:rsidRDefault="00813D2E">
    <w:pPr>
      <w:pStyle w:val="Header"/>
    </w:pPr>
    <w:r>
      <w:rPr>
        <w:noProof/>
      </w:rPr>
      <w:pict w14:anchorId="327441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404726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DC1EA" w14:textId="01101541" w:rsidR="00813D2E" w:rsidRDefault="00813D2E">
    <w:pPr>
      <w:pStyle w:val="Header"/>
    </w:pPr>
    <w:r>
      <w:rPr>
        <w:noProof/>
      </w:rPr>
      <w:pict w14:anchorId="51E95F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404726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B956CA"/>
    <w:multiLevelType w:val="multilevel"/>
    <w:tmpl w:val="B3EA880A"/>
    <w:lvl w:ilvl="0">
      <w:start w:val="1"/>
      <w:numFmt w:val="decimal"/>
      <w:lvlText w:val="%1."/>
      <w:lvlJc w:val="left"/>
      <w:pPr>
        <w:tabs>
          <w:tab w:val="num" w:pos="720"/>
        </w:tabs>
        <w:ind w:left="720" w:hanging="360"/>
      </w:pPr>
      <w:rPr>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68C8"/>
    <w:rsid w:val="00000BE5"/>
    <w:rsid w:val="00042F29"/>
    <w:rsid w:val="0004717D"/>
    <w:rsid w:val="000D2320"/>
    <w:rsid w:val="001B4483"/>
    <w:rsid w:val="001B729D"/>
    <w:rsid w:val="001C2400"/>
    <w:rsid w:val="00225B16"/>
    <w:rsid w:val="00230BCD"/>
    <w:rsid w:val="00231604"/>
    <w:rsid w:val="00236CA8"/>
    <w:rsid w:val="003468C8"/>
    <w:rsid w:val="003974E3"/>
    <w:rsid w:val="003B5513"/>
    <w:rsid w:val="003E3926"/>
    <w:rsid w:val="00465B0F"/>
    <w:rsid w:val="004E072F"/>
    <w:rsid w:val="00587614"/>
    <w:rsid w:val="00622101"/>
    <w:rsid w:val="00751068"/>
    <w:rsid w:val="00786921"/>
    <w:rsid w:val="00813D2E"/>
    <w:rsid w:val="00816308"/>
    <w:rsid w:val="008234DB"/>
    <w:rsid w:val="008254BF"/>
    <w:rsid w:val="00885ADD"/>
    <w:rsid w:val="008A53D9"/>
    <w:rsid w:val="00945EBC"/>
    <w:rsid w:val="00950C29"/>
    <w:rsid w:val="009A6D75"/>
    <w:rsid w:val="009C3EB5"/>
    <w:rsid w:val="009E00C2"/>
    <w:rsid w:val="00A26F26"/>
    <w:rsid w:val="00A568A4"/>
    <w:rsid w:val="00AA2CBF"/>
    <w:rsid w:val="00AD1465"/>
    <w:rsid w:val="00BC3536"/>
    <w:rsid w:val="00CD7D02"/>
    <w:rsid w:val="00D21A24"/>
    <w:rsid w:val="00D6240E"/>
    <w:rsid w:val="00DB0521"/>
    <w:rsid w:val="00DF4516"/>
    <w:rsid w:val="00E41621"/>
    <w:rsid w:val="00E6365C"/>
    <w:rsid w:val="00EB5CE1"/>
    <w:rsid w:val="00EE63A2"/>
    <w:rsid w:val="00F8169C"/>
    <w:rsid w:val="00FB267E"/>
    <w:rsid w:val="00FC1D7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1AF281C"/>
  <w15:docId w15:val="{30B058B3-FEE6-4E86-AD8C-0A45E9DF3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58761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3">
    <w:name w:val="heading 3"/>
    <w:basedOn w:val="Normal"/>
    <w:link w:val="Heading3Char"/>
    <w:uiPriority w:val="9"/>
    <w:qFormat/>
    <w:rsid w:val="00587614"/>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next w:val="Normal"/>
    <w:link w:val="Heading4Char"/>
    <w:uiPriority w:val="9"/>
    <w:semiHidden/>
    <w:unhideWhenUsed/>
    <w:qFormat/>
    <w:rsid w:val="00587614"/>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50C29"/>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7614"/>
    <w:rPr>
      <w:rFonts w:ascii="Times New Roman" w:eastAsia="Times New Roman" w:hAnsi="Times New Roman" w:cs="Times New Roman"/>
      <w:b/>
      <w:bCs/>
      <w:kern w:val="36"/>
      <w:sz w:val="48"/>
      <w:szCs w:val="48"/>
      <w:lang w:eastAsia="en-IN"/>
    </w:rPr>
  </w:style>
  <w:style w:type="character" w:customStyle="1" w:styleId="Heading3Char">
    <w:name w:val="Heading 3 Char"/>
    <w:basedOn w:val="DefaultParagraphFont"/>
    <w:link w:val="Heading3"/>
    <w:uiPriority w:val="9"/>
    <w:rsid w:val="00587614"/>
    <w:rPr>
      <w:rFonts w:ascii="Times New Roman" w:eastAsia="Times New Roman" w:hAnsi="Times New Roman" w:cs="Times New Roman"/>
      <w:b/>
      <w:bCs/>
      <w:sz w:val="27"/>
      <w:szCs w:val="27"/>
      <w:lang w:eastAsia="en-IN"/>
    </w:rPr>
  </w:style>
  <w:style w:type="paragraph" w:styleId="NormalWeb">
    <w:name w:val="Normal (Web)"/>
    <w:basedOn w:val="Normal"/>
    <w:uiPriority w:val="99"/>
    <w:semiHidden/>
    <w:unhideWhenUsed/>
    <w:rsid w:val="00587614"/>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mord">
    <w:name w:val="mord"/>
    <w:basedOn w:val="DefaultParagraphFont"/>
    <w:rsid w:val="00587614"/>
  </w:style>
  <w:style w:type="character" w:customStyle="1" w:styleId="button-container">
    <w:name w:val="button-container"/>
    <w:basedOn w:val="DefaultParagraphFont"/>
    <w:rsid w:val="00587614"/>
  </w:style>
  <w:style w:type="character" w:customStyle="1" w:styleId="mrel">
    <w:name w:val="mrel"/>
    <w:basedOn w:val="DefaultParagraphFont"/>
    <w:rsid w:val="00587614"/>
  </w:style>
  <w:style w:type="character" w:customStyle="1" w:styleId="mbin">
    <w:name w:val="mbin"/>
    <w:basedOn w:val="DefaultParagraphFont"/>
    <w:rsid w:val="00587614"/>
  </w:style>
  <w:style w:type="character" w:customStyle="1" w:styleId="Heading4Char">
    <w:name w:val="Heading 4 Char"/>
    <w:basedOn w:val="DefaultParagraphFont"/>
    <w:link w:val="Heading4"/>
    <w:uiPriority w:val="9"/>
    <w:semiHidden/>
    <w:rsid w:val="0058761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950C29"/>
    <w:rPr>
      <w:rFonts w:asciiTheme="majorHAnsi" w:eastAsiaTheme="majorEastAsia" w:hAnsiTheme="majorHAnsi" w:cstheme="majorBidi"/>
      <w:color w:val="243F60" w:themeColor="accent1" w:themeShade="7F"/>
    </w:rPr>
  </w:style>
  <w:style w:type="paragraph" w:styleId="BalloonText">
    <w:name w:val="Balloon Text"/>
    <w:basedOn w:val="Normal"/>
    <w:link w:val="BalloonTextChar"/>
    <w:uiPriority w:val="99"/>
    <w:semiHidden/>
    <w:unhideWhenUsed/>
    <w:rsid w:val="006221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2101"/>
    <w:rPr>
      <w:rFonts w:ascii="Tahoma" w:hAnsi="Tahoma" w:cs="Tahoma"/>
      <w:sz w:val="16"/>
      <w:szCs w:val="16"/>
    </w:rPr>
  </w:style>
  <w:style w:type="character" w:styleId="PlaceholderText">
    <w:name w:val="Placeholder Text"/>
    <w:basedOn w:val="DefaultParagraphFont"/>
    <w:uiPriority w:val="99"/>
    <w:semiHidden/>
    <w:rsid w:val="00225B16"/>
    <w:rPr>
      <w:color w:val="808080"/>
    </w:rPr>
  </w:style>
  <w:style w:type="table" w:styleId="TableGrid">
    <w:name w:val="Table Grid"/>
    <w:basedOn w:val="TableNormal"/>
    <w:uiPriority w:val="59"/>
    <w:rsid w:val="004E07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1465"/>
    <w:pPr>
      <w:ind w:left="720"/>
      <w:contextualSpacing/>
    </w:pPr>
  </w:style>
  <w:style w:type="character" w:styleId="Hyperlink">
    <w:name w:val="Hyperlink"/>
    <w:basedOn w:val="DefaultParagraphFont"/>
    <w:uiPriority w:val="99"/>
    <w:unhideWhenUsed/>
    <w:rsid w:val="00786921"/>
    <w:rPr>
      <w:color w:val="0000FF"/>
      <w:u w:val="single"/>
    </w:rPr>
  </w:style>
  <w:style w:type="character" w:styleId="UnresolvedMention">
    <w:name w:val="Unresolved Mention"/>
    <w:basedOn w:val="DefaultParagraphFont"/>
    <w:uiPriority w:val="99"/>
    <w:semiHidden/>
    <w:unhideWhenUsed/>
    <w:rsid w:val="000D2320"/>
    <w:rPr>
      <w:color w:val="605E5C"/>
      <w:shd w:val="clear" w:color="auto" w:fill="E1DFDD"/>
    </w:rPr>
  </w:style>
  <w:style w:type="paragraph" w:styleId="Header">
    <w:name w:val="header"/>
    <w:basedOn w:val="Normal"/>
    <w:link w:val="HeaderChar"/>
    <w:uiPriority w:val="99"/>
    <w:unhideWhenUsed/>
    <w:rsid w:val="00813D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3D2E"/>
  </w:style>
  <w:style w:type="paragraph" w:styleId="Footer">
    <w:name w:val="footer"/>
    <w:basedOn w:val="Normal"/>
    <w:link w:val="FooterChar"/>
    <w:uiPriority w:val="99"/>
    <w:unhideWhenUsed/>
    <w:rsid w:val="00813D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3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231113">
      <w:bodyDiv w:val="1"/>
      <w:marLeft w:val="0"/>
      <w:marRight w:val="0"/>
      <w:marTop w:val="0"/>
      <w:marBottom w:val="0"/>
      <w:divBdr>
        <w:top w:val="none" w:sz="0" w:space="0" w:color="auto"/>
        <w:left w:val="none" w:sz="0" w:space="0" w:color="auto"/>
        <w:bottom w:val="none" w:sz="0" w:space="0" w:color="auto"/>
        <w:right w:val="none" w:sz="0" w:space="0" w:color="auto"/>
      </w:divBdr>
    </w:div>
    <w:div w:id="223105600">
      <w:bodyDiv w:val="1"/>
      <w:marLeft w:val="0"/>
      <w:marRight w:val="0"/>
      <w:marTop w:val="0"/>
      <w:marBottom w:val="0"/>
      <w:divBdr>
        <w:top w:val="none" w:sz="0" w:space="0" w:color="auto"/>
        <w:left w:val="none" w:sz="0" w:space="0" w:color="auto"/>
        <w:bottom w:val="none" w:sz="0" w:space="0" w:color="auto"/>
        <w:right w:val="none" w:sz="0" w:space="0" w:color="auto"/>
      </w:divBdr>
    </w:div>
    <w:div w:id="231889437">
      <w:bodyDiv w:val="1"/>
      <w:marLeft w:val="0"/>
      <w:marRight w:val="0"/>
      <w:marTop w:val="0"/>
      <w:marBottom w:val="0"/>
      <w:divBdr>
        <w:top w:val="none" w:sz="0" w:space="0" w:color="auto"/>
        <w:left w:val="none" w:sz="0" w:space="0" w:color="auto"/>
        <w:bottom w:val="none" w:sz="0" w:space="0" w:color="auto"/>
        <w:right w:val="none" w:sz="0" w:space="0" w:color="auto"/>
      </w:divBdr>
      <w:divsChild>
        <w:div w:id="545290559">
          <w:marLeft w:val="0"/>
          <w:marRight w:val="0"/>
          <w:marTop w:val="0"/>
          <w:marBottom w:val="0"/>
          <w:divBdr>
            <w:top w:val="none" w:sz="0" w:space="0" w:color="auto"/>
            <w:left w:val="none" w:sz="0" w:space="0" w:color="auto"/>
            <w:bottom w:val="none" w:sz="0" w:space="0" w:color="auto"/>
            <w:right w:val="none" w:sz="0" w:space="0" w:color="auto"/>
          </w:divBdr>
          <w:divsChild>
            <w:div w:id="1818644763">
              <w:marLeft w:val="0"/>
              <w:marRight w:val="0"/>
              <w:marTop w:val="0"/>
              <w:marBottom w:val="0"/>
              <w:divBdr>
                <w:top w:val="none" w:sz="0" w:space="0" w:color="auto"/>
                <w:left w:val="none" w:sz="0" w:space="0" w:color="auto"/>
                <w:bottom w:val="none" w:sz="0" w:space="0" w:color="auto"/>
                <w:right w:val="none" w:sz="0" w:space="0" w:color="auto"/>
              </w:divBdr>
              <w:divsChild>
                <w:div w:id="1832941452">
                  <w:marLeft w:val="0"/>
                  <w:marRight w:val="0"/>
                  <w:marTop w:val="0"/>
                  <w:marBottom w:val="0"/>
                  <w:divBdr>
                    <w:top w:val="none" w:sz="0" w:space="0" w:color="auto"/>
                    <w:left w:val="none" w:sz="0" w:space="0" w:color="auto"/>
                    <w:bottom w:val="none" w:sz="0" w:space="0" w:color="auto"/>
                    <w:right w:val="none" w:sz="0" w:space="0" w:color="auto"/>
                  </w:divBdr>
                  <w:divsChild>
                    <w:div w:id="58096692">
                      <w:marLeft w:val="0"/>
                      <w:marRight w:val="0"/>
                      <w:marTop w:val="0"/>
                      <w:marBottom w:val="0"/>
                      <w:divBdr>
                        <w:top w:val="none" w:sz="0" w:space="0" w:color="auto"/>
                        <w:left w:val="none" w:sz="0" w:space="0" w:color="auto"/>
                        <w:bottom w:val="none" w:sz="0" w:space="0" w:color="auto"/>
                        <w:right w:val="none" w:sz="0" w:space="0" w:color="auto"/>
                      </w:divBdr>
                    </w:div>
                    <w:div w:id="29198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253642">
      <w:bodyDiv w:val="1"/>
      <w:marLeft w:val="0"/>
      <w:marRight w:val="0"/>
      <w:marTop w:val="0"/>
      <w:marBottom w:val="0"/>
      <w:divBdr>
        <w:top w:val="none" w:sz="0" w:space="0" w:color="auto"/>
        <w:left w:val="none" w:sz="0" w:space="0" w:color="auto"/>
        <w:bottom w:val="none" w:sz="0" w:space="0" w:color="auto"/>
        <w:right w:val="none" w:sz="0" w:space="0" w:color="auto"/>
      </w:divBdr>
    </w:div>
    <w:div w:id="255752565">
      <w:bodyDiv w:val="1"/>
      <w:marLeft w:val="0"/>
      <w:marRight w:val="0"/>
      <w:marTop w:val="0"/>
      <w:marBottom w:val="0"/>
      <w:divBdr>
        <w:top w:val="none" w:sz="0" w:space="0" w:color="auto"/>
        <w:left w:val="none" w:sz="0" w:space="0" w:color="auto"/>
        <w:bottom w:val="none" w:sz="0" w:space="0" w:color="auto"/>
        <w:right w:val="none" w:sz="0" w:space="0" w:color="auto"/>
      </w:divBdr>
      <w:divsChild>
        <w:div w:id="1743719238">
          <w:marLeft w:val="0"/>
          <w:marRight w:val="0"/>
          <w:marTop w:val="0"/>
          <w:marBottom w:val="0"/>
          <w:divBdr>
            <w:top w:val="none" w:sz="0" w:space="0" w:color="auto"/>
            <w:left w:val="none" w:sz="0" w:space="0" w:color="auto"/>
            <w:bottom w:val="none" w:sz="0" w:space="0" w:color="auto"/>
            <w:right w:val="none" w:sz="0" w:space="0" w:color="auto"/>
          </w:divBdr>
          <w:divsChild>
            <w:div w:id="2026902829">
              <w:marLeft w:val="0"/>
              <w:marRight w:val="0"/>
              <w:marTop w:val="0"/>
              <w:marBottom w:val="0"/>
              <w:divBdr>
                <w:top w:val="none" w:sz="0" w:space="0" w:color="auto"/>
                <w:left w:val="none" w:sz="0" w:space="0" w:color="auto"/>
                <w:bottom w:val="none" w:sz="0" w:space="0" w:color="auto"/>
                <w:right w:val="none" w:sz="0" w:space="0" w:color="auto"/>
              </w:divBdr>
              <w:divsChild>
                <w:div w:id="1803420702">
                  <w:marLeft w:val="0"/>
                  <w:marRight w:val="0"/>
                  <w:marTop w:val="0"/>
                  <w:marBottom w:val="0"/>
                  <w:divBdr>
                    <w:top w:val="none" w:sz="0" w:space="0" w:color="auto"/>
                    <w:left w:val="none" w:sz="0" w:space="0" w:color="auto"/>
                    <w:bottom w:val="none" w:sz="0" w:space="0" w:color="auto"/>
                    <w:right w:val="none" w:sz="0" w:space="0" w:color="auto"/>
                  </w:divBdr>
                  <w:divsChild>
                    <w:div w:id="1025666994">
                      <w:marLeft w:val="0"/>
                      <w:marRight w:val="0"/>
                      <w:marTop w:val="0"/>
                      <w:marBottom w:val="0"/>
                      <w:divBdr>
                        <w:top w:val="none" w:sz="0" w:space="0" w:color="auto"/>
                        <w:left w:val="none" w:sz="0" w:space="0" w:color="auto"/>
                        <w:bottom w:val="none" w:sz="0" w:space="0" w:color="auto"/>
                        <w:right w:val="none" w:sz="0" w:space="0" w:color="auto"/>
                      </w:divBdr>
                    </w:div>
                    <w:div w:id="44901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2760518">
      <w:bodyDiv w:val="1"/>
      <w:marLeft w:val="0"/>
      <w:marRight w:val="0"/>
      <w:marTop w:val="0"/>
      <w:marBottom w:val="0"/>
      <w:divBdr>
        <w:top w:val="none" w:sz="0" w:space="0" w:color="auto"/>
        <w:left w:val="none" w:sz="0" w:space="0" w:color="auto"/>
        <w:bottom w:val="none" w:sz="0" w:space="0" w:color="auto"/>
        <w:right w:val="none" w:sz="0" w:space="0" w:color="auto"/>
      </w:divBdr>
    </w:div>
    <w:div w:id="638069161">
      <w:bodyDiv w:val="1"/>
      <w:marLeft w:val="0"/>
      <w:marRight w:val="0"/>
      <w:marTop w:val="0"/>
      <w:marBottom w:val="0"/>
      <w:divBdr>
        <w:top w:val="none" w:sz="0" w:space="0" w:color="auto"/>
        <w:left w:val="none" w:sz="0" w:space="0" w:color="auto"/>
        <w:bottom w:val="none" w:sz="0" w:space="0" w:color="auto"/>
        <w:right w:val="none" w:sz="0" w:space="0" w:color="auto"/>
      </w:divBdr>
    </w:div>
    <w:div w:id="667634274">
      <w:bodyDiv w:val="1"/>
      <w:marLeft w:val="0"/>
      <w:marRight w:val="0"/>
      <w:marTop w:val="0"/>
      <w:marBottom w:val="0"/>
      <w:divBdr>
        <w:top w:val="none" w:sz="0" w:space="0" w:color="auto"/>
        <w:left w:val="none" w:sz="0" w:space="0" w:color="auto"/>
        <w:bottom w:val="none" w:sz="0" w:space="0" w:color="auto"/>
        <w:right w:val="none" w:sz="0" w:space="0" w:color="auto"/>
      </w:divBdr>
    </w:div>
    <w:div w:id="825129124">
      <w:bodyDiv w:val="1"/>
      <w:marLeft w:val="0"/>
      <w:marRight w:val="0"/>
      <w:marTop w:val="0"/>
      <w:marBottom w:val="0"/>
      <w:divBdr>
        <w:top w:val="none" w:sz="0" w:space="0" w:color="auto"/>
        <w:left w:val="none" w:sz="0" w:space="0" w:color="auto"/>
        <w:bottom w:val="none" w:sz="0" w:space="0" w:color="auto"/>
        <w:right w:val="none" w:sz="0" w:space="0" w:color="auto"/>
      </w:divBdr>
    </w:div>
    <w:div w:id="1036467231">
      <w:bodyDiv w:val="1"/>
      <w:marLeft w:val="0"/>
      <w:marRight w:val="0"/>
      <w:marTop w:val="0"/>
      <w:marBottom w:val="0"/>
      <w:divBdr>
        <w:top w:val="none" w:sz="0" w:space="0" w:color="auto"/>
        <w:left w:val="none" w:sz="0" w:space="0" w:color="auto"/>
        <w:bottom w:val="none" w:sz="0" w:space="0" w:color="auto"/>
        <w:right w:val="none" w:sz="0" w:space="0" w:color="auto"/>
      </w:divBdr>
    </w:div>
    <w:div w:id="1151797678">
      <w:bodyDiv w:val="1"/>
      <w:marLeft w:val="0"/>
      <w:marRight w:val="0"/>
      <w:marTop w:val="0"/>
      <w:marBottom w:val="0"/>
      <w:divBdr>
        <w:top w:val="none" w:sz="0" w:space="0" w:color="auto"/>
        <w:left w:val="none" w:sz="0" w:space="0" w:color="auto"/>
        <w:bottom w:val="none" w:sz="0" w:space="0" w:color="auto"/>
        <w:right w:val="none" w:sz="0" w:space="0" w:color="auto"/>
      </w:divBdr>
    </w:div>
    <w:div w:id="1278216847">
      <w:bodyDiv w:val="1"/>
      <w:marLeft w:val="0"/>
      <w:marRight w:val="0"/>
      <w:marTop w:val="0"/>
      <w:marBottom w:val="0"/>
      <w:divBdr>
        <w:top w:val="none" w:sz="0" w:space="0" w:color="auto"/>
        <w:left w:val="none" w:sz="0" w:space="0" w:color="auto"/>
        <w:bottom w:val="none" w:sz="0" w:space="0" w:color="auto"/>
        <w:right w:val="none" w:sz="0" w:space="0" w:color="auto"/>
      </w:divBdr>
    </w:div>
    <w:div w:id="1485971209">
      <w:bodyDiv w:val="1"/>
      <w:marLeft w:val="0"/>
      <w:marRight w:val="0"/>
      <w:marTop w:val="0"/>
      <w:marBottom w:val="0"/>
      <w:divBdr>
        <w:top w:val="none" w:sz="0" w:space="0" w:color="auto"/>
        <w:left w:val="none" w:sz="0" w:space="0" w:color="auto"/>
        <w:bottom w:val="none" w:sz="0" w:space="0" w:color="auto"/>
        <w:right w:val="none" w:sz="0" w:space="0" w:color="auto"/>
      </w:divBdr>
    </w:div>
    <w:div w:id="1747649482">
      <w:bodyDiv w:val="1"/>
      <w:marLeft w:val="0"/>
      <w:marRight w:val="0"/>
      <w:marTop w:val="0"/>
      <w:marBottom w:val="0"/>
      <w:divBdr>
        <w:top w:val="none" w:sz="0" w:space="0" w:color="auto"/>
        <w:left w:val="none" w:sz="0" w:space="0" w:color="auto"/>
        <w:bottom w:val="none" w:sz="0" w:space="0" w:color="auto"/>
        <w:right w:val="none" w:sz="0" w:space="0" w:color="auto"/>
      </w:divBdr>
    </w:div>
    <w:div w:id="1818111699">
      <w:bodyDiv w:val="1"/>
      <w:marLeft w:val="0"/>
      <w:marRight w:val="0"/>
      <w:marTop w:val="0"/>
      <w:marBottom w:val="0"/>
      <w:divBdr>
        <w:top w:val="none" w:sz="0" w:space="0" w:color="auto"/>
        <w:left w:val="none" w:sz="0" w:space="0" w:color="auto"/>
        <w:bottom w:val="none" w:sz="0" w:space="0" w:color="auto"/>
        <w:right w:val="none" w:sz="0" w:space="0" w:color="auto"/>
      </w:divBdr>
    </w:div>
    <w:div w:id="1853490692">
      <w:bodyDiv w:val="1"/>
      <w:marLeft w:val="0"/>
      <w:marRight w:val="0"/>
      <w:marTop w:val="0"/>
      <w:marBottom w:val="0"/>
      <w:divBdr>
        <w:top w:val="none" w:sz="0" w:space="0" w:color="auto"/>
        <w:left w:val="none" w:sz="0" w:space="0" w:color="auto"/>
        <w:bottom w:val="none" w:sz="0" w:space="0" w:color="auto"/>
        <w:right w:val="none" w:sz="0" w:space="0" w:color="auto"/>
      </w:divBdr>
    </w:div>
    <w:div w:id="2011255922">
      <w:bodyDiv w:val="1"/>
      <w:marLeft w:val="0"/>
      <w:marRight w:val="0"/>
      <w:marTop w:val="0"/>
      <w:marBottom w:val="0"/>
      <w:divBdr>
        <w:top w:val="none" w:sz="0" w:space="0" w:color="auto"/>
        <w:left w:val="none" w:sz="0" w:space="0" w:color="auto"/>
        <w:bottom w:val="none" w:sz="0" w:space="0" w:color="auto"/>
        <w:right w:val="none" w:sz="0" w:space="0" w:color="auto"/>
      </w:divBdr>
    </w:div>
    <w:div w:id="2137095486">
      <w:bodyDiv w:val="1"/>
      <w:marLeft w:val="0"/>
      <w:marRight w:val="0"/>
      <w:marTop w:val="0"/>
      <w:marBottom w:val="0"/>
      <w:divBdr>
        <w:top w:val="none" w:sz="0" w:space="0" w:color="auto"/>
        <w:left w:val="none" w:sz="0" w:space="0" w:color="auto"/>
        <w:bottom w:val="none" w:sz="0" w:space="0" w:color="auto"/>
        <w:right w:val="none" w:sz="0" w:space="0" w:color="auto"/>
      </w:divBdr>
      <w:divsChild>
        <w:div w:id="10629425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1078</TotalTime>
  <Pages>16</Pages>
  <Words>5257</Words>
  <Characters>29969</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14</cp:revision>
  <cp:lastPrinted>2025-10-10T05:07:00Z</cp:lastPrinted>
  <dcterms:created xsi:type="dcterms:W3CDTF">2025-10-10T03:41:00Z</dcterms:created>
  <dcterms:modified xsi:type="dcterms:W3CDTF">2025-10-10T12:25:00Z</dcterms:modified>
</cp:coreProperties>
</file>