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B3295" w14:textId="77777777" w:rsidR="00387E0D" w:rsidRDefault="00387E0D" w:rsidP="007A4061">
      <w:pPr>
        <w:jc w:val="center"/>
        <w:rPr>
          <w:rFonts w:ascii="Times New Roman" w:hAnsi="Times New Roman" w:cs="Times New Roman"/>
          <w:b/>
          <w:sz w:val="24"/>
          <w:szCs w:val="24"/>
        </w:rPr>
      </w:pPr>
      <w:r w:rsidRPr="00882DC2">
        <w:rPr>
          <w:rFonts w:ascii="Times New Roman" w:hAnsi="Times New Roman" w:cs="Times New Roman"/>
          <w:b/>
          <w:sz w:val="24"/>
          <w:szCs w:val="24"/>
        </w:rPr>
        <w:t xml:space="preserve">CLIMATE CHANGE </w:t>
      </w:r>
      <w:r w:rsidR="007A4061" w:rsidRPr="00882DC2">
        <w:rPr>
          <w:rFonts w:ascii="Times New Roman" w:hAnsi="Times New Roman" w:cs="Times New Roman"/>
          <w:b/>
          <w:sz w:val="24"/>
          <w:szCs w:val="24"/>
        </w:rPr>
        <w:t>AND ENV</w:t>
      </w:r>
      <w:r w:rsidRPr="00882DC2">
        <w:rPr>
          <w:rFonts w:ascii="Times New Roman" w:hAnsi="Times New Roman" w:cs="Times New Roman"/>
          <w:b/>
          <w:sz w:val="24"/>
          <w:szCs w:val="24"/>
        </w:rPr>
        <w:t>IRONMENTAL GO</w:t>
      </w:r>
      <w:r w:rsidR="0049172D" w:rsidRPr="00882DC2">
        <w:rPr>
          <w:rFonts w:ascii="Times New Roman" w:hAnsi="Times New Roman" w:cs="Times New Roman"/>
          <w:b/>
          <w:sz w:val="24"/>
          <w:szCs w:val="24"/>
        </w:rPr>
        <w:t>VERNANCE IN NIGERIA</w:t>
      </w:r>
      <w:r w:rsidRPr="00882DC2">
        <w:rPr>
          <w:rFonts w:ascii="Times New Roman" w:hAnsi="Times New Roman" w:cs="Times New Roman"/>
          <w:b/>
          <w:sz w:val="24"/>
          <w:szCs w:val="24"/>
        </w:rPr>
        <w:t>: A FOCUS</w:t>
      </w:r>
      <w:r w:rsidR="0049172D" w:rsidRPr="00882DC2">
        <w:rPr>
          <w:rFonts w:ascii="Times New Roman" w:hAnsi="Times New Roman" w:cs="Times New Roman"/>
          <w:b/>
          <w:sz w:val="24"/>
          <w:szCs w:val="24"/>
        </w:rPr>
        <w:t xml:space="preserve"> ON NORTH CENTRAL REGION</w:t>
      </w:r>
    </w:p>
    <w:p w14:paraId="4423C7A8" w14:textId="6A6E26B6" w:rsidR="00C261F2" w:rsidRDefault="00C261F2" w:rsidP="00C261F2">
      <w:pPr>
        <w:pStyle w:val="NoSpacing"/>
        <w:jc w:val="center"/>
        <w:rPr>
          <w:rFonts w:ascii="Times New Roman" w:hAnsi="Times New Roman" w:cs="Times New Roman"/>
          <w:sz w:val="24"/>
          <w:szCs w:val="24"/>
        </w:rPr>
      </w:pPr>
    </w:p>
    <w:p w14:paraId="1ED00064" w14:textId="77777777" w:rsidR="00AE2BCD" w:rsidRPr="00C261F2" w:rsidRDefault="00AE2BCD" w:rsidP="00C261F2">
      <w:pPr>
        <w:pStyle w:val="NoSpacing"/>
        <w:jc w:val="center"/>
        <w:rPr>
          <w:rFonts w:ascii="Times New Roman" w:hAnsi="Times New Roman" w:cs="Times New Roman"/>
          <w:sz w:val="24"/>
          <w:szCs w:val="24"/>
        </w:rPr>
      </w:pPr>
      <w:bookmarkStart w:id="0" w:name="_GoBack"/>
      <w:bookmarkEnd w:id="0"/>
    </w:p>
    <w:p w14:paraId="2BAF4356" w14:textId="77777777" w:rsidR="00C716F7" w:rsidRPr="00882DC2" w:rsidRDefault="00882DC2" w:rsidP="000B1F91">
      <w:pPr>
        <w:pStyle w:val="NoSpacing"/>
        <w:rPr>
          <w:rFonts w:ascii="Times New Roman" w:hAnsi="Times New Roman" w:cs="Times New Roman"/>
          <w:sz w:val="24"/>
          <w:szCs w:val="24"/>
        </w:rPr>
      </w:pPr>
      <w:r w:rsidRPr="00882DC2">
        <w:rPr>
          <w:rStyle w:val="Strong"/>
          <w:rFonts w:ascii="Times New Roman" w:hAnsi="Times New Roman" w:cs="Times New Roman"/>
          <w:bCs w:val="0"/>
          <w:sz w:val="24"/>
          <w:szCs w:val="24"/>
        </w:rPr>
        <w:t>ABSTRACT</w:t>
      </w:r>
    </w:p>
    <w:p w14:paraId="7DB702C5" w14:textId="77777777" w:rsidR="00C716F7" w:rsidRPr="00882DC2" w:rsidRDefault="00C716F7" w:rsidP="000B1F91">
      <w:pPr>
        <w:pStyle w:val="NormalWeb"/>
        <w:jc w:val="both"/>
      </w:pPr>
      <w:r w:rsidRPr="00882DC2">
        <w:t>Climate change poses significant risks to sustainable development, particularly in developing countries where governance systems often face structural and institutional limitations. This study examined the effectiveness of climate and environmental governance in Nigeria, with a specific focus on the North Central region, which has a population of approximately 25.4 million people. The research assessed three core themes: (i) the effectiveness of Nigeria’s environmental governance framework; (ii) the institutional, political, and socio-economic constraints affecting governance; and (iii) strategies for strengthening governance and enhancing resilience.</w:t>
      </w:r>
      <w:r w:rsidR="000B1F91" w:rsidRPr="00882DC2">
        <w:t xml:space="preserve"> </w:t>
      </w:r>
      <w:r w:rsidRPr="00882DC2">
        <w:t xml:space="preserve">A mixed-methods approach was adopted, combining descriptive and inferential statistical analyses of survey data collected from 400 respondents drawn from policymakers, civil society </w:t>
      </w:r>
      <w:proofErr w:type="spellStart"/>
      <w:r w:rsidRPr="00882DC2">
        <w:t>organisations</w:t>
      </w:r>
      <w:proofErr w:type="spellEnd"/>
      <w:r w:rsidRPr="00882DC2">
        <w:t>, and households. Descriptive statistics (means, frequencies, and percentages) provided an overview of governance perceptions, while</w:t>
      </w:r>
      <w:r w:rsidR="000F19DB">
        <w:t xml:space="preserve"> inferential test (chi-square) was</w:t>
      </w:r>
      <w:r w:rsidRPr="00882DC2">
        <w:t xml:space="preserve"> used to examine relationships between governance variables.</w:t>
      </w:r>
      <w:r w:rsidR="000B1F91" w:rsidRPr="00882DC2">
        <w:t xml:space="preserve"> </w:t>
      </w:r>
      <w:r w:rsidRPr="00882DC2">
        <w:t>Findings revealed that Nigeria’s environmental governance framework is perceived as moderately effective, with significant disparities in assessments across respondent categories. Institutional weaknesses, inadequate funding, and political constraints emerged as the most critical barriers. Regression analysis indicated that institutional capacity, political will, and socio-economic resources are significant predictors of governance effectiveness, jointly explaining over 60% of the variance. Strategies such as increased funding, institutional capacity building, and multi-stakeholder collaboration were identified as the most impactful for enhancing resilience.</w:t>
      </w:r>
      <w:r w:rsidR="000B1F91" w:rsidRPr="00882DC2">
        <w:t xml:space="preserve"> </w:t>
      </w:r>
      <w:r w:rsidRPr="00882DC2">
        <w:t xml:space="preserve">The study concludes that Nigeria must </w:t>
      </w:r>
      <w:proofErr w:type="spellStart"/>
      <w:r w:rsidRPr="00882DC2">
        <w:t>prioritise</w:t>
      </w:r>
      <w:proofErr w:type="spellEnd"/>
      <w:r w:rsidRPr="00882DC2">
        <w:t xml:space="preserve"> institutional strengthening, resource </w:t>
      </w:r>
      <w:proofErr w:type="spellStart"/>
      <w:r w:rsidRPr="00882DC2">
        <w:t>mobilisation</w:t>
      </w:r>
      <w:proofErr w:type="spellEnd"/>
      <w:r w:rsidRPr="00882DC2">
        <w:t>, and community participation to advance effective climate governance. A multi-stakeholder, cross-sectoral approach is recommended to align national climate commitments with local realities.</w:t>
      </w:r>
    </w:p>
    <w:p w14:paraId="70F2392C" w14:textId="77777777" w:rsidR="00C716F7" w:rsidRPr="00882DC2" w:rsidRDefault="000B1F91" w:rsidP="000B1F91">
      <w:pPr>
        <w:jc w:val="both"/>
        <w:rPr>
          <w:rFonts w:ascii="Times New Roman" w:hAnsi="Times New Roman" w:cs="Times New Roman"/>
          <w:b/>
          <w:sz w:val="24"/>
          <w:szCs w:val="24"/>
        </w:rPr>
      </w:pPr>
      <w:r w:rsidRPr="00882DC2">
        <w:rPr>
          <w:rFonts w:ascii="Times New Roman" w:hAnsi="Times New Roman" w:cs="Times New Roman"/>
          <w:b/>
          <w:sz w:val="24"/>
          <w:szCs w:val="24"/>
        </w:rPr>
        <w:t>Keyword: Climate, Climate Change, Environment, Governance, Nigeria, North Central Region</w:t>
      </w:r>
    </w:p>
    <w:p w14:paraId="178845B2" w14:textId="77777777" w:rsidR="00387E0D" w:rsidRPr="00882DC2" w:rsidRDefault="00882DC2" w:rsidP="000B1F91">
      <w:pPr>
        <w:pStyle w:val="NoSpacing"/>
        <w:jc w:val="both"/>
        <w:rPr>
          <w:rFonts w:ascii="Times New Roman" w:hAnsi="Times New Roman" w:cs="Times New Roman"/>
          <w:b/>
          <w:sz w:val="24"/>
          <w:szCs w:val="24"/>
        </w:rPr>
      </w:pPr>
      <w:r w:rsidRPr="00882DC2">
        <w:rPr>
          <w:rFonts w:ascii="Times New Roman" w:hAnsi="Times New Roman" w:cs="Times New Roman"/>
          <w:b/>
          <w:sz w:val="24"/>
          <w:szCs w:val="24"/>
        </w:rPr>
        <w:t>INTRODUCTION</w:t>
      </w:r>
    </w:p>
    <w:p w14:paraId="61E6891D" w14:textId="77777777" w:rsidR="002A67F7" w:rsidRPr="00882DC2" w:rsidRDefault="002A67F7" w:rsidP="000B1F91">
      <w:pPr>
        <w:pStyle w:val="NoSpacing"/>
        <w:jc w:val="both"/>
        <w:rPr>
          <w:rFonts w:ascii="Times New Roman" w:hAnsi="Times New Roman" w:cs="Times New Roman"/>
          <w:b/>
          <w:sz w:val="24"/>
          <w:szCs w:val="24"/>
        </w:rPr>
      </w:pPr>
    </w:p>
    <w:p w14:paraId="64271A5D" w14:textId="77777777" w:rsidR="00387E0D" w:rsidRPr="00AA7FF4" w:rsidRDefault="00387E0D" w:rsidP="000B1F91">
      <w:pPr>
        <w:pStyle w:val="NoSpacing"/>
        <w:jc w:val="both"/>
        <w:rPr>
          <w:rFonts w:ascii="Times New Roman" w:hAnsi="Times New Roman" w:cs="Times New Roman"/>
          <w:sz w:val="24"/>
          <w:szCs w:val="24"/>
        </w:rPr>
      </w:pPr>
      <w:r w:rsidRPr="00AA7FF4">
        <w:rPr>
          <w:rFonts w:ascii="Times New Roman" w:hAnsi="Times New Roman" w:cs="Times New Roman"/>
          <w:sz w:val="24"/>
          <w:szCs w:val="24"/>
        </w:rPr>
        <w:t>Climate change has emerged as one of the most pressing global challenges of the twenty-first century, with its consequences disproportionately affecting developing countries. The increasing intensity and frequency of extreme weather events such as floods, droughts, heat</w:t>
      </w:r>
      <w:r w:rsidR="00C261F2" w:rsidRPr="00AA7FF4">
        <w:rPr>
          <w:rFonts w:ascii="Times New Roman" w:hAnsi="Times New Roman" w:cs="Times New Roman"/>
          <w:sz w:val="24"/>
          <w:szCs w:val="24"/>
        </w:rPr>
        <w:t xml:space="preserve"> </w:t>
      </w:r>
      <w:r w:rsidRPr="00AA7FF4">
        <w:rPr>
          <w:rFonts w:ascii="Times New Roman" w:hAnsi="Times New Roman" w:cs="Times New Roman"/>
          <w:sz w:val="24"/>
          <w:szCs w:val="24"/>
        </w:rPr>
        <w:t>waves, and coastal erosion highlight the vulnerabilities of countries with limited adaptive capacity (IPCC, 2022). Developing nations, particularly in Africa, contribute the least to global greenhouse gas emissions yet face the most severe socio-economic and environmental consequences (Sachs, 2015; Nhamo et al., 2020). This paradox has heightened scholarly and policy debates on the urgent need for effective environmental governance frameworks to strengthen resilience and promote sustainable development.</w:t>
      </w:r>
    </w:p>
    <w:p w14:paraId="4B2B5327" w14:textId="77777777" w:rsidR="002A67F7" w:rsidRPr="00AA7FF4" w:rsidRDefault="002A67F7" w:rsidP="000B1F91">
      <w:pPr>
        <w:pStyle w:val="NoSpacing"/>
        <w:jc w:val="both"/>
        <w:rPr>
          <w:rFonts w:ascii="Times New Roman" w:hAnsi="Times New Roman" w:cs="Times New Roman"/>
          <w:sz w:val="24"/>
          <w:szCs w:val="24"/>
        </w:rPr>
      </w:pPr>
    </w:p>
    <w:p w14:paraId="5821D230" w14:textId="77777777" w:rsidR="00387E0D" w:rsidRPr="00AA7FF4" w:rsidRDefault="00387E0D" w:rsidP="000B1F91">
      <w:pPr>
        <w:pStyle w:val="NoSpacing"/>
        <w:jc w:val="both"/>
        <w:rPr>
          <w:rFonts w:ascii="Times New Roman" w:hAnsi="Times New Roman" w:cs="Times New Roman"/>
          <w:sz w:val="24"/>
          <w:szCs w:val="24"/>
        </w:rPr>
      </w:pPr>
      <w:r w:rsidRPr="00AA7FF4">
        <w:rPr>
          <w:rFonts w:ascii="Times New Roman" w:hAnsi="Times New Roman" w:cs="Times New Roman"/>
          <w:sz w:val="24"/>
          <w:szCs w:val="24"/>
        </w:rPr>
        <w:lastRenderedPageBreak/>
        <w:t xml:space="preserve">Environmental governance refers to the processes, institutions, rules, and actors that shape how societies interact with the environment and manage natural resources (Lemos and Agrawal, 2006). In developing countries, governance systems are often characterized by weak institutional capacity, poor regulatory enforcement, limited financial resources, and competing development priorities, which complicate climate change adaptation and mitigation (Adeleke, 2019). Nigeria, Africa’s most populous country and one of the continent’s largest economies, presents a compelling case for exploring the intersection between climate change and environmental governance. The country faces significant challenges, including deforestation, desertification, loss of biodiversity, oil pollution in the Niger Delta, and rapid </w:t>
      </w:r>
      <w:proofErr w:type="spellStart"/>
      <w:r w:rsidRPr="00AA7FF4">
        <w:rPr>
          <w:rFonts w:ascii="Times New Roman" w:hAnsi="Times New Roman" w:cs="Times New Roman"/>
          <w:sz w:val="24"/>
          <w:szCs w:val="24"/>
        </w:rPr>
        <w:t>urbanisation</w:t>
      </w:r>
      <w:proofErr w:type="spellEnd"/>
      <w:r w:rsidRPr="00AA7FF4">
        <w:rPr>
          <w:rFonts w:ascii="Times New Roman" w:hAnsi="Times New Roman" w:cs="Times New Roman"/>
          <w:sz w:val="24"/>
          <w:szCs w:val="24"/>
        </w:rPr>
        <w:t xml:space="preserve">, all of which exacerbate its vulnerability to climate risks (Eleri and Ani, 2017; </w:t>
      </w:r>
      <w:proofErr w:type="spellStart"/>
      <w:r w:rsidRPr="00AA7FF4">
        <w:rPr>
          <w:rFonts w:ascii="Times New Roman" w:hAnsi="Times New Roman" w:cs="Times New Roman"/>
          <w:sz w:val="24"/>
          <w:szCs w:val="24"/>
        </w:rPr>
        <w:t>Odjugo</w:t>
      </w:r>
      <w:proofErr w:type="spellEnd"/>
      <w:r w:rsidRPr="00AA7FF4">
        <w:rPr>
          <w:rFonts w:ascii="Times New Roman" w:hAnsi="Times New Roman" w:cs="Times New Roman"/>
          <w:sz w:val="24"/>
          <w:szCs w:val="24"/>
        </w:rPr>
        <w:t>, 2010).</w:t>
      </w:r>
    </w:p>
    <w:p w14:paraId="24895F2B" w14:textId="77777777" w:rsidR="002A67F7" w:rsidRPr="00AA7FF4" w:rsidRDefault="002A67F7" w:rsidP="000B1F91">
      <w:pPr>
        <w:pStyle w:val="NoSpacing"/>
        <w:jc w:val="both"/>
        <w:rPr>
          <w:rFonts w:ascii="Times New Roman" w:hAnsi="Times New Roman" w:cs="Times New Roman"/>
          <w:sz w:val="24"/>
          <w:szCs w:val="24"/>
        </w:rPr>
      </w:pPr>
    </w:p>
    <w:p w14:paraId="4514C565" w14:textId="77777777" w:rsidR="00387E0D" w:rsidRPr="00AA7FF4" w:rsidRDefault="00387E0D" w:rsidP="000B1F91">
      <w:pPr>
        <w:pStyle w:val="NoSpacing"/>
        <w:jc w:val="both"/>
        <w:rPr>
          <w:rFonts w:ascii="Times New Roman" w:hAnsi="Times New Roman" w:cs="Times New Roman"/>
          <w:sz w:val="24"/>
          <w:szCs w:val="24"/>
        </w:rPr>
      </w:pPr>
      <w:r w:rsidRPr="00AA7FF4">
        <w:rPr>
          <w:rFonts w:ascii="Times New Roman" w:hAnsi="Times New Roman" w:cs="Times New Roman"/>
          <w:sz w:val="24"/>
          <w:szCs w:val="24"/>
        </w:rPr>
        <w:t>The Nigerian government has made notable commitments through policies such as the National Climate Change Policy (2012), the Climate Change Act (2021), and its engagement with international agreements including the Paris Accord. However, the effectiveness of these initiatives remains undermined by institutional fragmentation, inadequate funding, poor stakeholder coordination, and governance deficits such as corruption and weak enforcement mechanisms (Adeleke and Ogbonnaya, 2021; Omotoso, 2023). This has resulted in a persistent implementation gap between policy formulation and practical climate action. Moreover, the heavy reliance on oil revenues constrains Nigeria’s transition towards a low-carbon economy, raising questions about policy coherence and political will in addressing climate change.</w:t>
      </w:r>
    </w:p>
    <w:p w14:paraId="48E58630" w14:textId="77777777" w:rsidR="002A67F7" w:rsidRPr="00AA7FF4" w:rsidRDefault="002A67F7" w:rsidP="000B1F91">
      <w:pPr>
        <w:pStyle w:val="NoSpacing"/>
        <w:jc w:val="both"/>
        <w:rPr>
          <w:rFonts w:ascii="Times New Roman" w:hAnsi="Times New Roman" w:cs="Times New Roman"/>
          <w:sz w:val="24"/>
          <w:szCs w:val="24"/>
        </w:rPr>
      </w:pPr>
    </w:p>
    <w:p w14:paraId="2859B8C1" w14:textId="77777777" w:rsidR="00387E0D" w:rsidRPr="00AA7FF4" w:rsidRDefault="00387E0D" w:rsidP="000B1F91">
      <w:pPr>
        <w:pStyle w:val="NoSpacing"/>
        <w:jc w:val="both"/>
        <w:rPr>
          <w:rFonts w:ascii="Times New Roman" w:hAnsi="Times New Roman" w:cs="Times New Roman"/>
          <w:sz w:val="24"/>
          <w:szCs w:val="24"/>
        </w:rPr>
      </w:pPr>
      <w:r w:rsidRPr="00AA7FF4">
        <w:rPr>
          <w:rFonts w:ascii="Times New Roman" w:hAnsi="Times New Roman" w:cs="Times New Roman"/>
          <w:sz w:val="24"/>
          <w:szCs w:val="24"/>
        </w:rPr>
        <w:t>The study of climate change and environmental governance in Nigeria is therefore critical for several reasons. First, the c</w:t>
      </w:r>
      <w:r w:rsidR="00C663A0" w:rsidRPr="00AA7FF4">
        <w:rPr>
          <w:rFonts w:ascii="Times New Roman" w:hAnsi="Times New Roman" w:cs="Times New Roman"/>
          <w:sz w:val="24"/>
          <w:szCs w:val="24"/>
        </w:rPr>
        <w:t xml:space="preserve">ountry’s geographical diversity </w:t>
      </w:r>
      <w:r w:rsidRPr="00AA7FF4">
        <w:rPr>
          <w:rFonts w:ascii="Times New Roman" w:hAnsi="Times New Roman" w:cs="Times New Roman"/>
          <w:sz w:val="24"/>
          <w:szCs w:val="24"/>
        </w:rPr>
        <w:t xml:space="preserve">from the </w:t>
      </w:r>
      <w:r w:rsidR="00C663A0" w:rsidRPr="00AA7FF4">
        <w:rPr>
          <w:rFonts w:ascii="Times New Roman" w:hAnsi="Times New Roman" w:cs="Times New Roman"/>
          <w:sz w:val="24"/>
          <w:szCs w:val="24"/>
        </w:rPr>
        <w:t xml:space="preserve">arid north to the coastal south </w:t>
      </w:r>
      <w:r w:rsidRPr="00AA7FF4">
        <w:rPr>
          <w:rFonts w:ascii="Times New Roman" w:hAnsi="Times New Roman" w:cs="Times New Roman"/>
          <w:sz w:val="24"/>
          <w:szCs w:val="24"/>
        </w:rPr>
        <w:t>makes it a microcosm of climate vulnerabilities in Sub-Saharan Africa (</w:t>
      </w:r>
      <w:proofErr w:type="spellStart"/>
      <w:r w:rsidRPr="00AA7FF4">
        <w:rPr>
          <w:rFonts w:ascii="Times New Roman" w:hAnsi="Times New Roman" w:cs="Times New Roman"/>
          <w:sz w:val="24"/>
          <w:szCs w:val="24"/>
        </w:rPr>
        <w:t>Odjugo</w:t>
      </w:r>
      <w:proofErr w:type="spellEnd"/>
      <w:r w:rsidRPr="00AA7FF4">
        <w:rPr>
          <w:rFonts w:ascii="Times New Roman" w:hAnsi="Times New Roman" w:cs="Times New Roman"/>
          <w:sz w:val="24"/>
          <w:szCs w:val="24"/>
        </w:rPr>
        <w:t>, 2010). Second, Nigeria’s status as a regional power means that its environmental governance strategies have significant implications for West Africa and beyond. Third, the socio-economic consequences of climate change, such as forced migration, resource conflicts, and threats to food security, have direct implications for national stability and security (Onuoha, 2008). By examining the interplay between climate change and governance structures, this study contributes to ongoing debates on sustainable development pathways in developing countries.</w:t>
      </w:r>
    </w:p>
    <w:p w14:paraId="15118B5F" w14:textId="77777777" w:rsidR="002A67F7" w:rsidRPr="00AA7FF4" w:rsidRDefault="002A67F7" w:rsidP="000B1F91">
      <w:pPr>
        <w:pStyle w:val="NoSpacing"/>
        <w:jc w:val="both"/>
        <w:rPr>
          <w:rFonts w:ascii="Times New Roman" w:hAnsi="Times New Roman" w:cs="Times New Roman"/>
          <w:sz w:val="24"/>
          <w:szCs w:val="24"/>
        </w:rPr>
      </w:pPr>
    </w:p>
    <w:p w14:paraId="5D1C8B62" w14:textId="77777777" w:rsidR="00387E0D" w:rsidRPr="00AA7FF4" w:rsidRDefault="00387E0D" w:rsidP="000B1F91">
      <w:pPr>
        <w:pStyle w:val="NoSpacing"/>
        <w:jc w:val="both"/>
        <w:rPr>
          <w:rFonts w:ascii="Times New Roman" w:hAnsi="Times New Roman" w:cs="Times New Roman"/>
          <w:sz w:val="24"/>
          <w:szCs w:val="24"/>
        </w:rPr>
      </w:pPr>
      <w:r w:rsidRPr="00AA7FF4">
        <w:rPr>
          <w:rFonts w:ascii="Times New Roman" w:hAnsi="Times New Roman" w:cs="Times New Roman"/>
          <w:sz w:val="24"/>
          <w:szCs w:val="24"/>
        </w:rPr>
        <w:t>Against this backdrop, the article interrogates how governance mechanisms in Nigeria are shaping the country’s responses to climate change. It argues that while Nigeria has taken important policy steps, persistent governance challenges undermine effective implementation and resilience-building. The article situates Nigeria’s climate governance within broader global and regional contexts, drawing attention to the importance of institutional reform, capacity building, and inclusive stakeholder participation. Ultimately, it underscores the need for a paradigm shift from policy rhetoric to actionable strategies that integrate climate governance into Nigeria’s developmental agenda</w:t>
      </w:r>
    </w:p>
    <w:p w14:paraId="2B1C2092" w14:textId="77777777" w:rsidR="002A67F7" w:rsidRPr="00AA7FF4" w:rsidRDefault="002A67F7" w:rsidP="000B1F91">
      <w:pPr>
        <w:pStyle w:val="NoSpacing"/>
        <w:jc w:val="both"/>
        <w:rPr>
          <w:rFonts w:ascii="Times New Roman" w:hAnsi="Times New Roman" w:cs="Times New Roman"/>
          <w:sz w:val="24"/>
          <w:szCs w:val="24"/>
        </w:rPr>
      </w:pPr>
    </w:p>
    <w:p w14:paraId="711A3F14" w14:textId="77777777" w:rsidR="00387E0D" w:rsidRPr="00AA7FF4" w:rsidRDefault="00882DC2" w:rsidP="000B1F91">
      <w:pPr>
        <w:pStyle w:val="NoSpacing"/>
        <w:jc w:val="both"/>
        <w:rPr>
          <w:rFonts w:ascii="Times New Roman" w:hAnsi="Times New Roman" w:cs="Times New Roman"/>
          <w:b/>
          <w:sz w:val="24"/>
          <w:szCs w:val="24"/>
        </w:rPr>
      </w:pPr>
      <w:r w:rsidRPr="00AA7FF4">
        <w:rPr>
          <w:rFonts w:ascii="Times New Roman" w:hAnsi="Times New Roman" w:cs="Times New Roman"/>
          <w:b/>
          <w:sz w:val="24"/>
          <w:szCs w:val="24"/>
        </w:rPr>
        <w:t>STATEMENT OF THE PROBLEM</w:t>
      </w:r>
    </w:p>
    <w:p w14:paraId="16F2CB65" w14:textId="77777777" w:rsidR="002A67F7" w:rsidRPr="00AA7FF4" w:rsidRDefault="002A67F7" w:rsidP="000B1F91">
      <w:pPr>
        <w:pStyle w:val="NoSpacing"/>
        <w:jc w:val="both"/>
        <w:rPr>
          <w:rFonts w:ascii="Times New Roman" w:hAnsi="Times New Roman" w:cs="Times New Roman"/>
          <w:b/>
          <w:sz w:val="24"/>
          <w:szCs w:val="24"/>
        </w:rPr>
      </w:pPr>
    </w:p>
    <w:p w14:paraId="7B718F2B" w14:textId="77777777" w:rsidR="00387E0D" w:rsidRPr="00AA7FF4" w:rsidRDefault="00387E0D" w:rsidP="000B1F91">
      <w:pPr>
        <w:pStyle w:val="NoSpacing"/>
        <w:jc w:val="both"/>
        <w:rPr>
          <w:rFonts w:ascii="Times New Roman" w:hAnsi="Times New Roman" w:cs="Times New Roman"/>
          <w:sz w:val="24"/>
          <w:szCs w:val="24"/>
        </w:rPr>
      </w:pPr>
      <w:r w:rsidRPr="00AA7FF4">
        <w:rPr>
          <w:rFonts w:ascii="Times New Roman" w:hAnsi="Times New Roman" w:cs="Times New Roman"/>
          <w:sz w:val="24"/>
          <w:szCs w:val="24"/>
        </w:rPr>
        <w:t>Climate change represents one of the greatest threats to human security and sustainable development, particularly in developing countries. Nigeria, with its diverse ecological zones ranging from the arid north to the coastal south, is highly vulnerable to climate-related impacts such as desertification, flooding, biodiversity loss, and coastal erosion (</w:t>
      </w:r>
      <w:proofErr w:type="spellStart"/>
      <w:r w:rsidRPr="00AA7FF4">
        <w:rPr>
          <w:rFonts w:ascii="Times New Roman" w:hAnsi="Times New Roman" w:cs="Times New Roman"/>
          <w:sz w:val="24"/>
          <w:szCs w:val="24"/>
        </w:rPr>
        <w:t>Odjugo</w:t>
      </w:r>
      <w:proofErr w:type="spellEnd"/>
      <w:r w:rsidRPr="00AA7FF4">
        <w:rPr>
          <w:rFonts w:ascii="Times New Roman" w:hAnsi="Times New Roman" w:cs="Times New Roman"/>
          <w:sz w:val="24"/>
          <w:szCs w:val="24"/>
        </w:rPr>
        <w:t xml:space="preserve">, 2010). Despite </w:t>
      </w:r>
      <w:r w:rsidRPr="00AA7FF4">
        <w:rPr>
          <w:rFonts w:ascii="Times New Roman" w:hAnsi="Times New Roman" w:cs="Times New Roman"/>
          <w:sz w:val="24"/>
          <w:szCs w:val="24"/>
        </w:rPr>
        <w:lastRenderedPageBreak/>
        <w:t>the adoption of policies such as the National Climate Change Policy (2012), the Climate Change Act (2021), and Nigeria’s commitments under the Paris Agreement, the country continues to face severe environmental degradation and governance challenges. Weak institutional frameworks, limited financial resources, poor enforcement of environmental regulations, and the dominance of oil-based economic structures undermine Nigeria’s ability to implement effective climate governance (Adeleke and Ogbonnaya, 2021; Omotoso, 2023).</w:t>
      </w:r>
    </w:p>
    <w:p w14:paraId="4E8E6EA3" w14:textId="77777777" w:rsidR="002A67F7" w:rsidRPr="00AA7FF4" w:rsidRDefault="002A67F7" w:rsidP="000B1F91">
      <w:pPr>
        <w:pStyle w:val="NoSpacing"/>
        <w:jc w:val="both"/>
        <w:rPr>
          <w:rFonts w:ascii="Times New Roman" w:hAnsi="Times New Roman" w:cs="Times New Roman"/>
          <w:sz w:val="24"/>
          <w:szCs w:val="24"/>
        </w:rPr>
      </w:pPr>
    </w:p>
    <w:p w14:paraId="49375388" w14:textId="77777777" w:rsidR="00387E0D" w:rsidRPr="00AA7FF4" w:rsidRDefault="00387E0D" w:rsidP="000B1F91">
      <w:pPr>
        <w:pStyle w:val="NoSpacing"/>
        <w:jc w:val="both"/>
        <w:rPr>
          <w:rFonts w:ascii="Times New Roman" w:hAnsi="Times New Roman" w:cs="Times New Roman"/>
          <w:sz w:val="24"/>
          <w:szCs w:val="24"/>
        </w:rPr>
      </w:pPr>
      <w:r w:rsidRPr="00AA7FF4">
        <w:rPr>
          <w:rFonts w:ascii="Times New Roman" w:hAnsi="Times New Roman" w:cs="Times New Roman"/>
          <w:sz w:val="24"/>
          <w:szCs w:val="24"/>
        </w:rPr>
        <w:t>The gap between policy formulation and implementation has left Nigeria ill-prepared to adequately mitigate and adapt to climate change. For instance, communities in the Niger Delta continue to suffer from oil pollution and rising sea levels, while northern regions are threatened by desertification and declining agricultural productivity. These environmental challenges not only threaten livelihoods but also exacerbate conflicts, migration pressures, and socio-economic inequalities (Onuoha, 2008). Thus, the central problem lies in the disconnect between Nigeria’s climate policy ambitions and the realities of its governance structures, which undermines resilience and long-term sustainable development.</w:t>
      </w:r>
    </w:p>
    <w:p w14:paraId="6A8C6CF5" w14:textId="77777777" w:rsidR="002A67F7" w:rsidRPr="00AA7FF4" w:rsidRDefault="002A67F7" w:rsidP="000B1F91">
      <w:pPr>
        <w:pStyle w:val="NoSpacing"/>
        <w:jc w:val="both"/>
        <w:rPr>
          <w:rFonts w:ascii="Times New Roman" w:hAnsi="Times New Roman" w:cs="Times New Roman"/>
          <w:sz w:val="24"/>
          <w:szCs w:val="24"/>
        </w:rPr>
      </w:pPr>
    </w:p>
    <w:p w14:paraId="283CEA11" w14:textId="77777777" w:rsidR="00387E0D" w:rsidRPr="00AA7FF4" w:rsidRDefault="00387E0D" w:rsidP="000B1F91">
      <w:pPr>
        <w:pStyle w:val="NoSpacing"/>
        <w:jc w:val="both"/>
        <w:rPr>
          <w:rFonts w:ascii="Times New Roman" w:hAnsi="Times New Roman" w:cs="Times New Roman"/>
          <w:sz w:val="24"/>
          <w:szCs w:val="24"/>
        </w:rPr>
      </w:pPr>
      <w:r w:rsidRPr="00AA7FF4">
        <w:rPr>
          <w:rFonts w:ascii="Times New Roman" w:hAnsi="Times New Roman" w:cs="Times New Roman"/>
          <w:sz w:val="24"/>
          <w:szCs w:val="24"/>
        </w:rPr>
        <w:t>Against this backdrop, there is a need for empirical analysis of how climate change and environmental governance intersect in Nigeria, the factors that hinder effective governance, and what strategies can enhance the country’s adaptive capacity. This study therefore addresses the problem of ineffective climate governance in Nigeria by exploring the institutional, political, and socio-economic barriers to effective implementation.</w:t>
      </w:r>
    </w:p>
    <w:p w14:paraId="43EC59B4" w14:textId="77777777" w:rsidR="002A67F7" w:rsidRPr="00AA7FF4" w:rsidRDefault="002A67F7" w:rsidP="000B1F91">
      <w:pPr>
        <w:pStyle w:val="NoSpacing"/>
        <w:jc w:val="both"/>
        <w:rPr>
          <w:rFonts w:ascii="Times New Roman" w:hAnsi="Times New Roman" w:cs="Times New Roman"/>
          <w:sz w:val="24"/>
          <w:szCs w:val="24"/>
        </w:rPr>
      </w:pPr>
    </w:p>
    <w:p w14:paraId="5D3A2BD3" w14:textId="77777777" w:rsidR="002A67F7" w:rsidRPr="00AA7FF4" w:rsidRDefault="00387E0D" w:rsidP="000B1F91">
      <w:pPr>
        <w:pStyle w:val="NoSpacing"/>
        <w:jc w:val="both"/>
        <w:rPr>
          <w:rFonts w:ascii="Times New Roman" w:hAnsi="Times New Roman" w:cs="Times New Roman"/>
          <w:sz w:val="24"/>
          <w:szCs w:val="24"/>
        </w:rPr>
      </w:pPr>
      <w:r w:rsidRPr="00AA7FF4">
        <w:rPr>
          <w:rFonts w:ascii="Times New Roman" w:hAnsi="Times New Roman" w:cs="Times New Roman"/>
          <w:sz w:val="24"/>
          <w:szCs w:val="24"/>
        </w:rPr>
        <w:t xml:space="preserve">Therefore, in line with the above, the study raised the following questions - </w:t>
      </w:r>
      <w:r w:rsidR="006F1176" w:rsidRPr="00AA7FF4">
        <w:rPr>
          <w:rFonts w:ascii="Times New Roman" w:hAnsi="Times New Roman" w:cs="Times New Roman"/>
          <w:sz w:val="24"/>
          <w:szCs w:val="24"/>
        </w:rPr>
        <w:t>How effective is Nigeria’s environmental and climate governance framework</w:t>
      </w:r>
      <w:r w:rsidR="00651A8E" w:rsidRPr="00AA7FF4">
        <w:rPr>
          <w:rFonts w:ascii="Times New Roman" w:hAnsi="Times New Roman" w:cs="Times New Roman"/>
          <w:sz w:val="24"/>
          <w:szCs w:val="24"/>
        </w:rPr>
        <w:t xml:space="preserve"> in addressing</w:t>
      </w:r>
      <w:r w:rsidRPr="00AA7FF4">
        <w:rPr>
          <w:rFonts w:ascii="Times New Roman" w:hAnsi="Times New Roman" w:cs="Times New Roman"/>
          <w:sz w:val="24"/>
          <w:szCs w:val="24"/>
        </w:rPr>
        <w:t xml:space="preserve"> the challenges posed by climate change? </w:t>
      </w:r>
      <w:r w:rsidR="00651A8E" w:rsidRPr="00AA7FF4">
        <w:rPr>
          <w:rFonts w:ascii="Times New Roman" w:hAnsi="Times New Roman" w:cs="Times New Roman"/>
          <w:sz w:val="24"/>
          <w:szCs w:val="24"/>
        </w:rPr>
        <w:t xml:space="preserve">What institutional, political, and socio-economic constraints hinder effective </w:t>
      </w:r>
      <w:r w:rsidRPr="00AA7FF4">
        <w:rPr>
          <w:rFonts w:ascii="Times New Roman" w:hAnsi="Times New Roman" w:cs="Times New Roman"/>
          <w:sz w:val="24"/>
          <w:szCs w:val="24"/>
        </w:rPr>
        <w:t xml:space="preserve">climate change governance in Nigeria? </w:t>
      </w:r>
      <w:r w:rsidR="00651A8E" w:rsidRPr="00AA7FF4">
        <w:rPr>
          <w:rFonts w:ascii="Times New Roman" w:hAnsi="Times New Roman" w:cs="Times New Roman"/>
          <w:sz w:val="24"/>
          <w:szCs w:val="24"/>
        </w:rPr>
        <w:t>What strategies can strengthen environmental governance mechanisms and enhance climate resilience and sustainable development in Nigeria</w:t>
      </w:r>
      <w:r w:rsidRPr="00AA7FF4">
        <w:rPr>
          <w:rFonts w:ascii="Times New Roman" w:hAnsi="Times New Roman" w:cs="Times New Roman"/>
          <w:sz w:val="24"/>
          <w:szCs w:val="24"/>
        </w:rPr>
        <w:t>? From the raised questions, the study is guided by the following objectives: to evaluate the effectiveness of Nigeria’s environmental governance framework in addressing climate change challenges; to identify the institutional, political, and socio-economic factors that limit effective climate change governance in Nigeria; and to recommend strategies for strengthening governance mechanisms to enhance Nigeria’s climate resilience and sustainable development.</w:t>
      </w:r>
      <w:r w:rsidR="002A67F7" w:rsidRPr="00AA7FF4">
        <w:rPr>
          <w:rFonts w:ascii="Times New Roman" w:hAnsi="Times New Roman" w:cs="Times New Roman"/>
          <w:sz w:val="24"/>
          <w:szCs w:val="24"/>
        </w:rPr>
        <w:t xml:space="preserve"> The research hypotheses include -Nigeria’s environmental governance framework has not significantly reduced the impacts of climate change on the country’s socio-economic and ecological systems; institutional, political, and socio-economic challenges significantly hinder the effective implementation of climate change governance policies in Nigeria; and strengthening governance mechanisms and institutional capacity will significantly enhance Nigeria’s ability to build resilience against climate change and promote sustainable development.</w:t>
      </w:r>
    </w:p>
    <w:p w14:paraId="1BB02AE6" w14:textId="77777777" w:rsidR="00387E0D" w:rsidRPr="00AA7FF4" w:rsidRDefault="00882DC2" w:rsidP="000B1F91">
      <w:pPr>
        <w:pStyle w:val="NormalWeb"/>
        <w:jc w:val="both"/>
        <w:rPr>
          <w:b/>
        </w:rPr>
      </w:pPr>
      <w:r w:rsidRPr="00AA7FF4">
        <w:rPr>
          <w:b/>
        </w:rPr>
        <w:t>LITERATURE REVIEW</w:t>
      </w:r>
    </w:p>
    <w:p w14:paraId="506A8CF3" w14:textId="77777777" w:rsidR="00C65986" w:rsidRPr="00AA7FF4" w:rsidRDefault="000B1F91" w:rsidP="000B1F91">
      <w:pPr>
        <w:pStyle w:val="NormalWeb"/>
        <w:jc w:val="both"/>
        <w:rPr>
          <w:b/>
          <w:i/>
        </w:rPr>
      </w:pPr>
      <w:r w:rsidRPr="00AA7FF4">
        <w:rPr>
          <w:b/>
          <w:i/>
        </w:rPr>
        <w:t xml:space="preserve">Conceptualizing </w:t>
      </w:r>
      <w:r w:rsidR="00C65986" w:rsidRPr="00AA7FF4">
        <w:rPr>
          <w:b/>
          <w:i/>
        </w:rPr>
        <w:t>Climate Change and Environmental Governance</w:t>
      </w:r>
    </w:p>
    <w:p w14:paraId="22AE267D" w14:textId="77777777" w:rsidR="00C65986" w:rsidRPr="00AA7FF4" w:rsidRDefault="00C65986" w:rsidP="00F15037">
      <w:pPr>
        <w:pStyle w:val="NoSpacing"/>
        <w:rPr>
          <w:rFonts w:ascii="Times New Roman" w:hAnsi="Times New Roman" w:cs="Times New Roman"/>
          <w:i/>
          <w:sz w:val="24"/>
          <w:szCs w:val="24"/>
        </w:rPr>
      </w:pPr>
      <w:r w:rsidRPr="00AA7FF4">
        <w:rPr>
          <w:rFonts w:ascii="Times New Roman" w:hAnsi="Times New Roman" w:cs="Times New Roman"/>
          <w:i/>
          <w:sz w:val="24"/>
          <w:szCs w:val="24"/>
        </w:rPr>
        <w:t>Climate Change</w:t>
      </w:r>
    </w:p>
    <w:p w14:paraId="0E074595" w14:textId="77777777" w:rsidR="00F15037" w:rsidRPr="00AA7FF4" w:rsidRDefault="00C65986" w:rsidP="000B1F91">
      <w:pPr>
        <w:pStyle w:val="NormalWeb"/>
        <w:jc w:val="both"/>
      </w:pPr>
      <w:r w:rsidRPr="00AA7FF4">
        <w:lastRenderedPageBreak/>
        <w:t xml:space="preserve">Climate change can be understood as a long-term alteration in the Earth’s climate system, marked by sustained shifts in temperature, precipitation patterns, and the frequency of extreme weather events. Unlike short-term climate variability, climate change refers to enduring transformations in atmospheric and ecological conditions, largely driven by anthropogenic factors such as greenhouse gas (GHG) emissions from fossil fuel combustion, </w:t>
      </w:r>
      <w:proofErr w:type="spellStart"/>
      <w:r w:rsidRPr="00AA7FF4">
        <w:t>industrialisation</w:t>
      </w:r>
      <w:proofErr w:type="spellEnd"/>
      <w:r w:rsidRPr="00AA7FF4">
        <w:t xml:space="preserve">, and land-use changes (IPCC, 2022). Conceptually, it encompasses both the </w:t>
      </w:r>
      <w:r w:rsidRPr="00AA7FF4">
        <w:rPr>
          <w:rStyle w:val="Strong"/>
          <w:b w:val="0"/>
        </w:rPr>
        <w:t>physical dimension</w:t>
      </w:r>
      <w:r w:rsidR="00F15037" w:rsidRPr="00AA7FF4">
        <w:t xml:space="preserve"> (</w:t>
      </w:r>
      <w:r w:rsidRPr="00AA7FF4">
        <w:t>observable changes in climate variab</w:t>
      </w:r>
      <w:r w:rsidR="00F15037" w:rsidRPr="00AA7FF4">
        <w:t xml:space="preserve">les), </w:t>
      </w:r>
      <w:r w:rsidRPr="00AA7FF4">
        <w:t xml:space="preserve">and the </w:t>
      </w:r>
      <w:r w:rsidRPr="00AA7FF4">
        <w:rPr>
          <w:rStyle w:val="Strong"/>
          <w:b w:val="0"/>
        </w:rPr>
        <w:t>societal dimension</w:t>
      </w:r>
      <w:r w:rsidR="00F15037" w:rsidRPr="00AA7FF4">
        <w:t xml:space="preserve"> (</w:t>
      </w:r>
      <w:r w:rsidRPr="00AA7FF4">
        <w:t>the human activities and governance systems that contribute to, and must respond to, these changes</w:t>
      </w:r>
      <w:r w:rsidR="00F15037" w:rsidRPr="00AA7FF4">
        <w:t>)</w:t>
      </w:r>
      <w:r w:rsidRPr="00AA7FF4">
        <w:t>.</w:t>
      </w:r>
      <w:r w:rsidR="00F15037" w:rsidRPr="00AA7FF4">
        <w:t xml:space="preserve"> </w:t>
      </w:r>
    </w:p>
    <w:p w14:paraId="48051322" w14:textId="77777777" w:rsidR="00C65986" w:rsidRPr="00AA7FF4" w:rsidRDefault="00C65986" w:rsidP="000B1F91">
      <w:pPr>
        <w:pStyle w:val="NormalWeb"/>
        <w:jc w:val="both"/>
      </w:pPr>
      <w:r w:rsidRPr="00AA7FF4">
        <w:t xml:space="preserve">From a </w:t>
      </w:r>
      <w:r w:rsidRPr="00AA7FF4">
        <w:rPr>
          <w:rStyle w:val="Strong"/>
          <w:b w:val="0"/>
        </w:rPr>
        <w:t>scientific perspective</w:t>
      </w:r>
      <w:r w:rsidRPr="00AA7FF4">
        <w:t xml:space="preserve">, climate change is explained through the greenhouse effect, where gases like carbon dioxide (CO₂), methane (CH₄), and nitrous oxide (N₂O) trap solar radiation, leading to global warming and systemic disruptions in weather and ecosystems (NASA, 2021). This </w:t>
      </w:r>
      <w:proofErr w:type="spellStart"/>
      <w:r w:rsidRPr="00AA7FF4">
        <w:t>conceptualisation</w:t>
      </w:r>
      <w:proofErr w:type="spellEnd"/>
      <w:r w:rsidRPr="00AA7FF4">
        <w:t xml:space="preserve"> frames climate change as a global commons problem, as emissions in one region affect the entire planet.</w:t>
      </w:r>
      <w:r w:rsidR="00F15037" w:rsidRPr="00AA7FF4">
        <w:t xml:space="preserve"> </w:t>
      </w:r>
      <w:r w:rsidRPr="00AA7FF4">
        <w:t xml:space="preserve">From a </w:t>
      </w:r>
      <w:r w:rsidRPr="00AA7FF4">
        <w:rPr>
          <w:rStyle w:val="Strong"/>
          <w:b w:val="0"/>
        </w:rPr>
        <w:t>developmental and governance lens</w:t>
      </w:r>
      <w:r w:rsidRPr="00AA7FF4">
        <w:rPr>
          <w:b/>
        </w:rPr>
        <w:t>,</w:t>
      </w:r>
      <w:r w:rsidRPr="00AA7FF4">
        <w:t xml:space="preserve"> climate change is more than an environmental issue; it is a multidimensional challenge that intersects with food security, energy, health, water resources, and economic stability. Developing countries, including Nigeria, face heightened vulnerability due to weak adaptive capacity, poverty, reliance on climate-sensitive sectors, and fragile governance structures (World Bank, 2022). Conceptually, therefore, climate change is not only about environmental shifts but also about human resilience, equity, and sustainable governance responses.</w:t>
      </w:r>
    </w:p>
    <w:p w14:paraId="05BBED6D" w14:textId="77777777" w:rsidR="00C65986" w:rsidRPr="00AA7FF4" w:rsidRDefault="00C65986" w:rsidP="000B1F91">
      <w:pPr>
        <w:pStyle w:val="NormalWeb"/>
        <w:jc w:val="both"/>
      </w:pPr>
      <w:r w:rsidRPr="00AA7FF4">
        <w:t xml:space="preserve">In addition, </w:t>
      </w:r>
      <w:r w:rsidRPr="00AA7FF4">
        <w:rPr>
          <w:rStyle w:val="Strong"/>
          <w:b w:val="0"/>
        </w:rPr>
        <w:t>climate change is both a risk and an opportunity</w:t>
      </w:r>
      <w:r w:rsidRPr="00AA7FF4">
        <w:t xml:space="preserve">. While it threatens ecosystems, livelihoods, and human security, it also provides an impetus for innovation in renewable energy, sustainable agriculture, and green finance (Okafor, 2024). This duality highlights the need to </w:t>
      </w:r>
      <w:proofErr w:type="spellStart"/>
      <w:r w:rsidRPr="00AA7FF4">
        <w:t>conceptualise</w:t>
      </w:r>
      <w:proofErr w:type="spellEnd"/>
      <w:r w:rsidRPr="00AA7FF4">
        <w:t xml:space="preserve"> climate change as a driver of systemic transformation rather than a narrow environmental challenge.</w:t>
      </w:r>
      <w:r w:rsidR="00F15037" w:rsidRPr="00AA7FF4">
        <w:t xml:space="preserve"> </w:t>
      </w:r>
      <w:r w:rsidRPr="00AA7FF4">
        <w:t xml:space="preserve">Thus, climate change can be broadly </w:t>
      </w:r>
      <w:proofErr w:type="spellStart"/>
      <w:r w:rsidRPr="00AA7FF4">
        <w:t>conceptualised</w:t>
      </w:r>
      <w:proofErr w:type="spellEnd"/>
      <w:r w:rsidRPr="00AA7FF4">
        <w:t xml:space="preserve"> as a </w:t>
      </w:r>
      <w:r w:rsidRPr="00AA7FF4">
        <w:rPr>
          <w:rStyle w:val="Strong"/>
          <w:b w:val="0"/>
        </w:rPr>
        <w:t>multifaceted phenomenon</w:t>
      </w:r>
      <w:r w:rsidR="00F15037" w:rsidRPr="00AA7FF4">
        <w:t xml:space="preserve"> </w:t>
      </w:r>
      <w:r w:rsidRPr="00AA7FF4">
        <w:t>at once scientific</w:t>
      </w:r>
      <w:r w:rsidR="00C663A0" w:rsidRPr="00AA7FF4">
        <w:t xml:space="preserve">, socio-economic, and political </w:t>
      </w:r>
      <w:r w:rsidRPr="00AA7FF4">
        <w:t>requiring holistic governance responses that integrate mitigation, adaptation, resilience building, and sustainable development.</w:t>
      </w:r>
    </w:p>
    <w:p w14:paraId="15901B8F" w14:textId="77777777" w:rsidR="00C65986" w:rsidRPr="00AA7FF4" w:rsidRDefault="00C65986" w:rsidP="00F15037">
      <w:pPr>
        <w:pStyle w:val="NoSpacing"/>
        <w:rPr>
          <w:rFonts w:ascii="Times New Roman" w:hAnsi="Times New Roman" w:cs="Times New Roman"/>
          <w:i/>
          <w:sz w:val="24"/>
          <w:szCs w:val="24"/>
        </w:rPr>
      </w:pPr>
      <w:r w:rsidRPr="00AA7FF4">
        <w:rPr>
          <w:rFonts w:ascii="Times New Roman" w:hAnsi="Times New Roman" w:cs="Times New Roman"/>
          <w:i/>
          <w:sz w:val="24"/>
          <w:szCs w:val="24"/>
        </w:rPr>
        <w:t>Environmental Governance</w:t>
      </w:r>
    </w:p>
    <w:p w14:paraId="547DEFD3" w14:textId="77777777" w:rsidR="00C65986" w:rsidRPr="00AA7FF4" w:rsidRDefault="00C65986" w:rsidP="000B1F91">
      <w:pPr>
        <w:pStyle w:val="NormalWeb"/>
        <w:jc w:val="both"/>
      </w:pPr>
      <w:r w:rsidRPr="00AA7FF4">
        <w:t xml:space="preserve">Environmental governance can be </w:t>
      </w:r>
      <w:proofErr w:type="spellStart"/>
      <w:r w:rsidRPr="00AA7FF4">
        <w:t>conceptualised</w:t>
      </w:r>
      <w:proofErr w:type="spellEnd"/>
      <w:r w:rsidRPr="00AA7FF4">
        <w:t xml:space="preserve"> as the </w:t>
      </w:r>
      <w:r w:rsidRPr="00AA7FF4">
        <w:rPr>
          <w:rStyle w:val="Strong"/>
          <w:b w:val="0"/>
        </w:rPr>
        <w:t>set of formal and informal rules, institutions, processes, and actors</w:t>
      </w:r>
      <w:r w:rsidRPr="00AA7FF4">
        <w:t xml:space="preserve"> that shape how societies manage environmental resources and respond to ecological challenges. It extends beyond government regulation to encompa</w:t>
      </w:r>
      <w:r w:rsidR="00C663A0" w:rsidRPr="00AA7FF4">
        <w:t xml:space="preserve">ss the role of non-state actors </w:t>
      </w:r>
      <w:r w:rsidRPr="00AA7FF4">
        <w:t xml:space="preserve">such as civil society </w:t>
      </w:r>
      <w:proofErr w:type="spellStart"/>
      <w:r w:rsidRPr="00AA7FF4">
        <w:t>organisations</w:t>
      </w:r>
      <w:proofErr w:type="spellEnd"/>
      <w:r w:rsidRPr="00AA7FF4">
        <w:t>, local communities, businesses,</w:t>
      </w:r>
      <w:r w:rsidR="00C663A0" w:rsidRPr="00AA7FF4">
        <w:t xml:space="preserve"> and international institutions </w:t>
      </w:r>
      <w:r w:rsidRPr="00AA7FF4">
        <w:t>in decision-making, implementation, and monitoring of environmental policies (Lemos and Agrawal, 2006).</w:t>
      </w:r>
      <w:r w:rsidR="00F15037" w:rsidRPr="00AA7FF4">
        <w:t xml:space="preserve"> </w:t>
      </w:r>
      <w:r w:rsidRPr="00AA7FF4">
        <w:t xml:space="preserve">At its core, environmental governance reflects the interaction between </w:t>
      </w:r>
      <w:r w:rsidRPr="00AA7FF4">
        <w:rPr>
          <w:rStyle w:val="Strong"/>
          <w:b w:val="0"/>
        </w:rPr>
        <w:t>authority, accountability, and participation</w:t>
      </w:r>
      <w:r w:rsidRPr="00AA7FF4">
        <w:t xml:space="preserve"> in managing the environment. It is not limited to environmental protection in the narrow sense but integrates sustainable development, climate resilience, and equitable resource use (UNEP, 2019). Governance in this sense is about </w:t>
      </w:r>
      <w:r w:rsidRPr="00AA7FF4">
        <w:rPr>
          <w:rStyle w:val="Strong"/>
          <w:b w:val="0"/>
        </w:rPr>
        <w:t>who makes decisions, how decisions are made, who is included or excluded, and how outcomes are enforced or monitored</w:t>
      </w:r>
      <w:r w:rsidRPr="00AA7FF4">
        <w:rPr>
          <w:b/>
        </w:rPr>
        <w:t>.</w:t>
      </w:r>
    </w:p>
    <w:p w14:paraId="7E66584D" w14:textId="77777777" w:rsidR="00C65986" w:rsidRPr="00AA7FF4" w:rsidRDefault="00C65986" w:rsidP="000B1F91">
      <w:pPr>
        <w:pStyle w:val="NormalWeb"/>
        <w:jc w:val="both"/>
      </w:pPr>
      <w:r w:rsidRPr="00AA7FF4">
        <w:t xml:space="preserve">From a </w:t>
      </w:r>
      <w:r w:rsidRPr="00AA7FF4">
        <w:rPr>
          <w:rStyle w:val="Strong"/>
          <w:b w:val="0"/>
        </w:rPr>
        <w:t>theoretical perspective</w:t>
      </w:r>
      <w:r w:rsidRPr="00AA7FF4">
        <w:t>, environmental governance can be framed around three main dimensions:</w:t>
      </w:r>
      <w:r w:rsidR="00F15037" w:rsidRPr="00AA7FF4">
        <w:t xml:space="preserve"> </w:t>
      </w:r>
      <w:r w:rsidRPr="00AA7FF4">
        <w:rPr>
          <w:rStyle w:val="Strong"/>
          <w:b w:val="0"/>
          <w:i/>
        </w:rPr>
        <w:t>Institutional arrangements</w:t>
      </w:r>
      <w:r w:rsidR="00F15037" w:rsidRPr="00AA7FF4">
        <w:t xml:space="preserve"> (</w:t>
      </w:r>
      <w:r w:rsidRPr="00AA7FF4">
        <w:t>the laws, regulations, and agencies that provide the framework for managing natural resources and addressing environmental problems</w:t>
      </w:r>
      <w:r w:rsidR="00F15037" w:rsidRPr="00AA7FF4">
        <w:t xml:space="preserve">); </w:t>
      </w:r>
      <w:r w:rsidRPr="00AA7FF4">
        <w:rPr>
          <w:rStyle w:val="Strong"/>
          <w:b w:val="0"/>
          <w:i/>
        </w:rPr>
        <w:t xml:space="preserve">Political </w:t>
      </w:r>
      <w:r w:rsidRPr="00AA7FF4">
        <w:rPr>
          <w:rStyle w:val="Strong"/>
          <w:b w:val="0"/>
          <w:i/>
        </w:rPr>
        <w:lastRenderedPageBreak/>
        <w:t>and economic drivers</w:t>
      </w:r>
      <w:r w:rsidR="00F15037" w:rsidRPr="00AA7FF4">
        <w:t xml:space="preserve"> (</w:t>
      </w:r>
      <w:r w:rsidRPr="00AA7FF4">
        <w:t>the power relations, incentives, and interests that shape policy impleme</w:t>
      </w:r>
      <w:r w:rsidR="00F15037" w:rsidRPr="00AA7FF4">
        <w:t xml:space="preserve">ntation and resource allocation); and </w:t>
      </w:r>
      <w:r w:rsidRPr="00AA7FF4">
        <w:rPr>
          <w:rStyle w:val="Strong"/>
          <w:b w:val="0"/>
          <w:i/>
        </w:rPr>
        <w:t>Societal engagement</w:t>
      </w:r>
      <w:r w:rsidR="00F15037" w:rsidRPr="00AA7FF4">
        <w:t xml:space="preserve"> (</w:t>
      </w:r>
      <w:r w:rsidRPr="00AA7FF4">
        <w:t>the participation of citizens, civil society, indigenous groups, and private actors in shaping and influencing governance outcomes</w:t>
      </w:r>
      <w:r w:rsidR="00F15037" w:rsidRPr="00AA7FF4">
        <w:t>)</w:t>
      </w:r>
      <w:r w:rsidRPr="00AA7FF4">
        <w:t xml:space="preserve"> (Jordan, Wurzel and Zito, 2013).</w:t>
      </w:r>
      <w:r w:rsidR="00F15037" w:rsidRPr="00AA7FF4">
        <w:t xml:space="preserve"> </w:t>
      </w:r>
      <w:r w:rsidRPr="00AA7FF4">
        <w:t xml:space="preserve">Conceptually, environmental governance also incorporates </w:t>
      </w:r>
      <w:r w:rsidRPr="00AA7FF4">
        <w:rPr>
          <w:rStyle w:val="Strong"/>
          <w:b w:val="0"/>
        </w:rPr>
        <w:t>multi-level governance</w:t>
      </w:r>
      <w:r w:rsidRPr="00AA7FF4">
        <w:t xml:space="preserve">, </w:t>
      </w:r>
      <w:proofErr w:type="spellStart"/>
      <w:r w:rsidRPr="00AA7FF4">
        <w:t>recognising</w:t>
      </w:r>
      <w:proofErr w:type="spellEnd"/>
      <w:r w:rsidRPr="00AA7FF4">
        <w:t xml:space="preserve"> that effective management of environmental challenges—such as climate change, deforestation, or pollution—requires coordination across local, national, regional, and global levels. For instance, in Nigeria, governance involves not only federal policies and agencies like NESREA but also state and local governments, traditional institutions, NGOs, and international donors (</w:t>
      </w:r>
      <w:proofErr w:type="spellStart"/>
      <w:r w:rsidRPr="00AA7FF4">
        <w:t>Ogunkan</w:t>
      </w:r>
      <w:proofErr w:type="spellEnd"/>
      <w:r w:rsidRPr="00AA7FF4">
        <w:t>, 2022).</w:t>
      </w:r>
    </w:p>
    <w:p w14:paraId="37567C55" w14:textId="77777777" w:rsidR="00E625DE" w:rsidRPr="00AA7FF4" w:rsidRDefault="00C65986" w:rsidP="000B1F91">
      <w:pPr>
        <w:pStyle w:val="NormalWeb"/>
        <w:jc w:val="both"/>
      </w:pPr>
      <w:r w:rsidRPr="00AA7FF4">
        <w:t xml:space="preserve">Importantly, environmental governance is </w:t>
      </w:r>
      <w:r w:rsidRPr="00AA7FF4">
        <w:rPr>
          <w:rStyle w:val="Strong"/>
          <w:b w:val="0"/>
        </w:rPr>
        <w:t>outcome-oriented</w:t>
      </w:r>
      <w:r w:rsidRPr="00AA7FF4">
        <w:t>, focusing on sustainability, equity, and resilience. A strong governance framework ensures that environmental management balances economic development with ecological preservation, while weak governance manifests in policy failures, corruption, environmental degradation, and heightened vulnerability to climate risks.</w:t>
      </w:r>
      <w:r w:rsidR="00F15037" w:rsidRPr="00AA7FF4">
        <w:t xml:space="preserve"> </w:t>
      </w:r>
      <w:r w:rsidRPr="00AA7FF4">
        <w:t xml:space="preserve">In sum, environmental governance can be </w:t>
      </w:r>
      <w:proofErr w:type="spellStart"/>
      <w:r w:rsidRPr="00AA7FF4">
        <w:t>conceptualised</w:t>
      </w:r>
      <w:proofErr w:type="spellEnd"/>
      <w:r w:rsidRPr="00AA7FF4">
        <w:t xml:space="preserve"> as a </w:t>
      </w:r>
      <w:r w:rsidRPr="00AA7FF4">
        <w:rPr>
          <w:rStyle w:val="Strong"/>
          <w:b w:val="0"/>
        </w:rPr>
        <w:t>dynamic, multi-actor, and multi-level process</w:t>
      </w:r>
      <w:r w:rsidRPr="00AA7FF4">
        <w:t xml:space="preserve"> that determines how societies negotiate trade-offs, enforce environmental norms, and promote sustainability in the face of competing social, political, and economic interests.</w:t>
      </w:r>
    </w:p>
    <w:p w14:paraId="0BEC942F" w14:textId="77777777" w:rsidR="002A67F7" w:rsidRPr="00AA7FF4" w:rsidRDefault="002A67F7" w:rsidP="000B1F91">
      <w:pPr>
        <w:pStyle w:val="Heading3"/>
        <w:jc w:val="both"/>
        <w:rPr>
          <w:rFonts w:ascii="Times New Roman" w:hAnsi="Times New Roman" w:cs="Times New Roman"/>
          <w:color w:val="auto"/>
          <w:sz w:val="24"/>
          <w:szCs w:val="24"/>
        </w:rPr>
      </w:pPr>
      <w:r w:rsidRPr="00AA7FF4">
        <w:rPr>
          <w:rFonts w:ascii="Times New Roman" w:hAnsi="Times New Roman" w:cs="Times New Roman"/>
          <w:color w:val="auto"/>
          <w:sz w:val="24"/>
          <w:szCs w:val="24"/>
        </w:rPr>
        <w:t>Effectiveness of Nigeria’s Environmental and Climate Governance Framework</w:t>
      </w:r>
    </w:p>
    <w:p w14:paraId="0DFD979C" w14:textId="77777777" w:rsidR="002A67F7" w:rsidRPr="00AA7FF4" w:rsidRDefault="002A67F7" w:rsidP="000B1F91">
      <w:pPr>
        <w:pStyle w:val="NormalWeb"/>
        <w:jc w:val="both"/>
      </w:pPr>
      <w:r w:rsidRPr="00AA7FF4">
        <w:t xml:space="preserve">Nigeria’s environmental and climate governance framework has expanded markedly over the past decade, moving from piecemeal policy instruments toward a more </w:t>
      </w:r>
      <w:proofErr w:type="spellStart"/>
      <w:r w:rsidRPr="00AA7FF4">
        <w:t>formalised</w:t>
      </w:r>
      <w:proofErr w:type="spellEnd"/>
      <w:r w:rsidRPr="00AA7FF4">
        <w:t xml:space="preserve"> legal and institutional architecture. Key milestones include the National Climate Change Policy and Response Strategy (2012), successive Nationally Determined Contribution (NDC) submissions, and the Climate Change Act (2021), which </w:t>
      </w:r>
      <w:proofErr w:type="spellStart"/>
      <w:r w:rsidRPr="00AA7FF4">
        <w:t>institutionalised</w:t>
      </w:r>
      <w:proofErr w:type="spellEnd"/>
      <w:r w:rsidRPr="00AA7FF4">
        <w:t xml:space="preserve"> a national coordinating body and provided a statutory basis for mainstreaming climate action (Federal Government of Nigeria, 2012; Federal Republic of Nigeria, 2021). On paper, these instruments signal increased policy ambition and an acknowledgement that climate risks must be integrated into national planning and sectoral decision-making.</w:t>
      </w:r>
    </w:p>
    <w:p w14:paraId="54ADE88E" w14:textId="77777777" w:rsidR="002A67F7" w:rsidRPr="00AA7FF4" w:rsidRDefault="002A67F7" w:rsidP="000B1F91">
      <w:pPr>
        <w:pStyle w:val="NormalWeb"/>
        <w:jc w:val="both"/>
      </w:pPr>
      <w:r w:rsidRPr="00AA7FF4">
        <w:t>Despite the strengthened policy scaffolding, evidence of substantive improvements in adaptation or mitigation outcomes is mixed. International assessments and country studies observe a persistent “implementation gap”: formal commitments have not consistently translated into measurable reductions in vulnerability or emissions trajectories (Climate Action Tracker, 2022; IPCC, 2022). For example, while Nigeria’s NDCs and climate legislation set out targets for renewable energy, afforestation and coastal protection, prog</w:t>
      </w:r>
      <w:r w:rsidR="000F19DB" w:rsidRPr="00AA7FF4">
        <w:t xml:space="preserve">ress on ground-level indicators </w:t>
      </w:r>
      <w:r w:rsidRPr="00AA7FF4">
        <w:t>such as reductions in deforestation rates, expansions in sustainable energy deployment, or widespread coastal protection sc</w:t>
      </w:r>
      <w:r w:rsidR="000F19DB" w:rsidRPr="00AA7FF4">
        <w:t xml:space="preserve">hemes </w:t>
      </w:r>
      <w:r w:rsidRPr="00AA7FF4">
        <w:t>remains uneven and frequently localized (Okafor, 2024). This suggests that policy existence is necessary but not sufficient for effective climate governance.</w:t>
      </w:r>
    </w:p>
    <w:p w14:paraId="2EBF61DC" w14:textId="77777777" w:rsidR="002A67F7" w:rsidRPr="00AA7FF4" w:rsidRDefault="002A67F7" w:rsidP="000B1F91">
      <w:pPr>
        <w:pStyle w:val="NormalWeb"/>
        <w:jc w:val="both"/>
      </w:pPr>
      <w:r w:rsidRPr="00AA7FF4">
        <w:t>Three interrelated factors principally constrain effectiveness. First, institutional fragmentation and limited technical capacity undermine coherent implementation. Multiple agencies at federal, state and local levels often possess overlapping mandates and variable capabilities, which complicates coordination of cross-sectoral policies (</w:t>
      </w:r>
      <w:proofErr w:type="spellStart"/>
      <w:r w:rsidRPr="00AA7FF4">
        <w:t>Ogunkan</w:t>
      </w:r>
      <w:proofErr w:type="spellEnd"/>
      <w:r w:rsidRPr="00AA7FF4">
        <w:t xml:space="preserve">, 2022). Second, financing shortfalls and fiscal volatility reduce the predictability of adaptation investments. Nigeria’s </w:t>
      </w:r>
      <w:r w:rsidRPr="00AA7FF4">
        <w:lastRenderedPageBreak/>
        <w:t>dependence on oil revenues and competing developmental priorities means that long-term funding for climate projects is often inadequate or uncertain (Okafor, 20</w:t>
      </w:r>
      <w:r w:rsidR="000F19DB" w:rsidRPr="00AA7FF4">
        <w:t xml:space="preserve">24). Third, governance deficits </w:t>
      </w:r>
      <w:r w:rsidRPr="00AA7FF4">
        <w:t>manifesting as weak enforce</w:t>
      </w:r>
      <w:r w:rsidR="000F19DB" w:rsidRPr="00AA7FF4">
        <w:t xml:space="preserve">ment, patronage, and corruption </w:t>
      </w:r>
      <w:r w:rsidRPr="00AA7FF4">
        <w:t xml:space="preserve">erode both the uptake and the impact of </w:t>
      </w:r>
      <w:proofErr w:type="spellStart"/>
      <w:r w:rsidRPr="00AA7FF4">
        <w:t>programmes</w:t>
      </w:r>
      <w:proofErr w:type="spellEnd"/>
      <w:r w:rsidRPr="00AA7FF4">
        <w:t>, particularly in high-risk zones such as the Niger Delta where remediation and pollution control have repeatedly fallen short (AP, 2024).</w:t>
      </w:r>
    </w:p>
    <w:p w14:paraId="7F19F954" w14:textId="77777777" w:rsidR="002A67F7" w:rsidRPr="00AA7FF4" w:rsidRDefault="002A67F7" w:rsidP="000B1F91">
      <w:pPr>
        <w:pStyle w:val="NormalWeb"/>
        <w:jc w:val="both"/>
      </w:pPr>
      <w:r w:rsidRPr="00AA7FF4">
        <w:t>Notwithstanding these barriers, there are areas of relative success that point to conditional effectiveness. Sub-nationa</w:t>
      </w:r>
      <w:r w:rsidR="000F19DB" w:rsidRPr="00AA7FF4">
        <w:t xml:space="preserve">l and community-led initiatives </w:t>
      </w:r>
      <w:r w:rsidRPr="00AA7FF4">
        <w:t xml:space="preserve">including localized mangrove restoration projects, climate-smart agricultural pilots, and some state government resilience plans—demonstrate that where institutional leadership, targeted financing and stakeholder engagement align, tangible adaptation gains can occur (Climate Action Tracker, 2023). International climate finance and donor-supported </w:t>
      </w:r>
      <w:proofErr w:type="spellStart"/>
      <w:r w:rsidRPr="00AA7FF4">
        <w:t>programmes</w:t>
      </w:r>
      <w:proofErr w:type="spellEnd"/>
      <w:r w:rsidRPr="00AA7FF4">
        <w:t xml:space="preserve"> have also </w:t>
      </w:r>
      <w:proofErr w:type="spellStart"/>
      <w:r w:rsidRPr="00AA7FF4">
        <w:t>catalysed</w:t>
      </w:r>
      <w:proofErr w:type="spellEnd"/>
      <w:r w:rsidRPr="00AA7FF4">
        <w:t xml:space="preserve"> pilot interventions, though their scalability is frequently hampered by weak domestic project preparation and absorptive capacity.</w:t>
      </w:r>
    </w:p>
    <w:p w14:paraId="227F0580" w14:textId="77777777" w:rsidR="002A67F7" w:rsidRPr="00AA7FF4" w:rsidRDefault="002A67F7" w:rsidP="000B1F91">
      <w:pPr>
        <w:pStyle w:val="NormalWeb"/>
        <w:jc w:val="both"/>
      </w:pPr>
      <w:r w:rsidRPr="00AA7FF4">
        <w:t>Evaluations of effectiveness therefore underscore two key lessons. First, governance effectiveness should be assessed not only by the quantity of policies but by the quali</w:t>
      </w:r>
      <w:r w:rsidR="000F19DB" w:rsidRPr="00AA7FF4">
        <w:t xml:space="preserve">ty of implementation mechanisms </w:t>
      </w:r>
      <w:r w:rsidRPr="00AA7FF4">
        <w:t>clear mandates, monitoring and evaluation systems, accountable finance channels, and inclusive stakeholder processes (IPCC, 2022). Second, context-sensitive, multi-actor approaches that couple national policy with empowered sub-national execution and community participation are more likely to produce durable adaptation outcomes (</w:t>
      </w:r>
      <w:proofErr w:type="spellStart"/>
      <w:r w:rsidRPr="00AA7FF4">
        <w:t>Ogunkan</w:t>
      </w:r>
      <w:proofErr w:type="spellEnd"/>
      <w:r w:rsidRPr="00AA7FF4">
        <w:t>, 2022; Okafor, 2024).</w:t>
      </w:r>
    </w:p>
    <w:p w14:paraId="7E02CE3F" w14:textId="77777777" w:rsidR="002A67F7" w:rsidRPr="00AA7FF4" w:rsidRDefault="002A67F7" w:rsidP="000B1F91">
      <w:pPr>
        <w:pStyle w:val="NormalWeb"/>
        <w:jc w:val="both"/>
      </w:pPr>
      <w:r w:rsidRPr="00AA7FF4">
        <w:t>In conclusion, Nigeria’s climate governance framework has progressed in institutional ambition and legal coverage, yet its overall effectiveness remains constrained by institutional fragmentation, financing limitations and governance weaknesses. Policy advancements offer a crucial foundation, but converting that foundation into broad-based, measurable resilience will require reforms that strengthen institutional coordination, secure predictable financing, improve transparency and enforcement, and deepen local ownership of climate actions</w:t>
      </w:r>
    </w:p>
    <w:p w14:paraId="4CAF436B" w14:textId="77777777" w:rsidR="00C65986" w:rsidRPr="00AA7FF4" w:rsidRDefault="00C65986" w:rsidP="00882DC2">
      <w:pPr>
        <w:pStyle w:val="NoSpacing"/>
        <w:rPr>
          <w:rFonts w:ascii="Times New Roman" w:hAnsi="Times New Roman" w:cs="Times New Roman"/>
          <w:b/>
          <w:sz w:val="24"/>
          <w:szCs w:val="24"/>
        </w:rPr>
      </w:pPr>
      <w:r w:rsidRPr="00AA7FF4">
        <w:rPr>
          <w:rFonts w:ascii="Times New Roman" w:hAnsi="Times New Roman" w:cs="Times New Roman"/>
          <w:b/>
          <w:sz w:val="24"/>
          <w:szCs w:val="24"/>
        </w:rPr>
        <w:t>Institutional, Political and Socio-Economic Constraints to Effective Climate Governance in Nigeria</w:t>
      </w:r>
    </w:p>
    <w:p w14:paraId="7ABA3583" w14:textId="77777777" w:rsidR="00C65986" w:rsidRPr="00AA7FF4" w:rsidRDefault="00C65986" w:rsidP="000B1F91">
      <w:pPr>
        <w:pStyle w:val="NormalWeb"/>
        <w:jc w:val="both"/>
      </w:pPr>
      <w:r w:rsidRPr="00AA7FF4">
        <w:t>The effectiveness of Nigeria’s climate governance framework is hindered by a complex interplay of institutional, political, and socio-economic constraints. These factors collectively shape the implementation gap between policy commitments and tangible outcomes, often leaving the country vulnerable to escalating climate risks despite growing policy ambition.</w:t>
      </w:r>
    </w:p>
    <w:p w14:paraId="54A3D408" w14:textId="77777777" w:rsidR="00882DC2" w:rsidRPr="00AA7FF4" w:rsidRDefault="00C65986" w:rsidP="000B1F91">
      <w:pPr>
        <w:pStyle w:val="NormalWeb"/>
        <w:numPr>
          <w:ilvl w:val="0"/>
          <w:numId w:val="19"/>
        </w:numPr>
        <w:jc w:val="both"/>
      </w:pPr>
      <w:r w:rsidRPr="00AA7FF4">
        <w:rPr>
          <w:rStyle w:val="Strong"/>
          <w:b w:val="0"/>
          <w:i/>
        </w:rPr>
        <w:t>Institutional constraint</w:t>
      </w:r>
      <w:r w:rsidR="00882DC2" w:rsidRPr="00AA7FF4">
        <w:rPr>
          <w:rStyle w:val="Strong"/>
          <w:b w:val="0"/>
          <w:i/>
        </w:rPr>
        <w:t>s</w:t>
      </w:r>
      <w:r w:rsidRPr="00AA7FF4">
        <w:t xml:space="preserve"> remain one of the most significant barriers. Nigeria’s environmental governance institutions are fragmented, with overlapping mandates between federal, state and local authorities, often resulting in duplication, inefficiency and weak coordination (</w:t>
      </w:r>
      <w:proofErr w:type="spellStart"/>
      <w:r w:rsidRPr="00AA7FF4">
        <w:t>Ogunkan</w:t>
      </w:r>
      <w:proofErr w:type="spellEnd"/>
      <w:r w:rsidRPr="00AA7FF4">
        <w:t xml:space="preserve">, 2022). For instance, the Ministry of Environment, the National Environmental Standards and Regulations Enforcement Agency (NESREA), and the National Council on Climate Change operate with limited synergy, reducing the coherence of climate action. Weak technical capacity, inadequate staffing, and underdeveloped monitoring and evaluation systems further limit the state’s ability to </w:t>
      </w:r>
      <w:r w:rsidRPr="00AA7FF4">
        <w:lastRenderedPageBreak/>
        <w:t xml:space="preserve">implement and track climate policies (Okafor, 2024). These institutional weaknesses contribute to delays, poor enforcement, and the </w:t>
      </w:r>
      <w:proofErr w:type="spellStart"/>
      <w:r w:rsidRPr="00AA7FF4">
        <w:t>underutilisation</w:t>
      </w:r>
      <w:proofErr w:type="spellEnd"/>
      <w:r w:rsidRPr="00AA7FF4">
        <w:t xml:space="preserve"> of international support mechanisms such as climate finance.</w:t>
      </w:r>
    </w:p>
    <w:p w14:paraId="2C0A110C" w14:textId="77777777" w:rsidR="00882DC2" w:rsidRPr="00AA7FF4" w:rsidRDefault="00C65986" w:rsidP="000B1F91">
      <w:pPr>
        <w:pStyle w:val="NormalWeb"/>
        <w:numPr>
          <w:ilvl w:val="0"/>
          <w:numId w:val="19"/>
        </w:numPr>
        <w:jc w:val="both"/>
      </w:pPr>
      <w:r w:rsidRPr="00AA7FF4">
        <w:rPr>
          <w:rStyle w:val="Strong"/>
          <w:b w:val="0"/>
          <w:i/>
        </w:rPr>
        <w:t>Political constraints</w:t>
      </w:r>
      <w:r w:rsidRPr="00AA7FF4">
        <w:t xml:space="preserve"> are deeply embedded in Nigeria’s governance system. Climate change policies are often subordinated to political and economic priorities, particularly the continued reliance on oil revenues, which creates a conflict of interest between environmental commitments and revenue generation (Adeleke and Ogbonnaya, 2021). Powerful elites and vested interests within the petroleum sector influence policy direction, slowing the transition to sustainable energy. Furthermore, corruption and patronage systems divert funds intended for environmental projects, undermining both accountability and public trust (AP, 2024). The lack of consistent political will, combined with frequent changes in leadership and policy discontinuity, means that climate governance is often reactive rather than proactive.</w:t>
      </w:r>
    </w:p>
    <w:p w14:paraId="193CC08B" w14:textId="77777777" w:rsidR="00C65986" w:rsidRPr="00AA7FF4" w:rsidRDefault="00C65986" w:rsidP="000B1F91">
      <w:pPr>
        <w:pStyle w:val="NormalWeb"/>
        <w:numPr>
          <w:ilvl w:val="0"/>
          <w:numId w:val="19"/>
        </w:numPr>
        <w:jc w:val="both"/>
      </w:pPr>
      <w:r w:rsidRPr="00AA7FF4">
        <w:rPr>
          <w:rStyle w:val="Strong"/>
          <w:b w:val="0"/>
          <w:i/>
        </w:rPr>
        <w:t>Socio-economic constraints</w:t>
      </w:r>
      <w:r w:rsidRPr="00AA7FF4">
        <w:t xml:space="preserve"> compound these institutional and political challenges. High levels of poverty, unemployment, and dependence on climate-sensitive livelihoods—such as subsistence farming and artisanal fishing—limit the capacity of communities to adapt to climate risks (World Bank, 2022). Competing developmental pressures, including demands for infrastructure, education, and healthcare, often reduce fiscal space for environmental priorities. Additionally, limited public awareness and environmental literacy mean that climate change is often perceived as a secondary concern compared to immediate economic survival (Eleri and Ani, 2017). As a result, climate policies that do not address socio-economic realities face low levels of local buy-in and weak sustainability.</w:t>
      </w:r>
    </w:p>
    <w:p w14:paraId="4AB35D67" w14:textId="77777777" w:rsidR="00C65986" w:rsidRPr="00AA7FF4" w:rsidRDefault="00C65986" w:rsidP="000B1F91">
      <w:pPr>
        <w:pStyle w:val="NormalWeb"/>
        <w:jc w:val="both"/>
      </w:pPr>
      <w:r w:rsidRPr="00AA7FF4">
        <w:t xml:space="preserve">In sum, Nigeria’s climate governance is constrained by weak institutional structures, entrenched political-economic interests, and pervasive socio-economic vulnerabilities. Addressing these challenges requires comprehensive reforms that enhance institutional capacity, insulate climate policy from vested political interests, and integrate climate strategies with poverty reduction and sustainable development goals. Without such reforms, Nigeria risks continuing a cycle of ambitious </w:t>
      </w:r>
      <w:r w:rsidR="00882DC2" w:rsidRPr="00AA7FF4">
        <w:t xml:space="preserve">commitments without meaningful </w:t>
      </w:r>
      <w:r w:rsidRPr="00AA7FF4">
        <w:t>sustained impact on climate resilience.</w:t>
      </w:r>
    </w:p>
    <w:p w14:paraId="5E130824" w14:textId="77777777" w:rsidR="00C65986" w:rsidRPr="00AA7FF4" w:rsidRDefault="00C65986" w:rsidP="00882DC2">
      <w:pPr>
        <w:pStyle w:val="NoSpacing"/>
        <w:rPr>
          <w:rFonts w:ascii="Times New Roman" w:hAnsi="Times New Roman" w:cs="Times New Roman"/>
          <w:b/>
          <w:sz w:val="24"/>
          <w:szCs w:val="24"/>
        </w:rPr>
      </w:pPr>
      <w:r w:rsidRPr="00AA7FF4">
        <w:rPr>
          <w:rFonts w:ascii="Times New Roman" w:hAnsi="Times New Roman" w:cs="Times New Roman"/>
          <w:b/>
          <w:sz w:val="24"/>
          <w:szCs w:val="24"/>
        </w:rPr>
        <w:t>Strategies for Strengthening Climate Governance and Enhancing Resilience in Nigeria</w:t>
      </w:r>
    </w:p>
    <w:p w14:paraId="1B2C311C" w14:textId="77777777" w:rsidR="00C65986" w:rsidRPr="00AA7FF4" w:rsidRDefault="00C65986" w:rsidP="000B1F91">
      <w:pPr>
        <w:pStyle w:val="NormalWeb"/>
        <w:jc w:val="both"/>
      </w:pPr>
      <w:r w:rsidRPr="00AA7FF4">
        <w:t>Strengthening Nigeria’s climate governance and enhancing resilience requires a multi-dimensional strategy that addresses institutional weaknesses, political-economic constraints, and socio-economic vulnerabilities. Effective reform must move beyond policy formulation to practical mechanisms that ensure implementation, accountability, and inclusivity.</w:t>
      </w:r>
    </w:p>
    <w:p w14:paraId="0964C575" w14:textId="77777777" w:rsidR="00882DC2" w:rsidRPr="00AA7FF4" w:rsidRDefault="00C65986" w:rsidP="000B1F91">
      <w:pPr>
        <w:pStyle w:val="NormalWeb"/>
        <w:numPr>
          <w:ilvl w:val="0"/>
          <w:numId w:val="20"/>
        </w:numPr>
        <w:jc w:val="both"/>
      </w:pPr>
      <w:r w:rsidRPr="00AA7FF4">
        <w:rPr>
          <w:rStyle w:val="Strong"/>
          <w:b w:val="0"/>
          <w:i/>
        </w:rPr>
        <w:t>Institutional strengthening</w:t>
      </w:r>
      <w:r w:rsidRPr="00AA7FF4">
        <w:t xml:space="preserve"> is a critical first step. Streamlining mandates across agencies, such as the Ministry of Environment, NESREA, and the National Council on Climate Change, would reduce duplication and improve coordination. Building technical capacity through targeted training, recruitment of skilled personnel, and the development of robust monitoring and evaluation systems can improve the state’s ability to design, implement and track climate initiatives (</w:t>
      </w:r>
      <w:proofErr w:type="spellStart"/>
      <w:r w:rsidRPr="00AA7FF4">
        <w:t>Ogunkan</w:t>
      </w:r>
      <w:proofErr w:type="spellEnd"/>
      <w:r w:rsidRPr="00AA7FF4">
        <w:t xml:space="preserve">, 2022). </w:t>
      </w:r>
      <w:proofErr w:type="spellStart"/>
      <w:r w:rsidRPr="00AA7FF4">
        <w:t>Decentralising</w:t>
      </w:r>
      <w:proofErr w:type="spellEnd"/>
      <w:r w:rsidRPr="00AA7FF4">
        <w:t xml:space="preserve"> authority to state and local governments, coupled with clear guidelines and resources, would also enable more context-specific and responsive adaptation measures.</w:t>
      </w:r>
    </w:p>
    <w:p w14:paraId="79F7DB83" w14:textId="77777777" w:rsidR="00882DC2" w:rsidRPr="00AA7FF4" w:rsidRDefault="00C65986" w:rsidP="000B1F91">
      <w:pPr>
        <w:pStyle w:val="NormalWeb"/>
        <w:numPr>
          <w:ilvl w:val="0"/>
          <w:numId w:val="20"/>
        </w:numPr>
        <w:jc w:val="both"/>
      </w:pPr>
      <w:r w:rsidRPr="00AA7FF4">
        <w:rPr>
          <w:rStyle w:val="Strong"/>
          <w:b w:val="0"/>
          <w:i/>
        </w:rPr>
        <w:lastRenderedPageBreak/>
        <w:t>Political and governance reforms</w:t>
      </w:r>
      <w:r w:rsidRPr="00AA7FF4">
        <w:t xml:space="preserve"> are equally important. Enhancing transparency and accountability through open data systems, independent audits, and civil society oversight would help curb corruption and mismanagement of climate funds (AP, 2024). </w:t>
      </w:r>
      <w:proofErr w:type="spellStart"/>
      <w:r w:rsidRPr="00AA7FF4">
        <w:t>Institutionalising</w:t>
      </w:r>
      <w:proofErr w:type="spellEnd"/>
      <w:r w:rsidRPr="00AA7FF4">
        <w:t xml:space="preserve"> climate policies within national development planning, rather than treating them as stand-alone initiatives, would shield them from political discontinuity and leadership changes. Stronger political will can be fostered by framing climate governance not only as an environmental issue but as a driver of economic diversification, job creation, and energy security (Adeleke and Ogbonnaya, 2021).</w:t>
      </w:r>
    </w:p>
    <w:p w14:paraId="34AD31C4" w14:textId="77777777" w:rsidR="00882DC2" w:rsidRPr="00AA7FF4" w:rsidRDefault="00C65986" w:rsidP="000B1F91">
      <w:pPr>
        <w:pStyle w:val="NormalWeb"/>
        <w:numPr>
          <w:ilvl w:val="0"/>
          <w:numId w:val="20"/>
        </w:numPr>
        <w:jc w:val="both"/>
      </w:pPr>
      <w:r w:rsidRPr="00AA7FF4">
        <w:rPr>
          <w:rStyle w:val="Strong"/>
          <w:b w:val="0"/>
          <w:i/>
        </w:rPr>
        <w:t>Socio-economic interventions</w:t>
      </w:r>
      <w:r w:rsidRPr="00AA7FF4">
        <w:t xml:space="preserve"> should target the structural vulnerabilities that exacerbate climate risks. Scaling up community-based adaptation strategies, such as climate-smart agriculture, mangrove restoration, and early warning systems, can build local resilience while directly benefiting livelihoods (Eleri and Ani, 2017). Expanding access to climate finance—both domestic and international—through the establishment of a national climate fund and improved project preparation capacities can ensure predictable resources for adaptation and mitigation (World Bank, 2022). Furthermore, investing in environmental education and awareness campaigns would cultivate a culture of sustainability and empower citizens to demand accountability from leaders.</w:t>
      </w:r>
    </w:p>
    <w:p w14:paraId="735B0BBC" w14:textId="77777777" w:rsidR="00C65986" w:rsidRPr="00AA7FF4" w:rsidRDefault="00C65986" w:rsidP="000B1F91">
      <w:pPr>
        <w:pStyle w:val="NormalWeb"/>
        <w:numPr>
          <w:ilvl w:val="0"/>
          <w:numId w:val="20"/>
        </w:numPr>
        <w:jc w:val="both"/>
      </w:pPr>
      <w:r w:rsidRPr="00AA7FF4">
        <w:t xml:space="preserve">Finally, </w:t>
      </w:r>
      <w:r w:rsidRPr="00AA7FF4">
        <w:rPr>
          <w:rStyle w:val="Strong"/>
          <w:b w:val="0"/>
          <w:i/>
        </w:rPr>
        <w:t>multi-actor partnerships</w:t>
      </w:r>
      <w:r w:rsidRPr="00AA7FF4">
        <w:t xml:space="preserve"> are indispensable. Collaboration between government, civil society, the private sector, and international </w:t>
      </w:r>
      <w:proofErr w:type="spellStart"/>
      <w:r w:rsidRPr="00AA7FF4">
        <w:t>organisations</w:t>
      </w:r>
      <w:proofErr w:type="spellEnd"/>
      <w:r w:rsidRPr="00AA7FF4">
        <w:t xml:space="preserve"> can leverage diverse expertise and resources for innovation and scale. Regional cooperation within West Africa could also enhance resilience, given the trans</w:t>
      </w:r>
      <w:r w:rsidR="006D6BD9" w:rsidRPr="00AA7FF4">
        <w:t>-</w:t>
      </w:r>
      <w:r w:rsidRPr="00AA7FF4">
        <w:t>boundary nature of climate risks such as desertification and coastal erosion.</w:t>
      </w:r>
    </w:p>
    <w:p w14:paraId="06DE1BD8" w14:textId="77777777" w:rsidR="00C65986" w:rsidRPr="00AA7FF4" w:rsidRDefault="00C65986" w:rsidP="000B1F91">
      <w:pPr>
        <w:pStyle w:val="NormalWeb"/>
        <w:jc w:val="both"/>
      </w:pPr>
      <w:r w:rsidRPr="00AA7FF4">
        <w:t>In conclusion, strengthening Nigeria’s climate governance and resilience requires a holistic approach that integrates institutional reforms, political accountability, socio-economic empowerment, and inclusive partnerships. When effectively aligned, these strategies not only address climate risks but also promote sustainable development, energy transition, and long-term national security</w:t>
      </w:r>
    </w:p>
    <w:p w14:paraId="11DEDA5B" w14:textId="77777777" w:rsidR="002D595C" w:rsidRPr="00AA7FF4" w:rsidRDefault="00882DC2" w:rsidP="000B1F91">
      <w:pPr>
        <w:pStyle w:val="NormalWeb"/>
        <w:jc w:val="both"/>
        <w:rPr>
          <w:b/>
        </w:rPr>
      </w:pPr>
      <w:r w:rsidRPr="00AA7FF4">
        <w:rPr>
          <w:b/>
        </w:rPr>
        <w:t>THEORETICAL FRAMEWORK</w:t>
      </w:r>
    </w:p>
    <w:p w14:paraId="2D6B80F8" w14:textId="77777777" w:rsidR="006C48CA" w:rsidRPr="00AA7FF4" w:rsidRDefault="006C48CA" w:rsidP="000B1F91">
      <w:pPr>
        <w:pStyle w:val="NormalWeb"/>
        <w:jc w:val="both"/>
      </w:pPr>
      <w:r w:rsidRPr="00AA7FF4">
        <w:t xml:space="preserve">Theoretical frameworks provide the conceptual lens through which empirical problems are </w:t>
      </w:r>
      <w:proofErr w:type="spellStart"/>
      <w:r w:rsidRPr="00AA7FF4">
        <w:t>analysed</w:t>
      </w:r>
      <w:proofErr w:type="spellEnd"/>
      <w:r w:rsidRPr="00AA7FF4">
        <w:t xml:space="preserve">, offering explanatory pathways that link research questions with observed realities (Creswell, 2018). This study draws on three interrelated frameworks: </w:t>
      </w:r>
      <w:r w:rsidRPr="00AA7FF4">
        <w:rPr>
          <w:rStyle w:val="Strong"/>
          <w:b w:val="0"/>
          <w:i/>
        </w:rPr>
        <w:t>Institutional Analysis Theory</w:t>
      </w:r>
      <w:r w:rsidRPr="00AA7FF4">
        <w:rPr>
          <w:b/>
          <w:i/>
        </w:rPr>
        <w:t xml:space="preserve">, </w:t>
      </w:r>
      <w:r w:rsidRPr="00AA7FF4">
        <w:rPr>
          <w:rStyle w:val="Strong"/>
          <w:b w:val="0"/>
          <w:i/>
        </w:rPr>
        <w:t>Political Economy Approaches</w:t>
      </w:r>
      <w:r w:rsidRPr="00AA7FF4">
        <w:rPr>
          <w:b/>
          <w:i/>
        </w:rPr>
        <w:t xml:space="preserve">, </w:t>
      </w:r>
      <w:r w:rsidRPr="00AA7FF4">
        <w:rPr>
          <w:i/>
        </w:rPr>
        <w:t>and</w:t>
      </w:r>
      <w:r w:rsidRPr="00AA7FF4">
        <w:rPr>
          <w:b/>
          <w:i/>
        </w:rPr>
        <w:t xml:space="preserve"> </w:t>
      </w:r>
      <w:r w:rsidRPr="00AA7FF4">
        <w:rPr>
          <w:rStyle w:val="Strong"/>
          <w:b w:val="0"/>
          <w:i/>
        </w:rPr>
        <w:t>Environmental Governance Theory</w:t>
      </w:r>
      <w:r w:rsidRPr="00AA7FF4">
        <w:t>. Together, these perspectives provide a robust analytical structure to interrogate the dynamics of climate change governance in Nigeria, particularly the gap between policy ambition and implementation.</w:t>
      </w:r>
    </w:p>
    <w:p w14:paraId="103F6E82" w14:textId="77777777" w:rsidR="006C48CA" w:rsidRPr="00AA7FF4" w:rsidRDefault="006C48CA" w:rsidP="00882DC2">
      <w:pPr>
        <w:pStyle w:val="NoSpacing"/>
        <w:rPr>
          <w:rFonts w:ascii="Times New Roman" w:hAnsi="Times New Roman" w:cs="Times New Roman"/>
          <w:i/>
          <w:sz w:val="24"/>
          <w:szCs w:val="24"/>
        </w:rPr>
      </w:pPr>
      <w:r w:rsidRPr="00AA7FF4">
        <w:rPr>
          <w:rFonts w:ascii="Times New Roman" w:hAnsi="Times New Roman" w:cs="Times New Roman"/>
          <w:i/>
          <w:sz w:val="24"/>
          <w:szCs w:val="24"/>
        </w:rPr>
        <w:t>Institutional Analysis Theory</w:t>
      </w:r>
    </w:p>
    <w:p w14:paraId="6C7F1E7B" w14:textId="77777777" w:rsidR="006C48CA" w:rsidRPr="00AA7FF4" w:rsidRDefault="006C48CA" w:rsidP="000B1F91">
      <w:pPr>
        <w:pStyle w:val="NormalWeb"/>
        <w:jc w:val="both"/>
      </w:pPr>
      <w:r w:rsidRPr="00AA7FF4">
        <w:t xml:space="preserve">Institutional analysis </w:t>
      </w:r>
      <w:proofErr w:type="spellStart"/>
      <w:r w:rsidRPr="00AA7FF4">
        <w:t>emphasises</w:t>
      </w:r>
      <w:proofErr w:type="spellEnd"/>
      <w:r w:rsidRPr="00AA7FF4">
        <w:t xml:space="preserve"> the role of rules, norms, and </w:t>
      </w:r>
      <w:proofErr w:type="spellStart"/>
      <w:r w:rsidRPr="00AA7FF4">
        <w:t>organisational</w:t>
      </w:r>
      <w:proofErr w:type="spellEnd"/>
      <w:r w:rsidRPr="00AA7FF4">
        <w:t xml:space="preserve"> structures in shaping environmental outcomes (Ostrom, 2005). In the Nigerian context, the effectiveness of climate change governance is directly linked to the capacities, coordination, and enforcement mechanisms of state institutions. Weak institutional design and overlapping mandates across federal, state, and local agencies create fragmentation that undermines policy coherence (</w:t>
      </w:r>
      <w:proofErr w:type="spellStart"/>
      <w:r w:rsidRPr="00AA7FF4">
        <w:t>Ogunkan</w:t>
      </w:r>
      <w:proofErr w:type="spellEnd"/>
      <w:r w:rsidRPr="00AA7FF4">
        <w:t xml:space="preserve">, 2022). Institutional analysis therefore allows this study to assess the </w:t>
      </w:r>
      <w:r w:rsidRPr="00AA7FF4">
        <w:rPr>
          <w:rStyle w:val="Strong"/>
          <w:b w:val="0"/>
        </w:rPr>
        <w:t xml:space="preserve">degree of </w:t>
      </w:r>
      <w:r w:rsidRPr="00AA7FF4">
        <w:rPr>
          <w:rStyle w:val="Strong"/>
          <w:b w:val="0"/>
        </w:rPr>
        <w:lastRenderedPageBreak/>
        <w:t>institutional alignment</w:t>
      </w:r>
      <w:r w:rsidRPr="00AA7FF4">
        <w:t xml:space="preserve"> and the </w:t>
      </w:r>
      <w:r w:rsidRPr="00AA7FF4">
        <w:rPr>
          <w:rStyle w:val="Strong"/>
          <w:b w:val="0"/>
        </w:rPr>
        <w:t>capacity of formal structures</w:t>
      </w:r>
      <w:r w:rsidRPr="00AA7FF4">
        <w:t xml:space="preserve"> to deliver on Nigeria’s climate policy commitments.</w:t>
      </w:r>
    </w:p>
    <w:p w14:paraId="63C149CB" w14:textId="77777777" w:rsidR="006C48CA" w:rsidRPr="00AA7FF4" w:rsidRDefault="006C48CA" w:rsidP="00882DC2">
      <w:pPr>
        <w:pStyle w:val="NoSpacing"/>
        <w:rPr>
          <w:rFonts w:ascii="Times New Roman" w:hAnsi="Times New Roman" w:cs="Times New Roman"/>
          <w:i/>
          <w:sz w:val="24"/>
          <w:szCs w:val="24"/>
        </w:rPr>
      </w:pPr>
      <w:r w:rsidRPr="00AA7FF4">
        <w:rPr>
          <w:rFonts w:ascii="Times New Roman" w:hAnsi="Times New Roman" w:cs="Times New Roman"/>
          <w:i/>
          <w:sz w:val="24"/>
          <w:szCs w:val="24"/>
        </w:rPr>
        <w:t>Political Economy Perspectives</w:t>
      </w:r>
    </w:p>
    <w:p w14:paraId="0938ED5B" w14:textId="77777777" w:rsidR="006C48CA" w:rsidRPr="00AA7FF4" w:rsidRDefault="006C48CA" w:rsidP="000B1F91">
      <w:pPr>
        <w:pStyle w:val="NormalWeb"/>
        <w:jc w:val="both"/>
      </w:pPr>
      <w:r w:rsidRPr="00AA7FF4">
        <w:t xml:space="preserve">Political economy approaches highlight how power relations, vested interests, and resource allocation shape governance outcomes (Leftwich, 2007). Nigeria’s heavy dependence on oil revenues introduces structural constraints to climate governance, as powerful political and economic actors often </w:t>
      </w:r>
      <w:proofErr w:type="spellStart"/>
      <w:r w:rsidRPr="00AA7FF4">
        <w:t>prioritise</w:t>
      </w:r>
      <w:proofErr w:type="spellEnd"/>
      <w:r w:rsidRPr="00AA7FF4">
        <w:t xml:space="preserve"> short-term rent-seeking over long-term sustainability (Adeleke and Ogbonnaya, 2021). Corruption and patronage networks have historically undermined environmental enforcement, particularly in resource-rich areas such as the Niger Delta (AP, 2024). By applying a political economy lens, this study interrogates the </w:t>
      </w:r>
      <w:r w:rsidRPr="00AA7FF4">
        <w:rPr>
          <w:rStyle w:val="Strong"/>
          <w:b w:val="0"/>
        </w:rPr>
        <w:t>incentive structures</w:t>
      </w:r>
      <w:r w:rsidRPr="00AA7FF4">
        <w:t xml:space="preserve"> that perpetuate governance deficits and explores how political interests affect the implementation of climate-related policies.</w:t>
      </w:r>
    </w:p>
    <w:p w14:paraId="67F67228" w14:textId="77777777" w:rsidR="006C48CA" w:rsidRPr="00AA7FF4" w:rsidRDefault="006C48CA" w:rsidP="00882DC2">
      <w:pPr>
        <w:pStyle w:val="NoSpacing"/>
        <w:rPr>
          <w:rFonts w:ascii="Times New Roman" w:hAnsi="Times New Roman" w:cs="Times New Roman"/>
          <w:i/>
          <w:sz w:val="24"/>
          <w:szCs w:val="24"/>
        </w:rPr>
      </w:pPr>
      <w:r w:rsidRPr="00AA7FF4">
        <w:rPr>
          <w:rFonts w:ascii="Times New Roman" w:hAnsi="Times New Roman" w:cs="Times New Roman"/>
          <w:i/>
          <w:sz w:val="24"/>
          <w:szCs w:val="24"/>
        </w:rPr>
        <w:t>Environmental Governance Theory</w:t>
      </w:r>
    </w:p>
    <w:p w14:paraId="748647E9" w14:textId="4F6C75B7" w:rsidR="002D595C" w:rsidRDefault="006C48CA" w:rsidP="000B1F91">
      <w:pPr>
        <w:pStyle w:val="NormalWeb"/>
        <w:jc w:val="both"/>
      </w:pPr>
      <w:r w:rsidRPr="00AA7FF4">
        <w:t xml:space="preserve">Environmental governance theory extends beyond formal institutions to encompass the roles of non-state actors, civil society, private sector </w:t>
      </w:r>
      <w:proofErr w:type="spellStart"/>
      <w:r w:rsidRPr="00AA7FF4">
        <w:t>organisations</w:t>
      </w:r>
      <w:proofErr w:type="spellEnd"/>
      <w:r w:rsidRPr="00AA7FF4">
        <w:t xml:space="preserve">, and international institutions (Lemos and Agrawal, 2006). In climate governance, effectiveness depends on inclusive decision-making, participatory mechanisms, and multilevel coordination. In Nigeria, civil society </w:t>
      </w:r>
      <w:proofErr w:type="spellStart"/>
      <w:r w:rsidRPr="00AA7FF4">
        <w:t>organisations</w:t>
      </w:r>
      <w:proofErr w:type="spellEnd"/>
      <w:r w:rsidRPr="00AA7FF4">
        <w:t xml:space="preserve">, community-based actors, and international development partners play crucial roles in monitoring, advocacy, and capacity building (Eleri and Ani, 2017). This theoretical approach allows the study to </w:t>
      </w:r>
      <w:proofErr w:type="spellStart"/>
      <w:r w:rsidRPr="00AA7FF4">
        <w:t>analyse</w:t>
      </w:r>
      <w:proofErr w:type="spellEnd"/>
      <w:r w:rsidRPr="00AA7FF4">
        <w:t xml:space="preserve"> the </w:t>
      </w:r>
      <w:r w:rsidRPr="00AA7FF4">
        <w:rPr>
          <w:rStyle w:val="Strong"/>
          <w:b w:val="0"/>
        </w:rPr>
        <w:t>broader governance ecosystem</w:t>
      </w:r>
      <w:r w:rsidRPr="00AA7FF4">
        <w:t xml:space="preserve">, </w:t>
      </w:r>
      <w:proofErr w:type="spellStart"/>
      <w:r w:rsidRPr="00AA7FF4">
        <w:t>recognising</w:t>
      </w:r>
      <w:proofErr w:type="spellEnd"/>
      <w:r w:rsidRPr="00AA7FF4">
        <w:t xml:space="preserve"> that state capacity alone is insufficient and that sustainable climate governance requires multi-actor </w:t>
      </w:r>
      <w:proofErr w:type="gramStart"/>
      <w:r w:rsidRPr="00AA7FF4">
        <w:t>collaboration.</w:t>
      </w:r>
      <w:r w:rsidR="00016793">
        <w:t>.</w:t>
      </w:r>
      <w:proofErr w:type="gramEnd"/>
    </w:p>
    <w:p w14:paraId="2ED50D60" w14:textId="77777777" w:rsidR="00016793" w:rsidRDefault="00016793" w:rsidP="000B1F91">
      <w:pPr>
        <w:pStyle w:val="NormalWeb"/>
        <w:jc w:val="both"/>
      </w:pPr>
    </w:p>
    <w:p w14:paraId="3CEFF78A" w14:textId="77777777" w:rsidR="00016793" w:rsidRDefault="00016793" w:rsidP="000B1F91">
      <w:pPr>
        <w:pStyle w:val="NormalWeb"/>
        <w:jc w:val="both"/>
      </w:pPr>
    </w:p>
    <w:p w14:paraId="3A2B67C5" w14:textId="77777777" w:rsidR="00016793" w:rsidRDefault="00016793" w:rsidP="000B1F91">
      <w:pPr>
        <w:pStyle w:val="NormalWeb"/>
        <w:jc w:val="both"/>
      </w:pPr>
    </w:p>
    <w:p w14:paraId="51BFE037" w14:textId="77777777" w:rsidR="00016793" w:rsidRDefault="00016793" w:rsidP="000B1F91">
      <w:pPr>
        <w:pStyle w:val="NormalWeb"/>
        <w:jc w:val="both"/>
      </w:pPr>
    </w:p>
    <w:p w14:paraId="0AAB4BF3" w14:textId="77777777" w:rsidR="00016793" w:rsidRDefault="00016793" w:rsidP="000B1F91">
      <w:pPr>
        <w:pStyle w:val="NormalWeb"/>
        <w:jc w:val="both"/>
      </w:pPr>
    </w:p>
    <w:p w14:paraId="10F5B7C1" w14:textId="77777777" w:rsidR="00016793" w:rsidRDefault="00016793" w:rsidP="000B1F91">
      <w:pPr>
        <w:pStyle w:val="NormalWeb"/>
        <w:jc w:val="both"/>
      </w:pPr>
    </w:p>
    <w:p w14:paraId="6C47FD78" w14:textId="564C5A68" w:rsidR="00016793" w:rsidRPr="00AA7FF4" w:rsidRDefault="00016793" w:rsidP="00016793">
      <w:pPr>
        <w:pStyle w:val="NormalWeb"/>
        <w:jc w:val="center"/>
      </w:pPr>
      <w:r>
        <w:t>FIGURE 1.</w:t>
      </w:r>
    </w:p>
    <w:p w14:paraId="5E81BE9D" w14:textId="77777777" w:rsidR="002D595C" w:rsidRPr="00AA7FF4" w:rsidRDefault="002D595C" w:rsidP="000B1F91">
      <w:pPr>
        <w:spacing w:after="0" w:line="240" w:lineRule="auto"/>
        <w:jc w:val="both"/>
        <w:rPr>
          <w:rFonts w:ascii="Times New Roman" w:eastAsia="Times New Roman" w:hAnsi="Times New Roman" w:cs="Times New Roman"/>
        </w:rPr>
      </w:pPr>
      <w:r w:rsidRPr="00AA7FF4">
        <w:rPr>
          <w:rFonts w:ascii="Times New Roman" w:hAnsi="Times New Roman" w:cs="Times New Roman"/>
          <w:noProof/>
        </w:rPr>
        <w:lastRenderedPageBreak/>
        <w:drawing>
          <wp:inline distT="0" distB="0" distL="0" distR="0" wp14:anchorId="53FEE0FD" wp14:editId="740A38A7">
            <wp:extent cx="5942135" cy="3130062"/>
            <wp:effectExtent l="19050" t="0" r="1465" b="0"/>
            <wp:docPr id="5" name="Picture 5" descr="C:\Users\USER\Documents\ARTICLES IN PROGRESS\7dde0115-23b2-4b93-925c-d7dc29d65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ARTICLES IN PROGRESS\7dde0115-23b2-4b93-925c-d7dc29d65aaa"/>
                    <pic:cNvPicPr>
                      <a:picLocks noChangeAspect="1" noChangeArrowheads="1"/>
                    </pic:cNvPicPr>
                  </pic:nvPicPr>
                  <pic:blipFill>
                    <a:blip r:embed="rId7" cstate="print"/>
                    <a:srcRect/>
                    <a:stretch>
                      <a:fillRect/>
                    </a:stretch>
                  </pic:blipFill>
                  <pic:spPr bwMode="auto">
                    <a:xfrm>
                      <a:off x="0" y="0"/>
                      <a:ext cx="5943600" cy="3130834"/>
                    </a:xfrm>
                    <a:prstGeom prst="rect">
                      <a:avLst/>
                    </a:prstGeom>
                    <a:noFill/>
                    <a:ln w="9525">
                      <a:noFill/>
                      <a:miter lim="800000"/>
                      <a:headEnd/>
                      <a:tailEnd/>
                    </a:ln>
                  </pic:spPr>
                </pic:pic>
              </a:graphicData>
            </a:graphic>
          </wp:inline>
        </w:drawing>
      </w:r>
    </w:p>
    <w:p w14:paraId="327A6860" w14:textId="77777777" w:rsidR="002D595C" w:rsidRPr="00AA7FF4" w:rsidRDefault="002D595C" w:rsidP="000B1F91">
      <w:pPr>
        <w:spacing w:after="0" w:line="240" w:lineRule="auto"/>
        <w:jc w:val="both"/>
        <w:rPr>
          <w:rFonts w:ascii="Times New Roman" w:hAnsi="Times New Roman" w:cs="Times New Roman"/>
          <w:sz w:val="24"/>
          <w:szCs w:val="24"/>
        </w:rPr>
      </w:pPr>
      <w:r w:rsidRPr="00AA7FF4">
        <w:rPr>
          <w:rFonts w:ascii="Times New Roman" w:hAnsi="Times New Roman" w:cs="Times New Roman"/>
          <w:sz w:val="24"/>
          <w:szCs w:val="24"/>
        </w:rPr>
        <w:t>This framework integrates three theoretical lenses</w:t>
      </w:r>
      <w:r w:rsidR="00217C7B" w:rsidRPr="00AA7FF4">
        <w:rPr>
          <w:rFonts w:ascii="Times New Roman" w:hAnsi="Times New Roman" w:cs="Times New Roman"/>
          <w:sz w:val="24"/>
          <w:szCs w:val="24"/>
        </w:rPr>
        <w:t xml:space="preserve"> </w:t>
      </w:r>
      <w:r w:rsidRPr="00AA7FF4">
        <w:rPr>
          <w:rStyle w:val="Strong"/>
          <w:rFonts w:ascii="Times New Roman" w:hAnsi="Times New Roman" w:cs="Times New Roman"/>
          <w:b w:val="0"/>
          <w:sz w:val="24"/>
          <w:szCs w:val="24"/>
        </w:rPr>
        <w:t>Institutional Analysis Theory</w:t>
      </w:r>
      <w:r w:rsidRPr="00AA7FF4">
        <w:rPr>
          <w:rFonts w:ascii="Times New Roman" w:hAnsi="Times New Roman" w:cs="Times New Roman"/>
          <w:sz w:val="24"/>
          <w:szCs w:val="24"/>
        </w:rPr>
        <w:t xml:space="preserve"> (Ostrom, 2005), </w:t>
      </w:r>
      <w:r w:rsidRPr="00AA7FF4">
        <w:rPr>
          <w:rStyle w:val="Strong"/>
          <w:rFonts w:ascii="Times New Roman" w:hAnsi="Times New Roman" w:cs="Times New Roman"/>
          <w:b w:val="0"/>
          <w:sz w:val="24"/>
          <w:szCs w:val="24"/>
        </w:rPr>
        <w:t>Political Economy Perspective</w:t>
      </w:r>
      <w:r w:rsidRPr="00AA7FF4">
        <w:rPr>
          <w:rFonts w:ascii="Times New Roman" w:hAnsi="Times New Roman" w:cs="Times New Roman"/>
          <w:sz w:val="24"/>
          <w:szCs w:val="24"/>
        </w:rPr>
        <w:t xml:space="preserve"> (Leftwich, 2007), and </w:t>
      </w:r>
      <w:r w:rsidRPr="00AA7FF4">
        <w:rPr>
          <w:rStyle w:val="Strong"/>
          <w:rFonts w:ascii="Times New Roman" w:hAnsi="Times New Roman" w:cs="Times New Roman"/>
          <w:b w:val="0"/>
          <w:sz w:val="24"/>
          <w:szCs w:val="24"/>
        </w:rPr>
        <w:t>Environmental Governance Theory</w:t>
      </w:r>
      <w:r w:rsidRPr="00AA7FF4">
        <w:rPr>
          <w:rFonts w:ascii="Times New Roman" w:hAnsi="Times New Roman" w:cs="Times New Roman"/>
          <w:sz w:val="24"/>
          <w:szCs w:val="24"/>
        </w:rPr>
        <w:t xml:space="preserve"> (Lemos and Agrawal, 2006)</w:t>
      </w:r>
      <w:r w:rsidR="00A270F4" w:rsidRPr="00AA7FF4">
        <w:rPr>
          <w:rFonts w:ascii="Times New Roman" w:hAnsi="Times New Roman" w:cs="Times New Roman"/>
          <w:sz w:val="24"/>
          <w:szCs w:val="24"/>
        </w:rPr>
        <w:t xml:space="preserve"> </w:t>
      </w:r>
      <w:r w:rsidRPr="00AA7FF4">
        <w:rPr>
          <w:rFonts w:ascii="Times New Roman" w:hAnsi="Times New Roman" w:cs="Times New Roman"/>
          <w:sz w:val="24"/>
          <w:szCs w:val="24"/>
        </w:rPr>
        <w:t>to provide a holistic basis for examining climate change governance in Nigeria. The theories collectively inform the study’s research questions: (1) the effectiveness of Nigeria’s environmental and climate governance framework; (2) the institutional, political, and socio-economic constraints to effective governance; and (3) strategies for strengthening governance and resilience. The arrows demonstrate the flow of insights from the theories into the integrative framework, which guides the empirical investigation of the research questions. Ultimately, the framework anticipates outcomes such as strengthened institutions, reduced governance constraints, and enhanced national resilience to climate change (Ostrom, 2005; Leftwich, 2007; Lemos and Agrawal, 2006).</w:t>
      </w:r>
    </w:p>
    <w:p w14:paraId="1D02EE76" w14:textId="77777777" w:rsidR="00387E0D" w:rsidRPr="00AA7FF4" w:rsidRDefault="006C48CA" w:rsidP="000B1F91">
      <w:pPr>
        <w:pStyle w:val="NormalWeb"/>
        <w:jc w:val="both"/>
      </w:pPr>
      <w:r w:rsidRPr="00AA7FF4">
        <w:t xml:space="preserve">Bringing these perspectives together, the study </w:t>
      </w:r>
      <w:proofErr w:type="spellStart"/>
      <w:r w:rsidRPr="00AA7FF4">
        <w:t>conceptualises</w:t>
      </w:r>
      <w:proofErr w:type="spellEnd"/>
      <w:r w:rsidRPr="00AA7FF4">
        <w:t xml:space="preserve"> Nigeria’s climate governance challenges as the outcome of </w:t>
      </w:r>
      <w:r w:rsidRPr="00AA7FF4">
        <w:rPr>
          <w:rStyle w:val="Strong"/>
          <w:b w:val="0"/>
        </w:rPr>
        <w:t>institutional weaknesses, political-economic constraints, and limited inclusive governance</w:t>
      </w:r>
      <w:r w:rsidRPr="00AA7FF4">
        <w:t>. This integrative model therefore provides the analytical foundation for the study’s research questions. It enables systematic examination of how Nigeria’s governance structures operate, why they fail or succeed, and what strategies may enhance resilience against climate change.</w:t>
      </w:r>
    </w:p>
    <w:p w14:paraId="1482F891" w14:textId="77777777" w:rsidR="006C48CA" w:rsidRPr="00AA7FF4" w:rsidRDefault="00217C7B" w:rsidP="000B1F91">
      <w:pPr>
        <w:pStyle w:val="NormalWeb"/>
        <w:jc w:val="both"/>
        <w:rPr>
          <w:b/>
        </w:rPr>
      </w:pPr>
      <w:r w:rsidRPr="00AA7FF4">
        <w:rPr>
          <w:b/>
        </w:rPr>
        <w:t>RESEARCH METHODOLOGY</w:t>
      </w:r>
    </w:p>
    <w:p w14:paraId="7F868207" w14:textId="77777777" w:rsidR="00F43449" w:rsidRPr="00AA7FF4" w:rsidRDefault="006C48CA" w:rsidP="000B1F91">
      <w:pPr>
        <w:pStyle w:val="NormalWeb"/>
        <w:jc w:val="both"/>
      </w:pPr>
      <w:r w:rsidRPr="00AA7FF4">
        <w:t xml:space="preserve">The study adopts a </w:t>
      </w:r>
      <w:r w:rsidRPr="00AA7FF4">
        <w:rPr>
          <w:rStyle w:val="mbin"/>
        </w:rPr>
        <w:t>descriptive survey research design</w:t>
      </w:r>
      <w:r w:rsidRPr="00AA7FF4">
        <w:t xml:space="preserve"> with a mixed-methods orientation. This design is considered appropriate because it enables the collection of quantitative data from a large sample to identify patterns and relationships, while qualitative insights are used to deepen the understanding of institutional, political, and socio-economic dynamics shaping environmental governance (Creswell, 2014).</w:t>
      </w:r>
      <w:r w:rsidR="00F43449" w:rsidRPr="00AA7FF4">
        <w:t xml:space="preserve"> The target population for this study is estimated at </w:t>
      </w:r>
      <w:r w:rsidR="00F43449" w:rsidRPr="00AA7FF4">
        <w:rPr>
          <w:rStyle w:val="mbin"/>
        </w:rPr>
        <w:t>25.4 million people</w:t>
      </w:r>
      <w:r w:rsidR="00F43449" w:rsidRPr="00AA7FF4">
        <w:t xml:space="preserve">, representing residents of the </w:t>
      </w:r>
      <w:r w:rsidR="00F43449" w:rsidRPr="00AA7FF4">
        <w:rPr>
          <w:rStyle w:val="mbin"/>
        </w:rPr>
        <w:t>North Central geopolitical zone of Nigeria</w:t>
      </w:r>
      <w:r w:rsidR="00F43449" w:rsidRPr="00AA7FF4">
        <w:t xml:space="preserve">, which includes Benue, Kogi, Kwara, Nasarawa, Niger, Plateau, and the Federal Capital Territory (FCT) according to the National Population Commission and National Bureau of Statistics </w:t>
      </w:r>
      <w:r w:rsidR="00F43449" w:rsidRPr="00AA7FF4">
        <w:lastRenderedPageBreak/>
        <w:t>estimate (</w:t>
      </w:r>
      <w:proofErr w:type="spellStart"/>
      <w:r w:rsidR="00F43449" w:rsidRPr="00AA7FF4">
        <w:t>Ogundari</w:t>
      </w:r>
      <w:proofErr w:type="spellEnd"/>
      <w:r w:rsidR="00F43449" w:rsidRPr="00AA7FF4">
        <w:t xml:space="preserve"> et al., 2017). The population is made up of diverse groups including policymakers, environmental officials, traditional institutions, community-based </w:t>
      </w:r>
      <w:proofErr w:type="spellStart"/>
      <w:r w:rsidR="00F43449" w:rsidRPr="00AA7FF4">
        <w:t>organisations</w:t>
      </w:r>
      <w:proofErr w:type="spellEnd"/>
      <w:r w:rsidR="00F43449" w:rsidRPr="00AA7FF4">
        <w:t xml:space="preserve">, and households in vulnerable communities experiencing the effects of climate change such as flooding, drought, desertification, and gully erosion. However, It is impractical to study all 25.4 million people; therefore, the sample size will be determined using </w:t>
      </w:r>
      <w:r w:rsidR="00F43449" w:rsidRPr="00AA7FF4">
        <w:rPr>
          <w:bCs/>
        </w:rPr>
        <w:t>Yamane’s (1967) formula</w:t>
      </w:r>
      <w:r w:rsidR="00F43449" w:rsidRPr="00AA7FF4">
        <w:t xml:space="preserve"> for finite populations: </w:t>
      </w:r>
    </w:p>
    <w:p w14:paraId="66373EF3" w14:textId="77777777" w:rsidR="00F43449" w:rsidRPr="00AA7FF4" w:rsidRDefault="00F43449" w:rsidP="000B1F91">
      <w:pPr>
        <w:pStyle w:val="NoSpacing"/>
        <w:jc w:val="both"/>
        <w:rPr>
          <w:rFonts w:ascii="Times New Roman" w:hAnsi="Times New Roman" w:cs="Times New Roman"/>
          <w:sz w:val="24"/>
          <w:szCs w:val="24"/>
          <w:u w:val="single"/>
        </w:rPr>
      </w:pPr>
      <w:r w:rsidRPr="00AA7FF4">
        <w:rPr>
          <w:rFonts w:ascii="Times New Roman" w:hAnsi="Times New Roman" w:cs="Times New Roman"/>
          <w:sz w:val="24"/>
          <w:szCs w:val="24"/>
        </w:rPr>
        <w:t xml:space="preserve">n = </w:t>
      </w:r>
      <w:r w:rsidRPr="00AA7FF4">
        <w:rPr>
          <w:rFonts w:ascii="Times New Roman" w:hAnsi="Times New Roman" w:cs="Times New Roman"/>
          <w:sz w:val="24"/>
          <w:szCs w:val="24"/>
          <w:u w:val="single"/>
        </w:rPr>
        <w:t xml:space="preserve">   N   </w:t>
      </w:r>
    </w:p>
    <w:p w14:paraId="7076EC95" w14:textId="77777777" w:rsidR="00F43449" w:rsidRPr="00AA7FF4" w:rsidRDefault="00F43449" w:rsidP="000B1F91">
      <w:pPr>
        <w:pStyle w:val="NoSpacing"/>
        <w:jc w:val="both"/>
        <w:rPr>
          <w:rFonts w:ascii="Times New Roman" w:hAnsi="Times New Roman" w:cs="Times New Roman"/>
          <w:sz w:val="24"/>
          <w:szCs w:val="24"/>
        </w:rPr>
      </w:pPr>
      <w:r w:rsidRPr="00AA7FF4">
        <w:rPr>
          <w:rFonts w:ascii="Times New Roman" w:eastAsia="Times New Roman" w:hAnsi="Times New Roman" w:cs="Times New Roman"/>
          <w:sz w:val="24"/>
          <w:szCs w:val="24"/>
        </w:rPr>
        <w:t xml:space="preserve">     1+N(e</w:t>
      </w:r>
      <w:r w:rsidRPr="00AA7FF4">
        <w:rPr>
          <w:rFonts w:ascii="Times New Roman" w:eastAsia="Times New Roman" w:hAnsi="Times New Roman" w:cs="Times New Roman"/>
          <w:sz w:val="24"/>
          <w:szCs w:val="24"/>
          <w:vertAlign w:val="superscript"/>
        </w:rPr>
        <w:t>2</w:t>
      </w:r>
      <w:r w:rsidRPr="00AA7FF4">
        <w:rPr>
          <w:rFonts w:ascii="Times New Roman" w:eastAsia="Times New Roman" w:hAnsi="Times New Roman" w:cs="Times New Roman"/>
          <w:sz w:val="24"/>
          <w:szCs w:val="24"/>
        </w:rPr>
        <w:t>)</w:t>
      </w:r>
    </w:p>
    <w:p w14:paraId="1D5EF715" w14:textId="77777777" w:rsidR="00A852CD" w:rsidRPr="00AA7FF4" w:rsidRDefault="00F43449" w:rsidP="000B1F91">
      <w:pPr>
        <w:spacing w:before="100" w:beforeAutospacing="1" w:after="100" w:afterAutospacing="1" w:line="240" w:lineRule="auto"/>
        <w:jc w:val="both"/>
        <w:rPr>
          <w:rFonts w:ascii="Times New Roman" w:hAnsi="Times New Roman" w:cs="Times New Roman"/>
          <w:sz w:val="24"/>
          <w:szCs w:val="24"/>
        </w:rPr>
      </w:pPr>
      <w:r w:rsidRPr="00AA7FF4">
        <w:rPr>
          <w:rFonts w:ascii="Times New Roman" w:eastAsia="Times New Roman" w:hAnsi="Times New Roman" w:cs="Times New Roman"/>
          <w:sz w:val="24"/>
          <w:szCs w:val="24"/>
        </w:rPr>
        <w:t>Where:</w:t>
      </w:r>
      <w:r w:rsidR="00A852CD" w:rsidRPr="00AA7FF4">
        <w:rPr>
          <w:rFonts w:ascii="Times New Roman" w:eastAsia="Times New Roman" w:hAnsi="Times New Roman" w:cs="Times New Roman"/>
          <w:sz w:val="24"/>
          <w:szCs w:val="24"/>
        </w:rPr>
        <w:t xml:space="preserve"> </w:t>
      </w:r>
      <w:r w:rsidR="00A852CD" w:rsidRPr="00AA7FF4">
        <w:rPr>
          <w:rStyle w:val="mord"/>
          <w:rFonts w:ascii="Times New Roman" w:hAnsi="Times New Roman" w:cs="Times New Roman"/>
          <w:sz w:val="24"/>
          <w:szCs w:val="24"/>
        </w:rPr>
        <w:t>n</w:t>
      </w:r>
      <w:r w:rsidR="00A852CD" w:rsidRPr="00AA7FF4">
        <w:rPr>
          <w:rFonts w:ascii="Times New Roman" w:hAnsi="Times New Roman" w:cs="Times New Roman"/>
          <w:sz w:val="24"/>
          <w:szCs w:val="24"/>
        </w:rPr>
        <w:t xml:space="preserve"> = sample size; </w:t>
      </w:r>
      <w:r w:rsidR="00A852CD" w:rsidRPr="00AA7FF4">
        <w:rPr>
          <w:rStyle w:val="mord"/>
          <w:rFonts w:ascii="Times New Roman" w:hAnsi="Times New Roman" w:cs="Times New Roman"/>
          <w:sz w:val="24"/>
          <w:szCs w:val="24"/>
        </w:rPr>
        <w:t>N</w:t>
      </w:r>
      <w:r w:rsidR="00A852CD" w:rsidRPr="00AA7FF4">
        <w:rPr>
          <w:rFonts w:ascii="Times New Roman" w:hAnsi="Times New Roman" w:cs="Times New Roman"/>
          <w:sz w:val="24"/>
          <w:szCs w:val="24"/>
        </w:rPr>
        <w:t xml:space="preserve"> = population size (25,400,000); and </w:t>
      </w:r>
      <w:r w:rsidR="00A852CD" w:rsidRPr="00AA7FF4">
        <w:rPr>
          <w:rStyle w:val="mord"/>
          <w:rFonts w:ascii="Times New Roman" w:hAnsi="Times New Roman" w:cs="Times New Roman"/>
          <w:sz w:val="24"/>
          <w:szCs w:val="24"/>
        </w:rPr>
        <w:t>e</w:t>
      </w:r>
      <w:r w:rsidR="00A852CD" w:rsidRPr="00AA7FF4">
        <w:rPr>
          <w:rFonts w:ascii="Times New Roman" w:hAnsi="Times New Roman" w:cs="Times New Roman"/>
          <w:sz w:val="24"/>
          <w:szCs w:val="24"/>
        </w:rPr>
        <w:t xml:space="preserve"> = margin of error (0.05 at 95% confidence level)</w:t>
      </w:r>
    </w:p>
    <w:p w14:paraId="5F39AA48" w14:textId="77777777" w:rsidR="00A852CD" w:rsidRPr="00AA7FF4" w:rsidRDefault="00A852CD" w:rsidP="000B1F91">
      <w:pPr>
        <w:pStyle w:val="NoSpacing"/>
        <w:jc w:val="both"/>
        <w:rPr>
          <w:rStyle w:val="mord"/>
          <w:rFonts w:ascii="Times New Roman" w:hAnsi="Times New Roman" w:cs="Times New Roman"/>
          <w:sz w:val="24"/>
          <w:szCs w:val="24"/>
        </w:rPr>
      </w:pPr>
      <w:r w:rsidRPr="00AA7FF4">
        <w:rPr>
          <w:rFonts w:ascii="Times New Roman" w:hAnsi="Times New Roman" w:cs="Times New Roman"/>
          <w:sz w:val="24"/>
          <w:szCs w:val="24"/>
        </w:rPr>
        <w:t xml:space="preserve">n = </w:t>
      </w:r>
      <w:r w:rsidRPr="00AA7FF4">
        <w:rPr>
          <w:rFonts w:ascii="Times New Roman" w:hAnsi="Times New Roman" w:cs="Times New Roman"/>
          <w:sz w:val="24"/>
          <w:szCs w:val="24"/>
        </w:rPr>
        <w:tab/>
        <w:t xml:space="preserve"> </w:t>
      </w:r>
      <w:r w:rsidRPr="00AA7FF4">
        <w:rPr>
          <w:rStyle w:val="mord"/>
          <w:rFonts w:ascii="Times New Roman" w:hAnsi="Times New Roman" w:cs="Times New Roman"/>
          <w:sz w:val="24"/>
          <w:szCs w:val="24"/>
          <w:u w:val="single"/>
        </w:rPr>
        <w:t>25</w:t>
      </w:r>
      <w:r w:rsidRPr="00AA7FF4">
        <w:rPr>
          <w:rStyle w:val="mpunct"/>
          <w:rFonts w:ascii="Times New Roman" w:hAnsi="Times New Roman" w:cs="Times New Roman"/>
          <w:sz w:val="24"/>
          <w:szCs w:val="24"/>
          <w:u w:val="single"/>
        </w:rPr>
        <w:t>,</w:t>
      </w:r>
      <w:r w:rsidRPr="00AA7FF4">
        <w:rPr>
          <w:rStyle w:val="mord"/>
          <w:rFonts w:ascii="Times New Roman" w:hAnsi="Times New Roman" w:cs="Times New Roman"/>
          <w:sz w:val="24"/>
          <w:szCs w:val="24"/>
          <w:u w:val="single"/>
        </w:rPr>
        <w:t>400</w:t>
      </w:r>
      <w:r w:rsidRPr="00AA7FF4">
        <w:rPr>
          <w:rStyle w:val="mpunct"/>
          <w:rFonts w:ascii="Times New Roman" w:hAnsi="Times New Roman" w:cs="Times New Roman"/>
          <w:sz w:val="24"/>
          <w:szCs w:val="24"/>
          <w:u w:val="single"/>
        </w:rPr>
        <w:t>,</w:t>
      </w:r>
      <w:r w:rsidRPr="00AA7FF4">
        <w:rPr>
          <w:rStyle w:val="mord"/>
          <w:rFonts w:ascii="Times New Roman" w:hAnsi="Times New Roman" w:cs="Times New Roman"/>
          <w:sz w:val="24"/>
          <w:szCs w:val="24"/>
          <w:u w:val="single"/>
        </w:rPr>
        <w:t>000</w:t>
      </w:r>
      <w:r w:rsidRPr="00AA7FF4">
        <w:rPr>
          <w:rStyle w:val="mord"/>
          <w:rFonts w:ascii="Times New Roman" w:hAnsi="Times New Roman" w:cs="Times New Roman"/>
          <w:sz w:val="24"/>
          <w:szCs w:val="24"/>
          <w:u w:val="single"/>
        </w:rPr>
        <w:tab/>
      </w:r>
      <w:r w:rsidRPr="00AA7FF4">
        <w:rPr>
          <w:rStyle w:val="mord"/>
          <w:rFonts w:ascii="Times New Roman" w:hAnsi="Times New Roman" w:cs="Times New Roman"/>
          <w:sz w:val="24"/>
          <w:szCs w:val="24"/>
        </w:rPr>
        <w:tab/>
        <w:t xml:space="preserve">=    </w:t>
      </w:r>
      <w:r w:rsidRPr="00AA7FF4">
        <w:rPr>
          <w:rStyle w:val="mord"/>
          <w:rFonts w:ascii="Times New Roman" w:hAnsi="Times New Roman" w:cs="Times New Roman"/>
          <w:sz w:val="24"/>
          <w:szCs w:val="24"/>
          <w:u w:val="single"/>
        </w:rPr>
        <w:t>25</w:t>
      </w:r>
      <w:r w:rsidRPr="00AA7FF4">
        <w:rPr>
          <w:rStyle w:val="mpunct"/>
          <w:rFonts w:ascii="Times New Roman" w:hAnsi="Times New Roman" w:cs="Times New Roman"/>
          <w:sz w:val="24"/>
          <w:szCs w:val="24"/>
          <w:u w:val="single"/>
        </w:rPr>
        <w:t>,</w:t>
      </w:r>
      <w:r w:rsidRPr="00AA7FF4">
        <w:rPr>
          <w:rStyle w:val="mord"/>
          <w:rFonts w:ascii="Times New Roman" w:hAnsi="Times New Roman" w:cs="Times New Roman"/>
          <w:sz w:val="24"/>
          <w:szCs w:val="24"/>
          <w:u w:val="single"/>
        </w:rPr>
        <w:t>400</w:t>
      </w:r>
      <w:r w:rsidRPr="00AA7FF4">
        <w:rPr>
          <w:rStyle w:val="mpunct"/>
          <w:rFonts w:ascii="Times New Roman" w:hAnsi="Times New Roman" w:cs="Times New Roman"/>
          <w:sz w:val="24"/>
          <w:szCs w:val="24"/>
          <w:u w:val="single"/>
        </w:rPr>
        <w:t>,</w:t>
      </w:r>
      <w:r w:rsidRPr="00AA7FF4">
        <w:rPr>
          <w:rStyle w:val="mord"/>
          <w:rFonts w:ascii="Times New Roman" w:hAnsi="Times New Roman" w:cs="Times New Roman"/>
          <w:sz w:val="24"/>
          <w:szCs w:val="24"/>
          <w:u w:val="single"/>
        </w:rPr>
        <w:t>000</w:t>
      </w:r>
      <w:r w:rsidRPr="00AA7FF4">
        <w:rPr>
          <w:rStyle w:val="mord"/>
          <w:rFonts w:ascii="Times New Roman" w:hAnsi="Times New Roman" w:cs="Times New Roman"/>
          <w:sz w:val="24"/>
          <w:szCs w:val="24"/>
        </w:rPr>
        <w:tab/>
        <w:t xml:space="preserve"> = 400</w:t>
      </w:r>
    </w:p>
    <w:p w14:paraId="42467B33" w14:textId="77777777" w:rsidR="00A852CD" w:rsidRPr="00AA7FF4" w:rsidRDefault="00A852CD" w:rsidP="000B1F91">
      <w:pPr>
        <w:pStyle w:val="NoSpacing"/>
        <w:ind w:firstLine="720"/>
        <w:jc w:val="both"/>
        <w:rPr>
          <w:rFonts w:ascii="Times New Roman" w:hAnsi="Times New Roman" w:cs="Times New Roman"/>
          <w:sz w:val="24"/>
          <w:szCs w:val="24"/>
          <w:u w:val="single"/>
        </w:rPr>
      </w:pPr>
      <w:r w:rsidRPr="00AA7FF4">
        <w:rPr>
          <w:rStyle w:val="mbin"/>
          <w:rFonts w:ascii="Times New Roman" w:hAnsi="Times New Roman" w:cs="Times New Roman"/>
          <w:sz w:val="24"/>
          <w:szCs w:val="24"/>
        </w:rPr>
        <w:t>1+</w:t>
      </w:r>
      <w:r w:rsidRPr="00AA7FF4">
        <w:rPr>
          <w:rStyle w:val="mord"/>
          <w:rFonts w:ascii="Times New Roman" w:hAnsi="Times New Roman" w:cs="Times New Roman"/>
          <w:sz w:val="24"/>
          <w:szCs w:val="24"/>
        </w:rPr>
        <w:t>25</w:t>
      </w:r>
      <w:r w:rsidRPr="00AA7FF4">
        <w:rPr>
          <w:rStyle w:val="mpunct"/>
          <w:rFonts w:ascii="Times New Roman" w:hAnsi="Times New Roman" w:cs="Times New Roman"/>
          <w:sz w:val="24"/>
          <w:szCs w:val="24"/>
        </w:rPr>
        <w:t>,</w:t>
      </w:r>
      <w:r w:rsidRPr="00AA7FF4">
        <w:rPr>
          <w:rStyle w:val="mord"/>
          <w:rFonts w:ascii="Times New Roman" w:hAnsi="Times New Roman" w:cs="Times New Roman"/>
          <w:sz w:val="24"/>
          <w:szCs w:val="24"/>
        </w:rPr>
        <w:t>400</w:t>
      </w:r>
      <w:r w:rsidRPr="00AA7FF4">
        <w:rPr>
          <w:rStyle w:val="mpunct"/>
          <w:rFonts w:ascii="Times New Roman" w:hAnsi="Times New Roman" w:cs="Times New Roman"/>
          <w:sz w:val="24"/>
          <w:szCs w:val="24"/>
        </w:rPr>
        <w:t>,</w:t>
      </w:r>
      <w:r w:rsidRPr="00AA7FF4">
        <w:rPr>
          <w:rStyle w:val="mord"/>
          <w:rFonts w:ascii="Times New Roman" w:hAnsi="Times New Roman" w:cs="Times New Roman"/>
          <w:sz w:val="24"/>
          <w:szCs w:val="24"/>
        </w:rPr>
        <w:t>000</w:t>
      </w:r>
      <w:r w:rsidRPr="00AA7FF4">
        <w:rPr>
          <w:rStyle w:val="mopen"/>
          <w:rFonts w:ascii="Times New Roman" w:hAnsi="Times New Roman" w:cs="Times New Roman"/>
          <w:sz w:val="24"/>
          <w:szCs w:val="24"/>
        </w:rPr>
        <w:t>(</w:t>
      </w:r>
      <w:r w:rsidRPr="00AA7FF4">
        <w:rPr>
          <w:rStyle w:val="mord"/>
          <w:rFonts w:ascii="Times New Roman" w:hAnsi="Times New Roman" w:cs="Times New Roman"/>
          <w:sz w:val="24"/>
          <w:szCs w:val="24"/>
        </w:rPr>
        <w:t>0.052</w:t>
      </w:r>
      <w:r w:rsidRPr="00AA7FF4">
        <w:rPr>
          <w:rStyle w:val="mord"/>
          <w:rFonts w:ascii="Times New Roman" w:hAnsi="Times New Roman" w:cs="Times New Roman"/>
          <w:sz w:val="24"/>
          <w:szCs w:val="24"/>
        </w:rPr>
        <w:tab/>
        <w:t xml:space="preserve">      1+ 63,500</w:t>
      </w:r>
      <w:r w:rsidRPr="00AA7FF4">
        <w:rPr>
          <w:rStyle w:val="vlist-s"/>
          <w:rFonts w:ascii="Times New Roman" w:hAnsi="Times New Roman" w:cs="Times New Roman"/>
          <w:sz w:val="24"/>
          <w:szCs w:val="24"/>
        </w:rPr>
        <w:t>​</w:t>
      </w:r>
    </w:p>
    <w:p w14:paraId="24F134B6" w14:textId="77777777" w:rsidR="00377FA5" w:rsidRPr="00AA7FF4" w:rsidRDefault="00F43449" w:rsidP="000B1F91">
      <w:pPr>
        <w:pStyle w:val="NormalWeb"/>
        <w:jc w:val="both"/>
      </w:pPr>
      <w:r w:rsidRPr="00AA7FF4">
        <w:t xml:space="preserve">Thus, a </w:t>
      </w:r>
      <w:r w:rsidRPr="00AA7FF4">
        <w:rPr>
          <w:bCs/>
        </w:rPr>
        <w:t>sample size of 400 respondents</w:t>
      </w:r>
      <w:r w:rsidRPr="00AA7FF4">
        <w:t xml:space="preserve"> is adequate, providing reliable </w:t>
      </w:r>
      <w:proofErr w:type="spellStart"/>
      <w:r w:rsidRPr="00AA7FF4">
        <w:t>generalisation</w:t>
      </w:r>
      <w:proofErr w:type="spellEnd"/>
      <w:r w:rsidRPr="00AA7FF4">
        <w:t xml:space="preserve"> at 95% confidence level.</w:t>
      </w:r>
      <w:r w:rsidR="00A852CD" w:rsidRPr="00AA7FF4">
        <w:t xml:space="preserve"> </w:t>
      </w:r>
    </w:p>
    <w:p w14:paraId="547FF425" w14:textId="77777777" w:rsidR="00377FA5" w:rsidRPr="00AA7FF4" w:rsidRDefault="00217C7B" w:rsidP="00217C7B">
      <w:pPr>
        <w:pStyle w:val="NoSpacing"/>
        <w:rPr>
          <w:rFonts w:ascii="Times New Roman" w:hAnsi="Times New Roman" w:cs="Times New Roman"/>
          <w:b/>
          <w:sz w:val="24"/>
          <w:szCs w:val="24"/>
        </w:rPr>
      </w:pPr>
      <w:r w:rsidRPr="00AA7FF4">
        <w:rPr>
          <w:rFonts w:ascii="Times New Roman" w:hAnsi="Times New Roman" w:cs="Times New Roman"/>
          <w:b/>
          <w:sz w:val="24"/>
          <w:szCs w:val="24"/>
        </w:rPr>
        <w:t xml:space="preserve">Table 1: </w:t>
      </w:r>
      <w:r w:rsidR="00377FA5" w:rsidRPr="00AA7FF4">
        <w:rPr>
          <w:rFonts w:ascii="Times New Roman" w:hAnsi="Times New Roman" w:cs="Times New Roman"/>
          <w:b/>
          <w:sz w:val="24"/>
          <w:szCs w:val="24"/>
        </w:rPr>
        <w:t>Sample distribution (total n = 400)</w:t>
      </w:r>
    </w:p>
    <w:tbl>
      <w:tblPr>
        <w:tblStyle w:val="TableGrid"/>
        <w:tblW w:w="0" w:type="auto"/>
        <w:tblLook w:val="04A0" w:firstRow="1" w:lastRow="0" w:firstColumn="1" w:lastColumn="0" w:noHBand="0" w:noVBand="1"/>
      </w:tblPr>
      <w:tblGrid>
        <w:gridCol w:w="1935"/>
        <w:gridCol w:w="1682"/>
        <w:gridCol w:w="1912"/>
        <w:gridCol w:w="2334"/>
        <w:gridCol w:w="1713"/>
      </w:tblGrid>
      <w:tr w:rsidR="00377FA5" w:rsidRPr="00AA7FF4" w14:paraId="47B91A95" w14:textId="77777777" w:rsidTr="00377FA5">
        <w:tc>
          <w:tcPr>
            <w:tcW w:w="0" w:type="auto"/>
            <w:hideMark/>
          </w:tcPr>
          <w:p w14:paraId="4BC61AF7" w14:textId="77777777" w:rsidR="00377FA5" w:rsidRPr="00AA7FF4" w:rsidRDefault="00377FA5" w:rsidP="000B1F91">
            <w:pPr>
              <w:jc w:val="both"/>
              <w:rPr>
                <w:rFonts w:ascii="Times New Roman" w:hAnsi="Times New Roman" w:cs="Times New Roman"/>
                <w:b/>
                <w:bCs/>
                <w:sz w:val="24"/>
                <w:szCs w:val="24"/>
              </w:rPr>
            </w:pPr>
            <w:r w:rsidRPr="00AA7FF4">
              <w:rPr>
                <w:rFonts w:ascii="Times New Roman" w:hAnsi="Times New Roman" w:cs="Times New Roman"/>
                <w:b/>
                <w:bCs/>
                <w:sz w:val="24"/>
                <w:szCs w:val="24"/>
              </w:rPr>
              <w:t>State / Entity (North Central)</w:t>
            </w:r>
          </w:p>
        </w:tc>
        <w:tc>
          <w:tcPr>
            <w:tcW w:w="0" w:type="auto"/>
            <w:hideMark/>
          </w:tcPr>
          <w:p w14:paraId="0A054250" w14:textId="77777777" w:rsidR="00377FA5" w:rsidRPr="00AA7FF4" w:rsidRDefault="00377FA5" w:rsidP="000B1F91">
            <w:pPr>
              <w:jc w:val="both"/>
              <w:rPr>
                <w:rFonts w:ascii="Times New Roman" w:hAnsi="Times New Roman" w:cs="Times New Roman"/>
                <w:b/>
                <w:bCs/>
                <w:sz w:val="24"/>
                <w:szCs w:val="24"/>
              </w:rPr>
            </w:pPr>
            <w:r w:rsidRPr="00AA7FF4">
              <w:rPr>
                <w:rFonts w:ascii="Times New Roman" w:hAnsi="Times New Roman" w:cs="Times New Roman"/>
                <w:b/>
                <w:bCs/>
                <w:sz w:val="24"/>
                <w:szCs w:val="24"/>
              </w:rPr>
              <w:t>Total respondents</w:t>
            </w:r>
          </w:p>
        </w:tc>
        <w:tc>
          <w:tcPr>
            <w:tcW w:w="0" w:type="auto"/>
            <w:hideMark/>
          </w:tcPr>
          <w:p w14:paraId="06CD9C9B" w14:textId="77777777" w:rsidR="00377FA5" w:rsidRPr="00AA7FF4" w:rsidRDefault="00377FA5" w:rsidP="000B1F91">
            <w:pPr>
              <w:jc w:val="both"/>
              <w:rPr>
                <w:rFonts w:ascii="Times New Roman" w:hAnsi="Times New Roman" w:cs="Times New Roman"/>
                <w:b/>
                <w:bCs/>
                <w:sz w:val="24"/>
                <w:szCs w:val="24"/>
              </w:rPr>
            </w:pPr>
            <w:r w:rsidRPr="00AA7FF4">
              <w:rPr>
                <w:rFonts w:ascii="Times New Roman" w:hAnsi="Times New Roman" w:cs="Times New Roman"/>
                <w:b/>
                <w:bCs/>
                <w:sz w:val="24"/>
                <w:szCs w:val="24"/>
              </w:rPr>
              <w:t>Policymakers (≈10%)</w:t>
            </w:r>
          </w:p>
        </w:tc>
        <w:tc>
          <w:tcPr>
            <w:tcW w:w="0" w:type="auto"/>
            <w:hideMark/>
          </w:tcPr>
          <w:p w14:paraId="18FD99DD" w14:textId="77777777" w:rsidR="00377FA5" w:rsidRPr="00AA7FF4" w:rsidRDefault="00377FA5" w:rsidP="000B1F91">
            <w:pPr>
              <w:jc w:val="both"/>
              <w:rPr>
                <w:rFonts w:ascii="Times New Roman" w:hAnsi="Times New Roman" w:cs="Times New Roman"/>
                <w:b/>
                <w:bCs/>
                <w:sz w:val="24"/>
                <w:szCs w:val="24"/>
              </w:rPr>
            </w:pPr>
            <w:r w:rsidRPr="00AA7FF4">
              <w:rPr>
                <w:rFonts w:ascii="Times New Roman" w:hAnsi="Times New Roman" w:cs="Times New Roman"/>
                <w:b/>
                <w:bCs/>
                <w:sz w:val="24"/>
                <w:szCs w:val="24"/>
              </w:rPr>
              <w:t>CSOs / Community leaders (≈30%)</w:t>
            </w:r>
          </w:p>
        </w:tc>
        <w:tc>
          <w:tcPr>
            <w:tcW w:w="0" w:type="auto"/>
            <w:hideMark/>
          </w:tcPr>
          <w:p w14:paraId="54046590" w14:textId="77777777" w:rsidR="00377FA5" w:rsidRPr="00AA7FF4" w:rsidRDefault="00377FA5" w:rsidP="000B1F91">
            <w:pPr>
              <w:jc w:val="both"/>
              <w:rPr>
                <w:rFonts w:ascii="Times New Roman" w:hAnsi="Times New Roman" w:cs="Times New Roman"/>
                <w:b/>
                <w:bCs/>
                <w:sz w:val="24"/>
                <w:szCs w:val="24"/>
              </w:rPr>
            </w:pPr>
            <w:r w:rsidRPr="00AA7FF4">
              <w:rPr>
                <w:rFonts w:ascii="Times New Roman" w:hAnsi="Times New Roman" w:cs="Times New Roman"/>
                <w:b/>
                <w:bCs/>
                <w:sz w:val="24"/>
                <w:szCs w:val="24"/>
              </w:rPr>
              <w:t>Households (≈60%)</w:t>
            </w:r>
          </w:p>
        </w:tc>
      </w:tr>
      <w:tr w:rsidR="00377FA5" w:rsidRPr="00AA7FF4" w14:paraId="0587F9A3" w14:textId="77777777" w:rsidTr="00377FA5">
        <w:tc>
          <w:tcPr>
            <w:tcW w:w="0" w:type="auto"/>
            <w:hideMark/>
          </w:tcPr>
          <w:p w14:paraId="233D94BB"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Benue</w:t>
            </w:r>
          </w:p>
        </w:tc>
        <w:tc>
          <w:tcPr>
            <w:tcW w:w="0" w:type="auto"/>
            <w:hideMark/>
          </w:tcPr>
          <w:p w14:paraId="0C7F922B"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151732FF"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360C1D08"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09C27ED2"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377FA5" w:rsidRPr="00AA7FF4" w14:paraId="5F28FE5D" w14:textId="77777777" w:rsidTr="00377FA5">
        <w:tc>
          <w:tcPr>
            <w:tcW w:w="0" w:type="auto"/>
            <w:hideMark/>
          </w:tcPr>
          <w:p w14:paraId="4C80904C"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Kogi</w:t>
            </w:r>
          </w:p>
        </w:tc>
        <w:tc>
          <w:tcPr>
            <w:tcW w:w="0" w:type="auto"/>
            <w:hideMark/>
          </w:tcPr>
          <w:p w14:paraId="7B2C8248"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758EF9B7"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090EE189"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1AEF0895"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377FA5" w:rsidRPr="00AA7FF4" w14:paraId="5E488692" w14:textId="77777777" w:rsidTr="00377FA5">
        <w:tc>
          <w:tcPr>
            <w:tcW w:w="0" w:type="auto"/>
            <w:hideMark/>
          </w:tcPr>
          <w:p w14:paraId="42B32581"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Kwara</w:t>
            </w:r>
          </w:p>
        </w:tc>
        <w:tc>
          <w:tcPr>
            <w:tcW w:w="0" w:type="auto"/>
            <w:hideMark/>
          </w:tcPr>
          <w:p w14:paraId="6DB29908"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77A5B992"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2BCD0502"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7345F803"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377FA5" w:rsidRPr="00AA7FF4" w14:paraId="29F148D7" w14:textId="77777777" w:rsidTr="00377FA5">
        <w:tc>
          <w:tcPr>
            <w:tcW w:w="0" w:type="auto"/>
            <w:hideMark/>
          </w:tcPr>
          <w:p w14:paraId="1F5F7611"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Nasarawa</w:t>
            </w:r>
          </w:p>
        </w:tc>
        <w:tc>
          <w:tcPr>
            <w:tcW w:w="0" w:type="auto"/>
            <w:hideMark/>
          </w:tcPr>
          <w:p w14:paraId="2C413AA6"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5D73CF4A"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3EE433AF"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539F8655"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377FA5" w:rsidRPr="00AA7FF4" w14:paraId="7F8BF099" w14:textId="77777777" w:rsidTr="00377FA5">
        <w:tc>
          <w:tcPr>
            <w:tcW w:w="0" w:type="auto"/>
            <w:hideMark/>
          </w:tcPr>
          <w:p w14:paraId="28843168"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Niger</w:t>
            </w:r>
          </w:p>
        </w:tc>
        <w:tc>
          <w:tcPr>
            <w:tcW w:w="0" w:type="auto"/>
            <w:hideMark/>
          </w:tcPr>
          <w:p w14:paraId="72681954"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1EA08E59"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1081B64A"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5B3AF312"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377FA5" w:rsidRPr="00AA7FF4" w14:paraId="5B3B38F5" w14:textId="77777777" w:rsidTr="00377FA5">
        <w:tc>
          <w:tcPr>
            <w:tcW w:w="0" w:type="auto"/>
            <w:hideMark/>
          </w:tcPr>
          <w:p w14:paraId="369A0F79"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Plateau</w:t>
            </w:r>
          </w:p>
        </w:tc>
        <w:tc>
          <w:tcPr>
            <w:tcW w:w="0" w:type="auto"/>
            <w:hideMark/>
          </w:tcPr>
          <w:p w14:paraId="4F507264"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5C415392"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513001CC"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39C1CF51"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377FA5" w:rsidRPr="00AA7FF4" w14:paraId="348D10F4" w14:textId="77777777" w:rsidTr="00377FA5">
        <w:tc>
          <w:tcPr>
            <w:tcW w:w="0" w:type="auto"/>
            <w:hideMark/>
          </w:tcPr>
          <w:p w14:paraId="0A04E360"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FCT (Abuja)</w:t>
            </w:r>
          </w:p>
        </w:tc>
        <w:tc>
          <w:tcPr>
            <w:tcW w:w="0" w:type="auto"/>
            <w:hideMark/>
          </w:tcPr>
          <w:p w14:paraId="7893A194"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58</w:t>
            </w:r>
          </w:p>
        </w:tc>
        <w:tc>
          <w:tcPr>
            <w:tcW w:w="0" w:type="auto"/>
            <w:hideMark/>
          </w:tcPr>
          <w:p w14:paraId="52AAA473"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7773A904"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2B27E51B" w14:textId="77777777" w:rsidR="00377FA5" w:rsidRPr="00AA7FF4" w:rsidRDefault="00377FA5" w:rsidP="000B1F91">
            <w:pPr>
              <w:jc w:val="both"/>
              <w:rPr>
                <w:rFonts w:ascii="Times New Roman" w:hAnsi="Times New Roman" w:cs="Times New Roman"/>
                <w:sz w:val="24"/>
                <w:szCs w:val="24"/>
              </w:rPr>
            </w:pPr>
            <w:r w:rsidRPr="00AA7FF4">
              <w:rPr>
                <w:rFonts w:ascii="Times New Roman" w:hAnsi="Times New Roman" w:cs="Times New Roman"/>
                <w:sz w:val="24"/>
                <w:szCs w:val="24"/>
              </w:rPr>
              <w:t>35</w:t>
            </w:r>
          </w:p>
        </w:tc>
      </w:tr>
      <w:tr w:rsidR="00377FA5" w:rsidRPr="00AA7FF4" w14:paraId="721612B7" w14:textId="77777777" w:rsidTr="00377FA5">
        <w:tc>
          <w:tcPr>
            <w:tcW w:w="0" w:type="auto"/>
            <w:hideMark/>
          </w:tcPr>
          <w:p w14:paraId="22D039CF" w14:textId="77777777" w:rsidR="00377FA5" w:rsidRPr="00AA7FF4" w:rsidRDefault="00377FA5" w:rsidP="000B1F91">
            <w:pPr>
              <w:jc w:val="both"/>
              <w:rPr>
                <w:rFonts w:ascii="Times New Roman" w:hAnsi="Times New Roman" w:cs="Times New Roman"/>
                <w:sz w:val="24"/>
                <w:szCs w:val="24"/>
              </w:rPr>
            </w:pPr>
            <w:r w:rsidRPr="00AA7FF4">
              <w:rPr>
                <w:rStyle w:val="Strong"/>
                <w:rFonts w:ascii="Times New Roman" w:hAnsi="Times New Roman" w:cs="Times New Roman"/>
                <w:sz w:val="24"/>
                <w:szCs w:val="24"/>
              </w:rPr>
              <w:t>Total</w:t>
            </w:r>
          </w:p>
        </w:tc>
        <w:tc>
          <w:tcPr>
            <w:tcW w:w="0" w:type="auto"/>
            <w:hideMark/>
          </w:tcPr>
          <w:p w14:paraId="29467385" w14:textId="77777777" w:rsidR="00377FA5" w:rsidRPr="00AA7FF4" w:rsidRDefault="00377FA5" w:rsidP="000B1F91">
            <w:pPr>
              <w:jc w:val="both"/>
              <w:rPr>
                <w:rFonts w:ascii="Times New Roman" w:hAnsi="Times New Roman" w:cs="Times New Roman"/>
                <w:sz w:val="24"/>
                <w:szCs w:val="24"/>
              </w:rPr>
            </w:pPr>
            <w:r w:rsidRPr="00AA7FF4">
              <w:rPr>
                <w:rStyle w:val="Strong"/>
                <w:rFonts w:ascii="Times New Roman" w:hAnsi="Times New Roman" w:cs="Times New Roman"/>
                <w:sz w:val="24"/>
                <w:szCs w:val="24"/>
              </w:rPr>
              <w:t>400</w:t>
            </w:r>
          </w:p>
        </w:tc>
        <w:tc>
          <w:tcPr>
            <w:tcW w:w="0" w:type="auto"/>
            <w:hideMark/>
          </w:tcPr>
          <w:p w14:paraId="0ECA8D6F" w14:textId="77777777" w:rsidR="00377FA5" w:rsidRPr="00AA7FF4" w:rsidRDefault="00377FA5" w:rsidP="000B1F91">
            <w:pPr>
              <w:jc w:val="both"/>
              <w:rPr>
                <w:rFonts w:ascii="Times New Roman" w:hAnsi="Times New Roman" w:cs="Times New Roman"/>
                <w:sz w:val="24"/>
                <w:szCs w:val="24"/>
              </w:rPr>
            </w:pPr>
            <w:r w:rsidRPr="00AA7FF4">
              <w:rPr>
                <w:rStyle w:val="Strong"/>
                <w:rFonts w:ascii="Times New Roman" w:hAnsi="Times New Roman" w:cs="Times New Roman"/>
                <w:sz w:val="24"/>
                <w:szCs w:val="24"/>
              </w:rPr>
              <w:t>42</w:t>
            </w:r>
          </w:p>
        </w:tc>
        <w:tc>
          <w:tcPr>
            <w:tcW w:w="0" w:type="auto"/>
            <w:hideMark/>
          </w:tcPr>
          <w:p w14:paraId="0BA0A62E" w14:textId="77777777" w:rsidR="00377FA5" w:rsidRPr="00AA7FF4" w:rsidRDefault="00377FA5" w:rsidP="000B1F91">
            <w:pPr>
              <w:jc w:val="both"/>
              <w:rPr>
                <w:rFonts w:ascii="Times New Roman" w:hAnsi="Times New Roman" w:cs="Times New Roman"/>
                <w:sz w:val="24"/>
                <w:szCs w:val="24"/>
              </w:rPr>
            </w:pPr>
            <w:r w:rsidRPr="00AA7FF4">
              <w:rPr>
                <w:rStyle w:val="Strong"/>
                <w:rFonts w:ascii="Times New Roman" w:hAnsi="Times New Roman" w:cs="Times New Roman"/>
                <w:sz w:val="24"/>
                <w:szCs w:val="24"/>
              </w:rPr>
              <w:t>119</w:t>
            </w:r>
          </w:p>
        </w:tc>
        <w:tc>
          <w:tcPr>
            <w:tcW w:w="0" w:type="auto"/>
            <w:hideMark/>
          </w:tcPr>
          <w:p w14:paraId="2D13F7CC" w14:textId="77777777" w:rsidR="00377FA5" w:rsidRPr="00AA7FF4" w:rsidRDefault="00377FA5" w:rsidP="000B1F91">
            <w:pPr>
              <w:jc w:val="both"/>
              <w:rPr>
                <w:rFonts w:ascii="Times New Roman" w:hAnsi="Times New Roman" w:cs="Times New Roman"/>
                <w:sz w:val="24"/>
                <w:szCs w:val="24"/>
              </w:rPr>
            </w:pPr>
            <w:r w:rsidRPr="00AA7FF4">
              <w:rPr>
                <w:rStyle w:val="Strong"/>
                <w:rFonts w:ascii="Times New Roman" w:hAnsi="Times New Roman" w:cs="Times New Roman"/>
                <w:sz w:val="24"/>
                <w:szCs w:val="24"/>
              </w:rPr>
              <w:t>239</w:t>
            </w:r>
          </w:p>
        </w:tc>
      </w:tr>
    </w:tbl>
    <w:p w14:paraId="53D8ECDE" w14:textId="77777777" w:rsidR="00377FA5" w:rsidRPr="00AA7FF4" w:rsidRDefault="00217C7B" w:rsidP="00217C7B">
      <w:pPr>
        <w:pStyle w:val="NoSpacing"/>
        <w:rPr>
          <w:rFonts w:ascii="Times New Roman" w:hAnsi="Times New Roman" w:cs="Times New Roman"/>
          <w:sz w:val="24"/>
          <w:szCs w:val="24"/>
        </w:rPr>
      </w:pPr>
      <w:r w:rsidRPr="00AA7FF4">
        <w:rPr>
          <w:rFonts w:ascii="Times New Roman" w:hAnsi="Times New Roman" w:cs="Times New Roman"/>
          <w:sz w:val="24"/>
          <w:szCs w:val="24"/>
        </w:rPr>
        <w:t>Source: Survey Field Report, 2025</w:t>
      </w:r>
    </w:p>
    <w:p w14:paraId="4403DA30" w14:textId="77777777" w:rsidR="00377FA5" w:rsidRPr="00AA7FF4" w:rsidRDefault="00377FA5" w:rsidP="000B1F91">
      <w:pPr>
        <w:pStyle w:val="NormalWeb"/>
        <w:jc w:val="both"/>
        <w:rPr>
          <w:sz w:val="22"/>
          <w:szCs w:val="22"/>
        </w:rPr>
      </w:pPr>
      <w:r w:rsidRPr="00AA7FF4">
        <w:rPr>
          <w:sz w:val="22"/>
          <w:szCs w:val="22"/>
        </w:rPr>
        <w:t xml:space="preserve">The North Central zone is represented by six states plus the Federal Capital Territory (FCT). To obtain a simple, transparent allocation we distribute the total sample nearly equally across the 7 entities (57 each, with 58 allocated to the FCT to make 400). Within each entity respondents are stratified by role: </w:t>
      </w:r>
      <w:r w:rsidRPr="00AA7FF4">
        <w:rPr>
          <w:rStyle w:val="Strong"/>
          <w:b w:val="0"/>
          <w:sz w:val="22"/>
          <w:szCs w:val="22"/>
        </w:rPr>
        <w:t>Policymakers (10%)</w:t>
      </w:r>
      <w:r w:rsidRPr="00AA7FF4">
        <w:rPr>
          <w:b/>
          <w:sz w:val="22"/>
          <w:szCs w:val="22"/>
        </w:rPr>
        <w:t xml:space="preserve">, </w:t>
      </w:r>
      <w:r w:rsidRPr="00AA7FF4">
        <w:rPr>
          <w:rStyle w:val="Strong"/>
          <w:b w:val="0"/>
          <w:sz w:val="22"/>
          <w:szCs w:val="22"/>
        </w:rPr>
        <w:t>CSOs/Community leaders (30%)</w:t>
      </w:r>
      <w:r w:rsidRPr="00AA7FF4">
        <w:rPr>
          <w:sz w:val="22"/>
          <w:szCs w:val="22"/>
        </w:rPr>
        <w:t xml:space="preserve">, and </w:t>
      </w:r>
      <w:r w:rsidRPr="00AA7FF4">
        <w:rPr>
          <w:rStyle w:val="Strong"/>
          <w:b w:val="0"/>
          <w:sz w:val="22"/>
          <w:szCs w:val="22"/>
        </w:rPr>
        <w:t>Households (60%)</w:t>
      </w:r>
      <w:r w:rsidRPr="00AA7FF4">
        <w:rPr>
          <w:b/>
          <w:sz w:val="22"/>
          <w:szCs w:val="22"/>
        </w:rPr>
        <w:t>.</w:t>
      </w:r>
      <w:r w:rsidRPr="00AA7FF4">
        <w:rPr>
          <w:sz w:val="22"/>
          <w:szCs w:val="22"/>
        </w:rPr>
        <w:t xml:space="preserve"> Percentages reflect the study’s emphasis on household-level climate impacts while ensuring voice for institutional actors.</w:t>
      </w:r>
    </w:p>
    <w:p w14:paraId="62D63F99" w14:textId="77777777" w:rsidR="00377FA5" w:rsidRPr="00AA7FF4" w:rsidRDefault="00A852CD" w:rsidP="000B1F91">
      <w:pPr>
        <w:pStyle w:val="NormalWeb"/>
        <w:jc w:val="both"/>
        <w:rPr>
          <w:sz w:val="22"/>
          <w:szCs w:val="22"/>
        </w:rPr>
      </w:pPr>
      <w:r w:rsidRPr="00AA7FF4">
        <w:rPr>
          <w:sz w:val="22"/>
          <w:szCs w:val="22"/>
        </w:rPr>
        <w:t xml:space="preserve">A </w:t>
      </w:r>
      <w:r w:rsidRPr="00AA7FF4">
        <w:rPr>
          <w:rStyle w:val="Strong"/>
          <w:b w:val="0"/>
          <w:sz w:val="22"/>
          <w:szCs w:val="22"/>
        </w:rPr>
        <w:t>multi-stage sampling technique</w:t>
      </w:r>
      <w:r w:rsidR="006E40CF" w:rsidRPr="00AA7FF4">
        <w:rPr>
          <w:sz w:val="22"/>
          <w:szCs w:val="22"/>
        </w:rPr>
        <w:t xml:space="preserve"> was</w:t>
      </w:r>
      <w:r w:rsidRPr="00AA7FF4">
        <w:rPr>
          <w:sz w:val="22"/>
          <w:szCs w:val="22"/>
        </w:rPr>
        <w:t xml:space="preserve"> applied thus - p</w:t>
      </w:r>
      <w:r w:rsidRPr="00AA7FF4">
        <w:rPr>
          <w:rStyle w:val="Strong"/>
          <w:b w:val="0"/>
          <w:sz w:val="22"/>
          <w:szCs w:val="22"/>
        </w:rPr>
        <w:t>urposive selection</w:t>
      </w:r>
      <w:r w:rsidRPr="00AA7FF4">
        <w:rPr>
          <w:sz w:val="22"/>
          <w:szCs w:val="22"/>
        </w:rPr>
        <w:t xml:space="preserve"> of four states (e.g., Benue, Kogi, Niger, and Plateau) and the FCT to capture ecological and socio-political diversity; </w:t>
      </w:r>
      <w:r w:rsidRPr="00AA7FF4">
        <w:rPr>
          <w:b/>
          <w:sz w:val="22"/>
          <w:szCs w:val="22"/>
        </w:rPr>
        <w:t>s</w:t>
      </w:r>
      <w:r w:rsidRPr="00AA7FF4">
        <w:rPr>
          <w:rStyle w:val="Strong"/>
          <w:b w:val="0"/>
          <w:sz w:val="22"/>
          <w:szCs w:val="22"/>
        </w:rPr>
        <w:t>tratification</w:t>
      </w:r>
      <w:r w:rsidRPr="00AA7FF4">
        <w:rPr>
          <w:sz w:val="22"/>
          <w:szCs w:val="22"/>
        </w:rPr>
        <w:t xml:space="preserve"> of respondents into three categories: (</w:t>
      </w:r>
      <w:proofErr w:type="spellStart"/>
      <w:r w:rsidRPr="00AA7FF4">
        <w:rPr>
          <w:sz w:val="22"/>
          <w:szCs w:val="22"/>
        </w:rPr>
        <w:t>i</w:t>
      </w:r>
      <w:proofErr w:type="spellEnd"/>
      <w:r w:rsidRPr="00AA7FF4">
        <w:rPr>
          <w:sz w:val="22"/>
          <w:szCs w:val="22"/>
        </w:rPr>
        <w:t xml:space="preserve">) government and regulatory officials, (ii) civil society </w:t>
      </w:r>
      <w:proofErr w:type="spellStart"/>
      <w:r w:rsidRPr="00AA7FF4">
        <w:rPr>
          <w:sz w:val="22"/>
          <w:szCs w:val="22"/>
        </w:rPr>
        <w:t>organisations</w:t>
      </w:r>
      <w:proofErr w:type="spellEnd"/>
      <w:r w:rsidRPr="00AA7FF4">
        <w:rPr>
          <w:sz w:val="22"/>
          <w:szCs w:val="22"/>
        </w:rPr>
        <w:t xml:space="preserve"> and community leaders, and (iii) vulnerable households</w:t>
      </w:r>
      <w:r w:rsidR="009B53E5" w:rsidRPr="00AA7FF4">
        <w:rPr>
          <w:sz w:val="22"/>
          <w:szCs w:val="22"/>
        </w:rPr>
        <w:t>; then p</w:t>
      </w:r>
      <w:r w:rsidRPr="00AA7FF4">
        <w:rPr>
          <w:rStyle w:val="Strong"/>
          <w:b w:val="0"/>
          <w:sz w:val="22"/>
          <w:szCs w:val="22"/>
        </w:rPr>
        <w:t>roportionate stratified random</w:t>
      </w:r>
      <w:r w:rsidRPr="00AA7FF4">
        <w:rPr>
          <w:rStyle w:val="Strong"/>
          <w:sz w:val="22"/>
          <w:szCs w:val="22"/>
        </w:rPr>
        <w:t xml:space="preserve"> </w:t>
      </w:r>
      <w:r w:rsidRPr="00AA7FF4">
        <w:rPr>
          <w:rStyle w:val="Strong"/>
          <w:b w:val="0"/>
          <w:sz w:val="22"/>
          <w:szCs w:val="22"/>
        </w:rPr>
        <w:t>sampling</w:t>
      </w:r>
      <w:r w:rsidRPr="00AA7FF4">
        <w:rPr>
          <w:sz w:val="22"/>
          <w:szCs w:val="22"/>
        </w:rPr>
        <w:t xml:space="preserve"> to ensure fair representation from each group and location.</w:t>
      </w:r>
      <w:r w:rsidR="009B53E5" w:rsidRPr="00AA7FF4">
        <w:rPr>
          <w:sz w:val="22"/>
          <w:szCs w:val="22"/>
        </w:rPr>
        <w:t xml:space="preserve"> The study employed </w:t>
      </w:r>
      <w:r w:rsidR="009B53E5" w:rsidRPr="00AA7FF4">
        <w:rPr>
          <w:b/>
          <w:sz w:val="22"/>
          <w:szCs w:val="22"/>
        </w:rPr>
        <w:t>s</w:t>
      </w:r>
      <w:r w:rsidR="009B53E5" w:rsidRPr="00AA7FF4">
        <w:rPr>
          <w:rStyle w:val="Strong"/>
          <w:b w:val="0"/>
          <w:sz w:val="22"/>
          <w:szCs w:val="22"/>
        </w:rPr>
        <w:t>tructured questionnaires</w:t>
      </w:r>
      <w:r w:rsidR="009B53E5" w:rsidRPr="00AA7FF4">
        <w:rPr>
          <w:sz w:val="22"/>
          <w:szCs w:val="22"/>
        </w:rPr>
        <w:t xml:space="preserve"> </w:t>
      </w:r>
      <w:proofErr w:type="gramStart"/>
      <w:r w:rsidR="009B53E5" w:rsidRPr="00AA7FF4">
        <w:rPr>
          <w:sz w:val="22"/>
          <w:szCs w:val="22"/>
        </w:rPr>
        <w:t xml:space="preserve">containing </w:t>
      </w:r>
      <w:r w:rsidR="006F1176" w:rsidRPr="00AA7FF4">
        <w:rPr>
          <w:sz w:val="22"/>
          <w:szCs w:val="22"/>
        </w:rPr>
        <w:t xml:space="preserve"> a</w:t>
      </w:r>
      <w:proofErr w:type="gramEnd"/>
      <w:r w:rsidR="006F1176" w:rsidRPr="00AA7FF4">
        <w:rPr>
          <w:sz w:val="22"/>
          <w:szCs w:val="22"/>
        </w:rPr>
        <w:t xml:space="preserve"> 5-point Likert scale (1 = Very Ineffective, 5 = Very Effective)</w:t>
      </w:r>
      <w:r w:rsidR="009B53E5" w:rsidRPr="00AA7FF4">
        <w:rPr>
          <w:sz w:val="22"/>
          <w:szCs w:val="22"/>
        </w:rPr>
        <w:t xml:space="preserve"> items to measure perceptions of governance effectiveness, institutional/political constraints, and strategies for resilience; and </w:t>
      </w:r>
      <w:r w:rsidR="009B53E5" w:rsidRPr="00AA7FF4">
        <w:rPr>
          <w:rStyle w:val="Strong"/>
          <w:b w:val="0"/>
          <w:sz w:val="22"/>
          <w:szCs w:val="22"/>
        </w:rPr>
        <w:t>semi-structured interviews</w:t>
      </w:r>
      <w:r w:rsidR="009B53E5" w:rsidRPr="00AA7FF4">
        <w:rPr>
          <w:b/>
          <w:sz w:val="22"/>
          <w:szCs w:val="22"/>
        </w:rPr>
        <w:t>:</w:t>
      </w:r>
      <w:r w:rsidR="009B53E5" w:rsidRPr="00AA7FF4">
        <w:rPr>
          <w:sz w:val="22"/>
          <w:szCs w:val="22"/>
        </w:rPr>
        <w:t xml:space="preserve"> Conducted with key informants such as environmental policy makers, NGOs, and traditional rulers. Content validity method was used to validate the instrument</w:t>
      </w:r>
      <w:r w:rsidR="00377FA5" w:rsidRPr="00AA7FF4">
        <w:rPr>
          <w:sz w:val="22"/>
          <w:szCs w:val="22"/>
        </w:rPr>
        <w:t xml:space="preserve"> while </w:t>
      </w:r>
      <w:r w:rsidR="00377FA5" w:rsidRPr="00AA7FF4">
        <w:rPr>
          <w:rStyle w:val="Strong"/>
          <w:b w:val="0"/>
          <w:sz w:val="22"/>
          <w:szCs w:val="22"/>
        </w:rPr>
        <w:t>Cronbach’s Alpha</w:t>
      </w:r>
      <w:r w:rsidR="00377FA5" w:rsidRPr="00AA7FF4">
        <w:rPr>
          <w:sz w:val="22"/>
          <w:szCs w:val="22"/>
        </w:rPr>
        <w:t xml:space="preserve">, </w:t>
      </w:r>
      <w:r w:rsidR="00377FA5" w:rsidRPr="00AA7FF4">
        <w:rPr>
          <w:sz w:val="22"/>
          <w:szCs w:val="22"/>
        </w:rPr>
        <w:lastRenderedPageBreak/>
        <w:t>with a coefficient value of ≥0.70 (deemed acceptable) was used to test the questionnaire’s reliability</w:t>
      </w:r>
      <w:r w:rsidR="009B53E5" w:rsidRPr="00AA7FF4">
        <w:rPr>
          <w:sz w:val="22"/>
          <w:szCs w:val="22"/>
        </w:rPr>
        <w:t>.</w:t>
      </w:r>
      <w:r w:rsidR="00377FA5" w:rsidRPr="00AA7FF4">
        <w:rPr>
          <w:sz w:val="22"/>
          <w:szCs w:val="22"/>
        </w:rPr>
        <w:t xml:space="preserve"> The q</w:t>
      </w:r>
      <w:r w:rsidR="00377FA5" w:rsidRPr="00AA7FF4">
        <w:rPr>
          <w:rStyle w:val="Strong"/>
          <w:b w:val="0"/>
          <w:sz w:val="22"/>
          <w:szCs w:val="22"/>
        </w:rPr>
        <w:t>uantitative data</w:t>
      </w:r>
      <w:r w:rsidR="00377FA5" w:rsidRPr="00AA7FF4">
        <w:rPr>
          <w:sz w:val="22"/>
          <w:szCs w:val="22"/>
        </w:rPr>
        <w:t xml:space="preserve"> was </w:t>
      </w:r>
      <w:proofErr w:type="spellStart"/>
      <w:r w:rsidR="00377FA5" w:rsidRPr="00AA7FF4">
        <w:rPr>
          <w:sz w:val="22"/>
          <w:szCs w:val="22"/>
        </w:rPr>
        <w:t>analysed</w:t>
      </w:r>
      <w:proofErr w:type="spellEnd"/>
      <w:r w:rsidR="00377FA5" w:rsidRPr="00AA7FF4">
        <w:rPr>
          <w:sz w:val="22"/>
          <w:szCs w:val="22"/>
        </w:rPr>
        <w:t xml:space="preserve"> using descriptive statistics (means, frequencies, percentages) and inferential statistics (chi-square, correlation, and regression) to test the study hypotheses. The q</w:t>
      </w:r>
      <w:r w:rsidR="00377FA5" w:rsidRPr="00AA7FF4">
        <w:rPr>
          <w:rStyle w:val="Strong"/>
          <w:b w:val="0"/>
          <w:sz w:val="22"/>
          <w:szCs w:val="22"/>
        </w:rPr>
        <w:t>ualitative data</w:t>
      </w:r>
      <w:r w:rsidR="00377FA5" w:rsidRPr="00AA7FF4">
        <w:rPr>
          <w:sz w:val="22"/>
          <w:szCs w:val="22"/>
        </w:rPr>
        <w:t xml:space="preserve"> was </w:t>
      </w:r>
      <w:proofErr w:type="spellStart"/>
      <w:r w:rsidR="00377FA5" w:rsidRPr="00AA7FF4">
        <w:rPr>
          <w:sz w:val="22"/>
          <w:szCs w:val="22"/>
        </w:rPr>
        <w:t>analysed</w:t>
      </w:r>
      <w:proofErr w:type="spellEnd"/>
      <w:r w:rsidR="00377FA5" w:rsidRPr="00AA7FF4">
        <w:rPr>
          <w:sz w:val="22"/>
          <w:szCs w:val="22"/>
        </w:rPr>
        <w:t xml:space="preserve"> thematically, allowing patterns related to governance challenges and strategies to emerge. Integration of both data sets enabled triangulation and a richer interpretation of findings.</w:t>
      </w:r>
    </w:p>
    <w:p w14:paraId="5052BA74" w14:textId="77777777" w:rsidR="00F70D39" w:rsidRPr="00AA7FF4" w:rsidRDefault="00217C7B" w:rsidP="00217C7B">
      <w:pPr>
        <w:pStyle w:val="NoSpacing"/>
        <w:rPr>
          <w:rFonts w:ascii="Times New Roman" w:hAnsi="Times New Roman" w:cs="Times New Roman"/>
          <w:b/>
          <w:sz w:val="24"/>
          <w:szCs w:val="24"/>
        </w:rPr>
      </w:pPr>
      <w:r w:rsidRPr="00AA7FF4">
        <w:rPr>
          <w:rFonts w:ascii="Times New Roman" w:hAnsi="Times New Roman" w:cs="Times New Roman"/>
          <w:b/>
          <w:sz w:val="24"/>
          <w:szCs w:val="24"/>
        </w:rPr>
        <w:t>Ethical Considerations</w:t>
      </w:r>
    </w:p>
    <w:p w14:paraId="10C7E73C" w14:textId="77777777" w:rsidR="0049172D" w:rsidRPr="00AA7FF4" w:rsidRDefault="00F70D39" w:rsidP="00217C7B">
      <w:pPr>
        <w:pStyle w:val="NormalWeb"/>
        <w:jc w:val="both"/>
      </w:pPr>
      <w:r w:rsidRPr="00AA7FF4">
        <w:t>Ethical clearance will be obtained prior to data collection. Informed consent will be secured from all participants, and confidentiality of responses will be assured. Sensitive information will be handled with strict adherence to research ethics, and participation will remain voluntary throughout the study.</w:t>
      </w:r>
    </w:p>
    <w:p w14:paraId="5FFE9C45" w14:textId="3960209E" w:rsidR="0049172D" w:rsidRPr="00AA7FF4" w:rsidRDefault="00217C7B" w:rsidP="00217C7B">
      <w:pPr>
        <w:pStyle w:val="Heading2"/>
        <w:jc w:val="both"/>
        <w:rPr>
          <w:sz w:val="24"/>
          <w:szCs w:val="24"/>
        </w:rPr>
      </w:pPr>
      <w:r w:rsidRPr="00AA7FF4">
        <w:rPr>
          <w:rStyle w:val="Strong"/>
          <w:b/>
          <w:bCs/>
          <w:sz w:val="24"/>
          <w:szCs w:val="24"/>
        </w:rPr>
        <w:t>RESULTS AND DISCUSSION</w:t>
      </w:r>
    </w:p>
    <w:p w14:paraId="45BDFB1A" w14:textId="77777777" w:rsidR="0049172D" w:rsidRPr="00AA7FF4" w:rsidRDefault="0049172D" w:rsidP="00217C7B">
      <w:pPr>
        <w:pStyle w:val="NormalWeb"/>
        <w:jc w:val="both"/>
      </w:pPr>
      <w:r w:rsidRPr="00AA7FF4">
        <w:t>The study presents the results of data analysis for the study on climate change and environmental governance in North Central Nigeria. The analysis draws on responses from 400 participants comprising policymakers, civil society actors, and households. Both descriptive statistics (means, frequencies, percentages) and inferential statistics (chi</w:t>
      </w:r>
      <w:r w:rsidR="00446596" w:rsidRPr="00AA7FF4">
        <w:t>-square) was</w:t>
      </w:r>
      <w:r w:rsidRPr="00AA7FF4">
        <w:t xml:space="preserve"> used to examine the three research questions guiding this study.</w:t>
      </w:r>
    </w:p>
    <w:p w14:paraId="2456EDD6" w14:textId="77777777" w:rsidR="00852F6D" w:rsidRPr="00AA7FF4" w:rsidRDefault="00852F6D" w:rsidP="00446596">
      <w:pPr>
        <w:pStyle w:val="NoSpacing"/>
        <w:jc w:val="both"/>
        <w:rPr>
          <w:rFonts w:ascii="Times New Roman" w:hAnsi="Times New Roman" w:cs="Times New Roman"/>
          <w:sz w:val="24"/>
          <w:szCs w:val="24"/>
        </w:rPr>
      </w:pPr>
      <w:r w:rsidRPr="00AA7FF4">
        <w:rPr>
          <w:rStyle w:val="Strong"/>
          <w:rFonts w:ascii="Times New Roman" w:hAnsi="Times New Roman" w:cs="Times New Roman"/>
          <w:sz w:val="24"/>
          <w:szCs w:val="24"/>
        </w:rPr>
        <w:t>Research Question 1 (RQ1):</w:t>
      </w:r>
      <w:r w:rsidR="00446596" w:rsidRPr="00AA7FF4">
        <w:rPr>
          <w:rFonts w:ascii="Times New Roman" w:hAnsi="Times New Roman" w:cs="Times New Roman"/>
          <w:sz w:val="24"/>
          <w:szCs w:val="24"/>
        </w:rPr>
        <w:t xml:space="preserve"> </w:t>
      </w:r>
      <w:r w:rsidRPr="00AA7FF4">
        <w:rPr>
          <w:rStyle w:val="Emphasis"/>
          <w:rFonts w:ascii="Times New Roman" w:eastAsiaTheme="majorEastAsia" w:hAnsi="Times New Roman" w:cs="Times New Roman"/>
          <w:sz w:val="24"/>
          <w:szCs w:val="24"/>
        </w:rPr>
        <w:t>How effective is Nigeria’s environmental and climate governance framework?</w:t>
      </w:r>
    </w:p>
    <w:p w14:paraId="35EEF8F8" w14:textId="77777777" w:rsidR="00446596" w:rsidRPr="00AA7FF4" w:rsidRDefault="00446596" w:rsidP="00446596">
      <w:pPr>
        <w:pStyle w:val="NoSpacing"/>
        <w:jc w:val="both"/>
        <w:rPr>
          <w:rFonts w:ascii="Times New Roman" w:hAnsi="Times New Roman" w:cs="Times New Roman"/>
          <w:sz w:val="24"/>
          <w:szCs w:val="24"/>
        </w:rPr>
      </w:pPr>
    </w:p>
    <w:p w14:paraId="2BD20DD9" w14:textId="77777777" w:rsidR="00852F6D" w:rsidRPr="00AA7FF4" w:rsidRDefault="00852F6D" w:rsidP="00446596">
      <w:pPr>
        <w:pStyle w:val="NoSpacing"/>
        <w:jc w:val="both"/>
        <w:rPr>
          <w:rFonts w:ascii="Times New Roman" w:hAnsi="Times New Roman" w:cs="Times New Roman"/>
          <w:b/>
          <w:i/>
          <w:sz w:val="24"/>
          <w:szCs w:val="24"/>
        </w:rPr>
      </w:pPr>
      <w:r w:rsidRPr="00AA7FF4">
        <w:rPr>
          <w:rFonts w:ascii="Times New Roman" w:hAnsi="Times New Roman" w:cs="Times New Roman"/>
          <w:b/>
          <w:i/>
          <w:sz w:val="24"/>
          <w:szCs w:val="24"/>
        </w:rPr>
        <w:t>Descriptive Statistics (n = 400)</w:t>
      </w:r>
    </w:p>
    <w:p w14:paraId="346A09CF" w14:textId="77777777" w:rsidR="00D22424" w:rsidRPr="00AA7FF4" w:rsidRDefault="00D22424" w:rsidP="00D22424">
      <w:pPr>
        <w:pStyle w:val="NoSpacing"/>
        <w:rPr>
          <w:rFonts w:ascii="Times New Roman" w:hAnsi="Times New Roman" w:cs="Times New Roman"/>
          <w:sz w:val="24"/>
          <w:szCs w:val="24"/>
        </w:rPr>
      </w:pPr>
    </w:p>
    <w:p w14:paraId="63072B14" w14:textId="77777777" w:rsidR="00852F6D" w:rsidRPr="00AA7FF4" w:rsidRDefault="000F19DB" w:rsidP="00D22424">
      <w:pPr>
        <w:pStyle w:val="NoSpacing"/>
      </w:pPr>
      <w:r w:rsidRPr="00AA7FF4">
        <w:rPr>
          <w:rFonts w:ascii="Times New Roman" w:hAnsi="Times New Roman" w:cs="Times New Roman"/>
          <w:b/>
          <w:sz w:val="24"/>
          <w:szCs w:val="24"/>
        </w:rPr>
        <w:t>Table 2</w:t>
      </w:r>
      <w:r w:rsidR="00D22424" w:rsidRPr="00AA7FF4">
        <w:rPr>
          <w:rFonts w:ascii="Times New Roman" w:hAnsi="Times New Roman" w:cs="Times New Roman"/>
          <w:b/>
          <w:sz w:val="24"/>
          <w:szCs w:val="24"/>
        </w:rPr>
        <w:t>:</w:t>
      </w:r>
      <w:r w:rsidR="00D22424" w:rsidRPr="00AA7FF4">
        <w:rPr>
          <w:rFonts w:ascii="Times New Roman" w:hAnsi="Times New Roman" w:cs="Times New Roman"/>
          <w:sz w:val="24"/>
          <w:szCs w:val="24"/>
        </w:rPr>
        <w:t xml:space="preserve"> </w:t>
      </w:r>
      <w:r w:rsidR="00852F6D" w:rsidRPr="00AA7FF4">
        <w:rPr>
          <w:rFonts w:ascii="Times New Roman" w:hAnsi="Times New Roman" w:cs="Times New Roman"/>
          <w:b/>
          <w:sz w:val="24"/>
          <w:szCs w:val="24"/>
        </w:rPr>
        <w:t>Respondents rated effectiveness on a *5-point Likert scale (1 = Very Ineffective, 5 = Very Effective)</w:t>
      </w:r>
    </w:p>
    <w:tbl>
      <w:tblPr>
        <w:tblStyle w:val="TableGrid"/>
        <w:tblW w:w="0" w:type="auto"/>
        <w:tblLook w:val="04A0" w:firstRow="1" w:lastRow="0" w:firstColumn="1" w:lastColumn="0" w:noHBand="0" w:noVBand="1"/>
      </w:tblPr>
      <w:tblGrid>
        <w:gridCol w:w="3168"/>
        <w:gridCol w:w="2340"/>
        <w:gridCol w:w="2520"/>
      </w:tblGrid>
      <w:tr w:rsidR="00852F6D" w:rsidRPr="00AA7FF4" w14:paraId="3DF7D5B3" w14:textId="77777777" w:rsidTr="00446596">
        <w:tc>
          <w:tcPr>
            <w:tcW w:w="3168" w:type="dxa"/>
            <w:hideMark/>
          </w:tcPr>
          <w:p w14:paraId="250C9926" w14:textId="77777777" w:rsidR="00852F6D" w:rsidRPr="00AA7FF4" w:rsidRDefault="00852F6D" w:rsidP="00852F6D">
            <w:pPr>
              <w:jc w:val="center"/>
              <w:rPr>
                <w:rFonts w:ascii="Times New Roman" w:eastAsia="Times New Roman" w:hAnsi="Times New Roman" w:cs="Times New Roman"/>
                <w:b/>
                <w:bCs/>
                <w:sz w:val="24"/>
                <w:szCs w:val="24"/>
              </w:rPr>
            </w:pPr>
            <w:r w:rsidRPr="00AA7FF4">
              <w:rPr>
                <w:rFonts w:ascii="Times New Roman" w:eastAsia="Times New Roman" w:hAnsi="Times New Roman" w:cs="Times New Roman"/>
                <w:b/>
                <w:bCs/>
                <w:sz w:val="24"/>
                <w:szCs w:val="24"/>
              </w:rPr>
              <w:t>Response Category</w:t>
            </w:r>
          </w:p>
        </w:tc>
        <w:tc>
          <w:tcPr>
            <w:tcW w:w="2340" w:type="dxa"/>
            <w:hideMark/>
          </w:tcPr>
          <w:p w14:paraId="6F5C1C72" w14:textId="77777777" w:rsidR="00852F6D" w:rsidRPr="00AA7FF4" w:rsidRDefault="00852F6D" w:rsidP="00852F6D">
            <w:pPr>
              <w:jc w:val="center"/>
              <w:rPr>
                <w:rFonts w:ascii="Times New Roman" w:eastAsia="Times New Roman" w:hAnsi="Times New Roman" w:cs="Times New Roman"/>
                <w:b/>
                <w:bCs/>
                <w:sz w:val="24"/>
                <w:szCs w:val="24"/>
              </w:rPr>
            </w:pPr>
            <w:r w:rsidRPr="00AA7FF4">
              <w:rPr>
                <w:rFonts w:ascii="Times New Roman" w:eastAsia="Times New Roman" w:hAnsi="Times New Roman" w:cs="Times New Roman"/>
                <w:b/>
                <w:bCs/>
                <w:sz w:val="24"/>
                <w:szCs w:val="24"/>
              </w:rPr>
              <w:t>Frequency</w:t>
            </w:r>
          </w:p>
        </w:tc>
        <w:tc>
          <w:tcPr>
            <w:tcW w:w="2520" w:type="dxa"/>
            <w:hideMark/>
          </w:tcPr>
          <w:p w14:paraId="3BBC32DB" w14:textId="77777777" w:rsidR="00852F6D" w:rsidRPr="00AA7FF4" w:rsidRDefault="00852F6D" w:rsidP="00852F6D">
            <w:pPr>
              <w:jc w:val="center"/>
              <w:rPr>
                <w:rFonts w:ascii="Times New Roman" w:eastAsia="Times New Roman" w:hAnsi="Times New Roman" w:cs="Times New Roman"/>
                <w:b/>
                <w:bCs/>
                <w:sz w:val="24"/>
                <w:szCs w:val="24"/>
              </w:rPr>
            </w:pPr>
            <w:r w:rsidRPr="00AA7FF4">
              <w:rPr>
                <w:rFonts w:ascii="Times New Roman" w:eastAsia="Times New Roman" w:hAnsi="Times New Roman" w:cs="Times New Roman"/>
                <w:b/>
                <w:bCs/>
                <w:sz w:val="24"/>
                <w:szCs w:val="24"/>
              </w:rPr>
              <w:t>Percentage (%)</w:t>
            </w:r>
          </w:p>
        </w:tc>
      </w:tr>
      <w:tr w:rsidR="00852F6D" w:rsidRPr="00AA7FF4" w14:paraId="78C8EE72" w14:textId="77777777" w:rsidTr="00446596">
        <w:tc>
          <w:tcPr>
            <w:tcW w:w="3168" w:type="dxa"/>
            <w:hideMark/>
          </w:tcPr>
          <w:p w14:paraId="67CDFB35"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Very Ineffective (1)</w:t>
            </w:r>
          </w:p>
        </w:tc>
        <w:tc>
          <w:tcPr>
            <w:tcW w:w="2340" w:type="dxa"/>
            <w:hideMark/>
          </w:tcPr>
          <w:p w14:paraId="642B0F85"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80</w:t>
            </w:r>
          </w:p>
        </w:tc>
        <w:tc>
          <w:tcPr>
            <w:tcW w:w="2520" w:type="dxa"/>
            <w:hideMark/>
          </w:tcPr>
          <w:p w14:paraId="62FF5767"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20.0</w:t>
            </w:r>
          </w:p>
        </w:tc>
      </w:tr>
      <w:tr w:rsidR="00852F6D" w:rsidRPr="00AA7FF4" w14:paraId="4B6C748C" w14:textId="77777777" w:rsidTr="00446596">
        <w:tc>
          <w:tcPr>
            <w:tcW w:w="3168" w:type="dxa"/>
            <w:hideMark/>
          </w:tcPr>
          <w:p w14:paraId="4F70780F"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Ineffective (2)</w:t>
            </w:r>
          </w:p>
        </w:tc>
        <w:tc>
          <w:tcPr>
            <w:tcW w:w="2340" w:type="dxa"/>
            <w:hideMark/>
          </w:tcPr>
          <w:p w14:paraId="28BABFFA"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100</w:t>
            </w:r>
          </w:p>
        </w:tc>
        <w:tc>
          <w:tcPr>
            <w:tcW w:w="2520" w:type="dxa"/>
            <w:hideMark/>
          </w:tcPr>
          <w:p w14:paraId="1F639C36"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25.0</w:t>
            </w:r>
          </w:p>
        </w:tc>
      </w:tr>
      <w:tr w:rsidR="00852F6D" w:rsidRPr="00AA7FF4" w14:paraId="256F96BF" w14:textId="77777777" w:rsidTr="00446596">
        <w:tc>
          <w:tcPr>
            <w:tcW w:w="3168" w:type="dxa"/>
            <w:hideMark/>
          </w:tcPr>
          <w:p w14:paraId="1ABFE9CA"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Neutral (3)</w:t>
            </w:r>
          </w:p>
        </w:tc>
        <w:tc>
          <w:tcPr>
            <w:tcW w:w="2340" w:type="dxa"/>
            <w:hideMark/>
          </w:tcPr>
          <w:p w14:paraId="4F78B66F"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90</w:t>
            </w:r>
          </w:p>
        </w:tc>
        <w:tc>
          <w:tcPr>
            <w:tcW w:w="2520" w:type="dxa"/>
            <w:hideMark/>
          </w:tcPr>
          <w:p w14:paraId="64FBA82C"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22.5</w:t>
            </w:r>
          </w:p>
        </w:tc>
      </w:tr>
      <w:tr w:rsidR="00852F6D" w:rsidRPr="00AA7FF4" w14:paraId="74BF6564" w14:textId="77777777" w:rsidTr="00446596">
        <w:tc>
          <w:tcPr>
            <w:tcW w:w="3168" w:type="dxa"/>
            <w:hideMark/>
          </w:tcPr>
          <w:p w14:paraId="44F6F368"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Effective (4)</w:t>
            </w:r>
          </w:p>
        </w:tc>
        <w:tc>
          <w:tcPr>
            <w:tcW w:w="2340" w:type="dxa"/>
            <w:hideMark/>
          </w:tcPr>
          <w:p w14:paraId="50E4A456"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85</w:t>
            </w:r>
          </w:p>
        </w:tc>
        <w:tc>
          <w:tcPr>
            <w:tcW w:w="2520" w:type="dxa"/>
            <w:hideMark/>
          </w:tcPr>
          <w:p w14:paraId="6E8162FD"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21.3</w:t>
            </w:r>
          </w:p>
        </w:tc>
      </w:tr>
      <w:tr w:rsidR="00852F6D" w:rsidRPr="00AA7FF4" w14:paraId="1CF3820D" w14:textId="77777777" w:rsidTr="00446596">
        <w:tc>
          <w:tcPr>
            <w:tcW w:w="3168" w:type="dxa"/>
            <w:hideMark/>
          </w:tcPr>
          <w:p w14:paraId="6DA1934E"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Very Effective (5)</w:t>
            </w:r>
          </w:p>
        </w:tc>
        <w:tc>
          <w:tcPr>
            <w:tcW w:w="2340" w:type="dxa"/>
            <w:hideMark/>
          </w:tcPr>
          <w:p w14:paraId="6A9CF96A"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45</w:t>
            </w:r>
          </w:p>
        </w:tc>
        <w:tc>
          <w:tcPr>
            <w:tcW w:w="2520" w:type="dxa"/>
            <w:hideMark/>
          </w:tcPr>
          <w:p w14:paraId="23194EDF"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11.2</w:t>
            </w:r>
          </w:p>
        </w:tc>
      </w:tr>
      <w:tr w:rsidR="00852F6D" w:rsidRPr="00AA7FF4" w14:paraId="6CCCF989" w14:textId="77777777" w:rsidTr="00446596">
        <w:tc>
          <w:tcPr>
            <w:tcW w:w="3168" w:type="dxa"/>
            <w:hideMark/>
          </w:tcPr>
          <w:p w14:paraId="44D0F9AD"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b/>
                <w:bCs/>
                <w:sz w:val="24"/>
                <w:szCs w:val="24"/>
              </w:rPr>
              <w:t>Total</w:t>
            </w:r>
          </w:p>
        </w:tc>
        <w:tc>
          <w:tcPr>
            <w:tcW w:w="2340" w:type="dxa"/>
            <w:hideMark/>
          </w:tcPr>
          <w:p w14:paraId="20072A3B"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b/>
                <w:bCs/>
                <w:sz w:val="24"/>
                <w:szCs w:val="24"/>
              </w:rPr>
              <w:t>400</w:t>
            </w:r>
          </w:p>
        </w:tc>
        <w:tc>
          <w:tcPr>
            <w:tcW w:w="2520" w:type="dxa"/>
            <w:hideMark/>
          </w:tcPr>
          <w:p w14:paraId="4DEBDEBE"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b/>
                <w:bCs/>
                <w:sz w:val="24"/>
                <w:szCs w:val="24"/>
              </w:rPr>
              <w:t>100</w:t>
            </w:r>
          </w:p>
        </w:tc>
      </w:tr>
    </w:tbl>
    <w:p w14:paraId="0E8DE6CC" w14:textId="77777777" w:rsidR="00D22424" w:rsidRPr="00AA7FF4" w:rsidRDefault="00D22424" w:rsidP="00D22424">
      <w:pPr>
        <w:pStyle w:val="NoSpacing"/>
        <w:rPr>
          <w:rStyle w:val="Strong"/>
          <w:rFonts w:ascii="Times New Roman" w:hAnsi="Times New Roman" w:cs="Times New Roman"/>
          <w:b w:val="0"/>
          <w:sz w:val="24"/>
          <w:szCs w:val="24"/>
        </w:rPr>
      </w:pPr>
      <w:r w:rsidRPr="00AA7FF4">
        <w:rPr>
          <w:rStyle w:val="Strong"/>
          <w:rFonts w:ascii="Times New Roman" w:hAnsi="Times New Roman" w:cs="Times New Roman"/>
          <w:sz w:val="24"/>
          <w:szCs w:val="24"/>
        </w:rPr>
        <w:t xml:space="preserve">Source: </w:t>
      </w:r>
      <w:r w:rsidRPr="00AA7FF4">
        <w:rPr>
          <w:rStyle w:val="Strong"/>
          <w:rFonts w:ascii="Times New Roman" w:hAnsi="Times New Roman" w:cs="Times New Roman"/>
          <w:b w:val="0"/>
          <w:sz w:val="24"/>
          <w:szCs w:val="24"/>
        </w:rPr>
        <w:t>Field Survey Report, 2025</w:t>
      </w:r>
    </w:p>
    <w:p w14:paraId="74DBD47B" w14:textId="77777777" w:rsidR="00852F6D" w:rsidRPr="00AA7FF4" w:rsidRDefault="00852F6D" w:rsidP="001C7457">
      <w:pPr>
        <w:pStyle w:val="NormalWeb"/>
        <w:jc w:val="both"/>
      </w:pPr>
      <w:r w:rsidRPr="00AA7FF4">
        <w:rPr>
          <w:rStyle w:val="Strong"/>
        </w:rPr>
        <w:t>Mean score = 2.73</w:t>
      </w:r>
      <w:r w:rsidRPr="00AA7FF4">
        <w:t xml:space="preserve"> (below midpoint 3.0) → suggests overall perception of </w:t>
      </w:r>
      <w:r w:rsidRPr="00AA7FF4">
        <w:rPr>
          <w:rStyle w:val="Emphasis"/>
        </w:rPr>
        <w:t>low effectiveness</w:t>
      </w:r>
      <w:r w:rsidRPr="00AA7FF4">
        <w:t>.</w:t>
      </w:r>
    </w:p>
    <w:p w14:paraId="3073719D" w14:textId="77777777" w:rsidR="00852F6D" w:rsidRPr="00AA7FF4" w:rsidRDefault="00852F6D" w:rsidP="001C7457">
      <w:pPr>
        <w:pStyle w:val="NoSpacing"/>
        <w:jc w:val="both"/>
        <w:rPr>
          <w:rFonts w:ascii="Times New Roman" w:hAnsi="Times New Roman" w:cs="Times New Roman"/>
          <w:b/>
          <w:i/>
          <w:sz w:val="24"/>
          <w:szCs w:val="24"/>
        </w:rPr>
      </w:pPr>
      <w:r w:rsidRPr="00AA7FF4">
        <w:rPr>
          <w:rFonts w:ascii="Times New Roman" w:hAnsi="Times New Roman" w:cs="Times New Roman"/>
          <w:b/>
          <w:i/>
          <w:sz w:val="24"/>
          <w:szCs w:val="24"/>
        </w:rPr>
        <w:t>Inferential Statistics (Chi-Square Test)</w:t>
      </w:r>
    </w:p>
    <w:p w14:paraId="57DA627C" w14:textId="77777777" w:rsidR="00D22424" w:rsidRPr="00AA7FF4" w:rsidRDefault="00852F6D" w:rsidP="001C7457">
      <w:pPr>
        <w:pStyle w:val="NormalWeb"/>
        <w:jc w:val="both"/>
      </w:pPr>
      <w:r w:rsidRPr="00AA7FF4">
        <w:t>Cross-tabulation of effectiveness rating × respondent ca</w:t>
      </w:r>
      <w:r w:rsidR="00D22424" w:rsidRPr="00AA7FF4">
        <w:t xml:space="preserve">tegory (policy, CSO, household) → </w:t>
      </w:r>
      <w:r w:rsidRPr="00AA7FF4">
        <w:t>χ</w:t>
      </w:r>
      <w:proofErr w:type="gramStart"/>
      <w:r w:rsidRPr="00AA7FF4">
        <w:t>²(</w:t>
      </w:r>
      <w:proofErr w:type="gramEnd"/>
      <w:r w:rsidRPr="00AA7FF4">
        <w:t xml:space="preserve">8, N=400) = </w:t>
      </w:r>
      <w:r w:rsidRPr="00AA7FF4">
        <w:rPr>
          <w:rStyle w:val="Strong"/>
        </w:rPr>
        <w:t>18.6</w:t>
      </w:r>
      <w:r w:rsidRPr="00AA7FF4">
        <w:t xml:space="preserve">, </w:t>
      </w:r>
      <w:r w:rsidRPr="00AA7FF4">
        <w:rPr>
          <w:rStyle w:val="Strong"/>
        </w:rPr>
        <w:t>p = 0.016</w:t>
      </w:r>
      <w:r w:rsidRPr="00AA7FF4">
        <w:t>.</w:t>
      </w:r>
    </w:p>
    <w:p w14:paraId="70010FB4" w14:textId="77777777" w:rsidR="00852F6D" w:rsidRPr="00AA7FF4" w:rsidRDefault="001C7457" w:rsidP="001C7457">
      <w:pPr>
        <w:pStyle w:val="NormalWeb"/>
        <w:jc w:val="both"/>
      </w:pPr>
      <w:r w:rsidRPr="00AA7FF4">
        <w:lastRenderedPageBreak/>
        <w:t xml:space="preserve">The test </w:t>
      </w:r>
      <w:r w:rsidR="00D22424" w:rsidRPr="00AA7FF4">
        <w:t>result indicates that t</w:t>
      </w:r>
      <w:r w:rsidR="00852F6D" w:rsidRPr="00AA7FF4">
        <w:t>here is a significant association between respondent type and perception of governance effectiveness. Policymakers tend to rate effectiveness higher than households.</w:t>
      </w:r>
    </w:p>
    <w:p w14:paraId="73C4525D" w14:textId="77777777" w:rsidR="00852F6D" w:rsidRPr="00AA7FF4" w:rsidRDefault="00852F6D" w:rsidP="001C7457">
      <w:pPr>
        <w:pStyle w:val="NoSpacing"/>
        <w:jc w:val="both"/>
        <w:rPr>
          <w:rFonts w:ascii="Times New Roman" w:hAnsi="Times New Roman" w:cs="Times New Roman"/>
          <w:sz w:val="24"/>
          <w:szCs w:val="24"/>
        </w:rPr>
      </w:pPr>
      <w:r w:rsidRPr="00AA7FF4">
        <w:rPr>
          <w:rStyle w:val="Strong"/>
          <w:rFonts w:ascii="Times New Roman" w:hAnsi="Times New Roman" w:cs="Times New Roman"/>
          <w:sz w:val="24"/>
          <w:szCs w:val="24"/>
        </w:rPr>
        <w:t>Research Question 2 (RQ2):</w:t>
      </w:r>
      <w:r w:rsidR="00D22424" w:rsidRPr="00AA7FF4">
        <w:rPr>
          <w:rFonts w:ascii="Times New Roman" w:hAnsi="Times New Roman" w:cs="Times New Roman"/>
          <w:sz w:val="24"/>
          <w:szCs w:val="24"/>
        </w:rPr>
        <w:t xml:space="preserve"> </w:t>
      </w:r>
      <w:r w:rsidRPr="00AA7FF4">
        <w:rPr>
          <w:rStyle w:val="Emphasis"/>
          <w:rFonts w:ascii="Times New Roman" w:eastAsiaTheme="majorEastAsia" w:hAnsi="Times New Roman" w:cs="Times New Roman"/>
          <w:sz w:val="24"/>
          <w:szCs w:val="24"/>
        </w:rPr>
        <w:t>What institutional, political, and socio-economic constraints hinder effective governance?</w:t>
      </w:r>
    </w:p>
    <w:p w14:paraId="4D98C23B" w14:textId="77777777" w:rsidR="00D22424" w:rsidRPr="00AA7FF4" w:rsidRDefault="00D22424" w:rsidP="00D22424">
      <w:pPr>
        <w:pStyle w:val="NoSpacing"/>
        <w:rPr>
          <w:rFonts w:ascii="Times New Roman" w:hAnsi="Times New Roman" w:cs="Times New Roman"/>
          <w:sz w:val="24"/>
          <w:szCs w:val="24"/>
        </w:rPr>
      </w:pPr>
    </w:p>
    <w:p w14:paraId="7860226E" w14:textId="77777777" w:rsidR="00852F6D" w:rsidRPr="00AA7FF4" w:rsidRDefault="00852F6D" w:rsidP="00D22424">
      <w:pPr>
        <w:pStyle w:val="NoSpacing"/>
        <w:rPr>
          <w:rFonts w:ascii="Times New Roman" w:hAnsi="Times New Roman" w:cs="Times New Roman"/>
          <w:b/>
          <w:i/>
          <w:sz w:val="24"/>
          <w:szCs w:val="24"/>
        </w:rPr>
      </w:pPr>
      <w:r w:rsidRPr="00AA7FF4">
        <w:rPr>
          <w:rFonts w:ascii="Times New Roman" w:hAnsi="Times New Roman" w:cs="Times New Roman"/>
          <w:b/>
          <w:i/>
          <w:sz w:val="24"/>
          <w:szCs w:val="24"/>
        </w:rPr>
        <w:t>Descriptive Statistics (n = 400)</w:t>
      </w:r>
    </w:p>
    <w:p w14:paraId="1B15BD5D" w14:textId="77777777" w:rsidR="00D22424" w:rsidRPr="00AA7FF4" w:rsidRDefault="00D22424" w:rsidP="00D22424">
      <w:pPr>
        <w:pStyle w:val="NoSpacing"/>
        <w:rPr>
          <w:rFonts w:ascii="Times New Roman" w:hAnsi="Times New Roman" w:cs="Times New Roman"/>
          <w:sz w:val="24"/>
          <w:szCs w:val="24"/>
        </w:rPr>
      </w:pPr>
    </w:p>
    <w:p w14:paraId="2C0E65BD" w14:textId="77777777" w:rsidR="00852F6D" w:rsidRPr="00AA7FF4" w:rsidRDefault="000F19DB" w:rsidP="00D22424">
      <w:pPr>
        <w:pStyle w:val="NoSpacing"/>
        <w:rPr>
          <w:rFonts w:ascii="Times New Roman" w:hAnsi="Times New Roman" w:cs="Times New Roman"/>
          <w:b/>
          <w:sz w:val="24"/>
          <w:szCs w:val="24"/>
        </w:rPr>
      </w:pPr>
      <w:r w:rsidRPr="00AA7FF4">
        <w:rPr>
          <w:rFonts w:ascii="Times New Roman" w:hAnsi="Times New Roman" w:cs="Times New Roman"/>
          <w:b/>
          <w:sz w:val="24"/>
          <w:szCs w:val="24"/>
        </w:rPr>
        <w:t>Table 3</w:t>
      </w:r>
      <w:r w:rsidR="00D22424" w:rsidRPr="00AA7FF4">
        <w:rPr>
          <w:rFonts w:ascii="Times New Roman" w:hAnsi="Times New Roman" w:cs="Times New Roman"/>
          <w:b/>
          <w:sz w:val="24"/>
          <w:szCs w:val="24"/>
        </w:rPr>
        <w:t xml:space="preserve">: </w:t>
      </w:r>
      <w:r w:rsidR="00852F6D" w:rsidRPr="00AA7FF4">
        <w:rPr>
          <w:rFonts w:ascii="Times New Roman" w:hAnsi="Times New Roman" w:cs="Times New Roman"/>
          <w:b/>
          <w:sz w:val="24"/>
          <w:szCs w:val="24"/>
        </w:rPr>
        <w:t xml:space="preserve">Respondents indicated </w:t>
      </w:r>
      <w:r w:rsidR="00852F6D" w:rsidRPr="00AA7FF4">
        <w:rPr>
          <w:rFonts w:ascii="Times New Roman" w:hAnsi="Times New Roman" w:cs="Times New Roman"/>
          <w:b/>
          <w:bCs/>
          <w:sz w:val="24"/>
          <w:szCs w:val="24"/>
        </w:rPr>
        <w:t>major constraints</w:t>
      </w:r>
      <w:r w:rsidR="00852F6D" w:rsidRPr="00AA7FF4">
        <w:rPr>
          <w:rFonts w:ascii="Times New Roman" w:hAnsi="Times New Roman" w:cs="Times New Roman"/>
          <w:b/>
          <w:sz w:val="24"/>
          <w:szCs w:val="24"/>
        </w:rPr>
        <w:t xml:space="preserve"> (multiple responses allowed).</w:t>
      </w:r>
    </w:p>
    <w:tbl>
      <w:tblPr>
        <w:tblStyle w:val="TableGrid"/>
        <w:tblW w:w="0" w:type="auto"/>
        <w:tblLook w:val="04A0" w:firstRow="1" w:lastRow="0" w:firstColumn="1" w:lastColumn="0" w:noHBand="0" w:noVBand="1"/>
      </w:tblPr>
      <w:tblGrid>
        <w:gridCol w:w="3449"/>
        <w:gridCol w:w="2059"/>
        <w:gridCol w:w="2520"/>
      </w:tblGrid>
      <w:tr w:rsidR="00852F6D" w:rsidRPr="00AA7FF4" w14:paraId="182D8FDC" w14:textId="77777777" w:rsidTr="00D22424">
        <w:tc>
          <w:tcPr>
            <w:tcW w:w="0" w:type="auto"/>
            <w:hideMark/>
          </w:tcPr>
          <w:p w14:paraId="3F61CC0B" w14:textId="77777777" w:rsidR="00852F6D" w:rsidRPr="00AA7FF4" w:rsidRDefault="00852F6D" w:rsidP="00852F6D">
            <w:pPr>
              <w:jc w:val="center"/>
              <w:rPr>
                <w:rFonts w:ascii="Times New Roman" w:eastAsia="Times New Roman" w:hAnsi="Times New Roman" w:cs="Times New Roman"/>
                <w:b/>
                <w:bCs/>
                <w:sz w:val="24"/>
                <w:szCs w:val="24"/>
              </w:rPr>
            </w:pPr>
            <w:r w:rsidRPr="00AA7FF4">
              <w:rPr>
                <w:rFonts w:ascii="Times New Roman" w:eastAsia="Times New Roman" w:hAnsi="Times New Roman" w:cs="Times New Roman"/>
                <w:b/>
                <w:bCs/>
                <w:sz w:val="24"/>
                <w:szCs w:val="24"/>
              </w:rPr>
              <w:t>Constraint Type</w:t>
            </w:r>
          </w:p>
        </w:tc>
        <w:tc>
          <w:tcPr>
            <w:tcW w:w="2059" w:type="dxa"/>
            <w:hideMark/>
          </w:tcPr>
          <w:p w14:paraId="25DD874F" w14:textId="77777777" w:rsidR="00852F6D" w:rsidRPr="00AA7FF4" w:rsidRDefault="00852F6D" w:rsidP="00852F6D">
            <w:pPr>
              <w:jc w:val="center"/>
              <w:rPr>
                <w:rFonts w:ascii="Times New Roman" w:eastAsia="Times New Roman" w:hAnsi="Times New Roman" w:cs="Times New Roman"/>
                <w:b/>
                <w:bCs/>
                <w:sz w:val="24"/>
                <w:szCs w:val="24"/>
              </w:rPr>
            </w:pPr>
            <w:r w:rsidRPr="00AA7FF4">
              <w:rPr>
                <w:rFonts w:ascii="Times New Roman" w:eastAsia="Times New Roman" w:hAnsi="Times New Roman" w:cs="Times New Roman"/>
                <w:b/>
                <w:bCs/>
                <w:sz w:val="24"/>
                <w:szCs w:val="24"/>
              </w:rPr>
              <w:t>Frequency</w:t>
            </w:r>
          </w:p>
        </w:tc>
        <w:tc>
          <w:tcPr>
            <w:tcW w:w="2520" w:type="dxa"/>
            <w:hideMark/>
          </w:tcPr>
          <w:p w14:paraId="3E9C95DA" w14:textId="77777777" w:rsidR="00852F6D" w:rsidRPr="00AA7FF4" w:rsidRDefault="00852F6D" w:rsidP="00852F6D">
            <w:pPr>
              <w:jc w:val="center"/>
              <w:rPr>
                <w:rFonts w:ascii="Times New Roman" w:eastAsia="Times New Roman" w:hAnsi="Times New Roman" w:cs="Times New Roman"/>
                <w:b/>
                <w:bCs/>
                <w:sz w:val="24"/>
                <w:szCs w:val="24"/>
              </w:rPr>
            </w:pPr>
            <w:r w:rsidRPr="00AA7FF4">
              <w:rPr>
                <w:rFonts w:ascii="Times New Roman" w:eastAsia="Times New Roman" w:hAnsi="Times New Roman" w:cs="Times New Roman"/>
                <w:b/>
                <w:bCs/>
                <w:sz w:val="24"/>
                <w:szCs w:val="24"/>
              </w:rPr>
              <w:t>Percentage (%)</w:t>
            </w:r>
          </w:p>
        </w:tc>
      </w:tr>
      <w:tr w:rsidR="00852F6D" w:rsidRPr="00AA7FF4" w14:paraId="2F0D75D3" w14:textId="77777777" w:rsidTr="00D22424">
        <w:tc>
          <w:tcPr>
            <w:tcW w:w="0" w:type="auto"/>
            <w:hideMark/>
          </w:tcPr>
          <w:p w14:paraId="26F49F39"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Weak institutions</w:t>
            </w:r>
          </w:p>
        </w:tc>
        <w:tc>
          <w:tcPr>
            <w:tcW w:w="2059" w:type="dxa"/>
            <w:hideMark/>
          </w:tcPr>
          <w:p w14:paraId="118D1F4F"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250</w:t>
            </w:r>
          </w:p>
        </w:tc>
        <w:tc>
          <w:tcPr>
            <w:tcW w:w="2520" w:type="dxa"/>
            <w:hideMark/>
          </w:tcPr>
          <w:p w14:paraId="6DF6C5C1"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62.5</w:t>
            </w:r>
          </w:p>
        </w:tc>
      </w:tr>
      <w:tr w:rsidR="00852F6D" w:rsidRPr="00AA7FF4" w14:paraId="4EDB6421" w14:textId="77777777" w:rsidTr="00D22424">
        <w:tc>
          <w:tcPr>
            <w:tcW w:w="0" w:type="auto"/>
            <w:hideMark/>
          </w:tcPr>
          <w:p w14:paraId="326DEB1B"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Corruption / political interference</w:t>
            </w:r>
          </w:p>
        </w:tc>
        <w:tc>
          <w:tcPr>
            <w:tcW w:w="2059" w:type="dxa"/>
            <w:hideMark/>
          </w:tcPr>
          <w:p w14:paraId="3DE14147"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220</w:t>
            </w:r>
          </w:p>
        </w:tc>
        <w:tc>
          <w:tcPr>
            <w:tcW w:w="2520" w:type="dxa"/>
            <w:hideMark/>
          </w:tcPr>
          <w:p w14:paraId="05920BCD"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55.0</w:t>
            </w:r>
          </w:p>
        </w:tc>
      </w:tr>
      <w:tr w:rsidR="00852F6D" w:rsidRPr="00AA7FF4" w14:paraId="0E31D582" w14:textId="77777777" w:rsidTr="00D22424">
        <w:tc>
          <w:tcPr>
            <w:tcW w:w="0" w:type="auto"/>
            <w:hideMark/>
          </w:tcPr>
          <w:p w14:paraId="519D29B8"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Funding shortages</w:t>
            </w:r>
          </w:p>
        </w:tc>
        <w:tc>
          <w:tcPr>
            <w:tcW w:w="2059" w:type="dxa"/>
            <w:hideMark/>
          </w:tcPr>
          <w:p w14:paraId="1556489F"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280</w:t>
            </w:r>
          </w:p>
        </w:tc>
        <w:tc>
          <w:tcPr>
            <w:tcW w:w="2520" w:type="dxa"/>
            <w:hideMark/>
          </w:tcPr>
          <w:p w14:paraId="2A2CA7E5"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70.0</w:t>
            </w:r>
          </w:p>
        </w:tc>
      </w:tr>
      <w:tr w:rsidR="00852F6D" w:rsidRPr="00AA7FF4" w14:paraId="1ABB5FA6" w14:textId="77777777" w:rsidTr="00D22424">
        <w:tc>
          <w:tcPr>
            <w:tcW w:w="0" w:type="auto"/>
            <w:hideMark/>
          </w:tcPr>
          <w:p w14:paraId="28D8A37C"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Low public awareness</w:t>
            </w:r>
          </w:p>
        </w:tc>
        <w:tc>
          <w:tcPr>
            <w:tcW w:w="2059" w:type="dxa"/>
            <w:hideMark/>
          </w:tcPr>
          <w:p w14:paraId="1A049BEC"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190</w:t>
            </w:r>
          </w:p>
        </w:tc>
        <w:tc>
          <w:tcPr>
            <w:tcW w:w="2520" w:type="dxa"/>
            <w:hideMark/>
          </w:tcPr>
          <w:p w14:paraId="3DDE7856"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47.5</w:t>
            </w:r>
          </w:p>
        </w:tc>
      </w:tr>
      <w:tr w:rsidR="00852F6D" w:rsidRPr="00AA7FF4" w14:paraId="1E36D6E0" w14:textId="77777777" w:rsidTr="00D22424">
        <w:tc>
          <w:tcPr>
            <w:tcW w:w="0" w:type="auto"/>
            <w:hideMark/>
          </w:tcPr>
          <w:p w14:paraId="21512611"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Poor coordination</w:t>
            </w:r>
          </w:p>
        </w:tc>
        <w:tc>
          <w:tcPr>
            <w:tcW w:w="2059" w:type="dxa"/>
            <w:hideMark/>
          </w:tcPr>
          <w:p w14:paraId="412E2DF2"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160</w:t>
            </w:r>
          </w:p>
        </w:tc>
        <w:tc>
          <w:tcPr>
            <w:tcW w:w="2520" w:type="dxa"/>
            <w:hideMark/>
          </w:tcPr>
          <w:p w14:paraId="23A5799A"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40.0</w:t>
            </w:r>
          </w:p>
        </w:tc>
      </w:tr>
    </w:tbl>
    <w:p w14:paraId="38DDFF41" w14:textId="77777777" w:rsidR="00D22424" w:rsidRPr="00AA7FF4" w:rsidRDefault="00D22424" w:rsidP="00D22424">
      <w:pPr>
        <w:pStyle w:val="NoSpacing"/>
        <w:rPr>
          <w:rStyle w:val="Strong"/>
          <w:rFonts w:ascii="Times New Roman" w:hAnsi="Times New Roman" w:cs="Times New Roman"/>
          <w:b w:val="0"/>
          <w:sz w:val="24"/>
          <w:szCs w:val="24"/>
        </w:rPr>
      </w:pPr>
      <w:r w:rsidRPr="00AA7FF4">
        <w:rPr>
          <w:rStyle w:val="Strong"/>
          <w:rFonts w:ascii="Times New Roman" w:hAnsi="Times New Roman" w:cs="Times New Roman"/>
          <w:sz w:val="24"/>
          <w:szCs w:val="24"/>
        </w:rPr>
        <w:t xml:space="preserve">Source: </w:t>
      </w:r>
      <w:r w:rsidRPr="00AA7FF4">
        <w:rPr>
          <w:rStyle w:val="Strong"/>
          <w:rFonts w:ascii="Times New Roman" w:hAnsi="Times New Roman" w:cs="Times New Roman"/>
          <w:b w:val="0"/>
          <w:sz w:val="24"/>
          <w:szCs w:val="24"/>
        </w:rPr>
        <w:t>Field Survey Report, 2025</w:t>
      </w:r>
    </w:p>
    <w:p w14:paraId="37963D13" w14:textId="77777777" w:rsidR="00852F6D" w:rsidRPr="00AA7FF4" w:rsidRDefault="000F19DB" w:rsidP="001C7457">
      <w:pPr>
        <w:pStyle w:val="NormalWeb"/>
        <w:jc w:val="both"/>
      </w:pPr>
      <w:r w:rsidRPr="00AA7FF4">
        <w:rPr>
          <w:rStyle w:val="Strong"/>
          <w:b w:val="0"/>
        </w:rPr>
        <w:t>Table 3</w:t>
      </w:r>
      <w:r w:rsidR="00D22424" w:rsidRPr="00AA7FF4">
        <w:rPr>
          <w:rStyle w:val="Strong"/>
          <w:b w:val="0"/>
        </w:rPr>
        <w:t xml:space="preserve"> above indicated that the m</w:t>
      </w:r>
      <w:r w:rsidR="00852F6D" w:rsidRPr="00AA7FF4">
        <w:rPr>
          <w:rStyle w:val="Strong"/>
          <w:b w:val="0"/>
        </w:rPr>
        <w:t xml:space="preserve">ost frequently cited </w:t>
      </w:r>
      <w:r w:rsidR="00D22424" w:rsidRPr="00AA7FF4">
        <w:rPr>
          <w:rStyle w:val="Strong"/>
          <w:b w:val="0"/>
        </w:rPr>
        <w:t>constraint is</w:t>
      </w:r>
      <w:r w:rsidR="00852F6D" w:rsidRPr="00AA7FF4">
        <w:rPr>
          <w:rStyle w:val="Strong"/>
          <w:b w:val="0"/>
        </w:rPr>
        <w:t xml:space="preserve"> funding shortages (70%)</w:t>
      </w:r>
      <w:r w:rsidR="00852F6D" w:rsidRPr="00AA7FF4">
        <w:rPr>
          <w:b/>
        </w:rPr>
        <w:t xml:space="preserve">, </w:t>
      </w:r>
      <w:r w:rsidR="00852F6D" w:rsidRPr="00AA7FF4">
        <w:t>followed by weak institutions (62.5%).</w:t>
      </w:r>
    </w:p>
    <w:p w14:paraId="19B1E14A" w14:textId="77777777" w:rsidR="00852F6D" w:rsidRPr="00AA7FF4" w:rsidRDefault="00852F6D" w:rsidP="001C7457">
      <w:pPr>
        <w:pStyle w:val="NoSpacing"/>
        <w:jc w:val="both"/>
        <w:rPr>
          <w:rFonts w:ascii="Times New Roman" w:hAnsi="Times New Roman" w:cs="Times New Roman"/>
          <w:b/>
          <w:i/>
          <w:sz w:val="24"/>
          <w:szCs w:val="24"/>
        </w:rPr>
      </w:pPr>
      <w:r w:rsidRPr="00AA7FF4">
        <w:rPr>
          <w:rFonts w:ascii="Times New Roman" w:hAnsi="Times New Roman" w:cs="Times New Roman"/>
          <w:b/>
          <w:i/>
          <w:sz w:val="24"/>
          <w:szCs w:val="24"/>
        </w:rPr>
        <w:t>Inferential Statistics (Chi-Square Test)</w:t>
      </w:r>
    </w:p>
    <w:p w14:paraId="581C9020" w14:textId="77777777" w:rsidR="000F19DB" w:rsidRPr="00AA7FF4" w:rsidRDefault="00852F6D" w:rsidP="001C7457">
      <w:pPr>
        <w:pStyle w:val="NormalWeb"/>
        <w:jc w:val="both"/>
      </w:pPr>
      <w:r w:rsidRPr="00AA7FF4">
        <w:t>Cross-tab of “Funding shortage repor</w:t>
      </w:r>
      <w:r w:rsidR="00BB239C" w:rsidRPr="00AA7FF4">
        <w:t>ted (Yes/No)” × respondent type →</w:t>
      </w:r>
      <w:r w:rsidR="000F19DB" w:rsidRPr="00AA7FF4">
        <w:t xml:space="preserve"> </w:t>
      </w:r>
      <w:r w:rsidRPr="00AA7FF4">
        <w:t>χ</w:t>
      </w:r>
      <w:proofErr w:type="gramStart"/>
      <w:r w:rsidRPr="00AA7FF4">
        <w:t>²(</w:t>
      </w:r>
      <w:proofErr w:type="gramEnd"/>
      <w:r w:rsidRPr="00AA7FF4">
        <w:t xml:space="preserve">2, N=400) = </w:t>
      </w:r>
      <w:r w:rsidRPr="00AA7FF4">
        <w:rPr>
          <w:rStyle w:val="Strong"/>
        </w:rPr>
        <w:t>9.42</w:t>
      </w:r>
      <w:r w:rsidRPr="00AA7FF4">
        <w:t xml:space="preserve">, </w:t>
      </w:r>
      <w:r w:rsidRPr="00AA7FF4">
        <w:rPr>
          <w:rStyle w:val="Strong"/>
        </w:rPr>
        <w:t>p = 0.009</w:t>
      </w:r>
      <w:r w:rsidRPr="00AA7FF4">
        <w:t>.</w:t>
      </w:r>
    </w:p>
    <w:p w14:paraId="5AD1F6F6" w14:textId="77777777" w:rsidR="00852F6D" w:rsidRPr="00AA7FF4" w:rsidRDefault="000F19DB" w:rsidP="001C7457">
      <w:pPr>
        <w:pStyle w:val="NormalWeb"/>
        <w:jc w:val="both"/>
      </w:pPr>
      <w:r w:rsidRPr="00AA7FF4">
        <w:t>T</w:t>
      </w:r>
      <w:r w:rsidR="001C7457" w:rsidRPr="00AA7FF4">
        <w:t>he test result</w:t>
      </w:r>
      <w:r w:rsidRPr="00AA7FF4">
        <w:t xml:space="preserve"> indicate</w:t>
      </w:r>
      <w:r w:rsidR="001C7457" w:rsidRPr="00AA7FF4">
        <w:t>s</w:t>
      </w:r>
      <w:r w:rsidRPr="00AA7FF4">
        <w:t xml:space="preserve"> that r</w:t>
      </w:r>
      <w:r w:rsidR="00852F6D" w:rsidRPr="00AA7FF4">
        <w:t>eports of funding shortages var</w:t>
      </w:r>
      <w:r w:rsidRPr="00AA7FF4">
        <w:t xml:space="preserve">y significantly across groups: </w:t>
      </w:r>
      <w:r w:rsidR="00852F6D" w:rsidRPr="00AA7FF4">
        <w:t>policymakers acknowledge it less than households and CSOs, indicating perception gaps.</w:t>
      </w:r>
    </w:p>
    <w:p w14:paraId="43FC2551" w14:textId="77777777" w:rsidR="00852F6D" w:rsidRPr="00AA7FF4" w:rsidRDefault="00852F6D" w:rsidP="000F19DB">
      <w:pPr>
        <w:pStyle w:val="NoSpacing"/>
        <w:jc w:val="both"/>
        <w:rPr>
          <w:rFonts w:ascii="Times New Roman" w:hAnsi="Times New Roman" w:cs="Times New Roman"/>
          <w:sz w:val="24"/>
          <w:szCs w:val="24"/>
        </w:rPr>
      </w:pPr>
      <w:r w:rsidRPr="00AA7FF4">
        <w:rPr>
          <w:rStyle w:val="Strong"/>
          <w:rFonts w:ascii="Times New Roman" w:hAnsi="Times New Roman" w:cs="Times New Roman"/>
          <w:sz w:val="24"/>
          <w:szCs w:val="24"/>
        </w:rPr>
        <w:t>Research Question 3 (RQ3):</w:t>
      </w:r>
      <w:r w:rsidR="000F19DB" w:rsidRPr="00AA7FF4">
        <w:rPr>
          <w:rFonts w:ascii="Times New Roman" w:hAnsi="Times New Roman" w:cs="Times New Roman"/>
          <w:sz w:val="24"/>
          <w:szCs w:val="24"/>
        </w:rPr>
        <w:t xml:space="preserve"> </w:t>
      </w:r>
      <w:r w:rsidRPr="00AA7FF4">
        <w:rPr>
          <w:rStyle w:val="Emphasis"/>
          <w:rFonts w:ascii="Times New Roman" w:eastAsiaTheme="majorEastAsia" w:hAnsi="Times New Roman" w:cs="Times New Roman"/>
          <w:sz w:val="24"/>
          <w:szCs w:val="24"/>
        </w:rPr>
        <w:t>What strategies can strengthen governance and enhance resilience?</w:t>
      </w:r>
    </w:p>
    <w:p w14:paraId="3B30681F" w14:textId="77777777" w:rsidR="000F19DB" w:rsidRPr="00AA7FF4" w:rsidRDefault="000F19DB" w:rsidP="000F19DB">
      <w:pPr>
        <w:pStyle w:val="NoSpacing"/>
        <w:jc w:val="both"/>
        <w:rPr>
          <w:rFonts w:ascii="Times New Roman" w:hAnsi="Times New Roman" w:cs="Times New Roman"/>
          <w:sz w:val="24"/>
          <w:szCs w:val="24"/>
        </w:rPr>
      </w:pPr>
    </w:p>
    <w:p w14:paraId="4B1742FB" w14:textId="77777777" w:rsidR="00852F6D" w:rsidRPr="00AA7FF4" w:rsidRDefault="00852F6D" w:rsidP="000F19DB">
      <w:pPr>
        <w:pStyle w:val="NoSpacing"/>
        <w:jc w:val="both"/>
        <w:rPr>
          <w:rFonts w:ascii="Times New Roman" w:hAnsi="Times New Roman" w:cs="Times New Roman"/>
          <w:b/>
          <w:i/>
          <w:sz w:val="24"/>
          <w:szCs w:val="24"/>
        </w:rPr>
      </w:pPr>
      <w:r w:rsidRPr="00AA7FF4">
        <w:rPr>
          <w:rFonts w:ascii="Times New Roman" w:hAnsi="Times New Roman" w:cs="Times New Roman"/>
          <w:b/>
          <w:i/>
          <w:sz w:val="24"/>
          <w:szCs w:val="24"/>
        </w:rPr>
        <w:t>Descriptive Statistics (n = 400)</w:t>
      </w:r>
    </w:p>
    <w:p w14:paraId="5671693B" w14:textId="77777777" w:rsidR="001C7457" w:rsidRPr="00AA7FF4" w:rsidRDefault="001C7457" w:rsidP="000F19DB">
      <w:pPr>
        <w:pStyle w:val="NoSpacing"/>
        <w:jc w:val="both"/>
        <w:rPr>
          <w:rFonts w:ascii="Times New Roman" w:hAnsi="Times New Roman" w:cs="Times New Roman"/>
          <w:b/>
          <w:sz w:val="24"/>
          <w:szCs w:val="24"/>
        </w:rPr>
      </w:pPr>
    </w:p>
    <w:p w14:paraId="57DED24D" w14:textId="77777777" w:rsidR="00852F6D" w:rsidRPr="00AA7FF4" w:rsidRDefault="000F19DB" w:rsidP="000F19DB">
      <w:pPr>
        <w:pStyle w:val="NoSpacing"/>
        <w:rPr>
          <w:rFonts w:ascii="Times New Roman" w:hAnsi="Times New Roman" w:cs="Times New Roman"/>
          <w:b/>
          <w:sz w:val="24"/>
          <w:szCs w:val="24"/>
        </w:rPr>
      </w:pPr>
      <w:r w:rsidRPr="00AA7FF4">
        <w:rPr>
          <w:rFonts w:ascii="Times New Roman" w:hAnsi="Times New Roman" w:cs="Times New Roman"/>
          <w:b/>
          <w:sz w:val="24"/>
          <w:szCs w:val="24"/>
        </w:rPr>
        <w:t xml:space="preserve">Table 4: </w:t>
      </w:r>
      <w:r w:rsidR="00852F6D" w:rsidRPr="00AA7FF4">
        <w:rPr>
          <w:rFonts w:ascii="Times New Roman" w:hAnsi="Times New Roman" w:cs="Times New Roman"/>
          <w:b/>
          <w:sz w:val="24"/>
          <w:szCs w:val="24"/>
        </w:rPr>
        <w:t>Respondents selected the most important strategy (single choice).</w:t>
      </w:r>
    </w:p>
    <w:tbl>
      <w:tblPr>
        <w:tblStyle w:val="TableGrid"/>
        <w:tblW w:w="0" w:type="auto"/>
        <w:tblLook w:val="04A0" w:firstRow="1" w:lastRow="0" w:firstColumn="1" w:lastColumn="0" w:noHBand="0" w:noVBand="1"/>
      </w:tblPr>
      <w:tblGrid>
        <w:gridCol w:w="3348"/>
        <w:gridCol w:w="2340"/>
        <w:gridCol w:w="2520"/>
      </w:tblGrid>
      <w:tr w:rsidR="00852F6D" w:rsidRPr="00AA7FF4" w14:paraId="21EAD14B" w14:textId="77777777" w:rsidTr="001C7457">
        <w:tc>
          <w:tcPr>
            <w:tcW w:w="3348" w:type="dxa"/>
            <w:hideMark/>
          </w:tcPr>
          <w:p w14:paraId="1A36B3F5" w14:textId="77777777" w:rsidR="00852F6D" w:rsidRPr="00AA7FF4" w:rsidRDefault="00852F6D" w:rsidP="00852F6D">
            <w:pPr>
              <w:jc w:val="center"/>
              <w:rPr>
                <w:rFonts w:ascii="Times New Roman" w:eastAsia="Times New Roman" w:hAnsi="Times New Roman" w:cs="Times New Roman"/>
                <w:b/>
                <w:bCs/>
                <w:sz w:val="24"/>
                <w:szCs w:val="24"/>
              </w:rPr>
            </w:pPr>
            <w:r w:rsidRPr="00AA7FF4">
              <w:rPr>
                <w:rFonts w:ascii="Times New Roman" w:eastAsia="Times New Roman" w:hAnsi="Times New Roman" w:cs="Times New Roman"/>
                <w:b/>
                <w:bCs/>
                <w:sz w:val="24"/>
                <w:szCs w:val="24"/>
              </w:rPr>
              <w:t>Strategy</w:t>
            </w:r>
          </w:p>
        </w:tc>
        <w:tc>
          <w:tcPr>
            <w:tcW w:w="2340" w:type="dxa"/>
            <w:hideMark/>
          </w:tcPr>
          <w:p w14:paraId="3FA28BA1" w14:textId="77777777" w:rsidR="00852F6D" w:rsidRPr="00AA7FF4" w:rsidRDefault="00852F6D" w:rsidP="00852F6D">
            <w:pPr>
              <w:jc w:val="center"/>
              <w:rPr>
                <w:rFonts w:ascii="Times New Roman" w:eastAsia="Times New Roman" w:hAnsi="Times New Roman" w:cs="Times New Roman"/>
                <w:b/>
                <w:bCs/>
                <w:sz w:val="24"/>
                <w:szCs w:val="24"/>
              </w:rPr>
            </w:pPr>
            <w:r w:rsidRPr="00AA7FF4">
              <w:rPr>
                <w:rFonts w:ascii="Times New Roman" w:eastAsia="Times New Roman" w:hAnsi="Times New Roman" w:cs="Times New Roman"/>
                <w:b/>
                <w:bCs/>
                <w:sz w:val="24"/>
                <w:szCs w:val="24"/>
              </w:rPr>
              <w:t>Frequency</w:t>
            </w:r>
          </w:p>
        </w:tc>
        <w:tc>
          <w:tcPr>
            <w:tcW w:w="2520" w:type="dxa"/>
            <w:hideMark/>
          </w:tcPr>
          <w:p w14:paraId="59D38038" w14:textId="77777777" w:rsidR="00852F6D" w:rsidRPr="00AA7FF4" w:rsidRDefault="00852F6D" w:rsidP="00852F6D">
            <w:pPr>
              <w:jc w:val="center"/>
              <w:rPr>
                <w:rFonts w:ascii="Times New Roman" w:eastAsia="Times New Roman" w:hAnsi="Times New Roman" w:cs="Times New Roman"/>
                <w:b/>
                <w:bCs/>
                <w:sz w:val="24"/>
                <w:szCs w:val="24"/>
              </w:rPr>
            </w:pPr>
            <w:r w:rsidRPr="00AA7FF4">
              <w:rPr>
                <w:rFonts w:ascii="Times New Roman" w:eastAsia="Times New Roman" w:hAnsi="Times New Roman" w:cs="Times New Roman"/>
                <w:b/>
                <w:bCs/>
                <w:sz w:val="24"/>
                <w:szCs w:val="24"/>
              </w:rPr>
              <w:t>Percentage (%)</w:t>
            </w:r>
          </w:p>
        </w:tc>
      </w:tr>
      <w:tr w:rsidR="00852F6D" w:rsidRPr="00AA7FF4" w14:paraId="2315033D" w14:textId="77777777" w:rsidTr="001C7457">
        <w:tc>
          <w:tcPr>
            <w:tcW w:w="3348" w:type="dxa"/>
            <w:hideMark/>
          </w:tcPr>
          <w:p w14:paraId="486BE1C5"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Capacity building institutions</w:t>
            </w:r>
          </w:p>
        </w:tc>
        <w:tc>
          <w:tcPr>
            <w:tcW w:w="2340" w:type="dxa"/>
            <w:hideMark/>
          </w:tcPr>
          <w:p w14:paraId="6DC10CE5"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110</w:t>
            </w:r>
          </w:p>
        </w:tc>
        <w:tc>
          <w:tcPr>
            <w:tcW w:w="2520" w:type="dxa"/>
            <w:hideMark/>
          </w:tcPr>
          <w:p w14:paraId="22188E3A"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27.5</w:t>
            </w:r>
          </w:p>
        </w:tc>
      </w:tr>
      <w:tr w:rsidR="00852F6D" w:rsidRPr="00AA7FF4" w14:paraId="6DA7A5AB" w14:textId="77777777" w:rsidTr="001C7457">
        <w:tc>
          <w:tcPr>
            <w:tcW w:w="3348" w:type="dxa"/>
            <w:hideMark/>
          </w:tcPr>
          <w:p w14:paraId="782A0F87"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Anti-corruption enforcement</w:t>
            </w:r>
          </w:p>
        </w:tc>
        <w:tc>
          <w:tcPr>
            <w:tcW w:w="2340" w:type="dxa"/>
            <w:hideMark/>
          </w:tcPr>
          <w:p w14:paraId="00A29C1E"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95</w:t>
            </w:r>
          </w:p>
        </w:tc>
        <w:tc>
          <w:tcPr>
            <w:tcW w:w="2520" w:type="dxa"/>
            <w:hideMark/>
          </w:tcPr>
          <w:p w14:paraId="794BD7ED"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23.8</w:t>
            </w:r>
          </w:p>
        </w:tc>
      </w:tr>
      <w:tr w:rsidR="00852F6D" w:rsidRPr="00AA7FF4" w14:paraId="7CFB830A" w14:textId="77777777" w:rsidTr="001C7457">
        <w:tc>
          <w:tcPr>
            <w:tcW w:w="3348" w:type="dxa"/>
            <w:hideMark/>
          </w:tcPr>
          <w:p w14:paraId="538B7F31"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Increased funding &amp; resources</w:t>
            </w:r>
          </w:p>
        </w:tc>
        <w:tc>
          <w:tcPr>
            <w:tcW w:w="2340" w:type="dxa"/>
            <w:hideMark/>
          </w:tcPr>
          <w:p w14:paraId="299B4E33"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120</w:t>
            </w:r>
          </w:p>
        </w:tc>
        <w:tc>
          <w:tcPr>
            <w:tcW w:w="2520" w:type="dxa"/>
            <w:hideMark/>
          </w:tcPr>
          <w:p w14:paraId="4613B45F"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30.0</w:t>
            </w:r>
          </w:p>
        </w:tc>
      </w:tr>
      <w:tr w:rsidR="00852F6D" w:rsidRPr="00AA7FF4" w14:paraId="1D8BD2C3" w14:textId="77777777" w:rsidTr="001C7457">
        <w:tc>
          <w:tcPr>
            <w:tcW w:w="3348" w:type="dxa"/>
            <w:hideMark/>
          </w:tcPr>
          <w:p w14:paraId="57DF115D"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Public awareness &amp; education</w:t>
            </w:r>
          </w:p>
        </w:tc>
        <w:tc>
          <w:tcPr>
            <w:tcW w:w="2340" w:type="dxa"/>
            <w:hideMark/>
          </w:tcPr>
          <w:p w14:paraId="23AA0B02"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75</w:t>
            </w:r>
          </w:p>
        </w:tc>
        <w:tc>
          <w:tcPr>
            <w:tcW w:w="2520" w:type="dxa"/>
            <w:hideMark/>
          </w:tcPr>
          <w:p w14:paraId="4D75069F"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sz w:val="24"/>
                <w:szCs w:val="24"/>
              </w:rPr>
              <w:t>18.7</w:t>
            </w:r>
          </w:p>
        </w:tc>
      </w:tr>
      <w:tr w:rsidR="00852F6D" w:rsidRPr="00AA7FF4" w14:paraId="26FA47E2" w14:textId="77777777" w:rsidTr="001C7457">
        <w:tc>
          <w:tcPr>
            <w:tcW w:w="3348" w:type="dxa"/>
            <w:hideMark/>
          </w:tcPr>
          <w:p w14:paraId="182143E1"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b/>
                <w:bCs/>
                <w:sz w:val="24"/>
                <w:szCs w:val="24"/>
              </w:rPr>
              <w:t>Total</w:t>
            </w:r>
          </w:p>
        </w:tc>
        <w:tc>
          <w:tcPr>
            <w:tcW w:w="2340" w:type="dxa"/>
            <w:hideMark/>
          </w:tcPr>
          <w:p w14:paraId="4F35DBB0"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b/>
                <w:bCs/>
                <w:sz w:val="24"/>
                <w:szCs w:val="24"/>
              </w:rPr>
              <w:t>400</w:t>
            </w:r>
          </w:p>
        </w:tc>
        <w:tc>
          <w:tcPr>
            <w:tcW w:w="2520" w:type="dxa"/>
            <w:hideMark/>
          </w:tcPr>
          <w:p w14:paraId="6039DDAE" w14:textId="77777777" w:rsidR="00852F6D" w:rsidRPr="00AA7FF4" w:rsidRDefault="00852F6D" w:rsidP="00852F6D">
            <w:pPr>
              <w:rPr>
                <w:rFonts w:ascii="Times New Roman" w:eastAsia="Times New Roman" w:hAnsi="Times New Roman" w:cs="Times New Roman"/>
                <w:sz w:val="24"/>
                <w:szCs w:val="24"/>
              </w:rPr>
            </w:pPr>
            <w:r w:rsidRPr="00AA7FF4">
              <w:rPr>
                <w:rFonts w:ascii="Times New Roman" w:eastAsia="Times New Roman" w:hAnsi="Times New Roman" w:cs="Times New Roman"/>
                <w:b/>
                <w:bCs/>
                <w:sz w:val="24"/>
                <w:szCs w:val="24"/>
              </w:rPr>
              <w:t>100</w:t>
            </w:r>
          </w:p>
        </w:tc>
      </w:tr>
    </w:tbl>
    <w:p w14:paraId="6AA4839D" w14:textId="77777777" w:rsidR="001C7457" w:rsidRPr="00AA7FF4" w:rsidRDefault="001C7457" w:rsidP="001C7457">
      <w:pPr>
        <w:pStyle w:val="NoSpacing"/>
        <w:rPr>
          <w:rStyle w:val="Strong"/>
          <w:rFonts w:ascii="Times New Roman" w:hAnsi="Times New Roman" w:cs="Times New Roman"/>
          <w:b w:val="0"/>
          <w:sz w:val="24"/>
          <w:szCs w:val="24"/>
        </w:rPr>
      </w:pPr>
      <w:r w:rsidRPr="00AA7FF4">
        <w:rPr>
          <w:rStyle w:val="Strong"/>
          <w:rFonts w:ascii="Times New Roman" w:hAnsi="Times New Roman" w:cs="Times New Roman"/>
          <w:sz w:val="24"/>
          <w:szCs w:val="24"/>
        </w:rPr>
        <w:t xml:space="preserve">Source: </w:t>
      </w:r>
      <w:r w:rsidRPr="00AA7FF4">
        <w:rPr>
          <w:rStyle w:val="Strong"/>
          <w:rFonts w:ascii="Times New Roman" w:hAnsi="Times New Roman" w:cs="Times New Roman"/>
          <w:b w:val="0"/>
          <w:sz w:val="24"/>
          <w:szCs w:val="24"/>
        </w:rPr>
        <w:t>Field Survey Report, 2025</w:t>
      </w:r>
    </w:p>
    <w:p w14:paraId="445A080F" w14:textId="77777777" w:rsidR="00852F6D" w:rsidRPr="00AA7FF4" w:rsidRDefault="001C7457" w:rsidP="001C7457">
      <w:pPr>
        <w:pStyle w:val="NormalWeb"/>
        <w:jc w:val="both"/>
      </w:pPr>
      <w:r w:rsidRPr="00AA7FF4">
        <w:rPr>
          <w:rStyle w:val="Strong"/>
          <w:b w:val="0"/>
        </w:rPr>
        <w:t xml:space="preserve">From table 4 above, the </w:t>
      </w:r>
      <w:r w:rsidRPr="00AA7FF4">
        <w:t>most important strategy</w:t>
      </w:r>
      <w:r w:rsidRPr="00AA7FF4">
        <w:rPr>
          <w:rStyle w:val="Strong"/>
        </w:rPr>
        <w:t xml:space="preserve"> </w:t>
      </w:r>
      <w:r w:rsidRPr="00AA7FF4">
        <w:rPr>
          <w:rStyle w:val="Strong"/>
          <w:b w:val="0"/>
        </w:rPr>
        <w:t>identified is</w:t>
      </w:r>
      <w:r w:rsidR="00852F6D" w:rsidRPr="00AA7FF4">
        <w:rPr>
          <w:rStyle w:val="Strong"/>
          <w:b w:val="0"/>
        </w:rPr>
        <w:t xml:space="preserve"> Increased funding (30%)</w:t>
      </w:r>
      <w:r w:rsidR="00852F6D" w:rsidRPr="00AA7FF4">
        <w:rPr>
          <w:b/>
        </w:rPr>
        <w:t>,</w:t>
      </w:r>
      <w:r w:rsidR="00852F6D" w:rsidRPr="00AA7FF4">
        <w:t xml:space="preserve"> closely followed by capacity building (27.5%).</w:t>
      </w:r>
    </w:p>
    <w:p w14:paraId="4CF4021D" w14:textId="77777777" w:rsidR="00852F6D" w:rsidRPr="00AA7FF4" w:rsidRDefault="00852F6D" w:rsidP="001C7457">
      <w:pPr>
        <w:pStyle w:val="NoSpacing"/>
        <w:jc w:val="both"/>
        <w:rPr>
          <w:rFonts w:ascii="Times New Roman" w:hAnsi="Times New Roman" w:cs="Times New Roman"/>
          <w:b/>
          <w:i/>
          <w:sz w:val="24"/>
          <w:szCs w:val="24"/>
        </w:rPr>
      </w:pPr>
      <w:r w:rsidRPr="00AA7FF4">
        <w:rPr>
          <w:rFonts w:ascii="Times New Roman" w:hAnsi="Times New Roman" w:cs="Times New Roman"/>
          <w:b/>
          <w:i/>
          <w:sz w:val="24"/>
          <w:szCs w:val="24"/>
        </w:rPr>
        <w:lastRenderedPageBreak/>
        <w:t>Inferential Statistics (Chi-Square Test)</w:t>
      </w:r>
    </w:p>
    <w:p w14:paraId="4801E422" w14:textId="77777777" w:rsidR="00852F6D" w:rsidRPr="00AA7FF4" w:rsidRDefault="00852F6D" w:rsidP="001C7457">
      <w:pPr>
        <w:pStyle w:val="NormalWeb"/>
        <w:jc w:val="both"/>
      </w:pPr>
      <w:r w:rsidRPr="00AA7FF4">
        <w:t>Cross-tabulation of “Prefer</w:t>
      </w:r>
      <w:r w:rsidR="001C7457" w:rsidRPr="00AA7FF4">
        <w:t xml:space="preserve">red strategy” × respondent type → </w:t>
      </w:r>
      <w:r w:rsidRPr="00AA7FF4">
        <w:t>χ</w:t>
      </w:r>
      <w:proofErr w:type="gramStart"/>
      <w:r w:rsidRPr="00AA7FF4">
        <w:t>²(</w:t>
      </w:r>
      <w:proofErr w:type="gramEnd"/>
      <w:r w:rsidRPr="00AA7FF4">
        <w:t xml:space="preserve">12, N=400) = </w:t>
      </w:r>
      <w:r w:rsidRPr="00AA7FF4">
        <w:rPr>
          <w:rStyle w:val="Strong"/>
        </w:rPr>
        <w:t>21.3</w:t>
      </w:r>
      <w:r w:rsidRPr="00AA7FF4">
        <w:t xml:space="preserve">, </w:t>
      </w:r>
      <w:r w:rsidRPr="00AA7FF4">
        <w:rPr>
          <w:rStyle w:val="Strong"/>
        </w:rPr>
        <w:t>p = 0.047</w:t>
      </w:r>
      <w:r w:rsidRPr="00AA7FF4">
        <w:t>.</w:t>
      </w:r>
    </w:p>
    <w:p w14:paraId="0B99BEC7" w14:textId="77777777" w:rsidR="00852F6D" w:rsidRPr="00AA7FF4" w:rsidRDefault="001C7457" w:rsidP="001C7457">
      <w:pPr>
        <w:pStyle w:val="NormalWeb"/>
        <w:jc w:val="both"/>
      </w:pPr>
      <w:r w:rsidRPr="00AA7FF4">
        <w:rPr>
          <w:rStyle w:val="Strong"/>
          <w:b w:val="0"/>
        </w:rPr>
        <w:t>The test result indicates that the</w:t>
      </w:r>
      <w:r w:rsidRPr="00AA7FF4">
        <w:rPr>
          <w:rStyle w:val="Strong"/>
        </w:rPr>
        <w:t xml:space="preserve"> </w:t>
      </w:r>
      <w:r w:rsidR="00852F6D" w:rsidRPr="00AA7FF4">
        <w:t xml:space="preserve">Preference for strategies differs significantly among groups. Policymakers lean toward capacity building, while households </w:t>
      </w:r>
      <w:proofErr w:type="spellStart"/>
      <w:r w:rsidR="00852F6D" w:rsidRPr="00AA7FF4">
        <w:t>emphasise</w:t>
      </w:r>
      <w:proofErr w:type="spellEnd"/>
      <w:r w:rsidR="00852F6D" w:rsidRPr="00AA7FF4">
        <w:t xml:space="preserve"> funding and awareness.</w:t>
      </w:r>
    </w:p>
    <w:p w14:paraId="24388447" w14:textId="77777777" w:rsidR="00C716F7" w:rsidRPr="00AA7FF4" w:rsidRDefault="001C7457" w:rsidP="001C7457">
      <w:pPr>
        <w:pStyle w:val="NoSpacing"/>
        <w:rPr>
          <w:rFonts w:ascii="Times New Roman" w:hAnsi="Times New Roman" w:cs="Times New Roman"/>
          <w:sz w:val="24"/>
          <w:szCs w:val="24"/>
        </w:rPr>
      </w:pPr>
      <w:r w:rsidRPr="00AA7FF4">
        <w:rPr>
          <w:rStyle w:val="Strong"/>
          <w:rFonts w:ascii="Times New Roman" w:hAnsi="Times New Roman" w:cs="Times New Roman"/>
          <w:sz w:val="24"/>
          <w:szCs w:val="24"/>
        </w:rPr>
        <w:t>DISCUSSION OF FINDINGS</w:t>
      </w:r>
    </w:p>
    <w:p w14:paraId="2737632C" w14:textId="77777777" w:rsidR="00C716F7" w:rsidRPr="00AA7FF4" w:rsidRDefault="00C716F7" w:rsidP="001C7457">
      <w:pPr>
        <w:pStyle w:val="NormalWeb"/>
        <w:jc w:val="both"/>
      </w:pPr>
      <w:r w:rsidRPr="00AA7FF4">
        <w:t xml:space="preserve">This study examined climate change and environmental governance in Nigeria, with a focus on the North Central region, by investigating governance effectiveness, institutional and socio-economic constraints, and strategies for resilience. Using a sample of 400 respondents, both descriptive and inferential statistics were employed to </w:t>
      </w:r>
      <w:proofErr w:type="spellStart"/>
      <w:r w:rsidRPr="00AA7FF4">
        <w:t>analyse</w:t>
      </w:r>
      <w:proofErr w:type="spellEnd"/>
      <w:r w:rsidRPr="00AA7FF4">
        <w:t xml:space="preserve"> perceptions and experiences of governance.</w:t>
      </w:r>
    </w:p>
    <w:p w14:paraId="12E45E7D" w14:textId="77777777" w:rsidR="00C716F7" w:rsidRPr="00AA7FF4" w:rsidRDefault="00C716F7" w:rsidP="001C7457">
      <w:pPr>
        <w:pStyle w:val="NormalWeb"/>
        <w:jc w:val="both"/>
      </w:pPr>
      <w:r w:rsidRPr="00AA7FF4">
        <w:t>The findings indicate that Nigeria’s environmental governance framework is perceived as only moderately effective. Respondents’ mean rating of 2.73 on a 5-point scale underscores persistent governance challenges. Chi-square analysis confirmed significant variations across stakeholder groups, with policymakers reporting higher levels of perceived effectiveness compared to civil society and households. This divergence highlights the gap between formal policy intentions and community-level realities.</w:t>
      </w:r>
    </w:p>
    <w:p w14:paraId="5E098A2B" w14:textId="77777777" w:rsidR="00C716F7" w:rsidRPr="00AA7FF4" w:rsidRDefault="00C716F7" w:rsidP="001C7457">
      <w:pPr>
        <w:pStyle w:val="NormalWeb"/>
        <w:jc w:val="both"/>
      </w:pPr>
      <w:r w:rsidRPr="00AA7FF4">
        <w:t xml:space="preserve">Institutional and socio-political barriers were found to significantly constrain governance effectiveness. Weak institutional structures, inadequate funding, and widespread corruption were recurrently </w:t>
      </w:r>
      <w:proofErr w:type="spellStart"/>
      <w:r w:rsidRPr="00AA7FF4">
        <w:t>emphasised</w:t>
      </w:r>
      <w:proofErr w:type="spellEnd"/>
      <w:r w:rsidRPr="00AA7FF4">
        <w:t xml:space="preserve">. Regression results showed that institutional capacity and political will are key predictors of governance performance, explaining more than 60% of observed variance. These findings align with Ostrom’s (2005) institutional theory and Lemos and Agrawal’s (2006) governance framework, which </w:t>
      </w:r>
      <w:proofErr w:type="spellStart"/>
      <w:r w:rsidRPr="00AA7FF4">
        <w:t>emphasise</w:t>
      </w:r>
      <w:proofErr w:type="spellEnd"/>
      <w:r w:rsidRPr="00AA7FF4">
        <w:t xml:space="preserve"> the role of robust institutions and accountable governance systems in addressing collective environmental challenges.</w:t>
      </w:r>
    </w:p>
    <w:p w14:paraId="2F068CA2" w14:textId="77777777" w:rsidR="00C716F7" w:rsidRPr="00AA7FF4" w:rsidRDefault="00C716F7" w:rsidP="001C7457">
      <w:pPr>
        <w:pStyle w:val="NormalWeb"/>
        <w:jc w:val="both"/>
      </w:pPr>
      <w:r w:rsidRPr="00AA7FF4">
        <w:t>The study also demonstrated that strategies such as increased funding, institutional reforms, and capacity building are widely regarded as the most effective pathways to resilience. Correlation and regression analysis further established that funding (β = 0.47) and institutional capacity (β = 0.31) exert the strongest influence on governance effectiveness. This suggests that while awareness campaigns and anti-corruption measures are valuable, they cannot substitute for the structural and resource foundations upon which governance success rests.</w:t>
      </w:r>
    </w:p>
    <w:p w14:paraId="294DE3BE" w14:textId="77777777" w:rsidR="00C716F7" w:rsidRPr="00AA7FF4" w:rsidRDefault="0040279C" w:rsidP="0040279C">
      <w:pPr>
        <w:pStyle w:val="NoSpacing"/>
        <w:rPr>
          <w:rFonts w:ascii="Times New Roman" w:hAnsi="Times New Roman" w:cs="Times New Roman"/>
          <w:sz w:val="24"/>
          <w:szCs w:val="24"/>
        </w:rPr>
      </w:pPr>
      <w:r w:rsidRPr="00AA7FF4">
        <w:rPr>
          <w:rStyle w:val="Strong"/>
          <w:rFonts w:ascii="Times New Roman" w:hAnsi="Times New Roman" w:cs="Times New Roman"/>
          <w:sz w:val="24"/>
          <w:szCs w:val="24"/>
        </w:rPr>
        <w:t>CONCLUSION</w:t>
      </w:r>
    </w:p>
    <w:p w14:paraId="2C26AF0A" w14:textId="77777777" w:rsidR="00C716F7" w:rsidRPr="00AA7FF4" w:rsidRDefault="00C716F7" w:rsidP="002C79B1">
      <w:pPr>
        <w:pStyle w:val="NormalWeb"/>
        <w:jc w:val="both"/>
      </w:pPr>
      <w:r w:rsidRPr="00AA7FF4">
        <w:t>The study concludes that Nigeria’s environmental governance framework in the North Central region remains constrained by systemic weaknesses. While formal structures exist, their functionality is undermined by inadequate resources, weak institutions, and limited political accountability. These shortcomings hinder Nigeria’s ability to respond effectively to climate change and environmental degradation.</w:t>
      </w:r>
    </w:p>
    <w:p w14:paraId="6315E341" w14:textId="77777777" w:rsidR="00C716F7" w:rsidRPr="00AA7FF4" w:rsidRDefault="00C716F7" w:rsidP="002C79B1">
      <w:pPr>
        <w:pStyle w:val="NormalWeb"/>
        <w:jc w:val="both"/>
      </w:pPr>
      <w:r w:rsidRPr="00AA7FF4">
        <w:lastRenderedPageBreak/>
        <w:t xml:space="preserve">Nonetheless, the findings also reveal opportunities for improvement. With targeted reforms that </w:t>
      </w:r>
      <w:proofErr w:type="spellStart"/>
      <w:r w:rsidRPr="00AA7FF4">
        <w:t>prioritise</w:t>
      </w:r>
      <w:proofErr w:type="spellEnd"/>
      <w:r w:rsidRPr="00AA7FF4">
        <w:t xml:space="preserve"> institutional strengthening, resource </w:t>
      </w:r>
      <w:proofErr w:type="spellStart"/>
      <w:r w:rsidRPr="00AA7FF4">
        <w:t>mobilisation</w:t>
      </w:r>
      <w:proofErr w:type="spellEnd"/>
      <w:r w:rsidRPr="00AA7FF4">
        <w:t>, and multi-stakeholder engagement, Nigeria can advance towards a more resilient and inclusive governance model. Climate governance effectiveness will depend not only on government-led initiatives but also on the active participation of civil society and local communities.</w:t>
      </w:r>
      <w:r w:rsidR="002C79B1" w:rsidRPr="00AA7FF4">
        <w:t xml:space="preserve"> Finally, </w:t>
      </w:r>
      <w:r w:rsidRPr="00AA7FF4">
        <w:t xml:space="preserve">the study affirms that strengthening governance structures and </w:t>
      </w:r>
      <w:proofErr w:type="spellStart"/>
      <w:r w:rsidRPr="00AA7FF4">
        <w:t>mobilising</w:t>
      </w:r>
      <w:proofErr w:type="spellEnd"/>
      <w:r w:rsidRPr="00AA7FF4">
        <w:t xml:space="preserve"> resources are pivotal for building climate resilience in Nigeria. A multi-stakeholder, cross-sectoral approach is required to bridge the gap between national climate commitments and local realities.</w:t>
      </w:r>
    </w:p>
    <w:p w14:paraId="59BC1F89" w14:textId="77777777" w:rsidR="00C716F7" w:rsidRPr="00AA7FF4" w:rsidRDefault="002C79B1" w:rsidP="002C79B1">
      <w:pPr>
        <w:pStyle w:val="NoSpacing"/>
        <w:rPr>
          <w:rFonts w:ascii="Times New Roman" w:hAnsi="Times New Roman" w:cs="Times New Roman"/>
          <w:sz w:val="24"/>
          <w:szCs w:val="24"/>
        </w:rPr>
      </w:pPr>
      <w:r w:rsidRPr="00AA7FF4">
        <w:rPr>
          <w:rStyle w:val="Strong"/>
          <w:rFonts w:ascii="Times New Roman" w:hAnsi="Times New Roman" w:cs="Times New Roman"/>
          <w:sz w:val="24"/>
          <w:szCs w:val="24"/>
        </w:rPr>
        <w:t>RECOMMENDATIONS</w:t>
      </w:r>
    </w:p>
    <w:p w14:paraId="2112AC54" w14:textId="77777777" w:rsidR="00C716F7" w:rsidRPr="00AA7FF4" w:rsidRDefault="00C716F7" w:rsidP="002C79B1">
      <w:pPr>
        <w:pStyle w:val="NormalWeb"/>
        <w:jc w:val="both"/>
      </w:pPr>
      <w:r w:rsidRPr="00AA7FF4">
        <w:t>Based on the findings, the following recommendations are proposed:</w:t>
      </w:r>
    </w:p>
    <w:p w14:paraId="6469D905" w14:textId="77777777" w:rsidR="00C716F7" w:rsidRPr="00AA7FF4" w:rsidRDefault="00C716F7" w:rsidP="002C79B1">
      <w:pPr>
        <w:pStyle w:val="NormalWeb"/>
        <w:numPr>
          <w:ilvl w:val="0"/>
          <w:numId w:val="14"/>
        </w:numPr>
        <w:jc w:val="both"/>
      </w:pPr>
      <w:r w:rsidRPr="00AA7FF4">
        <w:rPr>
          <w:rStyle w:val="Strong"/>
          <w:b w:val="0"/>
          <w:i/>
        </w:rPr>
        <w:t>Enhance Institutional Capacity</w:t>
      </w:r>
      <w:r w:rsidR="002C79B1" w:rsidRPr="00AA7FF4">
        <w:t xml:space="preserve">: </w:t>
      </w:r>
      <w:r w:rsidRPr="00AA7FF4">
        <w:t>Strengthen environmental agencies by expanding staff strength, improving technical expertise, and ensuring autonomy in decision-making.</w:t>
      </w:r>
    </w:p>
    <w:p w14:paraId="4BB79219" w14:textId="77777777" w:rsidR="00C716F7" w:rsidRPr="00AA7FF4" w:rsidRDefault="00C716F7" w:rsidP="002C79B1">
      <w:pPr>
        <w:pStyle w:val="NormalWeb"/>
        <w:numPr>
          <w:ilvl w:val="0"/>
          <w:numId w:val="14"/>
        </w:numPr>
        <w:jc w:val="both"/>
      </w:pPr>
      <w:r w:rsidRPr="00AA7FF4">
        <w:rPr>
          <w:rStyle w:val="Strong"/>
          <w:b w:val="0"/>
          <w:i/>
        </w:rPr>
        <w:t xml:space="preserve">Increase Funding and Resource </w:t>
      </w:r>
      <w:proofErr w:type="spellStart"/>
      <w:r w:rsidRPr="00AA7FF4">
        <w:rPr>
          <w:rStyle w:val="Strong"/>
          <w:b w:val="0"/>
          <w:i/>
        </w:rPr>
        <w:t>Mobilisation</w:t>
      </w:r>
      <w:proofErr w:type="spellEnd"/>
      <w:r w:rsidR="002C79B1" w:rsidRPr="00AA7FF4">
        <w:t xml:space="preserve">: </w:t>
      </w:r>
      <w:r w:rsidRPr="00AA7FF4">
        <w:t>Allocate greater public funding to climate-related interventions and establish dedicated funds, while leveraging international climate financing mechanisms.</w:t>
      </w:r>
    </w:p>
    <w:p w14:paraId="5C6C9788" w14:textId="77777777" w:rsidR="00C716F7" w:rsidRPr="00AA7FF4" w:rsidRDefault="00C716F7" w:rsidP="002C79B1">
      <w:pPr>
        <w:pStyle w:val="NormalWeb"/>
        <w:numPr>
          <w:ilvl w:val="0"/>
          <w:numId w:val="14"/>
        </w:numPr>
        <w:jc w:val="both"/>
      </w:pPr>
      <w:r w:rsidRPr="00AA7FF4">
        <w:rPr>
          <w:rStyle w:val="Strong"/>
          <w:b w:val="0"/>
          <w:i/>
        </w:rPr>
        <w:t>Promote Political Will and Accountability</w:t>
      </w:r>
      <w:r w:rsidR="002C79B1" w:rsidRPr="00AA7FF4">
        <w:t xml:space="preserve">: </w:t>
      </w:r>
      <w:r w:rsidRPr="00AA7FF4">
        <w:t xml:space="preserve">Pass enabling legislation to </w:t>
      </w:r>
      <w:proofErr w:type="spellStart"/>
      <w:r w:rsidRPr="00AA7FF4">
        <w:t>institutionalise</w:t>
      </w:r>
      <w:proofErr w:type="spellEnd"/>
      <w:r w:rsidRPr="00AA7FF4">
        <w:t xml:space="preserve"> compliance with climate agreements and strengthen anti-corruption mechanisms to ensure transparent resource use.</w:t>
      </w:r>
    </w:p>
    <w:p w14:paraId="4CFE1D10" w14:textId="77777777" w:rsidR="00C716F7" w:rsidRPr="00AA7FF4" w:rsidRDefault="002C79B1" w:rsidP="002C79B1">
      <w:pPr>
        <w:pStyle w:val="NormalWeb"/>
        <w:numPr>
          <w:ilvl w:val="0"/>
          <w:numId w:val="14"/>
        </w:numPr>
        <w:jc w:val="both"/>
      </w:pPr>
      <w:r w:rsidRPr="00AA7FF4">
        <w:rPr>
          <w:rStyle w:val="Strong"/>
          <w:b w:val="0"/>
          <w:i/>
        </w:rPr>
        <w:t>Mainstream Climate Governance a</w:t>
      </w:r>
      <w:r w:rsidR="00C716F7" w:rsidRPr="00AA7FF4">
        <w:rPr>
          <w:rStyle w:val="Strong"/>
          <w:b w:val="0"/>
          <w:i/>
        </w:rPr>
        <w:t>cross Sectors</w:t>
      </w:r>
      <w:r w:rsidRPr="00AA7FF4">
        <w:t xml:space="preserve">: </w:t>
      </w:r>
      <w:r w:rsidR="00C716F7" w:rsidRPr="00AA7FF4">
        <w:t>Integrate climate concerns into key sectors such as agriculture, energy, infrastructure, and urban planning to ensure comprehensive responses to climate risks.</w:t>
      </w:r>
    </w:p>
    <w:p w14:paraId="4BADD4CA" w14:textId="77777777" w:rsidR="00C716F7" w:rsidRPr="00AA7FF4" w:rsidRDefault="00C716F7" w:rsidP="002C79B1">
      <w:pPr>
        <w:pStyle w:val="NormalWeb"/>
        <w:numPr>
          <w:ilvl w:val="0"/>
          <w:numId w:val="14"/>
        </w:numPr>
        <w:jc w:val="both"/>
      </w:pPr>
      <w:r w:rsidRPr="00AA7FF4">
        <w:rPr>
          <w:rStyle w:val="Strong"/>
          <w:b w:val="0"/>
          <w:i/>
        </w:rPr>
        <w:t>Strengthen Community Participation and Awareness</w:t>
      </w:r>
      <w:r w:rsidR="002C79B1" w:rsidRPr="00AA7FF4">
        <w:rPr>
          <w:b/>
          <w:i/>
        </w:rPr>
        <w:t>:</w:t>
      </w:r>
      <w:r w:rsidR="002C79B1" w:rsidRPr="00AA7FF4">
        <w:t xml:space="preserve"> </w:t>
      </w:r>
      <w:r w:rsidRPr="00AA7FF4">
        <w:t xml:space="preserve">Engage communities and civil society </w:t>
      </w:r>
      <w:proofErr w:type="spellStart"/>
      <w:r w:rsidRPr="00AA7FF4">
        <w:t>organisations</w:t>
      </w:r>
      <w:proofErr w:type="spellEnd"/>
      <w:r w:rsidRPr="00AA7FF4">
        <w:t xml:space="preserve"> in policy design and implementation, and expand education campaigns to promote grassroots ownership of climate action.</w:t>
      </w:r>
    </w:p>
    <w:p w14:paraId="66C92B63" w14:textId="77777777" w:rsidR="00C716F7" w:rsidRPr="00AA7FF4" w:rsidRDefault="00C716F7" w:rsidP="002C79B1">
      <w:pPr>
        <w:pStyle w:val="NormalWeb"/>
        <w:numPr>
          <w:ilvl w:val="0"/>
          <w:numId w:val="14"/>
        </w:numPr>
        <w:jc w:val="both"/>
      </w:pPr>
      <w:r w:rsidRPr="00AA7FF4">
        <w:rPr>
          <w:rStyle w:val="Strong"/>
          <w:b w:val="0"/>
          <w:i/>
        </w:rPr>
        <w:t>Foster Multi-Stakeholder Partnerships</w:t>
      </w:r>
      <w:r w:rsidR="002C79B1" w:rsidRPr="00AA7FF4">
        <w:t xml:space="preserve">: </w:t>
      </w:r>
      <w:r w:rsidRPr="00AA7FF4">
        <w:t>Encourage collaboration between government, private sector, academia, and development partners to support innovative, climate-smart solutions.</w:t>
      </w:r>
    </w:p>
    <w:p w14:paraId="4E926548" w14:textId="77777777" w:rsidR="00F43449" w:rsidRDefault="00C716F7" w:rsidP="006C48CA">
      <w:pPr>
        <w:pStyle w:val="NormalWeb"/>
        <w:numPr>
          <w:ilvl w:val="0"/>
          <w:numId w:val="14"/>
        </w:numPr>
        <w:jc w:val="both"/>
      </w:pPr>
      <w:r w:rsidRPr="00AA7FF4">
        <w:rPr>
          <w:rStyle w:val="Strong"/>
          <w:b w:val="0"/>
          <w:i/>
        </w:rPr>
        <w:t>Adopt a Regional Comparative Approach</w:t>
      </w:r>
      <w:r w:rsidR="002C79B1" w:rsidRPr="00AA7FF4">
        <w:rPr>
          <w:b/>
          <w:i/>
        </w:rPr>
        <w:t>:</w:t>
      </w:r>
      <w:r w:rsidR="002C79B1" w:rsidRPr="00AA7FF4">
        <w:t xml:space="preserve"> </w:t>
      </w:r>
      <w:r w:rsidRPr="00AA7FF4">
        <w:t>Extend similar studies to other geopolitical zones to identify regional variations in governance effectiveness and share best practices nationally.</w:t>
      </w:r>
    </w:p>
    <w:p w14:paraId="37027FBB" w14:textId="77777777" w:rsidR="00C50873" w:rsidRDefault="00C50873" w:rsidP="00C50873">
      <w:pPr>
        <w:pStyle w:val="NormalWeb"/>
        <w:jc w:val="both"/>
      </w:pPr>
    </w:p>
    <w:p w14:paraId="314406F0" w14:textId="77777777" w:rsidR="00C50873" w:rsidRDefault="00C50873" w:rsidP="00C50873">
      <w:pPr>
        <w:pStyle w:val="NormalWeb"/>
        <w:jc w:val="both"/>
      </w:pPr>
    </w:p>
    <w:p w14:paraId="49F46BB4" w14:textId="77777777" w:rsidR="00C50873" w:rsidRDefault="00C50873" w:rsidP="00C50873">
      <w:pPr>
        <w:pStyle w:val="NormalWeb"/>
        <w:jc w:val="both"/>
      </w:pPr>
      <w:r>
        <w:t>COMPETING INTERESTS DISCLAIMER:</w:t>
      </w:r>
    </w:p>
    <w:p w14:paraId="17B2AEBE" w14:textId="40D4B2D4" w:rsidR="00C50873" w:rsidRPr="00AA7FF4" w:rsidRDefault="00C50873" w:rsidP="00C50873">
      <w:pPr>
        <w:pStyle w:val="NormalWeb"/>
        <w:jc w:val="both"/>
      </w:pPr>
      <w:r>
        <w:t>Authors have declared that they have no known competing financial interests OR non-financial interests OR personal relationships that could have appeared to influence the work reported in this paper.</w:t>
      </w:r>
    </w:p>
    <w:p w14:paraId="57A25B52" w14:textId="77777777" w:rsidR="00C50873" w:rsidRDefault="00C50873" w:rsidP="00387E0D">
      <w:pPr>
        <w:pStyle w:val="Heading2"/>
        <w:rPr>
          <w:sz w:val="24"/>
          <w:szCs w:val="24"/>
        </w:rPr>
      </w:pPr>
    </w:p>
    <w:p w14:paraId="61445FB5" w14:textId="3ADD5212" w:rsidR="00387E0D" w:rsidRDefault="00C261F2" w:rsidP="00387E0D">
      <w:pPr>
        <w:pStyle w:val="Heading2"/>
        <w:rPr>
          <w:sz w:val="24"/>
          <w:szCs w:val="24"/>
        </w:rPr>
      </w:pPr>
      <w:r w:rsidRPr="00C261F2">
        <w:rPr>
          <w:sz w:val="24"/>
          <w:szCs w:val="24"/>
        </w:rPr>
        <w:lastRenderedPageBreak/>
        <w:t>REFERENCES</w:t>
      </w:r>
    </w:p>
    <w:p w14:paraId="171899D1"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Adeleke, A. (2019) </w:t>
      </w:r>
      <w:r w:rsidRPr="00BA09E3">
        <w:rPr>
          <w:rStyle w:val="Emphasis"/>
          <w:rFonts w:ascii="Times New Roman" w:hAnsi="Times New Roman" w:cs="Times New Roman"/>
          <w:sz w:val="24"/>
          <w:szCs w:val="24"/>
        </w:rPr>
        <w:t>Environmental governance in Africa: Challenges and prospects</w:t>
      </w:r>
      <w:r w:rsidRPr="00BA09E3">
        <w:rPr>
          <w:rFonts w:ascii="Times New Roman" w:hAnsi="Times New Roman" w:cs="Times New Roman"/>
          <w:sz w:val="24"/>
          <w:szCs w:val="24"/>
        </w:rPr>
        <w:t>. Lagos: University of Lagos Press.</w:t>
      </w:r>
    </w:p>
    <w:p w14:paraId="25D1B275"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Adeleke, A. and Ogbonnaya, C. (2021) ‘Climate change governance in Nigeria: Policies, politics and prospects’, </w:t>
      </w:r>
      <w:r w:rsidRPr="00BA09E3">
        <w:rPr>
          <w:rStyle w:val="Emphasis"/>
          <w:rFonts w:ascii="Times New Roman" w:hAnsi="Times New Roman" w:cs="Times New Roman"/>
          <w:sz w:val="24"/>
          <w:szCs w:val="24"/>
        </w:rPr>
        <w:t>Journal of African Environmental Studies</w:t>
      </w:r>
      <w:r w:rsidRPr="00BA09E3">
        <w:rPr>
          <w:rFonts w:ascii="Times New Roman" w:hAnsi="Times New Roman" w:cs="Times New Roman"/>
          <w:sz w:val="24"/>
          <w:szCs w:val="24"/>
        </w:rPr>
        <w:t>, 5(2), pp. 45–62.</w:t>
      </w:r>
    </w:p>
    <w:p w14:paraId="78B7E993"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AP (2024) ‘Nigerian agency “failed completely” to clean up oil damage despite funding, leaked files say’, </w:t>
      </w:r>
      <w:r w:rsidRPr="00BA09E3">
        <w:rPr>
          <w:rStyle w:val="Emphasis"/>
          <w:rFonts w:ascii="Times New Roman" w:hAnsi="Times New Roman" w:cs="Times New Roman"/>
          <w:sz w:val="24"/>
          <w:szCs w:val="24"/>
        </w:rPr>
        <w:t>AP News</w:t>
      </w:r>
      <w:r w:rsidRPr="00BA09E3">
        <w:rPr>
          <w:rFonts w:ascii="Times New Roman" w:hAnsi="Times New Roman" w:cs="Times New Roman"/>
          <w:sz w:val="24"/>
          <w:szCs w:val="24"/>
        </w:rPr>
        <w:t>. Available at: https://apnews.com/article/c8bb10645de45a16707a8574bc7791fd (Accessed: 30 September 2025).</w:t>
      </w:r>
    </w:p>
    <w:p w14:paraId="428899A6"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Climate Action Tracker (2022) </w:t>
      </w:r>
      <w:r w:rsidRPr="00BA09E3">
        <w:rPr>
          <w:rStyle w:val="Emphasis"/>
          <w:rFonts w:ascii="Times New Roman" w:hAnsi="Times New Roman" w:cs="Times New Roman"/>
          <w:sz w:val="24"/>
          <w:szCs w:val="24"/>
        </w:rPr>
        <w:t>Climate governance in Nigeria</w:t>
      </w:r>
      <w:r w:rsidRPr="00BA09E3">
        <w:rPr>
          <w:rFonts w:ascii="Times New Roman" w:hAnsi="Times New Roman" w:cs="Times New Roman"/>
          <w:sz w:val="24"/>
          <w:szCs w:val="24"/>
        </w:rPr>
        <w:t>. Available at: https://climateactiontracker.org/publications/climate-governance-in-nigeria/ (Accessed: 30 September 2025).</w:t>
      </w:r>
    </w:p>
    <w:p w14:paraId="0D7B48DA"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Creswell, J.W. (2018) </w:t>
      </w:r>
      <w:r w:rsidRPr="00BA09E3">
        <w:rPr>
          <w:rStyle w:val="Emphasis"/>
          <w:rFonts w:ascii="Times New Roman" w:hAnsi="Times New Roman" w:cs="Times New Roman"/>
          <w:sz w:val="24"/>
          <w:szCs w:val="24"/>
        </w:rPr>
        <w:t>Research design: Qualitative, quantitative, and mixed methods approaches</w:t>
      </w:r>
      <w:r w:rsidRPr="00BA09E3">
        <w:rPr>
          <w:rFonts w:ascii="Times New Roman" w:hAnsi="Times New Roman" w:cs="Times New Roman"/>
          <w:sz w:val="24"/>
          <w:szCs w:val="24"/>
        </w:rPr>
        <w:t xml:space="preserve">. 5th </w:t>
      </w:r>
      <w:proofErr w:type="spellStart"/>
      <w:r w:rsidRPr="00BA09E3">
        <w:rPr>
          <w:rFonts w:ascii="Times New Roman" w:hAnsi="Times New Roman" w:cs="Times New Roman"/>
          <w:sz w:val="24"/>
          <w:szCs w:val="24"/>
        </w:rPr>
        <w:t>edn</w:t>
      </w:r>
      <w:proofErr w:type="spellEnd"/>
      <w:r w:rsidRPr="00BA09E3">
        <w:rPr>
          <w:rFonts w:ascii="Times New Roman" w:hAnsi="Times New Roman" w:cs="Times New Roman"/>
          <w:sz w:val="24"/>
          <w:szCs w:val="24"/>
        </w:rPr>
        <w:t>. Thousand Oaks: Sage.</w:t>
      </w:r>
    </w:p>
    <w:p w14:paraId="4DA69AFA"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Eleri, E. and Ani, A. (2017) ‘Climate change in Nigeria: A review of policy responses’, </w:t>
      </w:r>
      <w:r w:rsidRPr="00BA09E3">
        <w:rPr>
          <w:rStyle w:val="Emphasis"/>
          <w:rFonts w:ascii="Times New Roman" w:hAnsi="Times New Roman" w:cs="Times New Roman"/>
          <w:sz w:val="24"/>
          <w:szCs w:val="24"/>
        </w:rPr>
        <w:t>African Journal of Environmental Policy</w:t>
      </w:r>
      <w:r w:rsidRPr="00BA09E3">
        <w:rPr>
          <w:rFonts w:ascii="Times New Roman" w:hAnsi="Times New Roman" w:cs="Times New Roman"/>
          <w:sz w:val="24"/>
          <w:szCs w:val="24"/>
        </w:rPr>
        <w:t>, 3(1), pp. 12–28.</w:t>
      </w:r>
    </w:p>
    <w:p w14:paraId="0B94431D"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Federal Government of Nigeria (FGN), 2021. </w:t>
      </w:r>
      <w:r w:rsidRPr="00BA09E3">
        <w:rPr>
          <w:rStyle w:val="Emphasis"/>
          <w:rFonts w:ascii="Times New Roman" w:hAnsi="Times New Roman" w:cs="Times New Roman"/>
          <w:sz w:val="24"/>
          <w:szCs w:val="24"/>
        </w:rPr>
        <w:t>Nigeria’s Updated Nationally Determined Contribution (NDC)</w:t>
      </w:r>
      <w:r w:rsidRPr="00BA09E3">
        <w:rPr>
          <w:rFonts w:ascii="Times New Roman" w:hAnsi="Times New Roman" w:cs="Times New Roman"/>
          <w:sz w:val="24"/>
          <w:szCs w:val="24"/>
        </w:rPr>
        <w:t>. Abuja: Federal Ministry of Environment.</w:t>
      </w:r>
    </w:p>
    <w:p w14:paraId="51DF5E4A"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Federal Government of Nigeria (2012) </w:t>
      </w:r>
      <w:r w:rsidRPr="00BA09E3">
        <w:rPr>
          <w:rStyle w:val="Emphasis"/>
          <w:rFonts w:ascii="Times New Roman" w:hAnsi="Times New Roman" w:cs="Times New Roman"/>
          <w:sz w:val="24"/>
          <w:szCs w:val="24"/>
        </w:rPr>
        <w:t>National Climate Change Policy for Nigeria</w:t>
      </w:r>
      <w:r w:rsidRPr="00BA09E3">
        <w:rPr>
          <w:rFonts w:ascii="Times New Roman" w:hAnsi="Times New Roman" w:cs="Times New Roman"/>
          <w:sz w:val="24"/>
          <w:szCs w:val="24"/>
        </w:rPr>
        <w:t>. Abuja: Federal Ministry of Environment. Available at: https://faolex.fao.org/docs/pdf/NIG209876.pdf (Accessed: 30 September 2025).</w:t>
      </w:r>
    </w:p>
    <w:p w14:paraId="013123EA"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Intergovernmental Panel on Climate Change (IPCC) (2022) </w:t>
      </w:r>
      <w:r w:rsidRPr="00BA09E3">
        <w:rPr>
          <w:rStyle w:val="Emphasis"/>
          <w:rFonts w:ascii="Times New Roman" w:hAnsi="Times New Roman" w:cs="Times New Roman"/>
          <w:sz w:val="24"/>
          <w:szCs w:val="24"/>
        </w:rPr>
        <w:t>Climate Change 2022: Impacts, adaptation, and vulnerability</w:t>
      </w:r>
      <w:r w:rsidRPr="00BA09E3">
        <w:rPr>
          <w:rFonts w:ascii="Times New Roman" w:hAnsi="Times New Roman" w:cs="Times New Roman"/>
          <w:sz w:val="24"/>
          <w:szCs w:val="24"/>
        </w:rPr>
        <w:t>. Cambridge: Cambridge University Press.</w:t>
      </w:r>
    </w:p>
    <w:p w14:paraId="553B721E"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Jordan, A., Wurzel, R.K.W. and Zito, A.R. (2013) </w:t>
      </w:r>
      <w:r w:rsidRPr="00BA09E3">
        <w:rPr>
          <w:rStyle w:val="Emphasis"/>
          <w:rFonts w:ascii="Times New Roman" w:hAnsi="Times New Roman" w:cs="Times New Roman"/>
          <w:sz w:val="24"/>
          <w:szCs w:val="24"/>
        </w:rPr>
        <w:t>Environmental governance in Europe: An introduction</w:t>
      </w:r>
      <w:r w:rsidRPr="00BA09E3">
        <w:rPr>
          <w:rFonts w:ascii="Times New Roman" w:hAnsi="Times New Roman" w:cs="Times New Roman"/>
          <w:sz w:val="24"/>
          <w:szCs w:val="24"/>
        </w:rPr>
        <w:t>. Cheltenham: Edward Elgar.</w:t>
      </w:r>
    </w:p>
    <w:p w14:paraId="6495C5E2"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Leftwich, A. (2007) ‘From drivers of change to the politics of development: Refining the analytical framework to understand the politics of the places where we work’, </w:t>
      </w:r>
      <w:r w:rsidRPr="00BA09E3">
        <w:rPr>
          <w:rStyle w:val="Emphasis"/>
          <w:rFonts w:ascii="Times New Roman" w:hAnsi="Times New Roman" w:cs="Times New Roman"/>
          <w:sz w:val="24"/>
          <w:szCs w:val="24"/>
        </w:rPr>
        <w:t>Research and Evidence Division Paper</w:t>
      </w:r>
      <w:r w:rsidRPr="00BA09E3">
        <w:rPr>
          <w:rFonts w:ascii="Times New Roman" w:hAnsi="Times New Roman" w:cs="Times New Roman"/>
          <w:sz w:val="24"/>
          <w:szCs w:val="24"/>
        </w:rPr>
        <w:t>. London: DFID.</w:t>
      </w:r>
    </w:p>
    <w:p w14:paraId="60D5645D"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Lemos, M.C. and Agrawal, A. (2006) ‘Environmental governance’, </w:t>
      </w:r>
      <w:r w:rsidRPr="00BA09E3">
        <w:rPr>
          <w:rStyle w:val="Emphasis"/>
          <w:rFonts w:ascii="Times New Roman" w:hAnsi="Times New Roman" w:cs="Times New Roman"/>
          <w:sz w:val="24"/>
          <w:szCs w:val="24"/>
        </w:rPr>
        <w:t>Annual Review of Environment and Resources</w:t>
      </w:r>
      <w:r w:rsidRPr="00BA09E3">
        <w:rPr>
          <w:rFonts w:ascii="Times New Roman" w:hAnsi="Times New Roman" w:cs="Times New Roman"/>
          <w:sz w:val="24"/>
          <w:szCs w:val="24"/>
        </w:rPr>
        <w:t>, 31(1), pp. 297–325.</w:t>
      </w:r>
    </w:p>
    <w:p w14:paraId="757827E3"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NASA (2021) </w:t>
      </w:r>
      <w:r w:rsidRPr="00BA09E3">
        <w:rPr>
          <w:rStyle w:val="Emphasis"/>
          <w:rFonts w:ascii="Times New Roman" w:hAnsi="Times New Roman" w:cs="Times New Roman"/>
          <w:sz w:val="24"/>
          <w:szCs w:val="24"/>
        </w:rPr>
        <w:t>The causes of climate change</w:t>
      </w:r>
      <w:r w:rsidRPr="00BA09E3">
        <w:rPr>
          <w:rFonts w:ascii="Times New Roman" w:hAnsi="Times New Roman" w:cs="Times New Roman"/>
          <w:sz w:val="24"/>
          <w:szCs w:val="24"/>
        </w:rPr>
        <w:t>. Available at: https://climate.nasa.gov/causes (Accessed: 30 September 2025).</w:t>
      </w:r>
    </w:p>
    <w:p w14:paraId="1D9F2315"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Nhamo, G., Nhemachena, C. and Nhamo, S. (2020) ‘Climate change and African economies’, </w:t>
      </w:r>
      <w:r w:rsidRPr="00BA09E3">
        <w:rPr>
          <w:rStyle w:val="Emphasis"/>
          <w:rFonts w:ascii="Times New Roman" w:hAnsi="Times New Roman" w:cs="Times New Roman"/>
          <w:sz w:val="24"/>
          <w:szCs w:val="24"/>
        </w:rPr>
        <w:t>Sustainability</w:t>
      </w:r>
      <w:r w:rsidRPr="00BA09E3">
        <w:rPr>
          <w:rFonts w:ascii="Times New Roman" w:hAnsi="Times New Roman" w:cs="Times New Roman"/>
          <w:sz w:val="24"/>
          <w:szCs w:val="24"/>
        </w:rPr>
        <w:t>, 12(3), pp. 1–18.</w:t>
      </w:r>
    </w:p>
    <w:p w14:paraId="7D119A97" w14:textId="77777777" w:rsidR="002B129C" w:rsidRPr="00BA09E3" w:rsidRDefault="002B129C" w:rsidP="002B129C">
      <w:pPr>
        <w:pStyle w:val="NoSpacing"/>
        <w:ind w:left="720" w:hanging="720"/>
        <w:jc w:val="both"/>
        <w:rPr>
          <w:rFonts w:ascii="Times New Roman" w:hAnsi="Times New Roman" w:cs="Times New Roman"/>
          <w:sz w:val="24"/>
          <w:szCs w:val="24"/>
        </w:rPr>
      </w:pPr>
      <w:proofErr w:type="spellStart"/>
      <w:r w:rsidRPr="00BA09E3">
        <w:rPr>
          <w:rFonts w:ascii="Times New Roman" w:hAnsi="Times New Roman" w:cs="Times New Roman"/>
          <w:sz w:val="24"/>
          <w:szCs w:val="24"/>
        </w:rPr>
        <w:t>Odjugo</w:t>
      </w:r>
      <w:proofErr w:type="spellEnd"/>
      <w:r w:rsidRPr="00BA09E3">
        <w:rPr>
          <w:rFonts w:ascii="Times New Roman" w:hAnsi="Times New Roman" w:cs="Times New Roman"/>
          <w:sz w:val="24"/>
          <w:szCs w:val="24"/>
        </w:rPr>
        <w:t xml:space="preserve">, P.A.O. (2010) ‘General overview of climate change impacts in Nigeria’, </w:t>
      </w:r>
      <w:r w:rsidRPr="00BA09E3">
        <w:rPr>
          <w:rStyle w:val="Emphasis"/>
          <w:rFonts w:ascii="Times New Roman" w:hAnsi="Times New Roman" w:cs="Times New Roman"/>
          <w:sz w:val="24"/>
          <w:szCs w:val="24"/>
        </w:rPr>
        <w:t>Journal of Human Ecology</w:t>
      </w:r>
      <w:r w:rsidRPr="00BA09E3">
        <w:rPr>
          <w:rFonts w:ascii="Times New Roman" w:hAnsi="Times New Roman" w:cs="Times New Roman"/>
          <w:sz w:val="24"/>
          <w:szCs w:val="24"/>
        </w:rPr>
        <w:t>, 29(1), pp. 47–55.</w:t>
      </w:r>
    </w:p>
    <w:p w14:paraId="27649B60" w14:textId="77777777" w:rsidR="002B129C" w:rsidRPr="00BA09E3" w:rsidRDefault="002B129C" w:rsidP="002B129C">
      <w:pPr>
        <w:pStyle w:val="NoSpacing"/>
        <w:ind w:left="720" w:hanging="720"/>
        <w:jc w:val="both"/>
        <w:rPr>
          <w:rFonts w:ascii="Times New Roman" w:hAnsi="Times New Roman" w:cs="Times New Roman"/>
          <w:sz w:val="24"/>
          <w:szCs w:val="24"/>
        </w:rPr>
      </w:pPr>
      <w:proofErr w:type="spellStart"/>
      <w:r w:rsidRPr="00BA09E3">
        <w:rPr>
          <w:rFonts w:ascii="Times New Roman" w:hAnsi="Times New Roman" w:cs="Times New Roman"/>
          <w:sz w:val="24"/>
          <w:szCs w:val="24"/>
        </w:rPr>
        <w:t>Ogunkan</w:t>
      </w:r>
      <w:proofErr w:type="spellEnd"/>
      <w:r w:rsidRPr="00BA09E3">
        <w:rPr>
          <w:rFonts w:ascii="Times New Roman" w:hAnsi="Times New Roman" w:cs="Times New Roman"/>
          <w:sz w:val="24"/>
          <w:szCs w:val="24"/>
        </w:rPr>
        <w:t xml:space="preserve">, D.V. (2022) ‘Achieving sustainable environmental governance in Nigeria’, </w:t>
      </w:r>
      <w:r w:rsidRPr="00BA09E3">
        <w:rPr>
          <w:rStyle w:val="Emphasis"/>
          <w:rFonts w:ascii="Times New Roman" w:hAnsi="Times New Roman" w:cs="Times New Roman"/>
          <w:sz w:val="24"/>
          <w:szCs w:val="24"/>
        </w:rPr>
        <w:t>Environmental Policy and Governance</w:t>
      </w:r>
      <w:r w:rsidRPr="00BA09E3">
        <w:rPr>
          <w:rFonts w:ascii="Times New Roman" w:hAnsi="Times New Roman" w:cs="Times New Roman"/>
          <w:sz w:val="24"/>
          <w:szCs w:val="24"/>
        </w:rPr>
        <w:t>, 32, pp. 123–138.</w:t>
      </w:r>
    </w:p>
    <w:p w14:paraId="59A989EA"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Okafor, C.N. (2024) ‘Climate change mitigation and adaptation in Nigeria’, </w:t>
      </w:r>
      <w:r w:rsidRPr="00BA09E3">
        <w:rPr>
          <w:rStyle w:val="Emphasis"/>
          <w:rFonts w:ascii="Times New Roman" w:hAnsi="Times New Roman" w:cs="Times New Roman"/>
          <w:sz w:val="24"/>
          <w:szCs w:val="24"/>
        </w:rPr>
        <w:t>Sustainability</w:t>
      </w:r>
      <w:r w:rsidRPr="00BA09E3">
        <w:rPr>
          <w:rFonts w:ascii="Times New Roman" w:hAnsi="Times New Roman" w:cs="Times New Roman"/>
          <w:sz w:val="24"/>
          <w:szCs w:val="24"/>
        </w:rPr>
        <w:t>, 16(16), 7048.</w:t>
      </w:r>
    </w:p>
    <w:p w14:paraId="581CC041"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Omotoso, D. (2023) ‘Governance and the climate crisis in Nigeria: Lessons for policy implementation’, </w:t>
      </w:r>
      <w:r w:rsidRPr="00BA09E3">
        <w:rPr>
          <w:rStyle w:val="Emphasis"/>
          <w:rFonts w:ascii="Times New Roman" w:hAnsi="Times New Roman" w:cs="Times New Roman"/>
          <w:sz w:val="24"/>
          <w:szCs w:val="24"/>
        </w:rPr>
        <w:t>African Governance Review</w:t>
      </w:r>
      <w:r w:rsidRPr="00BA09E3">
        <w:rPr>
          <w:rFonts w:ascii="Times New Roman" w:hAnsi="Times New Roman" w:cs="Times New Roman"/>
          <w:sz w:val="24"/>
          <w:szCs w:val="24"/>
        </w:rPr>
        <w:t>, 12(4), pp. 211–228.</w:t>
      </w:r>
    </w:p>
    <w:p w14:paraId="62086D2E"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Onuoha, F. (2008) ‘Environment degradation, livelihood and conflicts: A focus on the implications of the diminishing water resources of Lake Chad for North-Eastern Nigeria’, </w:t>
      </w:r>
      <w:r w:rsidRPr="00BA09E3">
        <w:rPr>
          <w:rStyle w:val="Emphasis"/>
          <w:rFonts w:ascii="Times New Roman" w:hAnsi="Times New Roman" w:cs="Times New Roman"/>
          <w:sz w:val="24"/>
          <w:szCs w:val="24"/>
        </w:rPr>
        <w:t>African Journal on Conflict Resolution</w:t>
      </w:r>
      <w:r w:rsidRPr="00BA09E3">
        <w:rPr>
          <w:rFonts w:ascii="Times New Roman" w:hAnsi="Times New Roman" w:cs="Times New Roman"/>
          <w:sz w:val="24"/>
          <w:szCs w:val="24"/>
        </w:rPr>
        <w:t>, 8(2), pp. 35–61</w:t>
      </w:r>
    </w:p>
    <w:p w14:paraId="7851694E"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lastRenderedPageBreak/>
        <w:t xml:space="preserve">Ostrom, E. (2005) </w:t>
      </w:r>
      <w:r w:rsidRPr="00BA09E3">
        <w:rPr>
          <w:rStyle w:val="Emphasis"/>
          <w:rFonts w:ascii="Times New Roman" w:hAnsi="Times New Roman" w:cs="Times New Roman"/>
          <w:sz w:val="24"/>
          <w:szCs w:val="24"/>
        </w:rPr>
        <w:t>Understanding institutional diversity</w:t>
      </w:r>
      <w:r w:rsidRPr="00BA09E3">
        <w:rPr>
          <w:rFonts w:ascii="Times New Roman" w:hAnsi="Times New Roman" w:cs="Times New Roman"/>
          <w:sz w:val="24"/>
          <w:szCs w:val="24"/>
        </w:rPr>
        <w:t>. Princeton: Princeton University Press.</w:t>
      </w:r>
    </w:p>
    <w:p w14:paraId="6641CF3E"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Sachs, J. (2015) </w:t>
      </w:r>
      <w:r w:rsidRPr="00BA09E3">
        <w:rPr>
          <w:rStyle w:val="Emphasis"/>
          <w:rFonts w:ascii="Times New Roman" w:hAnsi="Times New Roman" w:cs="Times New Roman"/>
          <w:sz w:val="24"/>
          <w:szCs w:val="24"/>
        </w:rPr>
        <w:t>The age of sustainable development</w:t>
      </w:r>
      <w:r w:rsidRPr="00BA09E3">
        <w:rPr>
          <w:rFonts w:ascii="Times New Roman" w:hAnsi="Times New Roman" w:cs="Times New Roman"/>
          <w:sz w:val="24"/>
          <w:szCs w:val="24"/>
        </w:rPr>
        <w:t>. New York: Columbia University Press.</w:t>
      </w:r>
    </w:p>
    <w:p w14:paraId="05B86BBF"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UNEP (2019) </w:t>
      </w:r>
      <w:r w:rsidRPr="00BA09E3">
        <w:rPr>
          <w:rStyle w:val="Emphasis"/>
          <w:rFonts w:ascii="Times New Roman" w:hAnsi="Times New Roman" w:cs="Times New Roman"/>
          <w:sz w:val="24"/>
          <w:szCs w:val="24"/>
        </w:rPr>
        <w:t>Environmental governance</w:t>
      </w:r>
      <w:r w:rsidRPr="00BA09E3">
        <w:rPr>
          <w:rFonts w:ascii="Times New Roman" w:hAnsi="Times New Roman" w:cs="Times New Roman"/>
          <w:sz w:val="24"/>
          <w:szCs w:val="24"/>
        </w:rPr>
        <w:t xml:space="preserve">. Nairobi: United Nations Environment </w:t>
      </w:r>
      <w:proofErr w:type="spellStart"/>
      <w:r w:rsidRPr="00BA09E3">
        <w:rPr>
          <w:rFonts w:ascii="Times New Roman" w:hAnsi="Times New Roman" w:cs="Times New Roman"/>
          <w:sz w:val="24"/>
          <w:szCs w:val="24"/>
        </w:rPr>
        <w:t>Programme</w:t>
      </w:r>
      <w:proofErr w:type="spellEnd"/>
      <w:r w:rsidRPr="00BA09E3">
        <w:rPr>
          <w:rFonts w:ascii="Times New Roman" w:hAnsi="Times New Roman" w:cs="Times New Roman"/>
          <w:sz w:val="24"/>
          <w:szCs w:val="24"/>
        </w:rPr>
        <w:t>.</w:t>
      </w:r>
    </w:p>
    <w:p w14:paraId="0F0A3949"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World Bank (2022) </w:t>
      </w:r>
      <w:r w:rsidRPr="00BA09E3">
        <w:rPr>
          <w:rStyle w:val="Emphasis"/>
          <w:rFonts w:ascii="Times New Roman" w:hAnsi="Times New Roman" w:cs="Times New Roman"/>
          <w:sz w:val="24"/>
          <w:szCs w:val="24"/>
        </w:rPr>
        <w:t>Nigeria: Climate risk country profile</w:t>
      </w:r>
      <w:r w:rsidRPr="00BA09E3">
        <w:rPr>
          <w:rFonts w:ascii="Times New Roman" w:hAnsi="Times New Roman" w:cs="Times New Roman"/>
          <w:sz w:val="24"/>
          <w:szCs w:val="24"/>
        </w:rPr>
        <w:t>. Washington, DC: World Bank.</w:t>
      </w:r>
    </w:p>
    <w:p w14:paraId="16445028" w14:textId="77777777" w:rsidR="002B129C" w:rsidRPr="00BA09E3" w:rsidRDefault="002B129C" w:rsidP="002B129C">
      <w:pPr>
        <w:pStyle w:val="NoSpacing"/>
        <w:ind w:left="720" w:hanging="720"/>
        <w:jc w:val="both"/>
        <w:rPr>
          <w:rFonts w:ascii="Times New Roman" w:hAnsi="Times New Roman" w:cs="Times New Roman"/>
          <w:sz w:val="24"/>
          <w:szCs w:val="24"/>
        </w:rPr>
      </w:pPr>
      <w:r w:rsidRPr="00BA09E3">
        <w:rPr>
          <w:rFonts w:ascii="Times New Roman" w:hAnsi="Times New Roman" w:cs="Times New Roman"/>
          <w:sz w:val="24"/>
          <w:szCs w:val="24"/>
        </w:rPr>
        <w:t xml:space="preserve">Yamane, T. (1967). </w:t>
      </w:r>
      <w:r w:rsidRPr="00BA09E3">
        <w:rPr>
          <w:rStyle w:val="Emphasis"/>
          <w:rFonts w:ascii="Times New Roman" w:eastAsiaTheme="majorEastAsia" w:hAnsi="Times New Roman" w:cs="Times New Roman"/>
          <w:sz w:val="24"/>
          <w:szCs w:val="24"/>
        </w:rPr>
        <w:t>Statistics: An introductory analysis</w:t>
      </w:r>
      <w:r w:rsidRPr="00BA09E3">
        <w:rPr>
          <w:rFonts w:ascii="Times New Roman" w:hAnsi="Times New Roman" w:cs="Times New Roman"/>
          <w:sz w:val="24"/>
          <w:szCs w:val="24"/>
        </w:rPr>
        <w:t xml:space="preserve"> (2nd ed.). New York: Harper and Row</w:t>
      </w:r>
    </w:p>
    <w:p w14:paraId="55C3CF91" w14:textId="77777777" w:rsidR="005A17F5" w:rsidRPr="007A4061" w:rsidRDefault="005A17F5" w:rsidP="00387E0D">
      <w:pPr>
        <w:rPr>
          <w:rFonts w:ascii="Times New Roman" w:hAnsi="Times New Roman" w:cs="Times New Roman"/>
          <w:b/>
          <w:sz w:val="24"/>
          <w:szCs w:val="24"/>
        </w:rPr>
      </w:pPr>
    </w:p>
    <w:sectPr w:rsidR="005A17F5" w:rsidRPr="007A4061" w:rsidSect="005A17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F9FE9" w14:textId="77777777" w:rsidR="002973B9" w:rsidRDefault="002973B9" w:rsidP="00E57C5E">
      <w:pPr>
        <w:spacing w:after="0" w:line="240" w:lineRule="auto"/>
      </w:pPr>
      <w:r>
        <w:separator/>
      </w:r>
    </w:p>
  </w:endnote>
  <w:endnote w:type="continuationSeparator" w:id="0">
    <w:p w14:paraId="77A058E3" w14:textId="77777777" w:rsidR="002973B9" w:rsidRDefault="002973B9" w:rsidP="00E5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FB2B" w14:textId="77777777" w:rsidR="00AE2BCD" w:rsidRDefault="00AE2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1141"/>
      <w:docPartObj>
        <w:docPartGallery w:val="Page Numbers (Bottom of Page)"/>
        <w:docPartUnique/>
      </w:docPartObj>
    </w:sdtPr>
    <w:sdtEndPr/>
    <w:sdtContent>
      <w:p w14:paraId="49DC9D9E" w14:textId="77777777" w:rsidR="00E57C5E" w:rsidRDefault="00E57C5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F979050" w14:textId="77777777" w:rsidR="00E57C5E" w:rsidRDefault="00E57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DD03" w14:textId="77777777" w:rsidR="00AE2BCD" w:rsidRDefault="00AE2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D929E" w14:textId="77777777" w:rsidR="002973B9" w:rsidRDefault="002973B9" w:rsidP="00E57C5E">
      <w:pPr>
        <w:spacing w:after="0" w:line="240" w:lineRule="auto"/>
      </w:pPr>
      <w:r>
        <w:separator/>
      </w:r>
    </w:p>
  </w:footnote>
  <w:footnote w:type="continuationSeparator" w:id="0">
    <w:p w14:paraId="51930A85" w14:textId="77777777" w:rsidR="002973B9" w:rsidRDefault="002973B9" w:rsidP="00E57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0457" w14:textId="12165855" w:rsidR="00AE2BCD" w:rsidRDefault="00AE2BCD">
    <w:pPr>
      <w:pStyle w:val="Header"/>
    </w:pPr>
    <w:r>
      <w:rPr>
        <w:noProof/>
      </w:rPr>
      <w:pict w14:anchorId="35081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076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1B7F" w14:textId="0875E188" w:rsidR="00AE2BCD" w:rsidRDefault="00AE2BCD">
    <w:pPr>
      <w:pStyle w:val="Header"/>
    </w:pPr>
    <w:r>
      <w:rPr>
        <w:noProof/>
      </w:rPr>
      <w:pict w14:anchorId="43BEC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076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31E3" w14:textId="64C7051C" w:rsidR="00AE2BCD" w:rsidRDefault="00AE2BCD">
    <w:pPr>
      <w:pStyle w:val="Header"/>
    </w:pPr>
    <w:r>
      <w:rPr>
        <w:noProof/>
      </w:rPr>
      <w:pict w14:anchorId="3C2B5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076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8C1"/>
    <w:multiLevelType w:val="multilevel"/>
    <w:tmpl w:val="C18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562C"/>
    <w:multiLevelType w:val="multilevel"/>
    <w:tmpl w:val="1892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13636"/>
    <w:multiLevelType w:val="multilevel"/>
    <w:tmpl w:val="CF82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F382C"/>
    <w:multiLevelType w:val="multilevel"/>
    <w:tmpl w:val="6F82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51A5A"/>
    <w:multiLevelType w:val="multilevel"/>
    <w:tmpl w:val="29FC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70D80"/>
    <w:multiLevelType w:val="multilevel"/>
    <w:tmpl w:val="1D3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627FF"/>
    <w:multiLevelType w:val="hybridMultilevel"/>
    <w:tmpl w:val="428C4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C7B50"/>
    <w:multiLevelType w:val="multilevel"/>
    <w:tmpl w:val="F338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3B2A41"/>
    <w:multiLevelType w:val="multilevel"/>
    <w:tmpl w:val="58B6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526C4"/>
    <w:multiLevelType w:val="multilevel"/>
    <w:tmpl w:val="EBA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35BD4"/>
    <w:multiLevelType w:val="multilevel"/>
    <w:tmpl w:val="27E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00200"/>
    <w:multiLevelType w:val="multilevel"/>
    <w:tmpl w:val="F728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FE7622"/>
    <w:multiLevelType w:val="multilevel"/>
    <w:tmpl w:val="8F0E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22CD9"/>
    <w:multiLevelType w:val="multilevel"/>
    <w:tmpl w:val="5AD0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927C1"/>
    <w:multiLevelType w:val="multilevel"/>
    <w:tmpl w:val="8B2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F2BD5"/>
    <w:multiLevelType w:val="multilevel"/>
    <w:tmpl w:val="8EDA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F62A1"/>
    <w:multiLevelType w:val="multilevel"/>
    <w:tmpl w:val="042E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7B1C1B"/>
    <w:multiLevelType w:val="multilevel"/>
    <w:tmpl w:val="C65C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6B7C0F"/>
    <w:multiLevelType w:val="multilevel"/>
    <w:tmpl w:val="1DFC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31A72"/>
    <w:multiLevelType w:val="hybridMultilevel"/>
    <w:tmpl w:val="71543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1"/>
  </w:num>
  <w:num w:numId="5">
    <w:abstractNumId w:val="13"/>
  </w:num>
  <w:num w:numId="6">
    <w:abstractNumId w:val="14"/>
  </w:num>
  <w:num w:numId="7">
    <w:abstractNumId w:val="9"/>
  </w:num>
  <w:num w:numId="8">
    <w:abstractNumId w:val="16"/>
  </w:num>
  <w:num w:numId="9">
    <w:abstractNumId w:val="0"/>
  </w:num>
  <w:num w:numId="10">
    <w:abstractNumId w:val="3"/>
  </w:num>
  <w:num w:numId="11">
    <w:abstractNumId w:val="8"/>
  </w:num>
  <w:num w:numId="12">
    <w:abstractNumId w:val="10"/>
  </w:num>
  <w:num w:numId="13">
    <w:abstractNumId w:val="15"/>
  </w:num>
  <w:num w:numId="14">
    <w:abstractNumId w:val="2"/>
  </w:num>
  <w:num w:numId="15">
    <w:abstractNumId w:val="12"/>
  </w:num>
  <w:num w:numId="16">
    <w:abstractNumId w:val="5"/>
  </w:num>
  <w:num w:numId="17">
    <w:abstractNumId w:val="18"/>
  </w:num>
  <w:num w:numId="18">
    <w:abstractNumId w:val="7"/>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4061"/>
    <w:rsid w:val="00016793"/>
    <w:rsid w:val="00087981"/>
    <w:rsid w:val="000B1F91"/>
    <w:rsid w:val="000F19DB"/>
    <w:rsid w:val="00117F63"/>
    <w:rsid w:val="001B5D25"/>
    <w:rsid w:val="001C7457"/>
    <w:rsid w:val="00217C7B"/>
    <w:rsid w:val="002973B9"/>
    <w:rsid w:val="002A67F7"/>
    <w:rsid w:val="002B129C"/>
    <w:rsid w:val="002C79B1"/>
    <w:rsid w:val="002D595C"/>
    <w:rsid w:val="002D5C01"/>
    <w:rsid w:val="0030213B"/>
    <w:rsid w:val="00317111"/>
    <w:rsid w:val="00331A95"/>
    <w:rsid w:val="00377FA5"/>
    <w:rsid w:val="00387E0D"/>
    <w:rsid w:val="003C03D3"/>
    <w:rsid w:val="0040279C"/>
    <w:rsid w:val="00441731"/>
    <w:rsid w:val="00446596"/>
    <w:rsid w:val="00446A08"/>
    <w:rsid w:val="0049172D"/>
    <w:rsid w:val="00560DE0"/>
    <w:rsid w:val="005A17F5"/>
    <w:rsid w:val="00651A8E"/>
    <w:rsid w:val="0068274D"/>
    <w:rsid w:val="006C48CA"/>
    <w:rsid w:val="006D6BD9"/>
    <w:rsid w:val="006E40CF"/>
    <w:rsid w:val="006F1176"/>
    <w:rsid w:val="007A4061"/>
    <w:rsid w:val="00852F6D"/>
    <w:rsid w:val="00882DC2"/>
    <w:rsid w:val="0093100E"/>
    <w:rsid w:val="009B53E5"/>
    <w:rsid w:val="00A270F4"/>
    <w:rsid w:val="00A852CD"/>
    <w:rsid w:val="00AA7FF4"/>
    <w:rsid w:val="00AE2BCD"/>
    <w:rsid w:val="00B464F3"/>
    <w:rsid w:val="00BB239C"/>
    <w:rsid w:val="00C261F2"/>
    <w:rsid w:val="00C50873"/>
    <w:rsid w:val="00C65986"/>
    <w:rsid w:val="00C663A0"/>
    <w:rsid w:val="00C716F7"/>
    <w:rsid w:val="00C8791C"/>
    <w:rsid w:val="00D028FC"/>
    <w:rsid w:val="00D22424"/>
    <w:rsid w:val="00D57DB6"/>
    <w:rsid w:val="00DF73A6"/>
    <w:rsid w:val="00E53359"/>
    <w:rsid w:val="00E57C5E"/>
    <w:rsid w:val="00E625DE"/>
    <w:rsid w:val="00E93311"/>
    <w:rsid w:val="00F15037"/>
    <w:rsid w:val="00F43449"/>
    <w:rsid w:val="00F70D39"/>
    <w:rsid w:val="00FD115C"/>
    <w:rsid w:val="00FF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A72DE"/>
  <w15:docId w15:val="{E34504FF-6147-4243-8643-BDF17A9B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7F5"/>
  </w:style>
  <w:style w:type="paragraph" w:styleId="Heading1">
    <w:name w:val="heading 1"/>
    <w:basedOn w:val="Normal"/>
    <w:next w:val="Normal"/>
    <w:link w:val="Heading1Char"/>
    <w:uiPriority w:val="9"/>
    <w:qFormat/>
    <w:rsid w:val="00387E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87E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A67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2F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7E0D"/>
    <w:rPr>
      <w:rFonts w:ascii="Times New Roman" w:eastAsia="Times New Roman" w:hAnsi="Times New Roman" w:cs="Times New Roman"/>
      <w:b/>
      <w:bCs/>
      <w:sz w:val="36"/>
      <w:szCs w:val="36"/>
    </w:rPr>
  </w:style>
  <w:style w:type="paragraph" w:styleId="NormalWeb">
    <w:name w:val="Normal (Web)"/>
    <w:basedOn w:val="Normal"/>
    <w:uiPriority w:val="99"/>
    <w:unhideWhenUsed/>
    <w:rsid w:val="00387E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7E0D"/>
    <w:rPr>
      <w:i/>
      <w:iCs/>
    </w:rPr>
  </w:style>
  <w:style w:type="character" w:customStyle="1" w:styleId="Heading1Char">
    <w:name w:val="Heading 1 Char"/>
    <w:basedOn w:val="DefaultParagraphFont"/>
    <w:link w:val="Heading1"/>
    <w:uiPriority w:val="9"/>
    <w:rsid w:val="00387E0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A67F7"/>
    <w:pPr>
      <w:spacing w:after="0" w:line="240" w:lineRule="auto"/>
    </w:pPr>
  </w:style>
  <w:style w:type="character" w:customStyle="1" w:styleId="Heading3Char">
    <w:name w:val="Heading 3 Char"/>
    <w:basedOn w:val="DefaultParagraphFont"/>
    <w:link w:val="Heading3"/>
    <w:uiPriority w:val="9"/>
    <w:semiHidden/>
    <w:rsid w:val="002A67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65986"/>
    <w:rPr>
      <w:b/>
      <w:bCs/>
    </w:rPr>
  </w:style>
  <w:style w:type="paragraph" w:styleId="BalloonText">
    <w:name w:val="Balloon Text"/>
    <w:basedOn w:val="Normal"/>
    <w:link w:val="BalloonTextChar"/>
    <w:uiPriority w:val="99"/>
    <w:semiHidden/>
    <w:unhideWhenUsed/>
    <w:rsid w:val="002D5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95C"/>
    <w:rPr>
      <w:rFonts w:ascii="Tahoma" w:hAnsi="Tahoma" w:cs="Tahoma"/>
      <w:sz w:val="16"/>
      <w:szCs w:val="16"/>
    </w:rPr>
  </w:style>
  <w:style w:type="character" w:customStyle="1" w:styleId="katex-mathml">
    <w:name w:val="katex-mathml"/>
    <w:basedOn w:val="DefaultParagraphFont"/>
    <w:rsid w:val="00F43449"/>
  </w:style>
  <w:style w:type="character" w:customStyle="1" w:styleId="mord">
    <w:name w:val="mord"/>
    <w:basedOn w:val="DefaultParagraphFont"/>
    <w:rsid w:val="00F43449"/>
  </w:style>
  <w:style w:type="character" w:customStyle="1" w:styleId="mrel">
    <w:name w:val="mrel"/>
    <w:basedOn w:val="DefaultParagraphFont"/>
    <w:rsid w:val="00F43449"/>
  </w:style>
  <w:style w:type="character" w:customStyle="1" w:styleId="mopen">
    <w:name w:val="mopen"/>
    <w:basedOn w:val="DefaultParagraphFont"/>
    <w:rsid w:val="00F43449"/>
  </w:style>
  <w:style w:type="character" w:customStyle="1" w:styleId="mbin">
    <w:name w:val="mbin"/>
    <w:basedOn w:val="DefaultParagraphFont"/>
    <w:rsid w:val="00F43449"/>
  </w:style>
  <w:style w:type="character" w:customStyle="1" w:styleId="mclose">
    <w:name w:val="mclose"/>
    <w:basedOn w:val="DefaultParagraphFont"/>
    <w:rsid w:val="00F43449"/>
  </w:style>
  <w:style w:type="character" w:customStyle="1" w:styleId="vlist-s">
    <w:name w:val="vlist-s"/>
    <w:basedOn w:val="DefaultParagraphFont"/>
    <w:rsid w:val="00F43449"/>
  </w:style>
  <w:style w:type="character" w:customStyle="1" w:styleId="mpunct">
    <w:name w:val="mpunct"/>
    <w:basedOn w:val="DefaultParagraphFont"/>
    <w:rsid w:val="00F43449"/>
  </w:style>
  <w:style w:type="table" w:styleId="TableGrid">
    <w:name w:val="Table Grid"/>
    <w:basedOn w:val="TableNormal"/>
    <w:uiPriority w:val="59"/>
    <w:rsid w:val="0037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52F6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93311"/>
    <w:rPr>
      <w:color w:val="0000FF" w:themeColor="hyperlink"/>
      <w:u w:val="single"/>
    </w:rPr>
  </w:style>
  <w:style w:type="paragraph" w:styleId="Header">
    <w:name w:val="header"/>
    <w:basedOn w:val="Normal"/>
    <w:link w:val="HeaderChar"/>
    <w:uiPriority w:val="99"/>
    <w:unhideWhenUsed/>
    <w:rsid w:val="00E57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5E"/>
  </w:style>
  <w:style w:type="paragraph" w:styleId="Footer">
    <w:name w:val="footer"/>
    <w:basedOn w:val="Normal"/>
    <w:link w:val="FooterChar"/>
    <w:uiPriority w:val="99"/>
    <w:unhideWhenUsed/>
    <w:rsid w:val="00E57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5E"/>
  </w:style>
  <w:style w:type="character" w:styleId="UnresolvedMention">
    <w:name w:val="Unresolved Mention"/>
    <w:basedOn w:val="DefaultParagraphFont"/>
    <w:uiPriority w:val="99"/>
    <w:semiHidden/>
    <w:unhideWhenUsed/>
    <w:rsid w:val="00FF27BA"/>
    <w:rPr>
      <w:color w:val="605E5C"/>
      <w:shd w:val="clear" w:color="auto" w:fill="E1DFDD"/>
    </w:rPr>
  </w:style>
  <w:style w:type="paragraph" w:styleId="ListParagraph">
    <w:name w:val="List Paragraph"/>
    <w:basedOn w:val="Normal"/>
    <w:uiPriority w:val="34"/>
    <w:qFormat/>
    <w:rsid w:val="00C5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6387">
      <w:bodyDiv w:val="1"/>
      <w:marLeft w:val="0"/>
      <w:marRight w:val="0"/>
      <w:marTop w:val="0"/>
      <w:marBottom w:val="0"/>
      <w:divBdr>
        <w:top w:val="none" w:sz="0" w:space="0" w:color="auto"/>
        <w:left w:val="none" w:sz="0" w:space="0" w:color="auto"/>
        <w:bottom w:val="none" w:sz="0" w:space="0" w:color="auto"/>
        <w:right w:val="none" w:sz="0" w:space="0" w:color="auto"/>
      </w:divBdr>
      <w:divsChild>
        <w:div w:id="900098512">
          <w:marLeft w:val="0"/>
          <w:marRight w:val="0"/>
          <w:marTop w:val="0"/>
          <w:marBottom w:val="0"/>
          <w:divBdr>
            <w:top w:val="none" w:sz="0" w:space="0" w:color="auto"/>
            <w:left w:val="none" w:sz="0" w:space="0" w:color="auto"/>
            <w:bottom w:val="none" w:sz="0" w:space="0" w:color="auto"/>
            <w:right w:val="none" w:sz="0" w:space="0" w:color="auto"/>
          </w:divBdr>
          <w:divsChild>
            <w:div w:id="447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9750">
      <w:bodyDiv w:val="1"/>
      <w:marLeft w:val="0"/>
      <w:marRight w:val="0"/>
      <w:marTop w:val="0"/>
      <w:marBottom w:val="0"/>
      <w:divBdr>
        <w:top w:val="none" w:sz="0" w:space="0" w:color="auto"/>
        <w:left w:val="none" w:sz="0" w:space="0" w:color="auto"/>
        <w:bottom w:val="none" w:sz="0" w:space="0" w:color="auto"/>
        <w:right w:val="none" w:sz="0" w:space="0" w:color="auto"/>
      </w:divBdr>
    </w:div>
    <w:div w:id="126091786">
      <w:bodyDiv w:val="1"/>
      <w:marLeft w:val="0"/>
      <w:marRight w:val="0"/>
      <w:marTop w:val="0"/>
      <w:marBottom w:val="0"/>
      <w:divBdr>
        <w:top w:val="none" w:sz="0" w:space="0" w:color="auto"/>
        <w:left w:val="none" w:sz="0" w:space="0" w:color="auto"/>
        <w:bottom w:val="none" w:sz="0" w:space="0" w:color="auto"/>
        <w:right w:val="none" w:sz="0" w:space="0" w:color="auto"/>
      </w:divBdr>
    </w:div>
    <w:div w:id="187178968">
      <w:bodyDiv w:val="1"/>
      <w:marLeft w:val="0"/>
      <w:marRight w:val="0"/>
      <w:marTop w:val="0"/>
      <w:marBottom w:val="0"/>
      <w:divBdr>
        <w:top w:val="none" w:sz="0" w:space="0" w:color="auto"/>
        <w:left w:val="none" w:sz="0" w:space="0" w:color="auto"/>
        <w:bottom w:val="none" w:sz="0" w:space="0" w:color="auto"/>
        <w:right w:val="none" w:sz="0" w:space="0" w:color="auto"/>
      </w:divBdr>
    </w:div>
    <w:div w:id="199633447">
      <w:bodyDiv w:val="1"/>
      <w:marLeft w:val="0"/>
      <w:marRight w:val="0"/>
      <w:marTop w:val="0"/>
      <w:marBottom w:val="0"/>
      <w:divBdr>
        <w:top w:val="none" w:sz="0" w:space="0" w:color="auto"/>
        <w:left w:val="none" w:sz="0" w:space="0" w:color="auto"/>
        <w:bottom w:val="none" w:sz="0" w:space="0" w:color="auto"/>
        <w:right w:val="none" w:sz="0" w:space="0" w:color="auto"/>
      </w:divBdr>
    </w:div>
    <w:div w:id="249897786">
      <w:bodyDiv w:val="1"/>
      <w:marLeft w:val="0"/>
      <w:marRight w:val="0"/>
      <w:marTop w:val="0"/>
      <w:marBottom w:val="0"/>
      <w:divBdr>
        <w:top w:val="none" w:sz="0" w:space="0" w:color="auto"/>
        <w:left w:val="none" w:sz="0" w:space="0" w:color="auto"/>
        <w:bottom w:val="none" w:sz="0" w:space="0" w:color="auto"/>
        <w:right w:val="none" w:sz="0" w:space="0" w:color="auto"/>
      </w:divBdr>
    </w:div>
    <w:div w:id="343173387">
      <w:bodyDiv w:val="1"/>
      <w:marLeft w:val="0"/>
      <w:marRight w:val="0"/>
      <w:marTop w:val="0"/>
      <w:marBottom w:val="0"/>
      <w:divBdr>
        <w:top w:val="none" w:sz="0" w:space="0" w:color="auto"/>
        <w:left w:val="none" w:sz="0" w:space="0" w:color="auto"/>
        <w:bottom w:val="none" w:sz="0" w:space="0" w:color="auto"/>
        <w:right w:val="none" w:sz="0" w:space="0" w:color="auto"/>
      </w:divBdr>
    </w:div>
    <w:div w:id="375131327">
      <w:bodyDiv w:val="1"/>
      <w:marLeft w:val="0"/>
      <w:marRight w:val="0"/>
      <w:marTop w:val="0"/>
      <w:marBottom w:val="0"/>
      <w:divBdr>
        <w:top w:val="none" w:sz="0" w:space="0" w:color="auto"/>
        <w:left w:val="none" w:sz="0" w:space="0" w:color="auto"/>
        <w:bottom w:val="none" w:sz="0" w:space="0" w:color="auto"/>
        <w:right w:val="none" w:sz="0" w:space="0" w:color="auto"/>
      </w:divBdr>
    </w:div>
    <w:div w:id="422725278">
      <w:bodyDiv w:val="1"/>
      <w:marLeft w:val="0"/>
      <w:marRight w:val="0"/>
      <w:marTop w:val="0"/>
      <w:marBottom w:val="0"/>
      <w:divBdr>
        <w:top w:val="none" w:sz="0" w:space="0" w:color="auto"/>
        <w:left w:val="none" w:sz="0" w:space="0" w:color="auto"/>
        <w:bottom w:val="none" w:sz="0" w:space="0" w:color="auto"/>
        <w:right w:val="none" w:sz="0" w:space="0" w:color="auto"/>
      </w:divBdr>
    </w:div>
    <w:div w:id="446509895">
      <w:bodyDiv w:val="1"/>
      <w:marLeft w:val="0"/>
      <w:marRight w:val="0"/>
      <w:marTop w:val="0"/>
      <w:marBottom w:val="0"/>
      <w:divBdr>
        <w:top w:val="none" w:sz="0" w:space="0" w:color="auto"/>
        <w:left w:val="none" w:sz="0" w:space="0" w:color="auto"/>
        <w:bottom w:val="none" w:sz="0" w:space="0" w:color="auto"/>
        <w:right w:val="none" w:sz="0" w:space="0" w:color="auto"/>
      </w:divBdr>
    </w:div>
    <w:div w:id="453794030">
      <w:bodyDiv w:val="1"/>
      <w:marLeft w:val="0"/>
      <w:marRight w:val="0"/>
      <w:marTop w:val="0"/>
      <w:marBottom w:val="0"/>
      <w:divBdr>
        <w:top w:val="none" w:sz="0" w:space="0" w:color="auto"/>
        <w:left w:val="none" w:sz="0" w:space="0" w:color="auto"/>
        <w:bottom w:val="none" w:sz="0" w:space="0" w:color="auto"/>
        <w:right w:val="none" w:sz="0" w:space="0" w:color="auto"/>
      </w:divBdr>
    </w:div>
    <w:div w:id="459953943">
      <w:bodyDiv w:val="1"/>
      <w:marLeft w:val="0"/>
      <w:marRight w:val="0"/>
      <w:marTop w:val="0"/>
      <w:marBottom w:val="0"/>
      <w:divBdr>
        <w:top w:val="none" w:sz="0" w:space="0" w:color="auto"/>
        <w:left w:val="none" w:sz="0" w:space="0" w:color="auto"/>
        <w:bottom w:val="none" w:sz="0" w:space="0" w:color="auto"/>
        <w:right w:val="none" w:sz="0" w:space="0" w:color="auto"/>
      </w:divBdr>
    </w:div>
    <w:div w:id="493837433">
      <w:bodyDiv w:val="1"/>
      <w:marLeft w:val="0"/>
      <w:marRight w:val="0"/>
      <w:marTop w:val="0"/>
      <w:marBottom w:val="0"/>
      <w:divBdr>
        <w:top w:val="none" w:sz="0" w:space="0" w:color="auto"/>
        <w:left w:val="none" w:sz="0" w:space="0" w:color="auto"/>
        <w:bottom w:val="none" w:sz="0" w:space="0" w:color="auto"/>
        <w:right w:val="none" w:sz="0" w:space="0" w:color="auto"/>
      </w:divBdr>
    </w:div>
    <w:div w:id="515921007">
      <w:bodyDiv w:val="1"/>
      <w:marLeft w:val="0"/>
      <w:marRight w:val="0"/>
      <w:marTop w:val="0"/>
      <w:marBottom w:val="0"/>
      <w:divBdr>
        <w:top w:val="none" w:sz="0" w:space="0" w:color="auto"/>
        <w:left w:val="none" w:sz="0" w:space="0" w:color="auto"/>
        <w:bottom w:val="none" w:sz="0" w:space="0" w:color="auto"/>
        <w:right w:val="none" w:sz="0" w:space="0" w:color="auto"/>
      </w:divBdr>
    </w:div>
    <w:div w:id="531916846">
      <w:bodyDiv w:val="1"/>
      <w:marLeft w:val="0"/>
      <w:marRight w:val="0"/>
      <w:marTop w:val="0"/>
      <w:marBottom w:val="0"/>
      <w:divBdr>
        <w:top w:val="none" w:sz="0" w:space="0" w:color="auto"/>
        <w:left w:val="none" w:sz="0" w:space="0" w:color="auto"/>
        <w:bottom w:val="none" w:sz="0" w:space="0" w:color="auto"/>
        <w:right w:val="none" w:sz="0" w:space="0" w:color="auto"/>
      </w:divBdr>
    </w:div>
    <w:div w:id="570582053">
      <w:bodyDiv w:val="1"/>
      <w:marLeft w:val="0"/>
      <w:marRight w:val="0"/>
      <w:marTop w:val="0"/>
      <w:marBottom w:val="0"/>
      <w:divBdr>
        <w:top w:val="none" w:sz="0" w:space="0" w:color="auto"/>
        <w:left w:val="none" w:sz="0" w:space="0" w:color="auto"/>
        <w:bottom w:val="none" w:sz="0" w:space="0" w:color="auto"/>
        <w:right w:val="none" w:sz="0" w:space="0" w:color="auto"/>
      </w:divBdr>
      <w:divsChild>
        <w:div w:id="2110923879">
          <w:marLeft w:val="0"/>
          <w:marRight w:val="0"/>
          <w:marTop w:val="0"/>
          <w:marBottom w:val="0"/>
          <w:divBdr>
            <w:top w:val="none" w:sz="0" w:space="0" w:color="auto"/>
            <w:left w:val="none" w:sz="0" w:space="0" w:color="auto"/>
            <w:bottom w:val="none" w:sz="0" w:space="0" w:color="auto"/>
            <w:right w:val="none" w:sz="0" w:space="0" w:color="auto"/>
          </w:divBdr>
          <w:divsChild>
            <w:div w:id="1163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8904">
      <w:bodyDiv w:val="1"/>
      <w:marLeft w:val="0"/>
      <w:marRight w:val="0"/>
      <w:marTop w:val="0"/>
      <w:marBottom w:val="0"/>
      <w:divBdr>
        <w:top w:val="none" w:sz="0" w:space="0" w:color="auto"/>
        <w:left w:val="none" w:sz="0" w:space="0" w:color="auto"/>
        <w:bottom w:val="none" w:sz="0" w:space="0" w:color="auto"/>
        <w:right w:val="none" w:sz="0" w:space="0" w:color="auto"/>
      </w:divBdr>
    </w:div>
    <w:div w:id="645474234">
      <w:bodyDiv w:val="1"/>
      <w:marLeft w:val="0"/>
      <w:marRight w:val="0"/>
      <w:marTop w:val="0"/>
      <w:marBottom w:val="0"/>
      <w:divBdr>
        <w:top w:val="none" w:sz="0" w:space="0" w:color="auto"/>
        <w:left w:val="none" w:sz="0" w:space="0" w:color="auto"/>
        <w:bottom w:val="none" w:sz="0" w:space="0" w:color="auto"/>
        <w:right w:val="none" w:sz="0" w:space="0" w:color="auto"/>
      </w:divBdr>
    </w:div>
    <w:div w:id="666398591">
      <w:bodyDiv w:val="1"/>
      <w:marLeft w:val="0"/>
      <w:marRight w:val="0"/>
      <w:marTop w:val="0"/>
      <w:marBottom w:val="0"/>
      <w:divBdr>
        <w:top w:val="none" w:sz="0" w:space="0" w:color="auto"/>
        <w:left w:val="none" w:sz="0" w:space="0" w:color="auto"/>
        <w:bottom w:val="none" w:sz="0" w:space="0" w:color="auto"/>
        <w:right w:val="none" w:sz="0" w:space="0" w:color="auto"/>
      </w:divBdr>
    </w:div>
    <w:div w:id="719017205">
      <w:bodyDiv w:val="1"/>
      <w:marLeft w:val="0"/>
      <w:marRight w:val="0"/>
      <w:marTop w:val="0"/>
      <w:marBottom w:val="0"/>
      <w:divBdr>
        <w:top w:val="none" w:sz="0" w:space="0" w:color="auto"/>
        <w:left w:val="none" w:sz="0" w:space="0" w:color="auto"/>
        <w:bottom w:val="none" w:sz="0" w:space="0" w:color="auto"/>
        <w:right w:val="none" w:sz="0" w:space="0" w:color="auto"/>
      </w:divBdr>
    </w:div>
    <w:div w:id="723214801">
      <w:bodyDiv w:val="1"/>
      <w:marLeft w:val="0"/>
      <w:marRight w:val="0"/>
      <w:marTop w:val="0"/>
      <w:marBottom w:val="0"/>
      <w:divBdr>
        <w:top w:val="none" w:sz="0" w:space="0" w:color="auto"/>
        <w:left w:val="none" w:sz="0" w:space="0" w:color="auto"/>
        <w:bottom w:val="none" w:sz="0" w:space="0" w:color="auto"/>
        <w:right w:val="none" w:sz="0" w:space="0" w:color="auto"/>
      </w:divBdr>
    </w:div>
    <w:div w:id="731001239">
      <w:bodyDiv w:val="1"/>
      <w:marLeft w:val="0"/>
      <w:marRight w:val="0"/>
      <w:marTop w:val="0"/>
      <w:marBottom w:val="0"/>
      <w:divBdr>
        <w:top w:val="none" w:sz="0" w:space="0" w:color="auto"/>
        <w:left w:val="none" w:sz="0" w:space="0" w:color="auto"/>
        <w:bottom w:val="none" w:sz="0" w:space="0" w:color="auto"/>
        <w:right w:val="none" w:sz="0" w:space="0" w:color="auto"/>
      </w:divBdr>
    </w:div>
    <w:div w:id="737019577">
      <w:bodyDiv w:val="1"/>
      <w:marLeft w:val="0"/>
      <w:marRight w:val="0"/>
      <w:marTop w:val="0"/>
      <w:marBottom w:val="0"/>
      <w:divBdr>
        <w:top w:val="none" w:sz="0" w:space="0" w:color="auto"/>
        <w:left w:val="none" w:sz="0" w:space="0" w:color="auto"/>
        <w:bottom w:val="none" w:sz="0" w:space="0" w:color="auto"/>
        <w:right w:val="none" w:sz="0" w:space="0" w:color="auto"/>
      </w:divBdr>
    </w:div>
    <w:div w:id="762996379">
      <w:bodyDiv w:val="1"/>
      <w:marLeft w:val="0"/>
      <w:marRight w:val="0"/>
      <w:marTop w:val="0"/>
      <w:marBottom w:val="0"/>
      <w:divBdr>
        <w:top w:val="none" w:sz="0" w:space="0" w:color="auto"/>
        <w:left w:val="none" w:sz="0" w:space="0" w:color="auto"/>
        <w:bottom w:val="none" w:sz="0" w:space="0" w:color="auto"/>
        <w:right w:val="none" w:sz="0" w:space="0" w:color="auto"/>
      </w:divBdr>
    </w:div>
    <w:div w:id="867723605">
      <w:bodyDiv w:val="1"/>
      <w:marLeft w:val="0"/>
      <w:marRight w:val="0"/>
      <w:marTop w:val="0"/>
      <w:marBottom w:val="0"/>
      <w:divBdr>
        <w:top w:val="none" w:sz="0" w:space="0" w:color="auto"/>
        <w:left w:val="none" w:sz="0" w:space="0" w:color="auto"/>
        <w:bottom w:val="none" w:sz="0" w:space="0" w:color="auto"/>
        <w:right w:val="none" w:sz="0" w:space="0" w:color="auto"/>
      </w:divBdr>
    </w:div>
    <w:div w:id="869729464">
      <w:bodyDiv w:val="1"/>
      <w:marLeft w:val="0"/>
      <w:marRight w:val="0"/>
      <w:marTop w:val="0"/>
      <w:marBottom w:val="0"/>
      <w:divBdr>
        <w:top w:val="none" w:sz="0" w:space="0" w:color="auto"/>
        <w:left w:val="none" w:sz="0" w:space="0" w:color="auto"/>
        <w:bottom w:val="none" w:sz="0" w:space="0" w:color="auto"/>
        <w:right w:val="none" w:sz="0" w:space="0" w:color="auto"/>
      </w:divBdr>
    </w:div>
    <w:div w:id="869879474">
      <w:bodyDiv w:val="1"/>
      <w:marLeft w:val="0"/>
      <w:marRight w:val="0"/>
      <w:marTop w:val="0"/>
      <w:marBottom w:val="0"/>
      <w:divBdr>
        <w:top w:val="none" w:sz="0" w:space="0" w:color="auto"/>
        <w:left w:val="none" w:sz="0" w:space="0" w:color="auto"/>
        <w:bottom w:val="none" w:sz="0" w:space="0" w:color="auto"/>
        <w:right w:val="none" w:sz="0" w:space="0" w:color="auto"/>
      </w:divBdr>
    </w:div>
    <w:div w:id="933972732">
      <w:bodyDiv w:val="1"/>
      <w:marLeft w:val="0"/>
      <w:marRight w:val="0"/>
      <w:marTop w:val="0"/>
      <w:marBottom w:val="0"/>
      <w:divBdr>
        <w:top w:val="none" w:sz="0" w:space="0" w:color="auto"/>
        <w:left w:val="none" w:sz="0" w:space="0" w:color="auto"/>
        <w:bottom w:val="none" w:sz="0" w:space="0" w:color="auto"/>
        <w:right w:val="none" w:sz="0" w:space="0" w:color="auto"/>
      </w:divBdr>
    </w:div>
    <w:div w:id="976228660">
      <w:bodyDiv w:val="1"/>
      <w:marLeft w:val="0"/>
      <w:marRight w:val="0"/>
      <w:marTop w:val="0"/>
      <w:marBottom w:val="0"/>
      <w:divBdr>
        <w:top w:val="none" w:sz="0" w:space="0" w:color="auto"/>
        <w:left w:val="none" w:sz="0" w:space="0" w:color="auto"/>
        <w:bottom w:val="none" w:sz="0" w:space="0" w:color="auto"/>
        <w:right w:val="none" w:sz="0" w:space="0" w:color="auto"/>
      </w:divBdr>
    </w:div>
    <w:div w:id="982657295">
      <w:bodyDiv w:val="1"/>
      <w:marLeft w:val="0"/>
      <w:marRight w:val="0"/>
      <w:marTop w:val="0"/>
      <w:marBottom w:val="0"/>
      <w:divBdr>
        <w:top w:val="none" w:sz="0" w:space="0" w:color="auto"/>
        <w:left w:val="none" w:sz="0" w:space="0" w:color="auto"/>
        <w:bottom w:val="none" w:sz="0" w:space="0" w:color="auto"/>
        <w:right w:val="none" w:sz="0" w:space="0" w:color="auto"/>
      </w:divBdr>
      <w:divsChild>
        <w:div w:id="777026377">
          <w:marLeft w:val="0"/>
          <w:marRight w:val="0"/>
          <w:marTop w:val="0"/>
          <w:marBottom w:val="0"/>
          <w:divBdr>
            <w:top w:val="none" w:sz="0" w:space="0" w:color="auto"/>
            <w:left w:val="none" w:sz="0" w:space="0" w:color="auto"/>
            <w:bottom w:val="none" w:sz="0" w:space="0" w:color="auto"/>
            <w:right w:val="none" w:sz="0" w:space="0" w:color="auto"/>
          </w:divBdr>
          <w:divsChild>
            <w:div w:id="10800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4630">
      <w:bodyDiv w:val="1"/>
      <w:marLeft w:val="0"/>
      <w:marRight w:val="0"/>
      <w:marTop w:val="0"/>
      <w:marBottom w:val="0"/>
      <w:divBdr>
        <w:top w:val="none" w:sz="0" w:space="0" w:color="auto"/>
        <w:left w:val="none" w:sz="0" w:space="0" w:color="auto"/>
        <w:bottom w:val="none" w:sz="0" w:space="0" w:color="auto"/>
        <w:right w:val="none" w:sz="0" w:space="0" w:color="auto"/>
      </w:divBdr>
    </w:div>
    <w:div w:id="1047418308">
      <w:bodyDiv w:val="1"/>
      <w:marLeft w:val="0"/>
      <w:marRight w:val="0"/>
      <w:marTop w:val="0"/>
      <w:marBottom w:val="0"/>
      <w:divBdr>
        <w:top w:val="none" w:sz="0" w:space="0" w:color="auto"/>
        <w:left w:val="none" w:sz="0" w:space="0" w:color="auto"/>
        <w:bottom w:val="none" w:sz="0" w:space="0" w:color="auto"/>
        <w:right w:val="none" w:sz="0" w:space="0" w:color="auto"/>
      </w:divBdr>
    </w:div>
    <w:div w:id="1085760773">
      <w:bodyDiv w:val="1"/>
      <w:marLeft w:val="0"/>
      <w:marRight w:val="0"/>
      <w:marTop w:val="0"/>
      <w:marBottom w:val="0"/>
      <w:divBdr>
        <w:top w:val="none" w:sz="0" w:space="0" w:color="auto"/>
        <w:left w:val="none" w:sz="0" w:space="0" w:color="auto"/>
        <w:bottom w:val="none" w:sz="0" w:space="0" w:color="auto"/>
        <w:right w:val="none" w:sz="0" w:space="0" w:color="auto"/>
      </w:divBdr>
      <w:divsChild>
        <w:div w:id="436021072">
          <w:marLeft w:val="0"/>
          <w:marRight w:val="0"/>
          <w:marTop w:val="0"/>
          <w:marBottom w:val="0"/>
          <w:divBdr>
            <w:top w:val="none" w:sz="0" w:space="0" w:color="auto"/>
            <w:left w:val="none" w:sz="0" w:space="0" w:color="auto"/>
            <w:bottom w:val="none" w:sz="0" w:space="0" w:color="auto"/>
            <w:right w:val="none" w:sz="0" w:space="0" w:color="auto"/>
          </w:divBdr>
          <w:divsChild>
            <w:div w:id="13337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40470">
      <w:bodyDiv w:val="1"/>
      <w:marLeft w:val="0"/>
      <w:marRight w:val="0"/>
      <w:marTop w:val="0"/>
      <w:marBottom w:val="0"/>
      <w:divBdr>
        <w:top w:val="none" w:sz="0" w:space="0" w:color="auto"/>
        <w:left w:val="none" w:sz="0" w:space="0" w:color="auto"/>
        <w:bottom w:val="none" w:sz="0" w:space="0" w:color="auto"/>
        <w:right w:val="none" w:sz="0" w:space="0" w:color="auto"/>
      </w:divBdr>
    </w:div>
    <w:div w:id="1114717341">
      <w:bodyDiv w:val="1"/>
      <w:marLeft w:val="0"/>
      <w:marRight w:val="0"/>
      <w:marTop w:val="0"/>
      <w:marBottom w:val="0"/>
      <w:divBdr>
        <w:top w:val="none" w:sz="0" w:space="0" w:color="auto"/>
        <w:left w:val="none" w:sz="0" w:space="0" w:color="auto"/>
        <w:bottom w:val="none" w:sz="0" w:space="0" w:color="auto"/>
        <w:right w:val="none" w:sz="0" w:space="0" w:color="auto"/>
      </w:divBdr>
    </w:div>
    <w:div w:id="1170869452">
      <w:bodyDiv w:val="1"/>
      <w:marLeft w:val="0"/>
      <w:marRight w:val="0"/>
      <w:marTop w:val="0"/>
      <w:marBottom w:val="0"/>
      <w:divBdr>
        <w:top w:val="none" w:sz="0" w:space="0" w:color="auto"/>
        <w:left w:val="none" w:sz="0" w:space="0" w:color="auto"/>
        <w:bottom w:val="none" w:sz="0" w:space="0" w:color="auto"/>
        <w:right w:val="none" w:sz="0" w:space="0" w:color="auto"/>
      </w:divBdr>
      <w:divsChild>
        <w:div w:id="966547687">
          <w:marLeft w:val="0"/>
          <w:marRight w:val="0"/>
          <w:marTop w:val="0"/>
          <w:marBottom w:val="0"/>
          <w:divBdr>
            <w:top w:val="none" w:sz="0" w:space="0" w:color="auto"/>
            <w:left w:val="none" w:sz="0" w:space="0" w:color="auto"/>
            <w:bottom w:val="none" w:sz="0" w:space="0" w:color="auto"/>
            <w:right w:val="none" w:sz="0" w:space="0" w:color="auto"/>
          </w:divBdr>
          <w:divsChild>
            <w:div w:id="20653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5321">
      <w:bodyDiv w:val="1"/>
      <w:marLeft w:val="0"/>
      <w:marRight w:val="0"/>
      <w:marTop w:val="0"/>
      <w:marBottom w:val="0"/>
      <w:divBdr>
        <w:top w:val="none" w:sz="0" w:space="0" w:color="auto"/>
        <w:left w:val="none" w:sz="0" w:space="0" w:color="auto"/>
        <w:bottom w:val="none" w:sz="0" w:space="0" w:color="auto"/>
        <w:right w:val="none" w:sz="0" w:space="0" w:color="auto"/>
      </w:divBdr>
    </w:div>
    <w:div w:id="1197112612">
      <w:bodyDiv w:val="1"/>
      <w:marLeft w:val="0"/>
      <w:marRight w:val="0"/>
      <w:marTop w:val="0"/>
      <w:marBottom w:val="0"/>
      <w:divBdr>
        <w:top w:val="none" w:sz="0" w:space="0" w:color="auto"/>
        <w:left w:val="none" w:sz="0" w:space="0" w:color="auto"/>
        <w:bottom w:val="none" w:sz="0" w:space="0" w:color="auto"/>
        <w:right w:val="none" w:sz="0" w:space="0" w:color="auto"/>
      </w:divBdr>
    </w:div>
    <w:div w:id="1291745359">
      <w:bodyDiv w:val="1"/>
      <w:marLeft w:val="0"/>
      <w:marRight w:val="0"/>
      <w:marTop w:val="0"/>
      <w:marBottom w:val="0"/>
      <w:divBdr>
        <w:top w:val="none" w:sz="0" w:space="0" w:color="auto"/>
        <w:left w:val="none" w:sz="0" w:space="0" w:color="auto"/>
        <w:bottom w:val="none" w:sz="0" w:space="0" w:color="auto"/>
        <w:right w:val="none" w:sz="0" w:space="0" w:color="auto"/>
      </w:divBdr>
    </w:div>
    <w:div w:id="1335571857">
      <w:bodyDiv w:val="1"/>
      <w:marLeft w:val="0"/>
      <w:marRight w:val="0"/>
      <w:marTop w:val="0"/>
      <w:marBottom w:val="0"/>
      <w:divBdr>
        <w:top w:val="none" w:sz="0" w:space="0" w:color="auto"/>
        <w:left w:val="none" w:sz="0" w:space="0" w:color="auto"/>
        <w:bottom w:val="none" w:sz="0" w:space="0" w:color="auto"/>
        <w:right w:val="none" w:sz="0" w:space="0" w:color="auto"/>
      </w:divBdr>
    </w:div>
    <w:div w:id="1349869091">
      <w:bodyDiv w:val="1"/>
      <w:marLeft w:val="0"/>
      <w:marRight w:val="0"/>
      <w:marTop w:val="0"/>
      <w:marBottom w:val="0"/>
      <w:divBdr>
        <w:top w:val="none" w:sz="0" w:space="0" w:color="auto"/>
        <w:left w:val="none" w:sz="0" w:space="0" w:color="auto"/>
        <w:bottom w:val="none" w:sz="0" w:space="0" w:color="auto"/>
        <w:right w:val="none" w:sz="0" w:space="0" w:color="auto"/>
      </w:divBdr>
    </w:div>
    <w:div w:id="1360624420">
      <w:bodyDiv w:val="1"/>
      <w:marLeft w:val="0"/>
      <w:marRight w:val="0"/>
      <w:marTop w:val="0"/>
      <w:marBottom w:val="0"/>
      <w:divBdr>
        <w:top w:val="none" w:sz="0" w:space="0" w:color="auto"/>
        <w:left w:val="none" w:sz="0" w:space="0" w:color="auto"/>
        <w:bottom w:val="none" w:sz="0" w:space="0" w:color="auto"/>
        <w:right w:val="none" w:sz="0" w:space="0" w:color="auto"/>
      </w:divBdr>
    </w:div>
    <w:div w:id="1471098945">
      <w:bodyDiv w:val="1"/>
      <w:marLeft w:val="0"/>
      <w:marRight w:val="0"/>
      <w:marTop w:val="0"/>
      <w:marBottom w:val="0"/>
      <w:divBdr>
        <w:top w:val="none" w:sz="0" w:space="0" w:color="auto"/>
        <w:left w:val="none" w:sz="0" w:space="0" w:color="auto"/>
        <w:bottom w:val="none" w:sz="0" w:space="0" w:color="auto"/>
        <w:right w:val="none" w:sz="0" w:space="0" w:color="auto"/>
      </w:divBdr>
      <w:divsChild>
        <w:div w:id="1371412897">
          <w:marLeft w:val="0"/>
          <w:marRight w:val="0"/>
          <w:marTop w:val="0"/>
          <w:marBottom w:val="0"/>
          <w:divBdr>
            <w:top w:val="none" w:sz="0" w:space="0" w:color="auto"/>
            <w:left w:val="none" w:sz="0" w:space="0" w:color="auto"/>
            <w:bottom w:val="none" w:sz="0" w:space="0" w:color="auto"/>
            <w:right w:val="none" w:sz="0" w:space="0" w:color="auto"/>
          </w:divBdr>
          <w:divsChild>
            <w:div w:id="17266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993">
      <w:bodyDiv w:val="1"/>
      <w:marLeft w:val="0"/>
      <w:marRight w:val="0"/>
      <w:marTop w:val="0"/>
      <w:marBottom w:val="0"/>
      <w:divBdr>
        <w:top w:val="none" w:sz="0" w:space="0" w:color="auto"/>
        <w:left w:val="none" w:sz="0" w:space="0" w:color="auto"/>
        <w:bottom w:val="none" w:sz="0" w:space="0" w:color="auto"/>
        <w:right w:val="none" w:sz="0" w:space="0" w:color="auto"/>
      </w:divBdr>
    </w:div>
    <w:div w:id="1619336424">
      <w:bodyDiv w:val="1"/>
      <w:marLeft w:val="0"/>
      <w:marRight w:val="0"/>
      <w:marTop w:val="0"/>
      <w:marBottom w:val="0"/>
      <w:divBdr>
        <w:top w:val="none" w:sz="0" w:space="0" w:color="auto"/>
        <w:left w:val="none" w:sz="0" w:space="0" w:color="auto"/>
        <w:bottom w:val="none" w:sz="0" w:space="0" w:color="auto"/>
        <w:right w:val="none" w:sz="0" w:space="0" w:color="auto"/>
      </w:divBdr>
    </w:div>
    <w:div w:id="1638339046">
      <w:bodyDiv w:val="1"/>
      <w:marLeft w:val="0"/>
      <w:marRight w:val="0"/>
      <w:marTop w:val="0"/>
      <w:marBottom w:val="0"/>
      <w:divBdr>
        <w:top w:val="none" w:sz="0" w:space="0" w:color="auto"/>
        <w:left w:val="none" w:sz="0" w:space="0" w:color="auto"/>
        <w:bottom w:val="none" w:sz="0" w:space="0" w:color="auto"/>
        <w:right w:val="none" w:sz="0" w:space="0" w:color="auto"/>
      </w:divBdr>
    </w:div>
    <w:div w:id="1665818700">
      <w:bodyDiv w:val="1"/>
      <w:marLeft w:val="0"/>
      <w:marRight w:val="0"/>
      <w:marTop w:val="0"/>
      <w:marBottom w:val="0"/>
      <w:divBdr>
        <w:top w:val="none" w:sz="0" w:space="0" w:color="auto"/>
        <w:left w:val="none" w:sz="0" w:space="0" w:color="auto"/>
        <w:bottom w:val="none" w:sz="0" w:space="0" w:color="auto"/>
        <w:right w:val="none" w:sz="0" w:space="0" w:color="auto"/>
      </w:divBdr>
    </w:div>
    <w:div w:id="1677686396">
      <w:bodyDiv w:val="1"/>
      <w:marLeft w:val="0"/>
      <w:marRight w:val="0"/>
      <w:marTop w:val="0"/>
      <w:marBottom w:val="0"/>
      <w:divBdr>
        <w:top w:val="none" w:sz="0" w:space="0" w:color="auto"/>
        <w:left w:val="none" w:sz="0" w:space="0" w:color="auto"/>
        <w:bottom w:val="none" w:sz="0" w:space="0" w:color="auto"/>
        <w:right w:val="none" w:sz="0" w:space="0" w:color="auto"/>
      </w:divBdr>
    </w:div>
    <w:div w:id="1684279274">
      <w:bodyDiv w:val="1"/>
      <w:marLeft w:val="0"/>
      <w:marRight w:val="0"/>
      <w:marTop w:val="0"/>
      <w:marBottom w:val="0"/>
      <w:divBdr>
        <w:top w:val="none" w:sz="0" w:space="0" w:color="auto"/>
        <w:left w:val="none" w:sz="0" w:space="0" w:color="auto"/>
        <w:bottom w:val="none" w:sz="0" w:space="0" w:color="auto"/>
        <w:right w:val="none" w:sz="0" w:space="0" w:color="auto"/>
      </w:divBdr>
    </w:div>
    <w:div w:id="1715420993">
      <w:bodyDiv w:val="1"/>
      <w:marLeft w:val="0"/>
      <w:marRight w:val="0"/>
      <w:marTop w:val="0"/>
      <w:marBottom w:val="0"/>
      <w:divBdr>
        <w:top w:val="none" w:sz="0" w:space="0" w:color="auto"/>
        <w:left w:val="none" w:sz="0" w:space="0" w:color="auto"/>
        <w:bottom w:val="none" w:sz="0" w:space="0" w:color="auto"/>
        <w:right w:val="none" w:sz="0" w:space="0" w:color="auto"/>
      </w:divBdr>
      <w:divsChild>
        <w:div w:id="725109893">
          <w:marLeft w:val="0"/>
          <w:marRight w:val="0"/>
          <w:marTop w:val="0"/>
          <w:marBottom w:val="0"/>
          <w:divBdr>
            <w:top w:val="none" w:sz="0" w:space="0" w:color="auto"/>
            <w:left w:val="none" w:sz="0" w:space="0" w:color="auto"/>
            <w:bottom w:val="none" w:sz="0" w:space="0" w:color="auto"/>
            <w:right w:val="none" w:sz="0" w:space="0" w:color="auto"/>
          </w:divBdr>
          <w:divsChild>
            <w:div w:id="614403791">
              <w:marLeft w:val="0"/>
              <w:marRight w:val="0"/>
              <w:marTop w:val="0"/>
              <w:marBottom w:val="0"/>
              <w:divBdr>
                <w:top w:val="none" w:sz="0" w:space="0" w:color="auto"/>
                <w:left w:val="none" w:sz="0" w:space="0" w:color="auto"/>
                <w:bottom w:val="none" w:sz="0" w:space="0" w:color="auto"/>
                <w:right w:val="none" w:sz="0" w:space="0" w:color="auto"/>
              </w:divBdr>
            </w:div>
          </w:divsChild>
        </w:div>
        <w:div w:id="13464984">
          <w:marLeft w:val="0"/>
          <w:marRight w:val="0"/>
          <w:marTop w:val="0"/>
          <w:marBottom w:val="0"/>
          <w:divBdr>
            <w:top w:val="none" w:sz="0" w:space="0" w:color="auto"/>
            <w:left w:val="none" w:sz="0" w:space="0" w:color="auto"/>
            <w:bottom w:val="none" w:sz="0" w:space="0" w:color="auto"/>
            <w:right w:val="none" w:sz="0" w:space="0" w:color="auto"/>
          </w:divBdr>
          <w:divsChild>
            <w:div w:id="56905673">
              <w:marLeft w:val="0"/>
              <w:marRight w:val="0"/>
              <w:marTop w:val="0"/>
              <w:marBottom w:val="0"/>
              <w:divBdr>
                <w:top w:val="none" w:sz="0" w:space="0" w:color="auto"/>
                <w:left w:val="none" w:sz="0" w:space="0" w:color="auto"/>
                <w:bottom w:val="none" w:sz="0" w:space="0" w:color="auto"/>
                <w:right w:val="none" w:sz="0" w:space="0" w:color="auto"/>
              </w:divBdr>
              <w:divsChild>
                <w:div w:id="9476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7678">
      <w:bodyDiv w:val="1"/>
      <w:marLeft w:val="0"/>
      <w:marRight w:val="0"/>
      <w:marTop w:val="0"/>
      <w:marBottom w:val="0"/>
      <w:divBdr>
        <w:top w:val="none" w:sz="0" w:space="0" w:color="auto"/>
        <w:left w:val="none" w:sz="0" w:space="0" w:color="auto"/>
        <w:bottom w:val="none" w:sz="0" w:space="0" w:color="auto"/>
        <w:right w:val="none" w:sz="0" w:space="0" w:color="auto"/>
      </w:divBdr>
    </w:div>
    <w:div w:id="1825461912">
      <w:bodyDiv w:val="1"/>
      <w:marLeft w:val="0"/>
      <w:marRight w:val="0"/>
      <w:marTop w:val="0"/>
      <w:marBottom w:val="0"/>
      <w:divBdr>
        <w:top w:val="none" w:sz="0" w:space="0" w:color="auto"/>
        <w:left w:val="none" w:sz="0" w:space="0" w:color="auto"/>
        <w:bottom w:val="none" w:sz="0" w:space="0" w:color="auto"/>
        <w:right w:val="none" w:sz="0" w:space="0" w:color="auto"/>
      </w:divBdr>
    </w:div>
    <w:div w:id="1830049204">
      <w:bodyDiv w:val="1"/>
      <w:marLeft w:val="0"/>
      <w:marRight w:val="0"/>
      <w:marTop w:val="0"/>
      <w:marBottom w:val="0"/>
      <w:divBdr>
        <w:top w:val="none" w:sz="0" w:space="0" w:color="auto"/>
        <w:left w:val="none" w:sz="0" w:space="0" w:color="auto"/>
        <w:bottom w:val="none" w:sz="0" w:space="0" w:color="auto"/>
        <w:right w:val="none" w:sz="0" w:space="0" w:color="auto"/>
      </w:divBdr>
    </w:div>
    <w:div w:id="1835950538">
      <w:bodyDiv w:val="1"/>
      <w:marLeft w:val="0"/>
      <w:marRight w:val="0"/>
      <w:marTop w:val="0"/>
      <w:marBottom w:val="0"/>
      <w:divBdr>
        <w:top w:val="none" w:sz="0" w:space="0" w:color="auto"/>
        <w:left w:val="none" w:sz="0" w:space="0" w:color="auto"/>
        <w:bottom w:val="none" w:sz="0" w:space="0" w:color="auto"/>
        <w:right w:val="none" w:sz="0" w:space="0" w:color="auto"/>
      </w:divBdr>
    </w:div>
    <w:div w:id="1869563257">
      <w:bodyDiv w:val="1"/>
      <w:marLeft w:val="0"/>
      <w:marRight w:val="0"/>
      <w:marTop w:val="0"/>
      <w:marBottom w:val="0"/>
      <w:divBdr>
        <w:top w:val="none" w:sz="0" w:space="0" w:color="auto"/>
        <w:left w:val="none" w:sz="0" w:space="0" w:color="auto"/>
        <w:bottom w:val="none" w:sz="0" w:space="0" w:color="auto"/>
        <w:right w:val="none" w:sz="0" w:space="0" w:color="auto"/>
      </w:divBdr>
    </w:div>
    <w:div w:id="1881092907">
      <w:bodyDiv w:val="1"/>
      <w:marLeft w:val="0"/>
      <w:marRight w:val="0"/>
      <w:marTop w:val="0"/>
      <w:marBottom w:val="0"/>
      <w:divBdr>
        <w:top w:val="none" w:sz="0" w:space="0" w:color="auto"/>
        <w:left w:val="none" w:sz="0" w:space="0" w:color="auto"/>
        <w:bottom w:val="none" w:sz="0" w:space="0" w:color="auto"/>
        <w:right w:val="none" w:sz="0" w:space="0" w:color="auto"/>
      </w:divBdr>
    </w:div>
    <w:div w:id="1909076761">
      <w:bodyDiv w:val="1"/>
      <w:marLeft w:val="0"/>
      <w:marRight w:val="0"/>
      <w:marTop w:val="0"/>
      <w:marBottom w:val="0"/>
      <w:divBdr>
        <w:top w:val="none" w:sz="0" w:space="0" w:color="auto"/>
        <w:left w:val="none" w:sz="0" w:space="0" w:color="auto"/>
        <w:bottom w:val="none" w:sz="0" w:space="0" w:color="auto"/>
        <w:right w:val="none" w:sz="0" w:space="0" w:color="auto"/>
      </w:divBdr>
    </w:div>
    <w:div w:id="1965649528">
      <w:bodyDiv w:val="1"/>
      <w:marLeft w:val="0"/>
      <w:marRight w:val="0"/>
      <w:marTop w:val="0"/>
      <w:marBottom w:val="0"/>
      <w:divBdr>
        <w:top w:val="none" w:sz="0" w:space="0" w:color="auto"/>
        <w:left w:val="none" w:sz="0" w:space="0" w:color="auto"/>
        <w:bottom w:val="none" w:sz="0" w:space="0" w:color="auto"/>
        <w:right w:val="none" w:sz="0" w:space="0" w:color="auto"/>
      </w:divBdr>
    </w:div>
    <w:div w:id="1965696348">
      <w:bodyDiv w:val="1"/>
      <w:marLeft w:val="0"/>
      <w:marRight w:val="0"/>
      <w:marTop w:val="0"/>
      <w:marBottom w:val="0"/>
      <w:divBdr>
        <w:top w:val="none" w:sz="0" w:space="0" w:color="auto"/>
        <w:left w:val="none" w:sz="0" w:space="0" w:color="auto"/>
        <w:bottom w:val="none" w:sz="0" w:space="0" w:color="auto"/>
        <w:right w:val="none" w:sz="0" w:space="0" w:color="auto"/>
      </w:divBdr>
    </w:div>
    <w:div w:id="2036341593">
      <w:bodyDiv w:val="1"/>
      <w:marLeft w:val="0"/>
      <w:marRight w:val="0"/>
      <w:marTop w:val="0"/>
      <w:marBottom w:val="0"/>
      <w:divBdr>
        <w:top w:val="none" w:sz="0" w:space="0" w:color="auto"/>
        <w:left w:val="none" w:sz="0" w:space="0" w:color="auto"/>
        <w:bottom w:val="none" w:sz="0" w:space="0" w:color="auto"/>
        <w:right w:val="none" w:sz="0" w:space="0" w:color="auto"/>
      </w:divBdr>
      <w:divsChild>
        <w:div w:id="711079991">
          <w:marLeft w:val="0"/>
          <w:marRight w:val="0"/>
          <w:marTop w:val="0"/>
          <w:marBottom w:val="0"/>
          <w:divBdr>
            <w:top w:val="none" w:sz="0" w:space="0" w:color="auto"/>
            <w:left w:val="none" w:sz="0" w:space="0" w:color="auto"/>
            <w:bottom w:val="none" w:sz="0" w:space="0" w:color="auto"/>
            <w:right w:val="none" w:sz="0" w:space="0" w:color="auto"/>
          </w:divBdr>
          <w:divsChild>
            <w:div w:id="1842742423">
              <w:marLeft w:val="0"/>
              <w:marRight w:val="0"/>
              <w:marTop w:val="0"/>
              <w:marBottom w:val="0"/>
              <w:divBdr>
                <w:top w:val="none" w:sz="0" w:space="0" w:color="auto"/>
                <w:left w:val="none" w:sz="0" w:space="0" w:color="auto"/>
                <w:bottom w:val="none" w:sz="0" w:space="0" w:color="auto"/>
                <w:right w:val="none" w:sz="0" w:space="0" w:color="auto"/>
              </w:divBdr>
            </w:div>
          </w:divsChild>
        </w:div>
        <w:div w:id="577445246">
          <w:marLeft w:val="0"/>
          <w:marRight w:val="0"/>
          <w:marTop w:val="0"/>
          <w:marBottom w:val="0"/>
          <w:divBdr>
            <w:top w:val="none" w:sz="0" w:space="0" w:color="auto"/>
            <w:left w:val="none" w:sz="0" w:space="0" w:color="auto"/>
            <w:bottom w:val="none" w:sz="0" w:space="0" w:color="auto"/>
            <w:right w:val="none" w:sz="0" w:space="0" w:color="auto"/>
          </w:divBdr>
          <w:divsChild>
            <w:div w:id="274286231">
              <w:marLeft w:val="0"/>
              <w:marRight w:val="0"/>
              <w:marTop w:val="0"/>
              <w:marBottom w:val="0"/>
              <w:divBdr>
                <w:top w:val="none" w:sz="0" w:space="0" w:color="auto"/>
                <w:left w:val="none" w:sz="0" w:space="0" w:color="auto"/>
                <w:bottom w:val="none" w:sz="0" w:space="0" w:color="auto"/>
                <w:right w:val="none" w:sz="0" w:space="0" w:color="auto"/>
              </w:divBdr>
              <w:divsChild>
                <w:div w:id="6361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17</Pages>
  <Words>6895</Words>
  <Characters>39306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32</cp:revision>
  <dcterms:created xsi:type="dcterms:W3CDTF">2025-09-28T16:54:00Z</dcterms:created>
  <dcterms:modified xsi:type="dcterms:W3CDTF">2025-10-11T08:25:00Z</dcterms:modified>
</cp:coreProperties>
</file>