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C3F2A" w14:textId="2D26DCDB" w:rsidR="00AF522A" w:rsidRPr="00AF522A" w:rsidRDefault="00AF522A" w:rsidP="00290426">
      <w:pPr>
        <w:widowControl w:val="0"/>
        <w:spacing w:before="120" w:after="120" w:line="24" w:lineRule="atLeast"/>
        <w:rPr>
          <w:rFonts w:asciiTheme="majorHAnsi" w:hAnsiTheme="majorHAnsi" w:cstheme="majorHAnsi"/>
          <w:b/>
          <w:szCs w:val="28"/>
          <w:u w:val="single"/>
          <w:lang w:val="de-DE"/>
        </w:rPr>
      </w:pPr>
      <w:r w:rsidRPr="00AF522A">
        <w:rPr>
          <w:rFonts w:asciiTheme="majorHAnsi" w:hAnsiTheme="majorHAnsi" w:cstheme="majorHAnsi"/>
          <w:b/>
          <w:szCs w:val="28"/>
          <w:u w:val="single"/>
          <w:lang w:val="de-DE"/>
        </w:rPr>
        <w:t>Short Research Article</w:t>
      </w:r>
    </w:p>
    <w:p w14:paraId="3E6D3678" w14:textId="19758000" w:rsidR="00DE19D5" w:rsidRPr="003E57BB" w:rsidRDefault="0000445E" w:rsidP="001E7717">
      <w:pPr>
        <w:widowControl w:val="0"/>
        <w:spacing w:before="120" w:after="120" w:line="24" w:lineRule="atLeast"/>
        <w:jc w:val="left"/>
        <w:rPr>
          <w:rFonts w:asciiTheme="majorHAnsi" w:hAnsiTheme="majorHAnsi" w:cstheme="majorHAnsi"/>
          <w:szCs w:val="28"/>
          <w:lang w:val="de-DE"/>
        </w:rPr>
      </w:pPr>
      <w:r w:rsidRPr="003E57BB">
        <w:rPr>
          <w:rFonts w:asciiTheme="majorHAnsi" w:hAnsiTheme="majorHAnsi" w:cstheme="majorHAnsi"/>
          <w:b/>
          <w:szCs w:val="28"/>
          <w:lang w:val="de-DE"/>
        </w:rPr>
        <w:t>ECONOMIC SECURITY AND INCOME OF ETHNIC MINORITY COMMUNITIES IN A SOUTHEAST ASIAN NATION: A SUSTAINABLE DEVELOPMENT PERSPECTIVE</w:t>
      </w:r>
    </w:p>
    <w:p w14:paraId="1C41B439" w14:textId="7FC32978" w:rsidR="000215AF" w:rsidRDefault="000215AF" w:rsidP="005860CF">
      <w:pPr>
        <w:widowControl w:val="0"/>
        <w:spacing w:before="120" w:after="120" w:line="24" w:lineRule="atLeast"/>
        <w:rPr>
          <w:rFonts w:asciiTheme="majorHAnsi" w:hAnsiTheme="majorHAnsi" w:cstheme="majorHAnsi"/>
          <w:szCs w:val="28"/>
          <w:lang w:val="de-DE"/>
        </w:rPr>
      </w:pPr>
    </w:p>
    <w:p w14:paraId="7D1AD4F4" w14:textId="77777777" w:rsidR="004F62B4" w:rsidRPr="008C0556" w:rsidRDefault="004F62B4" w:rsidP="005860CF">
      <w:pPr>
        <w:widowControl w:val="0"/>
        <w:spacing w:before="120" w:after="120" w:line="24" w:lineRule="atLeast"/>
        <w:rPr>
          <w:rFonts w:asciiTheme="majorHAnsi" w:hAnsiTheme="majorHAnsi" w:cstheme="majorHAnsi"/>
          <w:szCs w:val="28"/>
          <w:lang w:val="de-DE"/>
        </w:rPr>
      </w:pPr>
    </w:p>
    <w:p w14:paraId="4BD4541E" w14:textId="19004034" w:rsidR="00414CBD" w:rsidRPr="008C0556" w:rsidRDefault="0000445E" w:rsidP="00290426">
      <w:pPr>
        <w:widowControl w:val="0"/>
        <w:spacing w:before="120" w:after="120" w:line="24" w:lineRule="atLeast"/>
        <w:rPr>
          <w:rFonts w:asciiTheme="majorHAnsi" w:hAnsiTheme="majorHAnsi" w:cstheme="majorHAnsi"/>
          <w:b/>
          <w:szCs w:val="28"/>
          <w:lang w:val="de-DE"/>
        </w:rPr>
      </w:pPr>
      <w:r w:rsidRPr="008C0556">
        <w:rPr>
          <w:rFonts w:asciiTheme="majorHAnsi" w:hAnsiTheme="majorHAnsi" w:cstheme="majorHAnsi"/>
          <w:b/>
          <w:szCs w:val="28"/>
          <w:lang w:val="de-DE"/>
        </w:rPr>
        <w:t>Abstract</w:t>
      </w:r>
    </w:p>
    <w:p w14:paraId="70601B15" w14:textId="77777777" w:rsidR="00653FB5" w:rsidRDefault="00653FB5" w:rsidP="001A29C6">
      <w:pPr>
        <w:widowControl w:val="0"/>
        <w:spacing w:before="120" w:after="120" w:line="24" w:lineRule="atLeast"/>
        <w:rPr>
          <w:rFonts w:asciiTheme="majorHAnsi" w:hAnsiTheme="majorHAnsi" w:cstheme="majorHAnsi"/>
          <w:szCs w:val="28"/>
          <w:lang w:val="de-DE"/>
        </w:rPr>
      </w:pPr>
      <w:r w:rsidRPr="00653FB5">
        <w:rPr>
          <w:rFonts w:asciiTheme="majorHAnsi" w:hAnsiTheme="majorHAnsi" w:cstheme="majorHAnsi"/>
          <w:szCs w:val="28"/>
          <w:lang w:val="de-DE"/>
        </w:rPr>
        <w:t>This study investigates economic security through the lens of income among ethnic minority communities in the northern highlands of Vietnam, focusing on the Tay and Hmong groups. Adopting a quantitative approach, the research examines three key dimensions—capability, efficiency, and sustainability—to identify factors shaping household income. Survey data from 280 respondents indicate that language proficiency in both national and foreign languages strongly enhances income, highlighting the role of human capital as a driver of economic security. Cultivated land area contributes positively to income for the Tay, reflecting the importance of natural resource access and productive utilization. Participation in workplace decision-making also correlates with higher income, emphasizing the economic value of participatory governance. Conversely, longer tenure in the same job is associated with lower income, revealing structural constraints and limited opportunities for skill upgrading in rural labor markets. The findings underscore that education level alone does not guarantee higher income, while living standards provide an enabling environment for better economic outcomes. Policy implications focus on developing targeted language programs, promoting inclusive decision-making, supporting continuous skill development, and tailoring agricultural and land-use policies to reduce disparities among ethnic groups. Overall, the study highlights the interplay between individual capabilities and structural factors in securing sustainable livelihoods. By addressing both human and institutional dimensions, policymakers and local authorities can foster higher and more equitable income levels, contributing to economic security and sustainable development for ethnic minority populations in the northern highlands.</w:t>
      </w:r>
    </w:p>
    <w:p w14:paraId="387A08A8" w14:textId="0895A824" w:rsidR="0000445E" w:rsidRPr="008C0556" w:rsidRDefault="0000445E" w:rsidP="001A29C6">
      <w:pPr>
        <w:widowControl w:val="0"/>
        <w:spacing w:before="120" w:after="120" w:line="24" w:lineRule="atLeast"/>
        <w:rPr>
          <w:rFonts w:asciiTheme="majorHAnsi" w:hAnsiTheme="majorHAnsi" w:cstheme="majorHAnsi"/>
          <w:szCs w:val="28"/>
          <w:lang w:val="de-DE"/>
        </w:rPr>
      </w:pPr>
      <w:r w:rsidRPr="008C0556">
        <w:rPr>
          <w:rFonts w:asciiTheme="majorHAnsi" w:hAnsiTheme="majorHAnsi" w:cstheme="majorHAnsi"/>
          <w:szCs w:val="28"/>
          <w:lang w:val="de-DE"/>
        </w:rPr>
        <w:t>Keywords: Economic security; Income; Ethnic minorities; Sustainable development; Southeast Asia</w:t>
      </w:r>
    </w:p>
    <w:p w14:paraId="0538CB93" w14:textId="77777777" w:rsidR="0000445E" w:rsidRPr="008C0556" w:rsidRDefault="0000445E" w:rsidP="001A29C6">
      <w:pPr>
        <w:widowControl w:val="0"/>
        <w:spacing w:before="120" w:after="120" w:line="24" w:lineRule="atLeast"/>
        <w:rPr>
          <w:rFonts w:asciiTheme="majorHAnsi" w:hAnsiTheme="majorHAnsi" w:cstheme="majorHAnsi"/>
          <w:szCs w:val="28"/>
          <w:lang w:val="de-DE"/>
        </w:rPr>
      </w:pPr>
    </w:p>
    <w:p w14:paraId="2B627102" w14:textId="18D54A79" w:rsidR="00EF7BFD" w:rsidRPr="008C0556" w:rsidRDefault="00341120" w:rsidP="0008539E">
      <w:pPr>
        <w:spacing w:line="480" w:lineRule="auto"/>
        <w:rPr>
          <w:rFonts w:asciiTheme="majorHAnsi" w:hAnsiTheme="majorHAnsi" w:cstheme="majorHAnsi"/>
          <w:b/>
          <w:szCs w:val="28"/>
          <w:lang w:val="de-DE"/>
        </w:rPr>
      </w:pPr>
      <w:r>
        <w:rPr>
          <w:rFonts w:asciiTheme="majorHAnsi" w:hAnsiTheme="majorHAnsi" w:cstheme="majorHAnsi"/>
          <w:b/>
          <w:szCs w:val="28"/>
          <w:lang w:val="de-DE"/>
        </w:rPr>
        <w:t xml:space="preserve">1. </w:t>
      </w:r>
      <w:r w:rsidR="0000445E" w:rsidRPr="008C0556">
        <w:rPr>
          <w:rFonts w:asciiTheme="majorHAnsi" w:hAnsiTheme="majorHAnsi" w:cstheme="majorHAnsi"/>
          <w:b/>
          <w:szCs w:val="28"/>
          <w:lang w:val="de-DE"/>
        </w:rPr>
        <w:t>INTRODUCTION</w:t>
      </w:r>
    </w:p>
    <w:p w14:paraId="551C9602" w14:textId="1CDF2546" w:rsidR="001C0332" w:rsidRPr="008C0556" w:rsidRDefault="001C0332" w:rsidP="003E57BB">
      <w:pPr>
        <w:spacing w:before="120" w:after="120" w:line="288" w:lineRule="auto"/>
        <w:rPr>
          <w:rFonts w:asciiTheme="majorHAnsi" w:hAnsiTheme="majorHAnsi" w:cstheme="majorHAnsi"/>
          <w:szCs w:val="28"/>
          <w:lang w:val="de-DE"/>
        </w:rPr>
      </w:pPr>
      <w:r w:rsidRPr="008C0556">
        <w:rPr>
          <w:rFonts w:asciiTheme="majorHAnsi" w:hAnsiTheme="majorHAnsi" w:cstheme="majorHAnsi"/>
          <w:szCs w:val="28"/>
          <w:lang w:val="de-DE"/>
        </w:rPr>
        <w:t xml:space="preserve">Economic security is one of the seven dimensions of human security as conceptualized by Mahbub ul Haq in the 1994 Human Development Report. It requires that every individual has access to a basic income, typically derived from </w:t>
      </w:r>
      <w:r w:rsidRPr="008C0556">
        <w:rPr>
          <w:rFonts w:asciiTheme="majorHAnsi" w:hAnsiTheme="majorHAnsi" w:cstheme="majorHAnsi"/>
          <w:szCs w:val="28"/>
          <w:lang w:val="de-DE"/>
        </w:rPr>
        <w:lastRenderedPageBreak/>
        <w:t>paid employment or, at a minimum, from social protection systems. While economic security is a pressing concern in developing countries, it also attracts attention in developed nations in relation to unemployment, labor markets, and livelihood sustainability. However, most existing studies are either theoretical or qualitative, with relatively few quantitative analyses based on fieldwork, particularly in relation to ethnic minority communities living in the northern mountainous regions of Southeast Asia.</w:t>
      </w:r>
    </w:p>
    <w:p w14:paraId="44B3B8A5" w14:textId="3F9F6559" w:rsidR="001C0332" w:rsidRPr="003E57BB" w:rsidRDefault="0095137B"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 xml:space="preserve">Existing literature provides valuable insights into economic disparities between ethnic groups in Southeast Asia. For instance, studies on income inequality in Malaysia reveal how distributional national account methods can illuminate ethnic cleavages in wealth and income </w:t>
      </w:r>
      <w:r w:rsidRPr="003E57BB">
        <w:rPr>
          <w:rFonts w:asciiTheme="majorHAnsi" w:hAnsiTheme="majorHAnsi" w:cstheme="majorHAnsi"/>
          <w:szCs w:val="28"/>
          <w:lang w:val="de-DE"/>
        </w:rPr>
        <w:fldChar w:fldCharType="begin"/>
      </w:r>
      <w:r w:rsidR="001F0685" w:rsidRPr="003E57BB">
        <w:rPr>
          <w:rFonts w:asciiTheme="majorHAnsi" w:hAnsiTheme="majorHAnsi" w:cstheme="majorHAnsi"/>
          <w:szCs w:val="28"/>
          <w:lang w:val="de-DE"/>
        </w:rPr>
        <w:instrText xml:space="preserve"> ADDIN ZOTERO_ITEM CSL_CITATION {"citationID":"y74ViRzx","properties":{"formattedCitation":"(Khalid &amp; Yang, 2021)","plainCitation":"(Khalid &amp; Yang, 2021)","noteIndex":0},"citationItems":[{"id":"4Ft1GYHL/jibOSFbQ","uris":["http://zotero.org/users/local/Gh2w8VaO/items/IDCEU2K9"],"itemData":{"id":35,"type":"article-journal","abstract":"In this paper, by combining information obtained from national accounts, household surveys, and fiscal data, we document the evolution of income inequality in Malaysia, not only at the national level (for the period of 1984–2014) but also by ethnic group (for the period of 2002–2014). To our knowledge this is the first attempt to produce inequality measurements of Malaysia, which are fully consistent with the national accounts. Our research shows that despite Malaysia’s exceptional economic growth rate, its growth has been inclusive. For the period of 2002–2014, the real income growth for the bottom 50 % is the highest (5.2 %), followed by the middle 40 % (4.1 %), the top 10 % (2.7 %) and then the top 1 % (1.6 %). However, while average growth rates are positive across all ethnic groups (Bumiputera 4.9 %, Indians 4.8 %, and Chinese 2.7 %), the highest growth of real income per adult accrued to the Bumiputera in the top 1 % (at 8.3 %), which sharply contrasts the much lower growth rate of the Indians (at 3.4 %) and negative income growth rates of the Chinese (at −0.6 %). Despite the negative growth rate, the Chinese still account for the lion’s share in the top 1 %. In 2014, 60 % of the adults in the top 1 % income group are Chinese, while 33 % Bumiputera, and 6 % Indians. We conclude that in this period, Malaysia’s growth features an inclusive redistribution between income classes, but with a twist between racial groups.","container-title":"Journal of Asian Economics","DOI":"10.1016/j.asieco.2020.101252","ISSN":"1049-0078","journalAbbreviation":"Journal of Asian Economics","page":"101252","source":"ScienceDirect","title":"Income inequality and ethnic cleavages in Malaysia: Evidence from distributional national accounts (1984–2014)","title-short":"Income inequality and ethnic cleavages in Malaysia","volume":"72","author":[{"family":"Khalid","given":"Muhammed Abdul"},{"family":"Yang","given":"Li"}],"issued":{"date-parts":[["2021",2,1]]}}}],"schema":"https://github.com/citation-style-language/schema/raw/master/csl-citation.json"}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(Khalid &amp; Yang, 2021)</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xml:space="preserve">. Similarly, recent decomposition analyses of income inequality in the Philippines, Thailand, and Vietnam demonstrate how changes in income sources and household characteristics drive inequality trends </w:t>
      </w:r>
      <w:r w:rsidRPr="003E57BB">
        <w:rPr>
          <w:rFonts w:asciiTheme="majorHAnsi" w:hAnsiTheme="majorHAnsi" w:cstheme="majorHAnsi"/>
          <w:szCs w:val="28"/>
          <w:lang w:val="de-DE"/>
        </w:rPr>
        <w:fldChar w:fldCharType="begin"/>
      </w:r>
      <w:r w:rsidR="001F0685" w:rsidRPr="003E57BB">
        <w:rPr>
          <w:rFonts w:asciiTheme="majorHAnsi" w:hAnsiTheme="majorHAnsi" w:cstheme="majorHAnsi"/>
          <w:szCs w:val="28"/>
          <w:lang w:val="de-DE"/>
        </w:rPr>
        <w:instrText xml:space="preserve"> ADDIN ZOTERO_ITEM CSL_CITATION {"citationID":"qJMkjEFi","properties":{"formattedCitation":"(Mercado et al., 2024)","plainCitation":"(Mercado et al., 2024)","noteIndex":0},"citationItems":[{"id":"4Ft1GYHL/CGp6V8bC","uris":["http://zotero.org/users/local/Gh2w8VaO/items/UP2QN86Y"],"itemData":{"id":37,"type":"article-journal","abstract":"Income inequality has moderated in the Philippines, Thailand, and Viet Nam, three middle income countries in Southeast Asia, over the past two decades, with multiple factors at play. In each country, wage, nonfarm business income, and overseas remittance concentrations declined as less well-off households increasingly engaged in better-paying activities. In Thailand and Viet Nam, transfer incomes became more pro-poor and better targeted. Major contributors to lower income inequality also included a narrowing in regional disparity and a reduction in the urban-rural income gap, and, in the Philippines and Thailand, a fall in the education premium. This recent trend of moderating income inequality might be the combined outcome of rising income opportunities generated by structural transformation and government policies promoting social inclusion. Nonetheless, income inequality remains high, especially in the Philippines and Thailand. More policy efforts are needed to make growth more inclusive.","container-title":"Journal of Asian Economics","DOI":"10.1016/j.asieco.2024.101775","ISSN":"1049-0078","journalAbbreviation":"Journal of Asian Economics","page":"101775","source":"ScienceDirect","title":"Trends and drivers of income inequality in the Philippines, Thailand, and Viet Nam since the early 2000s: A decomposition analysis","title-short":"Trends and drivers of income inequality in the Philippines, Thailand, and Viet Nam since the early 2000s","volume":"94","author":[{"family":"Mercado","given":"Rogelio"},{"family":"Park","given":"Cyn-Young"},{"family":"Zhuang","given":"Juzhong"}],"issued":{"date-parts":[["2024",10,1]]}}}],"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(Mercado et al., 2024)</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xml:space="preserve">. Broader perspectives highlight the links between wealth, poverty, and health, further anchoring the concept of economic security within human development discourses </w:t>
      </w:r>
      <w:r w:rsidRPr="003E57BB">
        <w:rPr>
          <w:rFonts w:asciiTheme="majorHAnsi" w:hAnsiTheme="majorHAnsi" w:cstheme="majorHAnsi"/>
          <w:szCs w:val="28"/>
          <w:lang w:val="de-DE"/>
        </w:rPr>
        <w:fldChar w:fldCharType="begin"/>
      </w:r>
      <w:r w:rsidR="001F0685" w:rsidRPr="003E57BB">
        <w:rPr>
          <w:rFonts w:asciiTheme="majorHAnsi" w:hAnsiTheme="majorHAnsi" w:cstheme="majorHAnsi"/>
          <w:szCs w:val="28"/>
          <w:lang w:val="de-DE"/>
        </w:rPr>
        <w:instrText xml:space="preserve"> ADDIN ZOTERO_ITEM CSL_CITATION {"citationID":"3zL3vtth","properties":{"formattedCitation":"(Nilan &amp; Maunati, 2025)","plainCitation":"(Nilan &amp; Maunati, 2025)","noteIndex":0},"citationItems":[{"id":"4Ft1GYHL/6g5aKWCj","uris":["http://zotero.org/users/local/Gh2w8VaO/items/NBBBI4YL"],"itemData":{"id":39,"type":"chapter","abstract":"Economic circumstances shape all aspects of people’s lives. In Southeast Asia, as elsewhere, people need sufficient income for the basics of a healthy life, such as clean water, nutritious food and safe housing. If the income is insufficient, people live with risks of all kinds, including poor health and diminished life expectancy. For example, income inequality greatly affects life expectancy at birth. Not only is the infant mortality rate much higher, but babies born into poverty will rarely live to old age as long as babies are born into wealthier circumstances. Certainly, inequitable distribution of wealth in any nation of Southeast Asia does not benefit the population as a whole. Rather, the massive accumulation of wealth by transnational companies and state elites, combined with tax avoidance, restricts the distribution of state benefits to lower-income levels of society, impacting negatively on job creation, housing provision, schooling, pro-poor interventions, social welfare assistance, health and medical services. Social scientists in the region have documented the struggles of poorer people in the region to improve their livelihoods and their lives. Recent research implies that Western ideas about pro-poor development may not achieve the widespread benefits anticipated by aid donors.","container-title":"Decolonising Social Science Research in Southeast Asia: New Ways of Knowing","event-place":"Singapore","ISBN":"978-981-96-4624-1","language":"en","note":"DOI: 10.1007/978-981-96-4624-1_4","page":"85-110","publisher":"Springer Nature","publisher-place":"Singapore","source":"Springer Link","title":"Wealth, Poverty and Health in Southeast Asia","URL":"https://doi.org/10.1007/978-981-96-4624-1_4","author":[{"family":"Nilan","given":"Pam"},{"family":"Maunati","given":"Yekti"}],"editor":[{"family":"Nilan","given":"Pam"},{"family":"Maunati","given":"Yekti"}],"accessed":{"date-parts":[["2025",8,20]]},"issued":{"date-parts":[["2025"]]}}}],"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(Nilan &amp; Maunati, 2025)</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xml:space="preserve">. Urban inequality discussions, spanning income, employment, and housing, enrich the understanding of sustainable livelihoods in rapidly changing socio-economic contexts </w:t>
      </w:r>
      <w:r w:rsidRPr="003E57BB">
        <w:rPr>
          <w:rFonts w:asciiTheme="majorHAnsi" w:hAnsiTheme="majorHAnsi" w:cstheme="majorHAnsi"/>
          <w:szCs w:val="28"/>
          <w:lang w:val="de-DE"/>
        </w:rPr>
        <w:fldChar w:fldCharType="begin"/>
      </w:r>
      <w:r w:rsidR="001F0685" w:rsidRPr="003E57BB">
        <w:rPr>
          <w:rFonts w:asciiTheme="majorHAnsi" w:hAnsiTheme="majorHAnsi" w:cstheme="majorHAnsi"/>
          <w:szCs w:val="28"/>
          <w:lang w:val="de-DE"/>
        </w:rPr>
        <w:instrText xml:space="preserve"> ADDIN ZOTERO_ITEM CSL_CITATION {"citationID":"ptm5NtU2","properties":{"formattedCitation":"(Ahmad et al., 2025)","plainCitation":"(Ahmad et al., 2025)","noteIndex":0},"citationItems":[{"id":"4Ft1GYHL/qAACB11b","uris":["http://zotero.org/users/local/Gh2w8VaO/items/EL858QQE"],"itemData":{"id":40,"type":"chapter","abstract":"This chapter analyses the income, employment, and housing conditions of residents covered in the SHLC Household Survey conducted across various neighbourhoods in 14 Asian and African cities. The analysis provides comparative insights into neighbourhood-level inequalities in the Global South. While continental or subcontinental differences are limited, significant variations in inequality are evident at the country and city levels. The findings reveal serious inequality across neighbourhoods, with neighbourhood wealth emerging as a critical catalyst. This intriguing micro-level data underscores the importance of neighbourhoods in understanding the various dynamics of rapidly growing cities in the Global South.","container-title":"New Drivers of Division: Urbanisation and Spatial Inequality in Africa and Asia","event-place":"Singapore","ISBN":"978-981-96-5629-5","language":"en","note":"DOI: 10.1007/978-981-96-5629-5_14","page":"223-238","publisher":"Springer Nature","publisher-place":"Singapore","source":"Springer Link","title":"Income, Employment, and Housing Inequalities in Asian and African Cities","URL":"https://doi.org/10.1007/978-981-96-5629-5_14","author":[{"family":"Ahmad","given":"Sohail"},{"family":"Sowgat","given":"Tanjil"},{"family":"Wang","given":"Ya Ping"}],"editor":[{"family":"Wang","given":"Ya Ping"},{"family":"Kintrea","given":"Keith"},{"family":"Everatt","given":"David"},{"family":"Kundu","given":"Debolina"}],"accessed":{"date-parts":[["2025",8,20]]},"issued":{"date-parts":[["2025"]]}}}],"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(Ahmad et al., 2025)</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xml:space="preserve">. Finally, political economy analyses of social security systems in Southeast Asia underscore the importance of state mechanisms in mediating inequality and promoting economic security </w:t>
      </w:r>
      <w:r w:rsidRPr="003E57BB">
        <w:rPr>
          <w:rFonts w:asciiTheme="majorHAnsi" w:hAnsiTheme="majorHAnsi" w:cstheme="majorHAnsi"/>
          <w:szCs w:val="28"/>
          <w:lang w:val="de-DE"/>
        </w:rPr>
        <w:fldChar w:fldCharType="begin"/>
      </w:r>
      <w:r w:rsidR="001F0685" w:rsidRPr="003E57BB">
        <w:rPr>
          <w:rFonts w:asciiTheme="majorHAnsi" w:hAnsiTheme="majorHAnsi" w:cstheme="majorHAnsi"/>
          <w:szCs w:val="28"/>
          <w:lang w:val="de-DE"/>
        </w:rPr>
        <w:instrText xml:space="preserve"> ADDIN ZOTERO_ITEM CSL_CITATION {"citationID":"apLjrsAM","properties":{"formattedCitation":"(Bi, 2025)","plainCitation":"(Bi, 2025)","noteIndex":0},"citationItems":[{"id":"4Ft1GYHL/aWOt6egu","uris":["http://zotero.org/users/local/Gh2w8VaO/items/IKI4F8DP"],"itemData":{"id":42,"type":"chapter","abstract":"After the Cold War, scholars of modern state development in Southeast Asia highly valued the field of political economy, and the relationship between the government, the economy, and society became an important topic. Authoritarianism, oligarchy, and “rent-seeking” behaviors in Southeast Asian countries have hindered their political transformation and economic and social development. There is much support for the “middle-income trap” argument and the rise of populism. The governments of Southeast Asian countries have tried to improve secondary distribution by improving the social public service system to narrow the poverty gap, but the way to reform is arduous and long. Because the many related studies adopt different theoretical methods, their conclusions are mixture. The support of interdisciplinary theory and methodologies represents a new breakthrough that can further deepen the study of modern state development in Southeast Asia.","container-title":"Risks, Resilience and Interdependency: Developing Countries in the Age of Uncertainties","event-place":"Singapore","ISBN":"978-981-96-7167-0","language":"en","note":"DOI: 10.1007/978-981-96-7167-0_3","page":"59-88","publisher":"Springer Nature","publisher-place":"Singapore","source":"Springer Link","title":"A Political Economy Analysis of Modern State Development in Southeast Asia","URL":"https://doi.org/10.1007/978-981-96-7167-0_3","author":[{"family":"Bi","given":"Shihong"}],"editor":[{"family":"Yang","given":"Guang"},{"family":"Zhang","given":"Jing"},{"family":"Xiong","given":"Xinghan"},{"family":"Liu","given":"Lanyu"}],"accessed":{"date-parts":[["2025",8,20]]},"issued":{"date-parts":[["2025"]]}}}],"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(Bi, 2025)</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w:t>
      </w:r>
    </w:p>
    <w:p w14:paraId="6EBDF96C" w14:textId="3DBF7DB0" w:rsidR="0040474F" w:rsidRPr="003E57BB" w:rsidRDefault="001C0332" w:rsidP="003E57BB">
      <w:pPr>
        <w:spacing w:before="120" w:after="120" w:line="288" w:lineRule="auto"/>
        <w:rPr>
          <w:rFonts w:asciiTheme="majorHAnsi" w:hAnsiTheme="majorHAnsi" w:cstheme="majorHAnsi"/>
          <w:szCs w:val="28"/>
          <w:lang w:val="de-DE"/>
        </w:rPr>
      </w:pPr>
      <w:r w:rsidRPr="008C0556">
        <w:rPr>
          <w:rFonts w:asciiTheme="majorHAnsi" w:hAnsiTheme="majorHAnsi" w:cstheme="majorHAnsi"/>
          <w:szCs w:val="28"/>
          <w:lang w:val="de-DE"/>
        </w:rPr>
        <w:t>This paper contributes to filling that gap by examining economic security through the lens of income among ethnic minority groups in the northern highlands. Using survey data and a quantitative framework, the study focuses on three dimensions—capability, efficiency, and sustainability—to evaluate how they shape household income. To provide a clearer understanding of these relationships, the paper first reviews existing studies on ethnic minority income, then introduces the research context and factors influencing income, followed by an analysis of findings and discussion of policy implications for sustainable development.</w:t>
      </w:r>
    </w:p>
    <w:p w14:paraId="24321A37" w14:textId="43D03B88" w:rsidR="00A02B9B" w:rsidRPr="003E57BB" w:rsidRDefault="00341120" w:rsidP="003E57BB">
      <w:pPr>
        <w:pStyle w:val="NormalWeb"/>
        <w:spacing w:before="120" w:beforeAutospacing="0" w:after="120" w:afterAutospacing="0" w:line="288" w:lineRule="auto"/>
        <w:jc w:val="both"/>
        <w:rPr>
          <w:rFonts w:asciiTheme="majorHAnsi" w:eastAsia="Calibri" w:hAnsiTheme="majorHAnsi" w:cstheme="majorHAnsi"/>
          <w:sz w:val="28"/>
          <w:szCs w:val="28"/>
          <w:lang w:val="de-DE" w:eastAsia="en-US"/>
        </w:rPr>
      </w:pPr>
      <w:r w:rsidRPr="003E57BB">
        <w:rPr>
          <w:rFonts w:eastAsia="Calibri"/>
          <w:b/>
          <w:bCs/>
          <w:sz w:val="28"/>
          <w:szCs w:val="28"/>
          <w:lang w:val="de-DE" w:eastAsia="en-US"/>
        </w:rPr>
        <w:t xml:space="preserve">2. </w:t>
      </w:r>
      <w:r w:rsidR="00A02B9B" w:rsidRPr="003E57BB">
        <w:rPr>
          <w:rFonts w:eastAsia="Calibri"/>
          <w:b/>
          <w:bCs/>
          <w:sz w:val="28"/>
          <w:szCs w:val="28"/>
          <w:lang w:val="de-DE" w:eastAsia="en-US"/>
        </w:rPr>
        <w:t>LITERATURE REVIEW</w:t>
      </w:r>
    </w:p>
    <w:p w14:paraId="312485C6" w14:textId="366ECB44" w:rsidR="00A02B9B" w:rsidRPr="003E57BB" w:rsidRDefault="00A02B9B" w:rsidP="003E57BB">
      <w:pPr>
        <w:pStyle w:val="NormalWeb"/>
        <w:spacing w:before="120" w:beforeAutospacing="0" w:after="120" w:afterAutospacing="0" w:line="288" w:lineRule="auto"/>
        <w:jc w:val="both"/>
        <w:rPr>
          <w:rFonts w:asciiTheme="majorHAnsi" w:eastAsia="Calibri" w:hAnsiTheme="majorHAnsi" w:cstheme="majorHAnsi"/>
          <w:sz w:val="28"/>
          <w:szCs w:val="28"/>
          <w:lang w:val="de-DE" w:eastAsia="en-US"/>
        </w:rPr>
      </w:pPr>
      <w:r w:rsidRPr="003E57BB">
        <w:rPr>
          <w:rFonts w:asciiTheme="majorHAnsi" w:eastAsia="Calibri" w:hAnsiTheme="majorHAnsi" w:cstheme="majorHAnsi"/>
          <w:sz w:val="28"/>
          <w:szCs w:val="28"/>
          <w:lang w:val="de-DE" w:eastAsia="en-US"/>
        </w:rPr>
        <w:t>In terms of human development and income,</w:t>
      </w:r>
      <w:r w:rsidRPr="003E57BB">
        <w:rPr>
          <w:rFonts w:asciiTheme="majorHAnsi" w:eastAsia="Calibri" w:hAnsiTheme="majorHAnsi" w:cstheme="majorHAnsi"/>
          <w:sz w:val="28"/>
          <w:szCs w:val="28"/>
          <w:lang w:val="de-DE" w:eastAsia="en-US"/>
        </w:rPr>
        <w:fldChar w:fldCharType="begin"/>
      </w:r>
      <w:r w:rsidR="001F0685" w:rsidRPr="003E57BB">
        <w:rPr>
          <w:rFonts w:asciiTheme="majorHAnsi" w:eastAsia="Calibri" w:hAnsiTheme="majorHAnsi" w:cstheme="majorHAnsi"/>
          <w:sz w:val="28"/>
          <w:szCs w:val="28"/>
          <w:lang w:val="de-DE" w:eastAsia="en-US"/>
        </w:rPr>
        <w:instrText xml:space="preserve"> ADDIN ZOTERO_ITEM CSL_CITATION {"citationID":"czEXBeba","properties":{"formattedCitation":"(Gustafsson &amp; Sai, 2009)","plainCitation":"(Gustafsson &amp; Sai, 2009)","noteIndex":0},"citationItems":[{"id":"4Ft1GYHL/4wAHTtz7","uris":["http://zotero.org/users/local/Gh2w8VaO/items/LGKEF7TG"],"itemData":{"id":46,"type":"article-journal","abstract":"This paper investigates how ethnic minorities in rural China are faring compared with the ethnic majority. The village is the unit of analysis and large surveys for 2002 are used. Minority villages in northeast China are found to have a somewhat better economic situation than the average majority village, but minority villages in the southwest are clearly faring worse. Industrialisation, inputs in agricultural production, stock of human capital of the labour force, wage level on the local labour market as well as indicators of path dependency are all found to affect the economic situation of a village. Location is the single most important circumstance working against a favourable economic situation for minority villages in the northwest and particularly the southwest. Low village income results in long-distance migration for many ethnic minorities, but for some minorities their ethnicity hinders migration.","collection-title":"Special Issue: Agriculture in Transition","container-title":"China Economic Review","DOI":"10.1016/j.chieco.2009.02.003","ISSN":"1043-951X","issue":"2","journalAbbreviation":"China Economic Review","page":"193-207","source":"ScienceDirect","title":"Villages where China's ethnic minorities live","volume":"20","author":[{"family":"Gustafsson","given":"Bjorn"},{"family":"Sai","given":"Ding"}],"issued":{"date-parts":[["2009",6,1]]}}}],"schema":"https://github.com/citation-style-language/schema/raw/master/csl-citation.json"} </w:instrText>
      </w:r>
      <w:r w:rsidRPr="003E57BB">
        <w:rPr>
          <w:rFonts w:asciiTheme="majorHAnsi" w:eastAsia="Calibri" w:hAnsiTheme="majorHAnsi" w:cstheme="majorHAnsi"/>
          <w:sz w:val="28"/>
          <w:szCs w:val="28"/>
          <w:lang w:val="de-DE" w:eastAsia="en-US"/>
        </w:rPr>
        <w:fldChar w:fldCharType="separate"/>
      </w:r>
      <w:r w:rsidRPr="003E57BB">
        <w:rPr>
          <w:rFonts w:asciiTheme="majorHAnsi" w:eastAsia="Calibri" w:hAnsiTheme="majorHAnsi" w:cstheme="majorHAnsi"/>
          <w:sz w:val="28"/>
          <w:szCs w:val="28"/>
          <w:lang w:val="de-DE" w:eastAsia="en-US"/>
        </w:rPr>
        <w:t>(Gustafsson &amp; Sai, 2009)</w:t>
      </w:r>
      <w:r w:rsidRPr="003E57BB">
        <w:rPr>
          <w:rFonts w:asciiTheme="majorHAnsi" w:eastAsia="Calibri" w:hAnsiTheme="majorHAnsi" w:cstheme="majorHAnsi"/>
          <w:sz w:val="28"/>
          <w:szCs w:val="28"/>
          <w:lang w:val="de-DE" w:eastAsia="en-US"/>
        </w:rPr>
        <w:fldChar w:fldCharType="end"/>
      </w:r>
      <w:r w:rsidRPr="003E57BB">
        <w:rPr>
          <w:rFonts w:asciiTheme="majorHAnsi" w:eastAsia="Calibri" w:hAnsiTheme="majorHAnsi" w:cstheme="majorHAnsi"/>
          <w:sz w:val="28"/>
          <w:szCs w:val="28"/>
          <w:lang w:val="de-DE" w:eastAsia="en-US"/>
        </w:rPr>
        <w:t xml:space="preserve"> highlight that various circumstances shape household income levels and overall wealth in ethnic minority regions. For instance, engagement in manufacturing activities </w:t>
      </w:r>
      <w:r w:rsidRPr="003E57BB">
        <w:rPr>
          <w:rFonts w:asciiTheme="majorHAnsi" w:eastAsia="Calibri" w:hAnsiTheme="majorHAnsi" w:cstheme="majorHAnsi"/>
          <w:sz w:val="28"/>
          <w:szCs w:val="28"/>
          <w:lang w:val="de-DE" w:eastAsia="en-US"/>
        </w:rPr>
        <w:lastRenderedPageBreak/>
        <w:t xml:space="preserve">tends to generate higher income for minority households. Moreover, educational attainment of working-age villagers is positively correlated with their income when participating in the local labor market. While geographical location is not the sole determinant, it remains an important factor influencing the income of ethnic minority communities. The study further indicates that in lower-income areas, ethnic minorities often travel farther to seek employment compared to those in communities with average income levels. Similarly, </w:t>
      </w:r>
      <w:r w:rsidRPr="003E57BB">
        <w:rPr>
          <w:rFonts w:asciiTheme="majorHAnsi" w:eastAsia="Calibri" w:hAnsiTheme="majorHAnsi" w:cstheme="majorHAnsi"/>
          <w:sz w:val="28"/>
          <w:szCs w:val="28"/>
          <w:lang w:val="de-DE" w:eastAsia="en-US"/>
        </w:rPr>
        <w:fldChar w:fldCharType="begin"/>
      </w:r>
      <w:r w:rsidR="001F0685" w:rsidRPr="003E57BB">
        <w:rPr>
          <w:rFonts w:asciiTheme="majorHAnsi" w:eastAsia="Calibri" w:hAnsiTheme="majorHAnsi" w:cstheme="majorHAnsi"/>
          <w:sz w:val="28"/>
          <w:szCs w:val="28"/>
          <w:lang w:val="de-DE" w:eastAsia="en-US"/>
        </w:rPr>
        <w:instrText xml:space="preserve"> ADDIN ZOTERO_ITEM CSL_CITATION {"citationID":"j78WXCFy","properties":{"formattedCitation":"(Mobius et al., 2016)","plainCitation":"(Mobius et al., 2016)","noteIndex":0},"citationItems":[{"id":"4Ft1GYHL/Flcu8ygt","uris":["http://zotero.org/users/local/Gh2w8VaO/items/BUHQKBD4"],"itemData":{"id":48,"type":"article-journal","abstract":"We study the role of ethnicity in experimental labor markets where “employers” determine wages of “workers” who perform a real effort task. This task requires a true skill which we show is not affected by minority status. In some treatments, we provide subtle priming to employers about minority status of workers as commonly depicted on Chinese “Hukou” identification system. We conduct our experiments at two sites located in provinces that differ by their historical shares of ethnic groups in the population. We find that: (1) Han and minority workers are equally productive in both provinces; (2) in the diverse province, there is no difference in the wages between Han and minority workers; (3) in the non-diverse province, minority workers receive 4–7% lower wages than Han workers.","collection-title":"Social identity and discrimination","container-title":"European Economic Review","DOI":"10.1016/j.euroecorev.2016.04.004","ISSN":"0014-2921","journalAbbreviation":"European Economic Review","page":"165-177","source":"ScienceDirect","title":"Ethnic discrimination: Evidence from China","title-short":"Ethnic discrimination","volume":"90","author":[{"family":"Mobius","given":"Markus"},{"family":"Rosenblat","given":"Tanya"},{"family":"Wang","given":"Qiqi"}],"issued":{"date-parts":[["2016",11,1]]}}}],"schema":"https://github.com/citation-style-language/schema/raw/master/csl-citation.json"} </w:instrText>
      </w:r>
      <w:r w:rsidRPr="003E57BB">
        <w:rPr>
          <w:rFonts w:asciiTheme="majorHAnsi" w:eastAsia="Calibri" w:hAnsiTheme="majorHAnsi" w:cstheme="majorHAnsi"/>
          <w:sz w:val="28"/>
          <w:szCs w:val="28"/>
          <w:lang w:val="de-DE" w:eastAsia="en-US"/>
        </w:rPr>
        <w:fldChar w:fldCharType="separate"/>
      </w:r>
      <w:r w:rsidRPr="003E57BB">
        <w:rPr>
          <w:rFonts w:asciiTheme="majorHAnsi" w:eastAsia="Calibri" w:hAnsiTheme="majorHAnsi" w:cstheme="majorHAnsi"/>
          <w:sz w:val="28"/>
          <w:szCs w:val="28"/>
          <w:lang w:val="de-DE" w:eastAsia="en-US"/>
        </w:rPr>
        <w:t>(Mobius et al., 2016)</w:t>
      </w:r>
      <w:r w:rsidRPr="003E57BB">
        <w:rPr>
          <w:rFonts w:asciiTheme="majorHAnsi" w:eastAsia="Calibri" w:hAnsiTheme="majorHAnsi" w:cstheme="majorHAnsi"/>
          <w:sz w:val="28"/>
          <w:szCs w:val="28"/>
          <w:lang w:val="de-DE" w:eastAsia="en-US"/>
        </w:rPr>
        <w:fldChar w:fldCharType="end"/>
      </w:r>
      <w:r w:rsidRPr="003E57BB">
        <w:rPr>
          <w:rFonts w:asciiTheme="majorHAnsi" w:eastAsia="Calibri" w:hAnsiTheme="majorHAnsi" w:cstheme="majorHAnsi"/>
          <w:sz w:val="28"/>
          <w:szCs w:val="28"/>
          <w:lang w:val="de-DE" w:eastAsia="en-US"/>
        </w:rPr>
        <w:t xml:space="preserve"> examin</w:t>
      </w:r>
      <w:r w:rsidR="0046413B" w:rsidRPr="003E57BB">
        <w:rPr>
          <w:rFonts w:asciiTheme="majorHAnsi" w:eastAsia="Calibri" w:hAnsiTheme="majorHAnsi" w:cstheme="majorHAnsi"/>
          <w:sz w:val="28"/>
          <w:szCs w:val="28"/>
          <w:lang w:val="de-DE" w:eastAsia="en-US"/>
        </w:rPr>
        <w:t>e</w:t>
      </w:r>
      <w:r w:rsidRPr="003E57BB">
        <w:rPr>
          <w:rFonts w:asciiTheme="majorHAnsi" w:eastAsia="Calibri" w:hAnsiTheme="majorHAnsi" w:cstheme="majorHAnsi"/>
          <w:sz w:val="28"/>
          <w:szCs w:val="28"/>
          <w:lang w:val="de-DE" w:eastAsia="en-US"/>
        </w:rPr>
        <w:t xml:space="preserve"> differences between majority and minority workers and managers in labor markets, finding no productivity gap between groups. In ethnically diverse areas, wages between majority and minority workers do not differ significantly; however, in less diverse regions, minority workers earn 4–7% lower wages than their majority counterparts.</w:t>
      </w:r>
    </w:p>
    <w:p w14:paraId="612CD5F1" w14:textId="08759613" w:rsidR="00A02B9B" w:rsidRPr="003E57BB" w:rsidRDefault="00A02B9B" w:rsidP="003E57BB">
      <w:pPr>
        <w:pStyle w:val="NormalWeb"/>
        <w:spacing w:before="120" w:beforeAutospacing="0" w:after="120" w:afterAutospacing="0" w:line="288" w:lineRule="auto"/>
        <w:jc w:val="both"/>
        <w:rPr>
          <w:rFonts w:asciiTheme="majorHAnsi" w:eastAsia="Calibri" w:hAnsiTheme="majorHAnsi" w:cstheme="majorHAnsi"/>
          <w:sz w:val="28"/>
          <w:szCs w:val="28"/>
          <w:lang w:val="de-DE" w:eastAsia="en-US"/>
        </w:rPr>
      </w:pPr>
      <w:r w:rsidRPr="003E57BB">
        <w:rPr>
          <w:rFonts w:asciiTheme="majorHAnsi" w:eastAsia="Calibri" w:hAnsiTheme="majorHAnsi" w:cstheme="majorHAnsi"/>
          <w:sz w:val="28"/>
          <w:szCs w:val="28"/>
          <w:lang w:val="de-DE" w:eastAsia="en-US"/>
        </w:rPr>
        <w:t xml:space="preserve">Tourism development is also viewed as a potential driver of income growth in ethnic minority areas, where cultural resources remain underutilized. </w:t>
      </w:r>
      <w:r w:rsidRPr="003E57BB">
        <w:rPr>
          <w:rFonts w:asciiTheme="majorHAnsi" w:eastAsia="Calibri" w:hAnsiTheme="majorHAnsi" w:cstheme="majorHAnsi"/>
          <w:sz w:val="28"/>
          <w:szCs w:val="28"/>
          <w:lang w:val="de-DE" w:eastAsia="en-US"/>
        </w:rPr>
        <w:fldChar w:fldCharType="begin"/>
      </w:r>
      <w:r w:rsidR="007A4378" w:rsidRPr="003E57BB">
        <w:rPr>
          <w:rFonts w:asciiTheme="majorHAnsi" w:eastAsia="Calibri" w:hAnsiTheme="majorHAnsi" w:cstheme="majorHAnsi"/>
          <w:sz w:val="28"/>
          <w:szCs w:val="28"/>
          <w:lang w:val="de-DE" w:eastAsia="en-US"/>
        </w:rPr>
        <w:instrText xml:space="preserve"> ADDIN ZOTERO_ITEM CSL_CITATION {"citationID":"cDdLrkOH","properties":{"formattedCitation":"(Yang, 2011)","plainCitation":"(Yang, 2011)","noteIndex":0},"citationItems":[{"id":"4Ft1GYHL/VLHf6wn5","uris":["http://zotero.org/users/local/Gh2w8VaO/items/2Y2IMLR3"],"itemData":{"id":52,"type":"article-journal","abstract":"The quest for cultural exoticism has inspired mass Han Chinese visits to regions in China, such as Yunnan, where several ‘ethnic theme parks’ have been developed. Employing surveys, informal interviews, observations and secondary sources, this study explores tourists’ views of their experiences, including their perceptions of cultural authenticity at an ethnic theme park in Yunnan, China. Mixed reactions existed to the experience of park patronage, with greater satisfaction with the overall experience than with the specific qualities and authenticity of park offerings. Most tourists had a favorable view of the site and enjoyed their overall experience. Many appreciated a packaged version of minority cultures. However, some visitors were concerned about misrepresentation, insufficient interpretation, poor service, high costs and inauthentic souvenirs. Tourists’ perceptions of authenticity and their satisfaction were significantly influenced by their individual backgrounds. The study raises important issues concerning management and promotion of ethnic attractions, given that modern tourists may have diverse needs and expectations.","container-title":"Journal of Tourism and Cultural Change","DOI":"10.1080/14766825.2011.628026","ISSN":"1476-6825","issue":"4","note":"publisher: Routledge\n_eprint: https://doi.org/10.1080/14766825.2011.628026","page":"320-340","source":"Taylor and Francis+NEJM","title":"Cultural tourism in an ethnic theme park: tourists’ views","title-short":"Cultural tourism in an ethnic theme park","volume":"9","author":[{"family":"Yang","given":"Li"}],"issued":{"date-parts":[["2011",12,1]]}}}],"schema":"https://github.com/citation-style-language/schema/raw/master/csl-citation.json"} </w:instrText>
      </w:r>
      <w:r w:rsidRPr="003E57BB">
        <w:rPr>
          <w:rFonts w:asciiTheme="majorHAnsi" w:eastAsia="Calibri" w:hAnsiTheme="majorHAnsi" w:cstheme="majorHAnsi"/>
          <w:sz w:val="28"/>
          <w:szCs w:val="28"/>
          <w:lang w:val="de-DE" w:eastAsia="en-US"/>
        </w:rPr>
        <w:fldChar w:fldCharType="separate"/>
      </w:r>
      <w:r w:rsidR="007A4378" w:rsidRPr="003E57BB">
        <w:rPr>
          <w:rFonts w:asciiTheme="majorHAnsi" w:eastAsia="Calibri" w:hAnsiTheme="majorHAnsi" w:cstheme="majorHAnsi"/>
          <w:sz w:val="28"/>
          <w:szCs w:val="28"/>
          <w:lang w:val="de-DE" w:eastAsia="en-US"/>
        </w:rPr>
        <w:t>(Yang, 2011)</w:t>
      </w:r>
      <w:r w:rsidRPr="003E57BB">
        <w:rPr>
          <w:rFonts w:asciiTheme="majorHAnsi" w:eastAsia="Calibri" w:hAnsiTheme="majorHAnsi" w:cstheme="majorHAnsi"/>
          <w:sz w:val="28"/>
          <w:szCs w:val="28"/>
          <w:lang w:val="de-DE" w:eastAsia="en-US"/>
        </w:rPr>
        <w:fldChar w:fldCharType="end"/>
      </w:r>
      <w:r w:rsidRPr="003E57BB">
        <w:rPr>
          <w:rFonts w:asciiTheme="majorHAnsi" w:eastAsia="Calibri" w:hAnsiTheme="majorHAnsi" w:cstheme="majorHAnsi"/>
          <w:sz w:val="28"/>
          <w:szCs w:val="28"/>
          <w:lang w:val="de-DE" w:eastAsia="en-US"/>
        </w:rPr>
        <w:t xml:space="preserve"> argues that while tourism can increase income, cultural and traditional practices—dynamic rather than static—must be preserved and revitalized to ensure sustainable cultural values. Cultural acceptance also plays a crucial role in shaping livelihoods. For example, </w:t>
      </w:r>
      <w:r w:rsidRPr="003E57BB">
        <w:rPr>
          <w:rFonts w:asciiTheme="majorHAnsi" w:eastAsia="Calibri" w:hAnsiTheme="majorHAnsi" w:cstheme="majorHAnsi"/>
          <w:sz w:val="28"/>
          <w:szCs w:val="28"/>
          <w:lang w:val="de-DE" w:eastAsia="en-US"/>
        </w:rPr>
        <w:fldChar w:fldCharType="begin"/>
      </w:r>
      <w:r w:rsidR="001F0685" w:rsidRPr="003E57BB">
        <w:rPr>
          <w:rFonts w:asciiTheme="majorHAnsi" w:eastAsia="Calibri" w:hAnsiTheme="majorHAnsi" w:cstheme="majorHAnsi"/>
          <w:sz w:val="28"/>
          <w:szCs w:val="28"/>
          <w:lang w:val="de-DE" w:eastAsia="en-US"/>
        </w:rPr>
        <w:instrText xml:space="preserve"> ADDIN ZOTERO_ITEM CSL_CITATION {"citationID":"mhoaSQ1e","properties":{"formattedCitation":"(Kyeyune &amp; Turner, 2016)","plainCitation":"(Kyeyune &amp; Turner, 2016)","noteIndex":0},"citationItems":[{"id":"4Ft1GYHL/n6EW8iIf","uris":["http://zotero.org/users/local/Gh2w8VaO/items/4N6RVAG4"],"itemData":{"id":53,"type":"article-journal","abstract":"Agricultural intensification is at the core of the current agrarian transition in Southeast Asia. New crop varieties promise higher productive outputs, but depend on significant increases in chemical inputs. In the highlands of northern Vietnam, we find that adopting hybrid maize is inevitably associated with an increasing dependence on cash for direct and indirect inputs and investments. This reliance on the cash economy is a new reality for semi-subsistence ethnic minority Hmong households, and provides evidence of the advancing agrarian transition in Vietnam’s remote northern highlands. While livelihood outcomes of hybrid seed adoption include increased maize yields, local farmers highlight numerous drawbacks, including unstable input prices, limited storage periods, pest concerns, and the increased reliance on cash. Strong preferences for the taste of traditional local maize, as well as concerns over regular harvests, lead many households to resist the full adoption of new hybrid varieties and redirect hybrid maize to livestock feed and household alcohol production instead. Thus while state policies extoll the virtues of high-yielding hybrid maize for poverty reduction, we find that food availability is an overemphasized element of household food security and upland agricultural development policies. Food security interventions must move beyond conceptualizing food security as a result of food availability alone, and also incorporate cultural acceptability of food, better understandings of hybrid maize cultivation challenges, and respect the seed diversity on which local livelihoods and food security rely.","container-title":"Geoforum","DOI":"10.1016/j.geoforum.2016.03.001","ISSN":"0016-7185","journalAbbreviation":"Geoforum","page":"33-43","source":"ScienceDirect","title":"Yielding to high yields? Critiquing food security definitions and policy implications for ethnic minority livelihoods in upland Vietnam","title-short":"Yielding to high yields?","volume":"71","author":[{"family":"Kyeyune","given":"Victoria"},{"family":"Turner","given":"Sarah"}],"issued":{"date-parts":[["2016",5,1]]}}}],"schema":"https://github.com/citation-style-language/schema/raw/master/csl-citation.json"} </w:instrText>
      </w:r>
      <w:r w:rsidRPr="003E57BB">
        <w:rPr>
          <w:rFonts w:asciiTheme="majorHAnsi" w:eastAsia="Calibri" w:hAnsiTheme="majorHAnsi" w:cstheme="majorHAnsi"/>
          <w:sz w:val="28"/>
          <w:szCs w:val="28"/>
          <w:lang w:val="de-DE" w:eastAsia="en-US"/>
        </w:rPr>
        <w:fldChar w:fldCharType="separate"/>
      </w:r>
      <w:r w:rsidRPr="003E57BB">
        <w:rPr>
          <w:rFonts w:asciiTheme="majorHAnsi" w:eastAsia="Calibri" w:hAnsiTheme="majorHAnsi" w:cstheme="majorHAnsi"/>
          <w:sz w:val="28"/>
          <w:szCs w:val="28"/>
          <w:lang w:val="de-DE" w:eastAsia="en-US"/>
        </w:rPr>
        <w:t>(Kyeyune &amp; Turner, 2016)</w:t>
      </w:r>
      <w:r w:rsidRPr="003E57BB">
        <w:rPr>
          <w:rFonts w:asciiTheme="majorHAnsi" w:eastAsia="Calibri" w:hAnsiTheme="majorHAnsi" w:cstheme="majorHAnsi"/>
          <w:sz w:val="28"/>
          <w:szCs w:val="28"/>
          <w:lang w:val="de-DE" w:eastAsia="en-US"/>
        </w:rPr>
        <w:fldChar w:fldCharType="end"/>
      </w:r>
      <w:r w:rsidRPr="003E57BB">
        <w:rPr>
          <w:rFonts w:asciiTheme="majorHAnsi" w:eastAsia="Calibri" w:hAnsiTheme="majorHAnsi" w:cstheme="majorHAnsi"/>
          <w:sz w:val="28"/>
          <w:szCs w:val="28"/>
          <w:lang w:val="de-DE" w:eastAsia="en-US"/>
        </w:rPr>
        <w:t>, in their study on farming practices in Ha Giang, observed that although hybrid maize could increase household income, local communities were reluctant to adopt it due to cultural resistance to innovation, despite state promotion. The authors suggest that livelihood practices contributing to food security should precede the conceptualization of food security, emphasizing the importance of understanding new crops, agricultural diversity, and cultural acceptance to enhance household income.</w:t>
      </w:r>
    </w:p>
    <w:p w14:paraId="101876AA" w14:textId="0B53C7A7" w:rsidR="00A02B9B" w:rsidRPr="003E57BB" w:rsidRDefault="00A02B9B" w:rsidP="003E57BB">
      <w:pPr>
        <w:pStyle w:val="NormalWeb"/>
        <w:spacing w:before="120" w:beforeAutospacing="0" w:after="120" w:afterAutospacing="0" w:line="288" w:lineRule="auto"/>
        <w:jc w:val="both"/>
        <w:rPr>
          <w:rFonts w:asciiTheme="majorHAnsi" w:eastAsia="Calibri" w:hAnsiTheme="majorHAnsi" w:cstheme="majorHAnsi"/>
          <w:sz w:val="28"/>
          <w:szCs w:val="28"/>
          <w:lang w:val="de-DE" w:eastAsia="en-US"/>
        </w:rPr>
      </w:pPr>
      <w:r w:rsidRPr="003E57BB">
        <w:rPr>
          <w:rFonts w:asciiTheme="majorHAnsi" w:eastAsia="Calibri" w:hAnsiTheme="majorHAnsi" w:cstheme="majorHAnsi"/>
          <w:sz w:val="28"/>
          <w:szCs w:val="28"/>
          <w:lang w:val="de-DE" w:eastAsia="en-US"/>
        </w:rPr>
        <w:t>From an ethnic perspective, regions with multiple minority groups often exhibit weaker economic performance than those with a single, homogenous minority group.</w:t>
      </w:r>
      <w:r w:rsidR="00EB5AA0" w:rsidRPr="003E57BB">
        <w:rPr>
          <w:rFonts w:asciiTheme="majorHAnsi" w:eastAsia="Calibri" w:hAnsiTheme="majorHAnsi" w:cstheme="majorHAnsi"/>
          <w:sz w:val="28"/>
          <w:szCs w:val="28"/>
          <w:lang w:val="de-DE" w:eastAsia="en-US"/>
        </w:rPr>
        <w:t xml:space="preserve"> </w:t>
      </w:r>
      <w:r w:rsidR="00B907C7" w:rsidRPr="003E57BB">
        <w:rPr>
          <w:rFonts w:asciiTheme="majorHAnsi" w:eastAsia="Calibri" w:hAnsiTheme="majorHAnsi" w:cstheme="majorHAnsi"/>
          <w:sz w:val="28"/>
          <w:szCs w:val="28"/>
          <w:lang w:val="de-DE" w:eastAsia="en-US"/>
        </w:rPr>
        <w:t xml:space="preserve">Moreover, recent econometric evidence from ASEAN-5 economies demonstrates that macroeconomic factors such as trade openness and gross capital formation significantly influence income inequality, with trade openness mitigating inequality while capital formation, inflation, and unemployment tend to increase it in the long term  </w:t>
      </w:r>
      <w:r w:rsidR="00B907C7" w:rsidRPr="003E57BB">
        <w:rPr>
          <w:rFonts w:asciiTheme="majorHAnsi" w:eastAsia="Calibri" w:hAnsiTheme="majorHAnsi" w:cstheme="majorHAnsi"/>
          <w:sz w:val="28"/>
          <w:szCs w:val="28"/>
          <w:lang w:val="de-DE" w:eastAsia="en-US"/>
        </w:rPr>
        <w:fldChar w:fldCharType="begin"/>
      </w:r>
      <w:r w:rsidR="00B907C7" w:rsidRPr="003E57BB">
        <w:rPr>
          <w:rFonts w:asciiTheme="majorHAnsi" w:eastAsia="Calibri" w:hAnsiTheme="majorHAnsi" w:cstheme="majorHAnsi"/>
          <w:sz w:val="28"/>
          <w:szCs w:val="28"/>
          <w:lang w:val="de-DE" w:eastAsia="en-US"/>
        </w:rPr>
        <w:instrText xml:space="preserve"> ADDIN ZOTERO_ITEM CSL_CITATION {"citationID":"S01knW2U","properties":{"formattedCitation":"(Ayyash et al., 2025)","plainCitation":"(Ayyash et al., 2025)","noteIndex":0},"citationItems":[{"id":406,"uris":["http://zotero.org/users/2126705/items/RV7S4PWR"],"itemData":{"id":406,"type":"article-journal","abstract":"Part of the critical goal for achieving sustainable development is to address income inequality, which often poses a barrier to economic growth. The current study aims to explore the dynamics of income inequality in ASEAN-5 economies by analyzing the impact of critical macroeconomic factors. These indicators include economic growth to validate the Kuznets curve hypothesis (KCH), gross capital formation (GCF), inflation, trade openness, and unemployment. Utilizing panel data from 1991 to 2023, the study employs a robust econometric approach, including cross-sectional dependency tests (CSD), slope homogeneity tests, and second-generation unit root tests. The Cross-sectionally Augmented Auto-regressive Distributed Lag (CS-ARDL) econometric methodology is applied to estimate the short-run and long-run parameters while accounting for slope heterogeneity and CSD. This study demonstrates convincing evidence that the KCH holds for the ASEAN-5 nations in the short and long terms. In the long term, macroeconomic factors, including GCF, inflation, unemployment, and population growth, increased income inequality, while trade openness reduced it. However, trade openness consistently mitigated it in the short term while unemployment has a marginal effect. The short-term effects of GCF, inflation, and population growth were insignificant. The originality of this research lies in its provision of new insights into the macroeconomic indicators that contribute to income inequality in the ASEAN-5 economies, utilizing the CS-ARDL technique, which effectively accounts for CSD and slope heterogeneity. The insights gained from this study could inform policymaking to foster inclusive economic growth and reduce income disparities within the ASEAN-5 region.","container-title":"Discover Sustainability","DOI":"10.1007/s43621-025-01068-1","ISSN":"2662-9984","issue":"1","journalAbbreviation":"Discov Sustain","language":"en","page":"465","source":"Springer Link","title":"Income inequality dynamics in ASEAN-5: a panel data approach using CS-ARDL to examine macroeconomic factors","title-short":"Income inequality dynamics in ASEAN-5","volume":"6","author":[{"family":"Ayyash","given":"Mohsen"},{"family":"Sek","given":"Siok Kun"},{"family":"Kole","given":"Ali"}],"issued":{"date-parts":[["2025",5,28]]}}}],"schema":"https://github.com/citation-style-language/schema/raw/master/csl-citation.json"} </w:instrText>
      </w:r>
      <w:r w:rsidR="00B907C7" w:rsidRPr="003E57BB">
        <w:rPr>
          <w:rFonts w:asciiTheme="majorHAnsi" w:eastAsia="Calibri" w:hAnsiTheme="majorHAnsi" w:cstheme="majorHAnsi"/>
          <w:sz w:val="28"/>
          <w:szCs w:val="28"/>
          <w:lang w:val="de-DE" w:eastAsia="en-US"/>
        </w:rPr>
        <w:fldChar w:fldCharType="separate"/>
      </w:r>
      <w:r w:rsidR="00B907C7" w:rsidRPr="003E57BB">
        <w:rPr>
          <w:rFonts w:asciiTheme="majorHAnsi" w:eastAsia="Calibri" w:hAnsiTheme="majorHAnsi" w:cstheme="majorHAnsi"/>
          <w:sz w:val="28"/>
          <w:szCs w:val="28"/>
          <w:lang w:val="de-DE" w:eastAsia="en-US"/>
        </w:rPr>
        <w:t>(Ayyash et al., 2025)</w:t>
      </w:r>
      <w:r w:rsidR="00B907C7" w:rsidRPr="003E57BB">
        <w:rPr>
          <w:rFonts w:asciiTheme="majorHAnsi" w:eastAsia="Calibri" w:hAnsiTheme="majorHAnsi" w:cstheme="majorHAnsi"/>
          <w:sz w:val="28"/>
          <w:szCs w:val="28"/>
          <w:lang w:val="de-DE" w:eastAsia="en-US"/>
        </w:rPr>
        <w:fldChar w:fldCharType="end"/>
      </w:r>
      <w:r w:rsidR="00B907C7" w:rsidRPr="003E57BB">
        <w:rPr>
          <w:rFonts w:asciiTheme="majorHAnsi" w:eastAsia="Calibri" w:hAnsiTheme="majorHAnsi" w:cstheme="majorHAnsi"/>
          <w:sz w:val="28"/>
          <w:szCs w:val="28"/>
          <w:lang w:val="de-DE" w:eastAsia="en-US"/>
        </w:rPr>
        <w:t>.</w:t>
      </w:r>
      <w:r w:rsidRPr="003E57BB">
        <w:rPr>
          <w:rFonts w:asciiTheme="majorHAnsi" w:eastAsia="Calibri" w:hAnsiTheme="majorHAnsi" w:cstheme="majorHAnsi"/>
          <w:sz w:val="28"/>
          <w:szCs w:val="28"/>
          <w:lang w:val="de-DE" w:eastAsia="en-US"/>
        </w:rPr>
        <w:t xml:space="preserve"> </w:t>
      </w:r>
      <w:r w:rsidRPr="003E57BB">
        <w:rPr>
          <w:rFonts w:asciiTheme="majorHAnsi" w:eastAsia="Calibri" w:hAnsiTheme="majorHAnsi" w:cstheme="majorHAnsi"/>
          <w:sz w:val="28"/>
          <w:szCs w:val="28"/>
          <w:lang w:val="de-DE" w:eastAsia="en-US"/>
        </w:rPr>
        <w:fldChar w:fldCharType="begin"/>
      </w:r>
      <w:r w:rsidR="001F0685" w:rsidRPr="003E57BB">
        <w:rPr>
          <w:rFonts w:asciiTheme="majorHAnsi" w:eastAsia="Calibri" w:hAnsiTheme="majorHAnsi" w:cstheme="majorHAnsi"/>
          <w:sz w:val="28"/>
          <w:szCs w:val="28"/>
          <w:lang w:val="de-DE" w:eastAsia="en-US"/>
        </w:rPr>
        <w:instrText xml:space="preserve"> ADDIN ZOTERO_ITEM CSL_CITATION {"citationID":"x7hbiWJf","properties":{"formattedCitation":"(Alesina &amp; Zhuravskaya, 2011)","plainCitation":"(Alesina &amp; Zhuravskaya, 2011)","noteIndex":0},"citationItems":[{"id":"4Ft1GYHL/SGVdlWU3","uris":["http://zotero.org/users/local/Gh2w8VaO/items/5TCWTESL"],"itemData":{"id":55,"type":"article-journal","abstract":"We provide a new compilation of data on ethnic, linguistic, and religious composition at the subnational level for a large number of countries. Using these data, we measure segregation of groups within the country. To overcome the endogeneity problem that arises\nbecause of mobility and endogenous internal borders, we construct an instrument for segregation. We find that more ethnically and linguistically\nsegregated countries, i.e., those where groups live more spatially separately, have a lower quality of government; there is no relationship between religious segregation and governance. Trust is an important channel of influence; it is lower in more segregated countries. (JEL H11, H77, J15, O17, Z12, Z13)","container-title":"American Economic Review","DOI":"10.1257/aer.101.5.1872","ISSN":"0002-8282","issue":"5","language":"en","page":"1872-1911","source":"www.aeaweb.org","title":"Segregation and the Quality of Government in a Cross Section of Countries","volume":"101","author":[{"family":"Alesina","given":"Alberto"},{"family":"Zhuravskaya","given":"Ekaterina"}],"issued":{"date-parts":[["2011",8]]}}}],"schema":"https://github.com/citation-style-language/schema/raw/master/csl-citation.json"} </w:instrText>
      </w:r>
      <w:r w:rsidRPr="003E57BB">
        <w:rPr>
          <w:rFonts w:asciiTheme="majorHAnsi" w:eastAsia="Calibri" w:hAnsiTheme="majorHAnsi" w:cstheme="majorHAnsi"/>
          <w:sz w:val="28"/>
          <w:szCs w:val="28"/>
          <w:lang w:val="de-DE" w:eastAsia="en-US"/>
        </w:rPr>
        <w:fldChar w:fldCharType="separate"/>
      </w:r>
      <w:r w:rsidRPr="003E57BB">
        <w:rPr>
          <w:rFonts w:asciiTheme="majorHAnsi" w:eastAsia="Calibri" w:hAnsiTheme="majorHAnsi" w:cstheme="majorHAnsi"/>
          <w:sz w:val="28"/>
          <w:szCs w:val="28"/>
          <w:lang w:val="de-DE" w:eastAsia="en-US"/>
        </w:rPr>
        <w:t>(Alesina &amp; Zhuravskaya, 2011)</w:t>
      </w:r>
      <w:r w:rsidRPr="003E57BB">
        <w:rPr>
          <w:rFonts w:asciiTheme="majorHAnsi" w:eastAsia="Calibri" w:hAnsiTheme="majorHAnsi" w:cstheme="majorHAnsi"/>
          <w:sz w:val="28"/>
          <w:szCs w:val="28"/>
          <w:lang w:val="de-DE" w:eastAsia="en-US"/>
        </w:rPr>
        <w:fldChar w:fldCharType="end"/>
      </w:r>
      <w:r w:rsidRPr="003E57BB">
        <w:rPr>
          <w:rFonts w:asciiTheme="majorHAnsi" w:eastAsia="Calibri" w:hAnsiTheme="majorHAnsi" w:cstheme="majorHAnsi"/>
          <w:sz w:val="28"/>
          <w:szCs w:val="28"/>
          <w:lang w:val="de-DE" w:eastAsia="en-US"/>
        </w:rPr>
        <w:t xml:space="preserve"> explain that although economic elites may emerge in diverse settings, their inability to cooperate undermines collective policy-making and economic growth. </w:t>
      </w:r>
      <w:r w:rsidRPr="003E57BB">
        <w:rPr>
          <w:rFonts w:asciiTheme="majorHAnsi" w:eastAsia="Calibri" w:hAnsiTheme="majorHAnsi" w:cstheme="majorHAnsi"/>
          <w:sz w:val="28"/>
          <w:szCs w:val="28"/>
          <w:lang w:val="de-DE" w:eastAsia="en-US"/>
        </w:rPr>
        <w:fldChar w:fldCharType="begin"/>
      </w:r>
      <w:r w:rsidR="001F0685" w:rsidRPr="003E57BB">
        <w:rPr>
          <w:rFonts w:asciiTheme="majorHAnsi" w:eastAsia="Calibri" w:hAnsiTheme="majorHAnsi" w:cstheme="majorHAnsi"/>
          <w:sz w:val="28"/>
          <w:szCs w:val="28"/>
          <w:lang w:val="de-DE" w:eastAsia="en-US"/>
        </w:rPr>
        <w:instrText xml:space="preserve"> ADDIN ZOTERO_ITEM CSL_CITATION {"citationID":"8mZjY60D","properties":{"formattedCitation":"(Robinson, 2016)","plainCitation":"(Robinson, 2016)","noteIndex":0},"citationItems":[{"id":"4Ft1GYHL/OrJ6ZSnH","uris":["http://zotero.org/users/local/Gh2w8VaO/items/UNT62WZR"],"itemData":{"id":57,"type":"article-journal","abstract":"Ethnic diversity is associated with poorer economic development, but why? I argue that market segmentation is one mechanism linking diversity to economic underdevelopment: when ethnic groups are geographically segregated and trust is concentrated within groups, markets will be tend to be segmented along ethnic lines. I evaluate this argument using maize price data from seventy Malawian markets over 14years and combine it with census data on the spatial distribution of ethnic groups. I find that maize price differences—a key indicator of market segmentation—are indeed larger for ethnically dissimilar markets, even after taking sub-national administrative borders geographic barriers, and climatic differences into account. These statistical findings are complemented by interview data from farmers and traders in three markets across Malawi, which highlight the centrality of trust in small-scale maize trading, as well as a preference for coethnic trading partners. Together, these findings suggest that ethnic diversity, and ethnoregional segregation in particular, can have a negative impact on market integration, an important driver of food security and long-term economic development.","container-title":"World Development","DOI":"10.1016/j.worlddev.2016.07.006","ISSN":"0305-750X","journalAbbreviation":"World Development","page":"371-384","source":"ScienceDirect","title":"Internal Borders: Ethnic-Based Market Segmentation in Malawi","title-short":"Internal Borders","volume":"87","author":[{"family":"Robinson","given":"Amanda Lea"}],"issued":{"date-parts":[["2016",11,1]]}}}],"schema":"https://github.com/citation-style-language/schema/raw/master/csl-citation.json"} </w:instrText>
      </w:r>
      <w:r w:rsidRPr="003E57BB">
        <w:rPr>
          <w:rFonts w:asciiTheme="majorHAnsi" w:eastAsia="Calibri" w:hAnsiTheme="majorHAnsi" w:cstheme="majorHAnsi"/>
          <w:sz w:val="28"/>
          <w:szCs w:val="28"/>
          <w:lang w:val="de-DE" w:eastAsia="en-US"/>
        </w:rPr>
        <w:fldChar w:fldCharType="separate"/>
      </w:r>
      <w:r w:rsidRPr="003E57BB">
        <w:rPr>
          <w:rFonts w:asciiTheme="majorHAnsi" w:eastAsia="Calibri" w:hAnsiTheme="majorHAnsi" w:cstheme="majorHAnsi"/>
          <w:sz w:val="28"/>
          <w:szCs w:val="28"/>
          <w:lang w:val="de-DE" w:eastAsia="en-US"/>
        </w:rPr>
        <w:t>(Robinson, 2016)</w:t>
      </w:r>
      <w:r w:rsidRPr="003E57BB">
        <w:rPr>
          <w:rFonts w:asciiTheme="majorHAnsi" w:eastAsia="Calibri" w:hAnsiTheme="majorHAnsi" w:cstheme="majorHAnsi"/>
          <w:sz w:val="28"/>
          <w:szCs w:val="28"/>
          <w:lang w:val="de-DE" w:eastAsia="en-US"/>
        </w:rPr>
        <w:fldChar w:fldCharType="end"/>
      </w:r>
      <w:r w:rsidRPr="003E57BB">
        <w:rPr>
          <w:rFonts w:asciiTheme="majorHAnsi" w:eastAsia="Calibri" w:hAnsiTheme="majorHAnsi" w:cstheme="majorHAnsi"/>
          <w:sz w:val="28"/>
          <w:szCs w:val="28"/>
          <w:lang w:val="de-DE" w:eastAsia="en-US"/>
        </w:rPr>
        <w:t xml:space="preserve"> further argues that economic underperformance in </w:t>
      </w:r>
      <w:r w:rsidRPr="003E57BB">
        <w:rPr>
          <w:rFonts w:asciiTheme="majorHAnsi" w:eastAsia="Calibri" w:hAnsiTheme="majorHAnsi" w:cstheme="majorHAnsi"/>
          <w:sz w:val="28"/>
          <w:szCs w:val="28"/>
          <w:lang w:val="de-DE" w:eastAsia="en-US"/>
        </w:rPr>
        <w:lastRenderedPageBreak/>
        <w:t>multi-ethnic regions results from fragmented markets and limited trust among minority trading groups.</w:t>
      </w:r>
    </w:p>
    <w:p w14:paraId="158D11C1" w14:textId="6F5F9EC9" w:rsidR="00A02B9B" w:rsidRPr="003E57BB" w:rsidRDefault="00A02B9B" w:rsidP="003E57BB">
      <w:pPr>
        <w:pStyle w:val="NormalWeb"/>
        <w:spacing w:before="120" w:beforeAutospacing="0" w:after="120" w:afterAutospacing="0" w:line="288" w:lineRule="auto"/>
        <w:jc w:val="both"/>
        <w:rPr>
          <w:rFonts w:asciiTheme="majorHAnsi" w:eastAsia="Calibri" w:hAnsiTheme="majorHAnsi" w:cstheme="majorHAnsi"/>
          <w:sz w:val="28"/>
          <w:szCs w:val="28"/>
          <w:lang w:val="de-DE" w:eastAsia="en-US"/>
        </w:rPr>
      </w:pPr>
      <w:r w:rsidRPr="003E57BB">
        <w:rPr>
          <w:rFonts w:asciiTheme="majorHAnsi" w:eastAsia="Calibri" w:hAnsiTheme="majorHAnsi" w:cstheme="majorHAnsi"/>
          <w:sz w:val="28"/>
          <w:szCs w:val="28"/>
          <w:lang w:val="de-DE" w:eastAsia="en-US"/>
        </w:rPr>
        <w:t>Using multidimensional poverty indices,</w:t>
      </w:r>
      <w:r w:rsidRPr="003E57BB">
        <w:rPr>
          <w:rFonts w:asciiTheme="majorHAnsi" w:eastAsia="Calibri" w:hAnsiTheme="majorHAnsi" w:cstheme="majorHAnsi"/>
          <w:sz w:val="28"/>
          <w:szCs w:val="28"/>
          <w:lang w:val="de-DE" w:eastAsia="en-US"/>
        </w:rPr>
        <w:fldChar w:fldCharType="begin"/>
      </w:r>
      <w:r w:rsidR="001F0685" w:rsidRPr="003E57BB">
        <w:rPr>
          <w:rFonts w:asciiTheme="majorHAnsi" w:eastAsia="Calibri" w:hAnsiTheme="majorHAnsi" w:cstheme="majorHAnsi"/>
          <w:sz w:val="28"/>
          <w:szCs w:val="28"/>
          <w:lang w:val="de-DE" w:eastAsia="en-US"/>
        </w:rPr>
        <w:instrText xml:space="preserve"> ADDIN ZOTERO_ITEM CSL_CITATION {"citationID":"zFyuPwC9","properties":{"formattedCitation":"(Awaworyi Churchill &amp; Smyth, 2017)","plainCitation":"(Awaworyi Churchill &amp; Smyth, 2017)","noteIndex":0},"citationItems":[{"id":"4Ft1GYHL/jhn0D9hQ","uris":["http://zotero.org/users/local/Gh2w8VaO/items/UDVTPCY3"],"itemData":{"id":61,"type":"article-journal","abstract":"We examine the relationship between ethnic diversity and poverty for a cross-sectional sample of developing countries. We measure diversity using indices of ethnic and linguistic fractionalization, and measure poverty using the multidimensional poverty index (MPI), multidimensional poverty headcount (MPH), intensity of deprivation, poverty gap, and poverty headcount ratio. We find that ethnic and linguistic fractionalization contributes to poverty levels. Specifically, after controlling for endogeneity, we find that a standard deviation increase in ethnic fractionalization is associated with a 0.32-, 0.44- and 0.53-standard deviation increase in the MPI, MPH and the intensity of deprivation, respectively. Moreover, a standard deviation increase in ethnic fractionalization is associated with between a 0.34- and 0.63-standard deviation increase in the population living below $1.90 and $3.10, the poverty gap at $1.90 and $3.10 a day and the headcount ratio at $1.90 and $3.10 a day. Similar results are also observed for linguistic fractionalization with standardized coefficients between 0.53 and 0.93. We find that our results are robust to alternative ways to measure poverty and ethnic diversity including ethnic polarization as well as alternative approaches to address endogeneity.","container-title":"World Development","DOI":"10.1016/j.worlddev.2017.02.032","ISSN":"0305-750X","journalAbbreviation":"World Development","page":"285-302","source":"ScienceDirect","title":"Ethnic Diversity and Poverty","volume":"95","author":[{"family":"Awaworyi Churchill","given":"Sefa"},{"family":"Smyth","given":"Russell"}],"issued":{"date-parts":[["2017",7,1]]}}}],"schema":"https://github.com/citation-style-language/schema/raw/master/csl-citation.json"} </w:instrText>
      </w:r>
      <w:r w:rsidRPr="003E57BB">
        <w:rPr>
          <w:rFonts w:asciiTheme="majorHAnsi" w:eastAsia="Calibri" w:hAnsiTheme="majorHAnsi" w:cstheme="majorHAnsi"/>
          <w:sz w:val="28"/>
          <w:szCs w:val="28"/>
          <w:lang w:val="de-DE" w:eastAsia="en-US"/>
        </w:rPr>
        <w:fldChar w:fldCharType="separate"/>
      </w:r>
      <w:r w:rsidRPr="003E57BB">
        <w:rPr>
          <w:rFonts w:asciiTheme="majorHAnsi" w:eastAsia="Calibri" w:hAnsiTheme="majorHAnsi" w:cstheme="majorHAnsi"/>
          <w:sz w:val="28"/>
          <w:szCs w:val="28"/>
          <w:lang w:val="de-DE" w:eastAsia="en-US"/>
        </w:rPr>
        <w:t>(Awaworyi Churchill &amp; Smyth, 2017)</w:t>
      </w:r>
      <w:r w:rsidRPr="003E57BB">
        <w:rPr>
          <w:rFonts w:asciiTheme="majorHAnsi" w:eastAsia="Calibri" w:hAnsiTheme="majorHAnsi" w:cstheme="majorHAnsi"/>
          <w:sz w:val="28"/>
          <w:szCs w:val="28"/>
          <w:lang w:val="de-DE" w:eastAsia="en-US"/>
        </w:rPr>
        <w:fldChar w:fldCharType="end"/>
      </w:r>
      <w:r w:rsidRPr="003E57BB">
        <w:rPr>
          <w:rFonts w:asciiTheme="majorHAnsi" w:eastAsia="Calibri" w:hAnsiTheme="majorHAnsi" w:cstheme="majorHAnsi"/>
          <w:sz w:val="28"/>
          <w:szCs w:val="28"/>
          <w:lang w:val="de-DE" w:eastAsia="en-US"/>
        </w:rPr>
        <w:t xml:space="preserve"> f</w:t>
      </w:r>
      <w:r w:rsidR="0046413B" w:rsidRPr="003E57BB">
        <w:rPr>
          <w:rFonts w:asciiTheme="majorHAnsi" w:eastAsia="Calibri" w:hAnsiTheme="majorHAnsi" w:cstheme="majorHAnsi"/>
          <w:sz w:val="28"/>
          <w:szCs w:val="28"/>
          <w:lang w:val="de-DE" w:eastAsia="en-US"/>
        </w:rPr>
        <w:t>ind</w:t>
      </w:r>
      <w:r w:rsidRPr="003E57BB">
        <w:rPr>
          <w:rFonts w:asciiTheme="majorHAnsi" w:eastAsia="Calibri" w:hAnsiTheme="majorHAnsi" w:cstheme="majorHAnsi"/>
          <w:sz w:val="28"/>
          <w:szCs w:val="28"/>
          <w:lang w:val="de-DE" w:eastAsia="en-US"/>
        </w:rPr>
        <w:t xml:space="preserve"> that language barriers significantly affect income and poverty reduction across 60 developing countries. Specifically, the lack of access to dominant languages for trade and communication hinders income improvement for ethnic minorities. This finding underscores the importance of state policies not only in fostering ethnic diversity but also in enhancing social capital, such as language skills, to reduce disadvantage.</w:t>
      </w:r>
      <w:r w:rsidR="00B907C7" w:rsidRPr="003E57BB">
        <w:rPr>
          <w:rFonts w:asciiTheme="majorHAnsi" w:eastAsia="Calibri" w:hAnsiTheme="majorHAnsi" w:cstheme="majorHAnsi"/>
          <w:sz w:val="28"/>
          <w:szCs w:val="28"/>
          <w:lang w:val="de-DE" w:eastAsia="en-US"/>
        </w:rPr>
        <w:t xml:space="preserve"> Complementing these findings, an empirical assessment of household consumer durables across six Southeast Asian countries shows that welfare and inequality vary significantly by country, with Vietnam, Thailand, and Malaysia exhibiting higher welfare and lower inequality than Cambodia, Indonesia, and the Philippines </w:t>
      </w:r>
      <w:r w:rsidR="00B907C7" w:rsidRPr="003E57BB">
        <w:rPr>
          <w:rFonts w:asciiTheme="majorHAnsi" w:eastAsia="Calibri" w:hAnsiTheme="majorHAnsi" w:cstheme="majorHAnsi"/>
          <w:sz w:val="28"/>
          <w:szCs w:val="28"/>
          <w:lang w:val="de-DE" w:eastAsia="en-US"/>
        </w:rPr>
        <w:fldChar w:fldCharType="begin"/>
      </w:r>
      <w:r w:rsidR="00B907C7" w:rsidRPr="003E57BB">
        <w:rPr>
          <w:rFonts w:asciiTheme="majorHAnsi" w:eastAsia="Calibri" w:hAnsiTheme="majorHAnsi" w:cstheme="majorHAnsi"/>
          <w:sz w:val="28"/>
          <w:szCs w:val="28"/>
          <w:lang w:val="de-DE" w:eastAsia="en-US"/>
        </w:rPr>
        <w:instrText xml:space="preserve"> ADDIN ZOTERO_ITEM CSL_CITATION {"citationID":"dZWwQT3O","properties":{"formattedCitation":"(Deutsch et al., 2020)","plainCitation":"(Deutsch et al., 2020)","noteIndex":0},"citationItems":[{"id":408,"uris":["http://zotero.org/users/2126705/items/3PBBA78Q"],"itemData":{"id":408,"type":"article-journal","abstract":"Using data on household consumer durables from the Asian Barometer Survey, this paper examines the evolution of inequality, poverty and welfare in six countries of South East Asia: Cambodia, Indonesia, Malaysia, the Philippines, Thailand and Vietnam. We start by deriving the most common order of acquisition of these durables, using first an algorithm proposed by Paroush (1965), and then Item Response Theory. We also compute the frequency distribution of the number of durables owned by households. We then use these results to compute inequality, poverty and achievement or welfare indices adapted to the case of ordinal variables. Our empirical results confirm the existence of an order of acquisition. The results show that inequality was higher in Cambodia, Indonesia and the Philippines and lower in Vietnam, Thailand and Malaysia. A similar classification of countries was obtained when computing multidimensional poverty indices. Finally, using the welfare or achievement index recently introduced by Apouey et al. (2019), we found that welfare was generally higher in Vietnam, Thailand and Malaysia and lower in Cambodia, Indonesia and the Philippines.","container-title":"Journal of Asian Economics","DOI":"10.1016/j.asieco.2020.101220","ISSN":"1049-0078","journalAbbreviation":"Journal of Asian Economics","page":"101220","source":"ScienceDirect","title":"Asset indexes and the measurement of poverty, inequality and welfare in Southeast Asia","volume":"70","author":[{"family":"Deutsch","given":"Joseph"},{"family":"Silber","given":"Jacques"},{"family":"Wan","given":"Guanghua"},{"family":"Zhao","given":"Mengxue"}],"issued":{"date-parts":[["2020",10,1]]}}}],"schema":"https://github.com/citation-style-language/schema/raw/master/csl-citation.json"} </w:instrText>
      </w:r>
      <w:r w:rsidR="00B907C7" w:rsidRPr="003E57BB">
        <w:rPr>
          <w:rFonts w:asciiTheme="majorHAnsi" w:eastAsia="Calibri" w:hAnsiTheme="majorHAnsi" w:cstheme="majorHAnsi"/>
          <w:sz w:val="28"/>
          <w:szCs w:val="28"/>
          <w:lang w:val="de-DE" w:eastAsia="en-US"/>
        </w:rPr>
        <w:fldChar w:fldCharType="separate"/>
      </w:r>
      <w:r w:rsidR="00B907C7" w:rsidRPr="003E57BB">
        <w:rPr>
          <w:rFonts w:asciiTheme="majorHAnsi" w:eastAsia="Calibri" w:hAnsiTheme="majorHAnsi" w:cstheme="majorHAnsi"/>
          <w:sz w:val="28"/>
          <w:szCs w:val="28"/>
          <w:lang w:val="de-DE" w:eastAsia="en-US"/>
        </w:rPr>
        <w:t>(Deutsch et al., 2020)</w:t>
      </w:r>
      <w:r w:rsidR="00B907C7" w:rsidRPr="003E57BB">
        <w:rPr>
          <w:rFonts w:asciiTheme="majorHAnsi" w:eastAsia="Calibri" w:hAnsiTheme="majorHAnsi" w:cstheme="majorHAnsi"/>
          <w:sz w:val="28"/>
          <w:szCs w:val="28"/>
          <w:lang w:val="de-DE" w:eastAsia="en-US"/>
        </w:rPr>
        <w:fldChar w:fldCharType="end"/>
      </w:r>
      <w:r w:rsidR="00B907C7" w:rsidRPr="003E57BB">
        <w:rPr>
          <w:rFonts w:asciiTheme="majorHAnsi" w:eastAsia="Calibri" w:hAnsiTheme="majorHAnsi" w:cstheme="majorHAnsi"/>
          <w:sz w:val="28"/>
          <w:szCs w:val="28"/>
          <w:lang w:val="de-DE" w:eastAsia="en-US"/>
        </w:rPr>
        <w:t>.</w:t>
      </w:r>
    </w:p>
    <w:p w14:paraId="5FEEE337" w14:textId="425B7AE2" w:rsidR="00A02B9B" w:rsidRDefault="00A02B9B" w:rsidP="003E57BB">
      <w:pPr>
        <w:pStyle w:val="NormalWeb"/>
        <w:spacing w:before="120" w:beforeAutospacing="0" w:after="120" w:afterAutospacing="0" w:line="288" w:lineRule="auto"/>
        <w:jc w:val="both"/>
        <w:rPr>
          <w:rFonts w:asciiTheme="majorHAnsi" w:eastAsia="Calibri" w:hAnsiTheme="majorHAnsi" w:cstheme="majorHAnsi"/>
          <w:sz w:val="28"/>
          <w:szCs w:val="28"/>
          <w:lang w:val="de-DE" w:eastAsia="en-US"/>
        </w:rPr>
      </w:pPr>
      <w:r w:rsidRPr="003E57BB">
        <w:rPr>
          <w:rFonts w:asciiTheme="majorHAnsi" w:eastAsia="Calibri" w:hAnsiTheme="majorHAnsi" w:cstheme="majorHAnsi"/>
          <w:sz w:val="28"/>
          <w:szCs w:val="28"/>
          <w:lang w:val="de-DE" w:eastAsia="en-US"/>
        </w:rPr>
        <w:t xml:space="preserve">Finally, </w:t>
      </w:r>
      <w:r w:rsidRPr="003E57BB">
        <w:rPr>
          <w:rFonts w:asciiTheme="majorHAnsi" w:eastAsia="Calibri" w:hAnsiTheme="majorHAnsi" w:cstheme="majorHAnsi"/>
          <w:sz w:val="28"/>
          <w:szCs w:val="28"/>
          <w:lang w:val="de-DE" w:eastAsia="en-US"/>
        </w:rPr>
        <w:fldChar w:fldCharType="begin"/>
      </w:r>
      <w:r w:rsidR="001F0685" w:rsidRPr="003E57BB">
        <w:rPr>
          <w:rFonts w:asciiTheme="majorHAnsi" w:eastAsia="Calibri" w:hAnsiTheme="majorHAnsi" w:cstheme="majorHAnsi"/>
          <w:sz w:val="28"/>
          <w:szCs w:val="28"/>
          <w:lang w:val="de-DE" w:eastAsia="en-US"/>
        </w:rPr>
        <w:instrText xml:space="preserve"> ADDIN ZOTERO_ITEM CSL_CITATION {"citationID":"XgUkndDy","properties":{"formattedCitation":"(Hasmath &amp; Ho, 2015)","plainCitation":"(Hasmath &amp; Ho, 2015)","noteIndex":0},"citationItems":[{"id":"4Ft1GYHL/oYC00JYx","uris":["http://zotero.org/users/local/Gh2w8VaO/items/92NZUSZF"],"itemData":{"id":63,"type":"article-journal","abstract":"This article estimates wage differentials between ethnic minorities and the Han majority in China. While Han-minority wage differentials estimated with regression analysis demonstrate little evidence for ethnic minority disadvantages, evidence looking at the process of ethnic minority job acquisition and retention suggests that minorities perceive they are at a disadvantage in the job search process. The article assesses potential factors for perceived disadvantages in China’s labor market such as discrimination, social network capital, and working culture.","container-title":"Eurasian Geography and Economics","DOI":"10.1080/15387216.2015.1049637","ISSN":"1538-7216","issue":"1","note":"publisher: Routledge\n_eprint: https://doi.org/10.1080/15387216.2015.1049637","page":"24-43","source":"Taylor and Francis+NEJM","title":"Job acquisition, retention, and outcomes for ethnic minorities in urban China","volume":"56","author":[{"family":"Hasmath","given":"Reza"},{"family":"Ho","given":"Benjamin"}],"issued":{"date-parts":[["2015",1,2]]}}}],"schema":"https://github.com/citation-style-language/schema/raw/master/csl-citation.json"} </w:instrText>
      </w:r>
      <w:r w:rsidRPr="003E57BB">
        <w:rPr>
          <w:rFonts w:asciiTheme="majorHAnsi" w:eastAsia="Calibri" w:hAnsiTheme="majorHAnsi" w:cstheme="majorHAnsi"/>
          <w:sz w:val="28"/>
          <w:szCs w:val="28"/>
          <w:lang w:val="de-DE" w:eastAsia="en-US"/>
        </w:rPr>
        <w:fldChar w:fldCharType="separate"/>
      </w:r>
      <w:r w:rsidRPr="003E57BB">
        <w:rPr>
          <w:rFonts w:asciiTheme="majorHAnsi" w:eastAsia="Calibri" w:hAnsiTheme="majorHAnsi" w:cstheme="majorHAnsi"/>
          <w:sz w:val="28"/>
          <w:szCs w:val="28"/>
          <w:lang w:val="de-DE" w:eastAsia="en-US"/>
        </w:rPr>
        <w:t>(Hasmath &amp; Ho, 2015)</w:t>
      </w:r>
      <w:r w:rsidRPr="003E57BB">
        <w:rPr>
          <w:rFonts w:asciiTheme="majorHAnsi" w:eastAsia="Calibri" w:hAnsiTheme="majorHAnsi" w:cstheme="majorHAnsi"/>
          <w:sz w:val="28"/>
          <w:szCs w:val="28"/>
          <w:lang w:val="de-DE" w:eastAsia="en-US"/>
        </w:rPr>
        <w:fldChar w:fldCharType="end"/>
      </w:r>
      <w:r w:rsidRPr="003E57BB">
        <w:rPr>
          <w:rFonts w:asciiTheme="majorHAnsi" w:eastAsia="Calibri" w:hAnsiTheme="majorHAnsi" w:cstheme="majorHAnsi"/>
          <w:sz w:val="28"/>
          <w:szCs w:val="28"/>
          <w:lang w:val="de-DE" w:eastAsia="en-US"/>
        </w:rPr>
        <w:t xml:space="preserve"> examine ethnic discrimination in China, showing that while Han respondents often denied wage disparities, ethnic minority workers reported clear disadvantages in job search and employment experiences. The study concludes that labor market disadvantages in China arise from discrimination, weaker social networks, and cultural barriers faced by ethnic minorities.</w:t>
      </w:r>
    </w:p>
    <w:p w14:paraId="631991F5" w14:textId="4DFBCD1A" w:rsidR="0018515E" w:rsidRPr="003E57BB" w:rsidRDefault="0018515E" w:rsidP="003E57BB">
      <w:pPr>
        <w:pStyle w:val="NormalWeb"/>
        <w:spacing w:before="120" w:beforeAutospacing="0" w:after="120" w:afterAutospacing="0" w:line="288" w:lineRule="auto"/>
        <w:jc w:val="both"/>
        <w:rPr>
          <w:rFonts w:asciiTheme="majorHAnsi" w:eastAsia="Calibri" w:hAnsiTheme="majorHAnsi" w:cstheme="majorHAnsi"/>
          <w:sz w:val="28"/>
          <w:szCs w:val="28"/>
          <w:lang w:val="de-DE" w:eastAsia="en-US"/>
        </w:rPr>
      </w:pPr>
      <w:r>
        <w:rPr>
          <w:rFonts w:asciiTheme="majorHAnsi" w:eastAsia="Calibri" w:hAnsiTheme="majorHAnsi" w:cstheme="majorHAnsi"/>
          <w:sz w:val="28"/>
          <w:szCs w:val="28"/>
          <w:lang w:val="de-DE" w:eastAsia="en-US"/>
        </w:rPr>
        <w:t>METHODLOGY</w:t>
      </w:r>
    </w:p>
    <w:p w14:paraId="59CE1DB4" w14:textId="485B3EBE" w:rsidR="002E13BD" w:rsidRPr="008C0556" w:rsidRDefault="001B0E21" w:rsidP="003E57BB">
      <w:pPr>
        <w:spacing w:before="120" w:after="120" w:line="288" w:lineRule="auto"/>
        <w:rPr>
          <w:rFonts w:asciiTheme="majorHAnsi" w:hAnsiTheme="majorHAnsi" w:cstheme="majorHAnsi"/>
          <w:b/>
          <w:szCs w:val="28"/>
          <w:lang w:val="de-DE"/>
        </w:rPr>
      </w:pPr>
      <w:r>
        <w:rPr>
          <w:rFonts w:asciiTheme="majorHAnsi" w:hAnsiTheme="majorHAnsi" w:cstheme="majorHAnsi"/>
          <w:b/>
          <w:szCs w:val="28"/>
          <w:lang w:val="de-DE"/>
        </w:rPr>
        <w:t xml:space="preserve">3. </w:t>
      </w:r>
      <w:r w:rsidR="00DB7ECB" w:rsidRPr="008C0556">
        <w:rPr>
          <w:rFonts w:asciiTheme="majorHAnsi" w:hAnsiTheme="majorHAnsi" w:cstheme="majorHAnsi"/>
          <w:b/>
          <w:szCs w:val="28"/>
          <w:lang w:val="de-DE"/>
        </w:rPr>
        <w:t>DATA</w:t>
      </w:r>
    </w:p>
    <w:p w14:paraId="731A04CF" w14:textId="61DE7CBE" w:rsidR="0034734A" w:rsidRPr="008C0556" w:rsidRDefault="0034734A" w:rsidP="003E57BB">
      <w:pPr>
        <w:spacing w:before="120" w:after="120" w:line="288" w:lineRule="auto"/>
        <w:rPr>
          <w:rFonts w:asciiTheme="majorHAnsi" w:hAnsiTheme="majorHAnsi" w:cstheme="majorHAnsi"/>
          <w:bCs/>
          <w:szCs w:val="28"/>
          <w:lang w:val="de-DE"/>
        </w:rPr>
      </w:pPr>
      <w:bookmarkStart w:id="0" w:name="OLE_LINK7"/>
      <w:bookmarkStart w:id="1" w:name="OLE_LINK8"/>
      <w:r w:rsidRPr="008C0556">
        <w:rPr>
          <w:rFonts w:asciiTheme="majorHAnsi" w:hAnsiTheme="majorHAnsi" w:cstheme="majorHAnsi"/>
          <w:bCs/>
          <w:szCs w:val="28"/>
          <w:lang w:val="de-DE"/>
        </w:rPr>
        <w:t>This study is based on a field survey conducted in Ha Giang province, northern Vietnam, and supplemented with statistical data drawn from several previous surveys and census reports. Ha Giang, a northern mountainous province of Vietnam bordering China, is well known for its cultural diversity and the presence of numerous ethnic minority groups. Among these, the Hmong and Tay constitute the two largest communities. According to the General Statistics Office of Vietnam (2019 Census), the Hmong population in Ha Giang numbers 292,677 people, including 147,823 men and 144,854 women, accounting for 34.24% of the provincial population. Nationally, H</w:t>
      </w:r>
      <w:r w:rsidR="00341120">
        <w:rPr>
          <w:rFonts w:asciiTheme="majorHAnsi" w:hAnsiTheme="majorHAnsi" w:cstheme="majorHAnsi"/>
          <w:bCs/>
          <w:szCs w:val="28"/>
          <w:lang w:val="de-DE"/>
        </w:rPr>
        <w:t>a</w:t>
      </w:r>
      <w:r w:rsidRPr="008C0556">
        <w:rPr>
          <w:rFonts w:asciiTheme="majorHAnsi" w:hAnsiTheme="majorHAnsi" w:cstheme="majorHAnsi"/>
          <w:bCs/>
          <w:szCs w:val="28"/>
          <w:lang w:val="de-DE"/>
        </w:rPr>
        <w:t xml:space="preserve"> Giang’s Hmong community represents a significant proportion of the total 1,393,547 Hmong people, corresponding to 21.00% of the group’s population nationwide (General Statistics Office of Vietnam, 2020). This indicates that H Giang serves as one of the most important settlement areas for the Hmong in Vietnam.</w:t>
      </w:r>
    </w:p>
    <w:p w14:paraId="302FEC40" w14:textId="445467DE" w:rsidR="0034734A" w:rsidRPr="008C0556" w:rsidRDefault="0034734A" w:rsidP="003E57BB">
      <w:pPr>
        <w:spacing w:before="120" w:after="120" w:line="288" w:lineRule="auto"/>
        <w:rPr>
          <w:rFonts w:asciiTheme="majorHAnsi" w:hAnsiTheme="majorHAnsi" w:cstheme="majorHAnsi"/>
          <w:bCs/>
          <w:szCs w:val="28"/>
          <w:lang w:val="de-DE"/>
        </w:rPr>
      </w:pPr>
      <w:r w:rsidRPr="008C0556">
        <w:rPr>
          <w:rFonts w:asciiTheme="majorHAnsi" w:hAnsiTheme="majorHAnsi" w:cstheme="majorHAnsi"/>
          <w:bCs/>
          <w:szCs w:val="28"/>
          <w:lang w:val="de-DE"/>
        </w:rPr>
        <w:lastRenderedPageBreak/>
        <w:t xml:space="preserve">The Tay population in Ha Giang totals 192,702 individuals, comprising 96,506 men and 96,196 women, which makes up 22.55% of the province’s population. Compared with the total of 1,845,492 Tay people nationwide, this figure represents 10.44%, underscoring Ha Giang’s role as a key region for the Tay ethnic community as well. Taken together, the Hmong and Tay account for more than half of </w:t>
      </w:r>
      <w:r w:rsidR="00A40455">
        <w:rPr>
          <w:rFonts w:asciiTheme="majorHAnsi" w:hAnsiTheme="majorHAnsi" w:cstheme="majorHAnsi"/>
          <w:bCs/>
          <w:szCs w:val="28"/>
          <w:lang w:val="de-DE"/>
        </w:rPr>
        <w:t>Ha Giang</w:t>
      </w:r>
      <w:r w:rsidRPr="008C0556">
        <w:rPr>
          <w:rFonts w:asciiTheme="majorHAnsi" w:hAnsiTheme="majorHAnsi" w:cstheme="majorHAnsi"/>
          <w:bCs/>
          <w:szCs w:val="28"/>
          <w:lang w:val="de-DE"/>
        </w:rPr>
        <w:t>’s total population (56.79%), highlighting both their demographic dominance within the province and their substantial contribution to the overall distribution of these ethnic groups across Vietnam.</w:t>
      </w:r>
    </w:p>
    <w:p w14:paraId="7020E265" w14:textId="389A1DB9" w:rsidR="0034734A" w:rsidRPr="008C0556" w:rsidRDefault="0034734A" w:rsidP="0034734A">
      <w:pPr>
        <w:widowControl w:val="0"/>
        <w:rPr>
          <w:rFonts w:asciiTheme="majorHAnsi" w:hAnsiTheme="majorHAnsi" w:cstheme="majorHAnsi"/>
          <w:bCs/>
          <w:szCs w:val="28"/>
          <w:lang w:val="de-DE"/>
        </w:rPr>
      </w:pPr>
    </w:p>
    <w:p w14:paraId="1C84DCCB" w14:textId="1EE32976" w:rsidR="00EF7BFD" w:rsidRPr="008C0556" w:rsidRDefault="00C160C2" w:rsidP="00EF7BFD">
      <w:pPr>
        <w:widowControl w:val="0"/>
        <w:rPr>
          <w:rFonts w:asciiTheme="majorHAnsi" w:hAnsiTheme="majorHAnsi" w:cstheme="majorHAnsi"/>
          <w:b/>
          <w:bCs/>
          <w:sz w:val="26"/>
          <w:szCs w:val="26"/>
          <w:lang w:val="de-DE"/>
        </w:rPr>
      </w:pPr>
      <w:r w:rsidRPr="008C0556">
        <w:rPr>
          <w:rFonts w:asciiTheme="majorHAnsi" w:hAnsiTheme="majorHAnsi" w:cstheme="majorHAnsi"/>
          <w:b/>
          <w:bCs/>
          <w:sz w:val="26"/>
          <w:szCs w:val="26"/>
          <w:lang w:val="de-DE"/>
        </w:rPr>
        <w:t xml:space="preserve">Table 1. </w:t>
      </w:r>
      <w:r w:rsidR="0014735E" w:rsidRPr="008C0556">
        <w:rPr>
          <w:rFonts w:asciiTheme="majorHAnsi" w:hAnsiTheme="majorHAnsi" w:cstheme="majorHAnsi"/>
          <w:b/>
          <w:bCs/>
          <w:sz w:val="26"/>
          <w:szCs w:val="26"/>
          <w:lang w:val="de-DE"/>
        </w:rPr>
        <w:t>Sample Characteristics</w:t>
      </w: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2268"/>
        <w:gridCol w:w="1608"/>
        <w:gridCol w:w="1701"/>
      </w:tblGrid>
      <w:tr w:rsidR="0014735E" w:rsidRPr="008C0556" w14:paraId="4DE1FAD5" w14:textId="77777777" w:rsidTr="00341120">
        <w:trPr>
          <w:trHeight w:val="320"/>
        </w:trPr>
        <w:tc>
          <w:tcPr>
            <w:tcW w:w="846" w:type="dxa"/>
            <w:noWrap/>
            <w:vAlign w:val="bottom"/>
            <w:hideMark/>
          </w:tcPr>
          <w:p w14:paraId="3013E982"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No.</w:t>
            </w:r>
          </w:p>
        </w:tc>
        <w:tc>
          <w:tcPr>
            <w:tcW w:w="2551" w:type="dxa"/>
            <w:noWrap/>
            <w:vAlign w:val="bottom"/>
            <w:hideMark/>
          </w:tcPr>
          <w:p w14:paraId="06F1DDE5"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Variable</w:t>
            </w:r>
          </w:p>
        </w:tc>
        <w:tc>
          <w:tcPr>
            <w:tcW w:w="2268" w:type="dxa"/>
            <w:noWrap/>
            <w:vAlign w:val="bottom"/>
            <w:hideMark/>
          </w:tcPr>
          <w:p w14:paraId="07DA607A"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Category</w:t>
            </w:r>
          </w:p>
        </w:tc>
        <w:tc>
          <w:tcPr>
            <w:tcW w:w="1608" w:type="dxa"/>
            <w:noWrap/>
            <w:vAlign w:val="bottom"/>
            <w:hideMark/>
          </w:tcPr>
          <w:p w14:paraId="5FB3EA55"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Count</w:t>
            </w:r>
          </w:p>
        </w:tc>
        <w:tc>
          <w:tcPr>
            <w:tcW w:w="1701" w:type="dxa"/>
            <w:noWrap/>
            <w:vAlign w:val="bottom"/>
            <w:hideMark/>
          </w:tcPr>
          <w:p w14:paraId="143199B2"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Percentage (%)</w:t>
            </w:r>
          </w:p>
        </w:tc>
      </w:tr>
      <w:tr w:rsidR="0014735E" w:rsidRPr="008C0556" w14:paraId="773A94B3" w14:textId="77777777" w:rsidTr="00341120">
        <w:trPr>
          <w:trHeight w:val="320"/>
        </w:trPr>
        <w:tc>
          <w:tcPr>
            <w:tcW w:w="846" w:type="dxa"/>
            <w:noWrap/>
            <w:vAlign w:val="bottom"/>
            <w:hideMark/>
          </w:tcPr>
          <w:p w14:paraId="7160ADEB"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w:t>
            </w:r>
          </w:p>
        </w:tc>
        <w:tc>
          <w:tcPr>
            <w:tcW w:w="2551" w:type="dxa"/>
            <w:noWrap/>
            <w:vAlign w:val="bottom"/>
            <w:hideMark/>
          </w:tcPr>
          <w:p w14:paraId="24FD09D5"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Gender</w:t>
            </w:r>
          </w:p>
        </w:tc>
        <w:tc>
          <w:tcPr>
            <w:tcW w:w="2268" w:type="dxa"/>
            <w:noWrap/>
            <w:vAlign w:val="bottom"/>
            <w:hideMark/>
          </w:tcPr>
          <w:p w14:paraId="1A6EF4CB"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Male</w:t>
            </w:r>
          </w:p>
        </w:tc>
        <w:tc>
          <w:tcPr>
            <w:tcW w:w="1608" w:type="dxa"/>
            <w:noWrap/>
            <w:vAlign w:val="bottom"/>
            <w:hideMark/>
          </w:tcPr>
          <w:p w14:paraId="2DB1BD01" w14:textId="0AB1CAD6"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150</w:t>
            </w:r>
          </w:p>
        </w:tc>
        <w:tc>
          <w:tcPr>
            <w:tcW w:w="1701" w:type="dxa"/>
            <w:noWrap/>
            <w:vAlign w:val="bottom"/>
            <w:hideMark/>
          </w:tcPr>
          <w:p w14:paraId="16AC9E1E" w14:textId="446BC0C2"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53.6</w:t>
            </w:r>
          </w:p>
        </w:tc>
      </w:tr>
      <w:tr w:rsidR="0014735E" w:rsidRPr="008C0556" w14:paraId="0DE1F993" w14:textId="77777777" w:rsidTr="00341120">
        <w:trPr>
          <w:trHeight w:val="320"/>
        </w:trPr>
        <w:tc>
          <w:tcPr>
            <w:tcW w:w="846" w:type="dxa"/>
            <w:noWrap/>
            <w:vAlign w:val="bottom"/>
            <w:hideMark/>
          </w:tcPr>
          <w:p w14:paraId="1D6792E3"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297ACBAF"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66E4BB69"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Female</w:t>
            </w:r>
          </w:p>
        </w:tc>
        <w:tc>
          <w:tcPr>
            <w:tcW w:w="1608" w:type="dxa"/>
            <w:noWrap/>
            <w:vAlign w:val="bottom"/>
            <w:hideMark/>
          </w:tcPr>
          <w:p w14:paraId="6FF685E1" w14:textId="7B9E548A"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130</w:t>
            </w:r>
          </w:p>
        </w:tc>
        <w:tc>
          <w:tcPr>
            <w:tcW w:w="1701" w:type="dxa"/>
            <w:noWrap/>
            <w:vAlign w:val="bottom"/>
            <w:hideMark/>
          </w:tcPr>
          <w:p w14:paraId="5F7B07AA" w14:textId="5FD68B55"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46.4</w:t>
            </w:r>
          </w:p>
        </w:tc>
      </w:tr>
      <w:tr w:rsidR="0014735E" w:rsidRPr="008C0556" w14:paraId="32694CCB" w14:textId="77777777" w:rsidTr="00341120">
        <w:trPr>
          <w:trHeight w:val="320"/>
        </w:trPr>
        <w:tc>
          <w:tcPr>
            <w:tcW w:w="846" w:type="dxa"/>
            <w:noWrap/>
            <w:vAlign w:val="bottom"/>
            <w:hideMark/>
          </w:tcPr>
          <w:p w14:paraId="313036B3"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2</w:t>
            </w:r>
          </w:p>
        </w:tc>
        <w:tc>
          <w:tcPr>
            <w:tcW w:w="2551" w:type="dxa"/>
            <w:noWrap/>
            <w:vAlign w:val="bottom"/>
            <w:hideMark/>
          </w:tcPr>
          <w:p w14:paraId="21AF30A5"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Age</w:t>
            </w:r>
          </w:p>
        </w:tc>
        <w:tc>
          <w:tcPr>
            <w:tcW w:w="2268" w:type="dxa"/>
            <w:noWrap/>
            <w:vAlign w:val="bottom"/>
            <w:hideMark/>
          </w:tcPr>
          <w:p w14:paraId="58E9E595"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18–25</w:t>
            </w:r>
          </w:p>
        </w:tc>
        <w:tc>
          <w:tcPr>
            <w:tcW w:w="1608" w:type="dxa"/>
            <w:noWrap/>
            <w:vAlign w:val="bottom"/>
            <w:hideMark/>
          </w:tcPr>
          <w:p w14:paraId="20197573"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60</w:t>
            </w:r>
          </w:p>
        </w:tc>
        <w:tc>
          <w:tcPr>
            <w:tcW w:w="1701" w:type="dxa"/>
            <w:noWrap/>
            <w:vAlign w:val="bottom"/>
            <w:hideMark/>
          </w:tcPr>
          <w:p w14:paraId="0BBB7AF9"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21.4</w:t>
            </w:r>
          </w:p>
        </w:tc>
      </w:tr>
      <w:tr w:rsidR="0014735E" w:rsidRPr="008C0556" w14:paraId="1F3609BE" w14:textId="77777777" w:rsidTr="00341120">
        <w:trPr>
          <w:trHeight w:val="320"/>
        </w:trPr>
        <w:tc>
          <w:tcPr>
            <w:tcW w:w="846" w:type="dxa"/>
            <w:noWrap/>
            <w:vAlign w:val="bottom"/>
            <w:hideMark/>
          </w:tcPr>
          <w:p w14:paraId="0CB3D347"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69BD01DD"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12FD6889"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26–35</w:t>
            </w:r>
          </w:p>
        </w:tc>
        <w:tc>
          <w:tcPr>
            <w:tcW w:w="1608" w:type="dxa"/>
            <w:noWrap/>
            <w:vAlign w:val="bottom"/>
            <w:hideMark/>
          </w:tcPr>
          <w:p w14:paraId="1E9FFCCE"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80</w:t>
            </w:r>
          </w:p>
        </w:tc>
        <w:tc>
          <w:tcPr>
            <w:tcW w:w="1701" w:type="dxa"/>
            <w:noWrap/>
            <w:vAlign w:val="bottom"/>
            <w:hideMark/>
          </w:tcPr>
          <w:p w14:paraId="7AB224AD"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28.6</w:t>
            </w:r>
          </w:p>
        </w:tc>
      </w:tr>
      <w:tr w:rsidR="0014735E" w:rsidRPr="008C0556" w14:paraId="151AA7BF" w14:textId="77777777" w:rsidTr="00341120">
        <w:trPr>
          <w:trHeight w:val="320"/>
        </w:trPr>
        <w:tc>
          <w:tcPr>
            <w:tcW w:w="846" w:type="dxa"/>
            <w:noWrap/>
            <w:vAlign w:val="bottom"/>
            <w:hideMark/>
          </w:tcPr>
          <w:p w14:paraId="77209277"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379FD445"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099F2A6B"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36–45</w:t>
            </w:r>
          </w:p>
        </w:tc>
        <w:tc>
          <w:tcPr>
            <w:tcW w:w="1608" w:type="dxa"/>
            <w:noWrap/>
            <w:vAlign w:val="bottom"/>
            <w:hideMark/>
          </w:tcPr>
          <w:p w14:paraId="3A2B0C0F"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70</w:t>
            </w:r>
          </w:p>
        </w:tc>
        <w:tc>
          <w:tcPr>
            <w:tcW w:w="1701" w:type="dxa"/>
            <w:noWrap/>
            <w:vAlign w:val="bottom"/>
            <w:hideMark/>
          </w:tcPr>
          <w:p w14:paraId="207A7657"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25</w:t>
            </w:r>
          </w:p>
        </w:tc>
      </w:tr>
      <w:tr w:rsidR="0014735E" w:rsidRPr="008C0556" w14:paraId="564F814A" w14:textId="77777777" w:rsidTr="00341120">
        <w:trPr>
          <w:trHeight w:val="320"/>
        </w:trPr>
        <w:tc>
          <w:tcPr>
            <w:tcW w:w="846" w:type="dxa"/>
            <w:noWrap/>
            <w:vAlign w:val="bottom"/>
            <w:hideMark/>
          </w:tcPr>
          <w:p w14:paraId="3AA21072"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765DB8E2"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048A9D48"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46–55</w:t>
            </w:r>
          </w:p>
        </w:tc>
        <w:tc>
          <w:tcPr>
            <w:tcW w:w="1608" w:type="dxa"/>
            <w:noWrap/>
            <w:vAlign w:val="bottom"/>
            <w:hideMark/>
          </w:tcPr>
          <w:p w14:paraId="54C08B47"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50</w:t>
            </w:r>
          </w:p>
        </w:tc>
        <w:tc>
          <w:tcPr>
            <w:tcW w:w="1701" w:type="dxa"/>
            <w:noWrap/>
            <w:vAlign w:val="bottom"/>
            <w:hideMark/>
          </w:tcPr>
          <w:p w14:paraId="79ABFE81"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17.9</w:t>
            </w:r>
          </w:p>
        </w:tc>
      </w:tr>
      <w:tr w:rsidR="0014735E" w:rsidRPr="008C0556" w14:paraId="47F00AAE" w14:textId="77777777" w:rsidTr="00341120">
        <w:trPr>
          <w:trHeight w:val="320"/>
        </w:trPr>
        <w:tc>
          <w:tcPr>
            <w:tcW w:w="846" w:type="dxa"/>
            <w:noWrap/>
            <w:vAlign w:val="bottom"/>
            <w:hideMark/>
          </w:tcPr>
          <w:p w14:paraId="431FD969"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37E46FB4"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519E2F12"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56+</w:t>
            </w:r>
          </w:p>
        </w:tc>
        <w:tc>
          <w:tcPr>
            <w:tcW w:w="1608" w:type="dxa"/>
            <w:noWrap/>
            <w:vAlign w:val="bottom"/>
            <w:hideMark/>
          </w:tcPr>
          <w:p w14:paraId="3C80A7D8"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20</w:t>
            </w:r>
          </w:p>
        </w:tc>
        <w:tc>
          <w:tcPr>
            <w:tcW w:w="1701" w:type="dxa"/>
            <w:noWrap/>
            <w:vAlign w:val="bottom"/>
            <w:hideMark/>
          </w:tcPr>
          <w:p w14:paraId="2EB3EF4C"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7.1</w:t>
            </w:r>
          </w:p>
        </w:tc>
      </w:tr>
      <w:tr w:rsidR="0014735E" w:rsidRPr="008C0556" w14:paraId="6A234795" w14:textId="77777777" w:rsidTr="00341120">
        <w:trPr>
          <w:trHeight w:val="320"/>
        </w:trPr>
        <w:tc>
          <w:tcPr>
            <w:tcW w:w="846" w:type="dxa"/>
            <w:noWrap/>
            <w:vAlign w:val="bottom"/>
            <w:hideMark/>
          </w:tcPr>
          <w:p w14:paraId="5ED68768"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3</w:t>
            </w:r>
          </w:p>
        </w:tc>
        <w:tc>
          <w:tcPr>
            <w:tcW w:w="2551" w:type="dxa"/>
            <w:noWrap/>
            <w:vAlign w:val="bottom"/>
            <w:hideMark/>
          </w:tcPr>
          <w:p w14:paraId="67158495"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Ethnicity</w:t>
            </w:r>
          </w:p>
        </w:tc>
        <w:tc>
          <w:tcPr>
            <w:tcW w:w="2268" w:type="dxa"/>
            <w:noWrap/>
            <w:vAlign w:val="bottom"/>
            <w:hideMark/>
          </w:tcPr>
          <w:p w14:paraId="3F8C463C"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Hmong</w:t>
            </w:r>
          </w:p>
        </w:tc>
        <w:tc>
          <w:tcPr>
            <w:tcW w:w="1608" w:type="dxa"/>
            <w:noWrap/>
            <w:vAlign w:val="bottom"/>
            <w:hideMark/>
          </w:tcPr>
          <w:p w14:paraId="036F3A2D" w14:textId="3A893EAF"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w:t>
            </w:r>
            <w:r w:rsidR="001E1399" w:rsidRPr="008C0556">
              <w:rPr>
                <w:rFonts w:asciiTheme="majorHAnsi" w:eastAsia="Times New Roman" w:hAnsiTheme="majorHAnsi" w:cstheme="majorHAnsi"/>
                <w:color w:val="000000"/>
                <w:sz w:val="24"/>
                <w:szCs w:val="24"/>
                <w:lang w:val="en-JM" w:eastAsia="en-GB"/>
              </w:rPr>
              <w:t>53</w:t>
            </w:r>
          </w:p>
        </w:tc>
        <w:tc>
          <w:tcPr>
            <w:tcW w:w="1701" w:type="dxa"/>
            <w:noWrap/>
            <w:vAlign w:val="bottom"/>
            <w:hideMark/>
          </w:tcPr>
          <w:p w14:paraId="5D1783AC" w14:textId="63326CD5" w:rsidR="0014735E" w:rsidRPr="008C0556" w:rsidRDefault="001E1399"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54.6</w:t>
            </w:r>
          </w:p>
        </w:tc>
      </w:tr>
      <w:tr w:rsidR="0014735E" w:rsidRPr="008C0556" w14:paraId="5CECC0F1" w14:textId="77777777" w:rsidTr="00341120">
        <w:trPr>
          <w:trHeight w:val="320"/>
        </w:trPr>
        <w:tc>
          <w:tcPr>
            <w:tcW w:w="846" w:type="dxa"/>
            <w:noWrap/>
            <w:vAlign w:val="bottom"/>
            <w:hideMark/>
          </w:tcPr>
          <w:p w14:paraId="667E00C2"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0AF00652"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352F2439"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Tay</w:t>
            </w:r>
          </w:p>
        </w:tc>
        <w:tc>
          <w:tcPr>
            <w:tcW w:w="1608" w:type="dxa"/>
            <w:noWrap/>
            <w:vAlign w:val="bottom"/>
            <w:hideMark/>
          </w:tcPr>
          <w:p w14:paraId="6C8D6D87" w14:textId="62D75118"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w:t>
            </w:r>
            <w:r w:rsidR="001E1399" w:rsidRPr="008C0556">
              <w:rPr>
                <w:rFonts w:asciiTheme="majorHAnsi" w:eastAsia="Times New Roman" w:hAnsiTheme="majorHAnsi" w:cstheme="majorHAnsi"/>
                <w:color w:val="000000"/>
                <w:sz w:val="24"/>
                <w:szCs w:val="24"/>
                <w:lang w:val="en-JM" w:eastAsia="en-GB"/>
              </w:rPr>
              <w:t>27</w:t>
            </w:r>
          </w:p>
        </w:tc>
        <w:tc>
          <w:tcPr>
            <w:tcW w:w="1701" w:type="dxa"/>
            <w:noWrap/>
            <w:vAlign w:val="bottom"/>
            <w:hideMark/>
          </w:tcPr>
          <w:p w14:paraId="08AFD78C" w14:textId="3A70FB4B" w:rsidR="0014735E" w:rsidRPr="008C0556" w:rsidRDefault="001E1399"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45.4</w:t>
            </w:r>
          </w:p>
        </w:tc>
      </w:tr>
      <w:tr w:rsidR="0014735E" w:rsidRPr="008C0556" w14:paraId="41DCEFC2" w14:textId="77777777" w:rsidTr="00341120">
        <w:trPr>
          <w:trHeight w:val="320"/>
        </w:trPr>
        <w:tc>
          <w:tcPr>
            <w:tcW w:w="846" w:type="dxa"/>
            <w:noWrap/>
            <w:vAlign w:val="bottom"/>
            <w:hideMark/>
          </w:tcPr>
          <w:p w14:paraId="1A26C253"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4</w:t>
            </w:r>
          </w:p>
        </w:tc>
        <w:tc>
          <w:tcPr>
            <w:tcW w:w="2551" w:type="dxa"/>
            <w:noWrap/>
            <w:vAlign w:val="bottom"/>
            <w:hideMark/>
          </w:tcPr>
          <w:p w14:paraId="5BF9B06F"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Occupation</w:t>
            </w:r>
          </w:p>
        </w:tc>
        <w:tc>
          <w:tcPr>
            <w:tcW w:w="2268" w:type="dxa"/>
            <w:noWrap/>
            <w:vAlign w:val="bottom"/>
            <w:hideMark/>
          </w:tcPr>
          <w:p w14:paraId="14F27AB4"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Agriculture</w:t>
            </w:r>
          </w:p>
        </w:tc>
        <w:tc>
          <w:tcPr>
            <w:tcW w:w="1608" w:type="dxa"/>
            <w:noWrap/>
            <w:vAlign w:val="bottom"/>
            <w:hideMark/>
          </w:tcPr>
          <w:p w14:paraId="3559FFD7"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120</w:t>
            </w:r>
          </w:p>
        </w:tc>
        <w:tc>
          <w:tcPr>
            <w:tcW w:w="1701" w:type="dxa"/>
            <w:noWrap/>
            <w:vAlign w:val="bottom"/>
            <w:hideMark/>
          </w:tcPr>
          <w:p w14:paraId="58B8BAA3"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42.9</w:t>
            </w:r>
          </w:p>
        </w:tc>
      </w:tr>
      <w:tr w:rsidR="0014735E" w:rsidRPr="008C0556" w14:paraId="2495096A" w14:textId="77777777" w:rsidTr="00341120">
        <w:trPr>
          <w:trHeight w:val="320"/>
        </w:trPr>
        <w:tc>
          <w:tcPr>
            <w:tcW w:w="846" w:type="dxa"/>
            <w:noWrap/>
            <w:vAlign w:val="bottom"/>
            <w:hideMark/>
          </w:tcPr>
          <w:p w14:paraId="53E6B892"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5543A3BC"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1EED5650"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Handicraft / Services</w:t>
            </w:r>
          </w:p>
        </w:tc>
        <w:tc>
          <w:tcPr>
            <w:tcW w:w="1608" w:type="dxa"/>
            <w:noWrap/>
            <w:vAlign w:val="bottom"/>
            <w:hideMark/>
          </w:tcPr>
          <w:p w14:paraId="12150DF0"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80</w:t>
            </w:r>
          </w:p>
        </w:tc>
        <w:tc>
          <w:tcPr>
            <w:tcW w:w="1701" w:type="dxa"/>
            <w:noWrap/>
            <w:vAlign w:val="bottom"/>
            <w:hideMark/>
          </w:tcPr>
          <w:p w14:paraId="4CC45F9E"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28.6</w:t>
            </w:r>
          </w:p>
        </w:tc>
      </w:tr>
      <w:tr w:rsidR="0014735E" w:rsidRPr="008C0556" w14:paraId="7A7F5680" w14:textId="77777777" w:rsidTr="00341120">
        <w:trPr>
          <w:trHeight w:val="320"/>
        </w:trPr>
        <w:tc>
          <w:tcPr>
            <w:tcW w:w="846" w:type="dxa"/>
            <w:noWrap/>
            <w:vAlign w:val="bottom"/>
            <w:hideMark/>
          </w:tcPr>
          <w:p w14:paraId="0496F942"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2EE512F9"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2515A490"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Business</w:t>
            </w:r>
          </w:p>
        </w:tc>
        <w:tc>
          <w:tcPr>
            <w:tcW w:w="1608" w:type="dxa"/>
            <w:noWrap/>
            <w:vAlign w:val="bottom"/>
            <w:hideMark/>
          </w:tcPr>
          <w:p w14:paraId="4A56F470"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40</w:t>
            </w:r>
          </w:p>
        </w:tc>
        <w:tc>
          <w:tcPr>
            <w:tcW w:w="1701" w:type="dxa"/>
            <w:noWrap/>
            <w:vAlign w:val="bottom"/>
            <w:hideMark/>
          </w:tcPr>
          <w:p w14:paraId="04EC5B83"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14.3</w:t>
            </w:r>
          </w:p>
        </w:tc>
      </w:tr>
      <w:tr w:rsidR="0014735E" w:rsidRPr="008C0556" w14:paraId="6BCC95C0" w14:textId="77777777" w:rsidTr="00341120">
        <w:trPr>
          <w:trHeight w:val="320"/>
        </w:trPr>
        <w:tc>
          <w:tcPr>
            <w:tcW w:w="846" w:type="dxa"/>
            <w:noWrap/>
            <w:vAlign w:val="bottom"/>
            <w:hideMark/>
          </w:tcPr>
          <w:p w14:paraId="02266942"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16A0CD17"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31E8A31B"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Others</w:t>
            </w:r>
          </w:p>
        </w:tc>
        <w:tc>
          <w:tcPr>
            <w:tcW w:w="1608" w:type="dxa"/>
            <w:noWrap/>
            <w:vAlign w:val="bottom"/>
            <w:hideMark/>
          </w:tcPr>
          <w:p w14:paraId="44C612AF"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40</w:t>
            </w:r>
          </w:p>
        </w:tc>
        <w:tc>
          <w:tcPr>
            <w:tcW w:w="1701" w:type="dxa"/>
            <w:noWrap/>
            <w:vAlign w:val="bottom"/>
            <w:hideMark/>
          </w:tcPr>
          <w:p w14:paraId="7DC78F2C"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14.3</w:t>
            </w:r>
          </w:p>
        </w:tc>
      </w:tr>
    </w:tbl>
    <w:p w14:paraId="33F6E1AC" w14:textId="66BE90F7" w:rsidR="00C160C2" w:rsidRPr="008C0556" w:rsidRDefault="00332E0D" w:rsidP="00EF7BFD">
      <w:pPr>
        <w:widowControl w:val="0"/>
        <w:rPr>
          <w:rFonts w:asciiTheme="majorHAnsi" w:hAnsiTheme="majorHAnsi" w:cstheme="majorHAnsi"/>
          <w:sz w:val="26"/>
          <w:szCs w:val="26"/>
          <w:lang w:val="de-DE"/>
        </w:rPr>
      </w:pPr>
      <w:r w:rsidRPr="008C0556">
        <w:rPr>
          <w:rFonts w:asciiTheme="majorHAnsi" w:hAnsiTheme="majorHAnsi" w:cstheme="majorHAnsi"/>
          <w:sz w:val="26"/>
          <w:szCs w:val="26"/>
          <w:lang w:val="de-DE"/>
        </w:rPr>
        <w:t>Source: Based on the survey.</w:t>
      </w:r>
    </w:p>
    <w:p w14:paraId="37CC4972" w14:textId="77777777" w:rsidR="00332E0D" w:rsidRPr="008C0556" w:rsidRDefault="00332E0D" w:rsidP="00EF7BFD">
      <w:pPr>
        <w:widowControl w:val="0"/>
        <w:rPr>
          <w:rFonts w:asciiTheme="majorHAnsi" w:hAnsiTheme="majorHAnsi" w:cstheme="majorHAnsi"/>
          <w:sz w:val="26"/>
          <w:szCs w:val="26"/>
          <w:lang w:val="de-DE"/>
        </w:rPr>
      </w:pPr>
    </w:p>
    <w:p w14:paraId="279B729C" w14:textId="1FE131E6" w:rsidR="001E1399" w:rsidRPr="003E57BB" w:rsidRDefault="001E1399" w:rsidP="003E57BB">
      <w:pPr>
        <w:spacing w:before="120" w:after="120" w:line="288" w:lineRule="auto"/>
        <w:rPr>
          <w:rFonts w:asciiTheme="majorHAnsi" w:eastAsia="Times New Roman" w:hAnsiTheme="majorHAnsi" w:cstheme="majorHAnsi"/>
          <w:szCs w:val="28"/>
          <w:lang w:val="en-JM" w:eastAsia="en-GB"/>
        </w:rPr>
      </w:pPr>
      <w:r w:rsidRPr="003E57BB">
        <w:rPr>
          <w:rFonts w:asciiTheme="majorHAnsi" w:eastAsia="Times New Roman" w:hAnsiTheme="majorHAnsi" w:cstheme="majorHAnsi"/>
          <w:szCs w:val="28"/>
          <w:lang w:val="en-JM" w:eastAsia="en-GB"/>
        </w:rPr>
        <w:t xml:space="preserve">The study surveyed a total of 280 respondents in </w:t>
      </w:r>
      <w:r w:rsidR="00A40455" w:rsidRPr="003E57BB">
        <w:rPr>
          <w:rFonts w:asciiTheme="majorHAnsi" w:eastAsia="Times New Roman" w:hAnsiTheme="majorHAnsi" w:cstheme="majorHAnsi"/>
          <w:szCs w:val="28"/>
          <w:lang w:val="en-JM" w:eastAsia="en-GB"/>
        </w:rPr>
        <w:t>Ha Giang</w:t>
      </w:r>
      <w:r w:rsidRPr="003E57BB">
        <w:rPr>
          <w:rFonts w:asciiTheme="majorHAnsi" w:eastAsia="Times New Roman" w:hAnsiTheme="majorHAnsi" w:cstheme="majorHAnsi"/>
          <w:szCs w:val="28"/>
          <w:lang w:val="en-JM" w:eastAsia="en-GB"/>
        </w:rPr>
        <w:t xml:space="preserve"> province, northern Vietnam. The sample included 150 males (53.6%) and 130 females (46.4%). The age of respondents ranged from 18 to over 56 years, with 21.4% aged 18–25, 28.6% aged 26–35, 25.0% aged 36–45, 17.9% aged 46–55, and 7.1% aged 56 and above. In terms of ethnicity, the respondents were either Hmong (54.6%) or Tay (45.4%). Regarding occupation, 42.9% of participants were engaged in agriculture, 28.6% in handicraft or service-related work, 14.3% in small business, and the remaining 14.3% in other types of work.</w:t>
      </w:r>
    </w:p>
    <w:p w14:paraId="3D35EBB2" w14:textId="42ADFBA3" w:rsidR="0014735E" w:rsidRPr="003E57BB" w:rsidRDefault="0014735E" w:rsidP="003E57BB">
      <w:pPr>
        <w:spacing w:before="120" w:after="120" w:line="288" w:lineRule="auto"/>
        <w:rPr>
          <w:rFonts w:asciiTheme="majorHAnsi" w:eastAsia="Times New Roman" w:hAnsiTheme="majorHAnsi" w:cstheme="majorHAnsi"/>
          <w:szCs w:val="28"/>
          <w:lang w:val="en-JM" w:eastAsia="en-GB"/>
        </w:rPr>
      </w:pPr>
      <w:r w:rsidRPr="003E57BB">
        <w:rPr>
          <w:rFonts w:asciiTheme="majorHAnsi" w:eastAsia="Times New Roman" w:hAnsiTheme="majorHAnsi" w:cstheme="majorHAnsi"/>
          <w:szCs w:val="28"/>
          <w:lang w:val="en-JM" w:eastAsia="en-GB"/>
        </w:rPr>
        <w:t>These characteristics reflect a slightly higher proportion of males, a wide range of adult age groups, and the predominance of the Hmong and Tay ethnic communities in the province. The occupational distribution illustrates the typical economic activities in a mountainous rural region of northern Vietnam.</w:t>
      </w:r>
    </w:p>
    <w:p w14:paraId="7D9800F7" w14:textId="77777777" w:rsidR="0014735E" w:rsidRPr="008C0556" w:rsidRDefault="0014735E" w:rsidP="0014735E">
      <w:pPr>
        <w:widowControl w:val="0"/>
        <w:rPr>
          <w:rFonts w:asciiTheme="majorHAnsi" w:hAnsiTheme="majorHAnsi" w:cstheme="majorHAnsi"/>
          <w:sz w:val="26"/>
          <w:szCs w:val="26"/>
          <w:lang w:val="de-DE"/>
        </w:rPr>
      </w:pPr>
    </w:p>
    <w:p w14:paraId="30172B38" w14:textId="2EB74A96" w:rsidR="00EF7BFD" w:rsidRPr="008C0556" w:rsidRDefault="0034734A" w:rsidP="00EF7BFD">
      <w:pPr>
        <w:rPr>
          <w:rFonts w:asciiTheme="majorHAnsi" w:hAnsiTheme="majorHAnsi" w:cstheme="majorHAnsi"/>
          <w:b/>
          <w:sz w:val="26"/>
          <w:szCs w:val="26"/>
          <w:lang w:val="de-DE"/>
        </w:rPr>
      </w:pPr>
      <w:r w:rsidRPr="008C0556">
        <w:rPr>
          <w:rFonts w:asciiTheme="majorHAnsi" w:hAnsiTheme="majorHAnsi" w:cstheme="majorHAnsi"/>
          <w:b/>
          <w:sz w:val="26"/>
          <w:szCs w:val="26"/>
          <w:lang w:val="de-DE"/>
        </w:rPr>
        <w:t>Table</w:t>
      </w:r>
      <w:r w:rsidR="00EF7BFD" w:rsidRPr="008C0556">
        <w:rPr>
          <w:rFonts w:asciiTheme="majorHAnsi" w:hAnsiTheme="majorHAnsi" w:cstheme="majorHAnsi"/>
          <w:b/>
          <w:sz w:val="26"/>
          <w:szCs w:val="26"/>
          <w:lang w:val="de-DE"/>
        </w:rPr>
        <w:t xml:space="preserve"> </w:t>
      </w:r>
      <w:r w:rsidRPr="008C0556">
        <w:rPr>
          <w:rFonts w:asciiTheme="majorHAnsi" w:hAnsiTheme="majorHAnsi" w:cstheme="majorHAnsi"/>
          <w:b/>
          <w:sz w:val="26"/>
          <w:szCs w:val="26"/>
          <w:lang w:val="de-DE"/>
        </w:rPr>
        <w:t>2</w:t>
      </w:r>
      <w:r w:rsidR="008F6891" w:rsidRPr="008C0556">
        <w:rPr>
          <w:rFonts w:asciiTheme="majorHAnsi" w:hAnsiTheme="majorHAnsi" w:cstheme="majorHAnsi"/>
          <w:b/>
          <w:sz w:val="26"/>
          <w:szCs w:val="26"/>
          <w:lang w:val="de-DE"/>
        </w:rPr>
        <w:t>.</w:t>
      </w:r>
      <w:r w:rsidR="00EF7BFD" w:rsidRPr="008C0556">
        <w:rPr>
          <w:rFonts w:asciiTheme="majorHAnsi" w:hAnsiTheme="majorHAnsi" w:cstheme="majorHAnsi"/>
          <w:b/>
          <w:sz w:val="26"/>
          <w:szCs w:val="26"/>
          <w:lang w:val="de-DE"/>
        </w:rPr>
        <w:t xml:space="preserve"> </w:t>
      </w:r>
      <w:r w:rsidR="00C160C2" w:rsidRPr="008C0556">
        <w:rPr>
          <w:rFonts w:asciiTheme="majorHAnsi" w:hAnsiTheme="majorHAnsi" w:cstheme="majorHAnsi"/>
          <w:b/>
          <w:sz w:val="26"/>
          <w:szCs w:val="26"/>
          <w:lang w:val="de-DE"/>
        </w:rPr>
        <w:t>t-test of mean income across ethnic groups</w:t>
      </w:r>
    </w:p>
    <w:tbl>
      <w:tblPr>
        <w:tblW w:w="89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940"/>
        <w:gridCol w:w="1657"/>
        <w:gridCol w:w="1244"/>
        <w:gridCol w:w="1475"/>
        <w:gridCol w:w="1153"/>
      </w:tblGrid>
      <w:tr w:rsidR="0034734A" w:rsidRPr="008C0556" w14:paraId="6118F78E" w14:textId="77777777" w:rsidTr="001E1399">
        <w:trPr>
          <w:trHeight w:val="276"/>
        </w:trPr>
        <w:tc>
          <w:tcPr>
            <w:tcW w:w="1462" w:type="dxa"/>
            <w:noWrap/>
            <w:vAlign w:val="bottom"/>
            <w:hideMark/>
          </w:tcPr>
          <w:p w14:paraId="03E1DB2A" w14:textId="3C512AD3" w:rsidR="0034734A" w:rsidRPr="008C0556" w:rsidRDefault="0034734A" w:rsidP="003B7725">
            <w:pPr>
              <w:jc w:val="left"/>
              <w:rPr>
                <w:rFonts w:asciiTheme="majorHAnsi" w:eastAsia="Times New Roman" w:hAnsiTheme="majorHAnsi" w:cstheme="majorHAnsi"/>
                <w:color w:val="000000"/>
                <w:sz w:val="22"/>
                <w:lang w:val="de-DE" w:eastAsia="ko-KR"/>
              </w:rPr>
            </w:pPr>
          </w:p>
        </w:tc>
        <w:tc>
          <w:tcPr>
            <w:tcW w:w="1940" w:type="dxa"/>
            <w:noWrap/>
            <w:vAlign w:val="bottom"/>
          </w:tcPr>
          <w:p w14:paraId="721ABEBA" w14:textId="3572CAC6" w:rsidR="0034734A" w:rsidRPr="008C0556" w:rsidRDefault="00C160C2" w:rsidP="003B7725">
            <w:pPr>
              <w:jc w:val="left"/>
              <w:rPr>
                <w:rFonts w:asciiTheme="majorHAnsi" w:eastAsia="Times New Roman" w:hAnsiTheme="majorHAnsi" w:cstheme="majorHAnsi"/>
                <w:color w:val="000000"/>
                <w:sz w:val="22"/>
                <w:lang w:val="de-DE" w:eastAsia="ko-KR"/>
              </w:rPr>
            </w:pPr>
            <w:r w:rsidRPr="008C0556">
              <w:rPr>
                <w:rFonts w:asciiTheme="majorHAnsi" w:eastAsia="Times New Roman" w:hAnsiTheme="majorHAnsi" w:cstheme="majorHAnsi"/>
                <w:color w:val="000000"/>
                <w:sz w:val="22"/>
                <w:lang w:val="de-DE" w:eastAsia="ko-KR"/>
              </w:rPr>
              <w:t>Mean</w:t>
            </w:r>
          </w:p>
        </w:tc>
        <w:tc>
          <w:tcPr>
            <w:tcW w:w="1657" w:type="dxa"/>
            <w:noWrap/>
            <w:vAlign w:val="bottom"/>
            <w:hideMark/>
          </w:tcPr>
          <w:p w14:paraId="0713D00C" w14:textId="77777777" w:rsidR="0034734A" w:rsidRPr="008C0556" w:rsidRDefault="0034734A" w:rsidP="003B7725">
            <w:pPr>
              <w:jc w:val="left"/>
              <w:rPr>
                <w:rFonts w:asciiTheme="majorHAnsi" w:eastAsia="Times New Roman" w:hAnsiTheme="majorHAnsi" w:cstheme="majorHAnsi"/>
                <w:color w:val="000000"/>
                <w:sz w:val="22"/>
                <w:lang w:val="vi-VN" w:eastAsia="ko-KR"/>
              </w:rPr>
            </w:pPr>
            <w:r w:rsidRPr="008C0556">
              <w:rPr>
                <w:rFonts w:asciiTheme="majorHAnsi" w:eastAsia="Times New Roman" w:hAnsiTheme="majorHAnsi" w:cstheme="majorHAnsi"/>
                <w:color w:val="000000"/>
                <w:sz w:val="22"/>
                <w:lang w:val="vi-VN" w:eastAsia="ko-KR"/>
              </w:rPr>
              <w:t>Std. Err.</w:t>
            </w:r>
          </w:p>
        </w:tc>
        <w:tc>
          <w:tcPr>
            <w:tcW w:w="1244" w:type="dxa"/>
            <w:noWrap/>
            <w:vAlign w:val="bottom"/>
            <w:hideMark/>
          </w:tcPr>
          <w:p w14:paraId="1E21142F" w14:textId="77777777" w:rsidR="0034734A" w:rsidRPr="008C0556" w:rsidRDefault="0034734A" w:rsidP="003B7725">
            <w:pPr>
              <w:jc w:val="left"/>
              <w:rPr>
                <w:rFonts w:asciiTheme="majorHAnsi" w:eastAsia="Times New Roman" w:hAnsiTheme="majorHAnsi" w:cstheme="majorHAnsi"/>
                <w:color w:val="000000"/>
                <w:sz w:val="22"/>
                <w:lang w:val="vi-VN" w:eastAsia="ko-KR"/>
              </w:rPr>
            </w:pPr>
            <w:r w:rsidRPr="008C0556">
              <w:rPr>
                <w:rFonts w:asciiTheme="majorHAnsi" w:eastAsia="Times New Roman" w:hAnsiTheme="majorHAnsi" w:cstheme="majorHAnsi"/>
                <w:color w:val="000000"/>
                <w:sz w:val="22"/>
                <w:lang w:val="vi-VN" w:eastAsia="ko-KR"/>
              </w:rPr>
              <w:t>Std. Dev.</w:t>
            </w:r>
          </w:p>
        </w:tc>
        <w:tc>
          <w:tcPr>
            <w:tcW w:w="2628" w:type="dxa"/>
            <w:gridSpan w:val="2"/>
            <w:noWrap/>
            <w:vAlign w:val="bottom"/>
            <w:hideMark/>
          </w:tcPr>
          <w:p w14:paraId="76100EE9" w14:textId="3C225322" w:rsidR="0034734A" w:rsidRPr="008C0556" w:rsidRDefault="0034734A" w:rsidP="003B7725">
            <w:pPr>
              <w:jc w:val="center"/>
              <w:rPr>
                <w:rFonts w:asciiTheme="majorHAnsi" w:eastAsia="Times New Roman" w:hAnsiTheme="majorHAnsi" w:cstheme="majorHAnsi"/>
                <w:color w:val="000000"/>
                <w:sz w:val="22"/>
                <w:lang w:val="de-DE" w:eastAsia="ko-KR"/>
              </w:rPr>
            </w:pPr>
            <w:r w:rsidRPr="008C0556">
              <w:rPr>
                <w:rFonts w:asciiTheme="majorHAnsi" w:eastAsia="Times New Roman" w:hAnsiTheme="majorHAnsi" w:cstheme="majorHAnsi"/>
                <w:color w:val="000000"/>
                <w:sz w:val="22"/>
                <w:lang w:val="de-DE" w:eastAsia="ko-KR"/>
              </w:rPr>
              <w:t>Confident interval</w:t>
            </w:r>
          </w:p>
        </w:tc>
      </w:tr>
      <w:tr w:rsidR="0034734A" w:rsidRPr="008C0556" w14:paraId="31E9EA8A" w14:textId="77777777" w:rsidTr="001E1399">
        <w:trPr>
          <w:trHeight w:val="276"/>
        </w:trPr>
        <w:tc>
          <w:tcPr>
            <w:tcW w:w="1462" w:type="dxa"/>
            <w:noWrap/>
            <w:vAlign w:val="bottom"/>
            <w:hideMark/>
          </w:tcPr>
          <w:p w14:paraId="15DDE69E" w14:textId="77777777" w:rsidR="0034734A" w:rsidRPr="008C0556" w:rsidRDefault="0034734A" w:rsidP="003B7725">
            <w:pPr>
              <w:jc w:val="left"/>
              <w:rPr>
                <w:rFonts w:asciiTheme="majorHAnsi" w:eastAsia="Times New Roman" w:hAnsiTheme="majorHAnsi" w:cstheme="majorHAnsi"/>
                <w:color w:val="000000"/>
                <w:sz w:val="22"/>
                <w:lang w:val="vi-VN" w:eastAsia="ko-KR"/>
              </w:rPr>
            </w:pPr>
            <w:r w:rsidRPr="008C0556">
              <w:rPr>
                <w:rFonts w:asciiTheme="majorHAnsi" w:eastAsia="Times New Roman" w:hAnsiTheme="majorHAnsi" w:cstheme="majorHAnsi"/>
                <w:color w:val="000000"/>
                <w:sz w:val="22"/>
                <w:lang w:val="vi-VN" w:eastAsia="ko-KR"/>
              </w:rPr>
              <w:t>Hmong</w:t>
            </w:r>
          </w:p>
        </w:tc>
        <w:tc>
          <w:tcPr>
            <w:tcW w:w="1940" w:type="dxa"/>
            <w:noWrap/>
            <w:vAlign w:val="bottom"/>
          </w:tcPr>
          <w:p w14:paraId="787E5895"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3690541</w:t>
            </w:r>
          </w:p>
        </w:tc>
        <w:tc>
          <w:tcPr>
            <w:tcW w:w="1657" w:type="dxa"/>
            <w:noWrap/>
            <w:vAlign w:val="bottom"/>
          </w:tcPr>
          <w:p w14:paraId="22194D62"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213418.5</w:t>
            </w:r>
          </w:p>
        </w:tc>
        <w:tc>
          <w:tcPr>
            <w:tcW w:w="1244" w:type="dxa"/>
            <w:noWrap/>
            <w:vAlign w:val="bottom"/>
          </w:tcPr>
          <w:p w14:paraId="3FBA68D1"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1298174</w:t>
            </w:r>
          </w:p>
        </w:tc>
        <w:tc>
          <w:tcPr>
            <w:tcW w:w="1475" w:type="dxa"/>
            <w:noWrap/>
            <w:vAlign w:val="bottom"/>
          </w:tcPr>
          <w:p w14:paraId="6D53E6F3"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3257708</w:t>
            </w:r>
          </w:p>
        </w:tc>
        <w:tc>
          <w:tcPr>
            <w:tcW w:w="1153" w:type="dxa"/>
            <w:noWrap/>
            <w:vAlign w:val="bottom"/>
          </w:tcPr>
          <w:p w14:paraId="46CFEDFD"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4123373</w:t>
            </w:r>
          </w:p>
        </w:tc>
      </w:tr>
      <w:tr w:rsidR="0034734A" w:rsidRPr="008C0556" w14:paraId="6E4C06E1" w14:textId="77777777" w:rsidTr="001E1399">
        <w:trPr>
          <w:trHeight w:val="276"/>
        </w:trPr>
        <w:tc>
          <w:tcPr>
            <w:tcW w:w="1462" w:type="dxa"/>
            <w:noWrap/>
            <w:vAlign w:val="bottom"/>
            <w:hideMark/>
          </w:tcPr>
          <w:p w14:paraId="75D76B9F" w14:textId="305216C7" w:rsidR="0034734A" w:rsidRPr="008C0556" w:rsidRDefault="0034734A" w:rsidP="003B7725">
            <w:pPr>
              <w:jc w:val="left"/>
              <w:rPr>
                <w:rFonts w:asciiTheme="majorHAnsi" w:eastAsia="Times New Roman" w:hAnsiTheme="majorHAnsi" w:cstheme="majorHAnsi"/>
                <w:color w:val="000000"/>
                <w:sz w:val="22"/>
                <w:lang w:val="vi-VN" w:eastAsia="ko-KR"/>
              </w:rPr>
            </w:pPr>
            <w:r w:rsidRPr="008C0556">
              <w:rPr>
                <w:rFonts w:asciiTheme="majorHAnsi" w:eastAsia="Times New Roman" w:hAnsiTheme="majorHAnsi" w:cstheme="majorHAnsi"/>
                <w:color w:val="000000"/>
                <w:sz w:val="22"/>
                <w:lang w:val="vi-VN" w:eastAsia="ko-KR"/>
              </w:rPr>
              <w:t>T</w:t>
            </w:r>
            <w:r w:rsidR="00C160C2" w:rsidRPr="008C0556">
              <w:rPr>
                <w:rFonts w:asciiTheme="majorHAnsi" w:eastAsia="Times New Roman" w:hAnsiTheme="majorHAnsi" w:cstheme="majorHAnsi"/>
                <w:color w:val="000000"/>
                <w:sz w:val="22"/>
                <w:lang w:eastAsia="ko-KR"/>
              </w:rPr>
              <w:t>a</w:t>
            </w:r>
            <w:r w:rsidRPr="008C0556">
              <w:rPr>
                <w:rFonts w:asciiTheme="majorHAnsi" w:eastAsia="Times New Roman" w:hAnsiTheme="majorHAnsi" w:cstheme="majorHAnsi"/>
                <w:color w:val="000000"/>
                <w:sz w:val="22"/>
                <w:lang w:val="vi-VN" w:eastAsia="ko-KR"/>
              </w:rPr>
              <w:t>y</w:t>
            </w:r>
          </w:p>
        </w:tc>
        <w:tc>
          <w:tcPr>
            <w:tcW w:w="1940" w:type="dxa"/>
            <w:noWrap/>
            <w:vAlign w:val="bottom"/>
          </w:tcPr>
          <w:p w14:paraId="554E30BC"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4089344</w:t>
            </w:r>
          </w:p>
        </w:tc>
        <w:tc>
          <w:tcPr>
            <w:tcW w:w="1657" w:type="dxa"/>
            <w:noWrap/>
            <w:vAlign w:val="bottom"/>
          </w:tcPr>
          <w:p w14:paraId="33B07337"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230386.7</w:t>
            </w:r>
          </w:p>
        </w:tc>
        <w:tc>
          <w:tcPr>
            <w:tcW w:w="1244" w:type="dxa"/>
            <w:noWrap/>
            <w:vAlign w:val="bottom"/>
          </w:tcPr>
          <w:p w14:paraId="1340D36F"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1799378</w:t>
            </w:r>
          </w:p>
        </w:tc>
        <w:tc>
          <w:tcPr>
            <w:tcW w:w="1475" w:type="dxa"/>
            <w:noWrap/>
            <w:vAlign w:val="bottom"/>
          </w:tcPr>
          <w:p w14:paraId="38FC039F"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3628502</w:t>
            </w:r>
          </w:p>
        </w:tc>
        <w:tc>
          <w:tcPr>
            <w:tcW w:w="1153" w:type="dxa"/>
            <w:noWrap/>
            <w:vAlign w:val="bottom"/>
          </w:tcPr>
          <w:p w14:paraId="3723AA60"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4550186</w:t>
            </w:r>
          </w:p>
        </w:tc>
      </w:tr>
      <w:tr w:rsidR="0034734A" w:rsidRPr="008C0556" w14:paraId="4468388A" w14:textId="77777777" w:rsidTr="001E1399">
        <w:trPr>
          <w:trHeight w:val="276"/>
        </w:trPr>
        <w:tc>
          <w:tcPr>
            <w:tcW w:w="1462" w:type="dxa"/>
            <w:noWrap/>
            <w:vAlign w:val="bottom"/>
            <w:hideMark/>
          </w:tcPr>
          <w:p w14:paraId="75B0D60E" w14:textId="750BD80B" w:rsidR="0034734A" w:rsidRPr="008C0556" w:rsidRDefault="00C160C2" w:rsidP="003B7725">
            <w:pPr>
              <w:jc w:val="left"/>
              <w:rPr>
                <w:rFonts w:asciiTheme="majorHAnsi" w:eastAsia="Times New Roman" w:hAnsiTheme="majorHAnsi" w:cstheme="majorHAnsi"/>
                <w:color w:val="000000"/>
                <w:sz w:val="22"/>
                <w:lang w:eastAsia="ko-KR"/>
              </w:rPr>
            </w:pPr>
            <w:r w:rsidRPr="008C0556">
              <w:rPr>
                <w:rFonts w:asciiTheme="majorHAnsi" w:eastAsia="Times New Roman" w:hAnsiTheme="majorHAnsi" w:cstheme="majorHAnsi"/>
                <w:color w:val="000000"/>
                <w:sz w:val="22"/>
                <w:lang w:eastAsia="ko-KR"/>
              </w:rPr>
              <w:t>total</w:t>
            </w:r>
          </w:p>
        </w:tc>
        <w:tc>
          <w:tcPr>
            <w:tcW w:w="1940" w:type="dxa"/>
            <w:noWrap/>
            <w:vAlign w:val="bottom"/>
          </w:tcPr>
          <w:p w14:paraId="48FE3339"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3938776</w:t>
            </w:r>
          </w:p>
        </w:tc>
        <w:tc>
          <w:tcPr>
            <w:tcW w:w="1657" w:type="dxa"/>
            <w:noWrap/>
            <w:vAlign w:val="bottom"/>
          </w:tcPr>
          <w:p w14:paraId="5AFFE015"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164935.2</w:t>
            </w:r>
          </w:p>
        </w:tc>
        <w:tc>
          <w:tcPr>
            <w:tcW w:w="1244" w:type="dxa"/>
            <w:noWrap/>
            <w:vAlign w:val="bottom"/>
          </w:tcPr>
          <w:p w14:paraId="25445F52"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1632775</w:t>
            </w:r>
          </w:p>
        </w:tc>
        <w:tc>
          <w:tcPr>
            <w:tcW w:w="1475" w:type="dxa"/>
            <w:noWrap/>
            <w:vAlign w:val="bottom"/>
          </w:tcPr>
          <w:p w14:paraId="4B099086"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3611425</w:t>
            </w:r>
          </w:p>
        </w:tc>
        <w:tc>
          <w:tcPr>
            <w:tcW w:w="1153" w:type="dxa"/>
            <w:noWrap/>
            <w:vAlign w:val="bottom"/>
          </w:tcPr>
          <w:p w14:paraId="48FA4650"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4266126</w:t>
            </w:r>
          </w:p>
        </w:tc>
      </w:tr>
      <w:tr w:rsidR="0034734A" w:rsidRPr="008C0556" w14:paraId="272FE510" w14:textId="77777777" w:rsidTr="001E1399">
        <w:trPr>
          <w:trHeight w:val="276"/>
        </w:trPr>
        <w:tc>
          <w:tcPr>
            <w:tcW w:w="1462" w:type="dxa"/>
            <w:noWrap/>
            <w:vAlign w:val="bottom"/>
            <w:hideMark/>
          </w:tcPr>
          <w:p w14:paraId="6D4DD8ED" w14:textId="6176FD9D" w:rsidR="0034734A" w:rsidRPr="008C0556" w:rsidRDefault="00C160C2" w:rsidP="003B7725">
            <w:pPr>
              <w:jc w:val="left"/>
              <w:rPr>
                <w:rFonts w:asciiTheme="majorHAnsi" w:eastAsia="Times New Roman" w:hAnsiTheme="majorHAnsi" w:cstheme="majorHAnsi"/>
                <w:color w:val="000000"/>
                <w:sz w:val="22"/>
                <w:lang w:eastAsia="ko-KR"/>
              </w:rPr>
            </w:pPr>
            <w:r w:rsidRPr="008C0556">
              <w:rPr>
                <w:rFonts w:asciiTheme="majorHAnsi" w:eastAsia="Times New Roman" w:hAnsiTheme="majorHAnsi" w:cstheme="majorHAnsi"/>
                <w:color w:val="000000"/>
                <w:sz w:val="22"/>
                <w:lang w:eastAsia="ko-KR"/>
              </w:rPr>
              <w:t>Difference</w:t>
            </w:r>
          </w:p>
        </w:tc>
        <w:tc>
          <w:tcPr>
            <w:tcW w:w="1940" w:type="dxa"/>
            <w:noWrap/>
            <w:vAlign w:val="bottom"/>
          </w:tcPr>
          <w:p w14:paraId="20405AA8"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-398804</w:t>
            </w:r>
          </w:p>
        </w:tc>
        <w:tc>
          <w:tcPr>
            <w:tcW w:w="1657" w:type="dxa"/>
            <w:noWrap/>
            <w:vAlign w:val="bottom"/>
          </w:tcPr>
          <w:p w14:paraId="5FE2B067"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339567.5</w:t>
            </w:r>
          </w:p>
        </w:tc>
        <w:tc>
          <w:tcPr>
            <w:tcW w:w="1244" w:type="dxa"/>
            <w:noWrap/>
            <w:vAlign w:val="bottom"/>
          </w:tcPr>
          <w:p w14:paraId="1696434D" w14:textId="77777777" w:rsidR="0034734A" w:rsidRPr="008C0556" w:rsidRDefault="0034734A" w:rsidP="003B7725">
            <w:pPr>
              <w:rPr>
                <w:rFonts w:asciiTheme="majorHAnsi" w:hAnsiTheme="majorHAnsi" w:cstheme="majorHAnsi"/>
                <w:color w:val="000000"/>
                <w:sz w:val="22"/>
              </w:rPr>
            </w:pPr>
          </w:p>
        </w:tc>
        <w:tc>
          <w:tcPr>
            <w:tcW w:w="1475" w:type="dxa"/>
            <w:noWrap/>
            <w:vAlign w:val="bottom"/>
          </w:tcPr>
          <w:p w14:paraId="1DA09952"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-1072840</w:t>
            </w:r>
          </w:p>
        </w:tc>
        <w:tc>
          <w:tcPr>
            <w:tcW w:w="1153" w:type="dxa"/>
            <w:noWrap/>
            <w:vAlign w:val="bottom"/>
          </w:tcPr>
          <w:p w14:paraId="3526A90B"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275233</w:t>
            </w:r>
          </w:p>
        </w:tc>
      </w:tr>
      <w:tr w:rsidR="00EF7BFD" w:rsidRPr="008C0556" w14:paraId="332AD464" w14:textId="77777777" w:rsidTr="001E1399">
        <w:trPr>
          <w:trHeight w:val="276"/>
        </w:trPr>
        <w:tc>
          <w:tcPr>
            <w:tcW w:w="8931" w:type="dxa"/>
            <w:gridSpan w:val="6"/>
            <w:noWrap/>
            <w:vAlign w:val="bottom"/>
          </w:tcPr>
          <w:p w14:paraId="73735706" w14:textId="77777777" w:rsidR="00EF7BFD" w:rsidRPr="008C0556" w:rsidRDefault="00EF7BFD" w:rsidP="003B7725">
            <w:pPr>
              <w:jc w:val="left"/>
              <w:rPr>
                <w:rFonts w:asciiTheme="majorHAnsi" w:eastAsia="Times New Roman" w:hAnsiTheme="majorHAnsi" w:cstheme="majorHAnsi"/>
                <w:color w:val="000000"/>
                <w:sz w:val="22"/>
                <w:lang w:eastAsia="ko-KR"/>
              </w:rPr>
            </w:pPr>
            <w:r w:rsidRPr="008C0556">
              <w:rPr>
                <w:rFonts w:asciiTheme="majorHAnsi" w:eastAsia="Times New Roman" w:hAnsiTheme="majorHAnsi" w:cstheme="majorHAnsi"/>
                <w:color w:val="000000"/>
                <w:sz w:val="22"/>
                <w:lang w:val="vi-VN" w:eastAsia="ko-KR"/>
              </w:rPr>
              <w:t xml:space="preserve">t =  </w:t>
            </w:r>
            <w:r w:rsidRPr="008C0556">
              <w:rPr>
                <w:rFonts w:asciiTheme="majorHAnsi" w:eastAsia="Times New Roman" w:hAnsiTheme="majorHAnsi" w:cstheme="majorHAnsi"/>
                <w:color w:val="000000"/>
                <w:sz w:val="22"/>
                <w:lang w:eastAsia="ko-KR"/>
              </w:rPr>
              <w:t>- 1,17</w:t>
            </w:r>
          </w:p>
          <w:p w14:paraId="2ADE7492" w14:textId="2A69EFCA" w:rsidR="00EF7BFD" w:rsidRPr="008C0556" w:rsidRDefault="00EF7BFD" w:rsidP="003B7725">
            <w:pPr>
              <w:jc w:val="left"/>
              <w:rPr>
                <w:rFonts w:asciiTheme="majorHAnsi" w:eastAsia="Times New Roman" w:hAnsiTheme="majorHAnsi" w:cstheme="majorHAnsi"/>
                <w:color w:val="000000"/>
                <w:sz w:val="22"/>
                <w:lang w:eastAsia="ko-KR"/>
              </w:rPr>
            </w:pPr>
            <w:r w:rsidRPr="008C0556">
              <w:rPr>
                <w:rFonts w:asciiTheme="majorHAnsi" w:eastAsia="Times New Roman" w:hAnsiTheme="majorHAnsi" w:cstheme="majorHAnsi"/>
                <w:color w:val="000000"/>
                <w:sz w:val="22"/>
                <w:lang w:val="vi-VN" w:eastAsia="ko-KR"/>
              </w:rPr>
              <w:t xml:space="preserve">Ho: diff = 0                                     </w:t>
            </w:r>
          </w:p>
        </w:tc>
      </w:tr>
    </w:tbl>
    <w:p w14:paraId="0966BFD8" w14:textId="38A68A0A" w:rsidR="00EF7BFD" w:rsidRPr="008C0556" w:rsidRDefault="00332E0D" w:rsidP="00EF7BFD">
      <w:pPr>
        <w:rPr>
          <w:rFonts w:asciiTheme="majorHAnsi" w:hAnsiTheme="majorHAnsi" w:cstheme="majorHAnsi"/>
          <w:sz w:val="20"/>
          <w:szCs w:val="20"/>
          <w:lang w:val="de-DE"/>
        </w:rPr>
      </w:pPr>
      <w:r w:rsidRPr="008C0556">
        <w:rPr>
          <w:rFonts w:asciiTheme="majorHAnsi" w:hAnsiTheme="majorHAnsi" w:cstheme="majorHAnsi"/>
          <w:sz w:val="20"/>
          <w:szCs w:val="20"/>
          <w:lang w:val="de-DE"/>
        </w:rPr>
        <w:t>Note: Std. Dev. refers to the standard deviation. ***, **, and * indicate statistical significance at the 1%, 5%, and 10% levels, respectively.</w:t>
      </w:r>
    </w:p>
    <w:p w14:paraId="45DA819B" w14:textId="77777777" w:rsidR="00EF7BFD" w:rsidRPr="008C0556" w:rsidRDefault="00EF7BFD" w:rsidP="00EF7BFD">
      <w:pPr>
        <w:rPr>
          <w:rFonts w:asciiTheme="majorHAnsi" w:hAnsiTheme="majorHAnsi" w:cstheme="majorHAnsi"/>
          <w:b/>
          <w:lang w:val="de-DE"/>
        </w:rPr>
      </w:pPr>
    </w:p>
    <w:p w14:paraId="55E954EA" w14:textId="77777777" w:rsidR="00332E0D" w:rsidRPr="008C0556" w:rsidRDefault="00332E0D" w:rsidP="003E57BB">
      <w:pPr>
        <w:spacing w:before="120" w:after="120" w:line="288" w:lineRule="auto"/>
        <w:rPr>
          <w:rFonts w:asciiTheme="majorHAnsi" w:hAnsiTheme="majorHAnsi" w:cstheme="majorHAnsi"/>
          <w:szCs w:val="28"/>
          <w:lang w:val="de-DE"/>
        </w:rPr>
      </w:pPr>
      <w:r w:rsidRPr="008C0556">
        <w:rPr>
          <w:rFonts w:asciiTheme="majorHAnsi" w:hAnsiTheme="majorHAnsi" w:cstheme="majorHAnsi"/>
          <w:szCs w:val="28"/>
          <w:lang w:val="de-DE"/>
        </w:rPr>
        <w:t>To examine whether the difference in average income between the two ethnic groups is statistically significant, Table 2 presents the results of a t-test comparing the Hmong and Tay groups. The results indicate that there is no significant difference in the average income of respondents from the two groups, with a relatively low t-value of 1.17. Therefore, it can be concluded that, although the Tay group has a higher income than the Hmong group, the mean income difference between the two groups is not statistically significant.</w:t>
      </w:r>
    </w:p>
    <w:p w14:paraId="7E038FEB" w14:textId="3C42273B" w:rsidR="00332E0D" w:rsidRPr="008C0556" w:rsidRDefault="002E0792" w:rsidP="003E57BB">
      <w:pPr>
        <w:spacing w:before="120" w:after="120" w:line="288" w:lineRule="auto"/>
        <w:rPr>
          <w:rFonts w:asciiTheme="majorHAnsi" w:hAnsiTheme="majorHAnsi" w:cstheme="majorHAnsi"/>
          <w:szCs w:val="28"/>
          <w:lang w:val="de-DE"/>
        </w:rPr>
      </w:pPr>
      <w:r w:rsidRPr="008C0556">
        <w:rPr>
          <w:rFonts w:asciiTheme="majorHAnsi" w:hAnsiTheme="majorHAnsi" w:cstheme="majorHAnsi"/>
          <w:szCs w:val="28"/>
          <w:lang w:val="de-DE"/>
        </w:rPr>
        <w:t>Regarding wages, when respondents were asked whether they were satisfied with their income relative to the effort they put in, both ethnic groups reported a relatively high level of satisfaction. Specifically, 61% of the Tay group and 64% of the Hmong group indicated that they were satisfied. Similarly, 29% of the Tay group and 33% of the Hmong group reported being dissatisfied with their current monthly income. Interestingly, the proportion of respondents who reported being very satisfied with their current income was slightly higher among the Tay group (0.8%) compared to the Hmong group (0.3%), as shown in Figure 1. This can be explained by the fact that, as indicated in Table 2, the Tay group has a higher average income, surpassing that of the Hmong group.</w:t>
      </w:r>
    </w:p>
    <w:p w14:paraId="47A58698" w14:textId="77777777" w:rsidR="00EF7BFD" w:rsidRPr="008C0556" w:rsidRDefault="00EF7BFD" w:rsidP="00EF7BFD">
      <w:pPr>
        <w:widowControl w:val="0"/>
        <w:rPr>
          <w:rFonts w:asciiTheme="majorHAnsi" w:hAnsiTheme="majorHAnsi" w:cstheme="majorHAnsi"/>
          <w:sz w:val="26"/>
          <w:szCs w:val="26"/>
          <w:lang w:val="de-DE"/>
        </w:rPr>
      </w:pPr>
    </w:p>
    <w:p w14:paraId="729B4F6D" w14:textId="0F41C820" w:rsidR="00CD0CA7" w:rsidRPr="008C0556" w:rsidRDefault="00CD0CA7" w:rsidP="00EF7BFD">
      <w:pPr>
        <w:widowControl w:val="0"/>
        <w:rPr>
          <w:rFonts w:asciiTheme="majorHAnsi" w:hAnsiTheme="majorHAnsi" w:cstheme="majorHAnsi"/>
          <w:sz w:val="26"/>
          <w:szCs w:val="26"/>
          <w:lang w:val="de-DE"/>
        </w:rPr>
      </w:pPr>
      <w:r w:rsidRPr="008C0556">
        <w:rPr>
          <w:rFonts w:asciiTheme="majorHAnsi" w:hAnsiTheme="majorHAnsi" w:cstheme="majorHAnsi"/>
          <w:noProof/>
          <w:bdr w:val="dashed" w:sz="4" w:space="0" w:color="auto"/>
        </w:rPr>
        <w:lastRenderedPageBreak/>
        <w:drawing>
          <wp:inline distT="0" distB="0" distL="0" distR="0" wp14:anchorId="5139E1F3" wp14:editId="36F29C3A">
            <wp:extent cx="5678170" cy="2611710"/>
            <wp:effectExtent l="0" t="0" r="17780" b="17780"/>
            <wp:docPr id="3" name="Chart 3">
              <a:extLst xmlns:a="http://schemas.openxmlformats.org/drawingml/2006/main">
                <a:ext uri="{FF2B5EF4-FFF2-40B4-BE49-F238E27FC236}">
                  <a16:creationId xmlns:a16="http://schemas.microsoft.com/office/drawing/2014/main" id="{D4C2D5DE-BCDF-9143-91FC-93C2454A85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0164860" w14:textId="69A72A06" w:rsidR="00DC2794" w:rsidRPr="008C0556" w:rsidRDefault="00DC2794" w:rsidP="00DC2794">
      <w:pPr>
        <w:widowControl w:val="0"/>
        <w:jc w:val="center"/>
        <w:rPr>
          <w:rFonts w:asciiTheme="majorHAnsi" w:hAnsiTheme="majorHAnsi" w:cstheme="majorHAnsi"/>
          <w:sz w:val="26"/>
          <w:szCs w:val="26"/>
          <w:lang w:val="de-DE"/>
        </w:rPr>
      </w:pPr>
      <w:r w:rsidRPr="008C0556">
        <w:rPr>
          <w:rFonts w:asciiTheme="majorHAnsi" w:hAnsiTheme="majorHAnsi" w:cstheme="majorHAnsi"/>
          <w:sz w:val="26"/>
          <w:szCs w:val="26"/>
          <w:lang w:val="de-DE"/>
        </w:rPr>
        <w:t>Figure 1. Comparison of satisfaction with income between the two ethnic groups</w:t>
      </w:r>
    </w:p>
    <w:p w14:paraId="307A1C3C" w14:textId="14F68342" w:rsidR="00EF7BFD" w:rsidRPr="008C0556" w:rsidRDefault="00CD0CA7" w:rsidP="00EF7BFD">
      <w:pPr>
        <w:widowControl w:val="0"/>
        <w:rPr>
          <w:rFonts w:asciiTheme="majorHAnsi" w:hAnsiTheme="majorHAnsi" w:cstheme="majorHAnsi"/>
          <w:sz w:val="26"/>
          <w:szCs w:val="26"/>
          <w:lang w:val="de-DE"/>
        </w:rPr>
      </w:pPr>
      <w:r w:rsidRPr="008C0556">
        <w:rPr>
          <w:rFonts w:asciiTheme="majorHAnsi" w:hAnsiTheme="majorHAnsi" w:cstheme="majorHAnsi"/>
          <w:sz w:val="26"/>
          <w:szCs w:val="26"/>
          <w:lang w:val="de-DE"/>
        </w:rPr>
        <w:t>Source: Calculation from author.</w:t>
      </w:r>
    </w:p>
    <w:p w14:paraId="5799EDFB" w14:textId="77777777" w:rsidR="00EF7BFD" w:rsidRPr="008C0556" w:rsidRDefault="00EF7BFD" w:rsidP="00EF7BFD">
      <w:pPr>
        <w:widowControl w:val="0"/>
        <w:rPr>
          <w:rFonts w:asciiTheme="majorHAnsi" w:hAnsiTheme="majorHAnsi" w:cstheme="majorHAnsi"/>
          <w:sz w:val="26"/>
          <w:szCs w:val="26"/>
          <w:lang w:val="de-DE"/>
        </w:rPr>
      </w:pPr>
    </w:p>
    <w:bookmarkEnd w:id="0"/>
    <w:bookmarkEnd w:id="1"/>
    <w:p w14:paraId="3A903474" w14:textId="5C764146" w:rsidR="00EF7BFD" w:rsidRPr="003E57BB" w:rsidRDefault="00DC2794"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With this level of monthly income, the aim of the study was to examine whether respondents’ earnings were sufficient to cover and meet their household expenses. Respondents were asked to what extent their salary and other payments from their current main job could meet the normal needs of their family, including food, children’s education, healthcare, and so on. There were four response options: “Fully meets needs and allows for savings,” “Fully meets needs without any difficulty,” “Does not meet needs and causes some difficulties,” and “Does not meet needs and causes many difficulties.” The majority of respondents felt that their current income was just sufficient, with 55.73% selecting this option across both ethnic groups. However, as many as 31.73% and 2.88% of respondents reported that their income did not meet their needs and caused difficulties in everyday family life, while only 8.65% believed that their income met their needs and allowed for savings</w:t>
      </w:r>
      <w:r w:rsidR="001F0685" w:rsidRPr="003E57BB">
        <w:rPr>
          <w:rFonts w:asciiTheme="majorHAnsi" w:hAnsiTheme="majorHAnsi" w:cstheme="majorHAnsi"/>
          <w:szCs w:val="28"/>
          <w:lang w:val="de-DE"/>
        </w:rPr>
        <w:t xml:space="preserve">, </w:t>
      </w:r>
      <w:r w:rsidRPr="003E57BB">
        <w:rPr>
          <w:rFonts w:asciiTheme="majorHAnsi" w:hAnsiTheme="majorHAnsi" w:cstheme="majorHAnsi"/>
          <w:szCs w:val="28"/>
          <w:lang w:val="de-DE"/>
        </w:rPr>
        <w:t>see Table 3.</w:t>
      </w:r>
    </w:p>
    <w:p w14:paraId="71256267" w14:textId="423CF71D" w:rsidR="00DC2794" w:rsidRPr="008C0556" w:rsidRDefault="00DC2794" w:rsidP="00EF7BFD">
      <w:pPr>
        <w:widowControl w:val="0"/>
        <w:rPr>
          <w:rFonts w:asciiTheme="majorHAnsi" w:hAnsiTheme="majorHAnsi" w:cstheme="majorHAnsi"/>
          <w:sz w:val="26"/>
          <w:szCs w:val="26"/>
          <w:lang w:val="de-DE"/>
        </w:rPr>
      </w:pPr>
    </w:p>
    <w:p w14:paraId="49391B2F" w14:textId="7FE68D88" w:rsidR="00EF7BFD" w:rsidRPr="008C0556" w:rsidRDefault="00DC2794" w:rsidP="00EF7BFD">
      <w:pPr>
        <w:rPr>
          <w:rFonts w:asciiTheme="majorHAnsi" w:hAnsiTheme="majorHAnsi" w:cstheme="majorHAnsi"/>
          <w:b/>
          <w:sz w:val="26"/>
          <w:szCs w:val="26"/>
          <w:lang w:val="de-DE"/>
        </w:rPr>
      </w:pPr>
      <w:r w:rsidRPr="008C0556">
        <w:rPr>
          <w:rFonts w:asciiTheme="majorHAnsi" w:hAnsiTheme="majorHAnsi" w:cstheme="majorHAnsi"/>
          <w:b/>
          <w:sz w:val="26"/>
          <w:szCs w:val="26"/>
          <w:lang w:val="de-DE"/>
        </w:rPr>
        <w:t>Table 3. Percentage of Income Meeting Household Needs</w:t>
      </w:r>
    </w:p>
    <w:tbl>
      <w:tblPr>
        <w:tblW w:w="9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6"/>
        <w:gridCol w:w="1615"/>
        <w:gridCol w:w="1418"/>
      </w:tblGrid>
      <w:tr w:rsidR="00DC2794" w:rsidRPr="008C0556" w14:paraId="407F9000" w14:textId="77777777" w:rsidTr="00CB751E">
        <w:trPr>
          <w:trHeight w:val="276"/>
        </w:trPr>
        <w:tc>
          <w:tcPr>
            <w:tcW w:w="6026" w:type="dxa"/>
            <w:noWrap/>
            <w:vAlign w:val="center"/>
            <w:hideMark/>
          </w:tcPr>
          <w:p w14:paraId="2ED4BA22" w14:textId="727DCEDE" w:rsidR="00DC2794" w:rsidRPr="008C0556" w:rsidRDefault="00DC2794" w:rsidP="00DC2794">
            <w:pPr>
              <w:spacing w:line="276" w:lineRule="auto"/>
              <w:rPr>
                <w:rFonts w:asciiTheme="majorHAnsi" w:eastAsia="Times New Roman" w:hAnsiTheme="majorHAnsi" w:cstheme="majorHAnsi"/>
                <w:b/>
                <w:color w:val="000000"/>
                <w:sz w:val="22"/>
                <w:lang w:val="de-DE"/>
              </w:rPr>
            </w:pPr>
            <w:r w:rsidRPr="008C0556">
              <w:rPr>
                <w:rFonts w:asciiTheme="majorHAnsi" w:hAnsiTheme="majorHAnsi" w:cstheme="majorHAnsi"/>
                <w:b/>
                <w:bCs/>
                <w:color w:val="000000"/>
                <w:sz w:val="22"/>
              </w:rPr>
              <w:t>Main Criteria</w:t>
            </w:r>
          </w:p>
        </w:tc>
        <w:tc>
          <w:tcPr>
            <w:tcW w:w="1615" w:type="dxa"/>
            <w:noWrap/>
            <w:vAlign w:val="center"/>
            <w:hideMark/>
          </w:tcPr>
          <w:p w14:paraId="31F57EF2" w14:textId="4D1F9AEA" w:rsidR="00DC2794" w:rsidRPr="008C0556" w:rsidRDefault="00DC2794" w:rsidP="00DC2794">
            <w:pPr>
              <w:spacing w:line="276" w:lineRule="auto"/>
              <w:rPr>
                <w:rFonts w:asciiTheme="majorHAnsi" w:eastAsia="Times New Roman" w:hAnsiTheme="majorHAnsi" w:cstheme="majorHAnsi"/>
                <w:b/>
                <w:color w:val="000000"/>
                <w:sz w:val="22"/>
              </w:rPr>
            </w:pPr>
            <w:r w:rsidRPr="008C0556">
              <w:rPr>
                <w:rFonts w:asciiTheme="majorHAnsi" w:hAnsiTheme="majorHAnsi" w:cstheme="majorHAnsi"/>
                <w:b/>
                <w:bCs/>
                <w:color w:val="000000"/>
                <w:sz w:val="22"/>
              </w:rPr>
              <w:t>%</w:t>
            </w:r>
          </w:p>
        </w:tc>
        <w:tc>
          <w:tcPr>
            <w:tcW w:w="1418" w:type="dxa"/>
            <w:noWrap/>
            <w:vAlign w:val="center"/>
            <w:hideMark/>
          </w:tcPr>
          <w:p w14:paraId="3213E687" w14:textId="5F0FF6CE" w:rsidR="00DC2794" w:rsidRPr="008C0556" w:rsidRDefault="00DC2794" w:rsidP="00DC2794">
            <w:pPr>
              <w:spacing w:line="276" w:lineRule="auto"/>
              <w:rPr>
                <w:rFonts w:asciiTheme="majorHAnsi" w:eastAsia="Times New Roman" w:hAnsiTheme="majorHAnsi" w:cstheme="majorHAnsi"/>
                <w:b/>
                <w:color w:val="000000"/>
                <w:sz w:val="22"/>
              </w:rPr>
            </w:pPr>
            <w:r w:rsidRPr="008C0556">
              <w:rPr>
                <w:rFonts w:asciiTheme="majorHAnsi" w:hAnsiTheme="majorHAnsi" w:cstheme="majorHAnsi"/>
                <w:b/>
                <w:bCs/>
                <w:color w:val="000000"/>
                <w:sz w:val="22"/>
              </w:rPr>
              <w:t>Cumulative %</w:t>
            </w:r>
          </w:p>
        </w:tc>
      </w:tr>
      <w:tr w:rsidR="00DC2794" w:rsidRPr="008C0556" w14:paraId="1A001618" w14:textId="77777777" w:rsidTr="00CB751E">
        <w:trPr>
          <w:trHeight w:val="276"/>
        </w:trPr>
        <w:tc>
          <w:tcPr>
            <w:tcW w:w="6026" w:type="dxa"/>
            <w:noWrap/>
            <w:vAlign w:val="center"/>
            <w:hideMark/>
          </w:tcPr>
          <w:p w14:paraId="78C42A5C" w14:textId="7266E400" w:rsidR="00DC2794" w:rsidRPr="008C0556" w:rsidRDefault="00DC2794" w:rsidP="00DC2794">
            <w:pPr>
              <w:spacing w:line="276" w:lineRule="auto"/>
              <w:rPr>
                <w:rFonts w:asciiTheme="majorHAnsi" w:eastAsia="Times New Roman" w:hAnsiTheme="majorHAnsi" w:cstheme="majorHAnsi"/>
                <w:color w:val="000000"/>
                <w:sz w:val="22"/>
                <w:lang w:val="de-DE"/>
              </w:rPr>
            </w:pPr>
            <w:r w:rsidRPr="008C0556">
              <w:rPr>
                <w:rFonts w:asciiTheme="majorHAnsi" w:hAnsiTheme="majorHAnsi" w:cstheme="majorHAnsi"/>
                <w:color w:val="000000"/>
                <w:sz w:val="22"/>
              </w:rPr>
              <w:t>Fully meets needs and allows for savings</w:t>
            </w:r>
          </w:p>
        </w:tc>
        <w:tc>
          <w:tcPr>
            <w:tcW w:w="1615" w:type="dxa"/>
            <w:noWrap/>
            <w:vAlign w:val="center"/>
            <w:hideMark/>
          </w:tcPr>
          <w:p w14:paraId="189A0DE0" w14:textId="422CD4AB"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8.65</w:t>
            </w:r>
          </w:p>
        </w:tc>
        <w:tc>
          <w:tcPr>
            <w:tcW w:w="1418" w:type="dxa"/>
            <w:noWrap/>
            <w:vAlign w:val="center"/>
            <w:hideMark/>
          </w:tcPr>
          <w:p w14:paraId="691306FD" w14:textId="64C47B79"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8.65</w:t>
            </w:r>
          </w:p>
        </w:tc>
      </w:tr>
      <w:tr w:rsidR="00DC2794" w:rsidRPr="008C0556" w14:paraId="7B44F268" w14:textId="77777777" w:rsidTr="00CB751E">
        <w:trPr>
          <w:trHeight w:val="276"/>
        </w:trPr>
        <w:tc>
          <w:tcPr>
            <w:tcW w:w="6026" w:type="dxa"/>
            <w:noWrap/>
            <w:vAlign w:val="center"/>
            <w:hideMark/>
          </w:tcPr>
          <w:p w14:paraId="105C45B4" w14:textId="032F09DA" w:rsidR="00DC2794" w:rsidRPr="008C0556" w:rsidRDefault="00DC2794" w:rsidP="00DC2794">
            <w:pPr>
              <w:spacing w:line="276" w:lineRule="auto"/>
              <w:rPr>
                <w:rFonts w:asciiTheme="majorHAnsi" w:eastAsia="Times New Roman" w:hAnsiTheme="majorHAnsi" w:cstheme="majorHAnsi"/>
                <w:color w:val="000000"/>
                <w:sz w:val="22"/>
              </w:rPr>
            </w:pPr>
            <w:r w:rsidRPr="008C0556">
              <w:rPr>
                <w:rFonts w:asciiTheme="majorHAnsi" w:hAnsiTheme="majorHAnsi" w:cstheme="majorHAnsi"/>
                <w:color w:val="000000"/>
                <w:sz w:val="22"/>
              </w:rPr>
              <w:t>Meets needs just sufficiently</w:t>
            </w:r>
          </w:p>
        </w:tc>
        <w:tc>
          <w:tcPr>
            <w:tcW w:w="1615" w:type="dxa"/>
            <w:noWrap/>
            <w:vAlign w:val="center"/>
            <w:hideMark/>
          </w:tcPr>
          <w:p w14:paraId="3EEAB999" w14:textId="25EC9D63"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56.73</w:t>
            </w:r>
          </w:p>
        </w:tc>
        <w:tc>
          <w:tcPr>
            <w:tcW w:w="1418" w:type="dxa"/>
            <w:noWrap/>
            <w:vAlign w:val="center"/>
            <w:hideMark/>
          </w:tcPr>
          <w:p w14:paraId="4DDEE6B1" w14:textId="2677CFF4"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65.38</w:t>
            </w:r>
          </w:p>
        </w:tc>
      </w:tr>
      <w:tr w:rsidR="00DC2794" w:rsidRPr="008C0556" w14:paraId="1E01942A" w14:textId="77777777" w:rsidTr="00CB751E">
        <w:trPr>
          <w:trHeight w:val="276"/>
        </w:trPr>
        <w:tc>
          <w:tcPr>
            <w:tcW w:w="6026" w:type="dxa"/>
            <w:noWrap/>
            <w:vAlign w:val="center"/>
            <w:hideMark/>
          </w:tcPr>
          <w:p w14:paraId="1F148561" w14:textId="69464547" w:rsidR="00DC2794" w:rsidRPr="008C0556" w:rsidRDefault="00DC2794" w:rsidP="00DC2794">
            <w:pPr>
              <w:spacing w:line="276" w:lineRule="auto"/>
              <w:rPr>
                <w:rFonts w:asciiTheme="majorHAnsi" w:eastAsia="Times New Roman" w:hAnsiTheme="majorHAnsi" w:cstheme="majorHAnsi"/>
                <w:color w:val="000000"/>
                <w:sz w:val="22"/>
                <w:lang w:val="vi-VN"/>
              </w:rPr>
            </w:pPr>
            <w:r w:rsidRPr="008C0556">
              <w:rPr>
                <w:rFonts w:asciiTheme="majorHAnsi" w:hAnsiTheme="majorHAnsi" w:cstheme="majorHAnsi"/>
                <w:color w:val="000000"/>
                <w:sz w:val="22"/>
              </w:rPr>
              <w:t>Does not meet needs, causes difficulties</w:t>
            </w:r>
          </w:p>
        </w:tc>
        <w:tc>
          <w:tcPr>
            <w:tcW w:w="1615" w:type="dxa"/>
            <w:noWrap/>
            <w:vAlign w:val="center"/>
            <w:hideMark/>
          </w:tcPr>
          <w:p w14:paraId="714DAEFB" w14:textId="792C8B66"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31.73</w:t>
            </w:r>
          </w:p>
        </w:tc>
        <w:tc>
          <w:tcPr>
            <w:tcW w:w="1418" w:type="dxa"/>
            <w:noWrap/>
            <w:vAlign w:val="center"/>
            <w:hideMark/>
          </w:tcPr>
          <w:p w14:paraId="4C3EBDBB" w14:textId="64272E00"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97.12</w:t>
            </w:r>
          </w:p>
        </w:tc>
      </w:tr>
      <w:tr w:rsidR="00DC2794" w:rsidRPr="008C0556" w14:paraId="38DC826F" w14:textId="77777777" w:rsidTr="00CB751E">
        <w:trPr>
          <w:trHeight w:val="276"/>
        </w:trPr>
        <w:tc>
          <w:tcPr>
            <w:tcW w:w="6026" w:type="dxa"/>
            <w:noWrap/>
            <w:vAlign w:val="center"/>
            <w:hideMark/>
          </w:tcPr>
          <w:p w14:paraId="3D9DD1F2" w14:textId="38B89D6D" w:rsidR="00DC2794" w:rsidRPr="008C0556" w:rsidRDefault="00DC2794" w:rsidP="00DC2794">
            <w:pPr>
              <w:spacing w:line="276" w:lineRule="auto"/>
              <w:rPr>
                <w:rFonts w:asciiTheme="majorHAnsi" w:eastAsia="Times New Roman" w:hAnsiTheme="majorHAnsi" w:cstheme="majorHAnsi"/>
                <w:color w:val="000000"/>
                <w:sz w:val="22"/>
                <w:lang w:val="vi-VN"/>
              </w:rPr>
            </w:pPr>
            <w:r w:rsidRPr="008C0556">
              <w:rPr>
                <w:rFonts w:asciiTheme="majorHAnsi" w:hAnsiTheme="majorHAnsi" w:cstheme="majorHAnsi"/>
                <w:color w:val="000000"/>
                <w:sz w:val="22"/>
              </w:rPr>
              <w:t>Does not meet needs, causes many difficulties</w:t>
            </w:r>
          </w:p>
        </w:tc>
        <w:tc>
          <w:tcPr>
            <w:tcW w:w="1615" w:type="dxa"/>
            <w:noWrap/>
            <w:vAlign w:val="center"/>
            <w:hideMark/>
          </w:tcPr>
          <w:p w14:paraId="6A8BFDB7" w14:textId="3ED371C9"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2.88</w:t>
            </w:r>
          </w:p>
        </w:tc>
        <w:tc>
          <w:tcPr>
            <w:tcW w:w="1418" w:type="dxa"/>
            <w:noWrap/>
            <w:vAlign w:val="center"/>
            <w:hideMark/>
          </w:tcPr>
          <w:p w14:paraId="1791364A" w14:textId="1891B485"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100</w:t>
            </w:r>
          </w:p>
        </w:tc>
      </w:tr>
      <w:tr w:rsidR="00DC2794" w:rsidRPr="008C0556" w14:paraId="166A2A17" w14:textId="77777777" w:rsidTr="00CB751E">
        <w:trPr>
          <w:trHeight w:val="276"/>
        </w:trPr>
        <w:tc>
          <w:tcPr>
            <w:tcW w:w="6026" w:type="dxa"/>
            <w:noWrap/>
            <w:vAlign w:val="center"/>
            <w:hideMark/>
          </w:tcPr>
          <w:p w14:paraId="7E84B616" w14:textId="75DCF26D" w:rsidR="00DC2794" w:rsidRPr="008C0556" w:rsidRDefault="00DC2794" w:rsidP="00DC2794">
            <w:pPr>
              <w:spacing w:line="276" w:lineRule="auto"/>
              <w:rPr>
                <w:rFonts w:asciiTheme="majorHAnsi" w:eastAsia="Times New Roman" w:hAnsiTheme="majorHAnsi" w:cstheme="majorHAnsi"/>
                <w:color w:val="000000"/>
                <w:sz w:val="22"/>
              </w:rPr>
            </w:pPr>
            <w:r w:rsidRPr="008C0556">
              <w:rPr>
                <w:rFonts w:asciiTheme="majorHAnsi" w:hAnsiTheme="majorHAnsi" w:cstheme="majorHAnsi"/>
                <w:b/>
                <w:bCs/>
                <w:color w:val="000000"/>
                <w:sz w:val="22"/>
              </w:rPr>
              <w:t>Total</w:t>
            </w:r>
          </w:p>
        </w:tc>
        <w:tc>
          <w:tcPr>
            <w:tcW w:w="1615" w:type="dxa"/>
            <w:noWrap/>
            <w:vAlign w:val="center"/>
            <w:hideMark/>
          </w:tcPr>
          <w:p w14:paraId="444A5B0F" w14:textId="02AA3A6F"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100</w:t>
            </w:r>
          </w:p>
        </w:tc>
        <w:tc>
          <w:tcPr>
            <w:tcW w:w="1418" w:type="dxa"/>
            <w:noWrap/>
            <w:vAlign w:val="center"/>
            <w:hideMark/>
          </w:tcPr>
          <w:p w14:paraId="73942C08" w14:textId="59021F9F" w:rsidR="00DC2794" w:rsidRPr="008C0556" w:rsidRDefault="00DC2794" w:rsidP="00DC2794">
            <w:pPr>
              <w:spacing w:line="276" w:lineRule="auto"/>
              <w:rPr>
                <w:rFonts w:asciiTheme="majorHAnsi" w:eastAsia="Times New Roman" w:hAnsiTheme="majorHAnsi" w:cstheme="majorHAnsi"/>
                <w:color w:val="000000"/>
                <w:sz w:val="22"/>
              </w:rPr>
            </w:pPr>
            <w:r w:rsidRPr="008C0556">
              <w:rPr>
                <w:rFonts w:asciiTheme="majorHAnsi" w:hAnsiTheme="majorHAnsi" w:cstheme="majorHAnsi"/>
                <w:color w:val="000000"/>
                <w:sz w:val="22"/>
              </w:rPr>
              <w:t>—</w:t>
            </w:r>
          </w:p>
        </w:tc>
      </w:tr>
    </w:tbl>
    <w:p w14:paraId="01DD7F83" w14:textId="77777777" w:rsidR="00EF7BFD" w:rsidRPr="008C0556" w:rsidRDefault="00EF7BFD" w:rsidP="00EF7BFD">
      <w:pPr>
        <w:rPr>
          <w:rFonts w:asciiTheme="majorHAnsi" w:eastAsia="Times New Roman" w:hAnsiTheme="majorHAnsi" w:cstheme="majorHAnsi"/>
          <w:b/>
          <w:color w:val="000000"/>
          <w:sz w:val="22"/>
          <w:lang w:val="de-DE"/>
        </w:rPr>
      </w:pPr>
    </w:p>
    <w:p w14:paraId="29717F2F" w14:textId="20491FA8" w:rsidR="00EF7BFD" w:rsidRPr="008C0556" w:rsidRDefault="00EF7BFD" w:rsidP="00EF7BFD">
      <w:pPr>
        <w:rPr>
          <w:rFonts w:asciiTheme="majorHAnsi" w:eastAsia="Times New Roman" w:hAnsiTheme="majorHAnsi" w:cstheme="majorHAnsi"/>
          <w:b/>
          <w:color w:val="000000"/>
          <w:sz w:val="22"/>
          <w:lang w:val="de-DE"/>
        </w:rPr>
      </w:pPr>
    </w:p>
    <w:p w14:paraId="5E37B5E5" w14:textId="4860E13B" w:rsidR="00CB751E" w:rsidRPr="008C0556" w:rsidRDefault="00CB751E" w:rsidP="00CB751E">
      <w:pPr>
        <w:pStyle w:val="NormalWeb"/>
        <w:spacing w:before="0" w:beforeAutospacing="0" w:after="0" w:afterAutospacing="0"/>
        <w:jc w:val="center"/>
        <w:rPr>
          <w:rStyle w:val="Strong"/>
          <w:rFonts w:asciiTheme="majorHAnsi" w:eastAsia="Calibri" w:hAnsiTheme="majorHAnsi" w:cstheme="majorHAnsi"/>
        </w:rPr>
      </w:pPr>
      <w:r w:rsidRPr="008C0556">
        <w:rPr>
          <w:rFonts w:asciiTheme="majorHAnsi" w:hAnsiTheme="majorHAnsi" w:cstheme="majorHAnsi"/>
          <w:noProof/>
          <w:bdr w:val="dashed" w:sz="4" w:space="0" w:color="auto"/>
        </w:rPr>
        <w:lastRenderedPageBreak/>
        <w:drawing>
          <wp:inline distT="0" distB="0" distL="0" distR="0" wp14:anchorId="47AD5EFD" wp14:editId="479D4263">
            <wp:extent cx="5703304" cy="1886585"/>
            <wp:effectExtent l="0" t="0" r="12065" b="18415"/>
            <wp:docPr id="1" name="Chart 1">
              <a:extLst xmlns:a="http://schemas.openxmlformats.org/drawingml/2006/main">
                <a:ext uri="{FF2B5EF4-FFF2-40B4-BE49-F238E27FC236}">
                  <a16:creationId xmlns:a16="http://schemas.microsoft.com/office/drawing/2014/main" id="{CD8A4835-296E-49A5-8886-20D919E850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97CD81" w14:textId="0D179EE7" w:rsidR="003A0251" w:rsidRPr="008C0556" w:rsidRDefault="003A0251" w:rsidP="00CB751E">
      <w:pPr>
        <w:pStyle w:val="NormalWeb"/>
        <w:spacing w:before="0" w:beforeAutospacing="0" w:after="0" w:afterAutospacing="0"/>
        <w:jc w:val="center"/>
        <w:rPr>
          <w:rFonts w:asciiTheme="majorHAnsi" w:hAnsiTheme="majorHAnsi" w:cstheme="majorHAnsi"/>
          <w:lang w:val="en-ID"/>
        </w:rPr>
      </w:pPr>
      <w:r w:rsidRPr="008C0556">
        <w:rPr>
          <w:rStyle w:val="Strong"/>
          <w:rFonts w:asciiTheme="majorHAnsi" w:eastAsia="Calibri" w:hAnsiTheme="majorHAnsi" w:cstheme="majorHAnsi"/>
        </w:rPr>
        <w:t>Figure 2. Income Sufficiency Levels between Tay and Hmong Ethnic Groups</w:t>
      </w:r>
    </w:p>
    <w:p w14:paraId="74072B24" w14:textId="77777777" w:rsidR="00EF7BFD" w:rsidRPr="008C0556" w:rsidRDefault="00EF7BFD" w:rsidP="00EF7BFD">
      <w:pPr>
        <w:rPr>
          <w:rFonts w:asciiTheme="majorHAnsi" w:eastAsia="Times New Roman" w:hAnsiTheme="majorHAnsi" w:cstheme="majorHAnsi"/>
          <w:b/>
          <w:color w:val="000000"/>
          <w:sz w:val="22"/>
          <w:lang w:val="de-DE"/>
        </w:rPr>
      </w:pPr>
    </w:p>
    <w:p w14:paraId="22978D30" w14:textId="064571A1" w:rsidR="00EF7BFD" w:rsidRPr="003E57BB" w:rsidRDefault="00CB751E" w:rsidP="003E57BB">
      <w:pPr>
        <w:spacing w:before="120" w:after="120" w:line="288" w:lineRule="auto"/>
        <w:rPr>
          <w:rFonts w:asciiTheme="majorHAnsi" w:hAnsiTheme="majorHAnsi" w:cstheme="majorHAnsi"/>
          <w:szCs w:val="28"/>
          <w:lang w:val="de-DE"/>
        </w:rPr>
      </w:pPr>
      <w:r w:rsidRPr="008C0556">
        <w:rPr>
          <w:rFonts w:asciiTheme="majorHAnsi" w:hAnsiTheme="majorHAnsi" w:cstheme="majorHAnsi"/>
          <w:szCs w:val="28"/>
          <w:lang w:val="de-DE"/>
        </w:rPr>
        <w:t>Looking in detail at the choices between sufficient and insufficient monthly income, there is a difference between the two ethnic groups. Among the Tay respondents, as many as 8% reported that their income fully met their needs and allowed for savings. However, around 3% indicated that their current income did not meet the needs of daily life, whereas none of the Hmong respondents selected this option. This suggests that income inequality exists among the Tay community in the area, while it does not appear among the Hmong. Therefore, policies aimed at reducing income disparities within these ethnic groups should be implemented to promote balance and sustainable human development in the region</w:t>
      </w:r>
      <w:r w:rsidR="001F0685" w:rsidRPr="008C0556">
        <w:rPr>
          <w:rFonts w:asciiTheme="majorHAnsi" w:hAnsiTheme="majorHAnsi" w:cstheme="majorHAnsi"/>
          <w:szCs w:val="28"/>
          <w:lang w:val="de-DE"/>
        </w:rPr>
        <w:t>, see Figure 2</w:t>
      </w:r>
      <w:r w:rsidRPr="008C0556">
        <w:rPr>
          <w:rFonts w:asciiTheme="majorHAnsi" w:hAnsiTheme="majorHAnsi" w:cstheme="majorHAnsi"/>
          <w:szCs w:val="28"/>
          <w:lang w:val="de-DE"/>
        </w:rPr>
        <w:t>.</w:t>
      </w:r>
    </w:p>
    <w:p w14:paraId="66D37F60" w14:textId="6C743CBA" w:rsidR="001F0685" w:rsidRPr="008C0556" w:rsidRDefault="001B0E21" w:rsidP="003E57BB">
      <w:pPr>
        <w:spacing w:before="120" w:after="120" w:line="288" w:lineRule="auto"/>
        <w:rPr>
          <w:rFonts w:asciiTheme="majorHAnsi" w:hAnsiTheme="majorHAnsi" w:cstheme="majorHAnsi"/>
          <w:b/>
          <w:bCs/>
          <w:lang w:val="de-DE"/>
        </w:rPr>
      </w:pPr>
      <w:r>
        <w:rPr>
          <w:rFonts w:asciiTheme="majorHAnsi" w:hAnsiTheme="majorHAnsi" w:cstheme="majorHAnsi"/>
          <w:b/>
          <w:bCs/>
          <w:lang w:val="de-DE"/>
        </w:rPr>
        <w:t xml:space="preserve">4. </w:t>
      </w:r>
      <w:r w:rsidR="001F0685" w:rsidRPr="008C0556">
        <w:rPr>
          <w:rFonts w:asciiTheme="majorHAnsi" w:hAnsiTheme="majorHAnsi" w:cstheme="majorHAnsi"/>
          <w:b/>
          <w:bCs/>
          <w:lang w:val="de-DE"/>
        </w:rPr>
        <w:t>RESULTS</w:t>
      </w:r>
    </w:p>
    <w:p w14:paraId="243C1952" w14:textId="0E9EB13E" w:rsidR="001F0685" w:rsidRPr="003E57BB" w:rsidRDefault="001F0685"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This study evaluates the human development status of the Tay and Hmong communities in terms of effectiveness, focusing on income and analyzing survey data collected from residents in V</w:t>
      </w:r>
      <w:r w:rsidR="008C0556" w:rsidRPr="003E57BB">
        <w:rPr>
          <w:rFonts w:asciiTheme="majorHAnsi" w:hAnsiTheme="majorHAnsi" w:cstheme="majorHAnsi"/>
          <w:szCs w:val="28"/>
          <w:lang w:val="de-DE"/>
        </w:rPr>
        <w:t>i</w:t>
      </w:r>
      <w:r w:rsidRPr="003E57BB">
        <w:rPr>
          <w:rFonts w:asciiTheme="majorHAnsi" w:hAnsiTheme="majorHAnsi" w:cstheme="majorHAnsi"/>
          <w:szCs w:val="28"/>
          <w:lang w:val="de-DE"/>
        </w:rPr>
        <w:t xml:space="preserve"> Xuy</w:t>
      </w:r>
      <w:r w:rsidR="008C0556" w:rsidRPr="003E57BB">
        <w:rPr>
          <w:rFonts w:asciiTheme="majorHAnsi" w:hAnsiTheme="majorHAnsi" w:cstheme="majorHAnsi"/>
          <w:szCs w:val="28"/>
          <w:lang w:val="de-DE"/>
        </w:rPr>
        <w:t>e</w:t>
      </w:r>
      <w:r w:rsidRPr="003E57BB">
        <w:rPr>
          <w:rFonts w:asciiTheme="majorHAnsi" w:hAnsiTheme="majorHAnsi" w:cstheme="majorHAnsi"/>
          <w:szCs w:val="28"/>
          <w:lang w:val="de-DE"/>
        </w:rPr>
        <w:t xml:space="preserve">n and </w:t>
      </w:r>
      <w:r w:rsidR="008C0556" w:rsidRPr="003E57BB">
        <w:rPr>
          <w:rFonts w:asciiTheme="majorHAnsi" w:hAnsiTheme="majorHAnsi" w:cstheme="majorHAnsi"/>
          <w:szCs w:val="28"/>
          <w:lang w:val="de-DE"/>
        </w:rPr>
        <w:t>Dong Van</w:t>
      </w:r>
      <w:r w:rsidRPr="003E57BB">
        <w:rPr>
          <w:rFonts w:asciiTheme="majorHAnsi" w:hAnsiTheme="majorHAnsi" w:cstheme="majorHAnsi"/>
          <w:szCs w:val="28"/>
          <w:lang w:val="de-DE"/>
        </w:rPr>
        <w:t xml:space="preserve">. To clearly examine the effects of various factors on income, the study adopts the approaches of </w:t>
      </w:r>
      <w:r w:rsidRPr="003E57BB">
        <w:rPr>
          <w:rFonts w:asciiTheme="majorHAnsi" w:hAnsiTheme="majorHAnsi" w:cstheme="majorHAnsi"/>
          <w:szCs w:val="28"/>
          <w:lang w:val="de-DE"/>
        </w:rPr>
        <w:fldChar w:fldCharType="begin"/>
      </w:r>
      <w:r w:rsidRPr="003E57BB">
        <w:rPr>
          <w:rFonts w:asciiTheme="majorHAnsi" w:hAnsiTheme="majorHAnsi" w:cstheme="majorHAnsi"/>
          <w:szCs w:val="28"/>
          <w:lang w:val="de-DE"/>
        </w:rPr>
        <w:instrText xml:space="preserve"> ADDIN ZOTERO_ITEM CSL_CITATION {"citationID":"TPbuNUse","properties":{"formattedCitation":"(Ton et al., 2018)","plainCitation":"(Ton et al., 2018)","noteIndex":0},"citationItems":[{"id":395,"uris":["http://zotero.org/users/2126705/items/JD82SC4R"],"itemData":{"id":395,"type":"article-journal","abstract":"Contract farming is a sales arrangement between a farmer and a firm, agreed before production begins, which provides the farmer with resources or services. Many governments and donors promote contract farming as part of agricultural development policies. However, there is serious concern whether smaller farmers can benefit from these arrangements. This paper presents the results of a systematic review that analysed the evidence in the literature on income effects for smallholders. The review included all studies with an econometric design to reduce selection bias in effect estimates. The meta-analysis covered 26 empirical instances of contract farming in 13 developing countries. The contracts varied widely, with varying service packages provided by the firm to the farmers. Using truth table analysis, we explored combinations of services associated with relatively high or relatively low income effects. The meta-analysis resulted in an overall pooled average effect size of 38%. However, we show that there are publication and survivor biases. Non-significant effects are systematically underreported. Moreover, all studies assessed the effectiveness of the contractual arrangement when these had already survived the start-up problems. Both sources of bias lead to an overestimation of the average income effect. The findings point to the need for substantial income effects for contract farming arrangements to survive over time. Both firms and farmers face risks; for example, farmers may side-sell products after having received the services from the firm. The most effective contractual arrangements included a price premium, especially when there was no farmers’ organisation to broker the contract between the farmer and the firm. We show that smallholders can benefit from the contractual arrangement. However, the poorest farmers are rarely included; we show that, in 61% of the cases, the contract farmers had significantly larger landholdings or more assets than the average farmers in the region.","container-title":"World Development","DOI":"10.1016/j.worlddev.2017.11.015","ISSN":"0305-750X","journalAbbreviation":"World Development","page":"46-64","source":"ScienceDirect","title":"Contract farming for improving smallholder incomes: What can we learn from effectiveness studies?","title-short":"Contract farming for improving smallholder incomes","volume":"104","author":[{"family":"Ton","given":"Giel"},{"family":"Vellema","given":"Wytse"},{"family":"Desiere","given":"Sam"},{"family":"Weituschat","given":"Sophia"},{"family":"D'Haese","given":"Marijke"}],"issued":{"date-parts":[["2018",4,1]]}}}],"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(Ton et al., 2018)</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xml:space="preserve"> and</w:t>
      </w:r>
      <w:r w:rsidR="008C0556" w:rsidRPr="003E57BB">
        <w:rPr>
          <w:rFonts w:asciiTheme="majorHAnsi" w:hAnsiTheme="majorHAnsi" w:cstheme="majorHAnsi"/>
          <w:szCs w:val="28"/>
          <w:lang w:val="de-DE"/>
        </w:rPr>
        <w:t xml:space="preserve"> </w:t>
      </w:r>
      <w:r w:rsidR="008C0556" w:rsidRPr="003E57BB">
        <w:rPr>
          <w:rFonts w:asciiTheme="majorHAnsi" w:hAnsiTheme="majorHAnsi" w:cstheme="majorHAnsi"/>
          <w:szCs w:val="28"/>
          <w:lang w:val="de-DE"/>
        </w:rPr>
        <w:fldChar w:fldCharType="begin"/>
      </w:r>
      <w:r w:rsidR="008C0556" w:rsidRPr="003E57BB">
        <w:rPr>
          <w:rFonts w:asciiTheme="majorHAnsi" w:hAnsiTheme="majorHAnsi" w:cstheme="majorHAnsi"/>
          <w:szCs w:val="28"/>
          <w:lang w:val="de-DE"/>
        </w:rPr>
        <w:instrText xml:space="preserve"> ADDIN ZOTERO_ITEM CSL_CITATION {"citationID":"Enr11A13","properties":{"formattedCitation":"(Dechow et al., 2012)","plainCitation":"(Dechow et al., 2012)","noteIndex":0},"citationItems":[{"id":397,"uris":["http://zotero.org/users/2126705/items/BU8CZKE9"],"itemData":{"id":397,"type":"article-journal","abstract":"This paper provides a new approach to test for accrual-based earnings management. Our approach exploits the inherent property of accrual accounting that any accrual-based earnings management in one period must reverse in another period. If the researcher has priors concerning the timing of the reversal, incorporating these priors can significantly improve the power and specification of tests for earnings management. Our results indicate that tests incorporating reversals increase test power by around 40% and provide a robust solution for mitigating model misspecification arising from correlated omitted variables.","container-title":"Journal of Accounting Research","DOI":"10.1111/j.1475-679X.2012.00449.x","ISSN":"1475-679X","issue":"2","language":"en","license":"©, University of Chicago on behalf of the Accounting Research Center, 2012","note":"_eprint: https://onlinelibrary.wiley.com/doi/pdf/10.1111/j.1475-679X.2012.00449.x","page":"275-334","source":"Wiley Online Library","title":"Detecting Earnings Management: A New Approach","title-short":"Detecting Earnings Management","volume":"50","author":[{"family":"Dechow","given":"Patricia M."},{"family":"Hutton","given":"Amy P."},{"family":"Kim","given":"Jung Hoon"},{"family":"Sloan","given":"Richard G."}],"issued":{"date-parts":[["2012"]]}}}],"schema":"https://github.com/citation-style-language/schema/raw/master/csl-citation.json"} </w:instrText>
      </w:r>
      <w:r w:rsidR="008C0556" w:rsidRPr="003E57BB">
        <w:rPr>
          <w:rFonts w:asciiTheme="majorHAnsi" w:hAnsiTheme="majorHAnsi" w:cstheme="majorHAnsi"/>
          <w:szCs w:val="28"/>
          <w:lang w:val="de-DE"/>
        </w:rPr>
        <w:fldChar w:fldCharType="separate"/>
      </w:r>
      <w:r w:rsidR="008C0556" w:rsidRPr="003E57BB">
        <w:rPr>
          <w:rFonts w:asciiTheme="majorHAnsi" w:hAnsiTheme="majorHAnsi" w:cstheme="majorHAnsi"/>
          <w:szCs w:val="28"/>
          <w:lang w:val="de-DE"/>
        </w:rPr>
        <w:t>(Dechow et al., 2012)</w:t>
      </w:r>
      <w:r w:rsidR="008C0556" w:rsidRPr="003E57BB">
        <w:rPr>
          <w:rFonts w:asciiTheme="majorHAnsi" w:hAnsiTheme="majorHAnsi" w:cstheme="majorHAnsi"/>
          <w:szCs w:val="28"/>
          <w:lang w:val="de-DE"/>
        </w:rPr>
        <w:fldChar w:fldCharType="end"/>
      </w:r>
      <w:r w:rsidR="008C0556" w:rsidRPr="003E57BB">
        <w:rPr>
          <w:rFonts w:asciiTheme="majorHAnsi" w:hAnsiTheme="majorHAnsi" w:cstheme="majorHAnsi"/>
          <w:szCs w:val="28"/>
          <w:lang w:val="de-DE"/>
        </w:rPr>
        <w:t>.</w:t>
      </w:r>
      <w:r w:rsidRPr="003E57BB">
        <w:rPr>
          <w:rFonts w:asciiTheme="majorHAnsi" w:hAnsiTheme="majorHAnsi" w:cstheme="majorHAnsi"/>
          <w:szCs w:val="28"/>
          <w:lang w:val="de-DE"/>
        </w:rPr>
        <w:t xml:space="preserve"> Besides demographic factors, this research considers three main groups of factors—capability, sustainability, and effectiveness—to assess their impacts on the income of the two ethnic groups.</w:t>
      </w:r>
    </w:p>
    <w:p w14:paraId="296B749C" w14:textId="66DBFDFE" w:rsidR="001F0685" w:rsidRPr="003E57BB" w:rsidRDefault="001F0685"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Within the capability group, cultivated land area is used as an intermediate variable, based on the assumption that individuals with larger landholdings are more capable, as they have demonstrated the ability to acquire and manage substantial land. Additionally, capability is reflected in whether a person can use both their ethnic language and the national language as well as foreign languages. Individuals who are multilingual in the study area are likely to have higher income compared to others.</w:t>
      </w:r>
      <w:r w:rsidR="008C0556" w:rsidRPr="003E57BB">
        <w:rPr>
          <w:rFonts w:asciiTheme="majorHAnsi" w:hAnsiTheme="majorHAnsi" w:cstheme="majorHAnsi"/>
          <w:szCs w:val="28"/>
          <w:lang w:val="de-DE"/>
        </w:rPr>
        <w:t xml:space="preserve"> </w:t>
      </w:r>
      <w:r w:rsidRPr="003E57BB">
        <w:rPr>
          <w:rFonts w:asciiTheme="majorHAnsi" w:hAnsiTheme="majorHAnsi" w:cstheme="majorHAnsi"/>
          <w:szCs w:val="28"/>
          <w:lang w:val="de-DE"/>
        </w:rPr>
        <w:t xml:space="preserve">For the sustainability group, the study considers </w:t>
      </w:r>
      <w:r w:rsidRPr="003E57BB">
        <w:rPr>
          <w:rFonts w:asciiTheme="majorHAnsi" w:hAnsiTheme="majorHAnsi" w:cstheme="majorHAnsi"/>
          <w:szCs w:val="28"/>
          <w:lang w:val="de-DE"/>
        </w:rPr>
        <w:lastRenderedPageBreak/>
        <w:t>whether the worker has participated in any vocational training or job-related courses locally or elsewhere. Sustainability factors also include the length of employment, whether a person works at the place they were trained for less than one year or longer.</w:t>
      </w:r>
    </w:p>
    <w:p w14:paraId="5AAA77E6" w14:textId="396F8CBC" w:rsidR="00EF7BFD" w:rsidRPr="003E57BB" w:rsidRDefault="001F0685"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Finally, the effectiveness group includes criteria such as whether workers are consulted in decision-making and the degree of work independence, measured on a scale from 1 to 10. Table 4 provides further details on the factors used and the measurement scales in the model to analyze their influence on income.</w:t>
      </w:r>
    </w:p>
    <w:p w14:paraId="58C69037" w14:textId="79BF5DF5" w:rsidR="00EF7BFD" w:rsidRPr="008C0556" w:rsidRDefault="008C0556" w:rsidP="00EF7BFD">
      <w:pPr>
        <w:rPr>
          <w:rFonts w:asciiTheme="majorHAnsi" w:hAnsiTheme="majorHAnsi" w:cstheme="majorHAnsi"/>
          <w:b/>
          <w:lang w:val="de-DE"/>
        </w:rPr>
      </w:pPr>
      <w:r w:rsidRPr="008C0556">
        <w:rPr>
          <w:rFonts w:asciiTheme="majorHAnsi" w:hAnsiTheme="majorHAnsi" w:cstheme="majorHAnsi"/>
          <w:b/>
          <w:lang w:val="de-DE"/>
        </w:rPr>
        <w:t>Table 4. Description of Variables in the Model</w:t>
      </w:r>
    </w:p>
    <w:tbl>
      <w:tblPr>
        <w:tblStyle w:val="TableGrid"/>
        <w:tblW w:w="0" w:type="auto"/>
        <w:tblInd w:w="-5" w:type="dxa"/>
        <w:tblLook w:val="04A0" w:firstRow="1" w:lastRow="0" w:firstColumn="1" w:lastColumn="0" w:noHBand="0" w:noVBand="1"/>
      </w:tblPr>
      <w:tblGrid>
        <w:gridCol w:w="2915"/>
        <w:gridCol w:w="6101"/>
      </w:tblGrid>
      <w:tr w:rsidR="008C0556" w:rsidRPr="008C0556" w14:paraId="4B2FDBEA" w14:textId="77777777" w:rsidTr="008C0556">
        <w:tc>
          <w:tcPr>
            <w:tcW w:w="2915" w:type="dxa"/>
            <w:vAlign w:val="center"/>
          </w:tcPr>
          <w:p w14:paraId="549769C4" w14:textId="1592B8F3" w:rsidR="008C0556" w:rsidRPr="008C0556" w:rsidRDefault="008C0556" w:rsidP="008C0556">
            <w:pPr>
              <w:rPr>
                <w:rFonts w:asciiTheme="majorHAnsi" w:hAnsiTheme="majorHAnsi" w:cstheme="majorHAnsi"/>
                <w:b/>
                <w:lang w:val="de-DE"/>
              </w:rPr>
            </w:pPr>
            <w:r w:rsidRPr="008C0556">
              <w:rPr>
                <w:rFonts w:asciiTheme="majorHAnsi" w:hAnsiTheme="majorHAnsi" w:cstheme="majorHAnsi"/>
                <w:b/>
                <w:bCs/>
                <w:color w:val="000000"/>
                <w:sz w:val="22"/>
              </w:rPr>
              <w:t>Main Variables</w:t>
            </w:r>
          </w:p>
        </w:tc>
        <w:tc>
          <w:tcPr>
            <w:tcW w:w="6101" w:type="dxa"/>
            <w:vAlign w:val="center"/>
          </w:tcPr>
          <w:p w14:paraId="4FC17199" w14:textId="5444F1A6" w:rsidR="008C0556" w:rsidRPr="008C0556" w:rsidRDefault="008C0556" w:rsidP="008C0556">
            <w:pPr>
              <w:rPr>
                <w:rFonts w:asciiTheme="majorHAnsi" w:hAnsiTheme="majorHAnsi" w:cstheme="majorHAnsi"/>
                <w:b/>
                <w:lang w:val="de-DE"/>
              </w:rPr>
            </w:pPr>
            <w:r w:rsidRPr="008C0556">
              <w:rPr>
                <w:rFonts w:asciiTheme="majorHAnsi" w:hAnsiTheme="majorHAnsi" w:cstheme="majorHAnsi"/>
                <w:b/>
                <w:bCs/>
                <w:color w:val="000000"/>
                <w:sz w:val="22"/>
              </w:rPr>
              <w:t>Measurement Scale</w:t>
            </w:r>
          </w:p>
        </w:tc>
      </w:tr>
      <w:tr w:rsidR="008C0556" w:rsidRPr="008C0556" w14:paraId="1AE415FD" w14:textId="77777777" w:rsidTr="008C0556">
        <w:tc>
          <w:tcPr>
            <w:tcW w:w="2915" w:type="dxa"/>
            <w:vAlign w:val="center"/>
          </w:tcPr>
          <w:p w14:paraId="061477FA" w14:textId="734E2722"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Gender</w:t>
            </w:r>
          </w:p>
        </w:tc>
        <w:tc>
          <w:tcPr>
            <w:tcW w:w="6101" w:type="dxa"/>
            <w:vAlign w:val="center"/>
          </w:tcPr>
          <w:p w14:paraId="5A4B6EBC" w14:textId="721C4AF9"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Binary variable: 1 = Female, 0 = Male</w:t>
            </w:r>
          </w:p>
        </w:tc>
      </w:tr>
      <w:tr w:rsidR="008C0556" w:rsidRPr="008C0556" w14:paraId="604D963D" w14:textId="77777777" w:rsidTr="008C0556">
        <w:tc>
          <w:tcPr>
            <w:tcW w:w="2915" w:type="dxa"/>
            <w:vAlign w:val="center"/>
          </w:tcPr>
          <w:p w14:paraId="3B2C4FC5" w14:textId="211D5D7F"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Age</w:t>
            </w:r>
          </w:p>
        </w:tc>
        <w:tc>
          <w:tcPr>
            <w:tcW w:w="6101" w:type="dxa"/>
            <w:vAlign w:val="center"/>
          </w:tcPr>
          <w:p w14:paraId="2DFD0FA2" w14:textId="3F51C81C"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Respondent’s age</w:t>
            </w:r>
          </w:p>
        </w:tc>
      </w:tr>
      <w:tr w:rsidR="008C0556" w:rsidRPr="008C0556" w14:paraId="4A190CF3" w14:textId="77777777" w:rsidTr="008C0556">
        <w:tc>
          <w:tcPr>
            <w:tcW w:w="2915" w:type="dxa"/>
            <w:vAlign w:val="center"/>
          </w:tcPr>
          <w:p w14:paraId="1B897A94" w14:textId="458903EC"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Place of Birth</w:t>
            </w:r>
          </w:p>
        </w:tc>
        <w:tc>
          <w:tcPr>
            <w:tcW w:w="6101" w:type="dxa"/>
            <w:vAlign w:val="center"/>
          </w:tcPr>
          <w:p w14:paraId="04304022" w14:textId="1E004D15"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 xml:space="preserve">Binary variable: 1 = </w:t>
            </w:r>
            <w:proofErr w:type="spellStart"/>
            <w:r w:rsidRPr="008C0556">
              <w:rPr>
                <w:rFonts w:asciiTheme="majorHAnsi" w:hAnsiTheme="majorHAnsi" w:cstheme="majorHAnsi"/>
                <w:color w:val="000000"/>
                <w:sz w:val="22"/>
              </w:rPr>
              <w:t>Đồng</w:t>
            </w:r>
            <w:proofErr w:type="spellEnd"/>
            <w:r w:rsidRPr="008C0556">
              <w:rPr>
                <w:rFonts w:asciiTheme="majorHAnsi" w:hAnsiTheme="majorHAnsi" w:cstheme="majorHAnsi"/>
                <w:color w:val="000000"/>
                <w:sz w:val="22"/>
              </w:rPr>
              <w:t xml:space="preserve"> </w:t>
            </w:r>
            <w:proofErr w:type="spellStart"/>
            <w:r w:rsidRPr="008C0556">
              <w:rPr>
                <w:rFonts w:asciiTheme="majorHAnsi" w:hAnsiTheme="majorHAnsi" w:cstheme="majorHAnsi"/>
                <w:color w:val="000000"/>
                <w:sz w:val="22"/>
              </w:rPr>
              <w:t>Văn</w:t>
            </w:r>
            <w:proofErr w:type="spellEnd"/>
            <w:r w:rsidRPr="008C0556">
              <w:rPr>
                <w:rFonts w:asciiTheme="majorHAnsi" w:hAnsiTheme="majorHAnsi" w:cstheme="majorHAnsi"/>
                <w:color w:val="000000"/>
                <w:sz w:val="22"/>
              </w:rPr>
              <w:t>, 0 = Other</w:t>
            </w:r>
          </w:p>
        </w:tc>
      </w:tr>
      <w:tr w:rsidR="008C0556" w:rsidRPr="008C0556" w14:paraId="3B1CC9C8" w14:textId="77777777" w:rsidTr="008C0556">
        <w:tc>
          <w:tcPr>
            <w:tcW w:w="2915" w:type="dxa"/>
            <w:vAlign w:val="center"/>
          </w:tcPr>
          <w:p w14:paraId="3E12B3BF" w14:textId="0399ED6F"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Marital Status</w:t>
            </w:r>
          </w:p>
        </w:tc>
        <w:tc>
          <w:tcPr>
            <w:tcW w:w="6101" w:type="dxa"/>
            <w:vAlign w:val="center"/>
          </w:tcPr>
          <w:p w14:paraId="6E868EAF" w14:textId="19DE04CE"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Categorical variable: 1 = Married; 2 = Single; 3 = Divorced/Separated; 4 = Widowed; 5 = Other</w:t>
            </w:r>
          </w:p>
        </w:tc>
      </w:tr>
      <w:tr w:rsidR="008C0556" w:rsidRPr="008C0556" w14:paraId="7B831C27" w14:textId="77777777" w:rsidTr="008C0556">
        <w:tc>
          <w:tcPr>
            <w:tcW w:w="2915" w:type="dxa"/>
            <w:vAlign w:val="center"/>
          </w:tcPr>
          <w:p w14:paraId="5A75E162" w14:textId="2509464E"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Education</w:t>
            </w:r>
          </w:p>
        </w:tc>
        <w:tc>
          <w:tcPr>
            <w:tcW w:w="6101" w:type="dxa"/>
            <w:vAlign w:val="center"/>
          </w:tcPr>
          <w:p w14:paraId="775463BC" w14:textId="3E13AC29"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Re-coded education level: 1 = No schooling, 10 = Postgraduate or higher</w:t>
            </w:r>
          </w:p>
        </w:tc>
      </w:tr>
      <w:tr w:rsidR="008C0556" w:rsidRPr="008C0556" w14:paraId="210B8311" w14:textId="77777777" w:rsidTr="008C0556">
        <w:tc>
          <w:tcPr>
            <w:tcW w:w="2915" w:type="dxa"/>
            <w:vAlign w:val="center"/>
          </w:tcPr>
          <w:p w14:paraId="6FDC03EB" w14:textId="56E9F5BB"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Living Standard</w:t>
            </w:r>
          </w:p>
        </w:tc>
        <w:tc>
          <w:tcPr>
            <w:tcW w:w="6101" w:type="dxa"/>
            <w:vAlign w:val="center"/>
          </w:tcPr>
          <w:p w14:paraId="668F4308" w14:textId="4EBB0610"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Respondent’s assessment of family living standard, 1 = Poor up to higher levels</w:t>
            </w:r>
          </w:p>
        </w:tc>
      </w:tr>
      <w:tr w:rsidR="008C0556" w:rsidRPr="008C0556" w14:paraId="6E5B5B16" w14:textId="77777777" w:rsidTr="008C0556">
        <w:tc>
          <w:tcPr>
            <w:tcW w:w="2915" w:type="dxa"/>
            <w:vAlign w:val="center"/>
          </w:tcPr>
          <w:p w14:paraId="51AFF200" w14:textId="13D35460"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Cultivated Land Area</w:t>
            </w:r>
          </w:p>
        </w:tc>
        <w:tc>
          <w:tcPr>
            <w:tcW w:w="6101" w:type="dxa"/>
            <w:vAlign w:val="center"/>
          </w:tcPr>
          <w:p w14:paraId="65E3C722" w14:textId="3ABEC506"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Area of land cultivated by respondent, measured in square meters</w:t>
            </w:r>
          </w:p>
        </w:tc>
      </w:tr>
      <w:tr w:rsidR="008C0556" w:rsidRPr="008C0556" w14:paraId="251A9655" w14:textId="77777777" w:rsidTr="008C0556">
        <w:tc>
          <w:tcPr>
            <w:tcW w:w="2915" w:type="dxa"/>
            <w:vAlign w:val="center"/>
          </w:tcPr>
          <w:p w14:paraId="41C23EDF" w14:textId="6AF1480E"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Language</w:t>
            </w:r>
          </w:p>
        </w:tc>
        <w:tc>
          <w:tcPr>
            <w:tcW w:w="6101" w:type="dxa"/>
            <w:vAlign w:val="center"/>
          </w:tcPr>
          <w:p w14:paraId="53F2CFCC" w14:textId="7E8789C4"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Language ability: 1 = Only ethnic language; 2 = Ethnic language + national language + foreign language</w:t>
            </w:r>
          </w:p>
        </w:tc>
      </w:tr>
      <w:tr w:rsidR="008C0556" w:rsidRPr="008C0556" w14:paraId="46E12707" w14:textId="77777777" w:rsidTr="008C0556">
        <w:tc>
          <w:tcPr>
            <w:tcW w:w="2915" w:type="dxa"/>
            <w:vAlign w:val="center"/>
          </w:tcPr>
          <w:p w14:paraId="080610D3" w14:textId="60E8B599"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Participation in Training</w:t>
            </w:r>
          </w:p>
        </w:tc>
        <w:tc>
          <w:tcPr>
            <w:tcW w:w="6101" w:type="dxa"/>
            <w:vAlign w:val="center"/>
          </w:tcPr>
          <w:p w14:paraId="6BC02F3D" w14:textId="35AA0CA8"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Whether the respondent participated in vocational training or skill development locally or elsewhere (Yes/No)</w:t>
            </w:r>
          </w:p>
        </w:tc>
      </w:tr>
      <w:tr w:rsidR="008C0556" w:rsidRPr="008C0556" w14:paraId="48C5161B" w14:textId="77777777" w:rsidTr="008C0556">
        <w:tc>
          <w:tcPr>
            <w:tcW w:w="2915" w:type="dxa"/>
            <w:vAlign w:val="center"/>
          </w:tcPr>
          <w:p w14:paraId="46A318BA" w14:textId="3EDA2FD4"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Duration of Employment</w:t>
            </w:r>
          </w:p>
        </w:tc>
        <w:tc>
          <w:tcPr>
            <w:tcW w:w="6101" w:type="dxa"/>
            <w:vAlign w:val="center"/>
          </w:tcPr>
          <w:p w14:paraId="79F86199" w14:textId="1A8AFCB4"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Length of time the worker has been employed: 1 = Less than 1 year, 5 = 10 years or more</w:t>
            </w:r>
          </w:p>
        </w:tc>
      </w:tr>
      <w:tr w:rsidR="008C0556" w:rsidRPr="008C0556" w14:paraId="5B1F0B74" w14:textId="77777777" w:rsidTr="008C0556">
        <w:tc>
          <w:tcPr>
            <w:tcW w:w="2915" w:type="dxa"/>
            <w:vAlign w:val="center"/>
          </w:tcPr>
          <w:p w14:paraId="4BEDD676" w14:textId="57B51B7E"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Consulted in Work</w:t>
            </w:r>
          </w:p>
        </w:tc>
        <w:tc>
          <w:tcPr>
            <w:tcW w:w="6101" w:type="dxa"/>
            <w:vAlign w:val="center"/>
          </w:tcPr>
          <w:p w14:paraId="7E493FBC" w14:textId="66FDE79F"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Degree to which the respondent is consulted in work-related decisions: 1 = Not consulted at all, 10 = Fully consulted</w:t>
            </w:r>
          </w:p>
        </w:tc>
      </w:tr>
      <w:tr w:rsidR="008C0556" w:rsidRPr="008C0556" w14:paraId="6492080A" w14:textId="77777777" w:rsidTr="008C0556">
        <w:tc>
          <w:tcPr>
            <w:tcW w:w="2915" w:type="dxa"/>
            <w:vAlign w:val="center"/>
          </w:tcPr>
          <w:p w14:paraId="51073A3B" w14:textId="163D58C3"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Work Independence</w:t>
            </w:r>
          </w:p>
        </w:tc>
        <w:tc>
          <w:tcPr>
            <w:tcW w:w="6101" w:type="dxa"/>
            <w:vAlign w:val="center"/>
          </w:tcPr>
          <w:p w14:paraId="1D51C227" w14:textId="1CA2D066"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Degree of independence in performing work: 1 = Minimum, 10 = Fully independent</w:t>
            </w:r>
          </w:p>
        </w:tc>
      </w:tr>
    </w:tbl>
    <w:p w14:paraId="514B5879" w14:textId="77777777" w:rsidR="00EF7BFD" w:rsidRPr="008C0556" w:rsidRDefault="00EF7BFD" w:rsidP="00EF7BFD">
      <w:pPr>
        <w:rPr>
          <w:rFonts w:asciiTheme="majorHAnsi" w:hAnsiTheme="majorHAnsi" w:cstheme="majorHAnsi"/>
          <w:b/>
          <w:lang w:val="de-DE"/>
        </w:rPr>
      </w:pPr>
    </w:p>
    <w:p w14:paraId="4F0B3936" w14:textId="4145326C" w:rsidR="00EF7BFD" w:rsidRPr="008C0556" w:rsidRDefault="003B3839" w:rsidP="003E57BB">
      <w:pPr>
        <w:spacing w:before="120" w:after="120" w:line="288" w:lineRule="auto"/>
        <w:rPr>
          <w:rFonts w:asciiTheme="majorHAnsi" w:hAnsiTheme="majorHAnsi" w:cstheme="majorHAnsi"/>
          <w:lang w:val="de-DE"/>
        </w:rPr>
      </w:pPr>
      <w:r w:rsidRPr="003B3839">
        <w:rPr>
          <w:rFonts w:asciiTheme="majorHAnsi" w:hAnsiTheme="majorHAnsi" w:cstheme="majorHAnsi"/>
          <w:szCs w:val="28"/>
          <w:lang w:val="de-DE"/>
        </w:rPr>
        <w:t xml:space="preserve">To analyze the factors affecting income, one of the factors assesses effectiveness from the perspective of employment among ethnic minority people in general, and specifically among the Hmong and Tay groups. Table 5 presents the results of the interaction regression between the factors described in Table 4. According to Column 2, respondents from </w:t>
      </w:r>
      <w:r>
        <w:rPr>
          <w:rFonts w:asciiTheme="majorHAnsi" w:hAnsiTheme="majorHAnsi" w:cstheme="majorHAnsi"/>
          <w:szCs w:val="28"/>
          <w:lang w:val="de-DE"/>
        </w:rPr>
        <w:t>Dong Van</w:t>
      </w:r>
      <w:r w:rsidRPr="003B3839">
        <w:rPr>
          <w:rFonts w:asciiTheme="majorHAnsi" w:hAnsiTheme="majorHAnsi" w:cstheme="majorHAnsi"/>
          <w:szCs w:val="28"/>
          <w:lang w:val="de-DE"/>
        </w:rPr>
        <w:t xml:space="preserve"> have lower income compared to those born in </w:t>
      </w:r>
      <w:r>
        <w:rPr>
          <w:rFonts w:asciiTheme="majorHAnsi" w:hAnsiTheme="majorHAnsi" w:cstheme="majorHAnsi"/>
          <w:szCs w:val="28"/>
          <w:lang w:val="de-DE"/>
        </w:rPr>
        <w:t>Vi Xuyen</w:t>
      </w:r>
      <w:r w:rsidRPr="003B3839">
        <w:rPr>
          <w:rFonts w:asciiTheme="majorHAnsi" w:hAnsiTheme="majorHAnsi" w:cstheme="majorHAnsi"/>
          <w:szCs w:val="28"/>
          <w:lang w:val="de-DE"/>
        </w:rPr>
        <w:t>, with statistical significance at the 10% level. Regarding other demographic variables in Model 2 for the Tay group, it is shown that older respondents tend to have higher income, also significant at the 10% level (see Column 6).</w:t>
      </w:r>
      <w:r w:rsidR="00EF7BFD" w:rsidRPr="008C0556">
        <w:rPr>
          <w:rFonts w:asciiTheme="majorHAnsi" w:hAnsiTheme="majorHAnsi" w:cstheme="majorHAnsi"/>
          <w:lang w:val="de-DE"/>
        </w:rPr>
        <w:br w:type="page"/>
      </w:r>
    </w:p>
    <w:p w14:paraId="7C9EB7C3" w14:textId="77777777" w:rsidR="00EF7BFD" w:rsidRPr="008C0556" w:rsidRDefault="00EF7BFD" w:rsidP="00EF7BFD">
      <w:pPr>
        <w:rPr>
          <w:rFonts w:asciiTheme="majorHAnsi" w:hAnsiTheme="majorHAnsi" w:cstheme="majorHAnsi"/>
          <w:b/>
          <w:lang w:val="de-DE"/>
        </w:rPr>
        <w:sectPr w:rsidR="00EF7BFD" w:rsidRPr="008C0556">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40" w:right="1440" w:bottom="1440" w:left="1440" w:header="708" w:footer="708" w:gutter="0"/>
          <w:cols w:space="708"/>
          <w:docGrid w:linePitch="360"/>
        </w:sectPr>
      </w:pPr>
    </w:p>
    <w:p w14:paraId="6FFCAA4D" w14:textId="54FF9896" w:rsidR="00EF7BFD" w:rsidRPr="008C0556" w:rsidRDefault="003B3839" w:rsidP="00EF7BFD">
      <w:pPr>
        <w:rPr>
          <w:rFonts w:asciiTheme="majorHAnsi" w:hAnsiTheme="majorHAnsi" w:cstheme="majorHAnsi"/>
          <w:b/>
          <w:lang w:val="de-DE"/>
        </w:rPr>
      </w:pPr>
      <w:r w:rsidRPr="003B3839">
        <w:rPr>
          <w:rFonts w:asciiTheme="majorHAnsi" w:hAnsiTheme="majorHAnsi" w:cstheme="majorHAnsi"/>
          <w:b/>
          <w:lang w:val="de-DE"/>
        </w:rPr>
        <w:lastRenderedPageBreak/>
        <w:t>Table 5. Effects of Factors on Income</w:t>
      </w:r>
    </w:p>
    <w:tbl>
      <w:tblPr>
        <w:tblStyle w:val="TableGrid"/>
        <w:tblW w:w="1454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948"/>
        <w:gridCol w:w="2547"/>
        <w:gridCol w:w="2268"/>
        <w:gridCol w:w="2268"/>
        <w:gridCol w:w="2410"/>
        <w:gridCol w:w="2103"/>
      </w:tblGrid>
      <w:tr w:rsidR="00EF7BFD" w:rsidRPr="008C0556" w14:paraId="0EFFE4ED" w14:textId="77777777" w:rsidTr="003B7725">
        <w:tc>
          <w:tcPr>
            <w:tcW w:w="2948" w:type="dxa"/>
            <w:tcBorders>
              <w:top w:val="double" w:sz="4" w:space="0" w:color="auto"/>
              <w:left w:val="nil"/>
              <w:bottom w:val="nil"/>
              <w:right w:val="nil"/>
            </w:tcBorders>
          </w:tcPr>
          <w:p w14:paraId="4B1E2C8E" w14:textId="77777777" w:rsidR="00EF7BFD" w:rsidRPr="008C0556" w:rsidRDefault="00EF7BFD" w:rsidP="003B7725">
            <w:pPr>
              <w:rPr>
                <w:rFonts w:asciiTheme="majorHAnsi" w:hAnsiTheme="majorHAnsi" w:cstheme="majorHAnsi"/>
                <w:sz w:val="22"/>
                <w:lang w:val="de-DE"/>
              </w:rPr>
            </w:pPr>
          </w:p>
        </w:tc>
        <w:tc>
          <w:tcPr>
            <w:tcW w:w="2547" w:type="dxa"/>
            <w:tcBorders>
              <w:top w:val="double" w:sz="4" w:space="0" w:color="auto"/>
              <w:left w:val="nil"/>
              <w:bottom w:val="single" w:sz="4" w:space="0" w:color="auto"/>
              <w:right w:val="nil"/>
            </w:tcBorders>
          </w:tcPr>
          <w:p w14:paraId="5FA022AB" w14:textId="2B069A3A" w:rsidR="00EF7BFD" w:rsidRPr="008C0556" w:rsidRDefault="00A539C8" w:rsidP="003B7725">
            <w:pPr>
              <w:jc w:val="center"/>
              <w:rPr>
                <w:rFonts w:asciiTheme="majorHAnsi" w:hAnsiTheme="majorHAnsi" w:cstheme="majorHAnsi"/>
                <w:sz w:val="22"/>
                <w:lang w:val="de-DE"/>
              </w:rPr>
            </w:pPr>
            <w:r>
              <w:rPr>
                <w:rFonts w:asciiTheme="majorHAnsi" w:hAnsiTheme="majorHAnsi" w:cstheme="majorHAnsi"/>
                <w:sz w:val="22"/>
                <w:lang w:val="de-DE"/>
              </w:rPr>
              <w:t>All e</w:t>
            </w:r>
            <w:r w:rsidRPr="00A539C8">
              <w:rPr>
                <w:rFonts w:asciiTheme="majorHAnsi" w:hAnsiTheme="majorHAnsi" w:cstheme="majorHAnsi"/>
                <w:sz w:val="22"/>
                <w:lang w:val="de-DE"/>
              </w:rPr>
              <w:t>thnicities</w:t>
            </w:r>
          </w:p>
        </w:tc>
        <w:tc>
          <w:tcPr>
            <w:tcW w:w="4536" w:type="dxa"/>
            <w:gridSpan w:val="2"/>
            <w:tcBorders>
              <w:top w:val="double" w:sz="4" w:space="0" w:color="auto"/>
              <w:left w:val="nil"/>
              <w:bottom w:val="single" w:sz="4" w:space="0" w:color="auto"/>
              <w:right w:val="nil"/>
            </w:tcBorders>
          </w:tcPr>
          <w:p w14:paraId="1D5EE738" w14:textId="77777777" w:rsidR="00EF7BFD" w:rsidRPr="008C0556" w:rsidRDefault="00EF7BFD" w:rsidP="003B7725">
            <w:pPr>
              <w:jc w:val="center"/>
              <w:rPr>
                <w:rFonts w:asciiTheme="majorHAnsi" w:hAnsiTheme="majorHAnsi" w:cstheme="majorHAnsi"/>
                <w:sz w:val="22"/>
                <w:lang w:val="de-DE"/>
              </w:rPr>
            </w:pPr>
            <w:r w:rsidRPr="008C0556">
              <w:rPr>
                <w:rFonts w:asciiTheme="majorHAnsi" w:hAnsiTheme="majorHAnsi" w:cstheme="majorHAnsi"/>
                <w:sz w:val="22"/>
                <w:lang w:val="de-DE"/>
              </w:rPr>
              <w:t>Hmong</w:t>
            </w:r>
          </w:p>
        </w:tc>
        <w:tc>
          <w:tcPr>
            <w:tcW w:w="4513" w:type="dxa"/>
            <w:gridSpan w:val="2"/>
            <w:tcBorders>
              <w:top w:val="double" w:sz="4" w:space="0" w:color="auto"/>
              <w:left w:val="nil"/>
              <w:bottom w:val="single" w:sz="4" w:space="0" w:color="auto"/>
              <w:right w:val="nil"/>
            </w:tcBorders>
          </w:tcPr>
          <w:p w14:paraId="5CD914CD" w14:textId="44A71767" w:rsidR="00EF7BFD" w:rsidRPr="008C0556" w:rsidRDefault="00EF7BFD" w:rsidP="003B7725">
            <w:pPr>
              <w:jc w:val="center"/>
              <w:rPr>
                <w:rFonts w:asciiTheme="majorHAnsi" w:hAnsiTheme="majorHAnsi" w:cstheme="majorHAnsi"/>
                <w:sz w:val="22"/>
                <w:lang w:val="de-DE"/>
              </w:rPr>
            </w:pPr>
            <w:r w:rsidRPr="008C0556">
              <w:rPr>
                <w:rFonts w:asciiTheme="majorHAnsi" w:hAnsiTheme="majorHAnsi" w:cstheme="majorHAnsi"/>
                <w:sz w:val="22"/>
                <w:lang w:val="de-DE"/>
              </w:rPr>
              <w:t>T</w:t>
            </w:r>
            <w:r w:rsidR="00A539C8">
              <w:rPr>
                <w:rFonts w:asciiTheme="majorHAnsi" w:hAnsiTheme="majorHAnsi" w:cstheme="majorHAnsi"/>
                <w:sz w:val="22"/>
                <w:lang w:val="de-DE"/>
              </w:rPr>
              <w:t>a</w:t>
            </w:r>
            <w:r w:rsidRPr="008C0556">
              <w:rPr>
                <w:rFonts w:asciiTheme="majorHAnsi" w:hAnsiTheme="majorHAnsi" w:cstheme="majorHAnsi"/>
                <w:sz w:val="22"/>
                <w:lang w:val="de-DE"/>
              </w:rPr>
              <w:t>y</w:t>
            </w:r>
          </w:p>
        </w:tc>
      </w:tr>
      <w:tr w:rsidR="00EF7BFD" w:rsidRPr="008C0556" w14:paraId="304C7A2D" w14:textId="77777777" w:rsidTr="003B7725">
        <w:tc>
          <w:tcPr>
            <w:tcW w:w="2948" w:type="dxa"/>
            <w:tcBorders>
              <w:top w:val="nil"/>
              <w:left w:val="nil"/>
              <w:bottom w:val="single" w:sz="4" w:space="0" w:color="auto"/>
              <w:right w:val="nil"/>
            </w:tcBorders>
          </w:tcPr>
          <w:p w14:paraId="09FE1385" w14:textId="77777777" w:rsidR="00EF7BFD" w:rsidRPr="008C0556" w:rsidRDefault="00EF7BFD" w:rsidP="003B7725">
            <w:pPr>
              <w:rPr>
                <w:rFonts w:asciiTheme="majorHAnsi" w:hAnsiTheme="majorHAnsi" w:cstheme="majorHAnsi"/>
                <w:sz w:val="22"/>
                <w:lang w:val="de-DE"/>
              </w:rPr>
            </w:pPr>
          </w:p>
        </w:tc>
        <w:tc>
          <w:tcPr>
            <w:tcW w:w="2547" w:type="dxa"/>
            <w:tcBorders>
              <w:top w:val="single" w:sz="4" w:space="0" w:color="auto"/>
              <w:left w:val="nil"/>
              <w:bottom w:val="single" w:sz="4" w:space="0" w:color="auto"/>
              <w:right w:val="nil"/>
            </w:tcBorders>
          </w:tcPr>
          <w:p w14:paraId="733F8A5D" w14:textId="77777777" w:rsidR="00EF7BFD" w:rsidRPr="008C0556" w:rsidRDefault="00EF7BFD" w:rsidP="003B7725">
            <w:pPr>
              <w:rPr>
                <w:rFonts w:asciiTheme="majorHAnsi" w:hAnsiTheme="majorHAnsi" w:cstheme="majorHAnsi"/>
                <w:sz w:val="22"/>
                <w:lang w:val="de-DE"/>
              </w:rPr>
            </w:pPr>
          </w:p>
        </w:tc>
        <w:tc>
          <w:tcPr>
            <w:tcW w:w="2268" w:type="dxa"/>
            <w:tcBorders>
              <w:top w:val="single" w:sz="4" w:space="0" w:color="auto"/>
              <w:left w:val="nil"/>
              <w:bottom w:val="single" w:sz="4" w:space="0" w:color="auto"/>
              <w:right w:val="nil"/>
            </w:tcBorders>
          </w:tcPr>
          <w:p w14:paraId="67AC02B3" w14:textId="327562C5" w:rsidR="00EF7BFD" w:rsidRPr="008C0556" w:rsidRDefault="00A539C8" w:rsidP="003B7725">
            <w:pPr>
              <w:jc w:val="right"/>
              <w:rPr>
                <w:rFonts w:asciiTheme="majorHAnsi" w:hAnsiTheme="majorHAnsi" w:cstheme="majorHAnsi"/>
                <w:sz w:val="22"/>
                <w:lang w:val="de-DE"/>
              </w:rPr>
            </w:pPr>
            <w:r>
              <w:rPr>
                <w:rFonts w:asciiTheme="majorHAnsi" w:hAnsiTheme="majorHAnsi" w:cstheme="majorHAnsi"/>
                <w:sz w:val="22"/>
                <w:lang w:val="de-DE"/>
              </w:rPr>
              <w:t>Model</w:t>
            </w:r>
            <w:r w:rsidR="00EF7BFD" w:rsidRPr="008C0556">
              <w:rPr>
                <w:rFonts w:asciiTheme="majorHAnsi" w:hAnsiTheme="majorHAnsi" w:cstheme="majorHAnsi"/>
                <w:sz w:val="22"/>
                <w:lang w:val="de-DE"/>
              </w:rPr>
              <w:t xml:space="preserve"> 1</w:t>
            </w:r>
          </w:p>
        </w:tc>
        <w:tc>
          <w:tcPr>
            <w:tcW w:w="2268" w:type="dxa"/>
            <w:tcBorders>
              <w:top w:val="single" w:sz="4" w:space="0" w:color="auto"/>
              <w:left w:val="nil"/>
              <w:bottom w:val="single" w:sz="4" w:space="0" w:color="auto"/>
              <w:right w:val="nil"/>
            </w:tcBorders>
          </w:tcPr>
          <w:p w14:paraId="4CF0830A" w14:textId="47D8AD69" w:rsidR="00EF7BFD" w:rsidRPr="008C0556" w:rsidRDefault="00A539C8" w:rsidP="003B7725">
            <w:pPr>
              <w:jc w:val="right"/>
              <w:rPr>
                <w:rFonts w:asciiTheme="majorHAnsi" w:hAnsiTheme="majorHAnsi" w:cstheme="majorHAnsi"/>
                <w:sz w:val="22"/>
                <w:lang w:val="de-DE"/>
              </w:rPr>
            </w:pPr>
            <w:r>
              <w:rPr>
                <w:rFonts w:asciiTheme="majorHAnsi" w:hAnsiTheme="majorHAnsi" w:cstheme="majorHAnsi"/>
                <w:sz w:val="22"/>
                <w:lang w:val="de-DE"/>
              </w:rPr>
              <w:t>Model</w:t>
            </w:r>
            <w:r w:rsidRPr="008C0556">
              <w:rPr>
                <w:rFonts w:asciiTheme="majorHAnsi" w:hAnsiTheme="majorHAnsi" w:cstheme="majorHAnsi"/>
                <w:sz w:val="22"/>
                <w:lang w:val="de-DE"/>
              </w:rPr>
              <w:t xml:space="preserve"> </w:t>
            </w:r>
            <w:r w:rsidR="00EF7BFD" w:rsidRPr="008C0556">
              <w:rPr>
                <w:rFonts w:asciiTheme="majorHAnsi" w:hAnsiTheme="majorHAnsi" w:cstheme="majorHAnsi"/>
                <w:sz w:val="22"/>
                <w:lang w:val="de-DE"/>
              </w:rPr>
              <w:t>2</w:t>
            </w:r>
          </w:p>
        </w:tc>
        <w:tc>
          <w:tcPr>
            <w:tcW w:w="2410" w:type="dxa"/>
            <w:tcBorders>
              <w:top w:val="single" w:sz="4" w:space="0" w:color="auto"/>
              <w:left w:val="nil"/>
              <w:bottom w:val="single" w:sz="4" w:space="0" w:color="auto"/>
              <w:right w:val="nil"/>
            </w:tcBorders>
          </w:tcPr>
          <w:p w14:paraId="41DFF3B2" w14:textId="74B67C03" w:rsidR="00EF7BFD" w:rsidRPr="008C0556" w:rsidRDefault="00A539C8" w:rsidP="003B7725">
            <w:pPr>
              <w:jc w:val="right"/>
              <w:rPr>
                <w:rFonts w:asciiTheme="majorHAnsi" w:hAnsiTheme="majorHAnsi" w:cstheme="majorHAnsi"/>
                <w:sz w:val="22"/>
                <w:lang w:val="de-DE"/>
              </w:rPr>
            </w:pPr>
            <w:r>
              <w:rPr>
                <w:rFonts w:asciiTheme="majorHAnsi" w:hAnsiTheme="majorHAnsi" w:cstheme="majorHAnsi"/>
                <w:sz w:val="22"/>
                <w:lang w:val="de-DE"/>
              </w:rPr>
              <w:t>Model</w:t>
            </w:r>
            <w:r w:rsidRPr="008C0556">
              <w:rPr>
                <w:rFonts w:asciiTheme="majorHAnsi" w:hAnsiTheme="majorHAnsi" w:cstheme="majorHAnsi"/>
                <w:sz w:val="22"/>
                <w:lang w:val="de-DE"/>
              </w:rPr>
              <w:t xml:space="preserve"> </w:t>
            </w:r>
            <w:r w:rsidR="00EF7BFD" w:rsidRPr="008C0556">
              <w:rPr>
                <w:rFonts w:asciiTheme="majorHAnsi" w:hAnsiTheme="majorHAnsi" w:cstheme="majorHAnsi"/>
                <w:sz w:val="22"/>
                <w:lang w:val="de-DE"/>
              </w:rPr>
              <w:t>1</w:t>
            </w:r>
          </w:p>
        </w:tc>
        <w:tc>
          <w:tcPr>
            <w:tcW w:w="2103" w:type="dxa"/>
            <w:tcBorders>
              <w:top w:val="single" w:sz="4" w:space="0" w:color="auto"/>
              <w:left w:val="nil"/>
              <w:bottom w:val="single" w:sz="4" w:space="0" w:color="auto"/>
              <w:right w:val="nil"/>
            </w:tcBorders>
          </w:tcPr>
          <w:p w14:paraId="4794BE11" w14:textId="6F2AB038" w:rsidR="00EF7BFD" w:rsidRPr="008C0556" w:rsidRDefault="00A539C8" w:rsidP="003B7725">
            <w:pPr>
              <w:jc w:val="right"/>
              <w:rPr>
                <w:rFonts w:asciiTheme="majorHAnsi" w:hAnsiTheme="majorHAnsi" w:cstheme="majorHAnsi"/>
                <w:sz w:val="22"/>
                <w:lang w:val="de-DE"/>
              </w:rPr>
            </w:pPr>
            <w:r>
              <w:rPr>
                <w:rFonts w:asciiTheme="majorHAnsi" w:hAnsiTheme="majorHAnsi" w:cstheme="majorHAnsi"/>
                <w:sz w:val="22"/>
                <w:lang w:val="de-DE"/>
              </w:rPr>
              <w:t>Model</w:t>
            </w:r>
            <w:r w:rsidRPr="008C0556">
              <w:rPr>
                <w:rFonts w:asciiTheme="majorHAnsi" w:hAnsiTheme="majorHAnsi" w:cstheme="majorHAnsi"/>
                <w:sz w:val="22"/>
                <w:lang w:val="de-DE"/>
              </w:rPr>
              <w:t xml:space="preserve"> </w:t>
            </w:r>
            <w:r w:rsidR="00EF7BFD" w:rsidRPr="008C0556">
              <w:rPr>
                <w:rFonts w:asciiTheme="majorHAnsi" w:hAnsiTheme="majorHAnsi" w:cstheme="majorHAnsi"/>
                <w:sz w:val="22"/>
                <w:lang w:val="de-DE"/>
              </w:rPr>
              <w:t>2</w:t>
            </w:r>
          </w:p>
        </w:tc>
      </w:tr>
      <w:tr w:rsidR="00EF7BFD" w:rsidRPr="008C0556" w14:paraId="6EB8DF39" w14:textId="77777777" w:rsidTr="003B7725">
        <w:tc>
          <w:tcPr>
            <w:tcW w:w="2948" w:type="dxa"/>
            <w:tcBorders>
              <w:top w:val="single" w:sz="4" w:space="0" w:color="auto"/>
              <w:left w:val="nil"/>
              <w:bottom w:val="nil"/>
              <w:right w:val="nil"/>
            </w:tcBorders>
          </w:tcPr>
          <w:p w14:paraId="00F7EEB0" w14:textId="54048660" w:rsidR="00EF7BFD" w:rsidRPr="008C0556" w:rsidRDefault="00A539C8" w:rsidP="003B7725">
            <w:pPr>
              <w:rPr>
                <w:rFonts w:asciiTheme="majorHAnsi" w:hAnsiTheme="majorHAnsi" w:cstheme="majorHAnsi"/>
                <w:sz w:val="22"/>
                <w:lang w:val="de-DE"/>
              </w:rPr>
            </w:pPr>
            <w:r>
              <w:rPr>
                <w:rFonts w:asciiTheme="majorHAnsi" w:hAnsiTheme="majorHAnsi" w:cstheme="majorHAnsi"/>
                <w:sz w:val="22"/>
                <w:lang w:val="de-DE"/>
              </w:rPr>
              <w:t>Female</w:t>
            </w:r>
          </w:p>
        </w:tc>
        <w:tc>
          <w:tcPr>
            <w:tcW w:w="2547" w:type="dxa"/>
            <w:tcBorders>
              <w:top w:val="single" w:sz="4" w:space="0" w:color="auto"/>
              <w:left w:val="nil"/>
              <w:bottom w:val="nil"/>
              <w:right w:val="nil"/>
            </w:tcBorders>
            <w:vAlign w:val="bottom"/>
          </w:tcPr>
          <w:p w14:paraId="428C7D5A"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268046[524411]</w:t>
            </w:r>
          </w:p>
        </w:tc>
        <w:tc>
          <w:tcPr>
            <w:tcW w:w="2268" w:type="dxa"/>
            <w:tcBorders>
              <w:top w:val="single" w:sz="4" w:space="0" w:color="auto"/>
              <w:left w:val="nil"/>
              <w:bottom w:val="nil"/>
              <w:right w:val="nil"/>
            </w:tcBorders>
            <w:vAlign w:val="bottom"/>
          </w:tcPr>
          <w:p w14:paraId="22B1AE01"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-699708 [488495]</w:t>
            </w:r>
          </w:p>
        </w:tc>
        <w:tc>
          <w:tcPr>
            <w:tcW w:w="2268" w:type="dxa"/>
            <w:tcBorders>
              <w:top w:val="single" w:sz="4" w:space="0" w:color="auto"/>
              <w:left w:val="nil"/>
              <w:bottom w:val="nil"/>
              <w:right w:val="nil"/>
            </w:tcBorders>
            <w:vAlign w:val="bottom"/>
          </w:tcPr>
          <w:p w14:paraId="156D262C"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-583098 [796657]</w:t>
            </w:r>
          </w:p>
        </w:tc>
        <w:tc>
          <w:tcPr>
            <w:tcW w:w="2410" w:type="dxa"/>
            <w:tcBorders>
              <w:top w:val="single" w:sz="4" w:space="0" w:color="auto"/>
              <w:left w:val="nil"/>
              <w:bottom w:val="nil"/>
              <w:right w:val="nil"/>
            </w:tcBorders>
            <w:vAlign w:val="bottom"/>
          </w:tcPr>
          <w:p w14:paraId="175E163E"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-405448 [482570]</w:t>
            </w:r>
          </w:p>
        </w:tc>
        <w:tc>
          <w:tcPr>
            <w:tcW w:w="2103" w:type="dxa"/>
            <w:tcBorders>
              <w:top w:val="single" w:sz="4" w:space="0" w:color="auto"/>
              <w:left w:val="nil"/>
              <w:bottom w:val="nil"/>
              <w:right w:val="nil"/>
            </w:tcBorders>
            <w:vAlign w:val="bottom"/>
          </w:tcPr>
          <w:p w14:paraId="0F87FB1A"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532595 [777143]</w:t>
            </w:r>
          </w:p>
        </w:tc>
      </w:tr>
      <w:tr w:rsidR="00EF7BFD" w:rsidRPr="008C0556" w14:paraId="2F417D80" w14:textId="77777777" w:rsidTr="003B7725">
        <w:tc>
          <w:tcPr>
            <w:tcW w:w="2948" w:type="dxa"/>
            <w:tcBorders>
              <w:top w:val="nil"/>
              <w:left w:val="nil"/>
              <w:bottom w:val="nil"/>
              <w:right w:val="nil"/>
            </w:tcBorders>
          </w:tcPr>
          <w:p w14:paraId="45587230" w14:textId="3D9D52F9" w:rsidR="00EF7BFD" w:rsidRPr="008C0556" w:rsidRDefault="00A539C8" w:rsidP="003B7725">
            <w:pPr>
              <w:rPr>
                <w:rFonts w:asciiTheme="majorHAnsi" w:hAnsiTheme="majorHAnsi" w:cstheme="majorHAnsi"/>
                <w:sz w:val="22"/>
                <w:lang w:val="de-DE"/>
              </w:rPr>
            </w:pPr>
            <w:r>
              <w:rPr>
                <w:rFonts w:asciiTheme="majorHAnsi" w:hAnsiTheme="majorHAnsi" w:cstheme="majorHAnsi"/>
                <w:sz w:val="22"/>
                <w:lang w:val="de-DE"/>
              </w:rPr>
              <w:t>Age</w:t>
            </w:r>
          </w:p>
        </w:tc>
        <w:tc>
          <w:tcPr>
            <w:tcW w:w="2547" w:type="dxa"/>
            <w:tcBorders>
              <w:top w:val="nil"/>
              <w:left w:val="nil"/>
              <w:bottom w:val="nil"/>
              <w:right w:val="nil"/>
            </w:tcBorders>
            <w:vAlign w:val="bottom"/>
          </w:tcPr>
          <w:p w14:paraId="6D21653D"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39806 [31678]</w:t>
            </w:r>
          </w:p>
        </w:tc>
        <w:tc>
          <w:tcPr>
            <w:tcW w:w="2268" w:type="dxa"/>
            <w:tcBorders>
              <w:top w:val="nil"/>
              <w:left w:val="nil"/>
              <w:bottom w:val="nil"/>
              <w:right w:val="nil"/>
            </w:tcBorders>
            <w:vAlign w:val="bottom"/>
          </w:tcPr>
          <w:p w14:paraId="3535D224"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11522 [22917]</w:t>
            </w:r>
          </w:p>
        </w:tc>
        <w:tc>
          <w:tcPr>
            <w:tcW w:w="2268" w:type="dxa"/>
            <w:tcBorders>
              <w:top w:val="nil"/>
              <w:left w:val="nil"/>
              <w:bottom w:val="nil"/>
              <w:right w:val="nil"/>
            </w:tcBorders>
            <w:vAlign w:val="bottom"/>
          </w:tcPr>
          <w:p w14:paraId="6CCB8804"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-27766 [35999]</w:t>
            </w:r>
          </w:p>
        </w:tc>
        <w:tc>
          <w:tcPr>
            <w:tcW w:w="2410" w:type="dxa"/>
            <w:tcBorders>
              <w:top w:val="nil"/>
              <w:left w:val="nil"/>
              <w:bottom w:val="nil"/>
              <w:right w:val="nil"/>
            </w:tcBorders>
            <w:vAlign w:val="bottom"/>
          </w:tcPr>
          <w:p w14:paraId="572DF298"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11210 [27440]</w:t>
            </w:r>
          </w:p>
        </w:tc>
        <w:tc>
          <w:tcPr>
            <w:tcW w:w="2103" w:type="dxa"/>
            <w:tcBorders>
              <w:top w:val="nil"/>
              <w:left w:val="nil"/>
              <w:bottom w:val="nil"/>
              <w:right w:val="nil"/>
            </w:tcBorders>
            <w:vAlign w:val="bottom"/>
          </w:tcPr>
          <w:p w14:paraId="18C095DA"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124986 [</w:t>
            </w:r>
            <w:proofErr w:type="gramStart"/>
            <w:r w:rsidRPr="008C0556">
              <w:rPr>
                <w:rFonts w:asciiTheme="majorHAnsi" w:eastAsia="Times New Roman" w:hAnsiTheme="majorHAnsi" w:cstheme="majorHAnsi"/>
                <w:color w:val="000000"/>
                <w:sz w:val="22"/>
              </w:rPr>
              <w:t>65892]*</w:t>
            </w:r>
            <w:proofErr w:type="gramEnd"/>
          </w:p>
        </w:tc>
      </w:tr>
      <w:tr w:rsidR="00EF7BFD" w:rsidRPr="008C0556" w14:paraId="55124EAB" w14:textId="77777777" w:rsidTr="003B7725">
        <w:tc>
          <w:tcPr>
            <w:tcW w:w="2948" w:type="dxa"/>
            <w:tcBorders>
              <w:top w:val="nil"/>
              <w:left w:val="nil"/>
              <w:bottom w:val="nil"/>
              <w:right w:val="nil"/>
            </w:tcBorders>
          </w:tcPr>
          <w:p w14:paraId="7E785EE7" w14:textId="4544F9C2" w:rsidR="00EF7BFD" w:rsidRPr="008C0556" w:rsidRDefault="00A539C8" w:rsidP="003B7725">
            <w:pPr>
              <w:rPr>
                <w:rFonts w:asciiTheme="majorHAnsi" w:hAnsiTheme="majorHAnsi" w:cstheme="majorHAnsi"/>
                <w:sz w:val="22"/>
                <w:lang w:val="de-DE"/>
              </w:rPr>
            </w:pPr>
            <w:r>
              <w:rPr>
                <w:rFonts w:asciiTheme="majorHAnsi" w:hAnsiTheme="majorHAnsi" w:cstheme="majorHAnsi"/>
                <w:sz w:val="22"/>
                <w:lang w:val="de-DE"/>
              </w:rPr>
              <w:t>Place of birth</w:t>
            </w:r>
          </w:p>
          <w:p w14:paraId="6ADDC817" w14:textId="5E2E498F" w:rsidR="00EF7BFD" w:rsidRPr="008C0556" w:rsidRDefault="00EF7BFD" w:rsidP="003B7725">
            <w:pPr>
              <w:rPr>
                <w:rFonts w:asciiTheme="majorHAnsi" w:hAnsiTheme="majorHAnsi" w:cstheme="majorHAnsi"/>
                <w:sz w:val="22"/>
                <w:lang w:val="de-DE"/>
              </w:rPr>
            </w:pPr>
            <w:r w:rsidRPr="008C0556">
              <w:rPr>
                <w:rFonts w:asciiTheme="majorHAnsi" w:hAnsiTheme="majorHAnsi" w:cstheme="majorHAnsi"/>
                <w:sz w:val="22"/>
                <w:lang w:val="de-DE"/>
              </w:rPr>
              <w:t xml:space="preserve">           </w:t>
            </w:r>
            <w:r w:rsidR="00A539C8">
              <w:rPr>
                <w:rFonts w:asciiTheme="majorHAnsi" w:hAnsiTheme="majorHAnsi" w:cstheme="majorHAnsi"/>
                <w:sz w:val="22"/>
                <w:lang w:val="de-DE"/>
              </w:rPr>
              <w:t>Dong Van</w:t>
            </w:r>
          </w:p>
        </w:tc>
        <w:tc>
          <w:tcPr>
            <w:tcW w:w="2547" w:type="dxa"/>
            <w:tcBorders>
              <w:top w:val="nil"/>
              <w:left w:val="nil"/>
              <w:bottom w:val="nil"/>
              <w:right w:val="nil"/>
            </w:tcBorders>
            <w:vAlign w:val="bottom"/>
          </w:tcPr>
          <w:p w14:paraId="59520414" w14:textId="77777777" w:rsidR="00EF7BFD" w:rsidRPr="008C0556" w:rsidRDefault="00EF7BFD" w:rsidP="003B7725">
            <w:pPr>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-1179883 [</w:t>
            </w:r>
            <w:proofErr w:type="gramStart"/>
            <w:r w:rsidRPr="008C0556">
              <w:rPr>
                <w:rFonts w:asciiTheme="majorHAnsi" w:eastAsia="Times New Roman" w:hAnsiTheme="majorHAnsi" w:cstheme="majorHAnsi"/>
                <w:color w:val="000000"/>
                <w:sz w:val="22"/>
              </w:rPr>
              <w:t>719561]*</w:t>
            </w:r>
            <w:proofErr w:type="gramEnd"/>
          </w:p>
        </w:tc>
        <w:tc>
          <w:tcPr>
            <w:tcW w:w="2268" w:type="dxa"/>
            <w:tcBorders>
              <w:top w:val="nil"/>
              <w:left w:val="nil"/>
              <w:bottom w:val="nil"/>
              <w:right w:val="nil"/>
            </w:tcBorders>
            <w:vAlign w:val="bottom"/>
          </w:tcPr>
          <w:p w14:paraId="3A73587F" w14:textId="77777777" w:rsidR="00EF7BFD" w:rsidRPr="008C0556" w:rsidRDefault="00EF7BFD" w:rsidP="003B7725">
            <w:pPr>
              <w:jc w:val="right"/>
              <w:rPr>
                <w:rFonts w:asciiTheme="majorHAnsi" w:eastAsia="Times New Roman" w:hAnsiTheme="majorHAnsi" w:cstheme="majorHAnsi"/>
                <w:color w:val="000000"/>
                <w:sz w:val="22"/>
              </w:rPr>
            </w:pPr>
          </w:p>
        </w:tc>
        <w:tc>
          <w:tcPr>
            <w:tcW w:w="2268" w:type="dxa"/>
            <w:tcBorders>
              <w:top w:val="nil"/>
              <w:left w:val="nil"/>
              <w:bottom w:val="nil"/>
              <w:right w:val="nil"/>
            </w:tcBorders>
            <w:vAlign w:val="bottom"/>
          </w:tcPr>
          <w:p w14:paraId="7616C2D2" w14:textId="77777777" w:rsidR="00EF7BFD" w:rsidRPr="008C0556" w:rsidRDefault="00EF7BFD" w:rsidP="003B7725">
            <w:pPr>
              <w:jc w:val="right"/>
              <w:rPr>
                <w:rFonts w:asciiTheme="majorHAnsi" w:eastAsia="Times New Roman" w:hAnsiTheme="majorHAnsi" w:cstheme="majorHAnsi"/>
                <w:color w:val="000000"/>
                <w:sz w:val="22"/>
              </w:rPr>
            </w:pPr>
          </w:p>
        </w:tc>
        <w:tc>
          <w:tcPr>
            <w:tcW w:w="2410" w:type="dxa"/>
            <w:tcBorders>
              <w:top w:val="nil"/>
              <w:left w:val="nil"/>
              <w:bottom w:val="nil"/>
              <w:right w:val="nil"/>
            </w:tcBorders>
            <w:vAlign w:val="bottom"/>
          </w:tcPr>
          <w:p w14:paraId="623CE574" w14:textId="77777777" w:rsidR="00EF7BFD" w:rsidRPr="008C0556" w:rsidRDefault="00EF7BFD" w:rsidP="003B7725">
            <w:pPr>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1550556 [1973768]</w:t>
            </w:r>
          </w:p>
        </w:tc>
        <w:tc>
          <w:tcPr>
            <w:tcW w:w="2103" w:type="dxa"/>
            <w:tcBorders>
              <w:top w:val="nil"/>
              <w:left w:val="nil"/>
              <w:bottom w:val="nil"/>
              <w:right w:val="nil"/>
            </w:tcBorders>
            <w:vAlign w:val="bottom"/>
          </w:tcPr>
          <w:p w14:paraId="553B7406" w14:textId="77777777" w:rsidR="00EF7BFD" w:rsidRPr="008C0556" w:rsidRDefault="00EF7BFD" w:rsidP="003B7725">
            <w:pPr>
              <w:jc w:val="right"/>
              <w:rPr>
                <w:rFonts w:asciiTheme="majorHAnsi" w:eastAsia="Times New Roman" w:hAnsiTheme="majorHAnsi" w:cstheme="majorHAnsi"/>
                <w:color w:val="000000"/>
                <w:sz w:val="22"/>
              </w:rPr>
            </w:pPr>
          </w:p>
          <w:p w14:paraId="64DEDEB2"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718223 [1118501]</w:t>
            </w:r>
          </w:p>
        </w:tc>
      </w:tr>
      <w:tr w:rsidR="00EF7BFD" w:rsidRPr="008C0556" w14:paraId="1FFB3A40" w14:textId="77777777" w:rsidTr="003B7725">
        <w:tc>
          <w:tcPr>
            <w:tcW w:w="2948" w:type="dxa"/>
            <w:tcBorders>
              <w:top w:val="nil"/>
              <w:left w:val="nil"/>
              <w:bottom w:val="nil"/>
              <w:right w:val="nil"/>
            </w:tcBorders>
          </w:tcPr>
          <w:p w14:paraId="3A60E790" w14:textId="602FCA13" w:rsidR="00EF7BFD" w:rsidRPr="008C0556" w:rsidRDefault="00A539C8" w:rsidP="003B7725">
            <w:pPr>
              <w:rPr>
                <w:rFonts w:asciiTheme="majorHAnsi" w:hAnsiTheme="majorHAnsi" w:cstheme="majorHAnsi"/>
                <w:sz w:val="22"/>
                <w:lang w:val="de-DE"/>
              </w:rPr>
            </w:pPr>
            <w:r>
              <w:rPr>
                <w:rFonts w:asciiTheme="majorHAnsi" w:hAnsiTheme="majorHAnsi" w:cstheme="majorHAnsi"/>
                <w:sz w:val="22"/>
                <w:lang w:val="de-DE"/>
              </w:rPr>
              <w:t>Marital status</w:t>
            </w:r>
          </w:p>
          <w:p w14:paraId="32A0594D" w14:textId="3A7750F0" w:rsidR="00EF7BFD" w:rsidRPr="008C0556" w:rsidRDefault="00EF7BFD" w:rsidP="003B7725">
            <w:pPr>
              <w:rPr>
                <w:rFonts w:asciiTheme="majorHAnsi" w:hAnsiTheme="majorHAnsi" w:cstheme="majorHAnsi"/>
                <w:sz w:val="22"/>
                <w:lang w:val="de-DE"/>
              </w:rPr>
            </w:pPr>
            <w:r w:rsidRPr="008C0556">
              <w:rPr>
                <w:rFonts w:asciiTheme="majorHAnsi" w:hAnsiTheme="majorHAnsi" w:cstheme="majorHAnsi"/>
                <w:sz w:val="22"/>
                <w:lang w:val="de-DE"/>
              </w:rPr>
              <w:t xml:space="preserve">    2. </w:t>
            </w:r>
            <w:r w:rsidR="00A539C8">
              <w:rPr>
                <w:rFonts w:asciiTheme="majorHAnsi" w:hAnsiTheme="majorHAnsi" w:cstheme="majorHAnsi"/>
                <w:sz w:val="22"/>
                <w:lang w:val="de-DE"/>
              </w:rPr>
              <w:t>Single</w:t>
            </w:r>
          </w:p>
          <w:p w14:paraId="4C8EBE95" w14:textId="75EABD3D" w:rsidR="00EF7BFD" w:rsidRPr="008C0556" w:rsidRDefault="00EF7BFD" w:rsidP="003B7725">
            <w:pPr>
              <w:rPr>
                <w:rFonts w:asciiTheme="majorHAnsi" w:hAnsiTheme="majorHAnsi" w:cstheme="majorHAnsi"/>
                <w:sz w:val="22"/>
                <w:lang w:val="de-DE"/>
              </w:rPr>
            </w:pPr>
            <w:r w:rsidRPr="008C0556">
              <w:rPr>
                <w:rFonts w:asciiTheme="majorHAnsi" w:hAnsiTheme="majorHAnsi" w:cstheme="majorHAnsi"/>
                <w:sz w:val="22"/>
                <w:lang w:val="de-DE"/>
              </w:rPr>
              <w:t xml:space="preserve">    3. </w:t>
            </w:r>
            <w:r w:rsidR="00A539C8">
              <w:rPr>
                <w:rFonts w:asciiTheme="majorHAnsi" w:hAnsiTheme="majorHAnsi" w:cstheme="majorHAnsi"/>
                <w:sz w:val="22"/>
                <w:lang w:val="de-DE"/>
              </w:rPr>
              <w:t>Separated/Divorced</w:t>
            </w:r>
          </w:p>
          <w:p w14:paraId="1B322B47" w14:textId="0F4E27AA" w:rsidR="00EF7BFD" w:rsidRPr="008C0556" w:rsidRDefault="00EF7BFD" w:rsidP="003B7725">
            <w:pPr>
              <w:rPr>
                <w:rFonts w:asciiTheme="majorHAnsi" w:hAnsiTheme="majorHAnsi" w:cstheme="majorHAnsi"/>
                <w:sz w:val="22"/>
                <w:lang w:val="de-DE"/>
              </w:rPr>
            </w:pPr>
            <w:r w:rsidRPr="008C0556">
              <w:rPr>
                <w:rFonts w:asciiTheme="majorHAnsi" w:hAnsiTheme="majorHAnsi" w:cstheme="majorHAnsi"/>
                <w:sz w:val="22"/>
                <w:lang w:val="de-DE"/>
              </w:rPr>
              <w:t xml:space="preserve">    4. </w:t>
            </w:r>
            <w:r w:rsidR="00A539C8">
              <w:rPr>
                <w:rFonts w:asciiTheme="majorHAnsi" w:hAnsiTheme="majorHAnsi" w:cstheme="majorHAnsi"/>
                <w:sz w:val="22"/>
                <w:lang w:val="de-DE"/>
              </w:rPr>
              <w:t>Widowed</w:t>
            </w:r>
          </w:p>
        </w:tc>
        <w:tc>
          <w:tcPr>
            <w:tcW w:w="2547" w:type="dxa"/>
            <w:tcBorders>
              <w:top w:val="nil"/>
              <w:left w:val="nil"/>
              <w:bottom w:val="nil"/>
              <w:right w:val="nil"/>
            </w:tcBorders>
            <w:vAlign w:val="bottom"/>
          </w:tcPr>
          <w:p w14:paraId="6EB311C4"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412461 [698595]</w:t>
            </w:r>
          </w:p>
          <w:p w14:paraId="66BD7746"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851734 [1668148]</w:t>
            </w:r>
          </w:p>
          <w:p w14:paraId="0D95A800"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-2591946 [</w:t>
            </w:r>
            <w:proofErr w:type="gramStart"/>
            <w:r w:rsidRPr="008C0556">
              <w:rPr>
                <w:rFonts w:asciiTheme="majorHAnsi" w:eastAsia="Times New Roman" w:hAnsiTheme="majorHAnsi" w:cstheme="majorHAnsi"/>
                <w:color w:val="000000"/>
                <w:sz w:val="22"/>
              </w:rPr>
              <w:t>1045131]*</w:t>
            </w:r>
            <w:proofErr w:type="gramEnd"/>
            <w:r w:rsidRPr="008C0556">
              <w:rPr>
                <w:rFonts w:asciiTheme="majorHAnsi" w:eastAsia="Times New Roman" w:hAnsiTheme="majorHAnsi" w:cstheme="majorHAnsi"/>
                <w:color w:val="000000"/>
                <w:sz w:val="22"/>
              </w:rPr>
              <w:t>**</w:t>
            </w:r>
          </w:p>
        </w:tc>
        <w:tc>
          <w:tcPr>
            <w:tcW w:w="2268" w:type="dxa"/>
            <w:tcBorders>
              <w:top w:val="nil"/>
              <w:left w:val="nil"/>
              <w:bottom w:val="nil"/>
              <w:right w:val="nil"/>
            </w:tcBorders>
            <w:vAlign w:val="bottom"/>
          </w:tcPr>
          <w:p w14:paraId="415ACD3C"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-177929 [549206]</w:t>
            </w:r>
          </w:p>
          <w:p w14:paraId="53804A57"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0</w:t>
            </w:r>
          </w:p>
          <w:p w14:paraId="7BB0D9BF"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-1316388 [</w:t>
            </w:r>
            <w:proofErr w:type="gramStart"/>
            <w:r w:rsidRPr="008C0556">
              <w:rPr>
                <w:rFonts w:asciiTheme="majorHAnsi" w:eastAsia="Times New Roman" w:hAnsiTheme="majorHAnsi" w:cstheme="majorHAnsi"/>
                <w:color w:val="000000"/>
                <w:sz w:val="22"/>
              </w:rPr>
              <w:t>699251]*</w:t>
            </w:r>
            <w:proofErr w:type="gramEnd"/>
            <w:r w:rsidRPr="008C0556">
              <w:rPr>
                <w:rFonts w:asciiTheme="majorHAnsi" w:eastAsia="Times New Roman" w:hAnsiTheme="majorHAnsi" w:cstheme="majorHAnsi"/>
                <w:color w:val="000000"/>
                <w:sz w:val="22"/>
              </w:rPr>
              <w:t>*</w:t>
            </w:r>
          </w:p>
        </w:tc>
        <w:tc>
          <w:tcPr>
            <w:tcW w:w="2268" w:type="dxa"/>
            <w:tcBorders>
              <w:top w:val="nil"/>
              <w:left w:val="nil"/>
              <w:bottom w:val="nil"/>
              <w:right w:val="nil"/>
            </w:tcBorders>
            <w:vAlign w:val="bottom"/>
          </w:tcPr>
          <w:p w14:paraId="4A9E750A"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776583 [1074597]</w:t>
            </w:r>
          </w:p>
          <w:p w14:paraId="3BFCD5D4"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0</w:t>
            </w:r>
          </w:p>
          <w:p w14:paraId="6DA3EDA5"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-1232825 [1029942]</w:t>
            </w:r>
          </w:p>
        </w:tc>
        <w:tc>
          <w:tcPr>
            <w:tcW w:w="2410" w:type="dxa"/>
            <w:tcBorders>
              <w:top w:val="nil"/>
              <w:left w:val="nil"/>
              <w:bottom w:val="nil"/>
              <w:right w:val="nil"/>
            </w:tcBorders>
            <w:vAlign w:val="bottom"/>
          </w:tcPr>
          <w:p w14:paraId="44E0C5A8"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15344 [608897]</w:t>
            </w:r>
          </w:p>
          <w:p w14:paraId="7E0B9B77"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248827 [1330739]</w:t>
            </w:r>
          </w:p>
          <w:p w14:paraId="1E58117A"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-3223806 [</w:t>
            </w:r>
            <w:proofErr w:type="gramStart"/>
            <w:r w:rsidRPr="008C0556">
              <w:rPr>
                <w:rFonts w:asciiTheme="majorHAnsi" w:eastAsia="Times New Roman" w:hAnsiTheme="majorHAnsi" w:cstheme="majorHAnsi"/>
                <w:color w:val="000000"/>
                <w:sz w:val="22"/>
              </w:rPr>
              <w:t>1890141]*</w:t>
            </w:r>
            <w:proofErr w:type="gramEnd"/>
          </w:p>
        </w:tc>
        <w:tc>
          <w:tcPr>
            <w:tcW w:w="2103" w:type="dxa"/>
            <w:tcBorders>
              <w:top w:val="nil"/>
              <w:left w:val="nil"/>
              <w:bottom w:val="nil"/>
              <w:right w:val="nil"/>
            </w:tcBorders>
            <w:vAlign w:val="bottom"/>
          </w:tcPr>
          <w:p w14:paraId="33A348DE"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-551959 [2279264]</w:t>
            </w:r>
          </w:p>
          <w:p w14:paraId="1A2F346F"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-11600000 [</w:t>
            </w:r>
            <w:proofErr w:type="gramStart"/>
            <w:r w:rsidRPr="008C0556">
              <w:rPr>
                <w:rFonts w:asciiTheme="majorHAnsi" w:eastAsia="Times New Roman" w:hAnsiTheme="majorHAnsi" w:cstheme="majorHAnsi"/>
                <w:color w:val="000000"/>
                <w:sz w:val="22"/>
              </w:rPr>
              <w:t>3762763]*</w:t>
            </w:r>
            <w:proofErr w:type="gramEnd"/>
            <w:r w:rsidRPr="008C0556">
              <w:rPr>
                <w:rFonts w:asciiTheme="majorHAnsi" w:eastAsia="Times New Roman" w:hAnsiTheme="majorHAnsi" w:cstheme="majorHAnsi"/>
                <w:color w:val="000000"/>
                <w:sz w:val="22"/>
              </w:rPr>
              <w:t>**</w:t>
            </w:r>
          </w:p>
        </w:tc>
      </w:tr>
      <w:tr w:rsidR="00EF7BFD" w:rsidRPr="008C0556" w14:paraId="7E403BC2" w14:textId="77777777" w:rsidTr="003B7725">
        <w:tc>
          <w:tcPr>
            <w:tcW w:w="2948" w:type="dxa"/>
            <w:tcBorders>
              <w:top w:val="nil"/>
              <w:left w:val="nil"/>
              <w:bottom w:val="nil"/>
              <w:right w:val="nil"/>
            </w:tcBorders>
          </w:tcPr>
          <w:p w14:paraId="03F67E5F" w14:textId="61862AA6" w:rsidR="00EF7BFD" w:rsidRPr="008C0556" w:rsidRDefault="00A539C8" w:rsidP="003B7725">
            <w:pPr>
              <w:rPr>
                <w:rFonts w:asciiTheme="majorHAnsi" w:hAnsiTheme="majorHAnsi" w:cstheme="majorHAnsi"/>
                <w:sz w:val="22"/>
                <w:lang w:val="de-DE"/>
              </w:rPr>
            </w:pPr>
            <w:r>
              <w:rPr>
                <w:rFonts w:asciiTheme="majorHAnsi" w:hAnsiTheme="majorHAnsi" w:cstheme="majorHAnsi"/>
                <w:sz w:val="22"/>
                <w:lang w:val="de-DE"/>
              </w:rPr>
              <w:t>Education level</w:t>
            </w:r>
          </w:p>
        </w:tc>
        <w:tc>
          <w:tcPr>
            <w:tcW w:w="2547" w:type="dxa"/>
            <w:tcBorders>
              <w:top w:val="nil"/>
              <w:left w:val="nil"/>
              <w:bottom w:val="nil"/>
              <w:right w:val="nil"/>
            </w:tcBorders>
            <w:vAlign w:val="bottom"/>
          </w:tcPr>
          <w:p w14:paraId="225AC32D"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-80596 [160365]</w:t>
            </w:r>
          </w:p>
        </w:tc>
        <w:tc>
          <w:tcPr>
            <w:tcW w:w="2268" w:type="dxa"/>
            <w:tcBorders>
              <w:top w:val="nil"/>
              <w:left w:val="nil"/>
              <w:bottom w:val="nil"/>
              <w:right w:val="nil"/>
            </w:tcBorders>
            <w:vAlign w:val="bottom"/>
          </w:tcPr>
          <w:p w14:paraId="0EFE65D3" w14:textId="77777777" w:rsidR="00EF7BFD" w:rsidRPr="008C0556" w:rsidRDefault="00EF7BFD" w:rsidP="003B7725">
            <w:pPr>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14446 [171377]</w:t>
            </w:r>
          </w:p>
        </w:tc>
        <w:tc>
          <w:tcPr>
            <w:tcW w:w="2268" w:type="dxa"/>
            <w:tcBorders>
              <w:top w:val="nil"/>
              <w:left w:val="nil"/>
              <w:bottom w:val="nil"/>
              <w:right w:val="nil"/>
            </w:tcBorders>
            <w:vAlign w:val="bottom"/>
          </w:tcPr>
          <w:p w14:paraId="50950646"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-157617 [208687]</w:t>
            </w:r>
          </w:p>
        </w:tc>
        <w:tc>
          <w:tcPr>
            <w:tcW w:w="2410" w:type="dxa"/>
            <w:tcBorders>
              <w:top w:val="nil"/>
              <w:left w:val="nil"/>
              <w:bottom w:val="nil"/>
              <w:right w:val="nil"/>
            </w:tcBorders>
            <w:vAlign w:val="bottom"/>
          </w:tcPr>
          <w:p w14:paraId="001E953C"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13777 [131632]</w:t>
            </w:r>
          </w:p>
        </w:tc>
        <w:tc>
          <w:tcPr>
            <w:tcW w:w="2103" w:type="dxa"/>
            <w:tcBorders>
              <w:top w:val="nil"/>
              <w:left w:val="nil"/>
              <w:bottom w:val="nil"/>
              <w:right w:val="nil"/>
            </w:tcBorders>
            <w:vAlign w:val="bottom"/>
          </w:tcPr>
          <w:p w14:paraId="304FBE31"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55031 [266246]</w:t>
            </w:r>
          </w:p>
        </w:tc>
      </w:tr>
      <w:tr w:rsidR="00EF7BFD" w:rsidRPr="008C0556" w14:paraId="4D50D037" w14:textId="77777777" w:rsidTr="003B7725">
        <w:tc>
          <w:tcPr>
            <w:tcW w:w="2948" w:type="dxa"/>
            <w:tcBorders>
              <w:top w:val="nil"/>
              <w:left w:val="nil"/>
              <w:bottom w:val="nil"/>
              <w:right w:val="nil"/>
            </w:tcBorders>
          </w:tcPr>
          <w:p w14:paraId="01418787" w14:textId="16419287" w:rsidR="00EF7BFD" w:rsidRPr="008C0556" w:rsidRDefault="00A539C8" w:rsidP="003B7725">
            <w:pPr>
              <w:rPr>
                <w:rFonts w:asciiTheme="majorHAnsi" w:hAnsiTheme="majorHAnsi" w:cstheme="majorHAnsi"/>
                <w:sz w:val="22"/>
                <w:lang w:val="de-DE"/>
              </w:rPr>
            </w:pPr>
            <w:r>
              <w:rPr>
                <w:rFonts w:asciiTheme="majorHAnsi" w:hAnsiTheme="majorHAnsi" w:cstheme="majorHAnsi"/>
                <w:sz w:val="22"/>
                <w:lang w:val="de-DE"/>
              </w:rPr>
              <w:t>Living standard</w:t>
            </w:r>
          </w:p>
        </w:tc>
        <w:tc>
          <w:tcPr>
            <w:tcW w:w="2547" w:type="dxa"/>
            <w:tcBorders>
              <w:top w:val="nil"/>
              <w:left w:val="nil"/>
              <w:bottom w:val="nil"/>
              <w:right w:val="nil"/>
            </w:tcBorders>
            <w:vAlign w:val="bottom"/>
          </w:tcPr>
          <w:p w14:paraId="49F8F7DF"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 xml:space="preserve">42224 [559277] </w:t>
            </w:r>
          </w:p>
        </w:tc>
        <w:tc>
          <w:tcPr>
            <w:tcW w:w="2268" w:type="dxa"/>
            <w:tcBorders>
              <w:top w:val="nil"/>
              <w:left w:val="nil"/>
              <w:bottom w:val="nil"/>
              <w:right w:val="nil"/>
            </w:tcBorders>
            <w:vAlign w:val="bottom"/>
          </w:tcPr>
          <w:p w14:paraId="6F49F7D5"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1024511 [</w:t>
            </w:r>
            <w:proofErr w:type="gramStart"/>
            <w:r w:rsidRPr="008C0556">
              <w:rPr>
                <w:rFonts w:asciiTheme="majorHAnsi" w:eastAsia="Times New Roman" w:hAnsiTheme="majorHAnsi" w:cstheme="majorHAnsi"/>
                <w:color w:val="000000"/>
                <w:sz w:val="22"/>
              </w:rPr>
              <w:t>409839]*</w:t>
            </w:r>
            <w:proofErr w:type="gramEnd"/>
            <w:r w:rsidRPr="008C0556">
              <w:rPr>
                <w:rFonts w:asciiTheme="majorHAnsi" w:eastAsia="Times New Roman" w:hAnsiTheme="majorHAnsi" w:cstheme="majorHAnsi"/>
                <w:color w:val="000000"/>
                <w:sz w:val="22"/>
              </w:rPr>
              <w:t>**</w:t>
            </w:r>
          </w:p>
        </w:tc>
        <w:tc>
          <w:tcPr>
            <w:tcW w:w="2268" w:type="dxa"/>
            <w:tcBorders>
              <w:top w:val="nil"/>
              <w:left w:val="nil"/>
              <w:bottom w:val="nil"/>
              <w:right w:val="nil"/>
            </w:tcBorders>
            <w:vAlign w:val="bottom"/>
          </w:tcPr>
          <w:p w14:paraId="03B5992C"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955072 [</w:t>
            </w:r>
            <w:proofErr w:type="gramStart"/>
            <w:r w:rsidRPr="008C0556">
              <w:rPr>
                <w:rFonts w:asciiTheme="majorHAnsi" w:eastAsia="Times New Roman" w:hAnsiTheme="majorHAnsi" w:cstheme="majorHAnsi"/>
                <w:color w:val="000000"/>
                <w:sz w:val="22"/>
              </w:rPr>
              <w:t>551243]*</w:t>
            </w:r>
            <w:proofErr w:type="gramEnd"/>
          </w:p>
        </w:tc>
        <w:tc>
          <w:tcPr>
            <w:tcW w:w="2410" w:type="dxa"/>
            <w:tcBorders>
              <w:top w:val="nil"/>
              <w:left w:val="nil"/>
              <w:bottom w:val="nil"/>
              <w:right w:val="nil"/>
            </w:tcBorders>
            <w:vAlign w:val="bottom"/>
          </w:tcPr>
          <w:p w14:paraId="68C1EAF3"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856869 [</w:t>
            </w:r>
            <w:proofErr w:type="gramStart"/>
            <w:r w:rsidRPr="008C0556">
              <w:rPr>
                <w:rFonts w:asciiTheme="majorHAnsi" w:eastAsia="Times New Roman" w:hAnsiTheme="majorHAnsi" w:cstheme="majorHAnsi"/>
                <w:color w:val="000000"/>
                <w:sz w:val="22"/>
              </w:rPr>
              <w:t>510340]*</w:t>
            </w:r>
            <w:proofErr w:type="gramEnd"/>
          </w:p>
        </w:tc>
        <w:tc>
          <w:tcPr>
            <w:tcW w:w="2103" w:type="dxa"/>
            <w:tcBorders>
              <w:top w:val="nil"/>
              <w:left w:val="nil"/>
              <w:bottom w:val="nil"/>
              <w:right w:val="nil"/>
            </w:tcBorders>
            <w:vAlign w:val="bottom"/>
          </w:tcPr>
          <w:p w14:paraId="725F4E6E"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-106279 [1194019]</w:t>
            </w:r>
          </w:p>
        </w:tc>
      </w:tr>
      <w:tr w:rsidR="00EF7BFD" w:rsidRPr="008C0556" w14:paraId="4CE99101" w14:textId="77777777" w:rsidTr="003B7725">
        <w:tc>
          <w:tcPr>
            <w:tcW w:w="2948" w:type="dxa"/>
            <w:tcBorders>
              <w:top w:val="nil"/>
              <w:left w:val="nil"/>
              <w:bottom w:val="nil"/>
              <w:right w:val="nil"/>
            </w:tcBorders>
          </w:tcPr>
          <w:p w14:paraId="3050AA5E" w14:textId="45E3DB12" w:rsidR="00EF7BFD" w:rsidRPr="008C0556" w:rsidRDefault="00BA3988" w:rsidP="003B7725">
            <w:pPr>
              <w:rPr>
                <w:rFonts w:asciiTheme="majorHAnsi" w:hAnsiTheme="majorHAnsi" w:cstheme="majorHAnsi"/>
                <w:b/>
                <w:sz w:val="22"/>
                <w:lang w:val="de-DE"/>
              </w:rPr>
            </w:pPr>
            <w:r>
              <w:rPr>
                <w:rFonts w:asciiTheme="majorHAnsi" w:hAnsiTheme="majorHAnsi" w:cstheme="majorHAnsi"/>
                <w:b/>
                <w:sz w:val="22"/>
                <w:lang w:val="de-DE"/>
              </w:rPr>
              <w:t>CAPABILITY</w:t>
            </w:r>
          </w:p>
        </w:tc>
        <w:tc>
          <w:tcPr>
            <w:tcW w:w="2547" w:type="dxa"/>
            <w:tcBorders>
              <w:top w:val="nil"/>
              <w:left w:val="nil"/>
              <w:bottom w:val="nil"/>
              <w:right w:val="nil"/>
            </w:tcBorders>
            <w:vAlign w:val="bottom"/>
          </w:tcPr>
          <w:p w14:paraId="21A4B091" w14:textId="77777777" w:rsidR="00EF7BFD" w:rsidRPr="008C0556" w:rsidRDefault="00EF7BFD" w:rsidP="003B7725">
            <w:pPr>
              <w:jc w:val="right"/>
              <w:rPr>
                <w:rFonts w:asciiTheme="majorHAnsi" w:eastAsia="Times New Roman" w:hAnsiTheme="majorHAnsi" w:cstheme="majorHAnsi"/>
                <w:color w:val="000000"/>
                <w:sz w:val="22"/>
              </w:rPr>
            </w:pPr>
          </w:p>
        </w:tc>
        <w:tc>
          <w:tcPr>
            <w:tcW w:w="2268" w:type="dxa"/>
            <w:tcBorders>
              <w:top w:val="nil"/>
              <w:left w:val="nil"/>
              <w:bottom w:val="nil"/>
              <w:right w:val="nil"/>
            </w:tcBorders>
            <w:vAlign w:val="bottom"/>
          </w:tcPr>
          <w:p w14:paraId="46166B0A" w14:textId="77777777" w:rsidR="00EF7BFD" w:rsidRPr="008C0556" w:rsidRDefault="00EF7BFD" w:rsidP="003B7725">
            <w:pPr>
              <w:jc w:val="right"/>
              <w:rPr>
                <w:rFonts w:asciiTheme="majorHAnsi" w:eastAsia="Times New Roman" w:hAnsiTheme="majorHAnsi" w:cstheme="majorHAnsi"/>
                <w:color w:val="000000"/>
                <w:sz w:val="22"/>
              </w:rPr>
            </w:pPr>
          </w:p>
        </w:tc>
        <w:tc>
          <w:tcPr>
            <w:tcW w:w="2268" w:type="dxa"/>
            <w:tcBorders>
              <w:top w:val="nil"/>
              <w:left w:val="nil"/>
              <w:bottom w:val="nil"/>
              <w:right w:val="nil"/>
            </w:tcBorders>
            <w:vAlign w:val="bottom"/>
          </w:tcPr>
          <w:p w14:paraId="65153998" w14:textId="77777777" w:rsidR="00EF7BFD" w:rsidRPr="008C0556" w:rsidRDefault="00EF7BFD" w:rsidP="003B7725">
            <w:pPr>
              <w:jc w:val="right"/>
              <w:rPr>
                <w:rFonts w:asciiTheme="majorHAnsi" w:eastAsia="Times New Roman" w:hAnsiTheme="majorHAnsi" w:cstheme="majorHAnsi"/>
                <w:color w:val="000000"/>
                <w:sz w:val="22"/>
              </w:rPr>
            </w:pPr>
          </w:p>
        </w:tc>
        <w:tc>
          <w:tcPr>
            <w:tcW w:w="2410" w:type="dxa"/>
            <w:tcBorders>
              <w:top w:val="nil"/>
              <w:left w:val="nil"/>
              <w:bottom w:val="nil"/>
              <w:right w:val="nil"/>
            </w:tcBorders>
            <w:vAlign w:val="bottom"/>
          </w:tcPr>
          <w:p w14:paraId="7A4F69B0" w14:textId="77777777" w:rsidR="00EF7BFD" w:rsidRPr="008C0556" w:rsidRDefault="00EF7BFD" w:rsidP="003B7725">
            <w:pPr>
              <w:rPr>
                <w:rFonts w:asciiTheme="majorHAnsi" w:eastAsia="Times New Roman" w:hAnsiTheme="majorHAnsi" w:cstheme="majorHAnsi"/>
                <w:color w:val="000000"/>
                <w:sz w:val="22"/>
              </w:rPr>
            </w:pPr>
          </w:p>
        </w:tc>
        <w:tc>
          <w:tcPr>
            <w:tcW w:w="2103" w:type="dxa"/>
            <w:tcBorders>
              <w:top w:val="nil"/>
              <w:left w:val="nil"/>
              <w:bottom w:val="nil"/>
              <w:right w:val="nil"/>
            </w:tcBorders>
            <w:vAlign w:val="bottom"/>
          </w:tcPr>
          <w:p w14:paraId="53966D3D" w14:textId="77777777" w:rsidR="00EF7BFD" w:rsidRPr="008C0556" w:rsidRDefault="00EF7BFD" w:rsidP="003B7725">
            <w:pPr>
              <w:jc w:val="right"/>
              <w:rPr>
                <w:rFonts w:asciiTheme="majorHAnsi" w:eastAsia="Times New Roman" w:hAnsiTheme="majorHAnsi" w:cstheme="majorHAnsi"/>
                <w:color w:val="000000"/>
                <w:sz w:val="22"/>
              </w:rPr>
            </w:pPr>
          </w:p>
        </w:tc>
      </w:tr>
      <w:tr w:rsidR="00EF7BFD" w:rsidRPr="008C0556" w14:paraId="49CC868F" w14:textId="77777777" w:rsidTr="003B7725">
        <w:tc>
          <w:tcPr>
            <w:tcW w:w="2948" w:type="dxa"/>
            <w:tcBorders>
              <w:top w:val="nil"/>
              <w:left w:val="nil"/>
              <w:bottom w:val="nil"/>
              <w:right w:val="nil"/>
            </w:tcBorders>
          </w:tcPr>
          <w:p w14:paraId="376CB705" w14:textId="40D45947" w:rsidR="00EF7BFD" w:rsidRPr="008C0556" w:rsidRDefault="00BA3988" w:rsidP="003B7725">
            <w:pPr>
              <w:rPr>
                <w:rFonts w:asciiTheme="majorHAnsi" w:hAnsiTheme="majorHAnsi" w:cstheme="majorHAnsi"/>
                <w:sz w:val="22"/>
                <w:lang w:val="de-DE"/>
              </w:rPr>
            </w:pPr>
            <w:r w:rsidRPr="00BA3988">
              <w:rPr>
                <w:rFonts w:asciiTheme="majorHAnsi" w:hAnsiTheme="majorHAnsi" w:cstheme="majorHAnsi"/>
                <w:sz w:val="22"/>
                <w:lang w:val="de-DE"/>
              </w:rPr>
              <w:t>Cultivated Land Area</w:t>
            </w:r>
          </w:p>
        </w:tc>
        <w:tc>
          <w:tcPr>
            <w:tcW w:w="2547" w:type="dxa"/>
            <w:tcBorders>
              <w:top w:val="nil"/>
              <w:left w:val="nil"/>
              <w:bottom w:val="nil"/>
              <w:right w:val="nil"/>
            </w:tcBorders>
            <w:vAlign w:val="bottom"/>
          </w:tcPr>
          <w:p w14:paraId="60B6049E"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187 [149]</w:t>
            </w:r>
          </w:p>
        </w:tc>
        <w:tc>
          <w:tcPr>
            <w:tcW w:w="2268" w:type="dxa"/>
            <w:tcBorders>
              <w:top w:val="nil"/>
              <w:left w:val="nil"/>
              <w:bottom w:val="nil"/>
              <w:right w:val="nil"/>
            </w:tcBorders>
          </w:tcPr>
          <w:p w14:paraId="41DC1E61" w14:textId="77777777" w:rsidR="00EF7BFD" w:rsidRPr="008C0556" w:rsidRDefault="00EF7BFD" w:rsidP="003B7725">
            <w:pPr>
              <w:rPr>
                <w:rFonts w:asciiTheme="majorHAnsi" w:hAnsiTheme="majorHAnsi" w:cstheme="majorHAnsi"/>
                <w:sz w:val="22"/>
                <w:lang w:val="de-DE"/>
              </w:rPr>
            </w:pPr>
          </w:p>
        </w:tc>
        <w:tc>
          <w:tcPr>
            <w:tcW w:w="2268" w:type="dxa"/>
            <w:tcBorders>
              <w:top w:val="nil"/>
              <w:left w:val="nil"/>
              <w:bottom w:val="nil"/>
              <w:right w:val="nil"/>
            </w:tcBorders>
            <w:vAlign w:val="bottom"/>
          </w:tcPr>
          <w:p w14:paraId="3486482E"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221 [188]</w:t>
            </w:r>
          </w:p>
        </w:tc>
        <w:tc>
          <w:tcPr>
            <w:tcW w:w="2410" w:type="dxa"/>
            <w:tcBorders>
              <w:top w:val="nil"/>
              <w:left w:val="nil"/>
              <w:bottom w:val="nil"/>
              <w:right w:val="nil"/>
            </w:tcBorders>
            <w:vAlign w:val="bottom"/>
          </w:tcPr>
          <w:p w14:paraId="1E8BD77E" w14:textId="77777777" w:rsidR="00EF7BFD" w:rsidRPr="008C0556" w:rsidRDefault="00EF7BFD" w:rsidP="003B7725">
            <w:pPr>
              <w:jc w:val="right"/>
              <w:rPr>
                <w:rFonts w:asciiTheme="majorHAnsi" w:eastAsia="Times New Roman" w:hAnsiTheme="majorHAnsi" w:cstheme="majorHAnsi"/>
                <w:color w:val="000000"/>
                <w:sz w:val="22"/>
              </w:rPr>
            </w:pPr>
          </w:p>
        </w:tc>
        <w:tc>
          <w:tcPr>
            <w:tcW w:w="2103" w:type="dxa"/>
            <w:tcBorders>
              <w:top w:val="nil"/>
              <w:left w:val="nil"/>
              <w:bottom w:val="nil"/>
              <w:right w:val="nil"/>
            </w:tcBorders>
            <w:vAlign w:val="bottom"/>
          </w:tcPr>
          <w:p w14:paraId="75D6BAE3"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668 [</w:t>
            </w:r>
            <w:proofErr w:type="gramStart"/>
            <w:r w:rsidRPr="008C0556">
              <w:rPr>
                <w:rFonts w:asciiTheme="majorHAnsi" w:eastAsia="Times New Roman" w:hAnsiTheme="majorHAnsi" w:cstheme="majorHAnsi"/>
                <w:color w:val="000000"/>
                <w:sz w:val="22"/>
              </w:rPr>
              <w:t>317]*</w:t>
            </w:r>
            <w:proofErr w:type="gramEnd"/>
            <w:r w:rsidRPr="008C0556">
              <w:rPr>
                <w:rFonts w:asciiTheme="majorHAnsi" w:eastAsia="Times New Roman" w:hAnsiTheme="majorHAnsi" w:cstheme="majorHAnsi"/>
                <w:color w:val="000000"/>
                <w:sz w:val="22"/>
              </w:rPr>
              <w:t>*</w:t>
            </w:r>
          </w:p>
        </w:tc>
      </w:tr>
      <w:tr w:rsidR="00EF7BFD" w:rsidRPr="008C0556" w14:paraId="1DE786AD" w14:textId="77777777" w:rsidTr="003B7725">
        <w:tc>
          <w:tcPr>
            <w:tcW w:w="2948" w:type="dxa"/>
            <w:tcBorders>
              <w:top w:val="nil"/>
              <w:left w:val="nil"/>
              <w:bottom w:val="nil"/>
              <w:right w:val="nil"/>
            </w:tcBorders>
          </w:tcPr>
          <w:p w14:paraId="4652EB99" w14:textId="11A78C2D" w:rsidR="00EF7BFD" w:rsidRPr="008C0556" w:rsidRDefault="00BA3988" w:rsidP="003B7725">
            <w:pPr>
              <w:rPr>
                <w:rFonts w:asciiTheme="majorHAnsi" w:hAnsiTheme="majorHAnsi" w:cstheme="majorHAnsi"/>
                <w:sz w:val="22"/>
                <w:lang w:val="de-DE"/>
              </w:rPr>
            </w:pPr>
            <w:r>
              <w:rPr>
                <w:rFonts w:asciiTheme="majorHAnsi" w:hAnsiTheme="majorHAnsi" w:cstheme="majorHAnsi"/>
                <w:sz w:val="22"/>
                <w:lang w:val="de-DE"/>
              </w:rPr>
              <w:t>Language</w:t>
            </w:r>
          </w:p>
          <w:p w14:paraId="762529A4" w14:textId="2AC359AD" w:rsidR="00EF7BFD" w:rsidRPr="008C0556" w:rsidRDefault="00EF7BFD" w:rsidP="003B7725">
            <w:pPr>
              <w:rPr>
                <w:rFonts w:asciiTheme="majorHAnsi" w:hAnsiTheme="majorHAnsi" w:cstheme="majorHAnsi"/>
                <w:sz w:val="22"/>
                <w:lang w:val="de-DE"/>
              </w:rPr>
            </w:pPr>
            <w:r w:rsidRPr="008C0556">
              <w:rPr>
                <w:rFonts w:asciiTheme="majorHAnsi" w:hAnsiTheme="majorHAnsi" w:cstheme="majorHAnsi"/>
                <w:sz w:val="22"/>
                <w:lang w:val="de-DE"/>
              </w:rPr>
              <w:t xml:space="preserve">     </w:t>
            </w:r>
            <w:r w:rsidR="00BA3988" w:rsidRPr="00BA3988">
              <w:rPr>
                <w:rFonts w:asciiTheme="majorHAnsi" w:hAnsiTheme="majorHAnsi" w:cstheme="majorHAnsi"/>
                <w:sz w:val="22"/>
                <w:lang w:val="de-DE"/>
              </w:rPr>
              <w:t>Language: National &amp; Foreign</w:t>
            </w:r>
          </w:p>
        </w:tc>
        <w:tc>
          <w:tcPr>
            <w:tcW w:w="2547" w:type="dxa"/>
            <w:tcBorders>
              <w:top w:val="nil"/>
              <w:left w:val="nil"/>
              <w:bottom w:val="nil"/>
              <w:right w:val="nil"/>
            </w:tcBorders>
            <w:vAlign w:val="bottom"/>
          </w:tcPr>
          <w:p w14:paraId="0ABB6959"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1216579 [</w:t>
            </w:r>
            <w:proofErr w:type="gramStart"/>
            <w:r w:rsidRPr="008C0556">
              <w:rPr>
                <w:rFonts w:asciiTheme="majorHAnsi" w:eastAsia="Times New Roman" w:hAnsiTheme="majorHAnsi" w:cstheme="majorHAnsi"/>
                <w:color w:val="000000"/>
                <w:sz w:val="22"/>
              </w:rPr>
              <w:t>116476]*</w:t>
            </w:r>
            <w:proofErr w:type="gramEnd"/>
            <w:r w:rsidRPr="008C0556">
              <w:rPr>
                <w:rFonts w:asciiTheme="majorHAnsi" w:eastAsia="Times New Roman" w:hAnsiTheme="majorHAnsi" w:cstheme="majorHAnsi"/>
                <w:color w:val="000000"/>
                <w:sz w:val="22"/>
              </w:rPr>
              <w:t>*</w:t>
            </w:r>
          </w:p>
        </w:tc>
        <w:tc>
          <w:tcPr>
            <w:tcW w:w="2268" w:type="dxa"/>
            <w:tcBorders>
              <w:top w:val="nil"/>
              <w:left w:val="nil"/>
              <w:bottom w:val="nil"/>
              <w:right w:val="nil"/>
            </w:tcBorders>
          </w:tcPr>
          <w:p w14:paraId="52C53D0B" w14:textId="77777777" w:rsidR="00EF7BFD" w:rsidRPr="008C0556" w:rsidRDefault="00EF7BFD" w:rsidP="003B7725">
            <w:pPr>
              <w:rPr>
                <w:rFonts w:asciiTheme="majorHAnsi" w:hAnsiTheme="majorHAnsi" w:cstheme="majorHAnsi"/>
                <w:sz w:val="22"/>
                <w:lang w:val="de-DE"/>
              </w:rPr>
            </w:pPr>
          </w:p>
        </w:tc>
        <w:tc>
          <w:tcPr>
            <w:tcW w:w="2268" w:type="dxa"/>
            <w:tcBorders>
              <w:top w:val="nil"/>
              <w:left w:val="nil"/>
              <w:bottom w:val="nil"/>
              <w:right w:val="nil"/>
            </w:tcBorders>
            <w:vAlign w:val="bottom"/>
          </w:tcPr>
          <w:p w14:paraId="73C3B44C"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1762920 [</w:t>
            </w:r>
            <w:proofErr w:type="gramStart"/>
            <w:r w:rsidRPr="008C0556">
              <w:rPr>
                <w:rFonts w:asciiTheme="majorHAnsi" w:eastAsia="Times New Roman" w:hAnsiTheme="majorHAnsi" w:cstheme="majorHAnsi"/>
                <w:color w:val="000000"/>
                <w:sz w:val="22"/>
              </w:rPr>
              <w:t>1112196]*</w:t>
            </w:r>
            <w:proofErr w:type="gramEnd"/>
            <w:r w:rsidRPr="008C0556">
              <w:rPr>
                <w:rFonts w:asciiTheme="majorHAnsi" w:eastAsia="Times New Roman" w:hAnsiTheme="majorHAnsi" w:cstheme="majorHAnsi"/>
                <w:color w:val="000000"/>
                <w:sz w:val="22"/>
              </w:rPr>
              <w:t>*</w:t>
            </w:r>
          </w:p>
        </w:tc>
        <w:tc>
          <w:tcPr>
            <w:tcW w:w="2410" w:type="dxa"/>
            <w:tcBorders>
              <w:top w:val="nil"/>
              <w:left w:val="nil"/>
              <w:bottom w:val="nil"/>
              <w:right w:val="nil"/>
            </w:tcBorders>
            <w:vAlign w:val="bottom"/>
          </w:tcPr>
          <w:p w14:paraId="35E8B7A1" w14:textId="77777777" w:rsidR="00EF7BFD" w:rsidRPr="008C0556" w:rsidRDefault="00EF7BFD" w:rsidP="003B7725">
            <w:pPr>
              <w:jc w:val="right"/>
              <w:rPr>
                <w:rFonts w:asciiTheme="majorHAnsi" w:eastAsia="Times New Roman" w:hAnsiTheme="majorHAnsi" w:cstheme="majorHAnsi"/>
                <w:color w:val="000000"/>
                <w:sz w:val="22"/>
              </w:rPr>
            </w:pPr>
          </w:p>
        </w:tc>
        <w:tc>
          <w:tcPr>
            <w:tcW w:w="2103" w:type="dxa"/>
            <w:tcBorders>
              <w:top w:val="nil"/>
              <w:left w:val="nil"/>
              <w:bottom w:val="nil"/>
              <w:right w:val="nil"/>
            </w:tcBorders>
            <w:vAlign w:val="bottom"/>
          </w:tcPr>
          <w:p w14:paraId="3BD9643F"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4285543 [</w:t>
            </w:r>
            <w:proofErr w:type="gramStart"/>
            <w:r w:rsidRPr="008C0556">
              <w:rPr>
                <w:rFonts w:asciiTheme="majorHAnsi" w:eastAsia="Times New Roman" w:hAnsiTheme="majorHAnsi" w:cstheme="majorHAnsi"/>
                <w:color w:val="000000"/>
                <w:sz w:val="22"/>
              </w:rPr>
              <w:t>1964086]*</w:t>
            </w:r>
            <w:proofErr w:type="gramEnd"/>
            <w:r w:rsidRPr="008C0556">
              <w:rPr>
                <w:rFonts w:asciiTheme="majorHAnsi" w:eastAsia="Times New Roman" w:hAnsiTheme="majorHAnsi" w:cstheme="majorHAnsi"/>
                <w:color w:val="000000"/>
                <w:sz w:val="22"/>
              </w:rPr>
              <w:t>**</w:t>
            </w:r>
          </w:p>
        </w:tc>
      </w:tr>
      <w:tr w:rsidR="00EF7BFD" w:rsidRPr="008C0556" w14:paraId="5043C459" w14:textId="77777777" w:rsidTr="003B7725">
        <w:tc>
          <w:tcPr>
            <w:tcW w:w="2948" w:type="dxa"/>
            <w:tcBorders>
              <w:top w:val="nil"/>
              <w:left w:val="nil"/>
              <w:bottom w:val="nil"/>
              <w:right w:val="nil"/>
            </w:tcBorders>
          </w:tcPr>
          <w:p w14:paraId="562660C1" w14:textId="55C80D78" w:rsidR="00EF7BFD" w:rsidRPr="008C0556" w:rsidRDefault="00BA3988" w:rsidP="003B7725">
            <w:pPr>
              <w:rPr>
                <w:rFonts w:asciiTheme="majorHAnsi" w:hAnsiTheme="majorHAnsi" w:cstheme="majorHAnsi"/>
                <w:b/>
                <w:sz w:val="22"/>
                <w:lang w:val="de-DE"/>
              </w:rPr>
            </w:pPr>
            <w:r>
              <w:rPr>
                <w:rFonts w:asciiTheme="majorHAnsi" w:hAnsiTheme="majorHAnsi" w:cstheme="majorHAnsi"/>
                <w:b/>
                <w:sz w:val="22"/>
                <w:lang w:val="de-DE"/>
              </w:rPr>
              <w:t>SUSTAINABILITY</w:t>
            </w:r>
          </w:p>
        </w:tc>
        <w:tc>
          <w:tcPr>
            <w:tcW w:w="2547" w:type="dxa"/>
            <w:tcBorders>
              <w:top w:val="nil"/>
              <w:left w:val="nil"/>
              <w:bottom w:val="nil"/>
              <w:right w:val="nil"/>
            </w:tcBorders>
            <w:vAlign w:val="bottom"/>
          </w:tcPr>
          <w:p w14:paraId="195AB803" w14:textId="77777777" w:rsidR="00EF7BFD" w:rsidRPr="008C0556" w:rsidRDefault="00EF7BFD" w:rsidP="003B7725">
            <w:pPr>
              <w:jc w:val="right"/>
              <w:rPr>
                <w:rFonts w:asciiTheme="majorHAnsi" w:eastAsia="Times New Roman" w:hAnsiTheme="majorHAnsi" w:cstheme="majorHAnsi"/>
                <w:color w:val="000000"/>
                <w:sz w:val="22"/>
              </w:rPr>
            </w:pPr>
          </w:p>
        </w:tc>
        <w:tc>
          <w:tcPr>
            <w:tcW w:w="2268" w:type="dxa"/>
            <w:tcBorders>
              <w:top w:val="nil"/>
              <w:left w:val="nil"/>
              <w:bottom w:val="nil"/>
              <w:right w:val="nil"/>
            </w:tcBorders>
          </w:tcPr>
          <w:p w14:paraId="48521425" w14:textId="77777777" w:rsidR="00EF7BFD" w:rsidRPr="008C0556" w:rsidRDefault="00EF7BFD" w:rsidP="003B7725">
            <w:pPr>
              <w:rPr>
                <w:rFonts w:asciiTheme="majorHAnsi" w:hAnsiTheme="majorHAnsi" w:cstheme="majorHAnsi"/>
                <w:b/>
                <w:sz w:val="22"/>
                <w:lang w:val="de-DE"/>
              </w:rPr>
            </w:pPr>
          </w:p>
        </w:tc>
        <w:tc>
          <w:tcPr>
            <w:tcW w:w="2268" w:type="dxa"/>
            <w:tcBorders>
              <w:top w:val="nil"/>
              <w:left w:val="nil"/>
              <w:bottom w:val="nil"/>
              <w:right w:val="nil"/>
            </w:tcBorders>
            <w:vAlign w:val="bottom"/>
          </w:tcPr>
          <w:p w14:paraId="0FDBAD1B" w14:textId="77777777" w:rsidR="00EF7BFD" w:rsidRPr="008C0556" w:rsidRDefault="00EF7BFD" w:rsidP="003B7725">
            <w:pPr>
              <w:jc w:val="right"/>
              <w:rPr>
                <w:rFonts w:asciiTheme="majorHAnsi" w:eastAsia="Times New Roman" w:hAnsiTheme="majorHAnsi" w:cstheme="majorHAnsi"/>
                <w:color w:val="000000"/>
                <w:sz w:val="22"/>
              </w:rPr>
            </w:pPr>
          </w:p>
        </w:tc>
        <w:tc>
          <w:tcPr>
            <w:tcW w:w="2410" w:type="dxa"/>
            <w:tcBorders>
              <w:top w:val="nil"/>
              <w:left w:val="nil"/>
              <w:bottom w:val="nil"/>
              <w:right w:val="nil"/>
            </w:tcBorders>
            <w:vAlign w:val="bottom"/>
          </w:tcPr>
          <w:p w14:paraId="798C9A3B" w14:textId="77777777" w:rsidR="00EF7BFD" w:rsidRPr="008C0556" w:rsidRDefault="00EF7BFD" w:rsidP="003B7725">
            <w:pPr>
              <w:jc w:val="right"/>
              <w:rPr>
                <w:rFonts w:asciiTheme="majorHAnsi" w:eastAsia="Times New Roman" w:hAnsiTheme="majorHAnsi" w:cstheme="majorHAnsi"/>
                <w:color w:val="000000"/>
                <w:sz w:val="22"/>
              </w:rPr>
            </w:pPr>
          </w:p>
        </w:tc>
        <w:tc>
          <w:tcPr>
            <w:tcW w:w="2103" w:type="dxa"/>
            <w:tcBorders>
              <w:top w:val="nil"/>
              <w:left w:val="nil"/>
              <w:bottom w:val="nil"/>
              <w:right w:val="nil"/>
            </w:tcBorders>
            <w:vAlign w:val="bottom"/>
          </w:tcPr>
          <w:p w14:paraId="2205B6D5" w14:textId="77777777" w:rsidR="00EF7BFD" w:rsidRPr="008C0556" w:rsidRDefault="00EF7BFD" w:rsidP="003B7725">
            <w:pPr>
              <w:jc w:val="right"/>
              <w:rPr>
                <w:rFonts w:asciiTheme="majorHAnsi" w:eastAsia="Times New Roman" w:hAnsiTheme="majorHAnsi" w:cstheme="majorHAnsi"/>
                <w:color w:val="000000"/>
                <w:sz w:val="22"/>
              </w:rPr>
            </w:pPr>
          </w:p>
        </w:tc>
      </w:tr>
      <w:tr w:rsidR="00EF7BFD" w:rsidRPr="008C0556" w14:paraId="416A15F0" w14:textId="77777777" w:rsidTr="003B7725">
        <w:tc>
          <w:tcPr>
            <w:tcW w:w="2948" w:type="dxa"/>
            <w:tcBorders>
              <w:top w:val="nil"/>
              <w:left w:val="nil"/>
              <w:bottom w:val="nil"/>
              <w:right w:val="nil"/>
            </w:tcBorders>
          </w:tcPr>
          <w:p w14:paraId="52D0624C" w14:textId="0DA3EB9C" w:rsidR="00EF7BFD" w:rsidRPr="008C0556" w:rsidRDefault="00BA3988" w:rsidP="003B7725">
            <w:pPr>
              <w:rPr>
                <w:rFonts w:asciiTheme="majorHAnsi" w:hAnsiTheme="majorHAnsi" w:cstheme="majorHAnsi"/>
                <w:sz w:val="22"/>
                <w:lang w:val="de-DE"/>
              </w:rPr>
            </w:pPr>
            <w:r>
              <w:rPr>
                <w:rFonts w:asciiTheme="majorHAnsi" w:hAnsiTheme="majorHAnsi" w:cstheme="majorHAnsi"/>
                <w:sz w:val="22"/>
                <w:lang w:val="de-DE"/>
              </w:rPr>
              <w:t>Vocational training</w:t>
            </w:r>
          </w:p>
          <w:p w14:paraId="1F57E0E4" w14:textId="4769445C" w:rsidR="00EF7BFD" w:rsidRPr="008C0556" w:rsidRDefault="00EF7BFD" w:rsidP="003B7725">
            <w:pPr>
              <w:rPr>
                <w:rFonts w:asciiTheme="majorHAnsi" w:hAnsiTheme="majorHAnsi" w:cstheme="majorHAnsi"/>
                <w:sz w:val="22"/>
                <w:lang w:val="de-DE"/>
              </w:rPr>
            </w:pPr>
            <w:r w:rsidRPr="008C0556">
              <w:rPr>
                <w:rFonts w:asciiTheme="majorHAnsi" w:hAnsiTheme="majorHAnsi" w:cstheme="majorHAnsi"/>
                <w:sz w:val="22"/>
                <w:lang w:val="de-DE"/>
              </w:rPr>
              <w:t xml:space="preserve">     </w:t>
            </w:r>
            <w:r w:rsidR="00BA3988">
              <w:rPr>
                <w:rFonts w:asciiTheme="majorHAnsi" w:hAnsiTheme="majorHAnsi" w:cstheme="majorHAnsi"/>
                <w:sz w:val="22"/>
                <w:lang w:val="de-DE"/>
              </w:rPr>
              <w:t>Not participate</w:t>
            </w:r>
          </w:p>
        </w:tc>
        <w:tc>
          <w:tcPr>
            <w:tcW w:w="2547" w:type="dxa"/>
            <w:tcBorders>
              <w:top w:val="nil"/>
              <w:left w:val="nil"/>
              <w:bottom w:val="nil"/>
              <w:right w:val="nil"/>
            </w:tcBorders>
            <w:vAlign w:val="bottom"/>
          </w:tcPr>
          <w:p w14:paraId="095B5828"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457529 [700200]</w:t>
            </w:r>
          </w:p>
        </w:tc>
        <w:tc>
          <w:tcPr>
            <w:tcW w:w="2268" w:type="dxa"/>
            <w:tcBorders>
              <w:top w:val="nil"/>
              <w:left w:val="nil"/>
              <w:bottom w:val="nil"/>
              <w:right w:val="nil"/>
            </w:tcBorders>
          </w:tcPr>
          <w:p w14:paraId="1051BB65" w14:textId="77777777" w:rsidR="00EF7BFD" w:rsidRPr="008C0556" w:rsidRDefault="00EF7BFD" w:rsidP="003B7725">
            <w:pPr>
              <w:rPr>
                <w:rFonts w:asciiTheme="majorHAnsi" w:hAnsiTheme="majorHAnsi" w:cstheme="majorHAnsi"/>
                <w:sz w:val="22"/>
                <w:lang w:val="de-DE"/>
              </w:rPr>
            </w:pPr>
          </w:p>
        </w:tc>
        <w:tc>
          <w:tcPr>
            <w:tcW w:w="2268" w:type="dxa"/>
            <w:tcBorders>
              <w:top w:val="nil"/>
              <w:left w:val="nil"/>
              <w:bottom w:val="nil"/>
              <w:right w:val="nil"/>
            </w:tcBorders>
            <w:vAlign w:val="bottom"/>
          </w:tcPr>
          <w:p w14:paraId="2A8EC265"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-671648 [822125]</w:t>
            </w:r>
          </w:p>
        </w:tc>
        <w:tc>
          <w:tcPr>
            <w:tcW w:w="2410" w:type="dxa"/>
            <w:tcBorders>
              <w:top w:val="nil"/>
              <w:left w:val="nil"/>
              <w:bottom w:val="nil"/>
              <w:right w:val="nil"/>
            </w:tcBorders>
            <w:vAlign w:val="bottom"/>
          </w:tcPr>
          <w:p w14:paraId="41C47914" w14:textId="77777777" w:rsidR="00EF7BFD" w:rsidRPr="008C0556" w:rsidRDefault="00EF7BFD" w:rsidP="003B7725">
            <w:pPr>
              <w:rPr>
                <w:rFonts w:asciiTheme="majorHAnsi" w:eastAsia="Times New Roman" w:hAnsiTheme="majorHAnsi" w:cstheme="majorHAnsi"/>
                <w:color w:val="000000"/>
                <w:sz w:val="22"/>
              </w:rPr>
            </w:pPr>
          </w:p>
        </w:tc>
        <w:tc>
          <w:tcPr>
            <w:tcW w:w="2103" w:type="dxa"/>
            <w:tcBorders>
              <w:top w:val="nil"/>
              <w:left w:val="nil"/>
              <w:bottom w:val="nil"/>
              <w:right w:val="nil"/>
            </w:tcBorders>
            <w:vAlign w:val="bottom"/>
          </w:tcPr>
          <w:p w14:paraId="2965CCAF"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-1809525 [1592596]</w:t>
            </w:r>
          </w:p>
        </w:tc>
      </w:tr>
      <w:tr w:rsidR="00EF7BFD" w:rsidRPr="008C0556" w14:paraId="7A761D3E" w14:textId="77777777" w:rsidTr="003B7725">
        <w:tc>
          <w:tcPr>
            <w:tcW w:w="2948" w:type="dxa"/>
            <w:tcBorders>
              <w:top w:val="nil"/>
              <w:left w:val="nil"/>
              <w:bottom w:val="nil"/>
              <w:right w:val="nil"/>
            </w:tcBorders>
          </w:tcPr>
          <w:p w14:paraId="1DD87327" w14:textId="01858906" w:rsidR="00EF7BFD" w:rsidRPr="008C0556" w:rsidRDefault="00BA3988" w:rsidP="003B7725">
            <w:pPr>
              <w:rPr>
                <w:rFonts w:asciiTheme="majorHAnsi" w:hAnsiTheme="majorHAnsi" w:cstheme="majorHAnsi"/>
                <w:sz w:val="22"/>
                <w:lang w:val="de-DE"/>
              </w:rPr>
            </w:pPr>
            <w:r>
              <w:rPr>
                <w:rFonts w:asciiTheme="majorHAnsi" w:hAnsiTheme="majorHAnsi" w:cstheme="majorHAnsi"/>
                <w:sz w:val="22"/>
                <w:lang w:val="de-DE"/>
              </w:rPr>
              <w:t>Job tenure</w:t>
            </w:r>
          </w:p>
        </w:tc>
        <w:tc>
          <w:tcPr>
            <w:tcW w:w="2547" w:type="dxa"/>
            <w:tcBorders>
              <w:top w:val="nil"/>
              <w:left w:val="nil"/>
              <w:bottom w:val="nil"/>
              <w:right w:val="nil"/>
            </w:tcBorders>
            <w:vAlign w:val="bottom"/>
          </w:tcPr>
          <w:p w14:paraId="13C66647"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-588158 [</w:t>
            </w:r>
            <w:proofErr w:type="gramStart"/>
            <w:r w:rsidRPr="008C0556">
              <w:rPr>
                <w:rFonts w:asciiTheme="majorHAnsi" w:eastAsia="Times New Roman" w:hAnsiTheme="majorHAnsi" w:cstheme="majorHAnsi"/>
                <w:color w:val="000000"/>
                <w:sz w:val="22"/>
              </w:rPr>
              <w:t>242184]*</w:t>
            </w:r>
            <w:proofErr w:type="gramEnd"/>
            <w:r w:rsidRPr="008C0556">
              <w:rPr>
                <w:rFonts w:asciiTheme="majorHAnsi" w:eastAsia="Times New Roman" w:hAnsiTheme="majorHAnsi" w:cstheme="majorHAnsi"/>
                <w:color w:val="000000"/>
                <w:sz w:val="22"/>
              </w:rPr>
              <w:t>**</w:t>
            </w:r>
          </w:p>
        </w:tc>
        <w:tc>
          <w:tcPr>
            <w:tcW w:w="2268" w:type="dxa"/>
            <w:tcBorders>
              <w:top w:val="nil"/>
              <w:left w:val="nil"/>
              <w:bottom w:val="nil"/>
              <w:right w:val="nil"/>
            </w:tcBorders>
          </w:tcPr>
          <w:p w14:paraId="3D4E73BB" w14:textId="77777777" w:rsidR="00EF7BFD" w:rsidRPr="008C0556" w:rsidRDefault="00EF7BFD" w:rsidP="003B7725">
            <w:pPr>
              <w:rPr>
                <w:rFonts w:asciiTheme="majorHAnsi" w:hAnsiTheme="majorHAnsi" w:cstheme="majorHAnsi"/>
                <w:sz w:val="22"/>
                <w:lang w:val="de-DE"/>
              </w:rPr>
            </w:pPr>
          </w:p>
        </w:tc>
        <w:tc>
          <w:tcPr>
            <w:tcW w:w="2268" w:type="dxa"/>
            <w:tcBorders>
              <w:top w:val="nil"/>
              <w:left w:val="nil"/>
              <w:bottom w:val="nil"/>
              <w:right w:val="nil"/>
            </w:tcBorders>
            <w:vAlign w:val="bottom"/>
          </w:tcPr>
          <w:p w14:paraId="05BAA0C8"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-164792 [</w:t>
            </w:r>
            <w:proofErr w:type="gramStart"/>
            <w:r w:rsidRPr="008C0556">
              <w:rPr>
                <w:rFonts w:asciiTheme="majorHAnsi" w:eastAsia="Times New Roman" w:hAnsiTheme="majorHAnsi" w:cstheme="majorHAnsi"/>
                <w:color w:val="000000"/>
                <w:sz w:val="22"/>
              </w:rPr>
              <w:t>177995]*</w:t>
            </w:r>
            <w:proofErr w:type="gramEnd"/>
          </w:p>
        </w:tc>
        <w:tc>
          <w:tcPr>
            <w:tcW w:w="2410" w:type="dxa"/>
            <w:tcBorders>
              <w:top w:val="nil"/>
              <w:left w:val="nil"/>
              <w:bottom w:val="nil"/>
              <w:right w:val="nil"/>
            </w:tcBorders>
            <w:vAlign w:val="bottom"/>
          </w:tcPr>
          <w:p w14:paraId="63B6D5F2" w14:textId="77777777" w:rsidR="00EF7BFD" w:rsidRPr="008C0556" w:rsidRDefault="00EF7BFD" w:rsidP="003B7725">
            <w:pPr>
              <w:jc w:val="right"/>
              <w:rPr>
                <w:rFonts w:asciiTheme="majorHAnsi" w:eastAsia="Times New Roman" w:hAnsiTheme="majorHAnsi" w:cstheme="majorHAnsi"/>
                <w:color w:val="000000"/>
                <w:sz w:val="22"/>
              </w:rPr>
            </w:pPr>
          </w:p>
        </w:tc>
        <w:tc>
          <w:tcPr>
            <w:tcW w:w="2103" w:type="dxa"/>
            <w:tcBorders>
              <w:top w:val="nil"/>
              <w:left w:val="nil"/>
              <w:bottom w:val="nil"/>
              <w:right w:val="nil"/>
            </w:tcBorders>
            <w:vAlign w:val="bottom"/>
          </w:tcPr>
          <w:p w14:paraId="783A9514"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-1242707 [</w:t>
            </w:r>
            <w:proofErr w:type="gramStart"/>
            <w:r w:rsidRPr="008C0556">
              <w:rPr>
                <w:rFonts w:asciiTheme="majorHAnsi" w:eastAsia="Times New Roman" w:hAnsiTheme="majorHAnsi" w:cstheme="majorHAnsi"/>
                <w:color w:val="000000"/>
                <w:sz w:val="22"/>
              </w:rPr>
              <w:t>447579]*</w:t>
            </w:r>
            <w:proofErr w:type="gramEnd"/>
            <w:r w:rsidRPr="008C0556">
              <w:rPr>
                <w:rFonts w:asciiTheme="majorHAnsi" w:eastAsia="Times New Roman" w:hAnsiTheme="majorHAnsi" w:cstheme="majorHAnsi"/>
                <w:color w:val="000000"/>
                <w:sz w:val="22"/>
              </w:rPr>
              <w:t>**</w:t>
            </w:r>
          </w:p>
        </w:tc>
      </w:tr>
      <w:tr w:rsidR="00EF7BFD" w:rsidRPr="008C0556" w14:paraId="7A6A1676" w14:textId="77777777" w:rsidTr="003B7725">
        <w:tc>
          <w:tcPr>
            <w:tcW w:w="2948" w:type="dxa"/>
            <w:tcBorders>
              <w:top w:val="nil"/>
              <w:left w:val="nil"/>
              <w:bottom w:val="nil"/>
              <w:right w:val="nil"/>
            </w:tcBorders>
          </w:tcPr>
          <w:p w14:paraId="204CD2D4" w14:textId="40BBA5E5" w:rsidR="00EF7BFD" w:rsidRPr="008C0556" w:rsidRDefault="00BA3988" w:rsidP="003B7725">
            <w:pPr>
              <w:rPr>
                <w:rFonts w:asciiTheme="majorHAnsi" w:hAnsiTheme="majorHAnsi" w:cstheme="majorHAnsi"/>
                <w:b/>
                <w:sz w:val="22"/>
                <w:lang w:val="de-DE"/>
              </w:rPr>
            </w:pPr>
            <w:r w:rsidRPr="00BA3988">
              <w:rPr>
                <w:rFonts w:asciiTheme="majorHAnsi" w:hAnsiTheme="majorHAnsi" w:cstheme="majorHAnsi"/>
                <w:b/>
                <w:sz w:val="22"/>
                <w:lang w:val="de-DE"/>
              </w:rPr>
              <w:t>EFFICIENCY</w:t>
            </w:r>
          </w:p>
        </w:tc>
        <w:tc>
          <w:tcPr>
            <w:tcW w:w="2547" w:type="dxa"/>
            <w:tcBorders>
              <w:top w:val="nil"/>
              <w:left w:val="nil"/>
              <w:bottom w:val="nil"/>
              <w:right w:val="nil"/>
            </w:tcBorders>
            <w:vAlign w:val="bottom"/>
          </w:tcPr>
          <w:p w14:paraId="3E40D9DF" w14:textId="77777777" w:rsidR="00EF7BFD" w:rsidRPr="008C0556" w:rsidRDefault="00EF7BFD" w:rsidP="003B7725">
            <w:pPr>
              <w:rPr>
                <w:rFonts w:asciiTheme="majorHAnsi" w:eastAsia="Times New Roman" w:hAnsiTheme="majorHAnsi" w:cstheme="majorHAnsi"/>
                <w:color w:val="000000"/>
                <w:sz w:val="22"/>
              </w:rPr>
            </w:pPr>
          </w:p>
        </w:tc>
        <w:tc>
          <w:tcPr>
            <w:tcW w:w="2268" w:type="dxa"/>
            <w:tcBorders>
              <w:top w:val="nil"/>
              <w:left w:val="nil"/>
              <w:bottom w:val="nil"/>
              <w:right w:val="nil"/>
            </w:tcBorders>
          </w:tcPr>
          <w:p w14:paraId="58F30518" w14:textId="77777777" w:rsidR="00EF7BFD" w:rsidRPr="008C0556" w:rsidRDefault="00EF7BFD" w:rsidP="003B7725">
            <w:pPr>
              <w:rPr>
                <w:rFonts w:asciiTheme="majorHAnsi" w:hAnsiTheme="majorHAnsi" w:cstheme="majorHAnsi"/>
                <w:b/>
                <w:sz w:val="22"/>
                <w:lang w:val="de-DE"/>
              </w:rPr>
            </w:pPr>
          </w:p>
        </w:tc>
        <w:tc>
          <w:tcPr>
            <w:tcW w:w="2268" w:type="dxa"/>
            <w:tcBorders>
              <w:top w:val="nil"/>
              <w:left w:val="nil"/>
              <w:bottom w:val="nil"/>
              <w:right w:val="nil"/>
            </w:tcBorders>
            <w:vAlign w:val="bottom"/>
          </w:tcPr>
          <w:p w14:paraId="7E1755B0" w14:textId="77777777" w:rsidR="00EF7BFD" w:rsidRPr="008C0556" w:rsidRDefault="00EF7BFD" w:rsidP="003B7725">
            <w:pPr>
              <w:jc w:val="right"/>
              <w:rPr>
                <w:rFonts w:asciiTheme="majorHAnsi" w:eastAsia="Times New Roman" w:hAnsiTheme="majorHAnsi" w:cstheme="majorHAnsi"/>
                <w:color w:val="000000"/>
                <w:sz w:val="22"/>
              </w:rPr>
            </w:pPr>
          </w:p>
        </w:tc>
        <w:tc>
          <w:tcPr>
            <w:tcW w:w="2410" w:type="dxa"/>
            <w:tcBorders>
              <w:top w:val="nil"/>
              <w:left w:val="nil"/>
              <w:bottom w:val="nil"/>
              <w:right w:val="nil"/>
            </w:tcBorders>
            <w:vAlign w:val="bottom"/>
          </w:tcPr>
          <w:p w14:paraId="603F3753" w14:textId="77777777" w:rsidR="00EF7BFD" w:rsidRPr="008C0556" w:rsidRDefault="00EF7BFD" w:rsidP="003B7725">
            <w:pPr>
              <w:jc w:val="right"/>
              <w:rPr>
                <w:rFonts w:asciiTheme="majorHAnsi" w:eastAsia="Times New Roman" w:hAnsiTheme="majorHAnsi" w:cstheme="majorHAnsi"/>
                <w:color w:val="000000"/>
                <w:sz w:val="22"/>
              </w:rPr>
            </w:pPr>
          </w:p>
        </w:tc>
        <w:tc>
          <w:tcPr>
            <w:tcW w:w="2103" w:type="dxa"/>
            <w:tcBorders>
              <w:top w:val="nil"/>
              <w:left w:val="nil"/>
              <w:bottom w:val="nil"/>
              <w:right w:val="nil"/>
            </w:tcBorders>
            <w:vAlign w:val="bottom"/>
          </w:tcPr>
          <w:p w14:paraId="743A44B0" w14:textId="77777777" w:rsidR="00EF7BFD" w:rsidRPr="008C0556" w:rsidRDefault="00EF7BFD" w:rsidP="003B7725">
            <w:pPr>
              <w:jc w:val="right"/>
              <w:rPr>
                <w:rFonts w:asciiTheme="majorHAnsi" w:eastAsia="Times New Roman" w:hAnsiTheme="majorHAnsi" w:cstheme="majorHAnsi"/>
                <w:color w:val="000000"/>
                <w:sz w:val="22"/>
              </w:rPr>
            </w:pPr>
          </w:p>
        </w:tc>
      </w:tr>
      <w:tr w:rsidR="00EF7BFD" w:rsidRPr="008C0556" w14:paraId="4C50A431" w14:textId="77777777" w:rsidTr="003B7725">
        <w:tc>
          <w:tcPr>
            <w:tcW w:w="2948" w:type="dxa"/>
            <w:tcBorders>
              <w:top w:val="nil"/>
              <w:left w:val="nil"/>
              <w:bottom w:val="nil"/>
              <w:right w:val="nil"/>
            </w:tcBorders>
          </w:tcPr>
          <w:p w14:paraId="52EC96E4" w14:textId="735D2480" w:rsidR="00EF7BFD" w:rsidRPr="008C0556" w:rsidRDefault="006E363F" w:rsidP="003B7725">
            <w:pPr>
              <w:rPr>
                <w:rFonts w:asciiTheme="majorHAnsi" w:hAnsiTheme="majorHAnsi" w:cstheme="majorHAnsi"/>
                <w:sz w:val="22"/>
                <w:lang w:val="de-DE"/>
              </w:rPr>
            </w:pPr>
            <w:r w:rsidRPr="006E363F">
              <w:rPr>
                <w:rFonts w:asciiTheme="majorHAnsi" w:hAnsiTheme="majorHAnsi" w:cstheme="majorHAnsi"/>
                <w:sz w:val="22"/>
                <w:lang w:val="de-DE"/>
              </w:rPr>
              <w:t>Workplace Consultation</w:t>
            </w:r>
          </w:p>
        </w:tc>
        <w:tc>
          <w:tcPr>
            <w:tcW w:w="2547" w:type="dxa"/>
            <w:tcBorders>
              <w:top w:val="nil"/>
              <w:left w:val="nil"/>
              <w:bottom w:val="nil"/>
              <w:right w:val="nil"/>
            </w:tcBorders>
            <w:vAlign w:val="bottom"/>
          </w:tcPr>
          <w:p w14:paraId="59658391"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166847 [</w:t>
            </w:r>
            <w:proofErr w:type="gramStart"/>
            <w:r w:rsidRPr="008C0556">
              <w:rPr>
                <w:rFonts w:asciiTheme="majorHAnsi" w:eastAsia="Times New Roman" w:hAnsiTheme="majorHAnsi" w:cstheme="majorHAnsi"/>
                <w:color w:val="000000"/>
                <w:sz w:val="22"/>
              </w:rPr>
              <w:t>88693]*</w:t>
            </w:r>
            <w:proofErr w:type="gramEnd"/>
          </w:p>
        </w:tc>
        <w:tc>
          <w:tcPr>
            <w:tcW w:w="2268" w:type="dxa"/>
            <w:tcBorders>
              <w:top w:val="nil"/>
              <w:left w:val="nil"/>
              <w:bottom w:val="nil"/>
              <w:right w:val="nil"/>
            </w:tcBorders>
          </w:tcPr>
          <w:p w14:paraId="26752A3E" w14:textId="77777777" w:rsidR="00EF7BFD" w:rsidRPr="008C0556" w:rsidRDefault="00EF7BFD" w:rsidP="003B7725">
            <w:pPr>
              <w:rPr>
                <w:rFonts w:asciiTheme="majorHAnsi" w:hAnsiTheme="majorHAnsi" w:cstheme="majorHAnsi"/>
                <w:sz w:val="22"/>
                <w:lang w:val="de-DE"/>
              </w:rPr>
            </w:pPr>
          </w:p>
        </w:tc>
        <w:tc>
          <w:tcPr>
            <w:tcW w:w="2268" w:type="dxa"/>
            <w:tcBorders>
              <w:top w:val="nil"/>
              <w:left w:val="nil"/>
              <w:bottom w:val="nil"/>
              <w:right w:val="nil"/>
            </w:tcBorders>
            <w:vAlign w:val="bottom"/>
          </w:tcPr>
          <w:p w14:paraId="77E25AD2"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138680 [</w:t>
            </w:r>
            <w:proofErr w:type="gramStart"/>
            <w:r w:rsidRPr="008C0556">
              <w:rPr>
                <w:rFonts w:asciiTheme="majorHAnsi" w:eastAsia="Times New Roman" w:hAnsiTheme="majorHAnsi" w:cstheme="majorHAnsi"/>
                <w:color w:val="000000"/>
                <w:sz w:val="22"/>
              </w:rPr>
              <w:t>115018]*</w:t>
            </w:r>
            <w:proofErr w:type="gramEnd"/>
          </w:p>
        </w:tc>
        <w:tc>
          <w:tcPr>
            <w:tcW w:w="2410" w:type="dxa"/>
            <w:tcBorders>
              <w:top w:val="nil"/>
              <w:left w:val="nil"/>
              <w:bottom w:val="nil"/>
              <w:right w:val="nil"/>
            </w:tcBorders>
          </w:tcPr>
          <w:p w14:paraId="41C32360" w14:textId="77777777" w:rsidR="00EF7BFD" w:rsidRPr="008C0556" w:rsidRDefault="00EF7BFD" w:rsidP="003B7725">
            <w:pPr>
              <w:rPr>
                <w:rFonts w:asciiTheme="majorHAnsi" w:hAnsiTheme="majorHAnsi" w:cstheme="majorHAnsi"/>
                <w:sz w:val="22"/>
                <w:lang w:val="de-DE"/>
              </w:rPr>
            </w:pPr>
          </w:p>
        </w:tc>
        <w:tc>
          <w:tcPr>
            <w:tcW w:w="2103" w:type="dxa"/>
            <w:tcBorders>
              <w:top w:val="nil"/>
              <w:left w:val="nil"/>
              <w:bottom w:val="nil"/>
              <w:right w:val="nil"/>
            </w:tcBorders>
            <w:vAlign w:val="bottom"/>
          </w:tcPr>
          <w:p w14:paraId="7630E1BA"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14546 [</w:t>
            </w:r>
            <w:proofErr w:type="gramStart"/>
            <w:r w:rsidRPr="008C0556">
              <w:rPr>
                <w:rFonts w:asciiTheme="majorHAnsi" w:eastAsia="Times New Roman" w:hAnsiTheme="majorHAnsi" w:cstheme="majorHAnsi"/>
                <w:color w:val="000000"/>
                <w:sz w:val="22"/>
              </w:rPr>
              <w:t>129100]*</w:t>
            </w:r>
            <w:proofErr w:type="gramEnd"/>
          </w:p>
        </w:tc>
      </w:tr>
      <w:tr w:rsidR="00EF7BFD" w:rsidRPr="008C0556" w14:paraId="132A6338" w14:textId="77777777" w:rsidTr="003B7725">
        <w:tc>
          <w:tcPr>
            <w:tcW w:w="2948" w:type="dxa"/>
            <w:tcBorders>
              <w:top w:val="nil"/>
              <w:left w:val="nil"/>
              <w:bottom w:val="single" w:sz="4" w:space="0" w:color="auto"/>
              <w:right w:val="nil"/>
            </w:tcBorders>
          </w:tcPr>
          <w:p w14:paraId="4CB7BCF3" w14:textId="186E618F" w:rsidR="00EF7BFD" w:rsidRPr="008C0556" w:rsidRDefault="006E363F" w:rsidP="003B7725">
            <w:pPr>
              <w:rPr>
                <w:rFonts w:asciiTheme="majorHAnsi" w:hAnsiTheme="majorHAnsi" w:cstheme="majorHAnsi"/>
                <w:sz w:val="22"/>
                <w:lang w:val="de-DE"/>
              </w:rPr>
            </w:pPr>
            <w:r w:rsidRPr="006E363F">
              <w:rPr>
                <w:rFonts w:asciiTheme="majorHAnsi" w:hAnsiTheme="majorHAnsi" w:cstheme="majorHAnsi"/>
                <w:sz w:val="22"/>
                <w:lang w:val="de-DE"/>
              </w:rPr>
              <w:t>Work Independence</w:t>
            </w:r>
          </w:p>
        </w:tc>
        <w:tc>
          <w:tcPr>
            <w:tcW w:w="2547" w:type="dxa"/>
            <w:tcBorders>
              <w:top w:val="nil"/>
              <w:left w:val="nil"/>
              <w:bottom w:val="single" w:sz="4" w:space="0" w:color="auto"/>
              <w:right w:val="nil"/>
            </w:tcBorders>
            <w:vAlign w:val="bottom"/>
          </w:tcPr>
          <w:p w14:paraId="3FD88541"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-126208 [87902]</w:t>
            </w:r>
          </w:p>
        </w:tc>
        <w:tc>
          <w:tcPr>
            <w:tcW w:w="2268" w:type="dxa"/>
            <w:tcBorders>
              <w:top w:val="nil"/>
              <w:left w:val="nil"/>
              <w:bottom w:val="single" w:sz="4" w:space="0" w:color="auto"/>
              <w:right w:val="nil"/>
            </w:tcBorders>
          </w:tcPr>
          <w:p w14:paraId="707CD352" w14:textId="77777777" w:rsidR="00EF7BFD" w:rsidRPr="008C0556" w:rsidRDefault="00EF7BFD" w:rsidP="003B7725">
            <w:pPr>
              <w:rPr>
                <w:rFonts w:asciiTheme="majorHAnsi" w:hAnsiTheme="majorHAnsi" w:cstheme="majorHAnsi"/>
                <w:sz w:val="22"/>
                <w:lang w:val="de-DE"/>
              </w:rPr>
            </w:pPr>
          </w:p>
        </w:tc>
        <w:tc>
          <w:tcPr>
            <w:tcW w:w="2268" w:type="dxa"/>
            <w:tcBorders>
              <w:top w:val="nil"/>
              <w:left w:val="nil"/>
              <w:bottom w:val="single" w:sz="4" w:space="0" w:color="auto"/>
              <w:right w:val="nil"/>
            </w:tcBorders>
            <w:vAlign w:val="bottom"/>
          </w:tcPr>
          <w:p w14:paraId="7FC3E047"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40127 [112008]</w:t>
            </w:r>
          </w:p>
        </w:tc>
        <w:tc>
          <w:tcPr>
            <w:tcW w:w="2410" w:type="dxa"/>
            <w:tcBorders>
              <w:top w:val="nil"/>
              <w:left w:val="nil"/>
              <w:bottom w:val="single" w:sz="4" w:space="0" w:color="auto"/>
              <w:right w:val="nil"/>
            </w:tcBorders>
          </w:tcPr>
          <w:p w14:paraId="18800ECA" w14:textId="77777777" w:rsidR="00EF7BFD" w:rsidRPr="008C0556" w:rsidRDefault="00EF7BFD" w:rsidP="003B7725">
            <w:pPr>
              <w:rPr>
                <w:rFonts w:asciiTheme="majorHAnsi" w:hAnsiTheme="majorHAnsi" w:cstheme="majorHAnsi"/>
                <w:sz w:val="22"/>
                <w:lang w:val="de-DE"/>
              </w:rPr>
            </w:pPr>
          </w:p>
        </w:tc>
        <w:tc>
          <w:tcPr>
            <w:tcW w:w="2103" w:type="dxa"/>
            <w:tcBorders>
              <w:top w:val="nil"/>
              <w:left w:val="nil"/>
              <w:bottom w:val="single" w:sz="4" w:space="0" w:color="auto"/>
              <w:right w:val="nil"/>
            </w:tcBorders>
            <w:vAlign w:val="bottom"/>
          </w:tcPr>
          <w:p w14:paraId="03C40CC4"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-10304 [155218]</w:t>
            </w:r>
          </w:p>
        </w:tc>
      </w:tr>
      <w:tr w:rsidR="00A539C8" w:rsidRPr="008C0556" w14:paraId="5D349A71" w14:textId="77777777" w:rsidTr="00A3593D">
        <w:tc>
          <w:tcPr>
            <w:tcW w:w="2948" w:type="dxa"/>
            <w:tcBorders>
              <w:top w:val="single" w:sz="4" w:space="0" w:color="auto"/>
              <w:left w:val="nil"/>
              <w:bottom w:val="single" w:sz="4" w:space="0" w:color="auto"/>
              <w:right w:val="nil"/>
            </w:tcBorders>
          </w:tcPr>
          <w:p w14:paraId="5C2D0EAB" w14:textId="77777777" w:rsidR="00A539C8" w:rsidRPr="008C0556" w:rsidRDefault="00A539C8" w:rsidP="00A539C8">
            <w:pPr>
              <w:rPr>
                <w:rFonts w:asciiTheme="majorHAnsi" w:hAnsiTheme="majorHAnsi" w:cstheme="majorHAnsi"/>
                <w:sz w:val="22"/>
                <w:lang w:val="de-DE"/>
              </w:rPr>
            </w:pPr>
            <w:r w:rsidRPr="008C0556">
              <w:rPr>
                <w:rFonts w:asciiTheme="majorHAnsi" w:hAnsiTheme="majorHAnsi" w:cstheme="majorHAnsi"/>
                <w:sz w:val="22"/>
                <w:lang w:val="de-DE"/>
              </w:rPr>
              <w:t>F test</w:t>
            </w:r>
          </w:p>
        </w:tc>
        <w:tc>
          <w:tcPr>
            <w:tcW w:w="2547" w:type="dxa"/>
            <w:tcBorders>
              <w:top w:val="single" w:sz="4" w:space="0" w:color="auto"/>
              <w:left w:val="nil"/>
              <w:bottom w:val="single" w:sz="4" w:space="0" w:color="auto"/>
              <w:right w:val="nil"/>
            </w:tcBorders>
          </w:tcPr>
          <w:p w14:paraId="4798A038" w14:textId="7461E116" w:rsidR="00A539C8" w:rsidRPr="008C0556" w:rsidRDefault="00A539C8" w:rsidP="00A539C8">
            <w:pPr>
              <w:jc w:val="right"/>
              <w:rPr>
                <w:rFonts w:asciiTheme="majorHAnsi" w:eastAsia="Times New Roman" w:hAnsiTheme="majorHAnsi" w:cstheme="majorHAnsi"/>
                <w:color w:val="000000"/>
                <w:sz w:val="22"/>
              </w:rPr>
            </w:pPr>
            <w:r w:rsidRPr="00ED0588">
              <w:t>2.74***</w:t>
            </w:r>
          </w:p>
        </w:tc>
        <w:tc>
          <w:tcPr>
            <w:tcW w:w="2268" w:type="dxa"/>
            <w:tcBorders>
              <w:top w:val="single" w:sz="4" w:space="0" w:color="auto"/>
              <w:left w:val="nil"/>
              <w:bottom w:val="single" w:sz="4" w:space="0" w:color="auto"/>
              <w:right w:val="nil"/>
            </w:tcBorders>
          </w:tcPr>
          <w:p w14:paraId="454765FA" w14:textId="5DE578D8" w:rsidR="00A539C8" w:rsidRPr="008C0556" w:rsidRDefault="00A539C8" w:rsidP="00A539C8">
            <w:pPr>
              <w:jc w:val="right"/>
              <w:rPr>
                <w:rFonts w:asciiTheme="majorHAnsi" w:hAnsiTheme="majorHAnsi" w:cstheme="majorHAnsi"/>
                <w:sz w:val="22"/>
                <w:lang w:val="de-DE"/>
              </w:rPr>
            </w:pPr>
            <w:r w:rsidRPr="00ED0588">
              <w:t>6.65***</w:t>
            </w:r>
          </w:p>
        </w:tc>
        <w:tc>
          <w:tcPr>
            <w:tcW w:w="2268" w:type="dxa"/>
            <w:tcBorders>
              <w:top w:val="single" w:sz="4" w:space="0" w:color="auto"/>
              <w:left w:val="nil"/>
              <w:bottom w:val="single" w:sz="4" w:space="0" w:color="auto"/>
              <w:right w:val="nil"/>
            </w:tcBorders>
          </w:tcPr>
          <w:p w14:paraId="5F1FF54B" w14:textId="5D6DC34A" w:rsidR="00A539C8" w:rsidRPr="008C0556" w:rsidRDefault="00A539C8" w:rsidP="00A539C8">
            <w:pPr>
              <w:jc w:val="right"/>
              <w:rPr>
                <w:rFonts w:asciiTheme="majorHAnsi" w:hAnsiTheme="majorHAnsi" w:cstheme="majorHAnsi"/>
                <w:sz w:val="22"/>
                <w:lang w:val="de-DE"/>
              </w:rPr>
            </w:pPr>
            <w:r w:rsidRPr="00ED0588">
              <w:t>3.05**</w:t>
            </w:r>
          </w:p>
        </w:tc>
        <w:tc>
          <w:tcPr>
            <w:tcW w:w="2410" w:type="dxa"/>
            <w:tcBorders>
              <w:top w:val="single" w:sz="4" w:space="0" w:color="auto"/>
              <w:left w:val="nil"/>
              <w:bottom w:val="single" w:sz="4" w:space="0" w:color="auto"/>
              <w:right w:val="nil"/>
            </w:tcBorders>
          </w:tcPr>
          <w:p w14:paraId="68123767" w14:textId="64601631" w:rsidR="00A539C8" w:rsidRPr="008C0556" w:rsidRDefault="00A539C8" w:rsidP="00A539C8">
            <w:pPr>
              <w:jc w:val="right"/>
              <w:rPr>
                <w:rFonts w:asciiTheme="majorHAnsi" w:hAnsiTheme="majorHAnsi" w:cstheme="majorHAnsi"/>
                <w:sz w:val="22"/>
                <w:lang w:val="de-DE"/>
              </w:rPr>
            </w:pPr>
            <w:r w:rsidRPr="00ED0588">
              <w:t>1.37</w:t>
            </w:r>
          </w:p>
        </w:tc>
        <w:tc>
          <w:tcPr>
            <w:tcW w:w="2103" w:type="dxa"/>
            <w:tcBorders>
              <w:top w:val="single" w:sz="4" w:space="0" w:color="auto"/>
              <w:left w:val="nil"/>
              <w:bottom w:val="single" w:sz="4" w:space="0" w:color="auto"/>
              <w:right w:val="nil"/>
            </w:tcBorders>
          </w:tcPr>
          <w:p w14:paraId="1DE45F9C" w14:textId="1E4A6BE5" w:rsidR="00A539C8" w:rsidRPr="008C0556" w:rsidRDefault="00A539C8" w:rsidP="00A539C8">
            <w:pPr>
              <w:jc w:val="right"/>
              <w:rPr>
                <w:rFonts w:asciiTheme="majorHAnsi" w:hAnsiTheme="majorHAnsi" w:cstheme="majorHAnsi"/>
                <w:sz w:val="22"/>
                <w:lang w:val="de-DE"/>
              </w:rPr>
            </w:pPr>
            <w:r w:rsidRPr="00ED0588">
              <w:t>2.00*</w:t>
            </w:r>
          </w:p>
        </w:tc>
      </w:tr>
      <w:tr w:rsidR="00A539C8" w:rsidRPr="008C0556" w14:paraId="49970624" w14:textId="77777777" w:rsidTr="00A3593D">
        <w:tc>
          <w:tcPr>
            <w:tcW w:w="2948" w:type="dxa"/>
            <w:tcBorders>
              <w:top w:val="single" w:sz="4" w:space="0" w:color="auto"/>
              <w:left w:val="nil"/>
              <w:bottom w:val="double" w:sz="4" w:space="0" w:color="auto"/>
              <w:right w:val="nil"/>
            </w:tcBorders>
          </w:tcPr>
          <w:p w14:paraId="4615D8C9" w14:textId="77777777" w:rsidR="00A539C8" w:rsidRPr="008C0556" w:rsidRDefault="00A539C8" w:rsidP="00A539C8">
            <w:pPr>
              <w:rPr>
                <w:rFonts w:asciiTheme="majorHAnsi" w:hAnsiTheme="majorHAnsi" w:cstheme="majorHAnsi"/>
                <w:sz w:val="22"/>
                <w:lang w:val="de-DE"/>
              </w:rPr>
            </w:pPr>
            <w:r w:rsidRPr="008C0556">
              <w:rPr>
                <w:rFonts w:asciiTheme="majorHAnsi" w:hAnsiTheme="majorHAnsi" w:cstheme="majorHAnsi"/>
                <w:sz w:val="22"/>
                <w:lang w:val="de-DE"/>
              </w:rPr>
              <w:t>R</w:t>
            </w:r>
          </w:p>
        </w:tc>
        <w:tc>
          <w:tcPr>
            <w:tcW w:w="2547" w:type="dxa"/>
            <w:tcBorders>
              <w:top w:val="single" w:sz="4" w:space="0" w:color="auto"/>
              <w:left w:val="nil"/>
              <w:bottom w:val="double" w:sz="4" w:space="0" w:color="auto"/>
              <w:right w:val="nil"/>
            </w:tcBorders>
          </w:tcPr>
          <w:p w14:paraId="4F2A7AE6" w14:textId="0511BF5B" w:rsidR="00A539C8" w:rsidRPr="008C0556" w:rsidRDefault="00A539C8" w:rsidP="00A539C8">
            <w:pPr>
              <w:jc w:val="right"/>
              <w:rPr>
                <w:rFonts w:asciiTheme="majorHAnsi" w:eastAsia="Times New Roman" w:hAnsiTheme="majorHAnsi" w:cstheme="majorHAnsi"/>
                <w:color w:val="000000"/>
                <w:sz w:val="22"/>
              </w:rPr>
            </w:pPr>
            <w:r w:rsidRPr="00ED0588">
              <w:t>4.71%</w:t>
            </w:r>
          </w:p>
        </w:tc>
        <w:tc>
          <w:tcPr>
            <w:tcW w:w="2268" w:type="dxa"/>
            <w:tcBorders>
              <w:top w:val="single" w:sz="4" w:space="0" w:color="auto"/>
              <w:left w:val="nil"/>
              <w:bottom w:val="double" w:sz="4" w:space="0" w:color="auto"/>
              <w:right w:val="nil"/>
            </w:tcBorders>
          </w:tcPr>
          <w:p w14:paraId="2BB9A844" w14:textId="734024BD" w:rsidR="00A539C8" w:rsidRPr="008C0556" w:rsidRDefault="00A539C8" w:rsidP="00A539C8">
            <w:pPr>
              <w:jc w:val="right"/>
              <w:rPr>
                <w:rFonts w:asciiTheme="majorHAnsi" w:hAnsiTheme="majorHAnsi" w:cstheme="majorHAnsi"/>
                <w:sz w:val="22"/>
                <w:lang w:val="de-DE"/>
              </w:rPr>
            </w:pPr>
            <w:r w:rsidRPr="00ED0588">
              <w:t>57%</w:t>
            </w:r>
          </w:p>
        </w:tc>
        <w:tc>
          <w:tcPr>
            <w:tcW w:w="2268" w:type="dxa"/>
            <w:tcBorders>
              <w:top w:val="single" w:sz="4" w:space="0" w:color="auto"/>
              <w:left w:val="nil"/>
              <w:bottom w:val="double" w:sz="4" w:space="0" w:color="auto"/>
              <w:right w:val="nil"/>
            </w:tcBorders>
          </w:tcPr>
          <w:p w14:paraId="0C7902F6" w14:textId="4EE8627C" w:rsidR="00A539C8" w:rsidRPr="008C0556" w:rsidRDefault="00A539C8" w:rsidP="00A539C8">
            <w:pPr>
              <w:jc w:val="right"/>
              <w:rPr>
                <w:rFonts w:asciiTheme="majorHAnsi" w:hAnsiTheme="majorHAnsi" w:cstheme="majorHAnsi"/>
                <w:sz w:val="22"/>
                <w:lang w:val="de-DE"/>
              </w:rPr>
            </w:pPr>
            <w:r w:rsidRPr="00ED0588">
              <w:t>68%</w:t>
            </w:r>
          </w:p>
        </w:tc>
        <w:tc>
          <w:tcPr>
            <w:tcW w:w="2410" w:type="dxa"/>
            <w:tcBorders>
              <w:top w:val="single" w:sz="4" w:space="0" w:color="auto"/>
              <w:left w:val="nil"/>
              <w:bottom w:val="double" w:sz="4" w:space="0" w:color="auto"/>
              <w:right w:val="nil"/>
            </w:tcBorders>
          </w:tcPr>
          <w:p w14:paraId="19734B12" w14:textId="414CCEB1" w:rsidR="00A539C8" w:rsidRPr="008C0556" w:rsidRDefault="00A539C8" w:rsidP="00A539C8">
            <w:pPr>
              <w:jc w:val="right"/>
              <w:rPr>
                <w:rFonts w:asciiTheme="majorHAnsi" w:hAnsiTheme="majorHAnsi" w:cstheme="majorHAnsi"/>
                <w:sz w:val="22"/>
                <w:lang w:val="de-DE"/>
              </w:rPr>
            </w:pPr>
            <w:r w:rsidRPr="00ED0588">
              <w:t>17.4%</w:t>
            </w:r>
          </w:p>
        </w:tc>
        <w:tc>
          <w:tcPr>
            <w:tcW w:w="2103" w:type="dxa"/>
            <w:tcBorders>
              <w:top w:val="single" w:sz="4" w:space="0" w:color="auto"/>
              <w:left w:val="nil"/>
              <w:bottom w:val="double" w:sz="4" w:space="0" w:color="auto"/>
              <w:right w:val="nil"/>
            </w:tcBorders>
          </w:tcPr>
          <w:p w14:paraId="7713B1C0" w14:textId="7A82A614" w:rsidR="00A539C8" w:rsidRPr="008C0556" w:rsidRDefault="00A539C8" w:rsidP="00A539C8">
            <w:pPr>
              <w:jc w:val="right"/>
              <w:rPr>
                <w:rFonts w:asciiTheme="majorHAnsi" w:hAnsiTheme="majorHAnsi" w:cstheme="majorHAnsi"/>
                <w:sz w:val="22"/>
                <w:lang w:val="de-DE"/>
              </w:rPr>
            </w:pPr>
            <w:r w:rsidRPr="00ED0588">
              <w:t>65%</w:t>
            </w:r>
          </w:p>
        </w:tc>
      </w:tr>
    </w:tbl>
    <w:p w14:paraId="6573D726" w14:textId="0CA5063C" w:rsidR="00EF7BFD" w:rsidRPr="008C0556" w:rsidRDefault="00A539C8" w:rsidP="00EF7BFD">
      <w:pPr>
        <w:rPr>
          <w:rFonts w:asciiTheme="majorHAnsi" w:hAnsiTheme="majorHAnsi" w:cstheme="majorHAnsi"/>
          <w:lang w:val="de-DE"/>
        </w:rPr>
      </w:pPr>
      <w:r w:rsidRPr="00A539C8">
        <w:rPr>
          <w:rFonts w:asciiTheme="majorHAnsi" w:hAnsiTheme="majorHAnsi" w:cstheme="majorHAnsi"/>
          <w:sz w:val="20"/>
          <w:szCs w:val="20"/>
          <w:lang w:val="de-DE"/>
        </w:rPr>
        <w:t>Note: Values in square brackets [] are standard errors. ***, **, and * indicate statistical significance at the 1%, 5%, and 10% levels, respectively.</w:t>
      </w:r>
    </w:p>
    <w:p w14:paraId="2811A7B2" w14:textId="77777777" w:rsidR="00EF7BFD" w:rsidRPr="008C0556" w:rsidRDefault="00EF7BFD" w:rsidP="00EF7BFD">
      <w:pPr>
        <w:rPr>
          <w:rFonts w:asciiTheme="majorHAnsi" w:hAnsiTheme="majorHAnsi" w:cstheme="majorHAnsi"/>
          <w:lang w:val="de-DE"/>
        </w:rPr>
        <w:sectPr w:rsidR="00EF7BFD" w:rsidRPr="008C0556" w:rsidSect="003B7725">
          <w:endnotePr>
            <w:numFmt w:val="decimal"/>
          </w:endnotePr>
          <w:pgSz w:w="16838" w:h="11906" w:orient="landscape"/>
          <w:pgMar w:top="1440" w:right="1440" w:bottom="1440" w:left="1440" w:header="709" w:footer="709" w:gutter="0"/>
          <w:cols w:space="708"/>
          <w:docGrid w:linePitch="360"/>
        </w:sectPr>
      </w:pPr>
    </w:p>
    <w:p w14:paraId="09DF4683" w14:textId="77777777" w:rsidR="006E363F" w:rsidRPr="006E363F" w:rsidRDefault="006E363F" w:rsidP="003E57BB">
      <w:pPr>
        <w:spacing w:before="120" w:after="120" w:line="288" w:lineRule="auto"/>
        <w:rPr>
          <w:rFonts w:asciiTheme="majorHAnsi" w:hAnsiTheme="majorHAnsi" w:cstheme="majorHAnsi"/>
          <w:szCs w:val="28"/>
          <w:lang w:val="de-DE"/>
        </w:rPr>
      </w:pPr>
      <w:r w:rsidRPr="006E363F">
        <w:rPr>
          <w:rFonts w:asciiTheme="majorHAnsi" w:hAnsiTheme="majorHAnsi" w:cstheme="majorHAnsi"/>
          <w:szCs w:val="28"/>
          <w:lang w:val="de-DE"/>
        </w:rPr>
        <w:lastRenderedPageBreak/>
        <w:t>In the models, gender and age do not show a significant impact on the income of ethnic minority groups in general, nor in the separate models for the Hmong and Tay groups. However, among other demographic variables, widowed respondents have significantly lower income compared to married respondents, with statistical significance at the 1% level.</w:t>
      </w:r>
    </w:p>
    <w:p w14:paraId="1628752A" w14:textId="77777777" w:rsidR="006E363F" w:rsidRPr="006E363F" w:rsidRDefault="006E363F" w:rsidP="003E57BB">
      <w:pPr>
        <w:spacing w:before="120" w:after="120" w:line="288" w:lineRule="auto"/>
        <w:rPr>
          <w:rFonts w:asciiTheme="majorHAnsi" w:hAnsiTheme="majorHAnsi" w:cstheme="majorHAnsi"/>
          <w:szCs w:val="28"/>
          <w:lang w:val="de-DE"/>
        </w:rPr>
      </w:pPr>
      <w:r w:rsidRPr="006E363F">
        <w:rPr>
          <w:rFonts w:asciiTheme="majorHAnsi" w:hAnsiTheme="majorHAnsi" w:cstheme="majorHAnsi"/>
          <w:szCs w:val="28"/>
          <w:lang w:val="de-DE"/>
        </w:rPr>
        <w:t>Next, education is generally considered a factor influencing respondents’ income. However, regression results indicate that there is no statistically significant evidence to suggest that higher educational attainment corresponds to higher income. On the other hand, a higher living standard appears to facilitate higher income, as individuals with better economic conditions have greater potential in terms of capital and material resources. This effect is statistically significant at the 1% level for the Hmong group and at the 10% level for the Tay group (see Model 1, Column 5).</w:t>
      </w:r>
    </w:p>
    <w:p w14:paraId="13D2EAF7" w14:textId="713C6FD4" w:rsidR="006E363F" w:rsidRPr="006E363F" w:rsidRDefault="006E363F" w:rsidP="003E57BB">
      <w:pPr>
        <w:spacing w:before="120" w:after="120" w:line="288" w:lineRule="auto"/>
        <w:rPr>
          <w:rFonts w:asciiTheme="majorHAnsi" w:hAnsiTheme="majorHAnsi" w:cstheme="majorHAnsi"/>
          <w:szCs w:val="28"/>
          <w:lang w:val="de-DE"/>
        </w:rPr>
      </w:pPr>
      <w:r w:rsidRPr="006E363F">
        <w:rPr>
          <w:rFonts w:asciiTheme="majorHAnsi" w:hAnsiTheme="majorHAnsi" w:cstheme="majorHAnsi"/>
          <w:szCs w:val="28"/>
          <w:lang w:val="de-DE"/>
        </w:rPr>
        <w:t>Cultivated land area serves as an indirect measure of capability that can affect income outcomes. As expected, respondents with larger land holdings tend to earn higher income, though this effect is observed only in the Tay group, with statistical significance at the 5% level. In terms of capability factors, language proficiency also plays a role. Consistent with expectations, respondents who can speak both the national language and foreign languages earn higher income than those who speak only their ethnic language, with high statistical significance across all three models, particularly in the Tay group.</w:t>
      </w:r>
      <w:r w:rsidR="00B907C7">
        <w:rPr>
          <w:rFonts w:asciiTheme="majorHAnsi" w:hAnsiTheme="majorHAnsi" w:cstheme="majorHAnsi"/>
          <w:szCs w:val="28"/>
          <w:lang w:val="de-DE"/>
        </w:rPr>
        <w:t xml:space="preserve"> </w:t>
      </w:r>
      <w:r w:rsidRPr="006E363F">
        <w:rPr>
          <w:rFonts w:asciiTheme="majorHAnsi" w:hAnsiTheme="majorHAnsi" w:cstheme="majorHAnsi"/>
          <w:szCs w:val="28"/>
          <w:lang w:val="de-DE"/>
        </w:rPr>
        <w:t>Effectiveness-related factors, including whether respondents are consulted in work-related decisions and their independence in work, show a positive impact on current income for both the overall model and the separate models for the two ethnic groups, with statistical significance at the 10% level. However, work independence alone does not appear to significantly affect income.</w:t>
      </w:r>
      <w:r w:rsidR="00D52EDD">
        <w:rPr>
          <w:rFonts w:asciiTheme="majorHAnsi" w:hAnsiTheme="majorHAnsi" w:cstheme="majorHAnsi"/>
          <w:szCs w:val="28"/>
          <w:lang w:val="de-DE"/>
        </w:rPr>
        <w:t xml:space="preserve"> </w:t>
      </w:r>
      <w:r w:rsidRPr="006E363F">
        <w:rPr>
          <w:rFonts w:asciiTheme="majorHAnsi" w:hAnsiTheme="majorHAnsi" w:cstheme="majorHAnsi"/>
          <w:szCs w:val="28"/>
          <w:lang w:val="de-DE"/>
        </w:rPr>
        <w:t>An important finding is that the longer respondents remain in their current job, the lower their income, across all three models, with high statistical significance at the 1% level. This negative effect does not differ between the Hmong and Tay groups, indicating that longer tenure in a job corresponds to reduced income.</w:t>
      </w:r>
    </w:p>
    <w:p w14:paraId="37CDE086" w14:textId="3A455C74" w:rsidR="0066366A" w:rsidRPr="003E57BB" w:rsidRDefault="006E363F" w:rsidP="003E57BB">
      <w:pPr>
        <w:spacing w:before="120" w:after="120" w:line="288" w:lineRule="auto"/>
        <w:rPr>
          <w:rFonts w:asciiTheme="majorHAnsi" w:hAnsiTheme="majorHAnsi" w:cstheme="majorHAnsi"/>
          <w:szCs w:val="28"/>
          <w:lang w:val="de-DE"/>
        </w:rPr>
      </w:pPr>
      <w:r w:rsidRPr="006E363F">
        <w:rPr>
          <w:rFonts w:asciiTheme="majorHAnsi" w:hAnsiTheme="majorHAnsi" w:cstheme="majorHAnsi"/>
          <w:szCs w:val="28"/>
          <w:lang w:val="de-DE"/>
        </w:rPr>
        <w:t>Finally, from a statistical perspective, all models report high F-statistics and R-squared values, indicating a good fit and reliability of the selected factors. This supports the validity of the conclusions drawn from the statistical hypotheses.</w:t>
      </w:r>
    </w:p>
    <w:p w14:paraId="50956541" w14:textId="77777777" w:rsidR="00D52EDD" w:rsidRDefault="00D52EDD" w:rsidP="0008539E">
      <w:pPr>
        <w:spacing w:line="480" w:lineRule="auto"/>
        <w:rPr>
          <w:rFonts w:asciiTheme="majorHAnsi" w:hAnsiTheme="majorHAnsi" w:cstheme="majorHAnsi"/>
          <w:bCs/>
          <w:szCs w:val="28"/>
          <w:lang w:val="de-DE"/>
        </w:rPr>
      </w:pPr>
    </w:p>
    <w:p w14:paraId="0053B5C3" w14:textId="6E7D1B83" w:rsidR="00D52EDD" w:rsidRPr="003E57BB" w:rsidRDefault="00D52EDD" w:rsidP="0008539E">
      <w:pPr>
        <w:spacing w:line="480" w:lineRule="auto"/>
        <w:rPr>
          <w:rFonts w:asciiTheme="majorHAnsi" w:hAnsiTheme="majorHAnsi" w:cstheme="majorHAnsi"/>
          <w:b/>
          <w:szCs w:val="28"/>
          <w:lang w:val="de-DE"/>
        </w:rPr>
      </w:pPr>
      <w:r w:rsidRPr="003E57BB">
        <w:rPr>
          <w:rFonts w:asciiTheme="majorHAnsi" w:hAnsiTheme="majorHAnsi" w:cstheme="majorHAnsi"/>
          <w:b/>
          <w:szCs w:val="28"/>
          <w:lang w:val="de-DE"/>
        </w:rPr>
        <w:lastRenderedPageBreak/>
        <w:t>5. DISCUSSION</w:t>
      </w:r>
    </w:p>
    <w:p w14:paraId="06F73223" w14:textId="77777777" w:rsidR="00556B67" w:rsidRPr="003E57BB" w:rsidRDefault="00556B67"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 xml:space="preserve">The findings of this study provide a nuanced understanding of the economic security landscape among the Tay and Hmong communities in Ha Giang, Vietnam. By examining factors influencing household income through the lenses of capability, efficiency, and sustainability, our analysis reveals both opportunities and structural constraints that shape livelihood outcomes in this culturally diverse region. The strong positive relationship between language proficiency (national and foreign languages) and income underscores the critical importance of communicative capability in economic advancement. This finding aligns with recent research highlighting that language skills serve as “linguistic capital” enabling ethnic minority populations to access higher-value employment opportunities in emerging tourism markets </w:t>
      </w:r>
      <w:r w:rsidRPr="003E57BB">
        <w:rPr>
          <w:rFonts w:asciiTheme="majorHAnsi" w:hAnsiTheme="majorHAnsi" w:cstheme="majorHAnsi"/>
          <w:szCs w:val="28"/>
          <w:lang w:val="de-DE"/>
        </w:rPr>
        <w:fldChar w:fldCharType="begin"/>
      </w:r>
      <w:r w:rsidRPr="003E57BB">
        <w:rPr>
          <w:rFonts w:asciiTheme="majorHAnsi" w:hAnsiTheme="majorHAnsi" w:cstheme="majorHAnsi"/>
          <w:szCs w:val="28"/>
          <w:lang w:val="de-DE"/>
        </w:rPr>
        <w:instrText xml:space="preserve"> ADDIN ZOTERO_ITEM CSL_CITATION {"citationID":"oAzn1Nnv","properties":{"formattedCitation":"(Nguyen et al., 2024)","plainCitation":"(Nguyen et al., 2024)","noteIndex":0},"citationItems":[{"id":399,"uris":["http://zotero.org/users/2126705/items/B24QVW33"],"itemData":{"id":399,"type":"article-journal","abstract":"Host-tourist interaction is a core attraction of ethnic tourism. Yet both parties may confront challenges in such interactions because of different cultural backgrounds. This study aims to investigate host-tourist interaction issues in Vietnam’s Central Highlands by adopting a qualitative approach wherein 31 semi-structured interviews were conducted with villagers. Results find that villagers interacted with domestic tourists mostly in private houses, tourist attractions and facilities, and on tours. In such settings, the content of interactions varied from low to high intensity. Derived from the Coordinated Management of Meaning (CMM) theory [Pearce, W. B., &amp; Cronen, V. E. (1980). Communication action and meaning. Praeger], verbal (language) and non-verbal behaviour and cultural patterns were the greatest interaction difficulties. While interaction difficulties occurred across different settings, higher intensity interactions resulted in more positive outcomes. This study enriches the existing knowledge on interaction between ethnic hosts and domestic tourists in the intra-national context. The interpretive theoretical and methodological utility of CMM provided insight into interaction difficulties, and opportunities to facilitate positive interactions in ethnic tourism development. Further implications for villagers, tourists, local policymakers, and tour operators were suggested to build long-term sustainability of the host-tourist relationship in the Central Highlands.","container-title":"Journal of Heritage Tourism","DOI":"10.1080/1743873X.2023.2259512","ISSN":"1743-873X","issue":"2","note":"publisher: Routledge\n_eprint: https://doi.org/10.1080/1743873X.2023.2259512","page":"263-286","source":"Taylor and Francis+NEJM","title":"Let’s listen: the voices of ethnic villagers in identifying host-tourist interaction issues in the Central Highlands, Vietnam","title-short":"Let’s listen","volume":"19","author":[{"family":"Nguyen","given":"Kieu T.T."},{"family":"Murphy","given":"Laurie"},{"family":"Chen","given":"Tingzhen"},{"family":"Pearce","given":"Philip L."}],"issued":{"date-parts":[["2024",3,3]]}}}],"schema":"https://github.com/citation-style-language/schema/raw/master/csl-citation.json"}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(Nguyen et al., 2024)</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In the context of Ha Giang's growing tourism sector, proficiency in Vietnamese and foreign languages allows direct engagement with tourists, creating opportunities for homestay operations, guided tours, and handicraft marketing that generate substantially higher incomes than traditional agriculture.</w:t>
      </w:r>
    </w:p>
    <w:p w14:paraId="544B24F5" w14:textId="77777777" w:rsidR="00556B67" w:rsidRPr="003E57BB" w:rsidRDefault="00556B67"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 xml:space="preserve">The positive correlation between workplace consultation and income reveals the economic value of participatory decision-making. This finding challenges traditional top-down development approaches and supports the growing literature on inclusive governance in sustainable development </w:t>
      </w:r>
      <w:r w:rsidRPr="003E57BB">
        <w:rPr>
          <w:rFonts w:asciiTheme="majorHAnsi" w:hAnsiTheme="majorHAnsi" w:cstheme="majorHAnsi"/>
          <w:szCs w:val="28"/>
          <w:lang w:val="de-DE"/>
        </w:rPr>
        <w:fldChar w:fldCharType="begin"/>
      </w:r>
      <w:r w:rsidRPr="003E57BB">
        <w:rPr>
          <w:rFonts w:asciiTheme="majorHAnsi" w:hAnsiTheme="majorHAnsi" w:cstheme="majorHAnsi"/>
          <w:szCs w:val="28"/>
          <w:lang w:val="de-DE"/>
        </w:rPr>
        <w:instrText xml:space="preserve"> ADDIN ZOTERO_ITEM CSL_CITATION {"citationID":"KVmsxVVR","properties":{"formattedCitation":"(Schugurensky &amp; Mook, 2024)","plainCitation":"(Schugurensky &amp; Mook, 2024)","noteIndex":0},"citationItems":[{"id":401,"uris":["http://zotero.org/users/2126705/items/MKSPZIKW"],"itemData":{"id":401,"type":"article-journal","container-title":"Local Development &amp; Society","DOI":"10.1080/26883597.2024.2391664","ISSN":"2688-3597","issue":"3","note":"publisher: Routledge\n_eprint: https://doi.org/10.1080/26883597.2024.2391664","page":"433-445","source":"Taylor and Francis+NEJM","title":"Participatory budgeting and local development: Impacts, challenges, and prospects","title-short":"Participatory budgeting and local development","volume":"5","author":[{"family":"Schugurensky","given":"Daniel"},{"family":"Mook","given":"Laurie"}],"issued":{"date-parts":[["2024",9,1]]}}}],"schema":"https://github.com/citation-style-language/schema/raw/master/csl-citation.json"}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(Schugurensky &amp; Mook, 2024)</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When ethnic minority workers are consulted in decisions affecting their work, they likely contribute valuable local knowledge that improves operational efficiency and service quality, ultimately leading to better economic outcomes for both enterprises and workers.</w:t>
      </w:r>
    </w:p>
    <w:p w14:paraId="61D5A657" w14:textId="1B6EC272" w:rsidR="00556B67" w:rsidRPr="003E57BB" w:rsidRDefault="00556B67"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 xml:space="preserve">The counterintuitive finding that longer job tenure correlates with lower income exposes significant structural constraints within the local economy. This “tenure paradox” suggests that many workers remain trapped in low-skill, low-wage positions without opportunities for advancement or skill development. This pattern reflects what scholars have termed “precarity persistence” in ethnic minority livelihoods </w:t>
      </w:r>
      <w:r w:rsidRPr="003E57BB">
        <w:rPr>
          <w:rFonts w:asciiTheme="majorHAnsi" w:hAnsiTheme="majorHAnsi" w:cstheme="majorHAnsi"/>
          <w:szCs w:val="28"/>
          <w:lang w:val="de-DE"/>
        </w:rPr>
        <w:fldChar w:fldCharType="begin"/>
      </w:r>
      <w:r w:rsidRPr="003E57BB">
        <w:rPr>
          <w:rFonts w:asciiTheme="majorHAnsi" w:hAnsiTheme="majorHAnsi" w:cstheme="majorHAnsi"/>
          <w:szCs w:val="28"/>
          <w:lang w:val="de-DE"/>
        </w:rPr>
        <w:instrText xml:space="preserve"> ADDIN ZOTERO_ITEM CSL_CITATION {"citationID":"noHgho5o","properties":{"formattedCitation":"(Burau &amp; Nguyen, n.d.)","plainCitation":"(Burau &amp; Nguyen, n.d.)","noteIndex":0},"citationItems":[{"id":403,"uris":["http://zotero.org/users/2126705/items/JR9UXUEC"],"itemData":{"id":403,"type":"article-journal","abstract":"Vietnam has achieved remarkable progress in reducing poverty over the last decades. However, households mainly engaged in agriculture, ethnic minorities, and households in remote areas are still more likely to be poor. Our paper assesses whether poverty can be expected to be persistent for certain types of households in rural areas. We first estimate the asset-based income to describe structural poverty and find that the latter is declining overall, consistent with country-wide trends on income and multidimensional poverty reduction. Second, based on the asset-based income as proxy for assets, we estimate the asset growth path for ethnic minority and majority households by non-parametric and parametric approaches. We find no signs of a general multiple equilibria poverty trap as all households, when considered jointly, converge to levels of welfare above the poverty line. However, the results of an unconditional quantile regression indicate that a large fraction of ethnic minority households converges to welfare levels below the poverty line. Our results point to the need for improvements in the remote areas inhabited by these households, enabling them to make full use of their available labour and benefit more strongly from education.","container-title":"The Journal of Development Studies","DOI":"10.1080/00220388.2025.2489563","ISSN":"0022-0388","issue":"0","note":"publisher: Routledge\n_eprint: https://doi.org/10.1080/00220388.2025.2489563","page":"1-21","source":"Taylor and Francis+NEJM","title":"Persistent Poverty in Rural Vietnam: Differential Asset Dynamics and the Role of Ethnic Minorities","title-short":"Persistent Poverty in Rural Vietnam","volume":"0","author":[{"family":"Burau","given":"Oliver"},{"family":"Nguyen","given":"Trung Thanh"}]}}],"schema":"https://github.com/citation-style-language/schema/raw/master/csl-citation.json"}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(Burau &amp; Nguyen, n.d.)</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where experienced workers face diminishing returns due to the absence of career ladders, training opportunities, and economic diversification in rural areas.</w:t>
      </w:r>
      <w:r w:rsidR="00B907C7" w:rsidRPr="003E57BB">
        <w:rPr>
          <w:rFonts w:asciiTheme="majorHAnsi" w:hAnsiTheme="majorHAnsi" w:cstheme="majorHAnsi"/>
          <w:szCs w:val="28"/>
          <w:lang w:val="de-DE"/>
        </w:rPr>
        <w:t xml:space="preserve"> </w:t>
      </w:r>
    </w:p>
    <w:p w14:paraId="5C5B418D" w14:textId="77777777" w:rsidR="00556B67" w:rsidRPr="003E57BB" w:rsidRDefault="00556B67"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 xml:space="preserve">The divergent impact of land ownership between Tay and Hmong communities highlights how cultural and historical factors shape economic outcomes. While </w:t>
      </w:r>
      <w:r w:rsidRPr="003E57BB">
        <w:rPr>
          <w:rFonts w:asciiTheme="majorHAnsi" w:hAnsiTheme="majorHAnsi" w:cstheme="majorHAnsi"/>
          <w:szCs w:val="28"/>
          <w:lang w:val="de-DE"/>
        </w:rPr>
        <w:lastRenderedPageBreak/>
        <w:t xml:space="preserve">land represents significant potential capital, its productive utilization depends on complementary resources including market access, agricultural technology, and financial services. The Tay's greater success in converting land into income may reflect historical advantages in land quality, location, and social networks that facilitate market access </w:t>
      </w:r>
      <w:r w:rsidRPr="003E57BB">
        <w:rPr>
          <w:rFonts w:asciiTheme="majorHAnsi" w:hAnsiTheme="majorHAnsi" w:cstheme="majorHAnsi"/>
          <w:szCs w:val="28"/>
          <w:lang w:val="de-DE"/>
        </w:rPr>
        <w:fldChar w:fldCharType="begin"/>
      </w:r>
      <w:r w:rsidRPr="003E57BB">
        <w:rPr>
          <w:rFonts w:asciiTheme="majorHAnsi" w:hAnsiTheme="majorHAnsi" w:cstheme="majorHAnsi"/>
          <w:szCs w:val="28"/>
          <w:lang w:val="de-DE"/>
        </w:rPr>
        <w:instrText xml:space="preserve"> ADDIN ZOTERO_ITEM CSL_CITATION {"citationID":"HvEtXPZr","properties":{"formattedCitation":"(Nguyen-Anh et al., 2024)","plainCitation":"(Nguyen-Anh et al., 2024)","noteIndex":0},"citationItems":[{"id":405,"uris":["http://zotero.org/users/2126705/items/KDM3BLKB"],"itemData":{"id":405,"type":"article-journal","abstract":"This paper examines factors influencing agricultural land-use efficiency among 35 ethnic minority groups in Vietnam during the 2010–2018 period. A hybrid approach comprising the Difference-in-Difference model with Propensity Score Matching (DID_PSM) is adopted to examine the effect of different land sizes, land elevations, and land tenure on land-use efficiency. The results show that: (1) land size and agricultural production form an ‘U-shaped’ relationship; (2) farming on high land decreases efficiency by around 7.7%–8.0%; (3) farmers purchasing or hiring land in long-term are 7.3%–8.2% more efficient. The paper also discusses typical land characteristics of mountainous areas including steep and fragmentation related to the three comparing factors. From these results, implications are made for Vietnamese authorities about ‘land accumulation’ policies and other ‘farming on elevation’ techniques.","container-title":"Journal of the Asia Pacific Economy","DOI":"10.1080/13547860.2022.2044658","ISSN":"1354-7860","issue":"2","note":"publisher: Routledge\n_eprint: https://doi.org/10.1080/13547860.2022.2044658","page":"506-524","source":"Taylor and Francis+NEJM","title":"Drivers of land use efficiency among ethnic minority groups in Vietnam: a longitudinal study","title-short":"Drivers of land use efficiency among ethnic minority groups in Vietnam","volume":"29","author":[{"family":"Nguyen-Anh","given":"Tuan"},{"family":"Hoang-Duc","given":"Chinh"},{"family":"Le-Ngoc","given":"Anh"},{"family":"Nguyen-An","given":"Thinh"}],"issued":{"date-parts":[["2024",4,2]]}}}],"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(Nguyen-Anh et al., 2024)</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factors that deserve further ethnographic investigation.</w:t>
      </w:r>
    </w:p>
    <w:p w14:paraId="33EEB848" w14:textId="77777777" w:rsidR="00556B67" w:rsidRPr="003E57BB" w:rsidRDefault="00556B67"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These findings have profound implications for sustainable development in ethnic minority regions. First, they challenge the assumption that asset ownership automatically translates into sustainable livelihoods. Second, they highlight the need for development strategies that address both individual capabilities and structural barriers. Third, they suggest that environmental sustainability must be paired with economic mobility to ensure long-term community resilience in fragile mountain ecosystems.</w:t>
      </w:r>
    </w:p>
    <w:p w14:paraId="30497AC0" w14:textId="7907719B" w:rsidR="00D52EDD" w:rsidRPr="00D52EDD" w:rsidRDefault="001B0E21" w:rsidP="003E57BB">
      <w:pPr>
        <w:spacing w:before="120" w:after="120" w:line="288" w:lineRule="auto"/>
        <w:rPr>
          <w:rFonts w:asciiTheme="majorHAnsi" w:hAnsiTheme="majorHAnsi" w:cstheme="majorHAnsi"/>
          <w:bCs/>
          <w:szCs w:val="28"/>
          <w:lang w:val="de-DE"/>
        </w:rPr>
      </w:pPr>
      <w:r>
        <w:rPr>
          <w:rFonts w:asciiTheme="majorHAnsi" w:hAnsiTheme="majorHAnsi" w:cstheme="majorHAnsi"/>
          <w:bCs/>
          <w:szCs w:val="28"/>
          <w:lang w:val="de-DE"/>
        </w:rPr>
        <w:t xml:space="preserve">6. </w:t>
      </w:r>
      <w:r w:rsidR="00D52EDD" w:rsidRPr="00D52EDD">
        <w:rPr>
          <w:rFonts w:asciiTheme="majorHAnsi" w:hAnsiTheme="majorHAnsi" w:cstheme="majorHAnsi"/>
          <w:bCs/>
          <w:szCs w:val="28"/>
          <w:lang w:val="de-DE"/>
        </w:rPr>
        <w:t>CONCLUSION</w:t>
      </w:r>
    </w:p>
    <w:p w14:paraId="0DF6E455" w14:textId="77777777"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This study has examined the complex determinants of income among Tay and Hmong communities in northern Vietnam, offering important insights for promoting economic security through sustainable development frameworks. Our analysis demonstrates that sustainable livelihoods require attention to multiple dimensions of well-being—capabilities, efficiency, and sustainability—that together shape economic outcomes in ethnic minority regions.</w:t>
      </w:r>
    </w:p>
    <w:p w14:paraId="110E80CA" w14:textId="669E5632"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Theoretical Contributions</w:t>
      </w:r>
    </w:p>
    <w:p w14:paraId="746F77A8" w14:textId="77777777"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The research contributes to theoretical understanding in several ways. First, it provides empirical support for the capability approach in development economics, demonstrating how specific capabilities (particularly language skills) function as mechanisms for economic advancement. Second, it extends our understanding of sustainability in mountain development contexts, showing how environmental, economic, and social dimensions intersect to create or constrain opportunities. Third, it offers a nuanced analysis of how ethnic identity interacts with economic structures to produce differential outcomes even within similar geographic contexts.</w:t>
      </w:r>
    </w:p>
    <w:p w14:paraId="21523F82" w14:textId="635D970D"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Policy Implications</w:t>
      </w:r>
    </w:p>
    <w:p w14:paraId="3A605DCC" w14:textId="5F7F0081"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Based on our findings, we propose several policy recommendations</w:t>
      </w:r>
      <w:r w:rsidR="00971DEE" w:rsidRPr="003E57BB">
        <w:rPr>
          <w:rFonts w:asciiTheme="majorHAnsi" w:hAnsiTheme="majorHAnsi" w:cstheme="majorHAnsi"/>
          <w:szCs w:val="28"/>
          <w:lang w:val="de-DE"/>
        </w:rPr>
        <w:t xml:space="preserve">. </w:t>
      </w:r>
      <w:r w:rsidRPr="003E57BB">
        <w:rPr>
          <w:rFonts w:asciiTheme="majorHAnsi" w:hAnsiTheme="majorHAnsi" w:cstheme="majorHAnsi"/>
          <w:szCs w:val="28"/>
          <w:lang w:val="de-DE"/>
        </w:rPr>
        <w:t>Linguistic Investment: Develop targeted language programs that build proficiency in both Vietnamese and relevant foreign languages, particularly focused on tourism-</w:t>
      </w:r>
      <w:r w:rsidRPr="003E57BB">
        <w:rPr>
          <w:rFonts w:asciiTheme="majorHAnsi" w:hAnsiTheme="majorHAnsi" w:cstheme="majorHAnsi"/>
          <w:szCs w:val="28"/>
          <w:lang w:val="de-DE"/>
        </w:rPr>
        <w:lastRenderedPageBreak/>
        <w:t>related vocabulary and communication skills.</w:t>
      </w:r>
      <w:r w:rsidR="00971DEE" w:rsidRPr="003E57BB">
        <w:rPr>
          <w:rFonts w:asciiTheme="majorHAnsi" w:hAnsiTheme="majorHAnsi" w:cstheme="majorHAnsi"/>
          <w:szCs w:val="28"/>
          <w:lang w:val="de-DE"/>
        </w:rPr>
        <w:t xml:space="preserve"> </w:t>
      </w:r>
      <w:r w:rsidRPr="003E57BB">
        <w:rPr>
          <w:rFonts w:asciiTheme="majorHAnsi" w:hAnsiTheme="majorHAnsi" w:cstheme="majorHAnsi"/>
          <w:szCs w:val="28"/>
          <w:lang w:val="de-DE"/>
        </w:rPr>
        <w:t>Participatory Governance: Create mechanisms for meaningful worker participation in business decisions, potentially through cooperatives, worker councils, or community-based enterprises that empower local voices.</w:t>
      </w:r>
    </w:p>
    <w:p w14:paraId="68A077DD" w14:textId="7CE48438"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Skills Mobility Pathways: Address the tenure paradox through programs that provide continuous skill upgrading, recognize traditional knowledge, and create bridges between informal experience and formal qualifications.</w:t>
      </w:r>
      <w:r w:rsidR="00971DEE" w:rsidRPr="003E57BB">
        <w:rPr>
          <w:rFonts w:asciiTheme="majorHAnsi" w:hAnsiTheme="majorHAnsi" w:cstheme="majorHAnsi"/>
          <w:szCs w:val="28"/>
          <w:lang w:val="de-DE"/>
        </w:rPr>
        <w:t xml:space="preserve"> </w:t>
      </w:r>
      <w:r w:rsidRPr="003E57BB">
        <w:rPr>
          <w:rFonts w:asciiTheme="majorHAnsi" w:hAnsiTheme="majorHAnsi" w:cstheme="majorHAnsi"/>
          <w:szCs w:val="28"/>
          <w:lang w:val="de-DE"/>
        </w:rPr>
        <w:t>Differentiated Support: Tailor agricultural and land-use policies to account for differential access to resources and markets among ethnic groups, ensuring that development initiatives do not inadvertently widen existing disparities.</w:t>
      </w:r>
    </w:p>
    <w:p w14:paraId="39A0086B" w14:textId="68EC3A44"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Limitations and Future Research</w:t>
      </w:r>
    </w:p>
    <w:p w14:paraId="4B6FD473" w14:textId="77777777"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This study has several limitations. The cross-sectional design limits causal inference, and the focus on two districts may affect generalizability. Future research should employ longitudinal methods to track livelihood trajectories over time and expand to include other ethnic groups and regions. Qualitative investigations would help illuminate the mechanisms behind the statistical patterns observed, particularly regarding how cultural factors influence economic decision-making.</w:t>
      </w:r>
    </w:p>
    <w:p w14:paraId="64CED98E" w14:textId="77777777"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In conclusion, achieving sustainable economic security for ethnic minorities in Vietnam's northern highlands requires a multifaceted approach that strengthens human capabilities, creates inclusive economic institutions, and addresses the structural constraints that perpetuate poverty. By building on existing strengths while addressing systemic barriers, policymakers and communities can work together to create more equitable and sustainable livelihoods in this culturally rich and ecologically significant region.</w:t>
      </w:r>
    </w:p>
    <w:p w14:paraId="116C1E94" w14:textId="77777777" w:rsidR="007177BE" w:rsidRDefault="007177BE" w:rsidP="003E57BB">
      <w:pPr>
        <w:spacing w:before="120" w:after="120" w:line="288" w:lineRule="auto"/>
        <w:rPr>
          <w:rFonts w:asciiTheme="majorHAnsi" w:hAnsiTheme="majorHAnsi" w:cstheme="majorHAnsi"/>
          <w:bCs/>
          <w:szCs w:val="28"/>
          <w:lang w:val="de-DE"/>
        </w:rPr>
      </w:pPr>
      <w:bookmarkStart w:id="2" w:name="_GoBack"/>
      <w:bookmarkEnd w:id="2"/>
    </w:p>
    <w:p w14:paraId="06E67F0D" w14:textId="77777777" w:rsidR="007177BE" w:rsidRDefault="007177BE" w:rsidP="003E57BB">
      <w:pPr>
        <w:spacing w:before="120" w:after="120" w:line="288" w:lineRule="auto"/>
        <w:rPr>
          <w:rFonts w:asciiTheme="majorHAnsi" w:hAnsiTheme="majorHAnsi" w:cstheme="majorHAnsi"/>
          <w:bCs/>
          <w:szCs w:val="28"/>
          <w:lang w:val="de-DE"/>
        </w:rPr>
      </w:pPr>
    </w:p>
    <w:p w14:paraId="38CECFFE" w14:textId="77777777" w:rsidR="007177BE" w:rsidRPr="007177BE" w:rsidRDefault="007177BE" w:rsidP="007177BE">
      <w:pPr>
        <w:spacing w:before="120" w:after="120" w:line="288" w:lineRule="auto"/>
        <w:rPr>
          <w:rFonts w:asciiTheme="majorHAnsi" w:hAnsiTheme="majorHAnsi" w:cstheme="majorHAnsi"/>
          <w:bCs/>
          <w:szCs w:val="28"/>
          <w:lang w:val="de-DE"/>
        </w:rPr>
      </w:pPr>
      <w:r w:rsidRPr="007177BE">
        <w:rPr>
          <w:rFonts w:asciiTheme="majorHAnsi" w:hAnsiTheme="majorHAnsi" w:cstheme="majorHAnsi"/>
          <w:bCs/>
          <w:szCs w:val="28"/>
          <w:lang w:val="de-DE"/>
        </w:rPr>
        <w:t>COMPETING INTERESTS DISCLAIMER:</w:t>
      </w:r>
    </w:p>
    <w:p w14:paraId="750F2C74" w14:textId="710E0E46" w:rsidR="007177BE" w:rsidRPr="008E374B" w:rsidRDefault="007177BE" w:rsidP="007177BE">
      <w:pPr>
        <w:spacing w:before="120" w:after="120" w:line="288" w:lineRule="auto"/>
        <w:rPr>
          <w:rFonts w:asciiTheme="majorHAnsi" w:hAnsiTheme="majorHAnsi" w:cstheme="majorHAnsi"/>
          <w:bCs/>
          <w:szCs w:val="28"/>
          <w:lang w:val="de-DE"/>
        </w:rPr>
      </w:pPr>
      <w:r w:rsidRPr="007177BE">
        <w:rPr>
          <w:rFonts w:asciiTheme="majorHAnsi" w:hAnsiTheme="majorHAnsi" w:cstheme="majorHAnsi"/>
          <w:bCs/>
          <w:szCs w:val="28"/>
          <w:lang w:val="de-DE"/>
        </w:rPr>
        <w:t>Authors have declared that they have no known competing financial interests OR non-financial interests OR personal relationships that could have appeared to influence the work reported in this paper.</w:t>
      </w:r>
    </w:p>
    <w:p w14:paraId="5085327C" w14:textId="77777777" w:rsidR="008E374B" w:rsidRDefault="008E374B" w:rsidP="001B0E21">
      <w:pPr>
        <w:rPr>
          <w:rFonts w:asciiTheme="majorHAnsi" w:hAnsiTheme="majorHAnsi" w:cstheme="majorHAnsi"/>
          <w:lang w:val="de-DE"/>
        </w:rPr>
      </w:pPr>
    </w:p>
    <w:p w14:paraId="3531D737" w14:textId="4D26472C" w:rsidR="0095137B" w:rsidRPr="003E57BB" w:rsidRDefault="00D2634E" w:rsidP="001B0E21">
      <w:pPr>
        <w:rPr>
          <w:rFonts w:asciiTheme="majorHAnsi" w:hAnsiTheme="majorHAnsi" w:cstheme="majorHAnsi"/>
          <w:b/>
          <w:bCs/>
          <w:lang w:val="de-DE"/>
        </w:rPr>
      </w:pPr>
      <w:r w:rsidRPr="003E57BB">
        <w:rPr>
          <w:rFonts w:asciiTheme="majorHAnsi" w:hAnsiTheme="majorHAnsi" w:cstheme="majorHAnsi"/>
          <w:b/>
          <w:bCs/>
          <w:lang w:val="de-DE"/>
        </w:rPr>
        <w:t>REFERENCES</w:t>
      </w:r>
    </w:p>
    <w:p w14:paraId="46E44D4F" w14:textId="3F76A438" w:rsidR="0095137B" w:rsidRPr="008C0556" w:rsidRDefault="0095137B" w:rsidP="001B0E21">
      <w:pPr>
        <w:rPr>
          <w:rFonts w:asciiTheme="majorHAnsi" w:hAnsiTheme="majorHAnsi" w:cstheme="majorHAnsi"/>
          <w:lang w:val="de-DE"/>
        </w:rPr>
      </w:pPr>
    </w:p>
    <w:p w14:paraId="7F6A4EC3" w14:textId="77777777" w:rsidR="00B907C7" w:rsidRPr="00B907C7" w:rsidRDefault="0095137B" w:rsidP="003E57BB">
      <w:pPr>
        <w:pStyle w:val="Bibliography"/>
        <w:spacing w:before="120" w:after="120" w:line="288" w:lineRule="auto"/>
      </w:pPr>
      <w:r w:rsidRPr="008C0556">
        <w:rPr>
          <w:rFonts w:asciiTheme="majorHAnsi" w:hAnsiTheme="majorHAnsi" w:cstheme="majorHAnsi"/>
          <w:lang w:val="de-DE"/>
        </w:rPr>
        <w:fldChar w:fldCharType="begin"/>
      </w:r>
      <w:r w:rsidR="00B907C7">
        <w:rPr>
          <w:rFonts w:asciiTheme="majorHAnsi" w:hAnsiTheme="majorHAnsi" w:cstheme="majorHAnsi"/>
          <w:lang w:val="de-DE"/>
        </w:rPr>
        <w:instrText xml:space="preserve"> ADDIN ZOTERO_BIBL {"uncited":[],"omitted":[],"custom":[]} CSL_BIBLIOGRAPHY </w:instrText>
      </w:r>
      <w:r w:rsidRPr="008C0556">
        <w:rPr>
          <w:rFonts w:asciiTheme="majorHAnsi" w:hAnsiTheme="majorHAnsi" w:cstheme="majorHAnsi"/>
          <w:lang w:val="de-DE"/>
        </w:rPr>
        <w:fldChar w:fldCharType="separate"/>
      </w:r>
      <w:r w:rsidR="00B907C7" w:rsidRPr="00B907C7">
        <w:t xml:space="preserve">Ahmad, S., Sowgat, T., &amp; Wang, Y. P. (2025). Income, Employment, and Housing Inequalities in Asian and African Cities. In Y. P. Wang, K. Kintrea, D. Everatt, &amp; D. Kundu (Eds.), </w:t>
      </w:r>
      <w:r w:rsidR="00B907C7" w:rsidRPr="00B907C7">
        <w:rPr>
          <w:i/>
          <w:iCs/>
        </w:rPr>
        <w:t>New Drivers of Division: Urbanisation and Spatial Inequality in Africa and Asia</w:t>
      </w:r>
      <w:r w:rsidR="00B907C7" w:rsidRPr="00B907C7">
        <w:t xml:space="preserve"> (pp. 223–238). Springer Nature. https://doi.org/10.1007/978-981-96-5629-5_14</w:t>
      </w:r>
    </w:p>
    <w:p w14:paraId="2C5C786A" w14:textId="77777777" w:rsidR="00B907C7" w:rsidRPr="00B907C7" w:rsidRDefault="00B907C7" w:rsidP="003E57BB">
      <w:pPr>
        <w:pStyle w:val="Bibliography"/>
        <w:spacing w:before="120" w:after="120" w:line="288" w:lineRule="auto"/>
      </w:pPr>
      <w:r w:rsidRPr="00B907C7">
        <w:t xml:space="preserve">Alesina, A., &amp; Zhuravskaya, E. (2011). Segregation and the Quality of Government in a Cross Section of Countries. </w:t>
      </w:r>
      <w:r w:rsidRPr="00B907C7">
        <w:rPr>
          <w:i/>
          <w:iCs/>
        </w:rPr>
        <w:t>American Economic Review</w:t>
      </w:r>
      <w:r w:rsidRPr="00B907C7">
        <w:t xml:space="preserve">, </w:t>
      </w:r>
      <w:r w:rsidRPr="00B907C7">
        <w:rPr>
          <w:i/>
          <w:iCs/>
        </w:rPr>
        <w:t>101</w:t>
      </w:r>
      <w:r w:rsidRPr="00B907C7">
        <w:t>(5), 1872–1911. https://doi.org/10.1257/aer.101.5.1872</w:t>
      </w:r>
    </w:p>
    <w:p w14:paraId="728451CC" w14:textId="77777777" w:rsidR="00B907C7" w:rsidRPr="00B907C7" w:rsidRDefault="00B907C7" w:rsidP="003E57BB">
      <w:pPr>
        <w:pStyle w:val="Bibliography"/>
        <w:spacing w:before="120" w:after="120" w:line="288" w:lineRule="auto"/>
      </w:pPr>
      <w:r w:rsidRPr="00B907C7">
        <w:t xml:space="preserve">Awaworyi Churchill, S., &amp; Smyth, R. (2017). Ethnic Diversity and Poverty. </w:t>
      </w:r>
      <w:r w:rsidRPr="00B907C7">
        <w:rPr>
          <w:i/>
          <w:iCs/>
        </w:rPr>
        <w:t>World Development</w:t>
      </w:r>
      <w:r w:rsidRPr="00B907C7">
        <w:t xml:space="preserve">, </w:t>
      </w:r>
      <w:r w:rsidRPr="00B907C7">
        <w:rPr>
          <w:i/>
          <w:iCs/>
        </w:rPr>
        <w:t>95</w:t>
      </w:r>
      <w:r w:rsidRPr="00B907C7">
        <w:t>, 285–302. https://doi.org/10.1016/j.worlddev.2017.02.032</w:t>
      </w:r>
    </w:p>
    <w:p w14:paraId="5942F066" w14:textId="77777777" w:rsidR="00B907C7" w:rsidRPr="00B907C7" w:rsidRDefault="00B907C7" w:rsidP="003E57BB">
      <w:pPr>
        <w:pStyle w:val="Bibliography"/>
        <w:spacing w:before="120" w:after="120" w:line="288" w:lineRule="auto"/>
      </w:pPr>
      <w:r w:rsidRPr="00B907C7">
        <w:t xml:space="preserve">Ayyash, M., Sek, S. K., &amp; Kole, A. (2025). Income inequality dynamics in ASEAN-5: A panel data approach using CS-ARDL to examine macroeconomic factors. </w:t>
      </w:r>
      <w:r w:rsidRPr="00B907C7">
        <w:rPr>
          <w:i/>
          <w:iCs/>
        </w:rPr>
        <w:t>Discover Sustainability</w:t>
      </w:r>
      <w:r w:rsidRPr="00B907C7">
        <w:t xml:space="preserve">, </w:t>
      </w:r>
      <w:r w:rsidRPr="00B907C7">
        <w:rPr>
          <w:i/>
          <w:iCs/>
        </w:rPr>
        <w:t>6</w:t>
      </w:r>
      <w:r w:rsidRPr="00B907C7">
        <w:t>(1), 465. https://doi.org/10.1007/s43621-025-01068-1</w:t>
      </w:r>
    </w:p>
    <w:p w14:paraId="780D6B78" w14:textId="77777777" w:rsidR="00B907C7" w:rsidRPr="00B907C7" w:rsidRDefault="00B907C7" w:rsidP="003E57BB">
      <w:pPr>
        <w:pStyle w:val="Bibliography"/>
        <w:spacing w:before="120" w:after="120" w:line="288" w:lineRule="auto"/>
      </w:pPr>
      <w:r w:rsidRPr="00B907C7">
        <w:t xml:space="preserve">Bi, S. (2025). A Political Economy Analysis of Modern State Development in Southeast Asia. In G. Yang, J. Zhang, X. Xiong, &amp; L. Liu (Eds.), </w:t>
      </w:r>
      <w:r w:rsidRPr="00B907C7">
        <w:rPr>
          <w:i/>
          <w:iCs/>
        </w:rPr>
        <w:t>Risks, Resilience and Interdependency: Developing Countries in the Age of Uncertainties</w:t>
      </w:r>
      <w:r w:rsidRPr="00B907C7">
        <w:t xml:space="preserve"> (pp. 59–88). Springer Nature. https://doi.org/10.1007/978-981-96-7167-0_3</w:t>
      </w:r>
    </w:p>
    <w:p w14:paraId="35E0C272" w14:textId="77777777" w:rsidR="00B907C7" w:rsidRPr="00B907C7" w:rsidRDefault="00B907C7" w:rsidP="003E57BB">
      <w:pPr>
        <w:pStyle w:val="Bibliography"/>
        <w:spacing w:before="120" w:after="120" w:line="288" w:lineRule="auto"/>
      </w:pPr>
      <w:r w:rsidRPr="00B907C7">
        <w:t xml:space="preserve">Burau, O., &amp; Nguyen, T. T. (n.d.). Persistent Poverty in Rural Vietnam: Differential Asset Dynamics and the Role of Ethnic Minorities. </w:t>
      </w:r>
      <w:r w:rsidRPr="00B907C7">
        <w:rPr>
          <w:i/>
          <w:iCs/>
        </w:rPr>
        <w:t>The Journal of Development Studies</w:t>
      </w:r>
      <w:r w:rsidRPr="00B907C7">
        <w:t xml:space="preserve">, </w:t>
      </w:r>
      <w:r w:rsidRPr="00B907C7">
        <w:rPr>
          <w:i/>
          <w:iCs/>
        </w:rPr>
        <w:t>0</w:t>
      </w:r>
      <w:r w:rsidRPr="00B907C7">
        <w:t>(0), 1–21. https://doi.org/10.1080/00220388.2025.2489563</w:t>
      </w:r>
    </w:p>
    <w:p w14:paraId="0A905FF7" w14:textId="77777777" w:rsidR="00B907C7" w:rsidRPr="00B907C7" w:rsidRDefault="00B907C7" w:rsidP="003E57BB">
      <w:pPr>
        <w:pStyle w:val="Bibliography"/>
        <w:spacing w:before="120" w:after="120" w:line="288" w:lineRule="auto"/>
      </w:pPr>
      <w:r w:rsidRPr="00B907C7">
        <w:t xml:space="preserve">Dechow, P. M., Hutton, A. P., Kim, J. H., &amp; Sloan, R. G. (2012). Detecting Earnings Management: A New Approach. </w:t>
      </w:r>
      <w:r w:rsidRPr="00B907C7">
        <w:rPr>
          <w:i/>
          <w:iCs/>
        </w:rPr>
        <w:t>Journal of Accounting Research</w:t>
      </w:r>
      <w:r w:rsidRPr="00B907C7">
        <w:t xml:space="preserve">, </w:t>
      </w:r>
      <w:r w:rsidRPr="00B907C7">
        <w:rPr>
          <w:i/>
          <w:iCs/>
        </w:rPr>
        <w:t>50</w:t>
      </w:r>
      <w:r w:rsidRPr="00B907C7">
        <w:t>(2), 275–334. https://doi.org/10.1111/j.1475-679X.2012.00449.x</w:t>
      </w:r>
    </w:p>
    <w:p w14:paraId="5FBE4452" w14:textId="77777777" w:rsidR="00B907C7" w:rsidRPr="00B907C7" w:rsidRDefault="00B907C7" w:rsidP="003E57BB">
      <w:pPr>
        <w:pStyle w:val="Bibliography"/>
        <w:spacing w:before="120" w:after="120" w:line="288" w:lineRule="auto"/>
      </w:pPr>
      <w:r w:rsidRPr="00B907C7">
        <w:t xml:space="preserve">Deutsch, J., Silber, J., Wan, G., &amp; Zhao, M. (2020). Asset indexes and the measurement of poverty, inequality and welfare in Southeast Asia. </w:t>
      </w:r>
      <w:r w:rsidRPr="00B907C7">
        <w:rPr>
          <w:i/>
          <w:iCs/>
        </w:rPr>
        <w:t>Journal of Asian Economics</w:t>
      </w:r>
      <w:r w:rsidRPr="00B907C7">
        <w:t xml:space="preserve">, </w:t>
      </w:r>
      <w:r w:rsidRPr="00B907C7">
        <w:rPr>
          <w:i/>
          <w:iCs/>
        </w:rPr>
        <w:t>70</w:t>
      </w:r>
      <w:r w:rsidRPr="00B907C7">
        <w:t>, 101220. https://doi.org/10.1016/j.asieco.2020.101220</w:t>
      </w:r>
    </w:p>
    <w:p w14:paraId="214FE378" w14:textId="77777777" w:rsidR="00B907C7" w:rsidRPr="00B907C7" w:rsidRDefault="00B907C7" w:rsidP="003E57BB">
      <w:pPr>
        <w:pStyle w:val="Bibliography"/>
        <w:spacing w:before="120" w:after="120" w:line="288" w:lineRule="auto"/>
      </w:pPr>
      <w:r w:rsidRPr="00B907C7">
        <w:lastRenderedPageBreak/>
        <w:t xml:space="preserve">Gustafsson, B., &amp; Sai, D. (2009). Villages where China’s ethnic minorities live. </w:t>
      </w:r>
      <w:r w:rsidRPr="00B907C7">
        <w:rPr>
          <w:i/>
          <w:iCs/>
        </w:rPr>
        <w:t>China Economic Review</w:t>
      </w:r>
      <w:r w:rsidRPr="00B907C7">
        <w:t xml:space="preserve">, </w:t>
      </w:r>
      <w:r w:rsidRPr="00B907C7">
        <w:rPr>
          <w:i/>
          <w:iCs/>
        </w:rPr>
        <w:t>20</w:t>
      </w:r>
      <w:r w:rsidRPr="00B907C7">
        <w:t>(2), 193–207. https://doi.org/10.1016/j.chieco.2009.02.003</w:t>
      </w:r>
    </w:p>
    <w:p w14:paraId="10D638BB" w14:textId="77777777" w:rsidR="00B907C7" w:rsidRPr="00B907C7" w:rsidRDefault="00B907C7" w:rsidP="003E57BB">
      <w:pPr>
        <w:pStyle w:val="Bibliography"/>
        <w:spacing w:before="120" w:after="120" w:line="288" w:lineRule="auto"/>
      </w:pPr>
      <w:r w:rsidRPr="00B907C7">
        <w:t xml:space="preserve">Hasmath, R., &amp; Ho, B. (2015). Job acquisition, retention, and outcomes for ethnic minorities in urban China. </w:t>
      </w:r>
      <w:r w:rsidRPr="00B907C7">
        <w:rPr>
          <w:i/>
          <w:iCs/>
        </w:rPr>
        <w:t>Eurasian Geography and Economics</w:t>
      </w:r>
      <w:r w:rsidRPr="00B907C7">
        <w:t xml:space="preserve">, </w:t>
      </w:r>
      <w:r w:rsidRPr="00B907C7">
        <w:rPr>
          <w:i/>
          <w:iCs/>
        </w:rPr>
        <w:t>56</w:t>
      </w:r>
      <w:r w:rsidRPr="00B907C7">
        <w:t>(1), 24–43. https://doi.org/10.1080/15387216.2015.1049637</w:t>
      </w:r>
    </w:p>
    <w:p w14:paraId="054B1203" w14:textId="77777777" w:rsidR="00B907C7" w:rsidRPr="00B907C7" w:rsidRDefault="00B907C7" w:rsidP="003E57BB">
      <w:pPr>
        <w:pStyle w:val="Bibliography"/>
        <w:spacing w:before="120" w:after="120" w:line="288" w:lineRule="auto"/>
      </w:pPr>
      <w:r w:rsidRPr="00B907C7">
        <w:t xml:space="preserve">Khalid, M. A., &amp; Yang, L. (2021). Income inequality and ethnic cleavages in Malaysia: Evidence from distributional national accounts (1984–2014). </w:t>
      </w:r>
      <w:r w:rsidRPr="00B907C7">
        <w:rPr>
          <w:i/>
          <w:iCs/>
        </w:rPr>
        <w:t>Journal of Asian Economics</w:t>
      </w:r>
      <w:r w:rsidRPr="00B907C7">
        <w:t xml:space="preserve">, </w:t>
      </w:r>
      <w:r w:rsidRPr="00B907C7">
        <w:rPr>
          <w:i/>
          <w:iCs/>
        </w:rPr>
        <w:t>72</w:t>
      </w:r>
      <w:r w:rsidRPr="00B907C7">
        <w:t>, 101252. https://doi.org/10.1016/j.asieco.2020.101252</w:t>
      </w:r>
    </w:p>
    <w:p w14:paraId="2BFEB9C9" w14:textId="77777777" w:rsidR="00B907C7" w:rsidRPr="00B907C7" w:rsidRDefault="00B907C7" w:rsidP="003E57BB">
      <w:pPr>
        <w:pStyle w:val="Bibliography"/>
        <w:spacing w:before="120" w:after="120" w:line="288" w:lineRule="auto"/>
      </w:pPr>
      <w:r w:rsidRPr="00B907C7">
        <w:t xml:space="preserve">Kyeyune, V., &amp; Turner, S. (2016). Yielding to high yields? Critiquing food security definitions and policy implications for ethnic minority livelihoods in upland Vietnam. </w:t>
      </w:r>
      <w:r w:rsidRPr="00B907C7">
        <w:rPr>
          <w:i/>
          <w:iCs/>
        </w:rPr>
        <w:t>Geoforum</w:t>
      </w:r>
      <w:r w:rsidRPr="00B907C7">
        <w:t xml:space="preserve">, </w:t>
      </w:r>
      <w:r w:rsidRPr="00B907C7">
        <w:rPr>
          <w:i/>
          <w:iCs/>
        </w:rPr>
        <w:t>71</w:t>
      </w:r>
      <w:r w:rsidRPr="00B907C7">
        <w:t>, 33–43. https://doi.org/10.1016/j.geoforum.2016.03.001</w:t>
      </w:r>
    </w:p>
    <w:p w14:paraId="662A0C70" w14:textId="77777777" w:rsidR="00B907C7" w:rsidRPr="00B907C7" w:rsidRDefault="00B907C7" w:rsidP="003E57BB">
      <w:pPr>
        <w:pStyle w:val="Bibliography"/>
        <w:spacing w:before="120" w:after="120" w:line="288" w:lineRule="auto"/>
      </w:pPr>
      <w:r w:rsidRPr="00B907C7">
        <w:t xml:space="preserve">Mercado, R., Park, C.-Y., &amp; Zhuang, J. (2024). Trends and drivers of income inequality in the Philippines, Thailand, and Viet Nam since the early 2000s: A decomposition analysis. </w:t>
      </w:r>
      <w:r w:rsidRPr="00B907C7">
        <w:rPr>
          <w:i/>
          <w:iCs/>
        </w:rPr>
        <w:t>Journal of Asian Economics</w:t>
      </w:r>
      <w:r w:rsidRPr="00B907C7">
        <w:t xml:space="preserve">, </w:t>
      </w:r>
      <w:r w:rsidRPr="00B907C7">
        <w:rPr>
          <w:i/>
          <w:iCs/>
        </w:rPr>
        <w:t>94</w:t>
      </w:r>
      <w:r w:rsidRPr="00B907C7">
        <w:t>, 101775. https://doi.org/10.1016/j.asieco.2024.101775</w:t>
      </w:r>
    </w:p>
    <w:p w14:paraId="762C1C45" w14:textId="77777777" w:rsidR="00B907C7" w:rsidRPr="00B907C7" w:rsidRDefault="00B907C7" w:rsidP="003E57BB">
      <w:pPr>
        <w:pStyle w:val="Bibliography"/>
        <w:spacing w:before="120" w:after="120" w:line="288" w:lineRule="auto"/>
      </w:pPr>
      <w:r w:rsidRPr="00B907C7">
        <w:t xml:space="preserve">Mobius, M., Rosenblat, T., &amp; Wang, Q. (2016). Ethnic discrimination: Evidence from China. </w:t>
      </w:r>
      <w:r w:rsidRPr="00B907C7">
        <w:rPr>
          <w:i/>
          <w:iCs/>
        </w:rPr>
        <w:t>European Economic Review</w:t>
      </w:r>
      <w:r w:rsidRPr="00B907C7">
        <w:t xml:space="preserve">, </w:t>
      </w:r>
      <w:r w:rsidRPr="00B907C7">
        <w:rPr>
          <w:i/>
          <w:iCs/>
        </w:rPr>
        <w:t>90</w:t>
      </w:r>
      <w:r w:rsidRPr="00B907C7">
        <w:t>, 165–177. https://doi.org/10.1016/j.euroecorev.2016.04.004</w:t>
      </w:r>
    </w:p>
    <w:p w14:paraId="15457F60" w14:textId="77777777" w:rsidR="00B907C7" w:rsidRPr="00B907C7" w:rsidRDefault="00B907C7" w:rsidP="003E57BB">
      <w:pPr>
        <w:pStyle w:val="Bibliography"/>
        <w:spacing w:before="120" w:after="120" w:line="288" w:lineRule="auto"/>
      </w:pPr>
      <w:r w:rsidRPr="00B907C7">
        <w:t xml:space="preserve">Nguyen, K. T. T., Murphy, L., Chen, T., &amp; Pearce, P. L. (2024). Let’s listen: The voices of ethnic villagers in identifying host-tourist interaction issues in the Central Highlands, Vietnam. </w:t>
      </w:r>
      <w:r w:rsidRPr="00B907C7">
        <w:rPr>
          <w:i/>
          <w:iCs/>
        </w:rPr>
        <w:t>Journal of Heritage Tourism</w:t>
      </w:r>
      <w:r w:rsidRPr="00B907C7">
        <w:t xml:space="preserve">, </w:t>
      </w:r>
      <w:r w:rsidRPr="00B907C7">
        <w:rPr>
          <w:i/>
          <w:iCs/>
        </w:rPr>
        <w:t>19</w:t>
      </w:r>
      <w:r w:rsidRPr="00B907C7">
        <w:t>(2), 263–286. https://doi.org/10.1080/1743873X.2023.2259512</w:t>
      </w:r>
    </w:p>
    <w:p w14:paraId="2634468A" w14:textId="77777777" w:rsidR="00B907C7" w:rsidRPr="00B907C7" w:rsidRDefault="00B907C7" w:rsidP="003E57BB">
      <w:pPr>
        <w:pStyle w:val="Bibliography"/>
        <w:spacing w:before="120" w:after="120" w:line="288" w:lineRule="auto"/>
      </w:pPr>
      <w:r w:rsidRPr="00B907C7">
        <w:t xml:space="preserve">Nguyen-Anh, T., Hoang-Duc, C., Le-Ngoc, A., &amp; Nguyen-An, T. (2024). Drivers of land use efficiency among ethnic minority groups in Vietnam: A longitudinal study. </w:t>
      </w:r>
      <w:r w:rsidRPr="00B907C7">
        <w:rPr>
          <w:i/>
          <w:iCs/>
        </w:rPr>
        <w:t>Journal of the Asia Pacific Economy</w:t>
      </w:r>
      <w:r w:rsidRPr="00B907C7">
        <w:t xml:space="preserve">, </w:t>
      </w:r>
      <w:r w:rsidRPr="00B907C7">
        <w:rPr>
          <w:i/>
          <w:iCs/>
        </w:rPr>
        <w:t>29</w:t>
      </w:r>
      <w:r w:rsidRPr="00B907C7">
        <w:t>(2), 506–524. https://doi.org/10.1080/13547860.2022.2044658</w:t>
      </w:r>
    </w:p>
    <w:p w14:paraId="3E82EC9B" w14:textId="77777777" w:rsidR="00B907C7" w:rsidRPr="00B907C7" w:rsidRDefault="00B907C7" w:rsidP="003E57BB">
      <w:pPr>
        <w:pStyle w:val="Bibliography"/>
        <w:spacing w:before="120" w:after="120" w:line="288" w:lineRule="auto"/>
      </w:pPr>
      <w:r w:rsidRPr="00B907C7">
        <w:t xml:space="preserve">Nilan, P., &amp; Maunati, Y. (2025). Wealth, Poverty and Health in Southeast Asia. In P. Nilan &amp; Y. Maunati (Eds.), </w:t>
      </w:r>
      <w:r w:rsidRPr="00B907C7">
        <w:rPr>
          <w:i/>
          <w:iCs/>
        </w:rPr>
        <w:t>Decolonising Social Science Research in Southeast Asia: New Ways of Knowing</w:t>
      </w:r>
      <w:r w:rsidRPr="00B907C7">
        <w:t xml:space="preserve"> (pp. 85–110). Springer Nature. https://doi.org/10.1007/978-981-96-4624-1_4</w:t>
      </w:r>
    </w:p>
    <w:p w14:paraId="3FBBD34C" w14:textId="77777777" w:rsidR="00B907C7" w:rsidRPr="00B907C7" w:rsidRDefault="00B907C7" w:rsidP="003E57BB">
      <w:pPr>
        <w:pStyle w:val="Bibliography"/>
        <w:spacing w:before="120" w:after="120" w:line="288" w:lineRule="auto"/>
      </w:pPr>
      <w:r w:rsidRPr="00B907C7">
        <w:lastRenderedPageBreak/>
        <w:t xml:space="preserve">Robinson, A. L. (2016). Internal Borders: Ethnic-Based Market Segmentation in Malawi. </w:t>
      </w:r>
      <w:r w:rsidRPr="00B907C7">
        <w:rPr>
          <w:i/>
          <w:iCs/>
        </w:rPr>
        <w:t>World Development</w:t>
      </w:r>
      <w:r w:rsidRPr="00B907C7">
        <w:t xml:space="preserve">, </w:t>
      </w:r>
      <w:r w:rsidRPr="00B907C7">
        <w:rPr>
          <w:i/>
          <w:iCs/>
        </w:rPr>
        <w:t>87</w:t>
      </w:r>
      <w:r w:rsidRPr="00B907C7">
        <w:t>, 371–384. https://doi.org/10.1016/j.worlddev.2016.07.006</w:t>
      </w:r>
    </w:p>
    <w:p w14:paraId="23A5CE0C" w14:textId="77777777" w:rsidR="00B907C7" w:rsidRPr="00B907C7" w:rsidRDefault="00B907C7" w:rsidP="003E57BB">
      <w:pPr>
        <w:pStyle w:val="Bibliography"/>
        <w:spacing w:before="120" w:after="120" w:line="288" w:lineRule="auto"/>
      </w:pPr>
      <w:r w:rsidRPr="00B907C7">
        <w:t xml:space="preserve">Schugurensky, D., &amp; Mook, L. (2024). Participatory budgeting and local development: Impacts, challenges, and prospects. </w:t>
      </w:r>
      <w:r w:rsidRPr="00B907C7">
        <w:rPr>
          <w:i/>
          <w:iCs/>
        </w:rPr>
        <w:t>Local Development &amp; Society</w:t>
      </w:r>
      <w:r w:rsidRPr="00B907C7">
        <w:t xml:space="preserve">, </w:t>
      </w:r>
      <w:r w:rsidRPr="00B907C7">
        <w:rPr>
          <w:i/>
          <w:iCs/>
        </w:rPr>
        <w:t>5</w:t>
      </w:r>
      <w:r w:rsidRPr="00B907C7">
        <w:t>(3), 433–445. https://doi.org/10.1080/26883597.2024.2391664</w:t>
      </w:r>
    </w:p>
    <w:p w14:paraId="2ADE681F" w14:textId="77777777" w:rsidR="00B907C7" w:rsidRPr="00B907C7" w:rsidRDefault="00B907C7" w:rsidP="003E57BB">
      <w:pPr>
        <w:pStyle w:val="Bibliography"/>
        <w:spacing w:before="120" w:after="120" w:line="288" w:lineRule="auto"/>
      </w:pPr>
      <w:r w:rsidRPr="00B907C7">
        <w:t xml:space="preserve">Ton, G., Vellema, W., Desiere, S., Weituschat, S., &amp; D’Haese, M. (2018). Contract farming for improving smallholder incomes: What can we learn from effectiveness studies? </w:t>
      </w:r>
      <w:r w:rsidRPr="00B907C7">
        <w:rPr>
          <w:i/>
          <w:iCs/>
        </w:rPr>
        <w:t>World Development</w:t>
      </w:r>
      <w:r w:rsidRPr="00B907C7">
        <w:t xml:space="preserve">, </w:t>
      </w:r>
      <w:r w:rsidRPr="00B907C7">
        <w:rPr>
          <w:i/>
          <w:iCs/>
        </w:rPr>
        <w:t>104</w:t>
      </w:r>
      <w:r w:rsidRPr="00B907C7">
        <w:t>, 46–64. https://doi.org/10.1016/j.worlddev.2017.11.015</w:t>
      </w:r>
    </w:p>
    <w:p w14:paraId="314D24DC" w14:textId="77777777" w:rsidR="00B907C7" w:rsidRPr="00B907C7" w:rsidRDefault="00B907C7" w:rsidP="003E57BB">
      <w:pPr>
        <w:pStyle w:val="Bibliography"/>
        <w:spacing w:before="120" w:after="120" w:line="288" w:lineRule="auto"/>
      </w:pPr>
      <w:r w:rsidRPr="00B907C7">
        <w:t xml:space="preserve">Yang, L. (2011). Cultural tourism in an ethnic theme park: Tourists’ views. </w:t>
      </w:r>
      <w:r w:rsidRPr="00B907C7">
        <w:rPr>
          <w:i/>
          <w:iCs/>
        </w:rPr>
        <w:t>Journal of Tourism and Cultural Change</w:t>
      </w:r>
      <w:r w:rsidRPr="00B907C7">
        <w:t xml:space="preserve">, </w:t>
      </w:r>
      <w:r w:rsidRPr="00B907C7">
        <w:rPr>
          <w:i/>
          <w:iCs/>
        </w:rPr>
        <w:t>9</w:t>
      </w:r>
      <w:r w:rsidRPr="00B907C7">
        <w:t>(4), 320–340. https://doi.org/10.1080/14766825.2011.628026</w:t>
      </w:r>
    </w:p>
    <w:p w14:paraId="4586CDFD" w14:textId="4BB28A41" w:rsidR="0095137B" w:rsidRPr="008C0556" w:rsidRDefault="0095137B" w:rsidP="0008539E">
      <w:pPr>
        <w:pStyle w:val="Bibliography"/>
        <w:rPr>
          <w:rFonts w:asciiTheme="majorHAnsi" w:hAnsiTheme="majorHAnsi" w:cstheme="majorHAnsi"/>
          <w:lang w:val="de-DE"/>
        </w:rPr>
      </w:pPr>
      <w:r w:rsidRPr="008C0556">
        <w:rPr>
          <w:rFonts w:asciiTheme="majorHAnsi" w:hAnsiTheme="majorHAnsi" w:cstheme="majorHAnsi"/>
          <w:lang w:val="de-DE"/>
        </w:rPr>
        <w:fldChar w:fldCharType="end"/>
      </w:r>
    </w:p>
    <w:sectPr w:rsidR="0095137B" w:rsidRPr="008C05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D720D" w14:textId="77777777" w:rsidR="00087A30" w:rsidRDefault="00087A30" w:rsidP="00EF7BFD">
      <w:r>
        <w:separator/>
      </w:r>
    </w:p>
  </w:endnote>
  <w:endnote w:type="continuationSeparator" w:id="0">
    <w:p w14:paraId="4A9AFBB5" w14:textId="77777777" w:rsidR="00087A30" w:rsidRDefault="00087A30" w:rsidP="00EF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71EBA" w14:textId="77777777" w:rsidR="004F62B4" w:rsidRDefault="004F6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588921"/>
      <w:docPartObj>
        <w:docPartGallery w:val="Page Numbers (Bottom of Page)"/>
        <w:docPartUnique/>
      </w:docPartObj>
    </w:sdtPr>
    <w:sdtEndPr>
      <w:rPr>
        <w:noProof/>
      </w:rPr>
    </w:sdtEndPr>
    <w:sdtContent>
      <w:p w14:paraId="39808AFC" w14:textId="77777777" w:rsidR="008C6ED0" w:rsidRDefault="008C6ED0">
        <w:pPr>
          <w:pStyle w:val="Footer"/>
          <w:jc w:val="center"/>
        </w:pPr>
        <w:r>
          <w:fldChar w:fldCharType="begin"/>
        </w:r>
        <w:r>
          <w:instrText xml:space="preserve"> PAGE   \* MERGEFORMAT </w:instrText>
        </w:r>
        <w:r>
          <w:fldChar w:fldCharType="separate"/>
        </w:r>
        <w:r w:rsidR="00A973B0">
          <w:rPr>
            <w:noProof/>
          </w:rPr>
          <w:t>12</w:t>
        </w:r>
        <w:r>
          <w:rPr>
            <w:noProof/>
          </w:rPr>
          <w:fldChar w:fldCharType="end"/>
        </w:r>
      </w:p>
    </w:sdtContent>
  </w:sdt>
  <w:p w14:paraId="1360AF81" w14:textId="77777777" w:rsidR="008C6ED0" w:rsidRDefault="008C6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06A4" w14:textId="77777777" w:rsidR="004F62B4" w:rsidRDefault="004F6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A57E5" w14:textId="77777777" w:rsidR="00087A30" w:rsidRDefault="00087A30" w:rsidP="00EF7BFD">
      <w:r>
        <w:separator/>
      </w:r>
    </w:p>
  </w:footnote>
  <w:footnote w:type="continuationSeparator" w:id="0">
    <w:p w14:paraId="4A7EB77E" w14:textId="77777777" w:rsidR="00087A30" w:rsidRDefault="00087A30" w:rsidP="00EF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BCE53" w14:textId="379012BA" w:rsidR="004F62B4" w:rsidRDefault="004F62B4">
    <w:pPr>
      <w:pStyle w:val="Header"/>
    </w:pPr>
    <w:r>
      <w:rPr>
        <w:noProof/>
      </w:rPr>
      <w:pict w14:anchorId="28D96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115579"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BEC1C" w14:textId="0A9EDFB2" w:rsidR="004F62B4" w:rsidRDefault="004F62B4">
    <w:pPr>
      <w:pStyle w:val="Header"/>
    </w:pPr>
    <w:r>
      <w:rPr>
        <w:noProof/>
      </w:rPr>
      <w:pict w14:anchorId="03B32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115580"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12005" w14:textId="2BC3E7BA" w:rsidR="004F62B4" w:rsidRDefault="004F62B4">
    <w:pPr>
      <w:pStyle w:val="Header"/>
    </w:pPr>
    <w:r>
      <w:rPr>
        <w:noProof/>
      </w:rPr>
      <w:pict w14:anchorId="37D97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115578"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A0MDWzMDU3szQ2MbFU0lEKTi0uzszPAykwrgUAxnIo2iwAAAA="/>
    <w:docVar w:name="EN.InstantFormat" w:val="&lt;ENInstantFormat&gt;&lt;Enabled&gt;1&lt;/Enabled&gt;&lt;ScanUnformatted&gt;1&lt;/ScanUnformatted&gt;&lt;ScanChanges&gt;1&lt;/ScanChanges&gt;&lt;Suspended&gt;0&lt;/Suspended&gt;&lt;/ENInstantFormat&gt;"/>
    <w:docVar w:name="EN.Layout" w:val="&lt;ENLayout&gt;&lt;Style&gt;Research Policy Copy&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F7BFD"/>
    <w:rsid w:val="0000445E"/>
    <w:rsid w:val="000215AF"/>
    <w:rsid w:val="00030700"/>
    <w:rsid w:val="00051C20"/>
    <w:rsid w:val="00057CE6"/>
    <w:rsid w:val="0008539E"/>
    <w:rsid w:val="00087A30"/>
    <w:rsid w:val="001166E3"/>
    <w:rsid w:val="00130531"/>
    <w:rsid w:val="00140E21"/>
    <w:rsid w:val="00145761"/>
    <w:rsid w:val="0014735E"/>
    <w:rsid w:val="0018515E"/>
    <w:rsid w:val="001A29C6"/>
    <w:rsid w:val="001B0E21"/>
    <w:rsid w:val="001B1543"/>
    <w:rsid w:val="001C0332"/>
    <w:rsid w:val="001E1399"/>
    <w:rsid w:val="001E7717"/>
    <w:rsid w:val="001F0685"/>
    <w:rsid w:val="00227541"/>
    <w:rsid w:val="00290426"/>
    <w:rsid w:val="002933D8"/>
    <w:rsid w:val="002E0792"/>
    <w:rsid w:val="002E13BD"/>
    <w:rsid w:val="002E55AA"/>
    <w:rsid w:val="00327F8E"/>
    <w:rsid w:val="00332E0D"/>
    <w:rsid w:val="00336EEE"/>
    <w:rsid w:val="00341120"/>
    <w:rsid w:val="0034734A"/>
    <w:rsid w:val="00353461"/>
    <w:rsid w:val="003A0251"/>
    <w:rsid w:val="003B3839"/>
    <w:rsid w:val="003B7725"/>
    <w:rsid w:val="003D0713"/>
    <w:rsid w:val="003D3C46"/>
    <w:rsid w:val="003E57BB"/>
    <w:rsid w:val="003E72AB"/>
    <w:rsid w:val="0040474F"/>
    <w:rsid w:val="00414CBD"/>
    <w:rsid w:val="00453FDA"/>
    <w:rsid w:val="0046413B"/>
    <w:rsid w:val="00474EE7"/>
    <w:rsid w:val="004946AC"/>
    <w:rsid w:val="004C45CE"/>
    <w:rsid w:val="004F62B4"/>
    <w:rsid w:val="005257FF"/>
    <w:rsid w:val="00556B67"/>
    <w:rsid w:val="00574C2E"/>
    <w:rsid w:val="005860CF"/>
    <w:rsid w:val="005A003B"/>
    <w:rsid w:val="005B4DF2"/>
    <w:rsid w:val="00637B57"/>
    <w:rsid w:val="0064096A"/>
    <w:rsid w:val="00653FB5"/>
    <w:rsid w:val="0066366A"/>
    <w:rsid w:val="006670E7"/>
    <w:rsid w:val="00675C5E"/>
    <w:rsid w:val="006838FB"/>
    <w:rsid w:val="006A0E4A"/>
    <w:rsid w:val="006E363F"/>
    <w:rsid w:val="006F37E3"/>
    <w:rsid w:val="00717332"/>
    <w:rsid w:val="007177BE"/>
    <w:rsid w:val="007419F9"/>
    <w:rsid w:val="00743AB6"/>
    <w:rsid w:val="00755A62"/>
    <w:rsid w:val="007758F2"/>
    <w:rsid w:val="0078303C"/>
    <w:rsid w:val="007A3E17"/>
    <w:rsid w:val="007A4378"/>
    <w:rsid w:val="007D2EA1"/>
    <w:rsid w:val="007D3E27"/>
    <w:rsid w:val="007E27C0"/>
    <w:rsid w:val="007E4D4A"/>
    <w:rsid w:val="007F6B4A"/>
    <w:rsid w:val="00881623"/>
    <w:rsid w:val="008C0556"/>
    <w:rsid w:val="008C6ED0"/>
    <w:rsid w:val="008E374B"/>
    <w:rsid w:val="008E4651"/>
    <w:rsid w:val="008F6891"/>
    <w:rsid w:val="0095137B"/>
    <w:rsid w:val="00971DEE"/>
    <w:rsid w:val="009B2FE1"/>
    <w:rsid w:val="00A02B9B"/>
    <w:rsid w:val="00A04BF4"/>
    <w:rsid w:val="00A1250B"/>
    <w:rsid w:val="00A32DFA"/>
    <w:rsid w:val="00A34A58"/>
    <w:rsid w:val="00A40455"/>
    <w:rsid w:val="00A539C8"/>
    <w:rsid w:val="00A5784B"/>
    <w:rsid w:val="00A973B0"/>
    <w:rsid w:val="00AD1323"/>
    <w:rsid w:val="00AE68FE"/>
    <w:rsid w:val="00AF522A"/>
    <w:rsid w:val="00B5290C"/>
    <w:rsid w:val="00B907C7"/>
    <w:rsid w:val="00B921EE"/>
    <w:rsid w:val="00BA3988"/>
    <w:rsid w:val="00BE1D5B"/>
    <w:rsid w:val="00C160C2"/>
    <w:rsid w:val="00C33A33"/>
    <w:rsid w:val="00CA1529"/>
    <w:rsid w:val="00CB6153"/>
    <w:rsid w:val="00CB751E"/>
    <w:rsid w:val="00CD0CA7"/>
    <w:rsid w:val="00CE5C73"/>
    <w:rsid w:val="00D2634E"/>
    <w:rsid w:val="00D52EDD"/>
    <w:rsid w:val="00D726FB"/>
    <w:rsid w:val="00D879F4"/>
    <w:rsid w:val="00DB7ECB"/>
    <w:rsid w:val="00DC2794"/>
    <w:rsid w:val="00DE19D5"/>
    <w:rsid w:val="00E268B7"/>
    <w:rsid w:val="00E7359A"/>
    <w:rsid w:val="00E80CD6"/>
    <w:rsid w:val="00E86098"/>
    <w:rsid w:val="00E95B1C"/>
    <w:rsid w:val="00EB5AA0"/>
    <w:rsid w:val="00EB765E"/>
    <w:rsid w:val="00EF7BFD"/>
    <w:rsid w:val="00F219D9"/>
    <w:rsid w:val="00F901A6"/>
    <w:rsid w:val="00F950E9"/>
    <w:rsid w:val="00FE2F5F"/>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BE44C5"/>
  <w15:chartTrackingRefBased/>
  <w15:docId w15:val="{50FAEB7E-8ABC-4449-A094-F888FA9B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E0D"/>
    <w:pPr>
      <w:spacing w:after="0" w:line="240" w:lineRule="auto"/>
      <w:jc w:val="both"/>
    </w:pPr>
    <w:rPr>
      <w:rFonts w:eastAsia="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BFD"/>
    <w:pPr>
      <w:spacing w:after="0" w:line="240" w:lineRule="auto"/>
    </w:pPr>
    <w:rPr>
      <w:rFonts w:eastAsiaTheme="minorEastAsia"/>
      <w:sz w:val="26"/>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7BFD"/>
    <w:rPr>
      <w:sz w:val="20"/>
      <w:szCs w:val="20"/>
    </w:rPr>
  </w:style>
  <w:style w:type="character" w:customStyle="1" w:styleId="FootnoteTextChar">
    <w:name w:val="Footnote Text Char"/>
    <w:basedOn w:val="DefaultParagraphFont"/>
    <w:link w:val="FootnoteText"/>
    <w:uiPriority w:val="99"/>
    <w:semiHidden/>
    <w:rsid w:val="00EF7BFD"/>
    <w:rPr>
      <w:rFonts w:eastAsia="Calibri" w:cs="Times New Roman"/>
      <w:sz w:val="20"/>
      <w:szCs w:val="20"/>
      <w:lang w:val="en-US"/>
    </w:rPr>
  </w:style>
  <w:style w:type="character" w:styleId="FootnoteReference">
    <w:name w:val="footnote reference"/>
    <w:basedOn w:val="DefaultParagraphFont"/>
    <w:uiPriority w:val="99"/>
    <w:semiHidden/>
    <w:unhideWhenUsed/>
    <w:rsid w:val="00EF7BFD"/>
    <w:rPr>
      <w:vertAlign w:val="superscript"/>
    </w:rPr>
  </w:style>
  <w:style w:type="paragraph" w:styleId="Footer">
    <w:name w:val="footer"/>
    <w:basedOn w:val="Normal"/>
    <w:link w:val="FooterChar"/>
    <w:uiPriority w:val="99"/>
    <w:unhideWhenUsed/>
    <w:rsid w:val="00EF7BFD"/>
    <w:pPr>
      <w:tabs>
        <w:tab w:val="center" w:pos="4513"/>
        <w:tab w:val="right" w:pos="9026"/>
      </w:tabs>
    </w:pPr>
  </w:style>
  <w:style w:type="character" w:customStyle="1" w:styleId="FooterChar">
    <w:name w:val="Footer Char"/>
    <w:basedOn w:val="DefaultParagraphFont"/>
    <w:link w:val="Footer"/>
    <w:uiPriority w:val="99"/>
    <w:rsid w:val="00EF7BFD"/>
    <w:rPr>
      <w:rFonts w:eastAsia="Calibri" w:cs="Times New Roman"/>
      <w:lang w:val="en-US"/>
    </w:rPr>
  </w:style>
  <w:style w:type="paragraph" w:customStyle="1" w:styleId="EndNoteBibliographyTitle">
    <w:name w:val="EndNote Bibliography Title"/>
    <w:basedOn w:val="Normal"/>
    <w:link w:val="EndNoteBibliographyTitleChar"/>
    <w:rsid w:val="00EF7BFD"/>
    <w:pPr>
      <w:jc w:val="center"/>
    </w:pPr>
    <w:rPr>
      <w:noProof/>
    </w:rPr>
  </w:style>
  <w:style w:type="character" w:customStyle="1" w:styleId="EndNoteBibliographyTitleChar">
    <w:name w:val="EndNote Bibliography Title Char"/>
    <w:basedOn w:val="DefaultParagraphFont"/>
    <w:link w:val="EndNoteBibliographyTitle"/>
    <w:rsid w:val="00EF7BFD"/>
    <w:rPr>
      <w:rFonts w:eastAsia="Calibri" w:cs="Times New Roman"/>
      <w:noProof/>
      <w:lang w:val="en-US"/>
    </w:rPr>
  </w:style>
  <w:style w:type="paragraph" w:customStyle="1" w:styleId="EndNoteBibliography">
    <w:name w:val="EndNote Bibliography"/>
    <w:basedOn w:val="Normal"/>
    <w:link w:val="EndNoteBibliographyChar"/>
    <w:rsid w:val="00EF7BFD"/>
    <w:rPr>
      <w:noProof/>
    </w:rPr>
  </w:style>
  <w:style w:type="character" w:customStyle="1" w:styleId="EndNoteBibliographyChar">
    <w:name w:val="EndNote Bibliography Char"/>
    <w:basedOn w:val="DefaultParagraphFont"/>
    <w:link w:val="EndNoteBibliography"/>
    <w:rsid w:val="00EF7BFD"/>
    <w:rPr>
      <w:rFonts w:eastAsia="Calibri" w:cs="Times New Roman"/>
      <w:noProof/>
      <w:lang w:val="en-US"/>
    </w:rPr>
  </w:style>
  <w:style w:type="character" w:styleId="Hyperlink">
    <w:name w:val="Hyperlink"/>
    <w:basedOn w:val="DefaultParagraphFont"/>
    <w:uiPriority w:val="99"/>
    <w:unhideWhenUsed/>
    <w:rsid w:val="00EF7BFD"/>
    <w:rPr>
      <w:color w:val="0563C1" w:themeColor="hyperlink"/>
      <w:u w:val="single"/>
    </w:rPr>
  </w:style>
  <w:style w:type="paragraph" w:styleId="Header">
    <w:name w:val="header"/>
    <w:basedOn w:val="Normal"/>
    <w:link w:val="HeaderChar"/>
    <w:uiPriority w:val="99"/>
    <w:unhideWhenUsed/>
    <w:rsid w:val="00DE19D5"/>
    <w:pPr>
      <w:tabs>
        <w:tab w:val="center" w:pos="4513"/>
        <w:tab w:val="right" w:pos="9026"/>
      </w:tabs>
    </w:pPr>
  </w:style>
  <w:style w:type="character" w:customStyle="1" w:styleId="HeaderChar">
    <w:name w:val="Header Char"/>
    <w:basedOn w:val="DefaultParagraphFont"/>
    <w:link w:val="Header"/>
    <w:uiPriority w:val="99"/>
    <w:rsid w:val="00DE19D5"/>
    <w:rPr>
      <w:rFonts w:eastAsia="Calibri" w:cs="Times New Roman"/>
      <w:lang w:val="en-US"/>
    </w:rPr>
  </w:style>
  <w:style w:type="character" w:styleId="UnresolvedMention">
    <w:name w:val="Unresolved Mention"/>
    <w:basedOn w:val="DefaultParagraphFont"/>
    <w:uiPriority w:val="99"/>
    <w:semiHidden/>
    <w:unhideWhenUsed/>
    <w:rsid w:val="007D3E27"/>
    <w:rPr>
      <w:color w:val="605E5C"/>
      <w:shd w:val="clear" w:color="auto" w:fill="E1DFDD"/>
    </w:rPr>
  </w:style>
  <w:style w:type="paragraph" w:styleId="Bibliography">
    <w:name w:val="Bibliography"/>
    <w:basedOn w:val="Normal"/>
    <w:next w:val="Normal"/>
    <w:uiPriority w:val="37"/>
    <w:unhideWhenUsed/>
    <w:rsid w:val="0095137B"/>
    <w:pPr>
      <w:spacing w:line="480" w:lineRule="auto"/>
      <w:ind w:left="720" w:hanging="720"/>
    </w:pPr>
  </w:style>
  <w:style w:type="paragraph" w:styleId="NormalWeb">
    <w:name w:val="Normal (Web)"/>
    <w:basedOn w:val="Normal"/>
    <w:uiPriority w:val="99"/>
    <w:unhideWhenUsed/>
    <w:rsid w:val="00A02B9B"/>
    <w:pPr>
      <w:spacing w:before="100" w:beforeAutospacing="1" w:after="100" w:afterAutospacing="1"/>
      <w:jc w:val="left"/>
    </w:pPr>
    <w:rPr>
      <w:rFonts w:eastAsia="Times New Roman"/>
      <w:sz w:val="24"/>
      <w:szCs w:val="24"/>
      <w:lang w:val="en-JM" w:eastAsia="en-GB"/>
    </w:rPr>
  </w:style>
  <w:style w:type="character" w:styleId="Strong">
    <w:name w:val="Strong"/>
    <w:basedOn w:val="DefaultParagraphFont"/>
    <w:uiPriority w:val="22"/>
    <w:qFormat/>
    <w:rsid w:val="00A02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85742">
      <w:bodyDiv w:val="1"/>
      <w:marLeft w:val="0"/>
      <w:marRight w:val="0"/>
      <w:marTop w:val="0"/>
      <w:marBottom w:val="0"/>
      <w:divBdr>
        <w:top w:val="none" w:sz="0" w:space="0" w:color="auto"/>
        <w:left w:val="none" w:sz="0" w:space="0" w:color="auto"/>
        <w:bottom w:val="none" w:sz="0" w:space="0" w:color="auto"/>
        <w:right w:val="none" w:sz="0" w:space="0" w:color="auto"/>
      </w:divBdr>
    </w:div>
    <w:div w:id="375278578">
      <w:bodyDiv w:val="1"/>
      <w:marLeft w:val="0"/>
      <w:marRight w:val="0"/>
      <w:marTop w:val="0"/>
      <w:marBottom w:val="0"/>
      <w:divBdr>
        <w:top w:val="none" w:sz="0" w:space="0" w:color="auto"/>
        <w:left w:val="none" w:sz="0" w:space="0" w:color="auto"/>
        <w:bottom w:val="none" w:sz="0" w:space="0" w:color="auto"/>
        <w:right w:val="none" w:sz="0" w:space="0" w:color="auto"/>
      </w:divBdr>
    </w:div>
    <w:div w:id="587736468">
      <w:bodyDiv w:val="1"/>
      <w:marLeft w:val="0"/>
      <w:marRight w:val="0"/>
      <w:marTop w:val="0"/>
      <w:marBottom w:val="0"/>
      <w:divBdr>
        <w:top w:val="none" w:sz="0" w:space="0" w:color="auto"/>
        <w:left w:val="none" w:sz="0" w:space="0" w:color="auto"/>
        <w:bottom w:val="none" w:sz="0" w:space="0" w:color="auto"/>
        <w:right w:val="none" w:sz="0" w:space="0" w:color="auto"/>
      </w:divBdr>
    </w:div>
    <w:div w:id="880744374">
      <w:bodyDiv w:val="1"/>
      <w:marLeft w:val="0"/>
      <w:marRight w:val="0"/>
      <w:marTop w:val="0"/>
      <w:marBottom w:val="0"/>
      <w:divBdr>
        <w:top w:val="none" w:sz="0" w:space="0" w:color="auto"/>
        <w:left w:val="none" w:sz="0" w:space="0" w:color="auto"/>
        <w:bottom w:val="none" w:sz="0" w:space="0" w:color="auto"/>
        <w:right w:val="none" w:sz="0" w:space="0" w:color="auto"/>
      </w:divBdr>
    </w:div>
    <w:div w:id="1098215872">
      <w:bodyDiv w:val="1"/>
      <w:marLeft w:val="0"/>
      <w:marRight w:val="0"/>
      <w:marTop w:val="0"/>
      <w:marBottom w:val="0"/>
      <w:divBdr>
        <w:top w:val="none" w:sz="0" w:space="0" w:color="auto"/>
        <w:left w:val="none" w:sz="0" w:space="0" w:color="auto"/>
        <w:bottom w:val="none" w:sz="0" w:space="0" w:color="auto"/>
        <w:right w:val="none" w:sz="0" w:space="0" w:color="auto"/>
      </w:divBdr>
    </w:div>
    <w:div w:id="1182938514">
      <w:bodyDiv w:val="1"/>
      <w:marLeft w:val="0"/>
      <w:marRight w:val="0"/>
      <w:marTop w:val="0"/>
      <w:marBottom w:val="0"/>
      <w:divBdr>
        <w:top w:val="none" w:sz="0" w:space="0" w:color="auto"/>
        <w:left w:val="none" w:sz="0" w:space="0" w:color="auto"/>
        <w:bottom w:val="none" w:sz="0" w:space="0" w:color="auto"/>
        <w:right w:val="none" w:sz="0" w:space="0" w:color="auto"/>
      </w:divBdr>
    </w:div>
    <w:div w:id="2031560376">
      <w:bodyDiv w:val="1"/>
      <w:marLeft w:val="0"/>
      <w:marRight w:val="0"/>
      <w:marTop w:val="0"/>
      <w:marBottom w:val="0"/>
      <w:divBdr>
        <w:top w:val="none" w:sz="0" w:space="0" w:color="auto"/>
        <w:left w:val="none" w:sz="0" w:space="0" w:color="auto"/>
        <w:bottom w:val="none" w:sz="0" w:space="0" w:color="auto"/>
        <w:right w:val="none" w:sz="0" w:space="0" w:color="auto"/>
      </w:divBdr>
    </w:div>
    <w:div w:id="204644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Users\nguyenngoctrung\Downloads\Figure1_Satisfaction_by_Ethnic_Grou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Hmong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Very satisfied</c:v>
                </c:pt>
                <c:pt idx="1">
                  <c:v>Satisfied</c:v>
                </c:pt>
                <c:pt idx="2">
                  <c:v>Dissatisfied</c:v>
                </c:pt>
              </c:strCache>
            </c:strRef>
          </c:cat>
          <c:val>
            <c:numRef>
              <c:f>Sheet1!$B$2:$B$4</c:f>
              <c:numCache>
                <c:formatCode>General</c:formatCode>
                <c:ptCount val="3"/>
                <c:pt idx="0">
                  <c:v>0.3</c:v>
                </c:pt>
                <c:pt idx="1">
                  <c:v>64</c:v>
                </c:pt>
                <c:pt idx="2">
                  <c:v>33</c:v>
                </c:pt>
              </c:numCache>
            </c:numRef>
          </c:val>
          <c:extLst>
            <c:ext xmlns:c16="http://schemas.microsoft.com/office/drawing/2014/chart" uri="{C3380CC4-5D6E-409C-BE32-E72D297353CC}">
              <c16:uniqueId val="{00000000-B2F8-F14B-97F6-123D366790A8}"/>
            </c:ext>
          </c:extLst>
        </c:ser>
        <c:ser>
          <c:idx val="1"/>
          <c:order val="1"/>
          <c:tx>
            <c:strRef>
              <c:f>Sheet1!$C$1</c:f>
              <c:strCache>
                <c:ptCount val="1"/>
                <c:pt idx="0">
                  <c:v>Tay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Very satisfied</c:v>
                </c:pt>
                <c:pt idx="1">
                  <c:v>Satisfied</c:v>
                </c:pt>
                <c:pt idx="2">
                  <c:v>Dissatisfied</c:v>
                </c:pt>
              </c:strCache>
            </c:strRef>
          </c:cat>
          <c:val>
            <c:numRef>
              <c:f>Sheet1!$C$2:$C$4</c:f>
              <c:numCache>
                <c:formatCode>General</c:formatCode>
                <c:ptCount val="3"/>
                <c:pt idx="0">
                  <c:v>0.8</c:v>
                </c:pt>
                <c:pt idx="1">
                  <c:v>61</c:v>
                </c:pt>
                <c:pt idx="2">
                  <c:v>29</c:v>
                </c:pt>
              </c:numCache>
            </c:numRef>
          </c:val>
          <c:extLst>
            <c:ext xmlns:c16="http://schemas.microsoft.com/office/drawing/2014/chart" uri="{C3380CC4-5D6E-409C-BE32-E72D297353CC}">
              <c16:uniqueId val="{00000001-B2F8-F14B-97F6-123D366790A8}"/>
            </c:ext>
          </c:extLst>
        </c:ser>
        <c:dLbls>
          <c:dLblPos val="inEnd"/>
          <c:showLegendKey val="0"/>
          <c:showVal val="1"/>
          <c:showCatName val="0"/>
          <c:showSerName val="0"/>
          <c:showPercent val="0"/>
          <c:showBubbleSize val="0"/>
        </c:dLbls>
        <c:gapWidth val="100"/>
        <c:overlap val="-24"/>
        <c:axId val="1302422144"/>
        <c:axId val="1302423792"/>
      </c:barChart>
      <c:catAx>
        <c:axId val="13024221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02423792"/>
        <c:crosses val="autoZero"/>
        <c:auto val="1"/>
        <c:lblAlgn val="ctr"/>
        <c:lblOffset val="100"/>
        <c:noMultiLvlLbl val="0"/>
      </c:catAx>
      <c:valAx>
        <c:axId val="13024237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02422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Sheet1!$J$13</c:f>
              <c:strCache>
                <c:ptCount val="1"/>
                <c:pt idx="0">
                  <c:v>Tay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Sheet1!$I$14:$I$17</c:f>
              <c:strCache>
                <c:ptCount val="4"/>
                <c:pt idx="0">
                  <c:v>Fully meets needs and allows for savings</c:v>
                </c:pt>
                <c:pt idx="1">
                  <c:v>Meets needs just sufficiently</c:v>
                </c:pt>
                <c:pt idx="2">
                  <c:v>Does not meet needs, causes difficulties</c:v>
                </c:pt>
                <c:pt idx="3">
                  <c:v>Does not meet needs, causes many difficulties</c:v>
                </c:pt>
              </c:strCache>
            </c:strRef>
          </c:cat>
          <c:val>
            <c:numRef>
              <c:f>Sheet1!$J$14:$J$17</c:f>
              <c:numCache>
                <c:formatCode>0.00%</c:formatCode>
                <c:ptCount val="4"/>
                <c:pt idx="0">
                  <c:v>0.08</c:v>
                </c:pt>
                <c:pt idx="1">
                  <c:v>0.56730000000000003</c:v>
                </c:pt>
                <c:pt idx="2">
                  <c:v>0.32269999999999999</c:v>
                </c:pt>
                <c:pt idx="3">
                  <c:v>0.03</c:v>
                </c:pt>
              </c:numCache>
            </c:numRef>
          </c:val>
          <c:extLst>
            <c:ext xmlns:c16="http://schemas.microsoft.com/office/drawing/2014/chart" uri="{C3380CC4-5D6E-409C-BE32-E72D297353CC}">
              <c16:uniqueId val="{00000000-D870-4605-A905-6D2B41AA07A4}"/>
            </c:ext>
          </c:extLst>
        </c:ser>
        <c:ser>
          <c:idx val="1"/>
          <c:order val="1"/>
          <c:tx>
            <c:strRef>
              <c:f>Sheet1!$K$13</c:f>
              <c:strCache>
                <c:ptCount val="1"/>
                <c:pt idx="0">
                  <c:v>Hmong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Sheet1!$I$14:$I$17</c:f>
              <c:strCache>
                <c:ptCount val="4"/>
                <c:pt idx="0">
                  <c:v>Fully meets needs and allows for savings</c:v>
                </c:pt>
                <c:pt idx="1">
                  <c:v>Meets needs just sufficiently</c:v>
                </c:pt>
                <c:pt idx="2">
                  <c:v>Does not meet needs, causes difficulties</c:v>
                </c:pt>
                <c:pt idx="3">
                  <c:v>Does not meet needs, causes many difficulties</c:v>
                </c:pt>
              </c:strCache>
            </c:strRef>
          </c:cat>
          <c:val>
            <c:numRef>
              <c:f>Sheet1!$K$14:$K$17</c:f>
              <c:numCache>
                <c:formatCode>0.00%</c:formatCode>
                <c:ptCount val="4"/>
                <c:pt idx="0">
                  <c:v>0</c:v>
                </c:pt>
                <c:pt idx="1">
                  <c:v>0.55730000000000002</c:v>
                </c:pt>
                <c:pt idx="2">
                  <c:v>0.31730000000000003</c:v>
                </c:pt>
                <c:pt idx="3">
                  <c:v>2.8799999999999999E-2</c:v>
                </c:pt>
              </c:numCache>
            </c:numRef>
          </c:val>
          <c:extLst>
            <c:ext xmlns:c16="http://schemas.microsoft.com/office/drawing/2014/chart" uri="{C3380CC4-5D6E-409C-BE32-E72D297353CC}">
              <c16:uniqueId val="{00000001-D870-4605-A905-6D2B41AA07A4}"/>
            </c:ext>
          </c:extLst>
        </c:ser>
        <c:dLbls>
          <c:dLblPos val="outEnd"/>
          <c:showLegendKey val="0"/>
          <c:showVal val="1"/>
          <c:showCatName val="0"/>
          <c:showSerName val="0"/>
          <c:showPercent val="0"/>
          <c:showBubbleSize val="0"/>
        </c:dLbls>
        <c:gapWidth val="219"/>
        <c:overlap val="-27"/>
        <c:axId val="1859170864"/>
        <c:axId val="1859163376"/>
      </c:barChart>
      <c:catAx>
        <c:axId val="185917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9163376"/>
        <c:crosses val="autoZero"/>
        <c:auto val="1"/>
        <c:lblAlgn val="ctr"/>
        <c:lblOffset val="100"/>
        <c:noMultiLvlLbl val="0"/>
      </c:catAx>
      <c:valAx>
        <c:axId val="18591633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9170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4BE4F-9E75-42CF-8C3A-CB282E26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17</Pages>
  <Words>11687</Words>
  <Characters>66618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SDI 1084</cp:lastModifiedBy>
  <cp:revision>36</cp:revision>
  <dcterms:created xsi:type="dcterms:W3CDTF">2025-08-20T14:37:00Z</dcterms:created>
  <dcterms:modified xsi:type="dcterms:W3CDTF">2025-09-19T13:57:00Z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id="4Ft1GYHL"/&gt;&lt;style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