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0E80E" w14:textId="77777777" w:rsidR="00B61F86" w:rsidRPr="00B61F86" w:rsidRDefault="00B61F86" w:rsidP="00B61F86">
      <w:pPr>
        <w:pStyle w:val="Heading2"/>
        <w:spacing w:line="360" w:lineRule="auto"/>
        <w:jc w:val="both"/>
        <w:rPr>
          <w:rFonts w:ascii="Times New Roman" w:hAnsi="Times New Roman" w:cs="Times New Roman"/>
          <w:b/>
          <w:bCs/>
          <w:i/>
          <w:iCs/>
          <w:sz w:val="24"/>
          <w:szCs w:val="24"/>
          <w:u w:val="single"/>
        </w:rPr>
      </w:pPr>
      <w:r w:rsidRPr="00B61F86">
        <w:rPr>
          <w:rFonts w:ascii="Times New Roman" w:hAnsi="Times New Roman" w:cs="Times New Roman"/>
          <w:b/>
          <w:bCs/>
          <w:i/>
          <w:iCs/>
          <w:sz w:val="24"/>
          <w:szCs w:val="24"/>
          <w:u w:val="single"/>
        </w:rPr>
        <w:t>Review Article</w:t>
      </w:r>
    </w:p>
    <w:p w14:paraId="331D4010" w14:textId="77777777" w:rsidR="005D38C7" w:rsidRPr="00502F56" w:rsidRDefault="005D38C7" w:rsidP="00037D50">
      <w:pPr>
        <w:pStyle w:val="Heading2"/>
        <w:spacing w:line="360" w:lineRule="auto"/>
        <w:jc w:val="both"/>
        <w:rPr>
          <w:rFonts w:ascii="Times New Roman" w:hAnsi="Times New Roman" w:cs="Times New Roman"/>
          <w:color w:val="auto"/>
          <w:sz w:val="24"/>
          <w:szCs w:val="24"/>
        </w:rPr>
      </w:pPr>
    </w:p>
    <w:p w14:paraId="042F7C22" w14:textId="77777777" w:rsidR="00502F56" w:rsidRPr="00502F56" w:rsidRDefault="00502F56" w:rsidP="00502F56">
      <w:pPr>
        <w:spacing w:after="0" w:line="240" w:lineRule="auto"/>
        <w:jc w:val="center"/>
        <w:rPr>
          <w:rFonts w:ascii="Times New Roman" w:hAnsi="Times New Roman" w:cs="Times New Roman"/>
          <w:b/>
          <w:sz w:val="24"/>
          <w:szCs w:val="24"/>
        </w:rPr>
      </w:pPr>
      <w:bookmarkStart w:id="0" w:name="_Hlk211505932"/>
      <w:r w:rsidRPr="00502F56">
        <w:rPr>
          <w:rFonts w:ascii="Times New Roman" w:hAnsi="Times New Roman" w:cs="Times New Roman"/>
          <w:b/>
          <w:sz w:val="24"/>
          <w:szCs w:val="24"/>
        </w:rPr>
        <w:t>Evaluating educational &amp; training programs (extension) on new agronomic‑engineered technologies for soil health, impact assessment and scaling up</w:t>
      </w:r>
      <w:bookmarkEnd w:id="0"/>
      <w:r w:rsidRPr="00502F56">
        <w:rPr>
          <w:rFonts w:ascii="Times New Roman" w:hAnsi="Times New Roman" w:cs="Times New Roman"/>
          <w:b/>
          <w:sz w:val="24"/>
          <w:szCs w:val="24"/>
        </w:rPr>
        <w:t>.</w:t>
      </w:r>
    </w:p>
    <w:p w14:paraId="2E6BFAA8" w14:textId="31BE3CF8" w:rsidR="00502F56" w:rsidRDefault="00502F56" w:rsidP="00502F56">
      <w:pPr>
        <w:spacing w:after="0"/>
        <w:jc w:val="center"/>
        <w:rPr>
          <w:rFonts w:ascii="Times New Roman" w:hAnsi="Times New Roman" w:cs="Times New Roman"/>
          <w:b/>
          <w:sz w:val="24"/>
          <w:szCs w:val="24"/>
        </w:rPr>
      </w:pPr>
    </w:p>
    <w:p w14:paraId="6A35D4F3" w14:textId="77777777" w:rsidR="00F86939" w:rsidRPr="00502F56" w:rsidRDefault="00F86939" w:rsidP="00502F56">
      <w:pPr>
        <w:spacing w:after="0"/>
        <w:jc w:val="center"/>
        <w:rPr>
          <w:rFonts w:ascii="Times New Roman" w:hAnsi="Times New Roman" w:cs="Times New Roman"/>
          <w:b/>
          <w:sz w:val="24"/>
          <w:szCs w:val="24"/>
        </w:rPr>
      </w:pPr>
      <w:bookmarkStart w:id="1" w:name="_GoBack"/>
      <w:bookmarkEnd w:id="1"/>
    </w:p>
    <w:p w14:paraId="7F7BBC52" w14:textId="77777777" w:rsidR="00550A91" w:rsidRPr="00502F56" w:rsidRDefault="00550A91" w:rsidP="00037D50">
      <w:pPr>
        <w:jc w:val="both"/>
        <w:rPr>
          <w:rFonts w:ascii="Times New Roman" w:hAnsi="Times New Roman" w:cs="Times New Roman"/>
          <w:b/>
          <w:sz w:val="24"/>
          <w:szCs w:val="24"/>
        </w:rPr>
      </w:pPr>
      <w:r w:rsidRPr="00502F56">
        <w:rPr>
          <w:rFonts w:ascii="Times New Roman" w:hAnsi="Times New Roman" w:cs="Times New Roman"/>
          <w:b/>
          <w:sz w:val="24"/>
          <w:szCs w:val="24"/>
        </w:rPr>
        <w:t>Abstract</w:t>
      </w:r>
    </w:p>
    <w:p w14:paraId="48F485F5" w14:textId="77777777" w:rsidR="00550A91" w:rsidRPr="00502F56" w:rsidRDefault="00550A91" w:rsidP="00037D50">
      <w:pPr>
        <w:jc w:val="both"/>
        <w:rPr>
          <w:rFonts w:ascii="Times New Roman" w:hAnsi="Times New Roman" w:cs="Times New Roman"/>
          <w:sz w:val="24"/>
          <w:szCs w:val="24"/>
        </w:rPr>
      </w:pPr>
      <w:r w:rsidRPr="00502F56">
        <w:rPr>
          <w:rFonts w:ascii="Times New Roman" w:hAnsi="Times New Roman" w:cs="Times New Roman"/>
          <w:sz w:val="24"/>
          <w:szCs w:val="24"/>
        </w:rPr>
        <w:t>Soil health is a fundamental pillar of sustainable agriculture, environmental resilience, and global food security. In recent decades, ag</w:t>
      </w:r>
      <w:r w:rsidR="00E23917" w:rsidRPr="00502F56">
        <w:rPr>
          <w:rFonts w:ascii="Times New Roman" w:hAnsi="Times New Roman" w:cs="Times New Roman"/>
          <w:sz w:val="24"/>
          <w:szCs w:val="24"/>
        </w:rPr>
        <w:t xml:space="preserve">ronomic-engineered technologies </w:t>
      </w:r>
      <w:r w:rsidRPr="00502F56">
        <w:rPr>
          <w:rFonts w:ascii="Times New Roman" w:hAnsi="Times New Roman" w:cs="Times New Roman"/>
          <w:sz w:val="24"/>
          <w:szCs w:val="24"/>
        </w:rPr>
        <w:t>such as conservation agriculture, precision nutrient management, organic amendments, biochar, microbial inoculants, cover cropping, digital diagnostics, and i</w:t>
      </w:r>
      <w:r w:rsidR="00E23917" w:rsidRPr="00502F56">
        <w:rPr>
          <w:rFonts w:ascii="Times New Roman" w:hAnsi="Times New Roman" w:cs="Times New Roman"/>
          <w:sz w:val="24"/>
          <w:szCs w:val="24"/>
        </w:rPr>
        <w:t xml:space="preserve">ntegrated soil–water management </w:t>
      </w:r>
      <w:r w:rsidRPr="00502F56">
        <w:rPr>
          <w:rFonts w:ascii="Times New Roman" w:hAnsi="Times New Roman" w:cs="Times New Roman"/>
          <w:sz w:val="24"/>
          <w:szCs w:val="24"/>
        </w:rPr>
        <w:t>have been developed to restore fertility, enhance nutrient cycling, and improve climate resilience. Yet, successful adoption of these technologies depends not only on their availability but also on farmers’ knowledge, skills, and confidence, which are primarily fostered through educational and training programs. This review evaluates extension-based interventions, including farmer field schools, on-farm demonstrations, ICT platforms, workshops, and blended learning approaches, that serve as the interface between scientific inn</w:t>
      </w:r>
      <w:r w:rsidR="00037D50" w:rsidRPr="00502F56">
        <w:rPr>
          <w:rFonts w:ascii="Times New Roman" w:hAnsi="Times New Roman" w:cs="Times New Roman"/>
          <w:sz w:val="24"/>
          <w:szCs w:val="24"/>
        </w:rPr>
        <w:t xml:space="preserve">ovations and on-farm practices. </w:t>
      </w:r>
      <w:r w:rsidRPr="00502F56">
        <w:rPr>
          <w:rFonts w:ascii="Times New Roman" w:hAnsi="Times New Roman" w:cs="Times New Roman"/>
          <w:sz w:val="24"/>
          <w:szCs w:val="24"/>
        </w:rPr>
        <w:t>The synthesis highlights that program effectiveness hinges on contextualization, intensity, follow-up support, and inclusivity of women, youth, and marginalized groups. Outcomes extend from immediate learning gains to medium-term adoption, measurable improvements in soil organic carbon, nutrient balance, and microbial activity, and longer-term productivity, livelihood, and environmental benefits. Barriers such as institutional limitations, financial constraints, and knowledge dilution hinder scaling, while enablers include public–private partnerships, farmer cooperatives, digital platforms, and incentive schemes. Scaling strategies like hub-and-spoke models and participatory approaches are shown to enhance outreach and sustainability. The review concludes that context-sensitive, participatory, and systematically evaluated training programs are essential to transform technological potential into tangible soil h</w:t>
      </w:r>
      <w:r w:rsidR="00037D50" w:rsidRPr="00502F56">
        <w:rPr>
          <w:rFonts w:ascii="Times New Roman" w:hAnsi="Times New Roman" w:cs="Times New Roman"/>
          <w:sz w:val="24"/>
          <w:szCs w:val="24"/>
        </w:rPr>
        <w:t>ealth and socio-economic gains.</w:t>
      </w:r>
    </w:p>
    <w:p w14:paraId="67C3DEB2" w14:textId="77777777" w:rsidR="00550A91" w:rsidRPr="00502F56" w:rsidRDefault="00550A91" w:rsidP="00037D50">
      <w:pPr>
        <w:jc w:val="both"/>
        <w:rPr>
          <w:rFonts w:ascii="Times New Roman" w:hAnsi="Times New Roman" w:cs="Times New Roman"/>
          <w:sz w:val="24"/>
          <w:szCs w:val="24"/>
        </w:rPr>
      </w:pPr>
      <w:r w:rsidRPr="00502F56">
        <w:rPr>
          <w:rFonts w:ascii="Times New Roman" w:hAnsi="Times New Roman" w:cs="Times New Roman"/>
          <w:b/>
          <w:sz w:val="24"/>
          <w:szCs w:val="24"/>
        </w:rPr>
        <w:t>Keywords:</w:t>
      </w:r>
      <w:r w:rsidRPr="00502F56">
        <w:rPr>
          <w:rFonts w:ascii="Times New Roman" w:hAnsi="Times New Roman" w:cs="Times New Roman"/>
          <w:sz w:val="24"/>
          <w:szCs w:val="24"/>
        </w:rPr>
        <w:t xml:space="preserve"> Soil health, agronomic-engineered technologies, agricultural extension, farmer trai</w:t>
      </w:r>
      <w:r w:rsidR="00E23917" w:rsidRPr="00502F56">
        <w:rPr>
          <w:rFonts w:ascii="Times New Roman" w:hAnsi="Times New Roman" w:cs="Times New Roman"/>
          <w:sz w:val="24"/>
          <w:szCs w:val="24"/>
        </w:rPr>
        <w:t xml:space="preserve">ning, conservation agriculture </w:t>
      </w:r>
    </w:p>
    <w:p w14:paraId="60433292" w14:textId="77777777" w:rsidR="00CA2AE4" w:rsidRPr="00502F56" w:rsidRDefault="00CA2AE4" w:rsidP="00037D50">
      <w:pPr>
        <w:pStyle w:val="Heading2"/>
        <w:spacing w:line="360" w:lineRule="auto"/>
        <w:jc w:val="both"/>
        <w:rPr>
          <w:rFonts w:ascii="Times New Roman" w:hAnsi="Times New Roman" w:cs="Times New Roman"/>
          <w:b/>
          <w:color w:val="auto"/>
          <w:sz w:val="24"/>
          <w:szCs w:val="24"/>
        </w:rPr>
      </w:pPr>
      <w:r w:rsidRPr="00502F56">
        <w:rPr>
          <w:rFonts w:ascii="Times New Roman" w:hAnsi="Times New Roman" w:cs="Times New Roman"/>
          <w:b/>
          <w:color w:val="auto"/>
          <w:sz w:val="24"/>
          <w:szCs w:val="24"/>
        </w:rPr>
        <w:lastRenderedPageBreak/>
        <w:t>1. Introduction</w:t>
      </w:r>
    </w:p>
    <w:p w14:paraId="0CF7F810" w14:textId="77777777" w:rsidR="00CA2AE4" w:rsidRPr="00502F56" w:rsidRDefault="00CA2AE4" w:rsidP="00037D50">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Soil health is the foundation of sustainable food production, environmental integrity, and food security</w:t>
      </w:r>
      <w:r w:rsidR="00F75B81" w:rsidRPr="00502F56">
        <w:rPr>
          <w:rFonts w:ascii="Times New Roman" w:hAnsi="Times New Roman" w:cs="Times New Roman"/>
          <w:color w:val="auto"/>
          <w:sz w:val="24"/>
          <w:szCs w:val="24"/>
        </w:rPr>
        <w:t xml:space="preserve"> (</w:t>
      </w:r>
      <w:r w:rsidR="00F75B81" w:rsidRPr="00502F56">
        <w:rPr>
          <w:rFonts w:ascii="Times New Roman" w:hAnsi="Times New Roman" w:cs="Times New Roman"/>
          <w:color w:val="222222"/>
          <w:sz w:val="24"/>
          <w:szCs w:val="24"/>
          <w:shd w:val="clear" w:color="auto" w:fill="FFFFFF"/>
        </w:rPr>
        <w:t>Kansiime, et al., 2022)</w:t>
      </w:r>
      <w:r w:rsidRPr="00502F56">
        <w:rPr>
          <w:rFonts w:ascii="Times New Roman" w:hAnsi="Times New Roman" w:cs="Times New Roman"/>
          <w:color w:val="auto"/>
          <w:sz w:val="24"/>
          <w:szCs w:val="24"/>
        </w:rPr>
        <w:t>. Soil health determines nutrient cycling, water holding, crop tolerance, and ecosystem service such as carbon sequestration and biodiversity</w:t>
      </w:r>
      <w:r w:rsidR="00605969" w:rsidRPr="00502F56">
        <w:rPr>
          <w:rFonts w:ascii="Times New Roman" w:hAnsi="Times New Roman" w:cs="Times New Roman"/>
          <w:color w:val="auto"/>
          <w:sz w:val="24"/>
          <w:szCs w:val="24"/>
        </w:rPr>
        <w:t xml:space="preserve"> (</w:t>
      </w:r>
      <w:r w:rsidR="00605969" w:rsidRPr="00502F56">
        <w:rPr>
          <w:rFonts w:ascii="Times New Roman" w:hAnsi="Times New Roman" w:cs="Times New Roman"/>
          <w:color w:val="222222"/>
          <w:sz w:val="24"/>
          <w:szCs w:val="24"/>
          <w:shd w:val="clear" w:color="auto" w:fill="FFFFFF"/>
        </w:rPr>
        <w:t>Lal, 2016).</w:t>
      </w:r>
      <w:r w:rsidRPr="00502F56">
        <w:rPr>
          <w:rFonts w:ascii="Times New Roman" w:hAnsi="Times New Roman" w:cs="Times New Roman"/>
          <w:color w:val="auto"/>
          <w:sz w:val="24"/>
          <w:szCs w:val="24"/>
        </w:rPr>
        <w:t xml:space="preserve"> In the backdrop of climate change, land degradation, and rising global food demand, there is an increased need to conserve and enhance soil function than ever before. In the last couple of decades, a broad range of agronomic-engineered technologies has emerged to promote soil health and sustained productivity. These include conservation agriculture management (minimum tillage, crop rotation, and residue management), site-specific water and nutrient management, biochar and organic amendment application, microbial inoculants and </w:t>
      </w:r>
      <w:proofErr w:type="spellStart"/>
      <w:r w:rsidRPr="00502F56">
        <w:rPr>
          <w:rFonts w:ascii="Times New Roman" w:hAnsi="Times New Roman" w:cs="Times New Roman"/>
          <w:color w:val="auto"/>
          <w:sz w:val="24"/>
          <w:szCs w:val="24"/>
        </w:rPr>
        <w:t>biostimulants</w:t>
      </w:r>
      <w:proofErr w:type="spellEnd"/>
      <w:r w:rsidRPr="00502F56">
        <w:rPr>
          <w:rFonts w:ascii="Times New Roman" w:hAnsi="Times New Roman" w:cs="Times New Roman"/>
          <w:color w:val="auto"/>
          <w:sz w:val="24"/>
          <w:szCs w:val="24"/>
        </w:rPr>
        <w:t>, precision agriculture equipment, and digital decision-support systems to maximize resource use</w:t>
      </w:r>
      <w:r w:rsidR="00624E63" w:rsidRPr="00502F56">
        <w:rPr>
          <w:rFonts w:ascii="Times New Roman" w:hAnsi="Times New Roman" w:cs="Times New Roman"/>
          <w:color w:val="auto"/>
          <w:sz w:val="24"/>
          <w:szCs w:val="24"/>
        </w:rPr>
        <w:t xml:space="preserve"> (</w:t>
      </w:r>
      <w:r w:rsidR="00624E63" w:rsidRPr="00502F56">
        <w:rPr>
          <w:rFonts w:ascii="Times New Roman" w:hAnsi="Times New Roman" w:cs="Times New Roman"/>
          <w:color w:val="222222"/>
          <w:sz w:val="24"/>
          <w:szCs w:val="24"/>
          <w:shd w:val="clear" w:color="auto" w:fill="FFFFFF"/>
        </w:rPr>
        <w:t>Meena, et al., 2023)</w:t>
      </w:r>
      <w:r w:rsidRPr="00502F56">
        <w:rPr>
          <w:rFonts w:ascii="Times New Roman" w:hAnsi="Times New Roman" w:cs="Times New Roman"/>
          <w:color w:val="auto"/>
          <w:sz w:val="24"/>
          <w:szCs w:val="24"/>
        </w:rPr>
        <w:t>. All these technologies, if adopted together, promise not only to enhance soil fertility and physical structure but also to reduce greenhouse gas emissions and improve climate variability resilience</w:t>
      </w:r>
      <w:r w:rsidR="006A16E0" w:rsidRPr="00502F56">
        <w:rPr>
          <w:rFonts w:ascii="Times New Roman" w:hAnsi="Times New Roman" w:cs="Times New Roman"/>
          <w:color w:val="auto"/>
          <w:sz w:val="24"/>
          <w:szCs w:val="24"/>
        </w:rPr>
        <w:t xml:space="preserve"> (</w:t>
      </w:r>
      <w:proofErr w:type="gramStart"/>
      <w:r w:rsidR="006A16E0" w:rsidRPr="00502F56">
        <w:rPr>
          <w:rFonts w:ascii="Times New Roman" w:hAnsi="Times New Roman" w:cs="Times New Roman"/>
          <w:color w:val="222222"/>
          <w:sz w:val="24"/>
          <w:szCs w:val="24"/>
          <w:shd w:val="clear" w:color="auto" w:fill="FFFFFF"/>
        </w:rPr>
        <w:t>Ejedegba,</w:t>
      </w:r>
      <w:r w:rsidR="006A16E0" w:rsidRPr="00502F56">
        <w:rPr>
          <w:rFonts w:ascii="Times New Roman" w:hAnsi="Times New Roman" w:cs="Times New Roman"/>
          <w:color w:val="auto"/>
          <w:sz w:val="24"/>
          <w:szCs w:val="24"/>
        </w:rPr>
        <w:t>,</w:t>
      </w:r>
      <w:proofErr w:type="gramEnd"/>
      <w:r w:rsidR="006A16E0" w:rsidRPr="00502F56">
        <w:rPr>
          <w:rFonts w:ascii="Times New Roman" w:hAnsi="Times New Roman" w:cs="Times New Roman"/>
          <w:color w:val="auto"/>
          <w:sz w:val="24"/>
          <w:szCs w:val="24"/>
        </w:rPr>
        <w:t xml:space="preserve"> 2024).</w:t>
      </w:r>
    </w:p>
    <w:p w14:paraId="1FF43C4E" w14:textId="77777777" w:rsidR="00CA2AE4" w:rsidRPr="00502F56" w:rsidRDefault="00CA2AE4" w:rsidP="00037D50">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The availability of technology, however, does not necessarily imply adoption or continuous use. Farmers' attitude, perception, and knowledge determine whether a technology is incorporated into agricultural systems</w:t>
      </w:r>
      <w:r w:rsidR="00D01E16" w:rsidRPr="00502F56">
        <w:rPr>
          <w:rFonts w:ascii="Times New Roman" w:hAnsi="Times New Roman" w:cs="Times New Roman"/>
          <w:color w:val="auto"/>
          <w:sz w:val="24"/>
          <w:szCs w:val="24"/>
        </w:rPr>
        <w:t xml:space="preserve"> (</w:t>
      </w:r>
      <w:r w:rsidR="00D01E16" w:rsidRPr="00502F56">
        <w:rPr>
          <w:rFonts w:ascii="Times New Roman" w:hAnsi="Times New Roman" w:cs="Times New Roman"/>
          <w:color w:val="222222"/>
          <w:sz w:val="24"/>
          <w:szCs w:val="24"/>
          <w:shd w:val="clear" w:color="auto" w:fill="FFFFFF"/>
        </w:rPr>
        <w:t>Meijer, et al 2015)</w:t>
      </w:r>
      <w:r w:rsidRPr="00502F56">
        <w:rPr>
          <w:rFonts w:ascii="Times New Roman" w:hAnsi="Times New Roman" w:cs="Times New Roman"/>
          <w:color w:val="auto"/>
          <w:sz w:val="24"/>
          <w:szCs w:val="24"/>
        </w:rPr>
        <w:t>. Therefore, the success of agronomic innovations relies significantly on successful educational and training interventions offered through agricultural extens</w:t>
      </w:r>
      <w:r w:rsidR="00D01E16" w:rsidRPr="00502F56">
        <w:rPr>
          <w:rFonts w:ascii="Times New Roman" w:hAnsi="Times New Roman" w:cs="Times New Roman"/>
          <w:color w:val="auto"/>
          <w:sz w:val="24"/>
          <w:szCs w:val="24"/>
        </w:rPr>
        <w:t xml:space="preserve">ion systems. Extension programs </w:t>
      </w:r>
      <w:r w:rsidRPr="00502F56">
        <w:rPr>
          <w:rFonts w:ascii="Times New Roman" w:hAnsi="Times New Roman" w:cs="Times New Roman"/>
          <w:color w:val="auto"/>
          <w:sz w:val="24"/>
          <w:szCs w:val="24"/>
        </w:rPr>
        <w:t>regardless of whether they are implemented through farmer field schools, demonstration plots, digital media, or participa</w:t>
      </w:r>
      <w:r w:rsidR="00C0269C" w:rsidRPr="00502F56">
        <w:rPr>
          <w:rFonts w:ascii="Times New Roman" w:hAnsi="Times New Roman" w:cs="Times New Roman"/>
          <w:color w:val="auto"/>
          <w:sz w:val="24"/>
          <w:szCs w:val="24"/>
        </w:rPr>
        <w:t xml:space="preserve">tory rural appraisal approaches </w:t>
      </w:r>
      <w:r w:rsidRPr="00502F56">
        <w:rPr>
          <w:rFonts w:ascii="Times New Roman" w:hAnsi="Times New Roman" w:cs="Times New Roman"/>
          <w:color w:val="auto"/>
          <w:sz w:val="24"/>
          <w:szCs w:val="24"/>
        </w:rPr>
        <w:t>act as the nexus between scientific research and on-farm action</w:t>
      </w:r>
      <w:r w:rsidR="00C4612E" w:rsidRPr="00502F56">
        <w:rPr>
          <w:rFonts w:ascii="Times New Roman" w:hAnsi="Times New Roman" w:cs="Times New Roman"/>
          <w:color w:val="auto"/>
          <w:sz w:val="24"/>
          <w:szCs w:val="24"/>
        </w:rPr>
        <w:t xml:space="preserve"> (</w:t>
      </w:r>
      <w:r w:rsidR="00C4612E" w:rsidRPr="00502F56">
        <w:rPr>
          <w:rFonts w:ascii="Times New Roman" w:hAnsi="Times New Roman" w:cs="Times New Roman"/>
          <w:color w:val="222222"/>
          <w:sz w:val="24"/>
          <w:szCs w:val="24"/>
          <w:shd w:val="clear" w:color="auto" w:fill="FFFFFF"/>
        </w:rPr>
        <w:t>Prajapati,</w:t>
      </w:r>
      <w:r w:rsidR="00C4612E" w:rsidRPr="00502F56">
        <w:rPr>
          <w:rFonts w:ascii="Times New Roman" w:hAnsi="Times New Roman" w:cs="Times New Roman"/>
          <w:color w:val="auto"/>
          <w:sz w:val="24"/>
          <w:szCs w:val="24"/>
        </w:rPr>
        <w:t xml:space="preserve"> et al., 2025).</w:t>
      </w:r>
      <w:r w:rsidRPr="00502F56">
        <w:rPr>
          <w:rFonts w:ascii="Times New Roman" w:hAnsi="Times New Roman" w:cs="Times New Roman"/>
          <w:color w:val="auto"/>
          <w:sz w:val="24"/>
          <w:szCs w:val="24"/>
        </w:rPr>
        <w:t xml:space="preserve"> They facilitate farmers' knowledge about the scientific underpinning of soil health practices, ensure confidence to use new approaches, and enable peer-to-peer learning</w:t>
      </w:r>
      <w:r w:rsidR="008856DA" w:rsidRPr="00502F56">
        <w:rPr>
          <w:rFonts w:ascii="Times New Roman" w:hAnsi="Times New Roman" w:cs="Times New Roman"/>
          <w:color w:val="auto"/>
          <w:sz w:val="24"/>
          <w:szCs w:val="24"/>
        </w:rPr>
        <w:t xml:space="preserve"> (</w:t>
      </w:r>
      <w:proofErr w:type="spellStart"/>
      <w:r w:rsidR="008856DA" w:rsidRPr="00502F56">
        <w:rPr>
          <w:rFonts w:ascii="Times New Roman" w:hAnsi="Times New Roman" w:cs="Times New Roman"/>
          <w:color w:val="222222"/>
          <w:sz w:val="24"/>
          <w:szCs w:val="24"/>
          <w:shd w:val="clear" w:color="auto" w:fill="FFFFFF"/>
        </w:rPr>
        <w:t>Adamsone-Fiskovica</w:t>
      </w:r>
      <w:proofErr w:type="spellEnd"/>
      <w:r w:rsidR="008856DA" w:rsidRPr="00502F56">
        <w:rPr>
          <w:rFonts w:ascii="Times New Roman" w:hAnsi="Times New Roman" w:cs="Times New Roman"/>
          <w:color w:val="222222"/>
          <w:sz w:val="24"/>
          <w:szCs w:val="24"/>
          <w:shd w:val="clear" w:color="auto" w:fill="FFFFFF"/>
        </w:rPr>
        <w:t xml:space="preserve">, and </w:t>
      </w:r>
      <w:proofErr w:type="spellStart"/>
      <w:proofErr w:type="gramStart"/>
      <w:r w:rsidR="008856DA" w:rsidRPr="00502F56">
        <w:rPr>
          <w:rFonts w:ascii="Times New Roman" w:hAnsi="Times New Roman" w:cs="Times New Roman"/>
          <w:color w:val="222222"/>
          <w:sz w:val="24"/>
          <w:szCs w:val="24"/>
          <w:shd w:val="clear" w:color="auto" w:fill="FFFFFF"/>
        </w:rPr>
        <w:t>Grivins</w:t>
      </w:r>
      <w:proofErr w:type="spellEnd"/>
      <w:r w:rsidR="008856DA" w:rsidRPr="00502F56">
        <w:rPr>
          <w:rFonts w:ascii="Times New Roman" w:hAnsi="Times New Roman" w:cs="Times New Roman"/>
          <w:color w:val="222222"/>
          <w:sz w:val="24"/>
          <w:szCs w:val="24"/>
          <w:shd w:val="clear" w:color="auto" w:fill="FFFFFF"/>
        </w:rPr>
        <w:t>,  2022</w:t>
      </w:r>
      <w:proofErr w:type="gramEnd"/>
      <w:r w:rsidR="008856DA" w:rsidRPr="00502F56">
        <w:rPr>
          <w:rFonts w:ascii="Times New Roman" w:hAnsi="Times New Roman" w:cs="Times New Roman"/>
          <w:color w:val="222222"/>
          <w:sz w:val="24"/>
          <w:szCs w:val="24"/>
          <w:shd w:val="clear" w:color="auto" w:fill="FFFFFF"/>
        </w:rPr>
        <w:t>)</w:t>
      </w:r>
      <w:r w:rsidRPr="00502F56">
        <w:rPr>
          <w:rFonts w:ascii="Times New Roman" w:hAnsi="Times New Roman" w:cs="Times New Roman"/>
          <w:color w:val="auto"/>
          <w:sz w:val="24"/>
          <w:szCs w:val="24"/>
        </w:rPr>
        <w:t>.</w:t>
      </w:r>
    </w:p>
    <w:p w14:paraId="77BA428A" w14:textId="77777777" w:rsidR="00CA2AE4" w:rsidRPr="00502F56" w:rsidRDefault="00CA2AE4" w:rsidP="00037D50">
      <w:pPr>
        <w:pStyle w:val="Heading2"/>
        <w:spacing w:line="360" w:lineRule="auto"/>
        <w:jc w:val="both"/>
        <w:rPr>
          <w:rFonts w:ascii="Times New Roman" w:hAnsi="Times New Roman" w:cs="Times New Roman"/>
          <w:color w:val="222222"/>
          <w:sz w:val="24"/>
          <w:szCs w:val="24"/>
          <w:shd w:val="clear" w:color="auto" w:fill="FFFFFF"/>
        </w:rPr>
      </w:pPr>
      <w:r w:rsidRPr="00502F56">
        <w:rPr>
          <w:rFonts w:ascii="Times New Roman" w:hAnsi="Times New Roman" w:cs="Times New Roman"/>
          <w:color w:val="auto"/>
          <w:sz w:val="24"/>
          <w:szCs w:val="24"/>
        </w:rPr>
        <w:t>In spite of this, there are still a number of challenges. Educational interventions tend to be developed without adequate contextualization to local farming systems, socio-economic contexts, or gender relationships</w:t>
      </w:r>
      <w:r w:rsidR="008856DA" w:rsidRPr="00502F56">
        <w:rPr>
          <w:rFonts w:ascii="Times New Roman" w:hAnsi="Times New Roman" w:cs="Times New Roman"/>
          <w:color w:val="auto"/>
          <w:sz w:val="24"/>
          <w:szCs w:val="24"/>
        </w:rPr>
        <w:t xml:space="preserve"> (</w:t>
      </w:r>
      <w:r w:rsidR="008856DA" w:rsidRPr="00502F56">
        <w:rPr>
          <w:rFonts w:ascii="Times New Roman" w:hAnsi="Times New Roman" w:cs="Times New Roman"/>
          <w:color w:val="222222"/>
          <w:sz w:val="24"/>
          <w:szCs w:val="24"/>
          <w:shd w:val="clear" w:color="auto" w:fill="FFFFFF"/>
        </w:rPr>
        <w:t>Gillespie, S., &amp; van den</w:t>
      </w:r>
      <w:r w:rsidR="008856DA" w:rsidRPr="00502F56">
        <w:rPr>
          <w:rFonts w:ascii="Times New Roman" w:hAnsi="Times New Roman" w:cs="Times New Roman"/>
          <w:color w:val="auto"/>
          <w:sz w:val="24"/>
          <w:szCs w:val="24"/>
        </w:rPr>
        <w:t>, 2017).</w:t>
      </w:r>
      <w:r w:rsidRPr="00502F56">
        <w:rPr>
          <w:rFonts w:ascii="Times New Roman" w:hAnsi="Times New Roman" w:cs="Times New Roman"/>
          <w:color w:val="auto"/>
          <w:sz w:val="24"/>
          <w:szCs w:val="24"/>
        </w:rPr>
        <w:t xml:space="preserve"> Many programs are not subjected to systematic impact evaluation, so it is hard to quantify outcomes beyond short-term gains in knowledge. Scaling up effective programs is also even more complex: how can effective interventions in a pilot project be scaled up and replicated across different agro-ecological zones and farming communities, with equity, inclusivity, and sustainability</w:t>
      </w:r>
      <w:r w:rsidR="008856DA" w:rsidRPr="00502F56">
        <w:rPr>
          <w:rFonts w:ascii="Times New Roman" w:hAnsi="Times New Roman" w:cs="Times New Roman"/>
          <w:color w:val="auto"/>
          <w:sz w:val="24"/>
          <w:szCs w:val="24"/>
        </w:rPr>
        <w:t xml:space="preserve"> (</w:t>
      </w:r>
      <w:r w:rsidR="008856DA" w:rsidRPr="00502F56">
        <w:rPr>
          <w:rFonts w:ascii="Times New Roman" w:hAnsi="Times New Roman" w:cs="Times New Roman"/>
          <w:color w:val="222222"/>
          <w:sz w:val="24"/>
          <w:szCs w:val="24"/>
          <w:shd w:val="clear" w:color="auto" w:fill="FFFFFF"/>
        </w:rPr>
        <w:t>Sinclair, et al., 2019).</w:t>
      </w:r>
    </w:p>
    <w:p w14:paraId="3F97AFE7" w14:textId="77777777" w:rsidR="0004585D" w:rsidRPr="00502F56" w:rsidRDefault="0004585D" w:rsidP="00037D50">
      <w:pPr>
        <w:pStyle w:val="Heading2"/>
        <w:spacing w:line="360" w:lineRule="auto"/>
        <w:jc w:val="both"/>
        <w:rPr>
          <w:rFonts w:ascii="Times New Roman" w:hAnsi="Times New Roman" w:cs="Times New Roman"/>
          <w:b/>
          <w:color w:val="auto"/>
          <w:sz w:val="24"/>
          <w:szCs w:val="24"/>
        </w:rPr>
      </w:pPr>
      <w:r w:rsidRPr="00502F56">
        <w:rPr>
          <w:rFonts w:ascii="Times New Roman" w:hAnsi="Times New Roman" w:cs="Times New Roman"/>
          <w:b/>
          <w:color w:val="auto"/>
          <w:sz w:val="24"/>
          <w:szCs w:val="24"/>
        </w:rPr>
        <w:lastRenderedPageBreak/>
        <w:t>2. Scope and Approach</w:t>
      </w:r>
    </w:p>
    <w:p w14:paraId="39440FDA" w14:textId="77777777" w:rsidR="0004585D" w:rsidRPr="00502F56" w:rsidRDefault="0004585D" w:rsidP="00037D50">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The review takes a narrative synthesis strategy, following insights from extension science, soil science, agronomy, rural development, and implementation research. The emphasis is placed on educational and training interventions conducted at the farm level that are specifically aimed at advancing agronomic-engineered technologies with quantifiable impacts on soil health</w:t>
      </w:r>
      <w:r w:rsidR="008856DA" w:rsidRPr="00502F56">
        <w:rPr>
          <w:rFonts w:ascii="Times New Roman" w:hAnsi="Times New Roman" w:cs="Times New Roman"/>
          <w:color w:val="auto"/>
          <w:sz w:val="24"/>
          <w:szCs w:val="24"/>
        </w:rPr>
        <w:t xml:space="preserve"> (</w:t>
      </w:r>
      <w:r w:rsidR="008856DA" w:rsidRPr="00502F56">
        <w:rPr>
          <w:rFonts w:ascii="Times New Roman" w:hAnsi="Times New Roman" w:cs="Times New Roman"/>
          <w:color w:val="222222"/>
          <w:sz w:val="24"/>
          <w:szCs w:val="24"/>
          <w:shd w:val="clear" w:color="auto" w:fill="FFFFFF"/>
        </w:rPr>
        <w:t>Kansiime,</w:t>
      </w:r>
      <w:r w:rsidR="008856DA" w:rsidRPr="00502F56">
        <w:rPr>
          <w:rFonts w:ascii="Times New Roman" w:hAnsi="Times New Roman" w:cs="Times New Roman"/>
          <w:color w:val="auto"/>
          <w:sz w:val="24"/>
          <w:szCs w:val="24"/>
        </w:rPr>
        <w:t xml:space="preserve"> et al., 2022).</w:t>
      </w:r>
      <w:r w:rsidRPr="00502F56">
        <w:rPr>
          <w:rFonts w:ascii="Times New Roman" w:hAnsi="Times New Roman" w:cs="Times New Roman"/>
          <w:color w:val="auto"/>
          <w:sz w:val="24"/>
          <w:szCs w:val="24"/>
        </w:rPr>
        <w:t xml:space="preserve"> While numerous innovations come from laboratories and research centers, this review stresses interventions that have direct contact with farmers and are integrated into extension and capacity-building mechanisms, with other more general agricultural development programs being discussed only where lessons can be transferred</w:t>
      </w:r>
      <w:r w:rsidR="002F4829" w:rsidRPr="00502F56">
        <w:rPr>
          <w:rFonts w:ascii="Times New Roman" w:hAnsi="Times New Roman" w:cs="Times New Roman"/>
          <w:color w:val="auto"/>
          <w:sz w:val="24"/>
          <w:szCs w:val="24"/>
        </w:rPr>
        <w:t xml:space="preserve"> (</w:t>
      </w:r>
      <w:r w:rsidR="002F4829" w:rsidRPr="00502F56">
        <w:rPr>
          <w:rFonts w:ascii="Times New Roman" w:hAnsi="Times New Roman" w:cs="Times New Roman"/>
          <w:color w:val="222222"/>
          <w:sz w:val="24"/>
          <w:szCs w:val="24"/>
          <w:shd w:val="clear" w:color="auto" w:fill="FFFFFF"/>
        </w:rPr>
        <w:t>Moebius-Clune, 2010)</w:t>
      </w:r>
      <w:r w:rsidRPr="00502F56">
        <w:rPr>
          <w:rFonts w:ascii="Times New Roman" w:hAnsi="Times New Roman" w:cs="Times New Roman"/>
          <w:color w:val="auto"/>
          <w:sz w:val="24"/>
          <w:szCs w:val="24"/>
        </w:rPr>
        <w:t>.</w:t>
      </w:r>
    </w:p>
    <w:p w14:paraId="0320FD5C" w14:textId="77777777" w:rsidR="0004585D" w:rsidRPr="00502F56" w:rsidRDefault="0004585D" w:rsidP="00037D50">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The range includes various program typologies like farmer field schools, farmer-to-farmer networks, participatory learning groups, demonstration plots, on-farm trials, ICT-based platforms like SMS and mobile apps, and hybrid models mixing digital and face-to-face methods</w:t>
      </w:r>
      <w:r w:rsidR="002F4829" w:rsidRPr="00502F56">
        <w:rPr>
          <w:rFonts w:ascii="Times New Roman" w:hAnsi="Times New Roman" w:cs="Times New Roman"/>
          <w:color w:val="auto"/>
          <w:sz w:val="24"/>
          <w:szCs w:val="24"/>
        </w:rPr>
        <w:t xml:space="preserve"> (</w:t>
      </w:r>
      <w:r w:rsidR="002F4829" w:rsidRPr="00502F56">
        <w:rPr>
          <w:rFonts w:ascii="Times New Roman" w:hAnsi="Times New Roman" w:cs="Times New Roman"/>
          <w:color w:val="222222"/>
          <w:sz w:val="24"/>
          <w:szCs w:val="24"/>
          <w:shd w:val="clear" w:color="auto" w:fill="FFFFFF"/>
        </w:rPr>
        <w:t>Khatri, et al., 2024)</w:t>
      </w:r>
      <w:r w:rsidRPr="00502F56">
        <w:rPr>
          <w:rFonts w:ascii="Times New Roman" w:hAnsi="Times New Roman" w:cs="Times New Roman"/>
          <w:color w:val="auto"/>
          <w:sz w:val="24"/>
          <w:szCs w:val="24"/>
        </w:rPr>
        <w:t>. Care is taken to address stakeholders' learning modalities employed in the programs, necessitating changes from experiential and participatory learning to digital and peer-to-peer learning, necessitating changes in farmers' means of gaining knowledge, developing skills, and adjusting practices</w:t>
      </w:r>
      <w:r w:rsidR="00D43ECC" w:rsidRPr="00502F56">
        <w:rPr>
          <w:rFonts w:ascii="Times New Roman" w:hAnsi="Times New Roman" w:cs="Times New Roman"/>
          <w:color w:val="auto"/>
          <w:sz w:val="24"/>
          <w:szCs w:val="24"/>
        </w:rPr>
        <w:t xml:space="preserve"> (</w:t>
      </w:r>
      <w:r w:rsidR="00D43ECC" w:rsidRPr="00502F56">
        <w:rPr>
          <w:rFonts w:ascii="Times New Roman" w:hAnsi="Times New Roman" w:cs="Times New Roman"/>
          <w:color w:val="222222"/>
          <w:sz w:val="24"/>
          <w:szCs w:val="24"/>
          <w:shd w:val="clear" w:color="auto" w:fill="FFFFFF"/>
        </w:rPr>
        <w:t>Sutherland, and Marchand, 2021)</w:t>
      </w:r>
      <w:r w:rsidRPr="00502F56">
        <w:rPr>
          <w:rFonts w:ascii="Times New Roman" w:hAnsi="Times New Roman" w:cs="Times New Roman"/>
          <w:color w:val="auto"/>
          <w:sz w:val="24"/>
          <w:szCs w:val="24"/>
        </w:rPr>
        <w:t>.</w:t>
      </w:r>
    </w:p>
    <w:p w14:paraId="23A459C3" w14:textId="77777777" w:rsidR="0004585D" w:rsidRPr="00502F56" w:rsidRDefault="0004585D" w:rsidP="00037D50">
      <w:pPr>
        <w:jc w:val="both"/>
        <w:rPr>
          <w:rFonts w:ascii="Times New Roman" w:hAnsi="Times New Roman" w:cs="Times New Roman"/>
          <w:sz w:val="24"/>
          <w:szCs w:val="24"/>
        </w:rPr>
      </w:pPr>
      <w:r w:rsidRPr="00502F56">
        <w:rPr>
          <w:rFonts w:ascii="Times New Roman" w:hAnsi="Times New Roman" w:cs="Times New Roman"/>
          <w:sz w:val="24"/>
          <w:szCs w:val="24"/>
        </w:rPr>
        <w:t>The review also takes into account the assessment methods used to gauge program efficacy, such as descriptive surveys, knowledge–attitude–practice research, experimental and quasi-experimental methods, participatory monitoring, and mixed-method designs combining qualitative and quantitative information. Concurrently, the assessment looks at the indicators of soil health applied to evaluate outcomes such as soil organic carbon, nutrient balance, microbial activity, water-use efficiency, crop productivity, and livelihood effects</w:t>
      </w:r>
      <w:r w:rsidR="008769B1" w:rsidRPr="00502F56">
        <w:rPr>
          <w:rFonts w:ascii="Times New Roman" w:hAnsi="Times New Roman" w:cs="Times New Roman"/>
          <w:sz w:val="24"/>
          <w:szCs w:val="24"/>
        </w:rPr>
        <w:t xml:space="preserve"> (Mapiye, et al., 2023)</w:t>
      </w:r>
      <w:r w:rsidRPr="00502F56">
        <w:rPr>
          <w:rFonts w:ascii="Times New Roman" w:hAnsi="Times New Roman" w:cs="Times New Roman"/>
          <w:sz w:val="24"/>
          <w:szCs w:val="24"/>
        </w:rPr>
        <w:t>.</w:t>
      </w:r>
    </w:p>
    <w:p w14:paraId="73144F2D" w14:textId="77777777" w:rsidR="0004585D" w:rsidRPr="00502F56" w:rsidRDefault="0004585D" w:rsidP="00037D50">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Lastly, the review touches on strategies for large-scale scaling up of successful programs, highlighting institutional arrangements, financing models, public–private partnerships, and value-chain linkages conducive to large-scale adoption</w:t>
      </w:r>
      <w:r w:rsidR="00BD048D" w:rsidRPr="00502F56">
        <w:rPr>
          <w:rFonts w:ascii="Times New Roman" w:hAnsi="Times New Roman" w:cs="Times New Roman"/>
          <w:color w:val="auto"/>
          <w:sz w:val="24"/>
          <w:szCs w:val="24"/>
        </w:rPr>
        <w:t xml:space="preserve"> (</w:t>
      </w:r>
      <w:r w:rsidR="00BD048D" w:rsidRPr="00502F56">
        <w:rPr>
          <w:rFonts w:ascii="Times New Roman" w:hAnsi="Times New Roman" w:cs="Times New Roman"/>
          <w:color w:val="222222"/>
          <w:sz w:val="24"/>
          <w:szCs w:val="24"/>
          <w:shd w:val="clear" w:color="auto" w:fill="FFFFFF"/>
        </w:rPr>
        <w:t>Poulton, and Macartney, 2012)</w:t>
      </w:r>
      <w:r w:rsidRPr="00502F56">
        <w:rPr>
          <w:rFonts w:ascii="Times New Roman" w:hAnsi="Times New Roman" w:cs="Times New Roman"/>
          <w:color w:val="auto"/>
          <w:sz w:val="24"/>
          <w:szCs w:val="24"/>
        </w:rPr>
        <w:t>. Questions of inclusivity and equity, more specifically women's, youth's, and poor people's participation, are also highlighted as important in determining sustainable and socially equitable outcomes</w:t>
      </w:r>
      <w:r w:rsidR="00BD048D" w:rsidRPr="00502F56">
        <w:rPr>
          <w:rFonts w:ascii="Times New Roman" w:hAnsi="Times New Roman" w:cs="Times New Roman"/>
          <w:color w:val="auto"/>
          <w:sz w:val="24"/>
          <w:szCs w:val="24"/>
        </w:rPr>
        <w:t xml:space="preserve"> (</w:t>
      </w:r>
      <w:r w:rsidR="00BD048D" w:rsidRPr="00502F56">
        <w:rPr>
          <w:rFonts w:ascii="Times New Roman" w:hAnsi="Times New Roman" w:cs="Times New Roman"/>
          <w:color w:val="222222"/>
          <w:sz w:val="24"/>
          <w:szCs w:val="24"/>
          <w:shd w:val="clear" w:color="auto" w:fill="FFFFFF"/>
        </w:rPr>
        <w:t>Lily, and Sharma, 2025)</w:t>
      </w:r>
      <w:r w:rsidRPr="00502F56">
        <w:rPr>
          <w:rFonts w:ascii="Times New Roman" w:hAnsi="Times New Roman" w:cs="Times New Roman"/>
          <w:color w:val="auto"/>
          <w:sz w:val="24"/>
          <w:szCs w:val="24"/>
        </w:rPr>
        <w:t>. Thus, the review brings forward that technology itself and technology monitoring frameworks are no more important than educational design and institutional support in bringing about sustainable improvements in soil health</w:t>
      </w:r>
      <w:r w:rsidR="00BD048D" w:rsidRPr="00502F56">
        <w:rPr>
          <w:rFonts w:ascii="Times New Roman" w:hAnsi="Times New Roman" w:cs="Times New Roman"/>
          <w:color w:val="auto"/>
          <w:sz w:val="24"/>
          <w:szCs w:val="24"/>
        </w:rPr>
        <w:t xml:space="preserve"> (</w:t>
      </w:r>
      <w:r w:rsidR="00BD048D" w:rsidRPr="00502F56">
        <w:rPr>
          <w:rFonts w:ascii="Times New Roman" w:hAnsi="Times New Roman" w:cs="Times New Roman"/>
          <w:color w:val="222222"/>
          <w:sz w:val="24"/>
          <w:szCs w:val="24"/>
          <w:shd w:val="clear" w:color="auto" w:fill="FFFFFF"/>
        </w:rPr>
        <w:t>Anadon, et al., 2016)</w:t>
      </w:r>
      <w:r w:rsidRPr="00502F56">
        <w:rPr>
          <w:rFonts w:ascii="Times New Roman" w:hAnsi="Times New Roman" w:cs="Times New Roman"/>
          <w:color w:val="auto"/>
          <w:sz w:val="24"/>
          <w:szCs w:val="24"/>
        </w:rPr>
        <w:t>.</w:t>
      </w:r>
    </w:p>
    <w:p w14:paraId="6D2E712C" w14:textId="77777777" w:rsidR="0004585D" w:rsidRPr="00502F56" w:rsidRDefault="0004585D"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3. Agronomic-Engineered Technol</w:t>
      </w:r>
      <w:r w:rsidR="008769B1" w:rsidRPr="00502F56">
        <w:rPr>
          <w:rFonts w:ascii="Times New Roman" w:hAnsi="Times New Roman" w:cs="Times New Roman"/>
          <w:b/>
          <w:sz w:val="24"/>
          <w:szCs w:val="24"/>
        </w:rPr>
        <w:t>ogies for Soil Health</w:t>
      </w:r>
    </w:p>
    <w:p w14:paraId="29B8A0B1"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lastRenderedPageBreak/>
        <w:t>There is a great variety of agronomic-engineered technologies that have been created and disseminated through extension and training initiatives to combat soil degradation, reclaim fertility, and increase resilience. Such technologies differ in their complexity, cost, and versatility, and consequently affect farmers' perception and adoption.</w:t>
      </w:r>
    </w:p>
    <w:p w14:paraId="2AF97BF2"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 xml:space="preserve">Conservation Agriculture (CA): </w:t>
      </w:r>
      <w:r w:rsidRPr="00502F56">
        <w:rPr>
          <w:rFonts w:ascii="Times New Roman" w:hAnsi="Times New Roman" w:cs="Times New Roman"/>
          <w:sz w:val="24"/>
          <w:szCs w:val="24"/>
        </w:rPr>
        <w:t>CA includes reduced or no-tillage, crop residue retention, and the use of crop rotation or cover crops</w:t>
      </w:r>
      <w:r w:rsidR="00625D75" w:rsidRPr="00502F56">
        <w:rPr>
          <w:rFonts w:ascii="Times New Roman" w:hAnsi="Times New Roman" w:cs="Times New Roman"/>
          <w:sz w:val="24"/>
          <w:szCs w:val="24"/>
        </w:rPr>
        <w:t xml:space="preserve"> (</w:t>
      </w:r>
      <w:proofErr w:type="spellStart"/>
      <w:r w:rsidR="00625D75" w:rsidRPr="00502F56">
        <w:rPr>
          <w:rFonts w:ascii="Times New Roman" w:hAnsi="Times New Roman" w:cs="Times New Roman"/>
          <w:color w:val="222222"/>
          <w:sz w:val="24"/>
          <w:szCs w:val="24"/>
          <w:shd w:val="clear" w:color="auto" w:fill="FFFFFF"/>
        </w:rPr>
        <w:t>Cárceles</w:t>
      </w:r>
      <w:proofErr w:type="spellEnd"/>
      <w:r w:rsidR="00625D75" w:rsidRPr="00502F56">
        <w:rPr>
          <w:rFonts w:ascii="Times New Roman" w:hAnsi="Times New Roman" w:cs="Times New Roman"/>
          <w:color w:val="222222"/>
          <w:sz w:val="24"/>
          <w:szCs w:val="24"/>
          <w:shd w:val="clear" w:color="auto" w:fill="FFFFFF"/>
        </w:rPr>
        <w:t xml:space="preserve"> Rodríguez et al., 2022)</w:t>
      </w:r>
      <w:r w:rsidRPr="00502F56">
        <w:rPr>
          <w:rFonts w:ascii="Times New Roman" w:hAnsi="Times New Roman" w:cs="Times New Roman"/>
          <w:sz w:val="24"/>
          <w:szCs w:val="24"/>
        </w:rPr>
        <w:t>. These methods combined enhance the physical structure of the soil, organic matter levels, retain soil moisture, and minimize erosion. In the long run, CA enhances soil biodiversity and carbon storage. Thus, the benefits are experienced across several seasons and necessitate long-term farmer commitment, hence training and ongoing support are essential</w:t>
      </w:r>
      <w:r w:rsidR="00625D75" w:rsidRPr="00502F56">
        <w:rPr>
          <w:rFonts w:ascii="Times New Roman" w:hAnsi="Times New Roman" w:cs="Times New Roman"/>
          <w:sz w:val="24"/>
          <w:szCs w:val="24"/>
        </w:rPr>
        <w:t xml:space="preserve"> (</w:t>
      </w:r>
      <w:proofErr w:type="spellStart"/>
      <w:r w:rsidR="00625D75" w:rsidRPr="00502F56">
        <w:rPr>
          <w:rFonts w:ascii="Times New Roman" w:hAnsi="Times New Roman" w:cs="Times New Roman"/>
          <w:color w:val="222222"/>
          <w:sz w:val="24"/>
          <w:szCs w:val="24"/>
          <w:shd w:val="clear" w:color="auto" w:fill="FFFFFF"/>
        </w:rPr>
        <w:t>Francaviglia</w:t>
      </w:r>
      <w:proofErr w:type="spellEnd"/>
      <w:r w:rsidR="00625D75" w:rsidRPr="00502F56">
        <w:rPr>
          <w:rFonts w:ascii="Times New Roman" w:hAnsi="Times New Roman" w:cs="Times New Roman"/>
          <w:color w:val="222222"/>
          <w:sz w:val="24"/>
          <w:szCs w:val="24"/>
          <w:shd w:val="clear" w:color="auto" w:fill="FFFFFF"/>
        </w:rPr>
        <w:t>, et al., 2023)</w:t>
      </w:r>
      <w:r w:rsidRPr="00502F56">
        <w:rPr>
          <w:rFonts w:ascii="Times New Roman" w:hAnsi="Times New Roman" w:cs="Times New Roman"/>
          <w:sz w:val="24"/>
          <w:szCs w:val="24"/>
        </w:rPr>
        <w:t>.</w:t>
      </w:r>
    </w:p>
    <w:p w14:paraId="4014BDFE"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Precision Nutrient Management (PNM):</w:t>
      </w:r>
      <w:r w:rsidRPr="00502F56">
        <w:rPr>
          <w:rFonts w:ascii="Times New Roman" w:hAnsi="Times New Roman" w:cs="Times New Roman"/>
          <w:sz w:val="24"/>
          <w:szCs w:val="24"/>
        </w:rPr>
        <w:t xml:space="preserve"> This approach stresses the site-specific application of nutrients using soil testing, nutrient omission plots, and digital decision-support tools</w:t>
      </w:r>
      <w:r w:rsidR="003A076B" w:rsidRPr="00502F56">
        <w:rPr>
          <w:rFonts w:ascii="Times New Roman" w:hAnsi="Times New Roman" w:cs="Times New Roman"/>
          <w:sz w:val="24"/>
          <w:szCs w:val="24"/>
        </w:rPr>
        <w:t xml:space="preserve"> (</w:t>
      </w:r>
      <w:r w:rsidR="003A076B" w:rsidRPr="00502F56">
        <w:rPr>
          <w:rFonts w:ascii="Times New Roman" w:hAnsi="Times New Roman" w:cs="Times New Roman"/>
          <w:color w:val="222222"/>
          <w:sz w:val="24"/>
          <w:szCs w:val="24"/>
          <w:shd w:val="clear" w:color="auto" w:fill="FFFFFF"/>
        </w:rPr>
        <w:t>Nayak,</w:t>
      </w:r>
      <w:r w:rsidR="003A076B" w:rsidRPr="00502F56">
        <w:rPr>
          <w:rFonts w:ascii="Times New Roman" w:hAnsi="Times New Roman" w:cs="Times New Roman"/>
          <w:sz w:val="24"/>
          <w:szCs w:val="24"/>
        </w:rPr>
        <w:t xml:space="preserve"> et al., 2024).</w:t>
      </w:r>
      <w:r w:rsidRPr="00502F56">
        <w:rPr>
          <w:rFonts w:ascii="Times New Roman" w:hAnsi="Times New Roman" w:cs="Times New Roman"/>
          <w:sz w:val="24"/>
          <w:szCs w:val="24"/>
        </w:rPr>
        <w:t xml:space="preserve"> By targeting fertilizer application to crop and soil needs, PNM reduces losses of nutrients, input costs, and improves efficiency. Both environmental advantage and profitability are promoted by extension programs to gain acceptance. Extension of training to farmers to apply soil test kits, fertilizer calculators, and advisory systems using mobile apps is crucial for scaling up this approach</w:t>
      </w:r>
      <w:r w:rsidR="0076446E" w:rsidRPr="00502F56">
        <w:rPr>
          <w:rFonts w:ascii="Times New Roman" w:hAnsi="Times New Roman" w:cs="Times New Roman"/>
          <w:sz w:val="24"/>
          <w:szCs w:val="24"/>
        </w:rPr>
        <w:t xml:space="preserve"> (</w:t>
      </w:r>
      <w:r w:rsidR="0076446E" w:rsidRPr="00502F56">
        <w:rPr>
          <w:rFonts w:ascii="Times New Roman" w:hAnsi="Times New Roman" w:cs="Times New Roman"/>
          <w:color w:val="222222"/>
          <w:sz w:val="24"/>
          <w:szCs w:val="24"/>
          <w:shd w:val="clear" w:color="auto" w:fill="FFFFFF"/>
        </w:rPr>
        <w:t>Kumar,</w:t>
      </w:r>
      <w:r w:rsidR="0076446E" w:rsidRPr="00502F56">
        <w:rPr>
          <w:rFonts w:ascii="Times New Roman" w:hAnsi="Times New Roman" w:cs="Times New Roman"/>
          <w:sz w:val="24"/>
          <w:szCs w:val="24"/>
        </w:rPr>
        <w:t xml:space="preserve"> et al., 2025).</w:t>
      </w:r>
    </w:p>
    <w:p w14:paraId="76C99342"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 xml:space="preserve">Organic Amendments and Biochar: </w:t>
      </w:r>
      <w:r w:rsidRPr="00502F56">
        <w:rPr>
          <w:rFonts w:ascii="Times New Roman" w:hAnsi="Times New Roman" w:cs="Times New Roman"/>
          <w:sz w:val="24"/>
          <w:szCs w:val="24"/>
        </w:rPr>
        <w:t>Organic materials like farmyard manure, compost, and biochar are extensively advocated to construct soil organic carbon, increase nutrient availability, and increase water-holding capacity</w:t>
      </w:r>
      <w:r w:rsidR="009A0D7A" w:rsidRPr="00502F56">
        <w:rPr>
          <w:rFonts w:ascii="Times New Roman" w:hAnsi="Times New Roman" w:cs="Times New Roman"/>
          <w:sz w:val="24"/>
          <w:szCs w:val="24"/>
        </w:rPr>
        <w:t xml:space="preserve"> (</w:t>
      </w:r>
      <w:r w:rsidR="009A0D7A" w:rsidRPr="00502F56">
        <w:rPr>
          <w:rFonts w:ascii="Times New Roman" w:hAnsi="Times New Roman" w:cs="Times New Roman"/>
          <w:color w:val="222222"/>
          <w:sz w:val="24"/>
          <w:szCs w:val="24"/>
          <w:shd w:val="clear" w:color="auto" w:fill="FFFFFF"/>
        </w:rPr>
        <w:t>Liu,</w:t>
      </w:r>
      <w:r w:rsidR="009A0D7A" w:rsidRPr="00502F56">
        <w:rPr>
          <w:rFonts w:ascii="Times New Roman" w:hAnsi="Times New Roman" w:cs="Times New Roman"/>
          <w:sz w:val="24"/>
          <w:szCs w:val="24"/>
        </w:rPr>
        <w:t xml:space="preserve"> et al., 2022).</w:t>
      </w:r>
      <w:r w:rsidR="00223A6E" w:rsidRPr="00502F56">
        <w:rPr>
          <w:rFonts w:ascii="Times New Roman" w:hAnsi="Times New Roman" w:cs="Times New Roman"/>
          <w:sz w:val="24"/>
          <w:szCs w:val="24"/>
        </w:rPr>
        <w:t xml:space="preserve"> </w:t>
      </w:r>
      <w:r w:rsidRPr="00502F56">
        <w:rPr>
          <w:rFonts w:ascii="Times New Roman" w:hAnsi="Times New Roman" w:cs="Times New Roman"/>
          <w:sz w:val="24"/>
          <w:szCs w:val="24"/>
        </w:rPr>
        <w:t xml:space="preserve"> Biochar, of late, has been recognized as it can sequester carbon and enhance cation exchange capacity. Though organic amendments are well known to farmers, training is essential to maximize preparation procedures, rate of application, and combination with mineral fertilizers to accomplish the intended effects</w:t>
      </w:r>
      <w:r w:rsidR="00223A6E" w:rsidRPr="00502F56">
        <w:rPr>
          <w:rFonts w:ascii="Times New Roman" w:hAnsi="Times New Roman" w:cs="Times New Roman"/>
          <w:sz w:val="24"/>
          <w:szCs w:val="24"/>
        </w:rPr>
        <w:t xml:space="preserve"> (</w:t>
      </w:r>
      <w:r w:rsidR="00223A6E" w:rsidRPr="00502F56">
        <w:rPr>
          <w:rFonts w:ascii="Times New Roman" w:hAnsi="Times New Roman" w:cs="Times New Roman"/>
          <w:color w:val="222222"/>
          <w:sz w:val="24"/>
          <w:szCs w:val="24"/>
          <w:shd w:val="clear" w:color="auto" w:fill="FFFFFF"/>
        </w:rPr>
        <w:t>Hu, et al., 2023)</w:t>
      </w:r>
      <w:r w:rsidRPr="00502F56">
        <w:rPr>
          <w:rFonts w:ascii="Times New Roman" w:hAnsi="Times New Roman" w:cs="Times New Roman"/>
          <w:sz w:val="24"/>
          <w:szCs w:val="24"/>
        </w:rPr>
        <w:t>.</w:t>
      </w:r>
    </w:p>
    <w:p w14:paraId="2E2350F3"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 xml:space="preserve">Microbial Inoculants and </w:t>
      </w:r>
      <w:proofErr w:type="spellStart"/>
      <w:r w:rsidRPr="00502F56">
        <w:rPr>
          <w:rFonts w:ascii="Times New Roman" w:hAnsi="Times New Roman" w:cs="Times New Roman"/>
          <w:b/>
          <w:sz w:val="24"/>
          <w:szCs w:val="24"/>
        </w:rPr>
        <w:t>Biostimulants</w:t>
      </w:r>
      <w:proofErr w:type="spellEnd"/>
      <w:r w:rsidRPr="00502F56">
        <w:rPr>
          <w:rFonts w:ascii="Times New Roman" w:hAnsi="Times New Roman" w:cs="Times New Roman"/>
          <w:b/>
          <w:sz w:val="24"/>
          <w:szCs w:val="24"/>
        </w:rPr>
        <w:t>:</w:t>
      </w:r>
      <w:r w:rsidRPr="00502F56">
        <w:rPr>
          <w:rFonts w:ascii="Times New Roman" w:hAnsi="Times New Roman" w:cs="Times New Roman"/>
          <w:sz w:val="24"/>
          <w:szCs w:val="24"/>
        </w:rPr>
        <w:t xml:space="preserve"> Application of useful microorganisms like rhizobia, mycorrhizal fungi, and plant growth-promoting rhizobacteria (PGPR) is a newly emerging technology that increases nutrient acquisition, soil structure, and plant stress tolerance</w:t>
      </w:r>
      <w:r w:rsidR="00A04CB5" w:rsidRPr="00502F56">
        <w:rPr>
          <w:rFonts w:ascii="Times New Roman" w:hAnsi="Times New Roman" w:cs="Times New Roman"/>
          <w:sz w:val="24"/>
          <w:szCs w:val="24"/>
        </w:rPr>
        <w:t xml:space="preserve"> (</w:t>
      </w:r>
      <w:r w:rsidR="00A04CB5" w:rsidRPr="00502F56">
        <w:rPr>
          <w:rFonts w:ascii="Times New Roman" w:hAnsi="Times New Roman" w:cs="Times New Roman"/>
          <w:color w:val="222222"/>
          <w:sz w:val="24"/>
          <w:szCs w:val="24"/>
          <w:shd w:val="clear" w:color="auto" w:fill="FFFFFF"/>
        </w:rPr>
        <w:t>Kumari,</w:t>
      </w:r>
      <w:r w:rsidR="008B1C15" w:rsidRPr="00502F56">
        <w:rPr>
          <w:rFonts w:ascii="Times New Roman" w:hAnsi="Times New Roman" w:cs="Times New Roman"/>
          <w:sz w:val="24"/>
          <w:szCs w:val="24"/>
        </w:rPr>
        <w:t xml:space="preserve"> et al., 2022).</w:t>
      </w:r>
      <w:r w:rsidRPr="00502F56">
        <w:rPr>
          <w:rFonts w:ascii="Times New Roman" w:hAnsi="Times New Roman" w:cs="Times New Roman"/>
          <w:sz w:val="24"/>
          <w:szCs w:val="24"/>
        </w:rPr>
        <w:t xml:space="preserve"> Other </w:t>
      </w:r>
      <w:proofErr w:type="spellStart"/>
      <w:r w:rsidRPr="00502F56">
        <w:rPr>
          <w:rFonts w:ascii="Times New Roman" w:hAnsi="Times New Roman" w:cs="Times New Roman"/>
          <w:sz w:val="24"/>
          <w:szCs w:val="24"/>
        </w:rPr>
        <w:t>biostimulants</w:t>
      </w:r>
      <w:proofErr w:type="spellEnd"/>
      <w:r w:rsidRPr="00502F56">
        <w:rPr>
          <w:rFonts w:ascii="Times New Roman" w:hAnsi="Times New Roman" w:cs="Times New Roman"/>
          <w:sz w:val="24"/>
          <w:szCs w:val="24"/>
        </w:rPr>
        <w:t xml:space="preserve"> like seaweed extracts and microbial consortia are also being launched to enhance soil and plant well-being. Because such inputs are new and usually unknown to farmers, extension activities emphasize proof of efficacy, proper application, and economic benefits</w:t>
      </w:r>
      <w:r w:rsidR="008B1C15" w:rsidRPr="00502F56">
        <w:rPr>
          <w:rFonts w:ascii="Times New Roman" w:hAnsi="Times New Roman" w:cs="Times New Roman"/>
          <w:sz w:val="24"/>
          <w:szCs w:val="24"/>
        </w:rPr>
        <w:t xml:space="preserve"> (</w:t>
      </w:r>
      <w:r w:rsidR="008B1C15" w:rsidRPr="00502F56">
        <w:rPr>
          <w:rFonts w:ascii="Times New Roman" w:hAnsi="Times New Roman" w:cs="Times New Roman"/>
          <w:color w:val="222222"/>
          <w:sz w:val="24"/>
          <w:szCs w:val="24"/>
          <w:shd w:val="clear" w:color="auto" w:fill="FFFFFF"/>
        </w:rPr>
        <w:t>Sible,</w:t>
      </w:r>
      <w:r w:rsidR="008B1C15" w:rsidRPr="00502F56">
        <w:rPr>
          <w:rFonts w:ascii="Times New Roman" w:hAnsi="Times New Roman" w:cs="Times New Roman"/>
          <w:sz w:val="24"/>
          <w:szCs w:val="24"/>
        </w:rPr>
        <w:t xml:space="preserve"> et al., 2025).</w:t>
      </w:r>
    </w:p>
    <w:p w14:paraId="1BE54B6D"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lastRenderedPageBreak/>
        <w:t>Cover Cropping and Green Manures:</w:t>
      </w:r>
      <w:r w:rsidRPr="00502F56">
        <w:rPr>
          <w:rFonts w:ascii="Times New Roman" w:hAnsi="Times New Roman" w:cs="Times New Roman"/>
          <w:sz w:val="24"/>
          <w:szCs w:val="24"/>
        </w:rPr>
        <w:t xml:space="preserve"> Cover crops and green manure crops are encouraged as low-input methods to fix nitrogen, control weeds, reduce erosion, and enhance organic matter input</w:t>
      </w:r>
      <w:r w:rsidR="001728AA" w:rsidRPr="00502F56">
        <w:rPr>
          <w:rFonts w:ascii="Times New Roman" w:hAnsi="Times New Roman" w:cs="Times New Roman"/>
          <w:sz w:val="24"/>
          <w:szCs w:val="24"/>
        </w:rPr>
        <w:t xml:space="preserve"> (</w:t>
      </w:r>
      <w:r w:rsidR="001728AA" w:rsidRPr="00502F56">
        <w:rPr>
          <w:rFonts w:ascii="Times New Roman" w:hAnsi="Times New Roman" w:cs="Times New Roman"/>
          <w:color w:val="222222"/>
          <w:sz w:val="24"/>
          <w:szCs w:val="24"/>
          <w:shd w:val="clear" w:color="auto" w:fill="FFFFFF"/>
        </w:rPr>
        <w:t>Stein,</w:t>
      </w:r>
      <w:r w:rsidR="001728AA" w:rsidRPr="00502F56">
        <w:rPr>
          <w:rFonts w:ascii="Times New Roman" w:hAnsi="Times New Roman" w:cs="Times New Roman"/>
          <w:sz w:val="24"/>
          <w:szCs w:val="24"/>
        </w:rPr>
        <w:t xml:space="preserve"> et al., 2023).</w:t>
      </w:r>
      <w:r w:rsidRPr="00502F56">
        <w:rPr>
          <w:rFonts w:ascii="Times New Roman" w:hAnsi="Times New Roman" w:cs="Times New Roman"/>
          <w:sz w:val="24"/>
          <w:szCs w:val="24"/>
        </w:rPr>
        <w:t xml:space="preserve"> They give several ecosystem services, though their advantages are not instant, since they may take a further season or resource designation. Training schemes consequently focus on long-term soil fertility enhancement and integration into existing cropping systems without losing food security</w:t>
      </w:r>
      <w:r w:rsidR="00286EA0" w:rsidRPr="00502F56">
        <w:rPr>
          <w:rFonts w:ascii="Times New Roman" w:hAnsi="Times New Roman" w:cs="Times New Roman"/>
          <w:sz w:val="24"/>
          <w:szCs w:val="24"/>
        </w:rPr>
        <w:t xml:space="preserve"> (</w:t>
      </w:r>
      <w:r w:rsidR="00286EA0" w:rsidRPr="00502F56">
        <w:rPr>
          <w:rFonts w:ascii="Times New Roman" w:hAnsi="Times New Roman" w:cs="Times New Roman"/>
          <w:color w:val="222222"/>
          <w:sz w:val="24"/>
          <w:szCs w:val="24"/>
          <w:shd w:val="clear" w:color="auto" w:fill="FFFFFF"/>
        </w:rPr>
        <w:t>Prajapati, et al., 2023)</w:t>
      </w:r>
      <w:r w:rsidRPr="00502F56">
        <w:rPr>
          <w:rFonts w:ascii="Times New Roman" w:hAnsi="Times New Roman" w:cs="Times New Roman"/>
          <w:sz w:val="24"/>
          <w:szCs w:val="24"/>
        </w:rPr>
        <w:t>.</w:t>
      </w:r>
    </w:p>
    <w:p w14:paraId="468B6392"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Soil Health Diagnostics and Digital Tools:</w:t>
      </w:r>
      <w:r w:rsidRPr="00502F56">
        <w:rPr>
          <w:rFonts w:ascii="Times New Roman" w:hAnsi="Times New Roman" w:cs="Times New Roman"/>
          <w:sz w:val="24"/>
          <w:szCs w:val="24"/>
        </w:rPr>
        <w:t xml:space="preserve"> Increasingly, rapid diagnostic kits, on-farm soil sensors, remote sensing information, and mobile advisory programs are employed to monitor soil fertility and inform decision-making</w:t>
      </w:r>
      <w:r w:rsidR="00C412F3" w:rsidRPr="00502F56">
        <w:rPr>
          <w:rFonts w:ascii="Times New Roman" w:hAnsi="Times New Roman" w:cs="Times New Roman"/>
          <w:sz w:val="24"/>
          <w:szCs w:val="24"/>
        </w:rPr>
        <w:t xml:space="preserve"> (</w:t>
      </w:r>
      <w:r w:rsidR="00C412F3" w:rsidRPr="00502F56">
        <w:rPr>
          <w:rFonts w:ascii="Times New Roman" w:hAnsi="Times New Roman" w:cs="Times New Roman"/>
          <w:color w:val="222222"/>
          <w:sz w:val="24"/>
          <w:szCs w:val="24"/>
          <w:shd w:val="clear" w:color="auto" w:fill="FFFFFF"/>
        </w:rPr>
        <w:t>Khanna,</w:t>
      </w:r>
      <w:r w:rsidR="00C412F3" w:rsidRPr="00502F56">
        <w:rPr>
          <w:rFonts w:ascii="Times New Roman" w:hAnsi="Times New Roman" w:cs="Times New Roman"/>
          <w:sz w:val="24"/>
          <w:szCs w:val="24"/>
        </w:rPr>
        <w:t xml:space="preserve"> et al., 2022).</w:t>
      </w:r>
      <w:r w:rsidRPr="00502F56">
        <w:rPr>
          <w:rFonts w:ascii="Times New Roman" w:hAnsi="Times New Roman" w:cs="Times New Roman"/>
          <w:sz w:val="24"/>
          <w:szCs w:val="24"/>
        </w:rPr>
        <w:t xml:space="preserve"> All these technologies provide real-time feedback and site-specific advice, enhancing resource use efficiency. Extension and training programs are crucial in educating farmers to interpret results, rely on digital advisories, and adopt recommendations into management</w:t>
      </w:r>
      <w:r w:rsidR="00183E94" w:rsidRPr="00502F56">
        <w:rPr>
          <w:rFonts w:ascii="Times New Roman" w:hAnsi="Times New Roman" w:cs="Times New Roman"/>
          <w:sz w:val="24"/>
          <w:szCs w:val="24"/>
        </w:rPr>
        <w:t xml:space="preserve"> (</w:t>
      </w:r>
      <w:r w:rsidR="00183E94" w:rsidRPr="00502F56">
        <w:rPr>
          <w:rFonts w:ascii="Times New Roman" w:hAnsi="Times New Roman" w:cs="Times New Roman"/>
          <w:color w:val="222222"/>
          <w:sz w:val="24"/>
          <w:szCs w:val="24"/>
          <w:shd w:val="clear" w:color="auto" w:fill="FFFFFF"/>
        </w:rPr>
        <w:t>Adak,</w:t>
      </w:r>
      <w:r w:rsidR="00183E94" w:rsidRPr="00502F56">
        <w:rPr>
          <w:rFonts w:ascii="Times New Roman" w:hAnsi="Times New Roman" w:cs="Times New Roman"/>
          <w:sz w:val="24"/>
          <w:szCs w:val="24"/>
        </w:rPr>
        <w:t xml:space="preserve"> et al., 2023).</w:t>
      </w:r>
    </w:p>
    <w:p w14:paraId="6C77C31C"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Integrated Soil–Water Management:</w:t>
      </w:r>
      <w:r w:rsidRPr="00502F56">
        <w:rPr>
          <w:rFonts w:ascii="Times New Roman" w:hAnsi="Times New Roman" w:cs="Times New Roman"/>
          <w:sz w:val="24"/>
          <w:szCs w:val="24"/>
        </w:rPr>
        <w:t xml:space="preserve"> Because water availability and soil health are complementary, integrated methods like mulching, contour bunding, zero-energy water harvesting, and micro-irrigation systems are extensively encouraged</w:t>
      </w:r>
      <w:r w:rsidR="00E32320" w:rsidRPr="00502F56">
        <w:rPr>
          <w:rFonts w:ascii="Times New Roman" w:hAnsi="Times New Roman" w:cs="Times New Roman"/>
          <w:sz w:val="24"/>
          <w:szCs w:val="24"/>
        </w:rPr>
        <w:t xml:space="preserve"> (</w:t>
      </w:r>
      <w:r w:rsidR="00E32320" w:rsidRPr="00502F56">
        <w:rPr>
          <w:rFonts w:ascii="Times New Roman" w:hAnsi="Times New Roman" w:cs="Times New Roman"/>
          <w:color w:val="222222"/>
          <w:sz w:val="24"/>
          <w:szCs w:val="24"/>
          <w:shd w:val="clear" w:color="auto" w:fill="FFFFFF"/>
        </w:rPr>
        <w:t>Ndegwa, et al., 2023)</w:t>
      </w:r>
      <w:r w:rsidRPr="00502F56">
        <w:rPr>
          <w:rFonts w:ascii="Times New Roman" w:hAnsi="Times New Roman" w:cs="Times New Roman"/>
          <w:sz w:val="24"/>
          <w:szCs w:val="24"/>
        </w:rPr>
        <w:t>. These interventions prevent erosion, retain soil moisture, and enhance water-use efficiency. These practices need demonstration at community or watershed level through training, as collective action improves effectiveness</w:t>
      </w:r>
      <w:r w:rsidR="00747512" w:rsidRPr="00502F56">
        <w:rPr>
          <w:rFonts w:ascii="Times New Roman" w:hAnsi="Times New Roman" w:cs="Times New Roman"/>
          <w:sz w:val="24"/>
          <w:szCs w:val="24"/>
        </w:rPr>
        <w:t xml:space="preserve"> (</w:t>
      </w:r>
      <w:r w:rsidR="00747512" w:rsidRPr="00502F56">
        <w:rPr>
          <w:rFonts w:ascii="Times New Roman" w:hAnsi="Times New Roman" w:cs="Times New Roman"/>
          <w:color w:val="222222"/>
          <w:sz w:val="24"/>
          <w:szCs w:val="24"/>
          <w:shd w:val="clear" w:color="auto" w:fill="FFFFFF"/>
        </w:rPr>
        <w:t>Oduor,</w:t>
      </w:r>
      <w:r w:rsidR="00747512" w:rsidRPr="00502F56">
        <w:rPr>
          <w:rFonts w:ascii="Times New Roman" w:hAnsi="Times New Roman" w:cs="Times New Roman"/>
          <w:sz w:val="24"/>
          <w:szCs w:val="24"/>
        </w:rPr>
        <w:t xml:space="preserve"> et al., 2023).</w:t>
      </w:r>
    </w:p>
    <w:p w14:paraId="4984F8AA"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Together, these technologies showcase the range of options open to build soils. Their adoption is contingent, though, on farmer perceptions of cost, complexity, labor involved, and duration </w:t>
      </w:r>
      <w:r w:rsidR="00E32320" w:rsidRPr="00502F56">
        <w:rPr>
          <w:rFonts w:ascii="Times New Roman" w:hAnsi="Times New Roman" w:cs="Times New Roman"/>
          <w:sz w:val="24"/>
          <w:szCs w:val="24"/>
        </w:rPr>
        <w:t xml:space="preserve">over which benefits are </w:t>
      </w:r>
      <w:proofErr w:type="spellStart"/>
      <w:r w:rsidR="00E32320" w:rsidRPr="00502F56">
        <w:rPr>
          <w:rFonts w:ascii="Times New Roman" w:hAnsi="Times New Roman" w:cs="Times New Roman"/>
          <w:sz w:val="24"/>
          <w:szCs w:val="24"/>
        </w:rPr>
        <w:t>accrued</w:t>
      </w:r>
      <w:r w:rsidRPr="00502F56">
        <w:rPr>
          <w:rFonts w:ascii="Times New Roman" w:hAnsi="Times New Roman" w:cs="Times New Roman"/>
          <w:sz w:val="24"/>
          <w:szCs w:val="24"/>
        </w:rPr>
        <w:t>conditions</w:t>
      </w:r>
      <w:proofErr w:type="spellEnd"/>
      <w:r w:rsidRPr="00502F56">
        <w:rPr>
          <w:rFonts w:ascii="Times New Roman" w:hAnsi="Times New Roman" w:cs="Times New Roman"/>
          <w:sz w:val="24"/>
          <w:szCs w:val="24"/>
        </w:rPr>
        <w:t xml:space="preserve"> that extension and training schemes must car</w:t>
      </w:r>
      <w:r w:rsidR="002011D6" w:rsidRPr="00502F56">
        <w:rPr>
          <w:rFonts w:ascii="Times New Roman" w:hAnsi="Times New Roman" w:cs="Times New Roman"/>
          <w:sz w:val="24"/>
          <w:szCs w:val="24"/>
        </w:rPr>
        <w:t>efully take into consideration.</w:t>
      </w:r>
    </w:p>
    <w:p w14:paraId="0D447664" w14:textId="77777777" w:rsidR="0004585D" w:rsidRPr="00502F56" w:rsidRDefault="0004585D"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4. Typologies and Mechanisms of Educationa</w:t>
      </w:r>
      <w:r w:rsidR="002011D6" w:rsidRPr="00502F56">
        <w:rPr>
          <w:rFonts w:ascii="Times New Roman" w:hAnsi="Times New Roman" w:cs="Times New Roman"/>
          <w:b/>
          <w:sz w:val="24"/>
          <w:szCs w:val="24"/>
        </w:rPr>
        <w:t>l and Training Program Delivery</w:t>
      </w:r>
    </w:p>
    <w:p w14:paraId="167E8BA2"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The effectiveness of soil health interventions not only relies on the technologies themselves but also on the pedagogic models by which they are brought to farmers. Successful training programs adapt pedagogy, content, and delivery mechanisms to match the nature of the technology and the soc</w:t>
      </w:r>
      <w:r w:rsidR="002011D6" w:rsidRPr="00502F56">
        <w:rPr>
          <w:rFonts w:ascii="Times New Roman" w:hAnsi="Times New Roman" w:cs="Times New Roman"/>
          <w:sz w:val="24"/>
          <w:szCs w:val="24"/>
        </w:rPr>
        <w:t>io-economic context of farmers</w:t>
      </w:r>
      <w:r w:rsidR="005956E1" w:rsidRPr="00502F56">
        <w:rPr>
          <w:rFonts w:ascii="Times New Roman" w:hAnsi="Times New Roman" w:cs="Times New Roman"/>
          <w:sz w:val="24"/>
          <w:szCs w:val="24"/>
        </w:rPr>
        <w:t xml:space="preserve"> (</w:t>
      </w:r>
      <w:proofErr w:type="spellStart"/>
      <w:r w:rsidR="005956E1" w:rsidRPr="00502F56">
        <w:rPr>
          <w:rFonts w:ascii="Times New Roman" w:hAnsi="Times New Roman" w:cs="Times New Roman"/>
          <w:color w:val="222222"/>
          <w:sz w:val="24"/>
          <w:szCs w:val="24"/>
          <w:shd w:val="clear" w:color="auto" w:fill="FFFFFF"/>
        </w:rPr>
        <w:t>Mkomwa</w:t>
      </w:r>
      <w:proofErr w:type="spellEnd"/>
      <w:r w:rsidR="005956E1" w:rsidRPr="00502F56">
        <w:rPr>
          <w:rFonts w:ascii="Times New Roman" w:hAnsi="Times New Roman" w:cs="Times New Roman"/>
          <w:color w:val="222222"/>
          <w:sz w:val="24"/>
          <w:szCs w:val="24"/>
          <w:shd w:val="clear" w:color="auto" w:fill="FFFFFF"/>
        </w:rPr>
        <w:t>, et al., 2022)</w:t>
      </w:r>
      <w:r w:rsidR="002011D6" w:rsidRPr="00502F56">
        <w:rPr>
          <w:rFonts w:ascii="Times New Roman" w:hAnsi="Times New Roman" w:cs="Times New Roman"/>
          <w:sz w:val="24"/>
          <w:szCs w:val="24"/>
        </w:rPr>
        <w:t>.</w:t>
      </w:r>
    </w:p>
    <w:p w14:paraId="0FBF8D43"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Farmer Field Schools (FFS):</w:t>
      </w:r>
      <w:r w:rsidRPr="00502F56">
        <w:rPr>
          <w:rFonts w:ascii="Times New Roman" w:hAnsi="Times New Roman" w:cs="Times New Roman"/>
          <w:sz w:val="24"/>
          <w:szCs w:val="24"/>
        </w:rPr>
        <w:t xml:space="preserve"> FFS are year-round, experiential learning systems in which farmers learn together by observing, experimenting, and analyzing agroecological phenomena</w:t>
      </w:r>
      <w:r w:rsidR="005956E1" w:rsidRPr="00502F56">
        <w:rPr>
          <w:rFonts w:ascii="Times New Roman" w:hAnsi="Times New Roman" w:cs="Times New Roman"/>
          <w:sz w:val="24"/>
          <w:szCs w:val="24"/>
        </w:rPr>
        <w:t xml:space="preserve"> (</w:t>
      </w:r>
      <w:r w:rsidR="005956E1" w:rsidRPr="00502F56">
        <w:rPr>
          <w:rFonts w:ascii="Times New Roman" w:hAnsi="Times New Roman" w:cs="Times New Roman"/>
          <w:color w:val="222222"/>
          <w:sz w:val="24"/>
          <w:szCs w:val="24"/>
          <w:shd w:val="clear" w:color="auto" w:fill="FFFFFF"/>
        </w:rPr>
        <w:t xml:space="preserve">Gichuki, et </w:t>
      </w:r>
      <w:r w:rsidR="005956E1" w:rsidRPr="00502F56">
        <w:rPr>
          <w:rFonts w:ascii="Times New Roman" w:hAnsi="Times New Roman" w:cs="Times New Roman"/>
          <w:color w:val="222222"/>
          <w:sz w:val="24"/>
          <w:szCs w:val="24"/>
          <w:shd w:val="clear" w:color="auto" w:fill="FFFFFF"/>
        </w:rPr>
        <w:lastRenderedPageBreak/>
        <w:t>al., 2023)</w:t>
      </w:r>
      <w:r w:rsidRPr="00502F56">
        <w:rPr>
          <w:rFonts w:ascii="Times New Roman" w:hAnsi="Times New Roman" w:cs="Times New Roman"/>
          <w:sz w:val="24"/>
          <w:szCs w:val="24"/>
        </w:rPr>
        <w:t>. In the case of soil-geared practices like conservation agriculture or integrated nutrient management, FFS enable farmers to observe directly soil and crop responses, which enhances adoption confidence. Through peer learning and local innovation, FFS are participatory, although they demand considerable</w:t>
      </w:r>
      <w:r w:rsidR="002011D6" w:rsidRPr="00502F56">
        <w:rPr>
          <w:rFonts w:ascii="Times New Roman" w:hAnsi="Times New Roman" w:cs="Times New Roman"/>
          <w:sz w:val="24"/>
          <w:szCs w:val="24"/>
        </w:rPr>
        <w:t xml:space="preserve"> time and resource commitments</w:t>
      </w:r>
      <w:r w:rsidR="0087718D" w:rsidRPr="00502F56">
        <w:rPr>
          <w:rFonts w:ascii="Times New Roman" w:hAnsi="Times New Roman" w:cs="Times New Roman"/>
          <w:sz w:val="24"/>
          <w:szCs w:val="24"/>
        </w:rPr>
        <w:t xml:space="preserve"> (</w:t>
      </w:r>
      <w:r w:rsidR="0087718D" w:rsidRPr="00502F56">
        <w:rPr>
          <w:rFonts w:ascii="Times New Roman" w:hAnsi="Times New Roman" w:cs="Times New Roman"/>
          <w:color w:val="222222"/>
          <w:sz w:val="24"/>
          <w:szCs w:val="24"/>
          <w:shd w:val="clear" w:color="auto" w:fill="FFFFFF"/>
        </w:rPr>
        <w:t>Red,</w:t>
      </w:r>
      <w:r w:rsidR="0087718D" w:rsidRPr="00502F56">
        <w:rPr>
          <w:rFonts w:ascii="Times New Roman" w:hAnsi="Times New Roman" w:cs="Times New Roman"/>
          <w:sz w:val="24"/>
          <w:szCs w:val="24"/>
        </w:rPr>
        <w:t xml:space="preserve"> et al., 2021).</w:t>
      </w:r>
    </w:p>
    <w:p w14:paraId="429AFAC9"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On-Farm Demonstrations and Trials:</w:t>
      </w:r>
      <w:r w:rsidRPr="00502F56">
        <w:rPr>
          <w:rFonts w:ascii="Times New Roman" w:hAnsi="Times New Roman" w:cs="Times New Roman"/>
          <w:sz w:val="24"/>
          <w:szCs w:val="24"/>
        </w:rPr>
        <w:t xml:space="preserve"> Demonstrations are tangible, real-time evidence of the performance of a technology under farmers' own conditions</w:t>
      </w:r>
      <w:r w:rsidR="008C64ED" w:rsidRPr="00502F56">
        <w:rPr>
          <w:rFonts w:ascii="Times New Roman" w:hAnsi="Times New Roman" w:cs="Times New Roman"/>
          <w:sz w:val="24"/>
          <w:szCs w:val="24"/>
        </w:rPr>
        <w:t xml:space="preserve"> (</w:t>
      </w:r>
      <w:r w:rsidR="008C64ED" w:rsidRPr="00502F56">
        <w:rPr>
          <w:rFonts w:ascii="Times New Roman" w:hAnsi="Times New Roman" w:cs="Times New Roman"/>
          <w:color w:val="222222"/>
          <w:sz w:val="24"/>
          <w:szCs w:val="24"/>
          <w:shd w:val="clear" w:color="auto" w:fill="FFFFFF"/>
        </w:rPr>
        <w:t>Sutherland, and Marchand,</w:t>
      </w:r>
      <w:r w:rsidR="008C64ED" w:rsidRPr="00502F56">
        <w:rPr>
          <w:rFonts w:ascii="Times New Roman" w:hAnsi="Times New Roman" w:cs="Times New Roman"/>
          <w:sz w:val="24"/>
          <w:szCs w:val="24"/>
        </w:rPr>
        <w:t xml:space="preserve"> et al., 2021)</w:t>
      </w:r>
      <w:r w:rsidRPr="00502F56">
        <w:rPr>
          <w:rFonts w:ascii="Times New Roman" w:hAnsi="Times New Roman" w:cs="Times New Roman"/>
          <w:sz w:val="24"/>
          <w:szCs w:val="24"/>
        </w:rPr>
        <w:t xml:space="preserve"> They are especially good at overcoming perceived risks and persuading skeptical farmers to accept new practices like biochar application or precision nutrient management. By comparing treated and untreated plots, farmers can see firsthand tangible benefits, which reinforces trust in the extension message</w:t>
      </w:r>
      <w:r w:rsidR="008C64ED" w:rsidRPr="00502F56">
        <w:rPr>
          <w:rFonts w:ascii="Times New Roman" w:hAnsi="Times New Roman" w:cs="Times New Roman"/>
          <w:sz w:val="24"/>
          <w:szCs w:val="24"/>
        </w:rPr>
        <w:t xml:space="preserve"> (</w:t>
      </w:r>
      <w:r w:rsidR="008C64ED" w:rsidRPr="00502F56">
        <w:rPr>
          <w:rFonts w:ascii="Times New Roman" w:hAnsi="Times New Roman" w:cs="Times New Roman"/>
          <w:color w:val="222222"/>
          <w:sz w:val="24"/>
          <w:szCs w:val="24"/>
          <w:shd w:val="clear" w:color="auto" w:fill="FFFFFF"/>
        </w:rPr>
        <w:t>Marchand,</w:t>
      </w:r>
      <w:r w:rsidR="00172030" w:rsidRPr="00502F56">
        <w:rPr>
          <w:rFonts w:ascii="Times New Roman" w:hAnsi="Times New Roman" w:cs="Times New Roman"/>
          <w:color w:val="222222"/>
          <w:sz w:val="24"/>
          <w:szCs w:val="24"/>
          <w:shd w:val="clear" w:color="auto" w:fill="FFFFFF"/>
        </w:rPr>
        <w:t xml:space="preserve"> et al., 2021)</w:t>
      </w:r>
      <w:r w:rsidRPr="00502F56">
        <w:rPr>
          <w:rFonts w:ascii="Times New Roman" w:hAnsi="Times New Roman" w:cs="Times New Roman"/>
          <w:sz w:val="24"/>
          <w:szCs w:val="24"/>
        </w:rPr>
        <w:t>.</w:t>
      </w:r>
    </w:p>
    <w:p w14:paraId="4E93DABE"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Short Training Workshops:</w:t>
      </w:r>
      <w:r w:rsidRPr="00502F56">
        <w:rPr>
          <w:rFonts w:ascii="Times New Roman" w:hAnsi="Times New Roman" w:cs="Times New Roman"/>
          <w:sz w:val="24"/>
          <w:szCs w:val="24"/>
        </w:rPr>
        <w:t xml:space="preserve"> Such initiatives provide formal, targeted training in precise skills like soil sampling, composting, or handling mobile-based decision-support tools. Though cost-effective and able to reach large numbers of participants rapidly, they lack the duration and repetition required to spur long-term behavior change. Therefore, they work best when supplemented by me</w:t>
      </w:r>
      <w:r w:rsidR="002011D6" w:rsidRPr="00502F56">
        <w:rPr>
          <w:rFonts w:ascii="Times New Roman" w:hAnsi="Times New Roman" w:cs="Times New Roman"/>
          <w:sz w:val="24"/>
          <w:szCs w:val="24"/>
        </w:rPr>
        <w:t>chanisms for follow-up support</w:t>
      </w:r>
      <w:r w:rsidR="00172030" w:rsidRPr="00502F56">
        <w:rPr>
          <w:rFonts w:ascii="Times New Roman" w:hAnsi="Times New Roman" w:cs="Times New Roman"/>
          <w:sz w:val="24"/>
          <w:szCs w:val="24"/>
        </w:rPr>
        <w:t xml:space="preserve"> (</w:t>
      </w:r>
      <w:proofErr w:type="spellStart"/>
      <w:r w:rsidR="00172030" w:rsidRPr="00502F56">
        <w:rPr>
          <w:rFonts w:ascii="Times New Roman" w:hAnsi="Times New Roman" w:cs="Times New Roman"/>
          <w:color w:val="222222"/>
          <w:sz w:val="24"/>
          <w:szCs w:val="24"/>
          <w:shd w:val="clear" w:color="auto" w:fill="FFFFFF"/>
        </w:rPr>
        <w:t>Kalogiannidis</w:t>
      </w:r>
      <w:proofErr w:type="spellEnd"/>
      <w:r w:rsidR="00172030" w:rsidRPr="00502F56">
        <w:rPr>
          <w:rFonts w:ascii="Times New Roman" w:hAnsi="Times New Roman" w:cs="Times New Roman"/>
          <w:color w:val="222222"/>
          <w:sz w:val="24"/>
          <w:szCs w:val="24"/>
          <w:shd w:val="clear" w:color="auto" w:fill="FFFFFF"/>
        </w:rPr>
        <w:t xml:space="preserve">, and </w:t>
      </w:r>
      <w:proofErr w:type="spellStart"/>
      <w:r w:rsidR="00172030" w:rsidRPr="00502F56">
        <w:rPr>
          <w:rFonts w:ascii="Times New Roman" w:hAnsi="Times New Roman" w:cs="Times New Roman"/>
          <w:color w:val="222222"/>
          <w:sz w:val="24"/>
          <w:szCs w:val="24"/>
          <w:shd w:val="clear" w:color="auto" w:fill="FFFFFF"/>
        </w:rPr>
        <w:t>Syndoukas</w:t>
      </w:r>
      <w:proofErr w:type="spellEnd"/>
      <w:r w:rsidR="00172030" w:rsidRPr="00502F56">
        <w:rPr>
          <w:rFonts w:ascii="Times New Roman" w:hAnsi="Times New Roman" w:cs="Times New Roman"/>
          <w:color w:val="222222"/>
          <w:sz w:val="24"/>
          <w:szCs w:val="24"/>
          <w:shd w:val="clear" w:color="auto" w:fill="FFFFFF"/>
        </w:rPr>
        <w:t>, 2024)</w:t>
      </w:r>
      <w:r w:rsidR="002011D6" w:rsidRPr="00502F56">
        <w:rPr>
          <w:rFonts w:ascii="Times New Roman" w:hAnsi="Times New Roman" w:cs="Times New Roman"/>
          <w:sz w:val="24"/>
          <w:szCs w:val="24"/>
        </w:rPr>
        <w:t>.</w:t>
      </w:r>
    </w:p>
    <w:p w14:paraId="193B902E"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Extension Home Visits and Advisory Services:</w:t>
      </w:r>
      <w:r w:rsidRPr="00502F56">
        <w:rPr>
          <w:rFonts w:ascii="Times New Roman" w:hAnsi="Times New Roman" w:cs="Times New Roman"/>
          <w:sz w:val="24"/>
          <w:szCs w:val="24"/>
        </w:rPr>
        <w:t xml:space="preserve"> Tailored advisory services enable extension agents to diagnose farm-level issues and offer solutions that are specifically tailored to a particular problem. Individualized care is particularly critical for precision-requiring technologies, like site-specific nutrient management or soil water conservation measures</w:t>
      </w:r>
      <w:r w:rsidR="00172030" w:rsidRPr="00502F56">
        <w:rPr>
          <w:rFonts w:ascii="Times New Roman" w:hAnsi="Times New Roman" w:cs="Times New Roman"/>
          <w:sz w:val="24"/>
          <w:szCs w:val="24"/>
        </w:rPr>
        <w:t xml:space="preserve"> (</w:t>
      </w:r>
      <w:r w:rsidR="00172030" w:rsidRPr="00502F56">
        <w:rPr>
          <w:rFonts w:ascii="Times New Roman" w:hAnsi="Times New Roman" w:cs="Times New Roman"/>
          <w:color w:val="222222"/>
          <w:sz w:val="24"/>
          <w:szCs w:val="24"/>
          <w:shd w:val="clear" w:color="auto" w:fill="FFFFFF"/>
        </w:rPr>
        <w:t>Davis,</w:t>
      </w:r>
      <w:r w:rsidR="00172030" w:rsidRPr="00502F56">
        <w:rPr>
          <w:rFonts w:ascii="Times New Roman" w:hAnsi="Times New Roman" w:cs="Times New Roman"/>
          <w:sz w:val="24"/>
          <w:szCs w:val="24"/>
        </w:rPr>
        <w:t xml:space="preserve"> et al., 2021). </w:t>
      </w:r>
      <w:r w:rsidRPr="00502F56">
        <w:rPr>
          <w:rFonts w:ascii="Times New Roman" w:hAnsi="Times New Roman" w:cs="Times New Roman"/>
          <w:sz w:val="24"/>
          <w:szCs w:val="24"/>
        </w:rPr>
        <w:t xml:space="preserve"> One-on-one support, though, is expensive to scale up, making complementary group and electronic approaches a need</w:t>
      </w:r>
      <w:r w:rsidR="00172030" w:rsidRPr="00502F56">
        <w:rPr>
          <w:rFonts w:ascii="Times New Roman" w:hAnsi="Times New Roman" w:cs="Times New Roman"/>
          <w:sz w:val="24"/>
          <w:szCs w:val="24"/>
        </w:rPr>
        <w:t xml:space="preserve"> (</w:t>
      </w:r>
      <w:r w:rsidR="00172030" w:rsidRPr="00502F56">
        <w:rPr>
          <w:rFonts w:ascii="Times New Roman" w:hAnsi="Times New Roman" w:cs="Times New Roman"/>
          <w:color w:val="222222"/>
          <w:sz w:val="24"/>
          <w:szCs w:val="24"/>
          <w:shd w:val="clear" w:color="auto" w:fill="FFFFFF"/>
        </w:rPr>
        <w:t>Madan, and Maredia 2021)</w:t>
      </w:r>
      <w:r w:rsidRPr="00502F56">
        <w:rPr>
          <w:rFonts w:ascii="Times New Roman" w:hAnsi="Times New Roman" w:cs="Times New Roman"/>
          <w:sz w:val="24"/>
          <w:szCs w:val="24"/>
        </w:rPr>
        <w:t>.</w:t>
      </w:r>
    </w:p>
    <w:p w14:paraId="1D16F06E" w14:textId="77777777" w:rsidR="0004585D" w:rsidRPr="00502F56" w:rsidRDefault="00172030"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 xml:space="preserve">ICT-based approaches </w:t>
      </w:r>
      <w:r w:rsidR="0004585D" w:rsidRPr="00502F56">
        <w:rPr>
          <w:rFonts w:ascii="Times New Roman" w:hAnsi="Times New Roman" w:cs="Times New Roman"/>
          <w:b/>
          <w:sz w:val="24"/>
          <w:szCs w:val="24"/>
        </w:rPr>
        <w:t>such</w:t>
      </w:r>
      <w:r w:rsidR="0098271C" w:rsidRPr="00502F56">
        <w:rPr>
          <w:rFonts w:ascii="Times New Roman" w:hAnsi="Times New Roman" w:cs="Times New Roman"/>
          <w:b/>
          <w:sz w:val="24"/>
          <w:szCs w:val="24"/>
        </w:rPr>
        <w:t xml:space="preserve"> as mobile applications:</w:t>
      </w:r>
      <w:r w:rsidR="0004585D" w:rsidRPr="00502F56">
        <w:rPr>
          <w:rFonts w:ascii="Times New Roman" w:hAnsi="Times New Roman" w:cs="Times New Roman"/>
          <w:sz w:val="24"/>
          <w:szCs w:val="24"/>
        </w:rPr>
        <w:t xml:space="preserve"> SMS alerts, video instruction, an</w:t>
      </w:r>
      <w:r w:rsidRPr="00502F56">
        <w:rPr>
          <w:rFonts w:ascii="Times New Roman" w:hAnsi="Times New Roman" w:cs="Times New Roman"/>
          <w:sz w:val="24"/>
          <w:szCs w:val="24"/>
        </w:rPr>
        <w:t xml:space="preserve">d electronic learning platforms </w:t>
      </w:r>
      <w:r w:rsidR="0004585D" w:rsidRPr="00502F56">
        <w:rPr>
          <w:rFonts w:ascii="Times New Roman" w:hAnsi="Times New Roman" w:cs="Times New Roman"/>
          <w:sz w:val="24"/>
          <w:szCs w:val="24"/>
        </w:rPr>
        <w:t>expand the coverage of extension services and sustain regular reinforcement of training messages</w:t>
      </w:r>
      <w:r w:rsidR="007A0816" w:rsidRPr="00502F56">
        <w:rPr>
          <w:rFonts w:ascii="Times New Roman" w:hAnsi="Times New Roman" w:cs="Times New Roman"/>
          <w:sz w:val="24"/>
          <w:szCs w:val="24"/>
        </w:rPr>
        <w:t xml:space="preserve"> (</w:t>
      </w:r>
      <w:r w:rsidR="007A0816" w:rsidRPr="00502F56">
        <w:rPr>
          <w:rFonts w:ascii="Times New Roman" w:hAnsi="Times New Roman" w:cs="Times New Roman"/>
          <w:color w:val="222222"/>
          <w:sz w:val="24"/>
          <w:szCs w:val="24"/>
          <w:shd w:val="clear" w:color="auto" w:fill="FFFFFF"/>
        </w:rPr>
        <w:t>Khatri,</w:t>
      </w:r>
      <w:r w:rsidR="007A0816" w:rsidRPr="00502F56">
        <w:rPr>
          <w:rFonts w:ascii="Times New Roman" w:hAnsi="Times New Roman" w:cs="Times New Roman"/>
          <w:sz w:val="24"/>
          <w:szCs w:val="24"/>
        </w:rPr>
        <w:t xml:space="preserve"> et al., 2024).</w:t>
      </w:r>
      <w:r w:rsidR="0004585D" w:rsidRPr="00502F56">
        <w:rPr>
          <w:rFonts w:ascii="Times New Roman" w:hAnsi="Times New Roman" w:cs="Times New Roman"/>
          <w:sz w:val="24"/>
          <w:szCs w:val="24"/>
        </w:rPr>
        <w:t xml:space="preserve"> Blended models that merge digital communication with face-to-face contacts are especially efficient for advanced technologies, since they facilitate both mass diffusion and customized learning</w:t>
      </w:r>
      <w:r w:rsidR="0098271C" w:rsidRPr="00502F56">
        <w:rPr>
          <w:rFonts w:ascii="Times New Roman" w:hAnsi="Times New Roman" w:cs="Times New Roman"/>
          <w:sz w:val="24"/>
          <w:szCs w:val="24"/>
        </w:rPr>
        <w:t xml:space="preserve"> (</w:t>
      </w:r>
      <w:r w:rsidR="0098271C" w:rsidRPr="00502F56">
        <w:rPr>
          <w:rFonts w:ascii="Times New Roman" w:hAnsi="Times New Roman" w:cs="Times New Roman"/>
          <w:color w:val="222222"/>
          <w:sz w:val="24"/>
          <w:szCs w:val="24"/>
          <w:shd w:val="clear" w:color="auto" w:fill="FFFFFF"/>
        </w:rPr>
        <w:t>Anteneh, and Melak 2024)</w:t>
      </w:r>
      <w:r w:rsidR="0004585D" w:rsidRPr="00502F56">
        <w:rPr>
          <w:rFonts w:ascii="Times New Roman" w:hAnsi="Times New Roman" w:cs="Times New Roman"/>
          <w:sz w:val="24"/>
          <w:szCs w:val="24"/>
        </w:rPr>
        <w:t>.</w:t>
      </w:r>
    </w:p>
    <w:p w14:paraId="14127CE3"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 xml:space="preserve">Extension Staff and Lead Farmers' Capacity Building: </w:t>
      </w:r>
      <w:r w:rsidRPr="00502F56">
        <w:rPr>
          <w:rFonts w:ascii="Times New Roman" w:hAnsi="Times New Roman" w:cs="Times New Roman"/>
          <w:sz w:val="24"/>
          <w:szCs w:val="24"/>
        </w:rPr>
        <w:t>Training extension personnel and innovative farmers through programs established multiplier impacts</w:t>
      </w:r>
      <w:r w:rsidR="00971412" w:rsidRPr="00502F56">
        <w:rPr>
          <w:rFonts w:ascii="Times New Roman" w:hAnsi="Times New Roman" w:cs="Times New Roman"/>
          <w:sz w:val="24"/>
          <w:szCs w:val="24"/>
        </w:rPr>
        <w:t xml:space="preserve"> (</w:t>
      </w:r>
      <w:r w:rsidR="00971412" w:rsidRPr="00502F56">
        <w:rPr>
          <w:rFonts w:ascii="Times New Roman" w:hAnsi="Times New Roman" w:cs="Times New Roman"/>
          <w:color w:val="222222"/>
          <w:sz w:val="24"/>
          <w:szCs w:val="24"/>
          <w:shd w:val="clear" w:color="auto" w:fill="FFFFFF"/>
        </w:rPr>
        <w:t>Abdullah,</w:t>
      </w:r>
      <w:r w:rsidR="00971412" w:rsidRPr="00502F56">
        <w:rPr>
          <w:rFonts w:ascii="Times New Roman" w:hAnsi="Times New Roman" w:cs="Times New Roman"/>
          <w:sz w:val="24"/>
          <w:szCs w:val="24"/>
        </w:rPr>
        <w:t xml:space="preserve"> et al., 2021).</w:t>
      </w:r>
      <w:r w:rsidRPr="00502F56">
        <w:rPr>
          <w:rFonts w:ascii="Times New Roman" w:hAnsi="Times New Roman" w:cs="Times New Roman"/>
          <w:sz w:val="24"/>
          <w:szCs w:val="24"/>
        </w:rPr>
        <w:t xml:space="preserve"> Local champion-trained lead farmers can share knowledge in their communities at low costs, with </w:t>
      </w:r>
      <w:r w:rsidRPr="00502F56">
        <w:rPr>
          <w:rFonts w:ascii="Times New Roman" w:hAnsi="Times New Roman" w:cs="Times New Roman"/>
          <w:sz w:val="24"/>
          <w:szCs w:val="24"/>
        </w:rPr>
        <w:lastRenderedPageBreak/>
        <w:t>enhanced scalability. Cascaded training involves risks of diluted messages and needs to be tracked and refresher courses conducted to ensure quality</w:t>
      </w:r>
      <w:r w:rsidR="00697343" w:rsidRPr="00502F56">
        <w:rPr>
          <w:rFonts w:ascii="Times New Roman" w:hAnsi="Times New Roman" w:cs="Times New Roman"/>
          <w:sz w:val="24"/>
          <w:szCs w:val="24"/>
        </w:rPr>
        <w:t xml:space="preserve"> (</w:t>
      </w:r>
      <w:r w:rsidR="00697343" w:rsidRPr="00502F56">
        <w:rPr>
          <w:rFonts w:ascii="Times New Roman" w:hAnsi="Times New Roman" w:cs="Times New Roman"/>
          <w:color w:val="222222"/>
          <w:sz w:val="24"/>
          <w:szCs w:val="24"/>
          <w:shd w:val="clear" w:color="auto" w:fill="FFFFFF"/>
        </w:rPr>
        <w:t>Ndlela, and Worth, 2023)</w:t>
      </w:r>
      <w:r w:rsidRPr="00502F56">
        <w:rPr>
          <w:rFonts w:ascii="Times New Roman" w:hAnsi="Times New Roman" w:cs="Times New Roman"/>
          <w:sz w:val="24"/>
          <w:szCs w:val="24"/>
        </w:rPr>
        <w:t>.</w:t>
      </w:r>
    </w:p>
    <w:p w14:paraId="244DCA89"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In every instance, training program design needs to be responsive to literacy levels, gender roles, labor availability, land tenure arrangements, market access, and farmers' tolerance for risk. Sensitivity to these socio-economic factors not only guarantees more adoption but more equal participation in soil health improvement initiatives as well.</w:t>
      </w:r>
    </w:p>
    <w:p w14:paraId="575FBAD7" w14:textId="77777777" w:rsidR="00B13359" w:rsidRPr="00502F56" w:rsidRDefault="001B34C3" w:rsidP="00037D50">
      <w:pPr>
        <w:pStyle w:val="Heading2"/>
        <w:spacing w:line="360" w:lineRule="auto"/>
        <w:jc w:val="both"/>
        <w:rPr>
          <w:rFonts w:ascii="Times New Roman" w:hAnsi="Times New Roman" w:cs="Times New Roman"/>
          <w:b/>
          <w:color w:val="auto"/>
          <w:sz w:val="24"/>
          <w:szCs w:val="24"/>
        </w:rPr>
      </w:pPr>
      <w:r w:rsidRPr="00502F56">
        <w:rPr>
          <w:rFonts w:ascii="Times New Roman" w:hAnsi="Times New Roman" w:cs="Times New Roman"/>
          <w:b/>
          <w:color w:val="auto"/>
          <w:sz w:val="24"/>
          <w:szCs w:val="24"/>
        </w:rPr>
        <w:t>Table-1</w:t>
      </w:r>
      <w:r w:rsidR="00B13359" w:rsidRPr="00502F56">
        <w:rPr>
          <w:rFonts w:ascii="Times New Roman" w:hAnsi="Times New Roman" w:cs="Times New Roman"/>
          <w:b/>
          <w:color w:val="auto"/>
          <w:sz w:val="24"/>
          <w:szCs w:val="24"/>
        </w:rPr>
        <w:t>. Agronomic</w:t>
      </w:r>
      <w:r w:rsidR="00B13359" w:rsidRPr="00502F56">
        <w:rPr>
          <w:rFonts w:ascii="Times New Roman" w:hAnsi="Times New Roman" w:cs="Times New Roman"/>
          <w:b/>
          <w:color w:val="auto"/>
          <w:sz w:val="24"/>
          <w:szCs w:val="24"/>
        </w:rPr>
        <w:noBreakHyphen/>
        <w:t>engineered technol</w:t>
      </w:r>
      <w:r w:rsidR="0078085A" w:rsidRPr="00502F56">
        <w:rPr>
          <w:rFonts w:ascii="Times New Roman" w:hAnsi="Times New Roman" w:cs="Times New Roman"/>
          <w:b/>
          <w:color w:val="auto"/>
          <w:sz w:val="24"/>
          <w:szCs w:val="24"/>
        </w:rPr>
        <w:t>ogies for soil health</w:t>
      </w:r>
    </w:p>
    <w:tbl>
      <w:tblPr>
        <w:tblStyle w:val="TableGrid"/>
        <w:tblW w:w="0" w:type="auto"/>
        <w:tblLook w:val="04A0" w:firstRow="1" w:lastRow="0" w:firstColumn="1" w:lastColumn="0" w:noHBand="0" w:noVBand="1"/>
      </w:tblPr>
      <w:tblGrid>
        <w:gridCol w:w="2413"/>
        <w:gridCol w:w="3466"/>
        <w:gridCol w:w="3471"/>
      </w:tblGrid>
      <w:tr w:rsidR="00CA2AE4" w:rsidRPr="00502F56" w14:paraId="573456E2" w14:textId="77777777" w:rsidTr="002011D6">
        <w:tc>
          <w:tcPr>
            <w:tcW w:w="0" w:type="auto"/>
            <w:hideMark/>
          </w:tcPr>
          <w:p w14:paraId="0E8FB87A" w14:textId="77777777" w:rsidR="00B13359" w:rsidRPr="00502F56" w:rsidRDefault="00B13359" w:rsidP="00037D50">
            <w:pPr>
              <w:spacing w:line="360" w:lineRule="auto"/>
              <w:jc w:val="both"/>
              <w:rPr>
                <w:rFonts w:ascii="Times New Roman" w:hAnsi="Times New Roman" w:cs="Times New Roman"/>
                <w:b/>
                <w:bCs/>
                <w:sz w:val="24"/>
                <w:szCs w:val="24"/>
              </w:rPr>
            </w:pPr>
            <w:r w:rsidRPr="00502F56">
              <w:rPr>
                <w:rFonts w:ascii="Times New Roman" w:hAnsi="Times New Roman" w:cs="Times New Roman"/>
                <w:b/>
                <w:bCs/>
                <w:sz w:val="24"/>
                <w:szCs w:val="24"/>
              </w:rPr>
              <w:t>Technology</w:t>
            </w:r>
          </w:p>
        </w:tc>
        <w:tc>
          <w:tcPr>
            <w:tcW w:w="0" w:type="auto"/>
            <w:hideMark/>
          </w:tcPr>
          <w:p w14:paraId="3AA4E927" w14:textId="77777777" w:rsidR="00B13359" w:rsidRPr="00502F56" w:rsidRDefault="00B13359" w:rsidP="00037D50">
            <w:pPr>
              <w:spacing w:line="360" w:lineRule="auto"/>
              <w:jc w:val="both"/>
              <w:rPr>
                <w:rFonts w:ascii="Times New Roman" w:hAnsi="Times New Roman" w:cs="Times New Roman"/>
                <w:b/>
                <w:bCs/>
                <w:sz w:val="24"/>
                <w:szCs w:val="24"/>
              </w:rPr>
            </w:pPr>
            <w:r w:rsidRPr="00502F56">
              <w:rPr>
                <w:rFonts w:ascii="Times New Roman" w:hAnsi="Times New Roman" w:cs="Times New Roman"/>
                <w:b/>
                <w:bCs/>
                <w:sz w:val="24"/>
                <w:szCs w:val="24"/>
              </w:rPr>
              <w:t>Purpose/Function</w:t>
            </w:r>
          </w:p>
        </w:tc>
        <w:tc>
          <w:tcPr>
            <w:tcW w:w="0" w:type="auto"/>
            <w:hideMark/>
          </w:tcPr>
          <w:p w14:paraId="639145EC" w14:textId="77777777" w:rsidR="00B13359" w:rsidRPr="00502F56" w:rsidRDefault="00B13359" w:rsidP="00037D50">
            <w:pPr>
              <w:spacing w:line="360" w:lineRule="auto"/>
              <w:jc w:val="both"/>
              <w:rPr>
                <w:rFonts w:ascii="Times New Roman" w:hAnsi="Times New Roman" w:cs="Times New Roman"/>
                <w:b/>
                <w:bCs/>
                <w:sz w:val="24"/>
                <w:szCs w:val="24"/>
              </w:rPr>
            </w:pPr>
            <w:r w:rsidRPr="00502F56">
              <w:rPr>
                <w:rFonts w:ascii="Times New Roman" w:hAnsi="Times New Roman" w:cs="Times New Roman"/>
                <w:b/>
                <w:bCs/>
                <w:sz w:val="24"/>
                <w:szCs w:val="24"/>
              </w:rPr>
              <w:t>Examples</w:t>
            </w:r>
          </w:p>
        </w:tc>
      </w:tr>
      <w:tr w:rsidR="00CA2AE4" w:rsidRPr="00502F56" w14:paraId="7117632F" w14:textId="77777777" w:rsidTr="002011D6">
        <w:tc>
          <w:tcPr>
            <w:tcW w:w="0" w:type="auto"/>
            <w:hideMark/>
          </w:tcPr>
          <w:p w14:paraId="0DF60860"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Conservation Agriculture (CA)</w:t>
            </w:r>
          </w:p>
        </w:tc>
        <w:tc>
          <w:tcPr>
            <w:tcW w:w="0" w:type="auto"/>
            <w:hideMark/>
          </w:tcPr>
          <w:p w14:paraId="32AC1069"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Improve soil structure, organic matter, water retention</w:t>
            </w:r>
          </w:p>
        </w:tc>
        <w:tc>
          <w:tcPr>
            <w:tcW w:w="0" w:type="auto"/>
            <w:hideMark/>
          </w:tcPr>
          <w:p w14:paraId="0DFE5534"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Reduced/no-tillage, residue retention, crop rotation/cover cropping</w:t>
            </w:r>
          </w:p>
        </w:tc>
      </w:tr>
      <w:tr w:rsidR="00CA2AE4" w:rsidRPr="00502F56" w14:paraId="06D94E27" w14:textId="77777777" w:rsidTr="002011D6">
        <w:tc>
          <w:tcPr>
            <w:tcW w:w="0" w:type="auto"/>
            <w:hideMark/>
          </w:tcPr>
          <w:p w14:paraId="2945043A"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Precision Nutrient Management (PNM)</w:t>
            </w:r>
          </w:p>
        </w:tc>
        <w:tc>
          <w:tcPr>
            <w:tcW w:w="0" w:type="auto"/>
            <w:hideMark/>
          </w:tcPr>
          <w:p w14:paraId="57BFEC2D"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Apply nutrients efficiently</w:t>
            </w:r>
          </w:p>
        </w:tc>
        <w:tc>
          <w:tcPr>
            <w:tcW w:w="0" w:type="auto"/>
            <w:hideMark/>
          </w:tcPr>
          <w:p w14:paraId="78D462A5"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Site-specific fertilization, nutrient omission trials, decision-support apps</w:t>
            </w:r>
          </w:p>
        </w:tc>
      </w:tr>
      <w:tr w:rsidR="00CA2AE4" w:rsidRPr="00502F56" w14:paraId="28C5E697" w14:textId="77777777" w:rsidTr="002011D6">
        <w:tc>
          <w:tcPr>
            <w:tcW w:w="0" w:type="auto"/>
            <w:hideMark/>
          </w:tcPr>
          <w:p w14:paraId="5997EB88"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Organic Amendments &amp; Biochar</w:t>
            </w:r>
          </w:p>
        </w:tc>
        <w:tc>
          <w:tcPr>
            <w:tcW w:w="0" w:type="auto"/>
            <w:hideMark/>
          </w:tcPr>
          <w:p w14:paraId="3433B78B"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Enhance soil carbon, nutrient retention</w:t>
            </w:r>
          </w:p>
        </w:tc>
        <w:tc>
          <w:tcPr>
            <w:tcW w:w="0" w:type="auto"/>
            <w:hideMark/>
          </w:tcPr>
          <w:p w14:paraId="3F1521FE"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Compost, manure, biochar applications</w:t>
            </w:r>
          </w:p>
        </w:tc>
      </w:tr>
      <w:tr w:rsidR="00CA2AE4" w:rsidRPr="00502F56" w14:paraId="059CC4DF" w14:textId="77777777" w:rsidTr="002011D6">
        <w:tc>
          <w:tcPr>
            <w:tcW w:w="0" w:type="auto"/>
            <w:hideMark/>
          </w:tcPr>
          <w:p w14:paraId="4B2BF61D"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Microbial Inoculants &amp; </w:t>
            </w:r>
            <w:proofErr w:type="spellStart"/>
            <w:r w:rsidRPr="00502F56">
              <w:rPr>
                <w:rFonts w:ascii="Times New Roman" w:hAnsi="Times New Roman" w:cs="Times New Roman"/>
                <w:sz w:val="24"/>
                <w:szCs w:val="24"/>
              </w:rPr>
              <w:t>Biostimulants</w:t>
            </w:r>
            <w:proofErr w:type="spellEnd"/>
          </w:p>
        </w:tc>
        <w:tc>
          <w:tcPr>
            <w:tcW w:w="0" w:type="auto"/>
            <w:hideMark/>
          </w:tcPr>
          <w:p w14:paraId="708D8668"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Promote nutrient acquisition, aggregation, disease suppression</w:t>
            </w:r>
          </w:p>
        </w:tc>
        <w:tc>
          <w:tcPr>
            <w:tcW w:w="0" w:type="auto"/>
            <w:hideMark/>
          </w:tcPr>
          <w:p w14:paraId="006A35C0"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Rhizobia, mycorrhizae, PGPRs</w:t>
            </w:r>
          </w:p>
        </w:tc>
      </w:tr>
      <w:tr w:rsidR="00CA2AE4" w:rsidRPr="00502F56" w14:paraId="5E022201" w14:textId="77777777" w:rsidTr="002011D6">
        <w:tc>
          <w:tcPr>
            <w:tcW w:w="0" w:type="auto"/>
            <w:hideMark/>
          </w:tcPr>
          <w:p w14:paraId="6A394260"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Cover Cropping &amp; Green Manures</w:t>
            </w:r>
          </w:p>
        </w:tc>
        <w:tc>
          <w:tcPr>
            <w:tcW w:w="0" w:type="auto"/>
            <w:hideMark/>
          </w:tcPr>
          <w:p w14:paraId="31B45E63"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Fix nitrogen, reduce erosion, increase biomass</w:t>
            </w:r>
          </w:p>
        </w:tc>
        <w:tc>
          <w:tcPr>
            <w:tcW w:w="0" w:type="auto"/>
            <w:hideMark/>
          </w:tcPr>
          <w:p w14:paraId="6F95B9B4"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Legume cover crops, green manure crops</w:t>
            </w:r>
          </w:p>
        </w:tc>
      </w:tr>
      <w:tr w:rsidR="00CA2AE4" w:rsidRPr="00502F56" w14:paraId="499A7B01" w14:textId="77777777" w:rsidTr="002011D6">
        <w:tc>
          <w:tcPr>
            <w:tcW w:w="0" w:type="auto"/>
            <w:hideMark/>
          </w:tcPr>
          <w:p w14:paraId="12DF64B2"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Soil Health Diagnostics &amp; Digital Tools</w:t>
            </w:r>
          </w:p>
        </w:tc>
        <w:tc>
          <w:tcPr>
            <w:tcW w:w="0" w:type="auto"/>
            <w:hideMark/>
          </w:tcPr>
          <w:p w14:paraId="1F26BC76"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Rapid monitoring, advisory support</w:t>
            </w:r>
          </w:p>
        </w:tc>
        <w:tc>
          <w:tcPr>
            <w:tcW w:w="0" w:type="auto"/>
            <w:hideMark/>
          </w:tcPr>
          <w:p w14:paraId="2C18AC65"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Mobile apps, sensors, satellite data</w:t>
            </w:r>
          </w:p>
        </w:tc>
      </w:tr>
      <w:tr w:rsidR="00CA2AE4" w:rsidRPr="00502F56" w14:paraId="4DAB30FB" w14:textId="77777777" w:rsidTr="002011D6">
        <w:tc>
          <w:tcPr>
            <w:tcW w:w="0" w:type="auto"/>
            <w:hideMark/>
          </w:tcPr>
          <w:p w14:paraId="466DA6CF"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Integrated Soil–Water Management</w:t>
            </w:r>
          </w:p>
        </w:tc>
        <w:tc>
          <w:tcPr>
            <w:tcW w:w="0" w:type="auto"/>
            <w:hideMark/>
          </w:tcPr>
          <w:p w14:paraId="77A53E0B"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Conserve moisture, prevent degradation</w:t>
            </w:r>
          </w:p>
        </w:tc>
        <w:tc>
          <w:tcPr>
            <w:tcW w:w="0" w:type="auto"/>
            <w:hideMark/>
          </w:tcPr>
          <w:p w14:paraId="194A2CF3"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Mulching, contouring, micro-irrigation</w:t>
            </w:r>
          </w:p>
        </w:tc>
      </w:tr>
    </w:tbl>
    <w:p w14:paraId="3B82EAB2" w14:textId="77777777" w:rsidR="004845EA" w:rsidRPr="00502F56" w:rsidRDefault="004845EA" w:rsidP="00037D50">
      <w:pPr>
        <w:spacing w:line="360" w:lineRule="auto"/>
        <w:jc w:val="both"/>
        <w:rPr>
          <w:rFonts w:ascii="Times New Roman" w:hAnsi="Times New Roman" w:cs="Times New Roman"/>
          <w:sz w:val="24"/>
          <w:szCs w:val="24"/>
        </w:rPr>
      </w:pPr>
    </w:p>
    <w:p w14:paraId="28727C84" w14:textId="77777777" w:rsidR="004845EA" w:rsidRPr="00502F56" w:rsidRDefault="001B34C3" w:rsidP="00037D50">
      <w:pPr>
        <w:pStyle w:val="Heading2"/>
        <w:spacing w:line="360" w:lineRule="auto"/>
        <w:jc w:val="both"/>
        <w:rPr>
          <w:rFonts w:ascii="Times New Roman" w:hAnsi="Times New Roman" w:cs="Times New Roman"/>
          <w:b/>
          <w:color w:val="auto"/>
          <w:sz w:val="24"/>
          <w:szCs w:val="24"/>
        </w:rPr>
      </w:pPr>
      <w:r w:rsidRPr="00502F56">
        <w:rPr>
          <w:rFonts w:ascii="Times New Roman" w:hAnsi="Times New Roman" w:cs="Times New Roman"/>
          <w:b/>
          <w:color w:val="auto"/>
          <w:sz w:val="24"/>
          <w:szCs w:val="24"/>
        </w:rPr>
        <w:t>Table-2</w:t>
      </w:r>
      <w:r w:rsidR="004845EA" w:rsidRPr="00502F56">
        <w:rPr>
          <w:rFonts w:ascii="Times New Roman" w:hAnsi="Times New Roman" w:cs="Times New Roman"/>
          <w:b/>
          <w:color w:val="auto"/>
          <w:sz w:val="24"/>
          <w:szCs w:val="24"/>
        </w:rPr>
        <w:t>. Educational &amp; training program typologies and delivery mechanisms</w:t>
      </w:r>
    </w:p>
    <w:tbl>
      <w:tblPr>
        <w:tblStyle w:val="TableGrid"/>
        <w:tblW w:w="0" w:type="auto"/>
        <w:tblLook w:val="04A0" w:firstRow="1" w:lastRow="0" w:firstColumn="1" w:lastColumn="0" w:noHBand="0" w:noVBand="1"/>
      </w:tblPr>
      <w:tblGrid>
        <w:gridCol w:w="2199"/>
        <w:gridCol w:w="1846"/>
        <w:gridCol w:w="2673"/>
        <w:gridCol w:w="2632"/>
      </w:tblGrid>
      <w:tr w:rsidR="00CA2AE4" w:rsidRPr="00502F56" w14:paraId="34673F67" w14:textId="77777777" w:rsidTr="004137C8">
        <w:tc>
          <w:tcPr>
            <w:tcW w:w="0" w:type="auto"/>
            <w:hideMark/>
          </w:tcPr>
          <w:p w14:paraId="4B1FA33A"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Program Type</w:t>
            </w:r>
          </w:p>
        </w:tc>
        <w:tc>
          <w:tcPr>
            <w:tcW w:w="0" w:type="auto"/>
            <w:hideMark/>
          </w:tcPr>
          <w:p w14:paraId="17C5C8A8"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Modality</w:t>
            </w:r>
          </w:p>
        </w:tc>
        <w:tc>
          <w:tcPr>
            <w:tcW w:w="0" w:type="auto"/>
            <w:hideMark/>
          </w:tcPr>
          <w:p w14:paraId="19AF8DAE"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Strengths</w:t>
            </w:r>
          </w:p>
        </w:tc>
        <w:tc>
          <w:tcPr>
            <w:tcW w:w="0" w:type="auto"/>
            <w:hideMark/>
          </w:tcPr>
          <w:p w14:paraId="7EDB0BF9"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Limitations</w:t>
            </w:r>
          </w:p>
        </w:tc>
      </w:tr>
      <w:tr w:rsidR="00CA2AE4" w:rsidRPr="00502F56" w14:paraId="587EB349" w14:textId="77777777" w:rsidTr="004137C8">
        <w:tc>
          <w:tcPr>
            <w:tcW w:w="0" w:type="auto"/>
            <w:hideMark/>
          </w:tcPr>
          <w:p w14:paraId="77F81447"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lastRenderedPageBreak/>
              <w:t>Farmer Field Schools (FFS)</w:t>
            </w:r>
          </w:p>
        </w:tc>
        <w:tc>
          <w:tcPr>
            <w:tcW w:w="0" w:type="auto"/>
            <w:hideMark/>
          </w:tcPr>
          <w:p w14:paraId="032EDB09"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Experiential, season-long</w:t>
            </w:r>
          </w:p>
        </w:tc>
        <w:tc>
          <w:tcPr>
            <w:tcW w:w="0" w:type="auto"/>
            <w:hideMark/>
          </w:tcPr>
          <w:p w14:paraId="3795A9D5"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Effective for complex practices, peer learning</w:t>
            </w:r>
          </w:p>
        </w:tc>
        <w:tc>
          <w:tcPr>
            <w:tcW w:w="0" w:type="auto"/>
            <w:hideMark/>
          </w:tcPr>
          <w:p w14:paraId="03A127C0"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Time-intensive, requires skilled facilitators</w:t>
            </w:r>
          </w:p>
        </w:tc>
      </w:tr>
      <w:tr w:rsidR="00CA2AE4" w:rsidRPr="00502F56" w14:paraId="7CEB1EE4" w14:textId="77777777" w:rsidTr="004137C8">
        <w:tc>
          <w:tcPr>
            <w:tcW w:w="0" w:type="auto"/>
            <w:hideMark/>
          </w:tcPr>
          <w:p w14:paraId="0FB0DCC0"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On-farm Demonstrations</w:t>
            </w:r>
          </w:p>
        </w:tc>
        <w:tc>
          <w:tcPr>
            <w:tcW w:w="0" w:type="auto"/>
            <w:hideMark/>
          </w:tcPr>
          <w:p w14:paraId="0F117471"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Visual plots</w:t>
            </w:r>
          </w:p>
        </w:tc>
        <w:tc>
          <w:tcPr>
            <w:tcW w:w="0" w:type="auto"/>
            <w:hideMark/>
          </w:tcPr>
          <w:p w14:paraId="2BACB97E"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Reduces perceived risk, builds trust</w:t>
            </w:r>
          </w:p>
        </w:tc>
        <w:tc>
          <w:tcPr>
            <w:tcW w:w="0" w:type="auto"/>
            <w:hideMark/>
          </w:tcPr>
          <w:p w14:paraId="1C54D138"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Limited reach, context-specific</w:t>
            </w:r>
          </w:p>
        </w:tc>
      </w:tr>
      <w:tr w:rsidR="00CA2AE4" w:rsidRPr="00502F56" w14:paraId="24D13745" w14:textId="77777777" w:rsidTr="004137C8">
        <w:tc>
          <w:tcPr>
            <w:tcW w:w="0" w:type="auto"/>
            <w:hideMark/>
          </w:tcPr>
          <w:p w14:paraId="630D10F4"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Short Workshops</w:t>
            </w:r>
          </w:p>
        </w:tc>
        <w:tc>
          <w:tcPr>
            <w:tcW w:w="0" w:type="auto"/>
            <w:hideMark/>
          </w:tcPr>
          <w:p w14:paraId="075051DC"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Classroom or hands-on</w:t>
            </w:r>
          </w:p>
        </w:tc>
        <w:tc>
          <w:tcPr>
            <w:tcW w:w="0" w:type="auto"/>
            <w:hideMark/>
          </w:tcPr>
          <w:p w14:paraId="2F612A02"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Cost-efficient, targeted skills</w:t>
            </w:r>
          </w:p>
        </w:tc>
        <w:tc>
          <w:tcPr>
            <w:tcW w:w="0" w:type="auto"/>
            <w:hideMark/>
          </w:tcPr>
          <w:p w14:paraId="3D955456"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Limited behavior change, short duration</w:t>
            </w:r>
          </w:p>
        </w:tc>
      </w:tr>
      <w:tr w:rsidR="00CA2AE4" w:rsidRPr="00502F56" w14:paraId="23D264B4" w14:textId="77777777" w:rsidTr="004137C8">
        <w:tc>
          <w:tcPr>
            <w:tcW w:w="0" w:type="auto"/>
            <w:hideMark/>
          </w:tcPr>
          <w:p w14:paraId="0942053F"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Advisory/Home Visits</w:t>
            </w:r>
          </w:p>
        </w:tc>
        <w:tc>
          <w:tcPr>
            <w:tcW w:w="0" w:type="auto"/>
            <w:hideMark/>
          </w:tcPr>
          <w:p w14:paraId="44CFF7AF"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Personalized support</w:t>
            </w:r>
          </w:p>
        </w:tc>
        <w:tc>
          <w:tcPr>
            <w:tcW w:w="0" w:type="auto"/>
            <w:hideMark/>
          </w:tcPr>
          <w:p w14:paraId="795DDE72"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Tailored guidance, troubleshooting</w:t>
            </w:r>
          </w:p>
        </w:tc>
        <w:tc>
          <w:tcPr>
            <w:tcW w:w="0" w:type="auto"/>
            <w:hideMark/>
          </w:tcPr>
          <w:p w14:paraId="212BAE82"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Resource-intensive, limited coverage</w:t>
            </w:r>
          </w:p>
        </w:tc>
      </w:tr>
      <w:tr w:rsidR="00CA2AE4" w:rsidRPr="00502F56" w14:paraId="2F6F5FA6" w14:textId="77777777" w:rsidTr="004137C8">
        <w:tc>
          <w:tcPr>
            <w:tcW w:w="0" w:type="auto"/>
            <w:hideMark/>
          </w:tcPr>
          <w:p w14:paraId="596E1F10"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Digital/Blended Learning</w:t>
            </w:r>
          </w:p>
        </w:tc>
        <w:tc>
          <w:tcPr>
            <w:tcW w:w="0" w:type="auto"/>
            <w:hideMark/>
          </w:tcPr>
          <w:p w14:paraId="70AA8233"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Apps, SMS, videos</w:t>
            </w:r>
          </w:p>
        </w:tc>
        <w:tc>
          <w:tcPr>
            <w:tcW w:w="0" w:type="auto"/>
            <w:hideMark/>
          </w:tcPr>
          <w:p w14:paraId="5851D31D"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Scalable, real-time updates</w:t>
            </w:r>
          </w:p>
        </w:tc>
        <w:tc>
          <w:tcPr>
            <w:tcW w:w="0" w:type="auto"/>
            <w:hideMark/>
          </w:tcPr>
          <w:p w14:paraId="561CF1A6"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Needs literacy, tech access, less hands-on experience</w:t>
            </w:r>
          </w:p>
        </w:tc>
      </w:tr>
      <w:tr w:rsidR="00CA2AE4" w:rsidRPr="00502F56" w14:paraId="3A6574AA" w14:textId="77777777" w:rsidTr="004137C8">
        <w:tc>
          <w:tcPr>
            <w:tcW w:w="0" w:type="auto"/>
            <w:hideMark/>
          </w:tcPr>
          <w:p w14:paraId="5EB51DD2"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Capacity Building of Trainers</w:t>
            </w:r>
          </w:p>
        </w:tc>
        <w:tc>
          <w:tcPr>
            <w:tcW w:w="0" w:type="auto"/>
            <w:hideMark/>
          </w:tcPr>
          <w:p w14:paraId="6545FC2B"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Train-the-trainer</w:t>
            </w:r>
          </w:p>
        </w:tc>
        <w:tc>
          <w:tcPr>
            <w:tcW w:w="0" w:type="auto"/>
            <w:hideMark/>
          </w:tcPr>
          <w:p w14:paraId="48E7F9A1"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Multiplier effect</w:t>
            </w:r>
          </w:p>
        </w:tc>
        <w:tc>
          <w:tcPr>
            <w:tcW w:w="0" w:type="auto"/>
            <w:hideMark/>
          </w:tcPr>
          <w:p w14:paraId="06606092"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Quality dilution risk, monitoring needed</w:t>
            </w:r>
          </w:p>
        </w:tc>
      </w:tr>
    </w:tbl>
    <w:p w14:paraId="61397D5D" w14:textId="77777777" w:rsidR="00697343" w:rsidRPr="00502F56" w:rsidRDefault="00697343" w:rsidP="00037D50">
      <w:pPr>
        <w:spacing w:line="360" w:lineRule="auto"/>
        <w:jc w:val="both"/>
        <w:rPr>
          <w:rFonts w:ascii="Times New Roman" w:hAnsi="Times New Roman" w:cs="Times New Roman"/>
          <w:b/>
          <w:sz w:val="24"/>
          <w:szCs w:val="24"/>
        </w:rPr>
      </w:pPr>
    </w:p>
    <w:p w14:paraId="758B504B" w14:textId="77777777" w:rsidR="00E15DAE" w:rsidRPr="00502F56" w:rsidRDefault="00E15DAE"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 xml:space="preserve">5. Measuring </w:t>
      </w:r>
      <w:r w:rsidR="004137C8" w:rsidRPr="00502F56">
        <w:rPr>
          <w:rFonts w:ascii="Times New Roman" w:hAnsi="Times New Roman" w:cs="Times New Roman"/>
          <w:b/>
          <w:sz w:val="24"/>
          <w:szCs w:val="24"/>
        </w:rPr>
        <w:t>Impact: Outcomes and Indicators</w:t>
      </w:r>
    </w:p>
    <w:p w14:paraId="7C944295"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Estimating the effects of training and education programs on soil health technologies involves looking beyond basic indicators like the number of people trained or meetings held</w:t>
      </w:r>
      <w:r w:rsidR="00862D54" w:rsidRPr="00502F56">
        <w:rPr>
          <w:rFonts w:ascii="Times New Roman" w:hAnsi="Times New Roman" w:cs="Times New Roman"/>
          <w:sz w:val="24"/>
          <w:szCs w:val="24"/>
        </w:rPr>
        <w:t xml:space="preserve"> (</w:t>
      </w:r>
      <w:r w:rsidR="00862D54" w:rsidRPr="00502F56">
        <w:rPr>
          <w:rFonts w:ascii="Times New Roman" w:hAnsi="Times New Roman" w:cs="Times New Roman"/>
          <w:color w:val="222222"/>
          <w:sz w:val="24"/>
          <w:szCs w:val="24"/>
          <w:shd w:val="clear" w:color="auto" w:fill="FFFFFF"/>
        </w:rPr>
        <w:t>Belcher, et al., 2024)</w:t>
      </w:r>
      <w:r w:rsidRPr="00502F56">
        <w:rPr>
          <w:rFonts w:ascii="Times New Roman" w:hAnsi="Times New Roman" w:cs="Times New Roman"/>
          <w:sz w:val="24"/>
          <w:szCs w:val="24"/>
        </w:rPr>
        <w:t>. Such measures inform one about the basic distribution of a program, yet they do not show whether interventions have triggered effective and sustained change. A stronger method takes into account multiple levels of outcomes, from immediate cognitive gains to long-term soc</w:t>
      </w:r>
      <w:r w:rsidR="004137C8" w:rsidRPr="00502F56">
        <w:rPr>
          <w:rFonts w:ascii="Times New Roman" w:hAnsi="Times New Roman" w:cs="Times New Roman"/>
          <w:sz w:val="24"/>
          <w:szCs w:val="24"/>
        </w:rPr>
        <w:t>ial and environmental benefits</w:t>
      </w:r>
      <w:r w:rsidR="005C49A8" w:rsidRPr="00502F56">
        <w:rPr>
          <w:rFonts w:ascii="Times New Roman" w:hAnsi="Times New Roman" w:cs="Times New Roman"/>
          <w:sz w:val="24"/>
          <w:szCs w:val="24"/>
        </w:rPr>
        <w:t xml:space="preserve"> (</w:t>
      </w:r>
      <w:r w:rsidR="005C49A8" w:rsidRPr="00502F56">
        <w:rPr>
          <w:rFonts w:ascii="Times New Roman" w:hAnsi="Times New Roman" w:cs="Times New Roman"/>
          <w:color w:val="222222"/>
          <w:sz w:val="24"/>
          <w:szCs w:val="24"/>
          <w:shd w:val="clear" w:color="auto" w:fill="FFFFFF"/>
        </w:rPr>
        <w:t>Araujo et al., 2023)</w:t>
      </w:r>
      <w:r w:rsidR="004137C8" w:rsidRPr="00502F56">
        <w:rPr>
          <w:rFonts w:ascii="Times New Roman" w:hAnsi="Times New Roman" w:cs="Times New Roman"/>
          <w:sz w:val="24"/>
          <w:szCs w:val="24"/>
        </w:rPr>
        <w:t>.</w:t>
      </w:r>
    </w:p>
    <w:p w14:paraId="5ECB395A"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Learning and Capacity (Immediate Outcomes):</w:t>
      </w:r>
      <w:r w:rsidRPr="00502F56">
        <w:rPr>
          <w:rFonts w:ascii="Times New Roman" w:hAnsi="Times New Roman" w:cs="Times New Roman"/>
          <w:sz w:val="24"/>
          <w:szCs w:val="24"/>
        </w:rPr>
        <w:t xml:space="preserve"> Extension and training activities at the most immediate level seek to increase farmers' knowledge, skills, and self-confidence</w:t>
      </w:r>
      <w:r w:rsidR="005C49A8" w:rsidRPr="00502F56">
        <w:rPr>
          <w:rFonts w:ascii="Times New Roman" w:hAnsi="Times New Roman" w:cs="Times New Roman"/>
          <w:sz w:val="24"/>
          <w:szCs w:val="24"/>
        </w:rPr>
        <w:t xml:space="preserve"> (</w:t>
      </w:r>
      <w:proofErr w:type="spellStart"/>
      <w:r w:rsidR="005C49A8" w:rsidRPr="00502F56">
        <w:rPr>
          <w:rFonts w:ascii="Times New Roman" w:hAnsi="Times New Roman" w:cs="Times New Roman"/>
          <w:color w:val="222222"/>
          <w:sz w:val="24"/>
          <w:szCs w:val="24"/>
          <w:shd w:val="clear" w:color="auto" w:fill="FFFFFF"/>
        </w:rPr>
        <w:t>Ajogbeje</w:t>
      </w:r>
      <w:proofErr w:type="spellEnd"/>
      <w:r w:rsidR="005C49A8" w:rsidRPr="00502F56">
        <w:rPr>
          <w:rFonts w:ascii="Times New Roman" w:hAnsi="Times New Roman" w:cs="Times New Roman"/>
          <w:color w:val="222222"/>
          <w:sz w:val="24"/>
          <w:szCs w:val="24"/>
          <w:shd w:val="clear" w:color="auto" w:fill="FFFFFF"/>
        </w:rPr>
        <w:t>, et al., 2023)</w:t>
      </w:r>
      <w:r w:rsidRPr="00502F56">
        <w:rPr>
          <w:rFonts w:ascii="Times New Roman" w:hAnsi="Times New Roman" w:cs="Times New Roman"/>
          <w:sz w:val="24"/>
          <w:szCs w:val="24"/>
        </w:rPr>
        <w:t>. These can be ascertained through formal knowledge tests, on-job skill assessment, and self-reported confidence or self-efficacy measures. For instance, a training session on soil testing can be assessed by testing if the participants are able to properly coll</w:t>
      </w:r>
      <w:r w:rsidR="004137C8" w:rsidRPr="00502F56">
        <w:rPr>
          <w:rFonts w:ascii="Times New Roman" w:hAnsi="Times New Roman" w:cs="Times New Roman"/>
          <w:sz w:val="24"/>
          <w:szCs w:val="24"/>
        </w:rPr>
        <w:t>ect and interpret soil samples</w:t>
      </w:r>
      <w:r w:rsidR="005C49A8" w:rsidRPr="00502F56">
        <w:rPr>
          <w:rFonts w:ascii="Times New Roman" w:hAnsi="Times New Roman" w:cs="Times New Roman"/>
          <w:sz w:val="24"/>
          <w:szCs w:val="24"/>
        </w:rPr>
        <w:t xml:space="preserve"> (</w:t>
      </w:r>
      <w:r w:rsidR="005C49A8" w:rsidRPr="00502F56">
        <w:rPr>
          <w:rFonts w:ascii="Times New Roman" w:hAnsi="Times New Roman" w:cs="Times New Roman"/>
          <w:color w:val="222222"/>
          <w:sz w:val="24"/>
          <w:szCs w:val="24"/>
          <w:shd w:val="clear" w:color="auto" w:fill="FFFFFF"/>
        </w:rPr>
        <w:t>Hazelton, and Murphy 2025)</w:t>
      </w:r>
      <w:r w:rsidR="004137C8" w:rsidRPr="00502F56">
        <w:rPr>
          <w:rFonts w:ascii="Times New Roman" w:hAnsi="Times New Roman" w:cs="Times New Roman"/>
          <w:sz w:val="24"/>
          <w:szCs w:val="24"/>
        </w:rPr>
        <w:t>.</w:t>
      </w:r>
    </w:p>
    <w:p w14:paraId="356408D6"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Intermediate Outcomes of Behavioral Adoption:</w:t>
      </w:r>
      <w:r w:rsidRPr="00502F56">
        <w:rPr>
          <w:rFonts w:ascii="Times New Roman" w:hAnsi="Times New Roman" w:cs="Times New Roman"/>
          <w:sz w:val="24"/>
          <w:szCs w:val="24"/>
        </w:rPr>
        <w:t xml:space="preserve"> The second level of assessment is whether or not farmers incorporate suggested practices in their farms. Examples of indicators are the </w:t>
      </w:r>
      <w:r w:rsidRPr="00502F56">
        <w:rPr>
          <w:rFonts w:ascii="Times New Roman" w:hAnsi="Times New Roman" w:cs="Times New Roman"/>
          <w:sz w:val="24"/>
          <w:szCs w:val="24"/>
        </w:rPr>
        <w:lastRenderedPageBreak/>
        <w:t>percentage of farmers that embrace a particular practice, the level of compliance with suggested protocols, and the intensity of use or the length of usage</w:t>
      </w:r>
      <w:r w:rsidR="005C49A8" w:rsidRPr="00502F56">
        <w:rPr>
          <w:rFonts w:ascii="Times New Roman" w:hAnsi="Times New Roman" w:cs="Times New Roman"/>
          <w:sz w:val="24"/>
          <w:szCs w:val="24"/>
        </w:rPr>
        <w:t xml:space="preserve"> (</w:t>
      </w:r>
      <w:r w:rsidR="005C49A8" w:rsidRPr="00502F56">
        <w:rPr>
          <w:rFonts w:ascii="Times New Roman" w:hAnsi="Times New Roman" w:cs="Times New Roman"/>
          <w:color w:val="222222"/>
          <w:sz w:val="24"/>
          <w:szCs w:val="24"/>
          <w:shd w:val="clear" w:color="auto" w:fill="FFFFFF"/>
        </w:rPr>
        <w:t>Chopin et al., 2021)</w:t>
      </w:r>
      <w:r w:rsidRPr="00502F56">
        <w:rPr>
          <w:rFonts w:ascii="Times New Roman" w:hAnsi="Times New Roman" w:cs="Times New Roman"/>
          <w:sz w:val="24"/>
          <w:szCs w:val="24"/>
        </w:rPr>
        <w:t>. It is not just necessary, for example, to know if farmers experiment with biochar once, but if they continue to use it regularly over a few growing season</w:t>
      </w:r>
      <w:r w:rsidR="004137C8" w:rsidRPr="00502F56">
        <w:rPr>
          <w:rFonts w:ascii="Times New Roman" w:hAnsi="Times New Roman" w:cs="Times New Roman"/>
          <w:sz w:val="24"/>
          <w:szCs w:val="24"/>
        </w:rPr>
        <w:t>s in the same way as suggested</w:t>
      </w:r>
      <w:r w:rsidR="00B546D5" w:rsidRPr="00502F56">
        <w:rPr>
          <w:rFonts w:ascii="Times New Roman" w:hAnsi="Times New Roman" w:cs="Times New Roman"/>
          <w:sz w:val="24"/>
          <w:szCs w:val="24"/>
        </w:rPr>
        <w:t xml:space="preserve"> (</w:t>
      </w:r>
      <w:r w:rsidR="00B546D5" w:rsidRPr="00502F56">
        <w:rPr>
          <w:rFonts w:ascii="Times New Roman" w:hAnsi="Times New Roman" w:cs="Times New Roman"/>
          <w:color w:val="222222"/>
          <w:sz w:val="24"/>
          <w:szCs w:val="24"/>
          <w:shd w:val="clear" w:color="auto" w:fill="FFFFFF"/>
        </w:rPr>
        <w:t>Alonso-Martínez et al., 2024)</w:t>
      </w:r>
      <w:r w:rsidR="004137C8" w:rsidRPr="00502F56">
        <w:rPr>
          <w:rFonts w:ascii="Times New Roman" w:hAnsi="Times New Roman" w:cs="Times New Roman"/>
          <w:sz w:val="24"/>
          <w:szCs w:val="24"/>
        </w:rPr>
        <w:t>.</w:t>
      </w:r>
    </w:p>
    <w:p w14:paraId="59B3DD19"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Agronomic and Soil Health Impacts (Medium-Term Impacts):</w:t>
      </w:r>
      <w:r w:rsidRPr="00502F56">
        <w:rPr>
          <w:rFonts w:ascii="Times New Roman" w:hAnsi="Times New Roman" w:cs="Times New Roman"/>
          <w:sz w:val="24"/>
          <w:szCs w:val="24"/>
        </w:rPr>
        <w:t xml:space="preserve"> Technologies should finally result in tangible changes in soil health</w:t>
      </w:r>
      <w:r w:rsidR="000D192D" w:rsidRPr="00502F56">
        <w:rPr>
          <w:rFonts w:ascii="Times New Roman" w:hAnsi="Times New Roman" w:cs="Times New Roman"/>
          <w:sz w:val="24"/>
          <w:szCs w:val="24"/>
        </w:rPr>
        <w:t xml:space="preserve"> (</w:t>
      </w:r>
      <w:r w:rsidR="000D192D" w:rsidRPr="00502F56">
        <w:rPr>
          <w:rFonts w:ascii="Times New Roman" w:hAnsi="Times New Roman" w:cs="Times New Roman"/>
          <w:color w:val="222222"/>
          <w:sz w:val="24"/>
          <w:szCs w:val="24"/>
          <w:shd w:val="clear" w:color="auto" w:fill="FFFFFF"/>
        </w:rPr>
        <w:t>Salinas,</w:t>
      </w:r>
      <w:r w:rsidR="000D192D" w:rsidRPr="00502F56">
        <w:rPr>
          <w:rFonts w:ascii="Times New Roman" w:hAnsi="Times New Roman" w:cs="Times New Roman"/>
          <w:sz w:val="24"/>
          <w:szCs w:val="24"/>
        </w:rPr>
        <w:t xml:space="preserve"> et al., 2020).</w:t>
      </w:r>
      <w:r w:rsidRPr="00502F56">
        <w:rPr>
          <w:rFonts w:ascii="Times New Roman" w:hAnsi="Times New Roman" w:cs="Times New Roman"/>
          <w:sz w:val="24"/>
          <w:szCs w:val="24"/>
        </w:rPr>
        <w:t xml:space="preserve"> Critical indicators are soil organic carbon, aggregate stability, bulk density, infiltration rate, balances of nutrients for nitrogen, phosphorus, and potassium, microbial biomass, and observable indications of decreased erosion or compaction. These indicators need precise sampling, standardized lab assays, and time periods suffici</w:t>
      </w:r>
      <w:r w:rsidR="004137C8" w:rsidRPr="00502F56">
        <w:rPr>
          <w:rFonts w:ascii="Times New Roman" w:hAnsi="Times New Roman" w:cs="Times New Roman"/>
          <w:sz w:val="24"/>
          <w:szCs w:val="24"/>
        </w:rPr>
        <w:t>ent to show cumulative effects</w:t>
      </w:r>
      <w:r w:rsidR="0030380D" w:rsidRPr="00502F56">
        <w:rPr>
          <w:rFonts w:ascii="Times New Roman" w:hAnsi="Times New Roman" w:cs="Times New Roman"/>
          <w:sz w:val="24"/>
          <w:szCs w:val="24"/>
        </w:rPr>
        <w:t xml:space="preserve"> (</w:t>
      </w:r>
      <w:r w:rsidR="0030380D" w:rsidRPr="00502F56">
        <w:rPr>
          <w:rFonts w:ascii="Times New Roman" w:hAnsi="Times New Roman" w:cs="Times New Roman"/>
          <w:color w:val="222222"/>
          <w:sz w:val="24"/>
          <w:szCs w:val="24"/>
          <w:shd w:val="clear" w:color="auto" w:fill="FFFFFF"/>
        </w:rPr>
        <w:t>Raimondi, et al., 2023)</w:t>
      </w:r>
      <w:r w:rsidR="004137C8" w:rsidRPr="00502F56">
        <w:rPr>
          <w:rFonts w:ascii="Times New Roman" w:hAnsi="Times New Roman" w:cs="Times New Roman"/>
          <w:sz w:val="24"/>
          <w:szCs w:val="24"/>
        </w:rPr>
        <w:t>.</w:t>
      </w:r>
    </w:p>
    <w:p w14:paraId="6435DC60"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Productivity and Economic Impacts:</w:t>
      </w:r>
      <w:r w:rsidRPr="00502F56">
        <w:rPr>
          <w:rFonts w:ascii="Times New Roman" w:hAnsi="Times New Roman" w:cs="Times New Roman"/>
          <w:sz w:val="24"/>
          <w:szCs w:val="24"/>
        </w:rPr>
        <w:t xml:space="preserve"> Soil health improvements are anticipated to lead to increased productivity and farm profitability. Corresponding measures include yield changes for crops, input-use efficiency (i.e., kilograms of grain produced per kilogram of applied nitrogen), cost–benefit ratios, income of the household, and labor demand. Economic impacts are frequently the most effective way of convincing farmers and policymakers, as they are concrete indicators of the payba</w:t>
      </w:r>
      <w:r w:rsidR="004137C8" w:rsidRPr="00502F56">
        <w:rPr>
          <w:rFonts w:ascii="Times New Roman" w:hAnsi="Times New Roman" w:cs="Times New Roman"/>
          <w:sz w:val="24"/>
          <w:szCs w:val="24"/>
        </w:rPr>
        <w:t>ck of implementing new methods</w:t>
      </w:r>
      <w:r w:rsidR="0030380D" w:rsidRPr="00502F56">
        <w:rPr>
          <w:rFonts w:ascii="Times New Roman" w:hAnsi="Times New Roman" w:cs="Times New Roman"/>
          <w:sz w:val="24"/>
          <w:szCs w:val="24"/>
        </w:rPr>
        <w:t xml:space="preserve"> (Deng, et al., 2013)</w:t>
      </w:r>
      <w:r w:rsidR="004137C8" w:rsidRPr="00502F56">
        <w:rPr>
          <w:rFonts w:ascii="Times New Roman" w:hAnsi="Times New Roman" w:cs="Times New Roman"/>
          <w:sz w:val="24"/>
          <w:szCs w:val="24"/>
        </w:rPr>
        <w:t>.</w:t>
      </w:r>
    </w:p>
    <w:p w14:paraId="015435FB"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Environmental and Social Impacts (Long-term Impacts):</w:t>
      </w:r>
      <w:r w:rsidRPr="00502F56">
        <w:rPr>
          <w:rFonts w:ascii="Times New Roman" w:hAnsi="Times New Roman" w:cs="Times New Roman"/>
          <w:sz w:val="24"/>
          <w:szCs w:val="24"/>
        </w:rPr>
        <w:t xml:space="preserve"> In addition to farm-level gains, soil health interventions can have wider environmental and social repercussions. Indicators might involve greenhouse gas emission reductions, enhanced biodiversity, enhanced resistance of farming systems to flood or drought incidents, and beneficial gender and equity outcomes</w:t>
      </w:r>
      <w:r w:rsidR="0011593C" w:rsidRPr="00502F56">
        <w:rPr>
          <w:rFonts w:ascii="Times New Roman" w:hAnsi="Times New Roman" w:cs="Times New Roman"/>
          <w:sz w:val="24"/>
          <w:szCs w:val="24"/>
        </w:rPr>
        <w:t xml:space="preserve"> (</w:t>
      </w:r>
      <w:r w:rsidR="0011593C" w:rsidRPr="00502F56">
        <w:rPr>
          <w:rFonts w:ascii="Times New Roman" w:hAnsi="Times New Roman" w:cs="Times New Roman"/>
          <w:color w:val="222222"/>
          <w:sz w:val="24"/>
          <w:szCs w:val="24"/>
          <w:shd w:val="clear" w:color="auto" w:fill="FFFFFF"/>
        </w:rPr>
        <w:t>Kumar,</w:t>
      </w:r>
      <w:r w:rsidR="0011593C" w:rsidRPr="00502F56">
        <w:rPr>
          <w:rFonts w:ascii="Times New Roman" w:hAnsi="Times New Roman" w:cs="Times New Roman"/>
          <w:sz w:val="24"/>
          <w:szCs w:val="24"/>
        </w:rPr>
        <w:t xml:space="preserve"> et al.,2020).</w:t>
      </w:r>
      <w:r w:rsidRPr="00502F56">
        <w:rPr>
          <w:rFonts w:ascii="Times New Roman" w:hAnsi="Times New Roman" w:cs="Times New Roman"/>
          <w:sz w:val="24"/>
          <w:szCs w:val="24"/>
        </w:rPr>
        <w:t xml:space="preserve"> These impacts must be assessed using more sophisticated and multidisciplinary methodologies, but they are vital in ensuring agricultural programs meet sustainability</w:t>
      </w:r>
      <w:r w:rsidR="004137C8" w:rsidRPr="00502F56">
        <w:rPr>
          <w:rFonts w:ascii="Times New Roman" w:hAnsi="Times New Roman" w:cs="Times New Roman"/>
          <w:sz w:val="24"/>
          <w:szCs w:val="24"/>
        </w:rPr>
        <w:t xml:space="preserve"> and social justice objectives</w:t>
      </w:r>
      <w:r w:rsidR="003A1BAD" w:rsidRPr="00502F56">
        <w:rPr>
          <w:rFonts w:ascii="Times New Roman" w:hAnsi="Times New Roman" w:cs="Times New Roman"/>
          <w:sz w:val="24"/>
          <w:szCs w:val="24"/>
        </w:rPr>
        <w:t xml:space="preserve"> (</w:t>
      </w:r>
      <w:r w:rsidR="003A1BAD" w:rsidRPr="00502F56">
        <w:rPr>
          <w:rFonts w:ascii="Times New Roman" w:hAnsi="Times New Roman" w:cs="Times New Roman"/>
          <w:color w:val="222222"/>
          <w:sz w:val="24"/>
          <w:szCs w:val="24"/>
          <w:shd w:val="clear" w:color="auto" w:fill="FFFFFF"/>
        </w:rPr>
        <w:t>Kaplan‐Hallam and Bennett, 2018)</w:t>
      </w:r>
      <w:r w:rsidR="004137C8" w:rsidRPr="00502F56">
        <w:rPr>
          <w:rFonts w:ascii="Times New Roman" w:hAnsi="Times New Roman" w:cs="Times New Roman"/>
          <w:sz w:val="24"/>
          <w:szCs w:val="24"/>
        </w:rPr>
        <w:t>.</w:t>
      </w:r>
    </w:p>
    <w:p w14:paraId="16A78F44"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To capture the varied outcomes, multiple measures of measurement methods are needed. Surveys and tests of knowledge, usually done at baseline and </w:t>
      </w:r>
      <w:r w:rsidR="004137C8" w:rsidRPr="00502F56">
        <w:rPr>
          <w:rFonts w:ascii="Times New Roman" w:hAnsi="Times New Roman" w:cs="Times New Roman"/>
          <w:sz w:val="24"/>
          <w:szCs w:val="24"/>
        </w:rPr>
        <w:t>end line</w:t>
      </w:r>
      <w:r w:rsidRPr="00502F56">
        <w:rPr>
          <w:rFonts w:ascii="Times New Roman" w:hAnsi="Times New Roman" w:cs="Times New Roman"/>
          <w:sz w:val="24"/>
          <w:szCs w:val="24"/>
        </w:rPr>
        <w:t xml:space="preserve">, can capture changes in awareness and capacity. Adoption figures can be generated from self-reported farmer data, but they are more credible when supplemented by independent verification techniques like spot checks, farm visits, or remote sensing technologies for monitoring residue cover, vegetation vigor, or patterns of soil moisture. Laboratory analysis of soil sampling and proximal sensors and satellite observations </w:t>
      </w:r>
      <w:r w:rsidRPr="00502F56">
        <w:rPr>
          <w:rFonts w:ascii="Times New Roman" w:hAnsi="Times New Roman" w:cs="Times New Roman"/>
          <w:sz w:val="24"/>
          <w:szCs w:val="24"/>
        </w:rPr>
        <w:lastRenderedPageBreak/>
        <w:t>offer standardized biophysical measurements, whereas monitoring is facilitated at large scales with proximal sens</w:t>
      </w:r>
      <w:r w:rsidR="004137C8" w:rsidRPr="00502F56">
        <w:rPr>
          <w:rFonts w:ascii="Times New Roman" w:hAnsi="Times New Roman" w:cs="Times New Roman"/>
          <w:sz w:val="24"/>
          <w:szCs w:val="24"/>
        </w:rPr>
        <w:t>ors and satellite observations.</w:t>
      </w:r>
    </w:p>
    <w:p w14:paraId="352FD635"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For stronger causal inference, quasi-experimental designs like difference-in-differences, propensity score matching, or regression discontinuity can be used where randomized assignment is not possible. </w:t>
      </w:r>
      <w:r w:rsidR="004137C8" w:rsidRPr="00502F56">
        <w:rPr>
          <w:rFonts w:ascii="Times New Roman" w:hAnsi="Times New Roman" w:cs="Times New Roman"/>
          <w:sz w:val="24"/>
          <w:szCs w:val="24"/>
        </w:rPr>
        <w:t>Randomized</w:t>
      </w:r>
      <w:r w:rsidRPr="00502F56">
        <w:rPr>
          <w:rFonts w:ascii="Times New Roman" w:hAnsi="Times New Roman" w:cs="Times New Roman"/>
          <w:sz w:val="24"/>
          <w:szCs w:val="24"/>
        </w:rPr>
        <w:t xml:space="preserve"> controlled trials (RCTs) are still the gold standard for attribution and are especially useful when assessing the relative impact of training intensities, subsidy schemes, or message strategies. In contrast, participatory monitoring methods, which engage farmers in co-generating indicators and reporting, serve to promote local ownership and ensure that evaluation frameworks capture farmers' own experiences and concerns.</w:t>
      </w:r>
    </w:p>
    <w:p w14:paraId="07397E92" w14:textId="77777777" w:rsidR="004845EA"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When considered together, these multi-dimensional indicators and varied assessment tools enable comprehensive understanding of educational and training intervention's direct as well as indirect effects. They also yield crucial evidence for responsible scaling of programs and for accountability to farmers, funders, and policymakers.</w:t>
      </w:r>
    </w:p>
    <w:p w14:paraId="43B95190" w14:textId="77777777" w:rsidR="00AE2563" w:rsidRPr="00502F56" w:rsidRDefault="00AE2563"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Timing and Frequency</w:t>
      </w:r>
    </w:p>
    <w:p w14:paraId="377ACB15" w14:textId="77777777" w:rsidR="00AE2563" w:rsidRPr="00502F56" w:rsidRDefault="00AE2563"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Soil health changes normally develop slowly, and this has significant program evaluation implications. Short-term measurements are appropriate for quantifying quick responses like learning, skill improvements, and initial compliance with suggested practices that occur in less than one year</w:t>
      </w:r>
      <w:r w:rsidR="003A1BAD" w:rsidRPr="00502F56">
        <w:rPr>
          <w:rFonts w:ascii="Times New Roman" w:hAnsi="Times New Roman" w:cs="Times New Roman"/>
          <w:sz w:val="24"/>
          <w:szCs w:val="24"/>
        </w:rPr>
        <w:t xml:space="preserve"> (</w:t>
      </w:r>
      <w:r w:rsidR="003A1BAD" w:rsidRPr="00502F56">
        <w:rPr>
          <w:rFonts w:ascii="Times New Roman" w:hAnsi="Times New Roman" w:cs="Times New Roman"/>
          <w:color w:val="222222"/>
          <w:sz w:val="24"/>
          <w:szCs w:val="24"/>
          <w:shd w:val="clear" w:color="auto" w:fill="FFFFFF"/>
        </w:rPr>
        <w:t>Shahane, and Shivay, 2021)</w:t>
      </w:r>
      <w:r w:rsidRPr="00502F56">
        <w:rPr>
          <w:rFonts w:ascii="Times New Roman" w:hAnsi="Times New Roman" w:cs="Times New Roman"/>
          <w:sz w:val="24"/>
          <w:szCs w:val="24"/>
        </w:rPr>
        <w:t>. The short cycles of evaluation provide extension managers an opportunity to assess training delivery effectiveness and adjust mid-course. Conversely, medium- and longer-term effects on soil biochemical attributes, structure, and crop yields usually need monitoring over multiple seasons, typically two to five years or more. Longer-duration monitoring is especially relevant in the case of technologies like conservation agriculture, organic amendment, cover cropping, or microbe inoculants, where quantifiable gains in soil organic carbon, nutrient dynamics, or aggregate stability build up over time. Therefore, evaluation systems should include both short-term learning indicators and long-term agronomic and environmental indicators to capture the entire range of program impact</w:t>
      </w:r>
      <w:r w:rsidR="008A5C85" w:rsidRPr="00502F56">
        <w:rPr>
          <w:rFonts w:ascii="Times New Roman" w:hAnsi="Times New Roman" w:cs="Times New Roman"/>
          <w:sz w:val="24"/>
          <w:szCs w:val="24"/>
        </w:rPr>
        <w:t xml:space="preserve"> (</w:t>
      </w:r>
      <w:r w:rsidR="008A5C85" w:rsidRPr="00502F56">
        <w:rPr>
          <w:rFonts w:ascii="Times New Roman" w:hAnsi="Times New Roman" w:cs="Times New Roman"/>
          <w:color w:val="222222"/>
          <w:sz w:val="24"/>
          <w:szCs w:val="24"/>
          <w:shd w:val="clear" w:color="auto" w:fill="FFFFFF"/>
        </w:rPr>
        <w:t>Cardoso, et al., 2013)</w:t>
      </w:r>
      <w:r w:rsidRPr="00502F56">
        <w:rPr>
          <w:rFonts w:ascii="Times New Roman" w:hAnsi="Times New Roman" w:cs="Times New Roman"/>
          <w:sz w:val="24"/>
          <w:szCs w:val="24"/>
        </w:rPr>
        <w:t>.</w:t>
      </w:r>
    </w:p>
    <w:p w14:paraId="7CCDA49D" w14:textId="77777777" w:rsidR="00AE2563" w:rsidRPr="00502F56" w:rsidRDefault="00AE2563"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Connecting Training Quality with Quantifiable Soil‑Health Outcomes</w:t>
      </w:r>
    </w:p>
    <w:p w14:paraId="78311FE1" w14:textId="77777777" w:rsidR="00CA2AE4" w:rsidRPr="00502F56" w:rsidRDefault="00AE2563"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A key challenge facing extension programs is creating a direct connection between training inputs and lasting improvements in soil health. Various factors condition this relationship. Dosage and </w:t>
      </w:r>
      <w:r w:rsidRPr="00502F56">
        <w:rPr>
          <w:rFonts w:ascii="Times New Roman" w:hAnsi="Times New Roman" w:cs="Times New Roman"/>
          <w:sz w:val="24"/>
          <w:szCs w:val="24"/>
        </w:rPr>
        <w:lastRenderedPageBreak/>
        <w:t xml:space="preserve">intensity of training are important factors; </w:t>
      </w:r>
      <w:r w:rsidR="00155A70" w:rsidRPr="00502F56">
        <w:rPr>
          <w:rFonts w:ascii="Times New Roman" w:hAnsi="Times New Roman" w:cs="Times New Roman"/>
          <w:sz w:val="24"/>
          <w:szCs w:val="24"/>
        </w:rPr>
        <w:t xml:space="preserve">more intense, hands-on sessions </w:t>
      </w:r>
      <w:r w:rsidRPr="00502F56">
        <w:rPr>
          <w:rFonts w:ascii="Times New Roman" w:hAnsi="Times New Roman" w:cs="Times New Roman"/>
          <w:sz w:val="24"/>
          <w:szCs w:val="24"/>
        </w:rPr>
        <w:t>particularly those that include practical exercises or fie</w:t>
      </w:r>
      <w:r w:rsidR="00155A70" w:rsidRPr="00502F56">
        <w:rPr>
          <w:rFonts w:ascii="Times New Roman" w:hAnsi="Times New Roman" w:cs="Times New Roman"/>
          <w:sz w:val="24"/>
          <w:szCs w:val="24"/>
        </w:rPr>
        <w:t xml:space="preserve">ld experiments </w:t>
      </w:r>
      <w:r w:rsidRPr="00502F56">
        <w:rPr>
          <w:rFonts w:ascii="Times New Roman" w:hAnsi="Times New Roman" w:cs="Times New Roman"/>
          <w:sz w:val="24"/>
          <w:szCs w:val="24"/>
        </w:rPr>
        <w:t>tend to generate better skill retention and fidelity to prescribed protocols, especially for less intuitive or more complex practices</w:t>
      </w:r>
      <w:r w:rsidR="00155A70" w:rsidRPr="00502F56">
        <w:rPr>
          <w:rFonts w:ascii="Times New Roman" w:hAnsi="Times New Roman" w:cs="Times New Roman"/>
          <w:sz w:val="24"/>
          <w:szCs w:val="24"/>
        </w:rPr>
        <w:t xml:space="preserve"> (Lewandowski, et al., 2023)</w:t>
      </w:r>
      <w:r w:rsidRPr="00502F56">
        <w:rPr>
          <w:rFonts w:ascii="Times New Roman" w:hAnsi="Times New Roman" w:cs="Times New Roman"/>
          <w:sz w:val="24"/>
          <w:szCs w:val="24"/>
        </w:rPr>
        <w:t xml:space="preserve">. Follow-up support in the guise of coaching, troubleshooting visits, and refresher training significantly boosts sustained adoption, allowing farmers to deal with challenges when they emerge. Contextualization is also a major factor: locally adapted recommendation training programs that take into account soil type, cropping system, labor availability, and market conditions are more effective and credible to farmers. Showing economic returns such as short-term increased yield or input costs saved keeps the farmer interested and motivated while less tangible, slower-improving soil health builds up. Lastly, with a </w:t>
      </w:r>
      <w:r w:rsidR="0091106C" w:rsidRPr="00502F56">
        <w:rPr>
          <w:rFonts w:ascii="Times New Roman" w:hAnsi="Times New Roman" w:cs="Times New Roman"/>
          <w:sz w:val="24"/>
          <w:szCs w:val="24"/>
        </w:rPr>
        <w:t xml:space="preserve">focus on inclusiveness </w:t>
      </w:r>
      <w:r w:rsidRPr="00502F56">
        <w:rPr>
          <w:rFonts w:ascii="Times New Roman" w:hAnsi="Times New Roman" w:cs="Times New Roman"/>
          <w:sz w:val="24"/>
          <w:szCs w:val="24"/>
        </w:rPr>
        <w:t>by focusing on wome</w:t>
      </w:r>
      <w:r w:rsidR="0091106C" w:rsidRPr="00502F56">
        <w:rPr>
          <w:rFonts w:ascii="Times New Roman" w:hAnsi="Times New Roman" w:cs="Times New Roman"/>
          <w:sz w:val="24"/>
          <w:szCs w:val="24"/>
        </w:rPr>
        <w:t xml:space="preserve">n, youth, and vulnerable groups </w:t>
      </w:r>
      <w:r w:rsidRPr="00502F56">
        <w:rPr>
          <w:rFonts w:ascii="Times New Roman" w:hAnsi="Times New Roman" w:cs="Times New Roman"/>
          <w:sz w:val="24"/>
          <w:szCs w:val="24"/>
        </w:rPr>
        <w:t>adoption is not only widened but also ensures equitable benefit distribution, enhancing social as well as agronomic returns.</w:t>
      </w:r>
    </w:p>
    <w:p w14:paraId="0FA0FCE4" w14:textId="77777777" w:rsidR="00C76185" w:rsidRPr="00502F56" w:rsidRDefault="00C76185"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7. Barriers to and Enablers of Scaling Up</w:t>
      </w:r>
    </w:p>
    <w:p w14:paraId="2E127DF0" w14:textId="77777777" w:rsidR="00C76185" w:rsidRPr="00502F56" w:rsidRDefault="00C76185"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Scaling up training and education interventions for soil health technologies is frequently limited by several, related reasons. Institutional capacity constraints are widespread. Several extension agencies experience shortages in trained personnel, low budgets for refresher courses or field demonstrations, and poor government, research, and non-governmental coordination. Such limitations decrease the frequency, extent, and quality of training provided to farmers. Economic constraints also come into play; technologies like biochar systems, precision nutrient applicators, or irrigation pumps tend to need initial investment, making adoption less likely especially for resource-poor families. In cascade training models, dilution of knowledge is also a problem: when primary trainers who lack strict quality control pass on information to secondary receivers without maintaining identical messages and skills, the fidelity is compromised. Moreover, the diversity of agroecosystems precludes applying one-size-fits-all suggestions. Methods that work for a given soil type, climatic region, or cropping system might not work well in other instances, decreasing confidence and adoption. Ultimately, market and policy disincentives—like the lack of effective markets for residue-based products or limited financial incentives for soil-building practices—continue to restrict motivation for adoption.</w:t>
      </w:r>
    </w:p>
    <w:p w14:paraId="16762221" w14:textId="77777777" w:rsidR="00CA2AE4" w:rsidRPr="00502F56" w:rsidRDefault="00C76185"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In spite of these obstacles, a number of enablers can help facilitate scaling. Public-private partnerships have become widely accepted as efficient arrangements for co-financing </w:t>
      </w:r>
      <w:r w:rsidRPr="00502F56">
        <w:rPr>
          <w:rFonts w:ascii="Times New Roman" w:hAnsi="Times New Roman" w:cs="Times New Roman"/>
          <w:sz w:val="24"/>
          <w:szCs w:val="24"/>
        </w:rPr>
        <w:lastRenderedPageBreak/>
        <w:t>demonstration trials, facilitating extension services, and making inputs and technologies available. Digital platforms such as mobile applications, SMS advisories, and online learning modules can significantly widen the coverage of extension programs, offer real-time decision support, and facilitate monitoring of adoption at scale. Farmer groups and cooperatives serve as vital intermediaries, aggregating funds, enabling collective purchasing of inputs and services, and enabling peer-to-peer learning, which increases adoption and sustainability of practices. In addition, financial instruments like incentives and Payments for Ecosystem Services (PES)—carbon credit programs or soil health payment schemes—can cover initial costs, remunerate environmentally favorable practices, and encourage broader participation, especially among smallholders. Intervening on these enablers and countering the barriers is critical to achieving large-scale program success for scaling up soil health and agricultural productivity improvements.</w:t>
      </w:r>
    </w:p>
    <w:p w14:paraId="4D07F978" w14:textId="77777777" w:rsidR="004A71D3" w:rsidRPr="00502F56" w:rsidRDefault="004A71D3"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8. Scaling Models and Strategies</w:t>
      </w:r>
    </w:p>
    <w:p w14:paraId="45FA5440" w14:textId="77777777" w:rsidR="004A71D3" w:rsidRPr="00502F56" w:rsidRDefault="004A71D3"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Actionable strategies for scaling soil health interventions seek to increase the coverage of effective programs while ensuring quality, relevance, and equity. One of the most common methods is the Hub‑and‑Spoke Extension Model, where technical hubs are located centrally as centers of knowledge and resources and support a network of mobile or satellite extension "spokes." The hubs offer specialized expertise, training materials, and demonstration plots, and the spokes offer services to farmers in nearby villages. This model enables effective leveraging of specialized expertise and equipment, guarantees uniformity in messaging, and allows for quick scaling of innovations over a large geographical space. It also permits monitoring and feedback loops, as information gathered in the spoke locations can feed back into hub-level planning and adaptive management.</w:t>
      </w:r>
    </w:p>
    <w:p w14:paraId="2F7EE50E" w14:textId="77777777" w:rsidR="004A71D3" w:rsidRPr="00502F56" w:rsidRDefault="004A71D3"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Additional complementary strategies for scaling draw on learning from participatory extension, digital agriculture, and institutional coordination. Among these are training-of-trainer (</w:t>
      </w:r>
      <w:proofErr w:type="spellStart"/>
      <w:r w:rsidRPr="00502F56">
        <w:rPr>
          <w:rFonts w:ascii="Times New Roman" w:hAnsi="Times New Roman" w:cs="Times New Roman"/>
          <w:sz w:val="24"/>
          <w:szCs w:val="24"/>
        </w:rPr>
        <w:t>ToT</w:t>
      </w:r>
      <w:proofErr w:type="spellEnd"/>
      <w:r w:rsidRPr="00502F56">
        <w:rPr>
          <w:rFonts w:ascii="Times New Roman" w:hAnsi="Times New Roman" w:cs="Times New Roman"/>
          <w:sz w:val="24"/>
          <w:szCs w:val="24"/>
        </w:rPr>
        <w:t>) methods, farmer innovation networks, ICT-supported knowledge platforms, and collaborations with private sector players and cooperatives. Successful models tend to integrate several strategies to overcome capacity, heterogeneity of agroecosystems, and finance or policy constraints. Key principles of successful scaling involve technical fidelity, adaptation of interventions to local socio-economic and agroecological conditions, feedback integration from farmers, and inclusion of women and marginal groups.</w:t>
      </w:r>
    </w:p>
    <w:p w14:paraId="322620B4" w14:textId="77777777" w:rsidR="00155A70" w:rsidRPr="00502F56" w:rsidRDefault="00155A70" w:rsidP="00037D50">
      <w:pPr>
        <w:pStyle w:val="Heading2"/>
        <w:spacing w:line="360" w:lineRule="auto"/>
        <w:jc w:val="both"/>
        <w:rPr>
          <w:rFonts w:ascii="Times New Roman" w:hAnsi="Times New Roman" w:cs="Times New Roman"/>
          <w:b/>
          <w:color w:val="auto"/>
          <w:sz w:val="24"/>
          <w:szCs w:val="24"/>
        </w:rPr>
      </w:pPr>
      <w:r w:rsidRPr="00502F56">
        <w:rPr>
          <w:rFonts w:ascii="Times New Roman" w:hAnsi="Times New Roman" w:cs="Times New Roman"/>
          <w:b/>
          <w:color w:val="auto"/>
          <w:sz w:val="24"/>
          <w:szCs w:val="24"/>
        </w:rPr>
        <w:lastRenderedPageBreak/>
        <w:t>9. Practical evaluation framework</w:t>
      </w:r>
    </w:p>
    <w:p w14:paraId="7BC17254" w14:textId="77777777" w:rsidR="00155A70" w:rsidRPr="00502F56" w:rsidRDefault="007E0FC4" w:rsidP="00037D50">
      <w:pPr>
        <w:pStyle w:val="NormalWeb"/>
        <w:spacing w:line="360" w:lineRule="auto"/>
        <w:jc w:val="both"/>
      </w:pPr>
      <w:r w:rsidRPr="00502F56">
        <w:rPr>
          <w:rStyle w:val="Strong"/>
          <w:rFonts w:eastAsiaTheme="majorEastAsia"/>
        </w:rPr>
        <w:t>Digram-</w:t>
      </w:r>
      <w:r w:rsidR="00155A70" w:rsidRPr="00502F56">
        <w:rPr>
          <w:rStyle w:val="Strong"/>
          <w:rFonts w:eastAsiaTheme="majorEastAsia"/>
        </w:rPr>
        <w:t>1: Evaluation Framework for Soil Health Training Programs</w:t>
      </w:r>
    </w:p>
    <w:p w14:paraId="474BF1A8" w14:textId="77777777" w:rsidR="00155A70" w:rsidRPr="00502F56" w:rsidRDefault="009A64B7"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Training Inputs </w:t>
      </w:r>
      <w:r w:rsidR="00155A70" w:rsidRPr="00502F56">
        <w:rPr>
          <w:rFonts w:ascii="Times New Roman" w:hAnsi="Times New Roman" w:cs="Times New Roman"/>
          <w:sz w:val="24"/>
          <w:szCs w:val="24"/>
        </w:rPr>
        <w:t>&gt; Knowledge &amp; Skil</w:t>
      </w:r>
      <w:r w:rsidRPr="00502F56">
        <w:rPr>
          <w:rFonts w:ascii="Times New Roman" w:hAnsi="Times New Roman" w:cs="Times New Roman"/>
          <w:sz w:val="24"/>
          <w:szCs w:val="24"/>
        </w:rPr>
        <w:t xml:space="preserve">l Development &gt; Adoption of Practices &gt; Soil Health Outcomes </w:t>
      </w:r>
      <w:r w:rsidR="00155A70" w:rsidRPr="00502F56">
        <w:rPr>
          <w:rFonts w:ascii="Times New Roman" w:hAnsi="Times New Roman" w:cs="Times New Roman"/>
          <w:sz w:val="24"/>
          <w:szCs w:val="24"/>
        </w:rPr>
        <w:t>&gt; Productivity/Economic &amp; Environmental Impacts</w:t>
      </w:r>
    </w:p>
    <w:p w14:paraId="47829EA9" w14:textId="77777777" w:rsidR="00155A70" w:rsidRPr="00502F56" w:rsidRDefault="001B34C3" w:rsidP="00037D50">
      <w:pPr>
        <w:pStyle w:val="NormalWeb"/>
        <w:spacing w:line="360" w:lineRule="auto"/>
        <w:jc w:val="both"/>
      </w:pPr>
      <w:r w:rsidRPr="00502F56">
        <w:rPr>
          <w:rStyle w:val="Strong"/>
          <w:rFonts w:eastAsiaTheme="majorEastAsia"/>
        </w:rPr>
        <w:t>Table 3</w:t>
      </w:r>
      <w:r w:rsidR="00155A70" w:rsidRPr="00502F56">
        <w:rPr>
          <w:rStyle w:val="Strong"/>
          <w:rFonts w:eastAsiaTheme="majorEastAsia"/>
        </w:rPr>
        <w:t>: Key Performance Indicators (KPIs) Across Outcome Tiers</w:t>
      </w:r>
    </w:p>
    <w:tbl>
      <w:tblPr>
        <w:tblStyle w:val="TableGrid"/>
        <w:tblW w:w="0" w:type="auto"/>
        <w:tblLook w:val="04A0" w:firstRow="1" w:lastRow="0" w:firstColumn="1" w:lastColumn="0" w:noHBand="0" w:noVBand="1"/>
      </w:tblPr>
      <w:tblGrid>
        <w:gridCol w:w="2549"/>
        <w:gridCol w:w="6269"/>
      </w:tblGrid>
      <w:tr w:rsidR="00155A70" w:rsidRPr="00502F56" w14:paraId="6EFA743A" w14:textId="77777777" w:rsidTr="00155A70">
        <w:tc>
          <w:tcPr>
            <w:tcW w:w="0" w:type="auto"/>
            <w:hideMark/>
          </w:tcPr>
          <w:p w14:paraId="790D910F"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Outcome Tier</w:t>
            </w:r>
          </w:p>
        </w:tc>
        <w:tc>
          <w:tcPr>
            <w:tcW w:w="0" w:type="auto"/>
            <w:hideMark/>
          </w:tcPr>
          <w:p w14:paraId="1882DA39"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Core KPI Examples</w:t>
            </w:r>
          </w:p>
        </w:tc>
      </w:tr>
      <w:tr w:rsidR="00155A70" w:rsidRPr="00502F56" w14:paraId="058C0F79" w14:textId="77777777" w:rsidTr="00155A70">
        <w:tc>
          <w:tcPr>
            <w:tcW w:w="0" w:type="auto"/>
            <w:hideMark/>
          </w:tcPr>
          <w:p w14:paraId="1949C5C4"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Learning</w:t>
            </w:r>
          </w:p>
        </w:tc>
        <w:tc>
          <w:tcPr>
            <w:tcW w:w="0" w:type="auto"/>
            <w:hideMark/>
          </w:tcPr>
          <w:p w14:paraId="3E34AADF"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Knowledge test score, skill proficiency, self-efficacy</w:t>
            </w:r>
          </w:p>
        </w:tc>
      </w:tr>
      <w:tr w:rsidR="00155A70" w:rsidRPr="00502F56" w14:paraId="3039B52D" w14:textId="77777777" w:rsidTr="00155A70">
        <w:tc>
          <w:tcPr>
            <w:tcW w:w="0" w:type="auto"/>
            <w:hideMark/>
          </w:tcPr>
          <w:p w14:paraId="693A3BFE"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Adoption</w:t>
            </w:r>
          </w:p>
        </w:tc>
        <w:tc>
          <w:tcPr>
            <w:tcW w:w="0" w:type="auto"/>
            <w:hideMark/>
          </w:tcPr>
          <w:p w14:paraId="7A1C7176"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farmers adopting, adoption fidelity, duration of practice</w:t>
            </w:r>
          </w:p>
        </w:tc>
      </w:tr>
      <w:tr w:rsidR="00155A70" w:rsidRPr="00502F56" w14:paraId="7BEB8F2F" w14:textId="77777777" w:rsidTr="00155A70">
        <w:tc>
          <w:tcPr>
            <w:tcW w:w="0" w:type="auto"/>
            <w:hideMark/>
          </w:tcPr>
          <w:p w14:paraId="30E85C2F"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Soil Health</w:t>
            </w:r>
          </w:p>
        </w:tc>
        <w:tc>
          <w:tcPr>
            <w:tcW w:w="0" w:type="auto"/>
            <w:hideMark/>
          </w:tcPr>
          <w:p w14:paraId="5D2552EF"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SOC change, bulk density, nutrient balance, microbial biomass</w:t>
            </w:r>
          </w:p>
        </w:tc>
      </w:tr>
      <w:tr w:rsidR="00155A70" w:rsidRPr="00502F56" w14:paraId="64903AB3" w14:textId="77777777" w:rsidTr="00155A70">
        <w:tc>
          <w:tcPr>
            <w:tcW w:w="0" w:type="auto"/>
            <w:hideMark/>
          </w:tcPr>
          <w:p w14:paraId="16E101A7"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Productivity</w:t>
            </w:r>
          </w:p>
        </w:tc>
        <w:tc>
          <w:tcPr>
            <w:tcW w:w="0" w:type="auto"/>
            <w:hideMark/>
          </w:tcPr>
          <w:p w14:paraId="510915A5"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Yield, input use efficiency, cost-benefit ratio</w:t>
            </w:r>
          </w:p>
        </w:tc>
      </w:tr>
      <w:tr w:rsidR="00155A70" w:rsidRPr="00502F56" w14:paraId="5B9F4386" w14:textId="77777777" w:rsidTr="00155A70">
        <w:tc>
          <w:tcPr>
            <w:tcW w:w="0" w:type="auto"/>
            <w:hideMark/>
          </w:tcPr>
          <w:p w14:paraId="0C28C41D"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Environmental &amp; Social</w:t>
            </w:r>
          </w:p>
        </w:tc>
        <w:tc>
          <w:tcPr>
            <w:tcW w:w="0" w:type="auto"/>
            <w:hideMark/>
          </w:tcPr>
          <w:p w14:paraId="12F85345"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GHG emission reduction, biodiversity indices, gender equity</w:t>
            </w:r>
          </w:p>
        </w:tc>
      </w:tr>
    </w:tbl>
    <w:p w14:paraId="07EE5422" w14:textId="77777777" w:rsidR="00155A70" w:rsidRPr="00502F56" w:rsidRDefault="00155A70" w:rsidP="00037D50">
      <w:pPr>
        <w:spacing w:line="360" w:lineRule="auto"/>
        <w:jc w:val="both"/>
        <w:rPr>
          <w:rFonts w:ascii="Times New Roman" w:hAnsi="Times New Roman" w:cs="Times New Roman"/>
          <w:sz w:val="24"/>
          <w:szCs w:val="24"/>
        </w:rPr>
      </w:pPr>
    </w:p>
    <w:p w14:paraId="5D1E57C5" w14:textId="77777777" w:rsidR="009528D1" w:rsidRPr="00502F56" w:rsidRDefault="009528D1"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10. Program Design and Policy Recommendations</w:t>
      </w:r>
    </w:p>
    <w:p w14:paraId="7019FBFA" w14:textId="77777777" w:rsidR="009528D1" w:rsidRPr="00502F56" w:rsidRDefault="009528D1"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The review suggests a range of high-priority actions for enhancing training and education programs on agronomic-engineered technologies for soil health. These include, first, investment in trainer capacity, both technical and facilitation skills, as well as regular follow-up coaching to sustain learning and adoption. Second, outcome measurement must extend beyond knowledge or short-term adoption levels; programs need to incorporate multi-year monitoring of agronomic and socio-economic outcomes in order to account for the longer-term changes to soil condition and livelihoods. Third, participatory strategies that involve farmers in co-design and adaptation guarantee local applicability, increase ownership, and enhance uptake. Fourth, digital technologies like mobile applications, decision support systems, and remote sensing software can increase reach and offer timely guidance, but face-to-face interactions augment their effectiveness. Fifth, financial incentives involving subsidies, access to credit or payment for ecosystem services, and improved public–private partnerships may help overcome barriers to adoption and maintain farmer participation. Lastly, conscious focus on gender sensitivity and social inclusion during program development is essential to support equitable access, benefits, and ultimate sustainability.</w:t>
      </w:r>
    </w:p>
    <w:p w14:paraId="2FE496BD" w14:textId="77777777" w:rsidR="009528D1" w:rsidRPr="00502F56" w:rsidRDefault="009528D1"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lastRenderedPageBreak/>
        <w:t>11. Future Directions and Knowledge Gaps</w:t>
      </w:r>
    </w:p>
    <w:p w14:paraId="6F77A04E" w14:textId="77777777" w:rsidR="009528D1" w:rsidRPr="00502F56" w:rsidRDefault="009528D1"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Even with considerable advances, there are key knowledge gaps. Multi-year longitudinal studies are necessary to rigorously connect educational interventions with quantifiable soil health changes over multi-year timescales, and with evidence of sustained impact. Comparative cost-effectiveness studies of various training modalities (e.g., farmer field schools, online learning, or hybrid methods) are lacking but are critical to maximize resource deployment. Empirical research based on behavioral sciences can help understand sustained uptake, including habit building, social influence, and perception of risk. In addition, the scalability and durability of digital soil diagnostic and decision support systems are unknown, needing testing in diverse farming conditions. Lastly, more rigorous studies on equity and inclusion are required, specifically on how marginalized groups interact with and gain from extension interventions, and how training programs can more effectively engage with structural access barriers to technologies, information, and markets.</w:t>
      </w:r>
    </w:p>
    <w:p w14:paraId="5B4DD3C2" w14:textId="77777777" w:rsidR="009528D1" w:rsidRPr="00502F56" w:rsidRDefault="009528D1"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12. Conclusion</w:t>
      </w:r>
    </w:p>
    <w:p w14:paraId="53C1AA65" w14:textId="77777777" w:rsidR="009528D1" w:rsidRDefault="009528D1"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Overall, the evidence considered illustrates that high-quality context-appropriate training and educational programs are critical to bridging the gap of potential of agronomic-engineered technologies into actual soil health gains. It is likely that programs with participatory design, inclusive service delivery, long-term monitoring, and robust connections to economic incentives and policy support will have enduring impacts. Scaling up involves the balance of fidelity and adaptation, bringing in digital innovations along with field-level engagement, and situating soil health goals within overarching agricultural and environmental policies. With continued investment in the capacity of trainers, systematic impact evaluation, and pro-poor extension models, the uptake of soil-improving technologies can be sped up, delivering not only better productivity and livelihoods but also long-term ecosystem resistance and climate change mitigation.</w:t>
      </w:r>
    </w:p>
    <w:p w14:paraId="05BC53A2" w14:textId="77777777" w:rsidR="00B61F86" w:rsidRPr="003A29C6" w:rsidRDefault="00B61F86" w:rsidP="00B61F86">
      <w:pPr>
        <w:jc w:val="both"/>
        <w:outlineLvl w:val="0"/>
        <w:rPr>
          <w:rFonts w:ascii="Arial" w:hAnsi="Arial" w:cs="Arial"/>
        </w:rPr>
      </w:pPr>
      <w:r w:rsidRPr="003A29C6">
        <w:rPr>
          <w:rFonts w:ascii="Arial" w:hAnsi="Arial" w:cs="Arial"/>
          <w:b/>
          <w:bCs/>
        </w:rPr>
        <w:t>COMPETING INTERESTS DISCLAIMER:</w:t>
      </w:r>
    </w:p>
    <w:p w14:paraId="24E12620" w14:textId="77777777" w:rsidR="00B61F86" w:rsidRDefault="00B61F86" w:rsidP="00B61F86">
      <w:r w:rsidRPr="00A10EDE">
        <w:t>Authors have declared that they have no known competing financial interests OR non-financial interests OR personal relationships that could have appeared to influence the work reported in this paper.</w:t>
      </w:r>
    </w:p>
    <w:p w14:paraId="6C805CE9" w14:textId="77777777" w:rsidR="00B61F86" w:rsidRDefault="00B61F86" w:rsidP="00B61F86"/>
    <w:p w14:paraId="137934D5" w14:textId="77777777" w:rsidR="00B61F86" w:rsidRDefault="00B61F86" w:rsidP="00B61F86"/>
    <w:p w14:paraId="39ACFA6F" w14:textId="77777777" w:rsidR="00B61F86" w:rsidRPr="00502F56" w:rsidRDefault="00B61F86" w:rsidP="00037D50">
      <w:pPr>
        <w:spacing w:line="360" w:lineRule="auto"/>
        <w:jc w:val="both"/>
        <w:rPr>
          <w:rFonts w:ascii="Times New Roman" w:hAnsi="Times New Roman" w:cs="Times New Roman"/>
          <w:sz w:val="24"/>
          <w:szCs w:val="24"/>
        </w:rPr>
      </w:pPr>
    </w:p>
    <w:p w14:paraId="47B2B444" w14:textId="77777777" w:rsidR="0005134C" w:rsidRPr="00502F56" w:rsidRDefault="0005134C"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lastRenderedPageBreak/>
        <w:t>Reference</w:t>
      </w:r>
    </w:p>
    <w:p w14:paraId="2DBA6ACC"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Abdullah, A., Jamil, M. H., </w:t>
      </w:r>
      <w:proofErr w:type="spellStart"/>
      <w:r w:rsidRPr="00502F56">
        <w:rPr>
          <w:rFonts w:ascii="Times New Roman" w:hAnsi="Times New Roman" w:cs="Times New Roman"/>
          <w:color w:val="222222"/>
          <w:sz w:val="24"/>
          <w:szCs w:val="24"/>
          <w:shd w:val="clear" w:color="auto" w:fill="FFFFFF"/>
        </w:rPr>
        <w:t>Mustabi</w:t>
      </w:r>
      <w:proofErr w:type="spellEnd"/>
      <w:r w:rsidRPr="00502F56">
        <w:rPr>
          <w:rFonts w:ascii="Times New Roman" w:hAnsi="Times New Roman" w:cs="Times New Roman"/>
          <w:color w:val="222222"/>
          <w:sz w:val="24"/>
          <w:szCs w:val="24"/>
          <w:shd w:val="clear" w:color="auto" w:fill="FFFFFF"/>
        </w:rPr>
        <w:t xml:space="preserve">, J., &amp; </w:t>
      </w:r>
      <w:proofErr w:type="spellStart"/>
      <w:r w:rsidRPr="00502F56">
        <w:rPr>
          <w:rFonts w:ascii="Times New Roman" w:hAnsi="Times New Roman" w:cs="Times New Roman"/>
          <w:color w:val="222222"/>
          <w:sz w:val="24"/>
          <w:szCs w:val="24"/>
          <w:shd w:val="clear" w:color="auto" w:fill="FFFFFF"/>
        </w:rPr>
        <w:t>Asnawi</w:t>
      </w:r>
      <w:proofErr w:type="spellEnd"/>
      <w:r w:rsidRPr="00502F56">
        <w:rPr>
          <w:rFonts w:ascii="Times New Roman" w:hAnsi="Times New Roman" w:cs="Times New Roman"/>
          <w:color w:val="222222"/>
          <w:sz w:val="24"/>
          <w:szCs w:val="24"/>
          <w:shd w:val="clear" w:color="auto" w:fill="FFFFFF"/>
        </w:rPr>
        <w:t>, A. (2021, June). Strengthening of agent extension capacity in efforts to improve the empowerment of beef cattle farmers. In </w:t>
      </w:r>
      <w:r w:rsidRPr="00502F56">
        <w:rPr>
          <w:rFonts w:ascii="Times New Roman" w:hAnsi="Times New Roman" w:cs="Times New Roman"/>
          <w:i/>
          <w:iCs/>
          <w:color w:val="222222"/>
          <w:sz w:val="24"/>
          <w:szCs w:val="24"/>
          <w:shd w:val="clear" w:color="auto" w:fill="FFFFFF"/>
        </w:rPr>
        <w:t>IOP Conference Series: Earth and Environmental Science</w:t>
      </w:r>
      <w:r w:rsidRPr="00502F56">
        <w:rPr>
          <w:rFonts w:ascii="Times New Roman" w:hAnsi="Times New Roman" w:cs="Times New Roman"/>
          <w:color w:val="222222"/>
          <w:sz w:val="24"/>
          <w:szCs w:val="24"/>
          <w:shd w:val="clear" w:color="auto" w:fill="FFFFFF"/>
        </w:rPr>
        <w:t> (Vol. 788, No. 1, p. 012159). IOP Publishing.</w:t>
      </w:r>
    </w:p>
    <w:p w14:paraId="639FE2A2"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Adak, S., Mandal, N., Maity, P. P., Mukhopadhyay, A., &amp; </w:t>
      </w:r>
      <w:proofErr w:type="spellStart"/>
      <w:r w:rsidRPr="00502F56">
        <w:rPr>
          <w:rFonts w:ascii="Times New Roman" w:hAnsi="Times New Roman" w:cs="Times New Roman"/>
          <w:color w:val="222222"/>
          <w:sz w:val="24"/>
          <w:szCs w:val="24"/>
          <w:shd w:val="clear" w:color="auto" w:fill="FFFFFF"/>
        </w:rPr>
        <w:t>Gunturi</w:t>
      </w:r>
      <w:proofErr w:type="spellEnd"/>
      <w:r w:rsidRPr="00502F56">
        <w:rPr>
          <w:rFonts w:ascii="Times New Roman" w:hAnsi="Times New Roman" w:cs="Times New Roman"/>
          <w:color w:val="222222"/>
          <w:sz w:val="24"/>
          <w:szCs w:val="24"/>
          <w:shd w:val="clear" w:color="auto" w:fill="FFFFFF"/>
        </w:rPr>
        <w:t>, A. (2023). Digital Soil Health: Unveiling the Potential of Soil Health Monitoring. </w:t>
      </w:r>
      <w:r w:rsidRPr="00502F56">
        <w:rPr>
          <w:rFonts w:ascii="Times New Roman" w:hAnsi="Times New Roman" w:cs="Times New Roman"/>
          <w:i/>
          <w:iCs/>
          <w:color w:val="222222"/>
          <w:sz w:val="24"/>
          <w:szCs w:val="24"/>
          <w:shd w:val="clear" w:color="auto" w:fill="FFFFFF"/>
        </w:rPr>
        <w:t>Food and Scientific Reports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w:t>
      </w:r>
      <w:r w:rsidRPr="00502F56">
        <w:rPr>
          <w:rFonts w:ascii="Times New Roman" w:hAnsi="Times New Roman" w:cs="Times New Roman"/>
          <w:color w:val="222222"/>
          <w:sz w:val="24"/>
          <w:szCs w:val="24"/>
          <w:shd w:val="clear" w:color="auto" w:fill="FFFFFF"/>
        </w:rPr>
        <w:t>(9), 96-103.</w:t>
      </w:r>
    </w:p>
    <w:p w14:paraId="07C6487B" w14:textId="77777777" w:rsidR="0005134C" w:rsidRPr="00502F56" w:rsidRDefault="0005134C" w:rsidP="0005134C">
      <w:pPr>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Adamsone-Fiskovica</w:t>
      </w:r>
      <w:proofErr w:type="spellEnd"/>
      <w:r w:rsidRPr="00502F56">
        <w:rPr>
          <w:rFonts w:ascii="Times New Roman" w:hAnsi="Times New Roman" w:cs="Times New Roman"/>
          <w:color w:val="222222"/>
          <w:sz w:val="24"/>
          <w:szCs w:val="24"/>
          <w:shd w:val="clear" w:color="auto" w:fill="FFFFFF"/>
        </w:rPr>
        <w:t xml:space="preserve">, A., &amp; </w:t>
      </w:r>
      <w:proofErr w:type="spellStart"/>
      <w:r w:rsidRPr="00502F56">
        <w:rPr>
          <w:rFonts w:ascii="Times New Roman" w:hAnsi="Times New Roman" w:cs="Times New Roman"/>
          <w:color w:val="222222"/>
          <w:sz w:val="24"/>
          <w:szCs w:val="24"/>
          <w:shd w:val="clear" w:color="auto" w:fill="FFFFFF"/>
        </w:rPr>
        <w:t>Grivins</w:t>
      </w:r>
      <w:proofErr w:type="spellEnd"/>
      <w:r w:rsidRPr="00502F56">
        <w:rPr>
          <w:rFonts w:ascii="Times New Roman" w:hAnsi="Times New Roman" w:cs="Times New Roman"/>
          <w:color w:val="222222"/>
          <w:sz w:val="24"/>
          <w:szCs w:val="24"/>
          <w:shd w:val="clear" w:color="auto" w:fill="FFFFFF"/>
        </w:rPr>
        <w:t>, M. (2022). Knowledge production and communication in on-farm demonstrations: putting farmer participatory research and extension into practice. </w:t>
      </w:r>
      <w:r w:rsidRPr="00502F56">
        <w:rPr>
          <w:rFonts w:ascii="Times New Roman" w:hAnsi="Times New Roman" w:cs="Times New Roman"/>
          <w:i/>
          <w:iCs/>
          <w:color w:val="222222"/>
          <w:sz w:val="24"/>
          <w:szCs w:val="24"/>
          <w:shd w:val="clear" w:color="auto" w:fill="FFFFFF"/>
        </w:rPr>
        <w:t>The Journal of Agricultural Education and Extension</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28</w:t>
      </w:r>
      <w:r w:rsidRPr="00502F56">
        <w:rPr>
          <w:rFonts w:ascii="Times New Roman" w:hAnsi="Times New Roman" w:cs="Times New Roman"/>
          <w:color w:val="222222"/>
          <w:sz w:val="24"/>
          <w:szCs w:val="24"/>
          <w:shd w:val="clear" w:color="auto" w:fill="FFFFFF"/>
        </w:rPr>
        <w:t>(4), 479-502.</w:t>
      </w:r>
    </w:p>
    <w:p w14:paraId="5CD7522D" w14:textId="77777777" w:rsidR="0005134C" w:rsidRPr="00502F56" w:rsidRDefault="0005134C" w:rsidP="0005134C">
      <w:pPr>
        <w:spacing w:line="360" w:lineRule="auto"/>
        <w:jc w:val="both"/>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Ajogbeje</w:t>
      </w:r>
      <w:proofErr w:type="spellEnd"/>
      <w:r w:rsidRPr="00502F56">
        <w:rPr>
          <w:rFonts w:ascii="Times New Roman" w:hAnsi="Times New Roman" w:cs="Times New Roman"/>
          <w:color w:val="222222"/>
          <w:sz w:val="24"/>
          <w:szCs w:val="24"/>
          <w:shd w:val="clear" w:color="auto" w:fill="FFFFFF"/>
        </w:rPr>
        <w:t>, O. J. (2023). Enhancing classroom learning outcomes: The power of immediate feedback strategy. </w:t>
      </w:r>
      <w:r w:rsidRPr="00502F56">
        <w:rPr>
          <w:rFonts w:ascii="Times New Roman" w:hAnsi="Times New Roman" w:cs="Times New Roman"/>
          <w:i/>
          <w:iCs/>
          <w:color w:val="222222"/>
          <w:sz w:val="24"/>
          <w:szCs w:val="24"/>
          <w:shd w:val="clear" w:color="auto" w:fill="FFFFFF"/>
        </w:rPr>
        <w:t>International Journal of Disabilities Sports and Health Sciences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6</w:t>
      </w:r>
      <w:r w:rsidRPr="00502F56">
        <w:rPr>
          <w:rFonts w:ascii="Times New Roman" w:hAnsi="Times New Roman" w:cs="Times New Roman"/>
          <w:color w:val="222222"/>
          <w:sz w:val="24"/>
          <w:szCs w:val="24"/>
          <w:shd w:val="clear" w:color="auto" w:fill="FFFFFF"/>
        </w:rPr>
        <w:t>(3), 453-465.</w:t>
      </w:r>
    </w:p>
    <w:p w14:paraId="4B786ABA"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Alonso-Martínez, D., Jiménez-Parra, B., &amp; Cabeza-García, L. (2024). Theoretical framework to foster and assess sustainable agriculture practices: Drivers and key performance indicators. </w:t>
      </w:r>
      <w:r w:rsidRPr="00502F56">
        <w:rPr>
          <w:rFonts w:ascii="Times New Roman" w:hAnsi="Times New Roman" w:cs="Times New Roman"/>
          <w:i/>
          <w:iCs/>
          <w:color w:val="222222"/>
          <w:sz w:val="24"/>
          <w:szCs w:val="24"/>
          <w:shd w:val="clear" w:color="auto" w:fill="FFFFFF"/>
        </w:rPr>
        <w:t>Environmental and Sustainability Indicators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23</w:t>
      </w:r>
      <w:r w:rsidRPr="00502F56">
        <w:rPr>
          <w:rFonts w:ascii="Times New Roman" w:hAnsi="Times New Roman" w:cs="Times New Roman"/>
          <w:color w:val="222222"/>
          <w:sz w:val="24"/>
          <w:szCs w:val="24"/>
          <w:shd w:val="clear" w:color="auto" w:fill="FFFFFF"/>
        </w:rPr>
        <w:t>, 100434.</w:t>
      </w:r>
    </w:p>
    <w:p w14:paraId="65A34E5D"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Anadon, L. D., Chan, G., Harley, A. G., Matus, K., Moon, S., Murthy, S. L., &amp; Clark, W. C. (2016). Making technological innovation work for sustainable development. </w:t>
      </w:r>
      <w:r w:rsidRPr="00502F56">
        <w:rPr>
          <w:rFonts w:ascii="Times New Roman" w:hAnsi="Times New Roman" w:cs="Times New Roman"/>
          <w:i/>
          <w:iCs/>
          <w:color w:val="222222"/>
          <w:sz w:val="24"/>
          <w:szCs w:val="24"/>
          <w:shd w:val="clear" w:color="auto" w:fill="FFFFFF"/>
        </w:rPr>
        <w:t>Proceedings of the National Academy of Sciences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113</w:t>
      </w:r>
      <w:r w:rsidRPr="00502F56">
        <w:rPr>
          <w:rFonts w:ascii="Times New Roman" w:hAnsi="Times New Roman" w:cs="Times New Roman"/>
          <w:color w:val="222222"/>
          <w:sz w:val="24"/>
          <w:szCs w:val="24"/>
          <w:shd w:val="clear" w:color="auto" w:fill="FFFFFF"/>
        </w:rPr>
        <w:t>(35), 9682-9690.</w:t>
      </w:r>
    </w:p>
    <w:p w14:paraId="45023C19"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Anteneh, A., &amp; Melak, A. (2024). ICT-based agricultural extension and advisory service in Ethiopia: A review. </w:t>
      </w:r>
      <w:r w:rsidRPr="00502F56">
        <w:rPr>
          <w:rFonts w:ascii="Times New Roman" w:hAnsi="Times New Roman" w:cs="Times New Roman"/>
          <w:i/>
          <w:iCs/>
          <w:color w:val="222222"/>
          <w:sz w:val="24"/>
          <w:szCs w:val="24"/>
          <w:shd w:val="clear" w:color="auto" w:fill="FFFFFF"/>
        </w:rPr>
        <w:t>Cogent Food &amp; Agriculture</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10</w:t>
      </w:r>
      <w:r w:rsidRPr="00502F56">
        <w:rPr>
          <w:rFonts w:ascii="Times New Roman" w:hAnsi="Times New Roman" w:cs="Times New Roman"/>
          <w:color w:val="222222"/>
          <w:sz w:val="24"/>
          <w:szCs w:val="24"/>
          <w:shd w:val="clear" w:color="auto" w:fill="FFFFFF"/>
        </w:rPr>
        <w:t>(1), 2391121.</w:t>
      </w:r>
    </w:p>
    <w:p w14:paraId="01C85DA8"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Araujo, S. O., Peres, R. S., Ramalho, J. C., Lidon, F., &amp; Barata, J. (2023). Machine learning applications in agriculture: current trends, challenges, and future perspectives. </w:t>
      </w:r>
      <w:r w:rsidRPr="00502F56">
        <w:rPr>
          <w:rFonts w:ascii="Times New Roman" w:hAnsi="Times New Roman" w:cs="Times New Roman"/>
          <w:i/>
          <w:iCs/>
          <w:color w:val="222222"/>
          <w:sz w:val="24"/>
          <w:szCs w:val="24"/>
          <w:shd w:val="clear" w:color="auto" w:fill="FFFFFF"/>
        </w:rPr>
        <w:t>Agronomy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13</w:t>
      </w:r>
      <w:r w:rsidRPr="00502F56">
        <w:rPr>
          <w:rFonts w:ascii="Times New Roman" w:hAnsi="Times New Roman" w:cs="Times New Roman"/>
          <w:color w:val="222222"/>
          <w:sz w:val="24"/>
          <w:szCs w:val="24"/>
          <w:shd w:val="clear" w:color="auto" w:fill="FFFFFF"/>
        </w:rPr>
        <w:t>(12), 2976.</w:t>
      </w:r>
    </w:p>
    <w:p w14:paraId="7EBDAFF3"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Belcher, B. M., Claus, R., Davel, R., &amp; Place, F. (2024). Indicators for monitoring and evaluating research-for-development: A critical review of a system in use. </w:t>
      </w:r>
      <w:r w:rsidRPr="00502F56">
        <w:rPr>
          <w:rFonts w:ascii="Times New Roman" w:hAnsi="Times New Roman" w:cs="Times New Roman"/>
          <w:i/>
          <w:iCs/>
          <w:color w:val="222222"/>
          <w:sz w:val="24"/>
          <w:szCs w:val="24"/>
          <w:shd w:val="clear" w:color="auto" w:fill="FFFFFF"/>
        </w:rPr>
        <w:t>Environmental and Sustainability Indicators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24</w:t>
      </w:r>
      <w:r w:rsidRPr="00502F56">
        <w:rPr>
          <w:rFonts w:ascii="Times New Roman" w:hAnsi="Times New Roman" w:cs="Times New Roman"/>
          <w:color w:val="222222"/>
          <w:sz w:val="24"/>
          <w:szCs w:val="24"/>
          <w:shd w:val="clear" w:color="auto" w:fill="FFFFFF"/>
        </w:rPr>
        <w:t>, 100526.</w:t>
      </w:r>
    </w:p>
    <w:p w14:paraId="4E13E6C7" w14:textId="77777777" w:rsidR="0005134C" w:rsidRPr="00502F56" w:rsidRDefault="0005134C" w:rsidP="0005134C">
      <w:pPr>
        <w:spacing w:line="360" w:lineRule="auto"/>
        <w:jc w:val="both"/>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Cárceles</w:t>
      </w:r>
      <w:proofErr w:type="spellEnd"/>
      <w:r w:rsidRPr="00502F56">
        <w:rPr>
          <w:rFonts w:ascii="Times New Roman" w:hAnsi="Times New Roman" w:cs="Times New Roman"/>
          <w:color w:val="222222"/>
          <w:sz w:val="24"/>
          <w:szCs w:val="24"/>
          <w:shd w:val="clear" w:color="auto" w:fill="FFFFFF"/>
        </w:rPr>
        <w:t xml:space="preserve"> Rodríguez, B., Durán-Zuazo, V. H., Soriano Rodríguez, M., García-Tejero, I. F., Gálvez Ruiz, B., &amp; Cuadros Tavira, S. (2022). Conservation agriculture as a sustainable system for soil health: A review. </w:t>
      </w:r>
      <w:r w:rsidRPr="00502F56">
        <w:rPr>
          <w:rFonts w:ascii="Times New Roman" w:hAnsi="Times New Roman" w:cs="Times New Roman"/>
          <w:i/>
          <w:iCs/>
          <w:color w:val="222222"/>
          <w:sz w:val="24"/>
          <w:szCs w:val="24"/>
          <w:shd w:val="clear" w:color="auto" w:fill="FFFFFF"/>
        </w:rPr>
        <w:t>Soil Systems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6</w:t>
      </w:r>
      <w:r w:rsidRPr="00502F56">
        <w:rPr>
          <w:rFonts w:ascii="Times New Roman" w:hAnsi="Times New Roman" w:cs="Times New Roman"/>
          <w:color w:val="222222"/>
          <w:sz w:val="24"/>
          <w:szCs w:val="24"/>
          <w:shd w:val="clear" w:color="auto" w:fill="FFFFFF"/>
        </w:rPr>
        <w:t>(4), 87.</w:t>
      </w:r>
    </w:p>
    <w:p w14:paraId="6C89479E"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lastRenderedPageBreak/>
        <w:t xml:space="preserve">Cardoso, E. J. B. N., Vasconcellos, R. L. F., Bini, D., Miyauchi, M. Y. H., Santos, C. A. D., Alves, P. R. L., ... &amp; Nogueira, M. A. (2013). Soil health: looking for suitable indicators. What should be considered to assess the effects of use and management on soil </w:t>
      </w:r>
      <w:proofErr w:type="gramStart"/>
      <w:r w:rsidRPr="00502F56">
        <w:rPr>
          <w:rFonts w:ascii="Times New Roman" w:hAnsi="Times New Roman" w:cs="Times New Roman"/>
          <w:color w:val="222222"/>
          <w:sz w:val="24"/>
          <w:szCs w:val="24"/>
          <w:shd w:val="clear" w:color="auto" w:fill="FFFFFF"/>
        </w:rPr>
        <w:t>health?.</w:t>
      </w:r>
      <w:proofErr w:type="gramEnd"/>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Scientia Agricola</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70</w:t>
      </w:r>
      <w:r w:rsidRPr="00502F56">
        <w:rPr>
          <w:rFonts w:ascii="Times New Roman" w:hAnsi="Times New Roman" w:cs="Times New Roman"/>
          <w:color w:val="222222"/>
          <w:sz w:val="24"/>
          <w:szCs w:val="24"/>
          <w:shd w:val="clear" w:color="auto" w:fill="FFFFFF"/>
        </w:rPr>
        <w:t>, 274-289.</w:t>
      </w:r>
    </w:p>
    <w:p w14:paraId="698D64BE" w14:textId="77777777" w:rsidR="0005134C" w:rsidRPr="00502F56" w:rsidRDefault="0005134C" w:rsidP="0005134C">
      <w:pPr>
        <w:spacing w:line="360" w:lineRule="auto"/>
        <w:jc w:val="both"/>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Charokar</w:t>
      </w:r>
      <w:proofErr w:type="spellEnd"/>
      <w:r w:rsidRPr="00502F56">
        <w:rPr>
          <w:rFonts w:ascii="Times New Roman" w:hAnsi="Times New Roman" w:cs="Times New Roman"/>
          <w:color w:val="222222"/>
          <w:sz w:val="24"/>
          <w:szCs w:val="24"/>
          <w:shd w:val="clear" w:color="auto" w:fill="FFFFFF"/>
        </w:rPr>
        <w:t xml:space="preserve">, K., &amp; Dulloo, P. (2022). Self-directed learning theory to practice: a footstep towards the path of being a life-long </w:t>
      </w:r>
      <w:proofErr w:type="spellStart"/>
      <w:r w:rsidRPr="00502F56">
        <w:rPr>
          <w:rFonts w:ascii="Times New Roman" w:hAnsi="Times New Roman" w:cs="Times New Roman"/>
          <w:color w:val="222222"/>
          <w:sz w:val="24"/>
          <w:szCs w:val="24"/>
          <w:shd w:val="clear" w:color="auto" w:fill="FFFFFF"/>
        </w:rPr>
        <w:t>learne</w:t>
      </w:r>
      <w:proofErr w:type="spellEnd"/>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Journal of Advances in Medical Education &amp; Professionalism</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10</w:t>
      </w:r>
      <w:r w:rsidRPr="00502F56">
        <w:rPr>
          <w:rFonts w:ascii="Times New Roman" w:hAnsi="Times New Roman" w:cs="Times New Roman"/>
          <w:color w:val="222222"/>
          <w:sz w:val="24"/>
          <w:szCs w:val="24"/>
          <w:shd w:val="clear" w:color="auto" w:fill="FFFFFF"/>
        </w:rPr>
        <w:t>(3), 135.</w:t>
      </w:r>
    </w:p>
    <w:p w14:paraId="705EC009"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Chopin, P., </w:t>
      </w:r>
      <w:proofErr w:type="spellStart"/>
      <w:r w:rsidRPr="00502F56">
        <w:rPr>
          <w:rFonts w:ascii="Times New Roman" w:hAnsi="Times New Roman" w:cs="Times New Roman"/>
          <w:color w:val="222222"/>
          <w:sz w:val="24"/>
          <w:szCs w:val="24"/>
          <w:shd w:val="clear" w:color="auto" w:fill="FFFFFF"/>
        </w:rPr>
        <w:t>Mubaya</w:t>
      </w:r>
      <w:proofErr w:type="spellEnd"/>
      <w:r w:rsidRPr="00502F56">
        <w:rPr>
          <w:rFonts w:ascii="Times New Roman" w:hAnsi="Times New Roman" w:cs="Times New Roman"/>
          <w:color w:val="222222"/>
          <w:sz w:val="24"/>
          <w:szCs w:val="24"/>
          <w:shd w:val="clear" w:color="auto" w:fill="FFFFFF"/>
        </w:rPr>
        <w:t xml:space="preserve">, C. P., </w:t>
      </w:r>
      <w:proofErr w:type="spellStart"/>
      <w:r w:rsidRPr="00502F56">
        <w:rPr>
          <w:rFonts w:ascii="Times New Roman" w:hAnsi="Times New Roman" w:cs="Times New Roman"/>
          <w:color w:val="222222"/>
          <w:sz w:val="24"/>
          <w:szCs w:val="24"/>
          <w:shd w:val="clear" w:color="auto" w:fill="FFFFFF"/>
        </w:rPr>
        <w:t>Descheemaeker</w:t>
      </w:r>
      <w:proofErr w:type="spellEnd"/>
      <w:r w:rsidRPr="00502F56">
        <w:rPr>
          <w:rFonts w:ascii="Times New Roman" w:hAnsi="Times New Roman" w:cs="Times New Roman"/>
          <w:color w:val="222222"/>
          <w:sz w:val="24"/>
          <w:szCs w:val="24"/>
          <w:shd w:val="clear" w:color="auto" w:fill="FFFFFF"/>
        </w:rPr>
        <w:t xml:space="preserve">, K., </w:t>
      </w:r>
      <w:proofErr w:type="spellStart"/>
      <w:r w:rsidRPr="00502F56">
        <w:rPr>
          <w:rFonts w:ascii="Times New Roman" w:hAnsi="Times New Roman" w:cs="Times New Roman"/>
          <w:color w:val="222222"/>
          <w:sz w:val="24"/>
          <w:szCs w:val="24"/>
          <w:shd w:val="clear" w:color="auto" w:fill="FFFFFF"/>
        </w:rPr>
        <w:t>Öborn</w:t>
      </w:r>
      <w:proofErr w:type="spellEnd"/>
      <w:r w:rsidRPr="00502F56">
        <w:rPr>
          <w:rFonts w:ascii="Times New Roman" w:hAnsi="Times New Roman" w:cs="Times New Roman"/>
          <w:color w:val="222222"/>
          <w:sz w:val="24"/>
          <w:szCs w:val="24"/>
          <w:shd w:val="clear" w:color="auto" w:fill="FFFFFF"/>
        </w:rPr>
        <w:t>, I., &amp; Bergkvist, G. (2021). Avenues for improving farming sustainability assessment with upgraded tools, sustainability framing and indicators. A review. </w:t>
      </w:r>
      <w:r w:rsidRPr="00502F56">
        <w:rPr>
          <w:rFonts w:ascii="Times New Roman" w:hAnsi="Times New Roman" w:cs="Times New Roman"/>
          <w:i/>
          <w:iCs/>
          <w:color w:val="222222"/>
          <w:sz w:val="24"/>
          <w:szCs w:val="24"/>
          <w:shd w:val="clear" w:color="auto" w:fill="FFFFFF"/>
        </w:rPr>
        <w:t>Agronomy for Sustainable Development</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41</w:t>
      </w:r>
      <w:r w:rsidRPr="00502F56">
        <w:rPr>
          <w:rFonts w:ascii="Times New Roman" w:hAnsi="Times New Roman" w:cs="Times New Roman"/>
          <w:color w:val="222222"/>
          <w:sz w:val="24"/>
          <w:szCs w:val="24"/>
          <w:shd w:val="clear" w:color="auto" w:fill="FFFFFF"/>
        </w:rPr>
        <w:t>(2), 19.</w:t>
      </w:r>
    </w:p>
    <w:p w14:paraId="7DFA1280" w14:textId="77777777" w:rsidR="0005134C" w:rsidRPr="00502F56" w:rsidRDefault="0005134C" w:rsidP="0005134C">
      <w:pPr>
        <w:spacing w:line="360" w:lineRule="auto"/>
        <w:jc w:val="both"/>
        <w:rPr>
          <w:rFonts w:ascii="Times New Roman" w:hAnsi="Times New Roman" w:cs="Times New Roman"/>
          <w:color w:val="222222"/>
          <w:sz w:val="24"/>
          <w:szCs w:val="24"/>
          <w:shd w:val="clear" w:color="auto" w:fill="FFFFFF"/>
        </w:rPr>
      </w:pPr>
      <w:r w:rsidRPr="00502F56">
        <w:rPr>
          <w:rFonts w:ascii="Times New Roman" w:hAnsi="Times New Roman" w:cs="Times New Roman"/>
          <w:color w:val="222222"/>
          <w:sz w:val="24"/>
          <w:szCs w:val="24"/>
          <w:shd w:val="clear" w:color="auto" w:fill="FFFFFF"/>
        </w:rPr>
        <w:t>Davis, K. E., Makhija, S., &amp; Spielman, D. J. (2021). </w:t>
      </w:r>
      <w:r w:rsidRPr="00502F56">
        <w:rPr>
          <w:rFonts w:ascii="Times New Roman" w:hAnsi="Times New Roman" w:cs="Times New Roman"/>
          <w:i/>
          <w:iCs/>
          <w:color w:val="222222"/>
          <w:sz w:val="24"/>
          <w:szCs w:val="24"/>
          <w:shd w:val="clear" w:color="auto" w:fill="FFFFFF"/>
        </w:rPr>
        <w:t xml:space="preserve">Agricultural extension and rural advisory services: What have we learned? What’s </w:t>
      </w:r>
      <w:proofErr w:type="gramStart"/>
      <w:r w:rsidRPr="00502F56">
        <w:rPr>
          <w:rFonts w:ascii="Times New Roman" w:hAnsi="Times New Roman" w:cs="Times New Roman"/>
          <w:i/>
          <w:iCs/>
          <w:color w:val="222222"/>
          <w:sz w:val="24"/>
          <w:szCs w:val="24"/>
          <w:shd w:val="clear" w:color="auto" w:fill="FFFFFF"/>
        </w:rPr>
        <w:t>next?</w:t>
      </w:r>
      <w:r w:rsidRPr="00502F56">
        <w:rPr>
          <w:rFonts w:ascii="Times New Roman" w:hAnsi="Times New Roman" w:cs="Times New Roman"/>
          <w:color w:val="222222"/>
          <w:sz w:val="24"/>
          <w:szCs w:val="24"/>
          <w:shd w:val="clear" w:color="auto" w:fill="FFFFFF"/>
        </w:rPr>
        <w:t>.</w:t>
      </w:r>
      <w:proofErr w:type="gramEnd"/>
      <w:r w:rsidRPr="00502F56">
        <w:rPr>
          <w:rFonts w:ascii="Times New Roman" w:hAnsi="Times New Roman" w:cs="Times New Roman"/>
          <w:color w:val="222222"/>
          <w:sz w:val="24"/>
          <w:szCs w:val="24"/>
          <w:shd w:val="clear" w:color="auto" w:fill="FFFFFF"/>
        </w:rPr>
        <w:t xml:space="preserve"> Intl Food Policy Res Inst.</w:t>
      </w:r>
    </w:p>
    <w:p w14:paraId="7DA4B4CD"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Deng, T. (2013). Impacts of transport infrastructure on productivity and economic growth: Recent advances and research challenges. </w:t>
      </w:r>
      <w:r w:rsidRPr="00502F56">
        <w:rPr>
          <w:rFonts w:ascii="Times New Roman" w:hAnsi="Times New Roman" w:cs="Times New Roman"/>
          <w:i/>
          <w:iCs/>
          <w:color w:val="222222"/>
          <w:sz w:val="24"/>
          <w:szCs w:val="24"/>
          <w:shd w:val="clear" w:color="auto" w:fill="FFFFFF"/>
        </w:rPr>
        <w:t>Transport Reviews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33</w:t>
      </w:r>
      <w:r w:rsidRPr="00502F56">
        <w:rPr>
          <w:rFonts w:ascii="Times New Roman" w:hAnsi="Times New Roman" w:cs="Times New Roman"/>
          <w:color w:val="222222"/>
          <w:sz w:val="24"/>
          <w:szCs w:val="24"/>
          <w:shd w:val="clear" w:color="auto" w:fill="FFFFFF"/>
        </w:rPr>
        <w:t>(6), 686-699.</w:t>
      </w:r>
    </w:p>
    <w:p w14:paraId="32B929DD"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Ejedegba, E. O. (2024). Synergizing fertilizer innovation and renewable energy for improved food security and climate resilience. </w:t>
      </w:r>
      <w:r w:rsidRPr="00502F56">
        <w:rPr>
          <w:rFonts w:ascii="Times New Roman" w:hAnsi="Times New Roman" w:cs="Times New Roman"/>
          <w:i/>
          <w:iCs/>
          <w:color w:val="222222"/>
          <w:sz w:val="24"/>
          <w:szCs w:val="24"/>
          <w:shd w:val="clear" w:color="auto" w:fill="FFFFFF"/>
        </w:rPr>
        <w:t>International Journal of Research Publication and Reviews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5</w:t>
      </w:r>
      <w:r w:rsidRPr="00502F56">
        <w:rPr>
          <w:rFonts w:ascii="Times New Roman" w:hAnsi="Times New Roman" w:cs="Times New Roman"/>
          <w:color w:val="222222"/>
          <w:sz w:val="24"/>
          <w:szCs w:val="24"/>
          <w:shd w:val="clear" w:color="auto" w:fill="FFFFFF"/>
        </w:rPr>
        <w:t>(12), 3073-3088.</w:t>
      </w:r>
    </w:p>
    <w:p w14:paraId="0487D3D6" w14:textId="77777777" w:rsidR="0005134C" w:rsidRPr="00502F56" w:rsidRDefault="0005134C" w:rsidP="0005134C">
      <w:pPr>
        <w:spacing w:line="360" w:lineRule="auto"/>
        <w:jc w:val="both"/>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Francaviglia</w:t>
      </w:r>
      <w:proofErr w:type="spellEnd"/>
      <w:r w:rsidRPr="00502F56">
        <w:rPr>
          <w:rFonts w:ascii="Times New Roman" w:hAnsi="Times New Roman" w:cs="Times New Roman"/>
          <w:color w:val="222222"/>
          <w:sz w:val="24"/>
          <w:szCs w:val="24"/>
          <w:shd w:val="clear" w:color="auto" w:fill="FFFFFF"/>
        </w:rPr>
        <w:t>, R., Almagro, M., &amp; Vicente-Vicente, J. L. (2023). Conservation agriculture and soil organic carbon: Principles, processes, practices and policy options. </w:t>
      </w:r>
      <w:r w:rsidRPr="00502F56">
        <w:rPr>
          <w:rFonts w:ascii="Times New Roman" w:hAnsi="Times New Roman" w:cs="Times New Roman"/>
          <w:i/>
          <w:iCs/>
          <w:color w:val="222222"/>
          <w:sz w:val="24"/>
          <w:szCs w:val="24"/>
          <w:shd w:val="clear" w:color="auto" w:fill="FFFFFF"/>
        </w:rPr>
        <w:t>Soil Systems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7</w:t>
      </w:r>
      <w:r w:rsidRPr="00502F56">
        <w:rPr>
          <w:rFonts w:ascii="Times New Roman" w:hAnsi="Times New Roman" w:cs="Times New Roman"/>
          <w:color w:val="222222"/>
          <w:sz w:val="24"/>
          <w:szCs w:val="24"/>
          <w:shd w:val="clear" w:color="auto" w:fill="FFFFFF"/>
        </w:rPr>
        <w:t>(1), 17.</w:t>
      </w:r>
    </w:p>
    <w:p w14:paraId="69D67655"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Gichuki, C., Osewe, M., &amp; Ndiritu, S. W. (2023). Dissemination of climate smart agricultural knowledge through farmer field schools (FFS): analyzing the application CAS knowledge by smallholder farmers. </w:t>
      </w:r>
      <w:r w:rsidRPr="00502F56">
        <w:rPr>
          <w:rFonts w:ascii="Times New Roman" w:hAnsi="Times New Roman" w:cs="Times New Roman"/>
          <w:i/>
          <w:iCs/>
          <w:color w:val="222222"/>
          <w:sz w:val="24"/>
          <w:szCs w:val="24"/>
          <w:shd w:val="clear" w:color="auto" w:fill="FFFFFF"/>
        </w:rPr>
        <w:t>International Journal of Development Issues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22</w:t>
      </w:r>
      <w:r w:rsidRPr="00502F56">
        <w:rPr>
          <w:rFonts w:ascii="Times New Roman" w:hAnsi="Times New Roman" w:cs="Times New Roman"/>
          <w:color w:val="222222"/>
          <w:sz w:val="24"/>
          <w:szCs w:val="24"/>
          <w:shd w:val="clear" w:color="auto" w:fill="FFFFFF"/>
        </w:rPr>
        <w:t>(3), 399-417.</w:t>
      </w:r>
    </w:p>
    <w:p w14:paraId="6386808E"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Gillespie, S., &amp; van den Bold, M. (2017). Agriculture, food systems, and nutrition: meeting the challenge. </w:t>
      </w:r>
      <w:r w:rsidRPr="00502F56">
        <w:rPr>
          <w:rFonts w:ascii="Times New Roman" w:hAnsi="Times New Roman" w:cs="Times New Roman"/>
          <w:i/>
          <w:iCs/>
          <w:color w:val="222222"/>
          <w:sz w:val="24"/>
          <w:szCs w:val="24"/>
          <w:shd w:val="clear" w:color="auto" w:fill="FFFFFF"/>
        </w:rPr>
        <w:t>Global Challenges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w:t>
      </w:r>
      <w:r w:rsidRPr="00502F56">
        <w:rPr>
          <w:rFonts w:ascii="Times New Roman" w:hAnsi="Times New Roman" w:cs="Times New Roman"/>
          <w:color w:val="222222"/>
          <w:sz w:val="24"/>
          <w:szCs w:val="24"/>
          <w:shd w:val="clear" w:color="auto" w:fill="FFFFFF"/>
        </w:rPr>
        <w:t>(3), 1600002.</w:t>
      </w:r>
    </w:p>
    <w:p w14:paraId="39FEB415"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Hazelton, P., &amp; Murphy, B. (2025). </w:t>
      </w:r>
      <w:r w:rsidRPr="00502F56">
        <w:rPr>
          <w:rFonts w:ascii="Times New Roman" w:hAnsi="Times New Roman" w:cs="Times New Roman"/>
          <w:i/>
          <w:iCs/>
          <w:color w:val="222222"/>
          <w:sz w:val="24"/>
          <w:szCs w:val="24"/>
          <w:shd w:val="clear" w:color="auto" w:fill="FFFFFF"/>
        </w:rPr>
        <w:t xml:space="preserve">Interpreting soil test results: What do all the numbers </w:t>
      </w:r>
      <w:proofErr w:type="gramStart"/>
      <w:r w:rsidRPr="00502F56">
        <w:rPr>
          <w:rFonts w:ascii="Times New Roman" w:hAnsi="Times New Roman" w:cs="Times New Roman"/>
          <w:i/>
          <w:iCs/>
          <w:color w:val="222222"/>
          <w:sz w:val="24"/>
          <w:szCs w:val="24"/>
          <w:shd w:val="clear" w:color="auto" w:fill="FFFFFF"/>
        </w:rPr>
        <w:t>mean?</w:t>
      </w:r>
      <w:r w:rsidRPr="00502F56">
        <w:rPr>
          <w:rFonts w:ascii="Times New Roman" w:hAnsi="Times New Roman" w:cs="Times New Roman"/>
          <w:color w:val="222222"/>
          <w:sz w:val="24"/>
          <w:szCs w:val="24"/>
          <w:shd w:val="clear" w:color="auto" w:fill="FFFFFF"/>
        </w:rPr>
        <w:t>.</w:t>
      </w:r>
      <w:proofErr w:type="gramEnd"/>
      <w:r w:rsidRPr="00502F56">
        <w:rPr>
          <w:rFonts w:ascii="Times New Roman" w:hAnsi="Times New Roman" w:cs="Times New Roman"/>
          <w:color w:val="222222"/>
          <w:sz w:val="24"/>
          <w:szCs w:val="24"/>
          <w:shd w:val="clear" w:color="auto" w:fill="FFFFFF"/>
        </w:rPr>
        <w:t xml:space="preserve"> CSIRO publishing.</w:t>
      </w:r>
    </w:p>
    <w:p w14:paraId="7B4F6410"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Hu, W., Zhang, Y., </w:t>
      </w:r>
      <w:proofErr w:type="spellStart"/>
      <w:r w:rsidRPr="00502F56">
        <w:rPr>
          <w:rFonts w:ascii="Times New Roman" w:hAnsi="Times New Roman" w:cs="Times New Roman"/>
          <w:color w:val="222222"/>
          <w:sz w:val="24"/>
          <w:szCs w:val="24"/>
          <w:shd w:val="clear" w:color="auto" w:fill="FFFFFF"/>
        </w:rPr>
        <w:t>Xiangmin</w:t>
      </w:r>
      <w:proofErr w:type="spellEnd"/>
      <w:r w:rsidRPr="00502F56">
        <w:rPr>
          <w:rFonts w:ascii="Times New Roman" w:hAnsi="Times New Roman" w:cs="Times New Roman"/>
          <w:color w:val="222222"/>
          <w:sz w:val="24"/>
          <w:szCs w:val="24"/>
          <w:shd w:val="clear" w:color="auto" w:fill="FFFFFF"/>
        </w:rPr>
        <w:t xml:space="preserve">, R., Fei, J., Peng, J., &amp; Luo, G. (2023). Coupling amendment of biochar and organic fertilizers increases maize yield and phosphorus uptake by regulating soil </w:t>
      </w:r>
      <w:r w:rsidRPr="00502F56">
        <w:rPr>
          <w:rFonts w:ascii="Times New Roman" w:hAnsi="Times New Roman" w:cs="Times New Roman"/>
          <w:color w:val="222222"/>
          <w:sz w:val="24"/>
          <w:szCs w:val="24"/>
          <w:shd w:val="clear" w:color="auto" w:fill="FFFFFF"/>
        </w:rPr>
        <w:lastRenderedPageBreak/>
        <w:t>phosphatase activity and phosphorus-acquiring microbiota. </w:t>
      </w:r>
      <w:r w:rsidRPr="00502F56">
        <w:rPr>
          <w:rFonts w:ascii="Times New Roman" w:hAnsi="Times New Roman" w:cs="Times New Roman"/>
          <w:i/>
          <w:iCs/>
          <w:color w:val="222222"/>
          <w:sz w:val="24"/>
          <w:szCs w:val="24"/>
          <w:shd w:val="clear" w:color="auto" w:fill="FFFFFF"/>
        </w:rPr>
        <w:t>Agriculture, Ecosystems &amp; Environment</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355</w:t>
      </w:r>
      <w:r w:rsidRPr="00502F56">
        <w:rPr>
          <w:rFonts w:ascii="Times New Roman" w:hAnsi="Times New Roman" w:cs="Times New Roman"/>
          <w:color w:val="222222"/>
          <w:sz w:val="24"/>
          <w:szCs w:val="24"/>
          <w:shd w:val="clear" w:color="auto" w:fill="FFFFFF"/>
        </w:rPr>
        <w:t>, 108582.</w:t>
      </w:r>
    </w:p>
    <w:p w14:paraId="2FBEC33B" w14:textId="77777777" w:rsidR="0005134C" w:rsidRPr="00502F56" w:rsidRDefault="0005134C" w:rsidP="0005134C">
      <w:pPr>
        <w:spacing w:line="360" w:lineRule="auto"/>
        <w:jc w:val="both"/>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Kalogiannidis</w:t>
      </w:r>
      <w:proofErr w:type="spellEnd"/>
      <w:r w:rsidRPr="00502F56">
        <w:rPr>
          <w:rFonts w:ascii="Times New Roman" w:hAnsi="Times New Roman" w:cs="Times New Roman"/>
          <w:color w:val="222222"/>
          <w:sz w:val="24"/>
          <w:szCs w:val="24"/>
          <w:shd w:val="clear" w:color="auto" w:fill="FFFFFF"/>
        </w:rPr>
        <w:t xml:space="preserve">, S., &amp; </w:t>
      </w:r>
      <w:proofErr w:type="spellStart"/>
      <w:r w:rsidRPr="00502F56">
        <w:rPr>
          <w:rFonts w:ascii="Times New Roman" w:hAnsi="Times New Roman" w:cs="Times New Roman"/>
          <w:color w:val="222222"/>
          <w:sz w:val="24"/>
          <w:szCs w:val="24"/>
          <w:shd w:val="clear" w:color="auto" w:fill="FFFFFF"/>
        </w:rPr>
        <w:t>Syndoukas</w:t>
      </w:r>
      <w:proofErr w:type="spellEnd"/>
      <w:r w:rsidRPr="00502F56">
        <w:rPr>
          <w:rFonts w:ascii="Times New Roman" w:hAnsi="Times New Roman" w:cs="Times New Roman"/>
          <w:color w:val="222222"/>
          <w:sz w:val="24"/>
          <w:szCs w:val="24"/>
          <w:shd w:val="clear" w:color="auto" w:fill="FFFFFF"/>
        </w:rPr>
        <w:t>, D. (2024). The impact of agricultural extension services on farm output: A worldwide viewpoint. </w:t>
      </w:r>
      <w:r w:rsidRPr="00502F56">
        <w:rPr>
          <w:rFonts w:ascii="Times New Roman" w:hAnsi="Times New Roman" w:cs="Times New Roman"/>
          <w:i/>
          <w:iCs/>
          <w:color w:val="222222"/>
          <w:sz w:val="24"/>
          <w:szCs w:val="24"/>
          <w:shd w:val="clear" w:color="auto" w:fill="FFFFFF"/>
        </w:rPr>
        <w:t>Research on World Agricultural Economy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5</w:t>
      </w:r>
      <w:r w:rsidRPr="00502F56">
        <w:rPr>
          <w:rFonts w:ascii="Times New Roman" w:hAnsi="Times New Roman" w:cs="Times New Roman"/>
          <w:color w:val="222222"/>
          <w:sz w:val="24"/>
          <w:szCs w:val="24"/>
          <w:shd w:val="clear" w:color="auto" w:fill="FFFFFF"/>
        </w:rPr>
        <w:t>(1), 96-114.</w:t>
      </w:r>
    </w:p>
    <w:p w14:paraId="44548D5E"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Kansiime, M. K., </w:t>
      </w:r>
      <w:proofErr w:type="spellStart"/>
      <w:r w:rsidRPr="00502F56">
        <w:rPr>
          <w:rFonts w:ascii="Times New Roman" w:hAnsi="Times New Roman" w:cs="Times New Roman"/>
          <w:color w:val="222222"/>
          <w:sz w:val="24"/>
          <w:szCs w:val="24"/>
          <w:shd w:val="clear" w:color="auto" w:fill="FFFFFF"/>
        </w:rPr>
        <w:t>Njunge</w:t>
      </w:r>
      <w:proofErr w:type="spellEnd"/>
      <w:r w:rsidRPr="00502F56">
        <w:rPr>
          <w:rFonts w:ascii="Times New Roman" w:hAnsi="Times New Roman" w:cs="Times New Roman"/>
          <w:color w:val="222222"/>
          <w:sz w:val="24"/>
          <w:szCs w:val="24"/>
          <w:shd w:val="clear" w:color="auto" w:fill="FFFFFF"/>
        </w:rPr>
        <w:t xml:space="preserve">, R., Okuku, I., Baars, E., </w:t>
      </w:r>
      <w:proofErr w:type="spellStart"/>
      <w:r w:rsidRPr="00502F56">
        <w:rPr>
          <w:rFonts w:ascii="Times New Roman" w:hAnsi="Times New Roman" w:cs="Times New Roman"/>
          <w:color w:val="222222"/>
          <w:sz w:val="24"/>
          <w:szCs w:val="24"/>
          <w:shd w:val="clear" w:color="auto" w:fill="FFFFFF"/>
        </w:rPr>
        <w:t>Alokit</w:t>
      </w:r>
      <w:proofErr w:type="spellEnd"/>
      <w:r w:rsidRPr="00502F56">
        <w:rPr>
          <w:rFonts w:ascii="Times New Roman" w:hAnsi="Times New Roman" w:cs="Times New Roman"/>
          <w:color w:val="222222"/>
          <w:sz w:val="24"/>
          <w:szCs w:val="24"/>
          <w:shd w:val="clear" w:color="auto" w:fill="FFFFFF"/>
        </w:rPr>
        <w:t xml:space="preserve">, C., Duah, S., ... &amp; </w:t>
      </w:r>
      <w:proofErr w:type="spellStart"/>
      <w:r w:rsidRPr="00502F56">
        <w:rPr>
          <w:rFonts w:ascii="Times New Roman" w:hAnsi="Times New Roman" w:cs="Times New Roman"/>
          <w:color w:val="222222"/>
          <w:sz w:val="24"/>
          <w:szCs w:val="24"/>
          <w:shd w:val="clear" w:color="auto" w:fill="FFFFFF"/>
        </w:rPr>
        <w:t>Watiti</w:t>
      </w:r>
      <w:proofErr w:type="spellEnd"/>
      <w:r w:rsidRPr="00502F56">
        <w:rPr>
          <w:rFonts w:ascii="Times New Roman" w:hAnsi="Times New Roman" w:cs="Times New Roman"/>
          <w:color w:val="222222"/>
          <w:sz w:val="24"/>
          <w:szCs w:val="24"/>
          <w:shd w:val="clear" w:color="auto" w:fill="FFFFFF"/>
        </w:rPr>
        <w:t>, J. (2022). Bringing sustainable agricultural intensification practices and technologies to scale through campaign-based extension approaches: lessons from Africa Soil Health Consortium. </w:t>
      </w:r>
      <w:r w:rsidRPr="00502F56">
        <w:rPr>
          <w:rFonts w:ascii="Times New Roman" w:hAnsi="Times New Roman" w:cs="Times New Roman"/>
          <w:i/>
          <w:iCs/>
          <w:color w:val="222222"/>
          <w:sz w:val="24"/>
          <w:szCs w:val="24"/>
          <w:shd w:val="clear" w:color="auto" w:fill="FFFFFF"/>
        </w:rPr>
        <w:t>International Journal of Agricultural Sustainability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20</w:t>
      </w:r>
      <w:r w:rsidRPr="00502F56">
        <w:rPr>
          <w:rFonts w:ascii="Times New Roman" w:hAnsi="Times New Roman" w:cs="Times New Roman"/>
          <w:color w:val="222222"/>
          <w:sz w:val="24"/>
          <w:szCs w:val="24"/>
          <w:shd w:val="clear" w:color="auto" w:fill="FFFFFF"/>
        </w:rPr>
        <w:t>(5), 743-757.</w:t>
      </w:r>
    </w:p>
    <w:p w14:paraId="7AC02E4E"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Kansiime, M. K., </w:t>
      </w:r>
      <w:proofErr w:type="spellStart"/>
      <w:r w:rsidRPr="00502F56">
        <w:rPr>
          <w:rFonts w:ascii="Times New Roman" w:hAnsi="Times New Roman" w:cs="Times New Roman"/>
          <w:color w:val="222222"/>
          <w:sz w:val="24"/>
          <w:szCs w:val="24"/>
          <w:shd w:val="clear" w:color="auto" w:fill="FFFFFF"/>
        </w:rPr>
        <w:t>Njunge</w:t>
      </w:r>
      <w:proofErr w:type="spellEnd"/>
      <w:r w:rsidRPr="00502F56">
        <w:rPr>
          <w:rFonts w:ascii="Times New Roman" w:hAnsi="Times New Roman" w:cs="Times New Roman"/>
          <w:color w:val="222222"/>
          <w:sz w:val="24"/>
          <w:szCs w:val="24"/>
          <w:shd w:val="clear" w:color="auto" w:fill="FFFFFF"/>
        </w:rPr>
        <w:t xml:space="preserve">, R., Okuku, I., Baars, E., </w:t>
      </w:r>
      <w:proofErr w:type="spellStart"/>
      <w:r w:rsidRPr="00502F56">
        <w:rPr>
          <w:rFonts w:ascii="Times New Roman" w:hAnsi="Times New Roman" w:cs="Times New Roman"/>
          <w:color w:val="222222"/>
          <w:sz w:val="24"/>
          <w:szCs w:val="24"/>
          <w:shd w:val="clear" w:color="auto" w:fill="FFFFFF"/>
        </w:rPr>
        <w:t>Alokit</w:t>
      </w:r>
      <w:proofErr w:type="spellEnd"/>
      <w:r w:rsidRPr="00502F56">
        <w:rPr>
          <w:rFonts w:ascii="Times New Roman" w:hAnsi="Times New Roman" w:cs="Times New Roman"/>
          <w:color w:val="222222"/>
          <w:sz w:val="24"/>
          <w:szCs w:val="24"/>
          <w:shd w:val="clear" w:color="auto" w:fill="FFFFFF"/>
        </w:rPr>
        <w:t xml:space="preserve">, C., Duah, S., ... &amp; </w:t>
      </w:r>
      <w:proofErr w:type="spellStart"/>
      <w:r w:rsidRPr="00502F56">
        <w:rPr>
          <w:rFonts w:ascii="Times New Roman" w:hAnsi="Times New Roman" w:cs="Times New Roman"/>
          <w:color w:val="222222"/>
          <w:sz w:val="24"/>
          <w:szCs w:val="24"/>
          <w:shd w:val="clear" w:color="auto" w:fill="FFFFFF"/>
        </w:rPr>
        <w:t>Watiti</w:t>
      </w:r>
      <w:proofErr w:type="spellEnd"/>
      <w:r w:rsidRPr="00502F56">
        <w:rPr>
          <w:rFonts w:ascii="Times New Roman" w:hAnsi="Times New Roman" w:cs="Times New Roman"/>
          <w:color w:val="222222"/>
          <w:sz w:val="24"/>
          <w:szCs w:val="24"/>
          <w:shd w:val="clear" w:color="auto" w:fill="FFFFFF"/>
        </w:rPr>
        <w:t>, J. (2022). Bringing sustainable agricultural intensification practices and technologies to scale through campaign-based extension approaches: lessons from Africa Soil Health Consortium. </w:t>
      </w:r>
      <w:r w:rsidRPr="00502F56">
        <w:rPr>
          <w:rFonts w:ascii="Times New Roman" w:hAnsi="Times New Roman" w:cs="Times New Roman"/>
          <w:i/>
          <w:iCs/>
          <w:color w:val="222222"/>
          <w:sz w:val="24"/>
          <w:szCs w:val="24"/>
          <w:shd w:val="clear" w:color="auto" w:fill="FFFFFF"/>
        </w:rPr>
        <w:t>International Journal of Agricultural Sustainability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20</w:t>
      </w:r>
      <w:r w:rsidRPr="00502F56">
        <w:rPr>
          <w:rFonts w:ascii="Times New Roman" w:hAnsi="Times New Roman" w:cs="Times New Roman"/>
          <w:color w:val="222222"/>
          <w:sz w:val="24"/>
          <w:szCs w:val="24"/>
          <w:shd w:val="clear" w:color="auto" w:fill="FFFFFF"/>
        </w:rPr>
        <w:t>(5), 743-757.</w:t>
      </w:r>
    </w:p>
    <w:p w14:paraId="39BD5A67"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Kaplan‐Hallam, M., &amp; Bennett, N. J. (2018). Adaptive social impact management for conservation and environmental management. </w:t>
      </w:r>
      <w:r w:rsidRPr="00502F56">
        <w:rPr>
          <w:rFonts w:ascii="Times New Roman" w:hAnsi="Times New Roman" w:cs="Times New Roman"/>
          <w:i/>
          <w:iCs/>
          <w:color w:val="222222"/>
          <w:sz w:val="24"/>
          <w:szCs w:val="24"/>
          <w:shd w:val="clear" w:color="auto" w:fill="FFFFFF"/>
        </w:rPr>
        <w:t>Conservation Biology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32</w:t>
      </w:r>
      <w:r w:rsidRPr="00502F56">
        <w:rPr>
          <w:rFonts w:ascii="Times New Roman" w:hAnsi="Times New Roman" w:cs="Times New Roman"/>
          <w:color w:val="222222"/>
          <w:sz w:val="24"/>
          <w:szCs w:val="24"/>
          <w:shd w:val="clear" w:color="auto" w:fill="FFFFFF"/>
        </w:rPr>
        <w:t>(2), 304-314.</w:t>
      </w:r>
    </w:p>
    <w:p w14:paraId="3041E2D5"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Khanna, M., Atallah, S. S., Kar, S., Sharma, B., Wu, L., Yu, C., ... &amp; Guan, K. (2022). Digital transformation for a sustainable agriculture in the United States: Opportunities and challenges. </w:t>
      </w:r>
      <w:r w:rsidRPr="00502F56">
        <w:rPr>
          <w:rFonts w:ascii="Times New Roman" w:hAnsi="Times New Roman" w:cs="Times New Roman"/>
          <w:i/>
          <w:iCs/>
          <w:color w:val="222222"/>
          <w:sz w:val="24"/>
          <w:szCs w:val="24"/>
          <w:shd w:val="clear" w:color="auto" w:fill="FFFFFF"/>
        </w:rPr>
        <w:t>Agricultural Economics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53</w:t>
      </w:r>
      <w:r w:rsidRPr="00502F56">
        <w:rPr>
          <w:rFonts w:ascii="Times New Roman" w:hAnsi="Times New Roman" w:cs="Times New Roman"/>
          <w:color w:val="222222"/>
          <w:sz w:val="24"/>
          <w:szCs w:val="24"/>
          <w:shd w:val="clear" w:color="auto" w:fill="FFFFFF"/>
        </w:rPr>
        <w:t>(6), 924-937.</w:t>
      </w:r>
    </w:p>
    <w:p w14:paraId="6AA7CECE"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Khatri, A., Lallawmkimi, M. C., Rana, P., Panigrahi, C. K., Minj, A., </w:t>
      </w:r>
      <w:proofErr w:type="spellStart"/>
      <w:r w:rsidRPr="00502F56">
        <w:rPr>
          <w:rFonts w:ascii="Times New Roman" w:hAnsi="Times New Roman" w:cs="Times New Roman"/>
          <w:color w:val="222222"/>
          <w:sz w:val="24"/>
          <w:szCs w:val="24"/>
          <w:shd w:val="clear" w:color="auto" w:fill="FFFFFF"/>
        </w:rPr>
        <w:t>Koushal</w:t>
      </w:r>
      <w:proofErr w:type="spellEnd"/>
      <w:r w:rsidRPr="00502F56">
        <w:rPr>
          <w:rFonts w:ascii="Times New Roman" w:hAnsi="Times New Roman" w:cs="Times New Roman"/>
          <w:color w:val="222222"/>
          <w:sz w:val="24"/>
          <w:szCs w:val="24"/>
          <w:shd w:val="clear" w:color="auto" w:fill="FFFFFF"/>
        </w:rPr>
        <w:t>, S., &amp; Ali, M. U. (2024). Integration of ICT in agricultural extension services: A review. </w:t>
      </w:r>
      <w:r w:rsidRPr="00502F56">
        <w:rPr>
          <w:rFonts w:ascii="Times New Roman" w:hAnsi="Times New Roman" w:cs="Times New Roman"/>
          <w:i/>
          <w:iCs/>
          <w:color w:val="222222"/>
          <w:sz w:val="24"/>
          <w:szCs w:val="24"/>
          <w:shd w:val="clear" w:color="auto" w:fill="FFFFFF"/>
        </w:rPr>
        <w:t>Journal of Experimental Agriculture International</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46</w:t>
      </w:r>
      <w:r w:rsidRPr="00502F56">
        <w:rPr>
          <w:rFonts w:ascii="Times New Roman" w:hAnsi="Times New Roman" w:cs="Times New Roman"/>
          <w:color w:val="222222"/>
          <w:sz w:val="24"/>
          <w:szCs w:val="24"/>
          <w:shd w:val="clear" w:color="auto" w:fill="FFFFFF"/>
        </w:rPr>
        <w:t>(12), 394-410.</w:t>
      </w:r>
    </w:p>
    <w:p w14:paraId="42B5B557" w14:textId="77777777" w:rsidR="0005134C" w:rsidRPr="00502F56" w:rsidRDefault="0005134C" w:rsidP="0005134C">
      <w:pPr>
        <w:spacing w:line="360" w:lineRule="auto"/>
        <w:jc w:val="both"/>
        <w:rPr>
          <w:rFonts w:ascii="Times New Roman" w:hAnsi="Times New Roman" w:cs="Times New Roman"/>
          <w:color w:val="222222"/>
          <w:sz w:val="24"/>
          <w:szCs w:val="24"/>
          <w:shd w:val="clear" w:color="auto" w:fill="FFFFFF"/>
        </w:rPr>
      </w:pPr>
      <w:r w:rsidRPr="00502F56">
        <w:rPr>
          <w:rFonts w:ascii="Times New Roman" w:hAnsi="Times New Roman" w:cs="Times New Roman"/>
          <w:color w:val="222222"/>
          <w:sz w:val="24"/>
          <w:szCs w:val="24"/>
          <w:shd w:val="clear" w:color="auto" w:fill="FFFFFF"/>
        </w:rPr>
        <w:t xml:space="preserve">Khatri, A., Lallawmkimi, M. C., Rana, P., Panigrahi, C. K., Minj, A., </w:t>
      </w:r>
      <w:proofErr w:type="spellStart"/>
      <w:r w:rsidRPr="00502F56">
        <w:rPr>
          <w:rFonts w:ascii="Times New Roman" w:hAnsi="Times New Roman" w:cs="Times New Roman"/>
          <w:color w:val="222222"/>
          <w:sz w:val="24"/>
          <w:szCs w:val="24"/>
          <w:shd w:val="clear" w:color="auto" w:fill="FFFFFF"/>
        </w:rPr>
        <w:t>Koushal</w:t>
      </w:r>
      <w:proofErr w:type="spellEnd"/>
      <w:r w:rsidRPr="00502F56">
        <w:rPr>
          <w:rFonts w:ascii="Times New Roman" w:hAnsi="Times New Roman" w:cs="Times New Roman"/>
          <w:color w:val="222222"/>
          <w:sz w:val="24"/>
          <w:szCs w:val="24"/>
          <w:shd w:val="clear" w:color="auto" w:fill="FFFFFF"/>
        </w:rPr>
        <w:t>, S., &amp; Ali, M. U. (2024). Integration of ICT in agricultural extension services: A review. </w:t>
      </w:r>
      <w:r w:rsidRPr="00502F56">
        <w:rPr>
          <w:rFonts w:ascii="Times New Roman" w:hAnsi="Times New Roman" w:cs="Times New Roman"/>
          <w:i/>
          <w:iCs/>
          <w:color w:val="222222"/>
          <w:sz w:val="24"/>
          <w:szCs w:val="24"/>
          <w:shd w:val="clear" w:color="auto" w:fill="FFFFFF"/>
        </w:rPr>
        <w:t>Journal of Experimental Agriculture International</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46</w:t>
      </w:r>
      <w:r w:rsidRPr="00502F56">
        <w:rPr>
          <w:rFonts w:ascii="Times New Roman" w:hAnsi="Times New Roman" w:cs="Times New Roman"/>
          <w:color w:val="222222"/>
          <w:sz w:val="24"/>
          <w:szCs w:val="24"/>
          <w:shd w:val="clear" w:color="auto" w:fill="FFFFFF"/>
        </w:rPr>
        <w:t>(12), 394-410.</w:t>
      </w:r>
    </w:p>
    <w:p w14:paraId="4FFA91C9"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Kumar, M. (2020). Social, Economic, and Environmental Impacts of. </w:t>
      </w:r>
      <w:r w:rsidRPr="00502F56">
        <w:rPr>
          <w:rFonts w:ascii="Times New Roman" w:hAnsi="Times New Roman" w:cs="Times New Roman"/>
          <w:i/>
          <w:iCs/>
          <w:color w:val="222222"/>
          <w:sz w:val="24"/>
          <w:szCs w:val="24"/>
          <w:shd w:val="clear" w:color="auto" w:fill="FFFFFF"/>
        </w:rPr>
        <w:t>Wind solar hybrid renewable energy system</w:t>
      </w:r>
      <w:r w:rsidRPr="00502F56">
        <w:rPr>
          <w:rFonts w:ascii="Times New Roman" w:hAnsi="Times New Roman" w:cs="Times New Roman"/>
          <w:color w:val="222222"/>
          <w:sz w:val="24"/>
          <w:szCs w:val="24"/>
          <w:shd w:val="clear" w:color="auto" w:fill="FFFFFF"/>
        </w:rPr>
        <w:t>, 227.</w:t>
      </w:r>
    </w:p>
    <w:p w14:paraId="5AB7BB49"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Kumar, S., Hasanain, M., Singh, R. K., &amp; Rathore, S. S. (2025). Precision nutrient management Innovative technology for enhancing income in farming system. </w:t>
      </w:r>
      <w:r w:rsidRPr="00502F56">
        <w:rPr>
          <w:rFonts w:ascii="Times New Roman" w:hAnsi="Times New Roman" w:cs="Times New Roman"/>
          <w:i/>
          <w:iCs/>
          <w:color w:val="222222"/>
          <w:sz w:val="24"/>
          <w:szCs w:val="24"/>
          <w:shd w:val="clear" w:color="auto" w:fill="FFFFFF"/>
        </w:rPr>
        <w:t>Indian Farming</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75</w:t>
      </w:r>
      <w:r w:rsidRPr="00502F56">
        <w:rPr>
          <w:rFonts w:ascii="Times New Roman" w:hAnsi="Times New Roman" w:cs="Times New Roman"/>
          <w:color w:val="222222"/>
          <w:sz w:val="24"/>
          <w:szCs w:val="24"/>
          <w:shd w:val="clear" w:color="auto" w:fill="FFFFFF"/>
        </w:rPr>
        <w:t>(3), 54-58.</w:t>
      </w:r>
    </w:p>
    <w:p w14:paraId="5598D59B"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Kumari, M., Swarupa, P., Kesari, K. K., &amp; Kumar, A. (2022). Microbial inoculants as plant </w:t>
      </w:r>
      <w:proofErr w:type="spellStart"/>
      <w:r w:rsidRPr="00502F56">
        <w:rPr>
          <w:rFonts w:ascii="Times New Roman" w:hAnsi="Times New Roman" w:cs="Times New Roman"/>
          <w:color w:val="222222"/>
          <w:sz w:val="24"/>
          <w:szCs w:val="24"/>
          <w:shd w:val="clear" w:color="auto" w:fill="FFFFFF"/>
        </w:rPr>
        <w:t>biostimulants</w:t>
      </w:r>
      <w:proofErr w:type="spellEnd"/>
      <w:r w:rsidRPr="00502F56">
        <w:rPr>
          <w:rFonts w:ascii="Times New Roman" w:hAnsi="Times New Roman" w:cs="Times New Roman"/>
          <w:color w:val="222222"/>
          <w:sz w:val="24"/>
          <w:szCs w:val="24"/>
          <w:shd w:val="clear" w:color="auto" w:fill="FFFFFF"/>
        </w:rPr>
        <w:t>: A review on risk status. </w:t>
      </w:r>
      <w:r w:rsidRPr="00502F56">
        <w:rPr>
          <w:rFonts w:ascii="Times New Roman" w:hAnsi="Times New Roman" w:cs="Times New Roman"/>
          <w:i/>
          <w:iCs/>
          <w:color w:val="222222"/>
          <w:sz w:val="24"/>
          <w:szCs w:val="24"/>
          <w:shd w:val="clear" w:color="auto" w:fill="FFFFFF"/>
        </w:rPr>
        <w:t>Life</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13</w:t>
      </w:r>
      <w:r w:rsidRPr="00502F56">
        <w:rPr>
          <w:rFonts w:ascii="Times New Roman" w:hAnsi="Times New Roman" w:cs="Times New Roman"/>
          <w:color w:val="222222"/>
          <w:sz w:val="24"/>
          <w:szCs w:val="24"/>
          <w:shd w:val="clear" w:color="auto" w:fill="FFFFFF"/>
        </w:rPr>
        <w:t>(1), 12.</w:t>
      </w:r>
    </w:p>
    <w:p w14:paraId="63477F56"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Lal, R. (2016). Soil health and carbon management. </w:t>
      </w:r>
      <w:r w:rsidRPr="00502F56">
        <w:rPr>
          <w:rFonts w:ascii="Times New Roman" w:hAnsi="Times New Roman" w:cs="Times New Roman"/>
          <w:i/>
          <w:iCs/>
          <w:color w:val="222222"/>
          <w:sz w:val="24"/>
          <w:szCs w:val="24"/>
          <w:shd w:val="clear" w:color="auto" w:fill="FFFFFF"/>
        </w:rPr>
        <w:t>Food and energy security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5</w:t>
      </w:r>
      <w:r w:rsidRPr="00502F56">
        <w:rPr>
          <w:rFonts w:ascii="Times New Roman" w:hAnsi="Times New Roman" w:cs="Times New Roman"/>
          <w:color w:val="222222"/>
          <w:sz w:val="24"/>
          <w:szCs w:val="24"/>
          <w:shd w:val="clear" w:color="auto" w:fill="FFFFFF"/>
        </w:rPr>
        <w:t>(4), 212-222.</w:t>
      </w:r>
    </w:p>
    <w:p w14:paraId="48ECF2E3"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lastRenderedPageBreak/>
        <w:t>Lewandowski, A. M., &amp; Cates, A. (2023). Connecting soil health and water quality in agricultural landscapes. </w:t>
      </w:r>
      <w:r w:rsidRPr="00502F56">
        <w:rPr>
          <w:rFonts w:ascii="Times New Roman" w:hAnsi="Times New Roman" w:cs="Times New Roman"/>
          <w:i/>
          <w:iCs/>
          <w:color w:val="222222"/>
          <w:sz w:val="24"/>
          <w:szCs w:val="24"/>
          <w:shd w:val="clear" w:color="auto" w:fill="FFFFFF"/>
        </w:rPr>
        <w:t>Journal of Environmental Quality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52</w:t>
      </w:r>
      <w:r w:rsidRPr="00502F56">
        <w:rPr>
          <w:rFonts w:ascii="Times New Roman" w:hAnsi="Times New Roman" w:cs="Times New Roman"/>
          <w:color w:val="222222"/>
          <w:sz w:val="24"/>
          <w:szCs w:val="24"/>
          <w:shd w:val="clear" w:color="auto" w:fill="FFFFFF"/>
        </w:rPr>
        <w:t>(3), 412-421.</w:t>
      </w:r>
    </w:p>
    <w:p w14:paraId="452ED6D7"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Lily, M., &amp; Sharma, B. (2025). Inclusive Society: A Pathway </w:t>
      </w:r>
      <w:proofErr w:type="gramStart"/>
      <w:r w:rsidRPr="00502F56">
        <w:rPr>
          <w:rFonts w:ascii="Times New Roman" w:hAnsi="Times New Roman" w:cs="Times New Roman"/>
          <w:color w:val="222222"/>
          <w:sz w:val="24"/>
          <w:szCs w:val="24"/>
          <w:shd w:val="clear" w:color="auto" w:fill="FFFFFF"/>
        </w:rPr>
        <w:t>To</w:t>
      </w:r>
      <w:proofErr w:type="gramEnd"/>
      <w:r w:rsidRPr="00502F56">
        <w:rPr>
          <w:rFonts w:ascii="Times New Roman" w:hAnsi="Times New Roman" w:cs="Times New Roman"/>
          <w:color w:val="222222"/>
          <w:sz w:val="24"/>
          <w:szCs w:val="24"/>
          <w:shd w:val="clear" w:color="auto" w:fill="FFFFFF"/>
        </w:rPr>
        <w:t xml:space="preserve"> Achieving Sustainable Development Goals. </w:t>
      </w:r>
      <w:r w:rsidRPr="00502F56">
        <w:rPr>
          <w:rFonts w:ascii="Times New Roman" w:hAnsi="Times New Roman" w:cs="Times New Roman"/>
          <w:i/>
          <w:iCs/>
          <w:color w:val="222222"/>
          <w:sz w:val="24"/>
          <w:szCs w:val="24"/>
          <w:shd w:val="clear" w:color="auto" w:fill="FFFFFF"/>
        </w:rPr>
        <w:t>International Journal of Environmental Sciences</w:t>
      </w:r>
      <w:r w:rsidRPr="00502F56">
        <w:rPr>
          <w:rFonts w:ascii="Times New Roman" w:hAnsi="Times New Roman" w:cs="Times New Roman"/>
          <w:color w:val="222222"/>
          <w:sz w:val="24"/>
          <w:szCs w:val="24"/>
          <w:shd w:val="clear" w:color="auto" w:fill="FFFFFF"/>
        </w:rPr>
        <w:t>, 503-510.</w:t>
      </w:r>
    </w:p>
    <w:p w14:paraId="30F4D0EB"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Liu, Q., Huang, L., Chen, Z., Wen, Z., Ma, L., Xu, S. A., ... &amp; Feng, Y. (2022). Biochar and its combination with inorganic or organic amendment on growth, uptake and accumulation of cadmium on lettuce. </w:t>
      </w:r>
      <w:r w:rsidRPr="00502F56">
        <w:rPr>
          <w:rFonts w:ascii="Times New Roman" w:hAnsi="Times New Roman" w:cs="Times New Roman"/>
          <w:i/>
          <w:iCs/>
          <w:color w:val="222222"/>
          <w:sz w:val="24"/>
          <w:szCs w:val="24"/>
          <w:shd w:val="clear" w:color="auto" w:fill="FFFFFF"/>
        </w:rPr>
        <w:t>Journal of Cleaner Production</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370</w:t>
      </w:r>
      <w:r w:rsidRPr="00502F56">
        <w:rPr>
          <w:rFonts w:ascii="Times New Roman" w:hAnsi="Times New Roman" w:cs="Times New Roman"/>
          <w:color w:val="222222"/>
          <w:sz w:val="24"/>
          <w:szCs w:val="24"/>
          <w:shd w:val="clear" w:color="auto" w:fill="FFFFFF"/>
        </w:rPr>
        <w:t>, 133610.</w:t>
      </w:r>
    </w:p>
    <w:p w14:paraId="3AFFA6E8"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Madan, S., &amp; Maredia, K. (2021). Global experiences in agricultural extension, community outreach &amp; advisory services. </w:t>
      </w:r>
      <w:r w:rsidRPr="00502F56">
        <w:rPr>
          <w:rFonts w:ascii="Times New Roman" w:hAnsi="Times New Roman" w:cs="Times New Roman"/>
          <w:i/>
          <w:iCs/>
          <w:color w:val="222222"/>
          <w:sz w:val="24"/>
          <w:szCs w:val="24"/>
          <w:shd w:val="clear" w:color="auto" w:fill="FFFFFF"/>
        </w:rPr>
        <w:t>Innovations in agricultural extension</w:t>
      </w:r>
      <w:r w:rsidRPr="00502F56">
        <w:rPr>
          <w:rFonts w:ascii="Times New Roman" w:hAnsi="Times New Roman" w:cs="Times New Roman"/>
          <w:color w:val="222222"/>
          <w:sz w:val="24"/>
          <w:szCs w:val="24"/>
          <w:shd w:val="clear" w:color="auto" w:fill="FFFFFF"/>
        </w:rPr>
        <w:t>, 1-16.</w:t>
      </w:r>
    </w:p>
    <w:p w14:paraId="7CB2DC75"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sz w:val="24"/>
          <w:szCs w:val="24"/>
        </w:rPr>
        <w:t>Mapiye,</w:t>
      </w:r>
      <w:r w:rsidRPr="00502F56">
        <w:rPr>
          <w:rFonts w:ascii="Times New Roman" w:hAnsi="Times New Roman" w:cs="Times New Roman"/>
          <w:color w:val="222222"/>
          <w:sz w:val="24"/>
          <w:szCs w:val="24"/>
          <w:shd w:val="clear" w:color="auto" w:fill="FFFFFF"/>
        </w:rPr>
        <w:t xml:space="preserve"> O., Makombe, G., </w:t>
      </w:r>
      <w:proofErr w:type="spellStart"/>
      <w:r w:rsidRPr="00502F56">
        <w:rPr>
          <w:rFonts w:ascii="Times New Roman" w:hAnsi="Times New Roman" w:cs="Times New Roman"/>
          <w:color w:val="222222"/>
          <w:sz w:val="24"/>
          <w:szCs w:val="24"/>
          <w:shd w:val="clear" w:color="auto" w:fill="FFFFFF"/>
        </w:rPr>
        <w:t>Molotsi</w:t>
      </w:r>
      <w:proofErr w:type="spellEnd"/>
      <w:r w:rsidRPr="00502F56">
        <w:rPr>
          <w:rFonts w:ascii="Times New Roman" w:hAnsi="Times New Roman" w:cs="Times New Roman"/>
          <w:color w:val="222222"/>
          <w:sz w:val="24"/>
          <w:szCs w:val="24"/>
          <w:shd w:val="clear" w:color="auto" w:fill="FFFFFF"/>
        </w:rPr>
        <w:t>, A., Dzama, K., &amp; Mapiye, C. (2023). Information and communication technologies (ICTs): The potential for enhancing the dissemination of agricultural information and services to smallholder farmers in sub-Saharan Africa. </w:t>
      </w:r>
      <w:r w:rsidRPr="00502F56">
        <w:rPr>
          <w:rFonts w:ascii="Times New Roman" w:hAnsi="Times New Roman" w:cs="Times New Roman"/>
          <w:i/>
          <w:iCs/>
          <w:color w:val="222222"/>
          <w:sz w:val="24"/>
          <w:szCs w:val="24"/>
          <w:shd w:val="clear" w:color="auto" w:fill="FFFFFF"/>
        </w:rPr>
        <w:t>Information Development</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39</w:t>
      </w:r>
      <w:r w:rsidRPr="00502F56">
        <w:rPr>
          <w:rFonts w:ascii="Times New Roman" w:hAnsi="Times New Roman" w:cs="Times New Roman"/>
          <w:color w:val="222222"/>
          <w:sz w:val="24"/>
          <w:szCs w:val="24"/>
          <w:shd w:val="clear" w:color="auto" w:fill="FFFFFF"/>
        </w:rPr>
        <w:t>(3), 638-658.</w:t>
      </w:r>
    </w:p>
    <w:p w14:paraId="74C06DF6"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Marchand, F., </w:t>
      </w:r>
      <w:proofErr w:type="spellStart"/>
      <w:r w:rsidRPr="00502F56">
        <w:rPr>
          <w:rFonts w:ascii="Times New Roman" w:hAnsi="Times New Roman" w:cs="Times New Roman"/>
          <w:color w:val="222222"/>
          <w:sz w:val="24"/>
          <w:szCs w:val="24"/>
          <w:shd w:val="clear" w:color="auto" w:fill="FFFFFF"/>
        </w:rPr>
        <w:t>Cooreman</w:t>
      </w:r>
      <w:proofErr w:type="spellEnd"/>
      <w:r w:rsidRPr="00502F56">
        <w:rPr>
          <w:rFonts w:ascii="Times New Roman" w:hAnsi="Times New Roman" w:cs="Times New Roman"/>
          <w:color w:val="222222"/>
          <w:sz w:val="24"/>
          <w:szCs w:val="24"/>
          <w:shd w:val="clear" w:color="auto" w:fill="FFFFFF"/>
        </w:rPr>
        <w:t xml:space="preserve">, H., Pappa, E., </w:t>
      </w:r>
      <w:proofErr w:type="spellStart"/>
      <w:r w:rsidRPr="00502F56">
        <w:rPr>
          <w:rFonts w:ascii="Times New Roman" w:hAnsi="Times New Roman" w:cs="Times New Roman"/>
          <w:color w:val="222222"/>
          <w:sz w:val="24"/>
          <w:szCs w:val="24"/>
          <w:shd w:val="clear" w:color="auto" w:fill="FFFFFF"/>
        </w:rPr>
        <w:t>Perifanos</w:t>
      </w:r>
      <w:proofErr w:type="spellEnd"/>
      <w:r w:rsidRPr="00502F56">
        <w:rPr>
          <w:rFonts w:ascii="Times New Roman" w:hAnsi="Times New Roman" w:cs="Times New Roman"/>
          <w:color w:val="222222"/>
          <w:sz w:val="24"/>
          <w:szCs w:val="24"/>
          <w:shd w:val="clear" w:color="auto" w:fill="FFFFFF"/>
        </w:rPr>
        <w:t xml:space="preserve">, I., Alexopoulos, Y., Debruyne, L., ... &amp; </w:t>
      </w:r>
      <w:proofErr w:type="spellStart"/>
      <w:r w:rsidRPr="00502F56">
        <w:rPr>
          <w:rFonts w:ascii="Times New Roman" w:hAnsi="Times New Roman" w:cs="Times New Roman"/>
          <w:color w:val="222222"/>
          <w:sz w:val="24"/>
          <w:szCs w:val="24"/>
          <w:shd w:val="clear" w:color="auto" w:fill="FFFFFF"/>
        </w:rPr>
        <w:t>Koutsouris</w:t>
      </w:r>
      <w:proofErr w:type="spellEnd"/>
      <w:r w:rsidRPr="00502F56">
        <w:rPr>
          <w:rFonts w:ascii="Times New Roman" w:hAnsi="Times New Roman" w:cs="Times New Roman"/>
          <w:color w:val="222222"/>
          <w:sz w:val="24"/>
          <w:szCs w:val="24"/>
          <w:shd w:val="clear" w:color="auto" w:fill="FFFFFF"/>
        </w:rPr>
        <w:t>, A. (2021). Effectiveness of on-farm demonstration events in the EU: role of structural characteristics. </w:t>
      </w:r>
      <w:r w:rsidRPr="00502F56">
        <w:rPr>
          <w:rFonts w:ascii="Times New Roman" w:hAnsi="Times New Roman" w:cs="Times New Roman"/>
          <w:i/>
          <w:iCs/>
          <w:color w:val="222222"/>
          <w:sz w:val="24"/>
          <w:szCs w:val="24"/>
          <w:shd w:val="clear" w:color="auto" w:fill="FFFFFF"/>
        </w:rPr>
        <w:t>The Journal of Agricultural Education and Extension</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27</w:t>
      </w:r>
      <w:r w:rsidRPr="00502F56">
        <w:rPr>
          <w:rFonts w:ascii="Times New Roman" w:hAnsi="Times New Roman" w:cs="Times New Roman"/>
          <w:color w:val="222222"/>
          <w:sz w:val="24"/>
          <w:szCs w:val="24"/>
          <w:shd w:val="clear" w:color="auto" w:fill="FFFFFF"/>
        </w:rPr>
        <w:t>(5), 677-697.</w:t>
      </w:r>
    </w:p>
    <w:p w14:paraId="15476125"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Meena, D. K., Brahma, D., Dawar, R., </w:t>
      </w:r>
      <w:proofErr w:type="spellStart"/>
      <w:r w:rsidRPr="00502F56">
        <w:rPr>
          <w:rFonts w:ascii="Times New Roman" w:hAnsi="Times New Roman" w:cs="Times New Roman"/>
          <w:color w:val="222222"/>
          <w:sz w:val="24"/>
          <w:szCs w:val="24"/>
          <w:shd w:val="clear" w:color="auto" w:fill="FFFFFF"/>
        </w:rPr>
        <w:t>Patidarand</w:t>
      </w:r>
      <w:proofErr w:type="spellEnd"/>
      <w:r w:rsidRPr="00502F56">
        <w:rPr>
          <w:rFonts w:ascii="Times New Roman" w:hAnsi="Times New Roman" w:cs="Times New Roman"/>
          <w:color w:val="222222"/>
          <w:sz w:val="24"/>
          <w:szCs w:val="24"/>
          <w:shd w:val="clear" w:color="auto" w:fill="FFFFFF"/>
        </w:rPr>
        <w:t>, A., &amp; Singh, T. (2023). Site-specific nutrient management for enhancing nutrient use efficiency. </w:t>
      </w:r>
      <w:r w:rsidRPr="00502F56">
        <w:rPr>
          <w:rFonts w:ascii="Times New Roman" w:hAnsi="Times New Roman" w:cs="Times New Roman"/>
          <w:i/>
          <w:iCs/>
          <w:color w:val="222222"/>
          <w:sz w:val="24"/>
          <w:szCs w:val="24"/>
          <w:shd w:val="clear" w:color="auto" w:fill="FFFFFF"/>
        </w:rPr>
        <w:t>Site-specific nutrient management for enhancing nutrient use efficiency</w:t>
      </w:r>
      <w:r w:rsidRPr="00502F56">
        <w:rPr>
          <w:rFonts w:ascii="Times New Roman" w:hAnsi="Times New Roman" w:cs="Times New Roman"/>
          <w:color w:val="222222"/>
          <w:sz w:val="24"/>
          <w:szCs w:val="24"/>
          <w:shd w:val="clear" w:color="auto" w:fill="FFFFFF"/>
        </w:rPr>
        <w:t>, 1-4.</w:t>
      </w:r>
    </w:p>
    <w:p w14:paraId="6E6675C5"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Meijer, S. S., Catacutan, D., Ajayi, O. C., Sileshi, G. W., &amp; Nieuwenhuis, M. (2015). The role of knowledge, attitudes and perceptions in the uptake of agricultural and agroforestry innovations among smallholder farmers in sub-Saharan Africa. </w:t>
      </w:r>
      <w:r w:rsidRPr="00502F56">
        <w:rPr>
          <w:rFonts w:ascii="Times New Roman" w:hAnsi="Times New Roman" w:cs="Times New Roman"/>
          <w:i/>
          <w:iCs/>
          <w:color w:val="222222"/>
          <w:sz w:val="24"/>
          <w:szCs w:val="24"/>
          <w:shd w:val="clear" w:color="auto" w:fill="FFFFFF"/>
        </w:rPr>
        <w:t>International journal of agricultural sustainability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13</w:t>
      </w:r>
      <w:r w:rsidRPr="00502F56">
        <w:rPr>
          <w:rFonts w:ascii="Times New Roman" w:hAnsi="Times New Roman" w:cs="Times New Roman"/>
          <w:color w:val="222222"/>
          <w:sz w:val="24"/>
          <w:szCs w:val="24"/>
          <w:shd w:val="clear" w:color="auto" w:fill="FFFFFF"/>
        </w:rPr>
        <w:t>(1), 40-54.</w:t>
      </w:r>
    </w:p>
    <w:p w14:paraId="6BC102A5" w14:textId="77777777" w:rsidR="0005134C" w:rsidRPr="00502F56" w:rsidRDefault="0005134C" w:rsidP="0005134C">
      <w:pPr>
        <w:spacing w:line="360" w:lineRule="auto"/>
        <w:jc w:val="both"/>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Mkomwa</w:t>
      </w:r>
      <w:proofErr w:type="spellEnd"/>
      <w:r w:rsidRPr="00502F56">
        <w:rPr>
          <w:rFonts w:ascii="Times New Roman" w:hAnsi="Times New Roman" w:cs="Times New Roman"/>
          <w:color w:val="222222"/>
          <w:sz w:val="24"/>
          <w:szCs w:val="24"/>
          <w:shd w:val="clear" w:color="auto" w:fill="FFFFFF"/>
        </w:rPr>
        <w:t xml:space="preserve">, S., </w:t>
      </w:r>
      <w:proofErr w:type="spellStart"/>
      <w:r w:rsidRPr="00502F56">
        <w:rPr>
          <w:rFonts w:ascii="Times New Roman" w:hAnsi="Times New Roman" w:cs="Times New Roman"/>
          <w:color w:val="222222"/>
          <w:sz w:val="24"/>
          <w:szCs w:val="24"/>
          <w:shd w:val="clear" w:color="auto" w:fill="FFFFFF"/>
        </w:rPr>
        <w:t>Mloza</w:t>
      </w:r>
      <w:proofErr w:type="spellEnd"/>
      <w:r w:rsidRPr="00502F56">
        <w:rPr>
          <w:rFonts w:ascii="Times New Roman" w:hAnsi="Times New Roman" w:cs="Times New Roman"/>
          <w:color w:val="222222"/>
          <w:sz w:val="24"/>
          <w:szCs w:val="24"/>
          <w:shd w:val="clear" w:color="auto" w:fill="FFFFFF"/>
        </w:rPr>
        <w:t>-Banda, H., &amp; Mutai, W. (2022). Formal Education and Training for Conservation Agriculture in Africa. In </w:t>
      </w:r>
      <w:r w:rsidRPr="00502F56">
        <w:rPr>
          <w:rFonts w:ascii="Times New Roman" w:hAnsi="Times New Roman" w:cs="Times New Roman"/>
          <w:i/>
          <w:iCs/>
          <w:color w:val="222222"/>
          <w:sz w:val="24"/>
          <w:szCs w:val="24"/>
          <w:shd w:val="clear" w:color="auto" w:fill="FFFFFF"/>
        </w:rPr>
        <w:t>Conservation Agriculture in Africa: Climate Smart Agricultural Development</w:t>
      </w:r>
      <w:r w:rsidRPr="00502F56">
        <w:rPr>
          <w:rFonts w:ascii="Times New Roman" w:hAnsi="Times New Roman" w:cs="Times New Roman"/>
          <w:color w:val="222222"/>
          <w:sz w:val="24"/>
          <w:szCs w:val="24"/>
          <w:shd w:val="clear" w:color="auto" w:fill="FFFFFF"/>
        </w:rPr>
        <w:t> (pp. 305-330). GB: CABI.</w:t>
      </w:r>
    </w:p>
    <w:p w14:paraId="668F6C59"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Moebius-Clune, B. N. (2010). </w:t>
      </w:r>
      <w:r w:rsidRPr="00502F56">
        <w:rPr>
          <w:rFonts w:ascii="Times New Roman" w:hAnsi="Times New Roman" w:cs="Times New Roman"/>
          <w:i/>
          <w:iCs/>
          <w:color w:val="222222"/>
          <w:sz w:val="24"/>
          <w:szCs w:val="24"/>
          <w:shd w:val="clear" w:color="auto" w:fill="FFFFFF"/>
        </w:rPr>
        <w:t>Applications of integrative soil quality assessment in research, extension, and education</w:t>
      </w:r>
      <w:r w:rsidRPr="00502F56">
        <w:rPr>
          <w:rFonts w:ascii="Times New Roman" w:hAnsi="Times New Roman" w:cs="Times New Roman"/>
          <w:color w:val="222222"/>
          <w:sz w:val="24"/>
          <w:szCs w:val="24"/>
          <w:shd w:val="clear" w:color="auto" w:fill="FFFFFF"/>
        </w:rPr>
        <w:t>. Cornell University.</w:t>
      </w:r>
    </w:p>
    <w:p w14:paraId="273C8EA4"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Nayak, B. B., Mrudula, D., Prasanna, T., &amp; Bhupal, G. (2024). New Generation Technologies for Precision Nutrient Management for Sustainable Agriculture. </w:t>
      </w:r>
      <w:r w:rsidRPr="00502F56">
        <w:rPr>
          <w:rFonts w:ascii="Times New Roman" w:hAnsi="Times New Roman" w:cs="Times New Roman"/>
          <w:i/>
          <w:iCs/>
          <w:color w:val="222222"/>
          <w:sz w:val="24"/>
          <w:szCs w:val="24"/>
          <w:shd w:val="clear" w:color="auto" w:fill="FFFFFF"/>
        </w:rPr>
        <w:t>Current Trends in Agriculture &amp; Allied Sciences; SP Publishing: Delhi, India</w:t>
      </w:r>
      <w:r w:rsidRPr="00502F56">
        <w:rPr>
          <w:rFonts w:ascii="Times New Roman" w:hAnsi="Times New Roman" w:cs="Times New Roman"/>
          <w:color w:val="222222"/>
          <w:sz w:val="24"/>
          <w:szCs w:val="24"/>
          <w:shd w:val="clear" w:color="auto" w:fill="FFFFFF"/>
        </w:rPr>
        <w:t>.</w:t>
      </w:r>
    </w:p>
    <w:p w14:paraId="5938EA2A"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lastRenderedPageBreak/>
        <w:t xml:space="preserve">Ndegwa, J. K., </w:t>
      </w:r>
      <w:proofErr w:type="spellStart"/>
      <w:r w:rsidRPr="00502F56">
        <w:rPr>
          <w:rFonts w:ascii="Times New Roman" w:hAnsi="Times New Roman" w:cs="Times New Roman"/>
          <w:color w:val="222222"/>
          <w:sz w:val="24"/>
          <w:szCs w:val="24"/>
          <w:shd w:val="clear" w:color="auto" w:fill="FFFFFF"/>
        </w:rPr>
        <w:t>Gichimu</w:t>
      </w:r>
      <w:proofErr w:type="spellEnd"/>
      <w:r w:rsidRPr="00502F56">
        <w:rPr>
          <w:rFonts w:ascii="Times New Roman" w:hAnsi="Times New Roman" w:cs="Times New Roman"/>
          <w:color w:val="222222"/>
          <w:sz w:val="24"/>
          <w:szCs w:val="24"/>
          <w:shd w:val="clear" w:color="auto" w:fill="FFFFFF"/>
        </w:rPr>
        <w:t xml:space="preserve">, B. M., </w:t>
      </w:r>
      <w:proofErr w:type="spellStart"/>
      <w:r w:rsidRPr="00502F56">
        <w:rPr>
          <w:rFonts w:ascii="Times New Roman" w:hAnsi="Times New Roman" w:cs="Times New Roman"/>
          <w:color w:val="222222"/>
          <w:sz w:val="24"/>
          <w:szCs w:val="24"/>
          <w:shd w:val="clear" w:color="auto" w:fill="FFFFFF"/>
        </w:rPr>
        <w:t>Mugwe</w:t>
      </w:r>
      <w:proofErr w:type="spellEnd"/>
      <w:r w:rsidRPr="00502F56">
        <w:rPr>
          <w:rFonts w:ascii="Times New Roman" w:hAnsi="Times New Roman" w:cs="Times New Roman"/>
          <w:color w:val="222222"/>
          <w:sz w:val="24"/>
          <w:szCs w:val="24"/>
          <w:shd w:val="clear" w:color="auto" w:fill="FFFFFF"/>
        </w:rPr>
        <w:t>, J. N., Mucheru-Muna, M., &amp; Njiru, D. M. (2023). Integrated soil fertility and water management practices for enhanced agricultural productivity. </w:t>
      </w:r>
      <w:r w:rsidRPr="00502F56">
        <w:rPr>
          <w:rFonts w:ascii="Times New Roman" w:hAnsi="Times New Roman" w:cs="Times New Roman"/>
          <w:i/>
          <w:iCs/>
          <w:color w:val="222222"/>
          <w:sz w:val="24"/>
          <w:szCs w:val="24"/>
          <w:shd w:val="clear" w:color="auto" w:fill="FFFFFF"/>
        </w:rPr>
        <w:t>International Journal of Agronomy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2023</w:t>
      </w:r>
      <w:r w:rsidRPr="00502F56">
        <w:rPr>
          <w:rFonts w:ascii="Times New Roman" w:hAnsi="Times New Roman" w:cs="Times New Roman"/>
          <w:color w:val="222222"/>
          <w:sz w:val="24"/>
          <w:szCs w:val="24"/>
          <w:shd w:val="clear" w:color="auto" w:fill="FFFFFF"/>
        </w:rPr>
        <w:t>(1), 8890794.</w:t>
      </w:r>
    </w:p>
    <w:p w14:paraId="777C3D1F"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Ndlela, S., &amp; Worth, S. (2023). Perspective Chapter: Building Farmer Capacity through Agricultural Extension-A Model for True Capacity. In </w:t>
      </w:r>
      <w:r w:rsidRPr="00502F56">
        <w:rPr>
          <w:rFonts w:ascii="Times New Roman" w:hAnsi="Times New Roman" w:cs="Times New Roman"/>
          <w:i/>
          <w:iCs/>
          <w:color w:val="222222"/>
          <w:sz w:val="24"/>
          <w:szCs w:val="24"/>
          <w:shd w:val="clear" w:color="auto" w:fill="FFFFFF"/>
        </w:rPr>
        <w:t>Rural Areas-Development and Transformations</w:t>
      </w:r>
      <w:r w:rsidRPr="00502F56">
        <w:rPr>
          <w:rFonts w:ascii="Times New Roman" w:hAnsi="Times New Roman" w:cs="Times New Roman"/>
          <w:color w:val="222222"/>
          <w:sz w:val="24"/>
          <w:szCs w:val="24"/>
          <w:shd w:val="clear" w:color="auto" w:fill="FFFFFF"/>
        </w:rPr>
        <w:t xml:space="preserve">. </w:t>
      </w:r>
      <w:proofErr w:type="spellStart"/>
      <w:r w:rsidRPr="00502F56">
        <w:rPr>
          <w:rFonts w:ascii="Times New Roman" w:hAnsi="Times New Roman" w:cs="Times New Roman"/>
          <w:color w:val="222222"/>
          <w:sz w:val="24"/>
          <w:szCs w:val="24"/>
          <w:shd w:val="clear" w:color="auto" w:fill="FFFFFF"/>
        </w:rPr>
        <w:t>IntechOpen</w:t>
      </w:r>
      <w:proofErr w:type="spellEnd"/>
      <w:r w:rsidRPr="00502F56">
        <w:rPr>
          <w:rFonts w:ascii="Times New Roman" w:hAnsi="Times New Roman" w:cs="Times New Roman"/>
          <w:color w:val="222222"/>
          <w:sz w:val="24"/>
          <w:szCs w:val="24"/>
          <w:shd w:val="clear" w:color="auto" w:fill="FFFFFF"/>
        </w:rPr>
        <w:t>.</w:t>
      </w:r>
    </w:p>
    <w:p w14:paraId="7441D5BB"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Oduor, N. O., Mucheru-Muna, M., </w:t>
      </w:r>
      <w:proofErr w:type="spellStart"/>
      <w:r w:rsidRPr="00502F56">
        <w:rPr>
          <w:rFonts w:ascii="Times New Roman" w:hAnsi="Times New Roman" w:cs="Times New Roman"/>
          <w:color w:val="222222"/>
          <w:sz w:val="24"/>
          <w:szCs w:val="24"/>
          <w:shd w:val="clear" w:color="auto" w:fill="FFFFFF"/>
        </w:rPr>
        <w:t>Mugwe</w:t>
      </w:r>
      <w:proofErr w:type="spellEnd"/>
      <w:r w:rsidRPr="00502F56">
        <w:rPr>
          <w:rFonts w:ascii="Times New Roman" w:hAnsi="Times New Roman" w:cs="Times New Roman"/>
          <w:color w:val="222222"/>
          <w:sz w:val="24"/>
          <w:szCs w:val="24"/>
          <w:shd w:val="clear" w:color="auto" w:fill="FFFFFF"/>
        </w:rPr>
        <w:t xml:space="preserve">, N. J., </w:t>
      </w:r>
      <w:proofErr w:type="spellStart"/>
      <w:r w:rsidRPr="00502F56">
        <w:rPr>
          <w:rFonts w:ascii="Times New Roman" w:hAnsi="Times New Roman" w:cs="Times New Roman"/>
          <w:color w:val="222222"/>
          <w:sz w:val="24"/>
          <w:szCs w:val="24"/>
          <w:shd w:val="clear" w:color="auto" w:fill="FFFFFF"/>
        </w:rPr>
        <w:t>Sijali</w:t>
      </w:r>
      <w:proofErr w:type="spellEnd"/>
      <w:r w:rsidRPr="00502F56">
        <w:rPr>
          <w:rFonts w:ascii="Times New Roman" w:hAnsi="Times New Roman" w:cs="Times New Roman"/>
          <w:color w:val="222222"/>
          <w:sz w:val="24"/>
          <w:szCs w:val="24"/>
          <w:shd w:val="clear" w:color="auto" w:fill="FFFFFF"/>
        </w:rPr>
        <w:t xml:space="preserve">, I., </w:t>
      </w:r>
      <w:proofErr w:type="spellStart"/>
      <w:r w:rsidRPr="00502F56">
        <w:rPr>
          <w:rFonts w:ascii="Times New Roman" w:hAnsi="Times New Roman" w:cs="Times New Roman"/>
          <w:color w:val="222222"/>
          <w:sz w:val="24"/>
          <w:szCs w:val="24"/>
          <w:shd w:val="clear" w:color="auto" w:fill="FFFFFF"/>
        </w:rPr>
        <w:t>Nyabuga</w:t>
      </w:r>
      <w:proofErr w:type="spellEnd"/>
      <w:r w:rsidRPr="00502F56">
        <w:rPr>
          <w:rFonts w:ascii="Times New Roman" w:hAnsi="Times New Roman" w:cs="Times New Roman"/>
          <w:color w:val="222222"/>
          <w:sz w:val="24"/>
          <w:szCs w:val="24"/>
          <w:shd w:val="clear" w:color="auto" w:fill="FFFFFF"/>
        </w:rPr>
        <w:t>, G., &amp; Mugendi, N. D. (2023). Soil water use efficiency under integrated soil management practices in the drylands of Kenya. </w:t>
      </w:r>
      <w:proofErr w:type="spellStart"/>
      <w:r w:rsidRPr="00502F56">
        <w:rPr>
          <w:rFonts w:ascii="Times New Roman" w:hAnsi="Times New Roman" w:cs="Times New Roman"/>
          <w:i/>
          <w:iCs/>
          <w:color w:val="222222"/>
          <w:sz w:val="24"/>
          <w:szCs w:val="24"/>
          <w:shd w:val="clear" w:color="auto" w:fill="FFFFFF"/>
        </w:rPr>
        <w:t>Heliyon</w:t>
      </w:r>
      <w:proofErr w:type="spellEnd"/>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9</w:t>
      </w:r>
      <w:r w:rsidRPr="00502F56">
        <w:rPr>
          <w:rFonts w:ascii="Times New Roman" w:hAnsi="Times New Roman" w:cs="Times New Roman"/>
          <w:color w:val="222222"/>
          <w:sz w:val="24"/>
          <w:szCs w:val="24"/>
          <w:shd w:val="clear" w:color="auto" w:fill="FFFFFF"/>
        </w:rPr>
        <w:t>(5).</w:t>
      </w:r>
    </w:p>
    <w:p w14:paraId="1CB1505C"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Poulton, C., &amp; Macartney, J. (2012). Can public–private partnerships leverage private investment in agricultural value chains in Africa? A preliminary review. </w:t>
      </w:r>
      <w:r w:rsidRPr="00502F56">
        <w:rPr>
          <w:rFonts w:ascii="Times New Roman" w:hAnsi="Times New Roman" w:cs="Times New Roman"/>
          <w:i/>
          <w:iCs/>
          <w:color w:val="222222"/>
          <w:sz w:val="24"/>
          <w:szCs w:val="24"/>
          <w:shd w:val="clear" w:color="auto" w:fill="FFFFFF"/>
        </w:rPr>
        <w:t>World Development</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40</w:t>
      </w:r>
      <w:r w:rsidRPr="00502F56">
        <w:rPr>
          <w:rFonts w:ascii="Times New Roman" w:hAnsi="Times New Roman" w:cs="Times New Roman"/>
          <w:color w:val="222222"/>
          <w:sz w:val="24"/>
          <w:szCs w:val="24"/>
          <w:shd w:val="clear" w:color="auto" w:fill="FFFFFF"/>
        </w:rPr>
        <w:t>(1), 96-109.</w:t>
      </w:r>
    </w:p>
    <w:p w14:paraId="5964A2C7"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Prajapati, C. S., Priya, N. K., Bishnoi, S., Vishwakarma, S. K., </w:t>
      </w:r>
      <w:proofErr w:type="spellStart"/>
      <w:r w:rsidRPr="00502F56">
        <w:rPr>
          <w:rFonts w:ascii="Times New Roman" w:hAnsi="Times New Roman" w:cs="Times New Roman"/>
          <w:color w:val="222222"/>
          <w:sz w:val="24"/>
          <w:szCs w:val="24"/>
          <w:shd w:val="clear" w:color="auto" w:fill="FFFFFF"/>
        </w:rPr>
        <w:t>Buvaneswari</w:t>
      </w:r>
      <w:proofErr w:type="spellEnd"/>
      <w:r w:rsidRPr="00502F56">
        <w:rPr>
          <w:rFonts w:ascii="Times New Roman" w:hAnsi="Times New Roman" w:cs="Times New Roman"/>
          <w:color w:val="222222"/>
          <w:sz w:val="24"/>
          <w:szCs w:val="24"/>
          <w:shd w:val="clear" w:color="auto" w:fill="FFFFFF"/>
        </w:rPr>
        <w:t>, K., Shastri, S., ... &amp; Jadhav, A. (2025). The role of participatory approaches in modern agricultural extension: bridging knowledge gaps for sustainable farming practices. </w:t>
      </w:r>
      <w:r w:rsidRPr="00502F56">
        <w:rPr>
          <w:rFonts w:ascii="Times New Roman" w:hAnsi="Times New Roman" w:cs="Times New Roman"/>
          <w:i/>
          <w:iCs/>
          <w:color w:val="222222"/>
          <w:sz w:val="24"/>
          <w:szCs w:val="24"/>
          <w:shd w:val="clear" w:color="auto" w:fill="FFFFFF"/>
        </w:rPr>
        <w:t>Journal of Experimental Agriculture International</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47</w:t>
      </w:r>
      <w:r w:rsidRPr="00502F56">
        <w:rPr>
          <w:rFonts w:ascii="Times New Roman" w:hAnsi="Times New Roman" w:cs="Times New Roman"/>
          <w:color w:val="222222"/>
          <w:sz w:val="24"/>
          <w:szCs w:val="24"/>
          <w:shd w:val="clear" w:color="auto" w:fill="FFFFFF"/>
        </w:rPr>
        <w:t>(2), 204-222.</w:t>
      </w:r>
    </w:p>
    <w:p w14:paraId="04C57F78"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Prajapati, S. K., Dayal, P., Kumar, V., &amp; Gairola, A. (2023). Green manuring: A sustainable path to improve soil health and fertility. </w:t>
      </w:r>
      <w:r w:rsidRPr="00502F56">
        <w:rPr>
          <w:rFonts w:ascii="Times New Roman" w:hAnsi="Times New Roman" w:cs="Times New Roman"/>
          <w:i/>
          <w:iCs/>
          <w:color w:val="222222"/>
          <w:sz w:val="24"/>
          <w:szCs w:val="24"/>
          <w:shd w:val="clear" w:color="auto" w:fill="FFFFFF"/>
        </w:rPr>
        <w:t>Int. J</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w:t>
      </w:r>
      <w:r w:rsidRPr="00502F56">
        <w:rPr>
          <w:rFonts w:ascii="Times New Roman" w:hAnsi="Times New Roman" w:cs="Times New Roman"/>
          <w:color w:val="222222"/>
          <w:sz w:val="24"/>
          <w:szCs w:val="24"/>
          <w:shd w:val="clear" w:color="auto" w:fill="FFFFFF"/>
        </w:rPr>
        <w:t>, 24-33.</w:t>
      </w:r>
    </w:p>
    <w:p w14:paraId="27B7C389"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Raimondi, G., Maucieri, C., </w:t>
      </w:r>
      <w:proofErr w:type="spellStart"/>
      <w:r w:rsidRPr="00502F56">
        <w:rPr>
          <w:rFonts w:ascii="Times New Roman" w:hAnsi="Times New Roman" w:cs="Times New Roman"/>
          <w:color w:val="222222"/>
          <w:sz w:val="24"/>
          <w:szCs w:val="24"/>
          <w:shd w:val="clear" w:color="auto" w:fill="FFFFFF"/>
        </w:rPr>
        <w:t>Squartini</w:t>
      </w:r>
      <w:proofErr w:type="spellEnd"/>
      <w:r w:rsidRPr="00502F56">
        <w:rPr>
          <w:rFonts w:ascii="Times New Roman" w:hAnsi="Times New Roman" w:cs="Times New Roman"/>
          <w:color w:val="222222"/>
          <w:sz w:val="24"/>
          <w:szCs w:val="24"/>
          <w:shd w:val="clear" w:color="auto" w:fill="FFFFFF"/>
        </w:rPr>
        <w:t xml:space="preserve">, A., </w:t>
      </w:r>
      <w:proofErr w:type="spellStart"/>
      <w:r w:rsidRPr="00502F56">
        <w:rPr>
          <w:rFonts w:ascii="Times New Roman" w:hAnsi="Times New Roman" w:cs="Times New Roman"/>
          <w:color w:val="222222"/>
          <w:sz w:val="24"/>
          <w:szCs w:val="24"/>
          <w:shd w:val="clear" w:color="auto" w:fill="FFFFFF"/>
        </w:rPr>
        <w:t>Stevanato</w:t>
      </w:r>
      <w:proofErr w:type="spellEnd"/>
      <w:r w:rsidRPr="00502F56">
        <w:rPr>
          <w:rFonts w:ascii="Times New Roman" w:hAnsi="Times New Roman" w:cs="Times New Roman"/>
          <w:color w:val="222222"/>
          <w:sz w:val="24"/>
          <w:szCs w:val="24"/>
          <w:shd w:val="clear" w:color="auto" w:fill="FFFFFF"/>
        </w:rPr>
        <w:t xml:space="preserve">, P., </w:t>
      </w:r>
      <w:proofErr w:type="spellStart"/>
      <w:r w:rsidRPr="00502F56">
        <w:rPr>
          <w:rFonts w:ascii="Times New Roman" w:hAnsi="Times New Roman" w:cs="Times New Roman"/>
          <w:color w:val="222222"/>
          <w:sz w:val="24"/>
          <w:szCs w:val="24"/>
          <w:shd w:val="clear" w:color="auto" w:fill="FFFFFF"/>
        </w:rPr>
        <w:t>Tolomio</w:t>
      </w:r>
      <w:proofErr w:type="spellEnd"/>
      <w:r w:rsidRPr="00502F56">
        <w:rPr>
          <w:rFonts w:ascii="Times New Roman" w:hAnsi="Times New Roman" w:cs="Times New Roman"/>
          <w:color w:val="222222"/>
          <w:sz w:val="24"/>
          <w:szCs w:val="24"/>
          <w:shd w:val="clear" w:color="auto" w:fill="FFFFFF"/>
        </w:rPr>
        <w:t xml:space="preserve">, M., </w:t>
      </w:r>
      <w:proofErr w:type="spellStart"/>
      <w:r w:rsidRPr="00502F56">
        <w:rPr>
          <w:rFonts w:ascii="Times New Roman" w:hAnsi="Times New Roman" w:cs="Times New Roman"/>
          <w:color w:val="222222"/>
          <w:sz w:val="24"/>
          <w:szCs w:val="24"/>
          <w:shd w:val="clear" w:color="auto" w:fill="FFFFFF"/>
        </w:rPr>
        <w:t>Toffanin</w:t>
      </w:r>
      <w:proofErr w:type="spellEnd"/>
      <w:r w:rsidRPr="00502F56">
        <w:rPr>
          <w:rFonts w:ascii="Times New Roman" w:hAnsi="Times New Roman" w:cs="Times New Roman"/>
          <w:color w:val="222222"/>
          <w:sz w:val="24"/>
          <w:szCs w:val="24"/>
          <w:shd w:val="clear" w:color="auto" w:fill="FFFFFF"/>
        </w:rPr>
        <w:t>, A., &amp; Borin, M. (2023). Soil indicators for comparing medium-term organic and conventional agricultural systems. </w:t>
      </w:r>
      <w:r w:rsidRPr="00502F56">
        <w:rPr>
          <w:rFonts w:ascii="Times New Roman" w:hAnsi="Times New Roman" w:cs="Times New Roman"/>
          <w:i/>
          <w:iCs/>
          <w:color w:val="222222"/>
          <w:sz w:val="24"/>
          <w:szCs w:val="24"/>
          <w:shd w:val="clear" w:color="auto" w:fill="FFFFFF"/>
        </w:rPr>
        <w:t>European Journal of Agronomy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142</w:t>
      </w:r>
      <w:r w:rsidRPr="00502F56">
        <w:rPr>
          <w:rFonts w:ascii="Times New Roman" w:hAnsi="Times New Roman" w:cs="Times New Roman"/>
          <w:color w:val="222222"/>
          <w:sz w:val="24"/>
          <w:szCs w:val="24"/>
          <w:shd w:val="clear" w:color="auto" w:fill="FFFFFF"/>
        </w:rPr>
        <w:t>, 126669.</w:t>
      </w:r>
    </w:p>
    <w:p w14:paraId="4FD5274D"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Red, F. S., </w:t>
      </w:r>
      <w:proofErr w:type="spellStart"/>
      <w:r w:rsidRPr="00502F56">
        <w:rPr>
          <w:rFonts w:ascii="Times New Roman" w:hAnsi="Times New Roman" w:cs="Times New Roman"/>
          <w:color w:val="222222"/>
          <w:sz w:val="24"/>
          <w:szCs w:val="24"/>
          <w:shd w:val="clear" w:color="auto" w:fill="FFFFFF"/>
        </w:rPr>
        <w:t>Amestoso</w:t>
      </w:r>
      <w:proofErr w:type="spellEnd"/>
      <w:r w:rsidRPr="00502F56">
        <w:rPr>
          <w:rFonts w:ascii="Times New Roman" w:hAnsi="Times New Roman" w:cs="Times New Roman"/>
          <w:color w:val="222222"/>
          <w:sz w:val="24"/>
          <w:szCs w:val="24"/>
          <w:shd w:val="clear" w:color="auto" w:fill="FFFFFF"/>
        </w:rPr>
        <w:t xml:space="preserve">, N. T., &amp; </w:t>
      </w:r>
      <w:proofErr w:type="spellStart"/>
      <w:r w:rsidRPr="00502F56">
        <w:rPr>
          <w:rFonts w:ascii="Times New Roman" w:hAnsi="Times New Roman" w:cs="Times New Roman"/>
          <w:color w:val="222222"/>
          <w:sz w:val="24"/>
          <w:szCs w:val="24"/>
          <w:shd w:val="clear" w:color="auto" w:fill="FFFFFF"/>
        </w:rPr>
        <w:t>Casinillo</w:t>
      </w:r>
      <w:proofErr w:type="spellEnd"/>
      <w:r w:rsidRPr="00502F56">
        <w:rPr>
          <w:rFonts w:ascii="Times New Roman" w:hAnsi="Times New Roman" w:cs="Times New Roman"/>
          <w:color w:val="222222"/>
          <w:sz w:val="24"/>
          <w:szCs w:val="24"/>
          <w:shd w:val="clear" w:color="auto" w:fill="FFFFFF"/>
        </w:rPr>
        <w:t>, L. F. (2021). Effect of farmer field school (FFS) on the knowledge, attitude, practices and profitability of rice farmers. </w:t>
      </w:r>
      <w:r w:rsidRPr="00502F56">
        <w:rPr>
          <w:rFonts w:ascii="Times New Roman" w:hAnsi="Times New Roman" w:cs="Times New Roman"/>
          <w:i/>
          <w:iCs/>
          <w:color w:val="222222"/>
          <w:sz w:val="24"/>
          <w:szCs w:val="24"/>
          <w:shd w:val="clear" w:color="auto" w:fill="FFFFFF"/>
        </w:rPr>
        <w:t>Philippine Social Science Journal</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w:t>
      </w:r>
      <w:r w:rsidRPr="00502F56">
        <w:rPr>
          <w:rFonts w:ascii="Times New Roman" w:hAnsi="Times New Roman" w:cs="Times New Roman"/>
          <w:color w:val="222222"/>
          <w:sz w:val="24"/>
          <w:szCs w:val="24"/>
          <w:shd w:val="clear" w:color="auto" w:fill="FFFFFF"/>
        </w:rPr>
        <w:t>(4), 145-154.</w:t>
      </w:r>
    </w:p>
    <w:p w14:paraId="3F518838"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Salinas, J., Meca, D., &amp; del Moral, F. (2020). Short-term effects of changing soil management practices on soil quality indicators and crop yields in greenhouses. </w:t>
      </w:r>
      <w:r w:rsidRPr="00502F56">
        <w:rPr>
          <w:rFonts w:ascii="Times New Roman" w:hAnsi="Times New Roman" w:cs="Times New Roman"/>
          <w:i/>
          <w:iCs/>
          <w:color w:val="222222"/>
          <w:sz w:val="24"/>
          <w:szCs w:val="24"/>
          <w:shd w:val="clear" w:color="auto" w:fill="FFFFFF"/>
        </w:rPr>
        <w:t>Agronomy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10</w:t>
      </w:r>
      <w:r w:rsidRPr="00502F56">
        <w:rPr>
          <w:rFonts w:ascii="Times New Roman" w:hAnsi="Times New Roman" w:cs="Times New Roman"/>
          <w:color w:val="222222"/>
          <w:sz w:val="24"/>
          <w:szCs w:val="24"/>
          <w:shd w:val="clear" w:color="auto" w:fill="FFFFFF"/>
        </w:rPr>
        <w:t>(4), 582.</w:t>
      </w:r>
    </w:p>
    <w:p w14:paraId="35E39E9E"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Shahane, A. A., &amp; Shivay, Y. S. (2021). Soil health and its improvement through novel agronomic and innovative approaches. </w:t>
      </w:r>
      <w:r w:rsidRPr="00502F56">
        <w:rPr>
          <w:rFonts w:ascii="Times New Roman" w:hAnsi="Times New Roman" w:cs="Times New Roman"/>
          <w:i/>
          <w:iCs/>
          <w:color w:val="222222"/>
          <w:sz w:val="24"/>
          <w:szCs w:val="24"/>
          <w:shd w:val="clear" w:color="auto" w:fill="FFFFFF"/>
        </w:rPr>
        <w:t>Frontiers in Agronomy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3</w:t>
      </w:r>
      <w:r w:rsidRPr="00502F56">
        <w:rPr>
          <w:rFonts w:ascii="Times New Roman" w:hAnsi="Times New Roman" w:cs="Times New Roman"/>
          <w:color w:val="222222"/>
          <w:sz w:val="24"/>
          <w:szCs w:val="24"/>
          <w:shd w:val="clear" w:color="auto" w:fill="FFFFFF"/>
        </w:rPr>
        <w:t>, 680456.</w:t>
      </w:r>
    </w:p>
    <w:p w14:paraId="7848D7CE"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lastRenderedPageBreak/>
        <w:t xml:space="preserve">Sible, C. N., </w:t>
      </w:r>
      <w:proofErr w:type="spellStart"/>
      <w:r w:rsidRPr="00502F56">
        <w:rPr>
          <w:rFonts w:ascii="Times New Roman" w:hAnsi="Times New Roman" w:cs="Times New Roman"/>
          <w:color w:val="222222"/>
          <w:sz w:val="24"/>
          <w:szCs w:val="24"/>
          <w:shd w:val="clear" w:color="auto" w:fill="FFFFFF"/>
        </w:rPr>
        <w:t>Seebauer</w:t>
      </w:r>
      <w:proofErr w:type="spellEnd"/>
      <w:r w:rsidRPr="00502F56">
        <w:rPr>
          <w:rFonts w:ascii="Times New Roman" w:hAnsi="Times New Roman" w:cs="Times New Roman"/>
          <w:color w:val="222222"/>
          <w:sz w:val="24"/>
          <w:szCs w:val="24"/>
          <w:shd w:val="clear" w:color="auto" w:fill="FFFFFF"/>
        </w:rPr>
        <w:t xml:space="preserve">, J. R., &amp; Below, F. E. (2025). </w:t>
      </w:r>
      <w:proofErr w:type="spellStart"/>
      <w:r w:rsidRPr="00502F56">
        <w:rPr>
          <w:rFonts w:ascii="Times New Roman" w:hAnsi="Times New Roman" w:cs="Times New Roman"/>
          <w:color w:val="222222"/>
          <w:sz w:val="24"/>
          <w:szCs w:val="24"/>
          <w:shd w:val="clear" w:color="auto" w:fill="FFFFFF"/>
        </w:rPr>
        <w:t>Biostimulant</w:t>
      </w:r>
      <w:proofErr w:type="spellEnd"/>
      <w:r w:rsidRPr="00502F56">
        <w:rPr>
          <w:rFonts w:ascii="Times New Roman" w:hAnsi="Times New Roman" w:cs="Times New Roman"/>
          <w:color w:val="222222"/>
          <w:sz w:val="24"/>
          <w:szCs w:val="24"/>
          <w:shd w:val="clear" w:color="auto" w:fill="FFFFFF"/>
        </w:rPr>
        <w:t xml:space="preserve"> or biological? The complexity of defining, categorizing, and regulating microbial inoculants. </w:t>
      </w:r>
      <w:r w:rsidRPr="00502F56">
        <w:rPr>
          <w:rFonts w:ascii="Times New Roman" w:hAnsi="Times New Roman" w:cs="Times New Roman"/>
          <w:i/>
          <w:iCs/>
          <w:color w:val="222222"/>
          <w:sz w:val="24"/>
          <w:szCs w:val="24"/>
          <w:shd w:val="clear" w:color="auto" w:fill="FFFFFF"/>
        </w:rPr>
        <w:t>Agricultural &amp; Environmental Letters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10</w:t>
      </w:r>
      <w:r w:rsidRPr="00502F56">
        <w:rPr>
          <w:rFonts w:ascii="Times New Roman" w:hAnsi="Times New Roman" w:cs="Times New Roman"/>
          <w:color w:val="222222"/>
          <w:sz w:val="24"/>
          <w:szCs w:val="24"/>
          <w:shd w:val="clear" w:color="auto" w:fill="FFFFFF"/>
        </w:rPr>
        <w:t>(2), e70027.</w:t>
      </w:r>
    </w:p>
    <w:p w14:paraId="1D8BF3D2"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Sinclair, F., Wezel, A., Mbow, C., Chomba, S., Robiglio, V., &amp; Harrison, R. (2019). The contribution of agroecological approaches to realizing climate-resilient agriculture. </w:t>
      </w:r>
      <w:r w:rsidRPr="00502F56">
        <w:rPr>
          <w:rFonts w:ascii="Times New Roman" w:hAnsi="Times New Roman" w:cs="Times New Roman"/>
          <w:i/>
          <w:iCs/>
          <w:color w:val="222222"/>
          <w:sz w:val="24"/>
          <w:szCs w:val="24"/>
          <w:shd w:val="clear" w:color="auto" w:fill="FFFFFF"/>
        </w:rPr>
        <w:t>GCA: Rotterdam, The Netherlands</w:t>
      </w:r>
      <w:r w:rsidRPr="00502F56">
        <w:rPr>
          <w:rFonts w:ascii="Times New Roman" w:hAnsi="Times New Roman" w:cs="Times New Roman"/>
          <w:color w:val="222222"/>
          <w:sz w:val="24"/>
          <w:szCs w:val="24"/>
          <w:shd w:val="clear" w:color="auto" w:fill="FFFFFF"/>
        </w:rPr>
        <w:t>.</w:t>
      </w:r>
    </w:p>
    <w:p w14:paraId="1D158E0B"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Stein, S., Hartung, J., </w:t>
      </w:r>
      <w:proofErr w:type="spellStart"/>
      <w:r w:rsidRPr="00502F56">
        <w:rPr>
          <w:rFonts w:ascii="Times New Roman" w:hAnsi="Times New Roman" w:cs="Times New Roman"/>
          <w:color w:val="222222"/>
          <w:sz w:val="24"/>
          <w:szCs w:val="24"/>
          <w:shd w:val="clear" w:color="auto" w:fill="FFFFFF"/>
        </w:rPr>
        <w:t>Perkons</w:t>
      </w:r>
      <w:proofErr w:type="spellEnd"/>
      <w:r w:rsidRPr="00502F56">
        <w:rPr>
          <w:rFonts w:ascii="Times New Roman" w:hAnsi="Times New Roman" w:cs="Times New Roman"/>
          <w:color w:val="222222"/>
          <w:sz w:val="24"/>
          <w:szCs w:val="24"/>
          <w:shd w:val="clear" w:color="auto" w:fill="FFFFFF"/>
        </w:rPr>
        <w:t>, U., Möller, K., &amp; Zikeli, S. (2023). Plant and soil N of different winter cover crops as green manure for subsequent organic white cabbage. </w:t>
      </w:r>
      <w:r w:rsidRPr="00502F56">
        <w:rPr>
          <w:rFonts w:ascii="Times New Roman" w:hAnsi="Times New Roman" w:cs="Times New Roman"/>
          <w:i/>
          <w:iCs/>
          <w:color w:val="222222"/>
          <w:sz w:val="24"/>
          <w:szCs w:val="24"/>
          <w:shd w:val="clear" w:color="auto" w:fill="FFFFFF"/>
        </w:rPr>
        <w:t>Nutrient Cycling in Agroecosystems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127</w:t>
      </w:r>
      <w:r w:rsidRPr="00502F56">
        <w:rPr>
          <w:rFonts w:ascii="Times New Roman" w:hAnsi="Times New Roman" w:cs="Times New Roman"/>
          <w:color w:val="222222"/>
          <w:sz w:val="24"/>
          <w:szCs w:val="24"/>
          <w:shd w:val="clear" w:color="auto" w:fill="FFFFFF"/>
        </w:rPr>
        <w:t>(2), 285-298.</w:t>
      </w:r>
    </w:p>
    <w:p w14:paraId="5EF6EBCC"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Sutherland, L. A., &amp; Marchand, F. (2021). On-farm demonstration: enabling peer-to-peer learning. </w:t>
      </w:r>
      <w:r w:rsidRPr="00502F56">
        <w:rPr>
          <w:rFonts w:ascii="Times New Roman" w:hAnsi="Times New Roman" w:cs="Times New Roman"/>
          <w:i/>
          <w:iCs/>
          <w:color w:val="222222"/>
          <w:sz w:val="24"/>
          <w:szCs w:val="24"/>
          <w:shd w:val="clear" w:color="auto" w:fill="FFFFFF"/>
        </w:rPr>
        <w:t>The Journal of Agricultural Education and Extension</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27</w:t>
      </w:r>
      <w:r w:rsidRPr="00502F56">
        <w:rPr>
          <w:rFonts w:ascii="Times New Roman" w:hAnsi="Times New Roman" w:cs="Times New Roman"/>
          <w:color w:val="222222"/>
          <w:sz w:val="24"/>
          <w:szCs w:val="24"/>
          <w:shd w:val="clear" w:color="auto" w:fill="FFFFFF"/>
        </w:rPr>
        <w:t>(5), 573-590.</w:t>
      </w:r>
    </w:p>
    <w:p w14:paraId="41C0ECF7"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Sutherland, L. A., &amp; Marchand, F. (2021). On-farm demonstration: enabling peer-to-peer learning. </w:t>
      </w:r>
      <w:r w:rsidRPr="00502F56">
        <w:rPr>
          <w:rFonts w:ascii="Times New Roman" w:hAnsi="Times New Roman" w:cs="Times New Roman"/>
          <w:i/>
          <w:iCs/>
          <w:color w:val="222222"/>
          <w:sz w:val="24"/>
          <w:szCs w:val="24"/>
          <w:shd w:val="clear" w:color="auto" w:fill="FFFFFF"/>
        </w:rPr>
        <w:t>The Journal of Agricultural Education and Extension</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27</w:t>
      </w:r>
      <w:r w:rsidRPr="00502F56">
        <w:rPr>
          <w:rFonts w:ascii="Times New Roman" w:hAnsi="Times New Roman" w:cs="Times New Roman"/>
          <w:color w:val="222222"/>
          <w:sz w:val="24"/>
          <w:szCs w:val="24"/>
          <w:shd w:val="clear" w:color="auto" w:fill="FFFFFF"/>
        </w:rPr>
        <w:t>(5), 573-590.</w:t>
      </w:r>
    </w:p>
    <w:p w14:paraId="214FA33D"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Tsakiridis, N. L., </w:t>
      </w:r>
      <w:proofErr w:type="spellStart"/>
      <w:r w:rsidRPr="00502F56">
        <w:rPr>
          <w:rFonts w:ascii="Times New Roman" w:hAnsi="Times New Roman" w:cs="Times New Roman"/>
          <w:color w:val="222222"/>
          <w:sz w:val="24"/>
          <w:szCs w:val="24"/>
          <w:shd w:val="clear" w:color="auto" w:fill="FFFFFF"/>
        </w:rPr>
        <w:t>Samarinas</w:t>
      </w:r>
      <w:proofErr w:type="spellEnd"/>
      <w:r w:rsidRPr="00502F56">
        <w:rPr>
          <w:rFonts w:ascii="Times New Roman" w:hAnsi="Times New Roman" w:cs="Times New Roman"/>
          <w:color w:val="222222"/>
          <w:sz w:val="24"/>
          <w:szCs w:val="24"/>
          <w:shd w:val="clear" w:color="auto" w:fill="FFFFFF"/>
        </w:rPr>
        <w:t xml:space="preserve">, N., </w:t>
      </w:r>
      <w:proofErr w:type="spellStart"/>
      <w:r w:rsidRPr="00502F56">
        <w:rPr>
          <w:rFonts w:ascii="Times New Roman" w:hAnsi="Times New Roman" w:cs="Times New Roman"/>
          <w:color w:val="222222"/>
          <w:sz w:val="24"/>
          <w:szCs w:val="24"/>
          <w:shd w:val="clear" w:color="auto" w:fill="FFFFFF"/>
        </w:rPr>
        <w:t>Kalopesa</w:t>
      </w:r>
      <w:proofErr w:type="spellEnd"/>
      <w:r w:rsidRPr="00502F56">
        <w:rPr>
          <w:rFonts w:ascii="Times New Roman" w:hAnsi="Times New Roman" w:cs="Times New Roman"/>
          <w:color w:val="222222"/>
          <w:sz w:val="24"/>
          <w:szCs w:val="24"/>
          <w:shd w:val="clear" w:color="auto" w:fill="FFFFFF"/>
        </w:rPr>
        <w:t xml:space="preserve">, E., &amp; </w:t>
      </w:r>
      <w:proofErr w:type="spellStart"/>
      <w:r w:rsidRPr="00502F56">
        <w:rPr>
          <w:rFonts w:ascii="Times New Roman" w:hAnsi="Times New Roman" w:cs="Times New Roman"/>
          <w:color w:val="222222"/>
          <w:sz w:val="24"/>
          <w:szCs w:val="24"/>
          <w:shd w:val="clear" w:color="auto" w:fill="FFFFFF"/>
        </w:rPr>
        <w:t>Zalidis</w:t>
      </w:r>
      <w:proofErr w:type="spellEnd"/>
      <w:r w:rsidRPr="00502F56">
        <w:rPr>
          <w:rFonts w:ascii="Times New Roman" w:hAnsi="Times New Roman" w:cs="Times New Roman"/>
          <w:color w:val="222222"/>
          <w:sz w:val="24"/>
          <w:szCs w:val="24"/>
          <w:shd w:val="clear" w:color="auto" w:fill="FFFFFF"/>
        </w:rPr>
        <w:t>, G. C. (2023). Cognitive soil digital twin for monitoring the soil ecosystem: A conceptual framework. </w:t>
      </w:r>
      <w:r w:rsidRPr="00502F56">
        <w:rPr>
          <w:rFonts w:ascii="Times New Roman" w:hAnsi="Times New Roman" w:cs="Times New Roman"/>
          <w:i/>
          <w:iCs/>
          <w:color w:val="222222"/>
          <w:sz w:val="24"/>
          <w:szCs w:val="24"/>
          <w:shd w:val="clear" w:color="auto" w:fill="FFFFFF"/>
        </w:rPr>
        <w:t>Soil Systems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7</w:t>
      </w:r>
      <w:r w:rsidRPr="00502F56">
        <w:rPr>
          <w:rFonts w:ascii="Times New Roman" w:hAnsi="Times New Roman" w:cs="Times New Roman"/>
          <w:color w:val="222222"/>
          <w:sz w:val="24"/>
          <w:szCs w:val="24"/>
          <w:shd w:val="clear" w:color="auto" w:fill="FFFFFF"/>
        </w:rPr>
        <w:t>(4), 88.</w:t>
      </w:r>
    </w:p>
    <w:p w14:paraId="07361708" w14:textId="77777777" w:rsidR="0005134C" w:rsidRPr="00502F56" w:rsidRDefault="0005134C" w:rsidP="0005134C">
      <w:pPr>
        <w:rPr>
          <w:rFonts w:ascii="Times New Roman" w:hAnsi="Times New Roman" w:cs="Times New Roman"/>
          <w:sz w:val="24"/>
          <w:szCs w:val="24"/>
        </w:rPr>
      </w:pPr>
    </w:p>
    <w:p w14:paraId="411E4667" w14:textId="77777777" w:rsidR="0005134C" w:rsidRPr="00502F56" w:rsidRDefault="0005134C" w:rsidP="00037D50">
      <w:pPr>
        <w:spacing w:line="360" w:lineRule="auto"/>
        <w:jc w:val="both"/>
        <w:rPr>
          <w:rFonts w:ascii="Times New Roman" w:hAnsi="Times New Roman" w:cs="Times New Roman"/>
          <w:sz w:val="24"/>
          <w:szCs w:val="24"/>
        </w:rPr>
      </w:pPr>
    </w:p>
    <w:sectPr w:rsidR="0005134C" w:rsidRPr="00502F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CFB7" w14:textId="77777777" w:rsidR="00DB74CB" w:rsidRDefault="00DB74CB" w:rsidP="00F86939">
      <w:pPr>
        <w:spacing w:after="0" w:line="240" w:lineRule="auto"/>
      </w:pPr>
      <w:r>
        <w:separator/>
      </w:r>
    </w:p>
  </w:endnote>
  <w:endnote w:type="continuationSeparator" w:id="0">
    <w:p w14:paraId="332B4690" w14:textId="77777777" w:rsidR="00DB74CB" w:rsidRDefault="00DB74CB" w:rsidP="00F86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B655C" w14:textId="77777777" w:rsidR="00F86939" w:rsidRDefault="00F86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33A99" w14:textId="77777777" w:rsidR="00F86939" w:rsidRDefault="00F86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CC669" w14:textId="77777777" w:rsidR="00F86939" w:rsidRDefault="00F86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55D4E" w14:textId="77777777" w:rsidR="00DB74CB" w:rsidRDefault="00DB74CB" w:rsidP="00F86939">
      <w:pPr>
        <w:spacing w:after="0" w:line="240" w:lineRule="auto"/>
      </w:pPr>
      <w:r>
        <w:separator/>
      </w:r>
    </w:p>
  </w:footnote>
  <w:footnote w:type="continuationSeparator" w:id="0">
    <w:p w14:paraId="0C518665" w14:textId="77777777" w:rsidR="00DB74CB" w:rsidRDefault="00DB74CB" w:rsidP="00F86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A12DA" w14:textId="5B660625" w:rsidR="00F86939" w:rsidRDefault="00F86939">
    <w:pPr>
      <w:pStyle w:val="Header"/>
    </w:pPr>
    <w:r>
      <w:rPr>
        <w:noProof/>
      </w:rPr>
      <w:pict w14:anchorId="0B807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574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F6F9" w14:textId="41B77A39" w:rsidR="00F86939" w:rsidRDefault="00F86939">
    <w:pPr>
      <w:pStyle w:val="Header"/>
    </w:pPr>
    <w:r>
      <w:rPr>
        <w:noProof/>
      </w:rPr>
      <w:pict w14:anchorId="3F372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574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4D0E" w14:textId="5228E851" w:rsidR="00F86939" w:rsidRDefault="00F86939">
    <w:pPr>
      <w:pStyle w:val="Header"/>
    </w:pPr>
    <w:r>
      <w:rPr>
        <w:noProof/>
      </w:rPr>
      <w:pict w14:anchorId="1459C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574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47DAF"/>
    <w:multiLevelType w:val="multilevel"/>
    <w:tmpl w:val="ED882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359"/>
    <w:rsid w:val="00037D50"/>
    <w:rsid w:val="0004585D"/>
    <w:rsid w:val="0005134C"/>
    <w:rsid w:val="000D192D"/>
    <w:rsid w:val="0011593C"/>
    <w:rsid w:val="00155A70"/>
    <w:rsid w:val="00172030"/>
    <w:rsid w:val="001728AA"/>
    <w:rsid w:val="00183E94"/>
    <w:rsid w:val="001B34C3"/>
    <w:rsid w:val="002011D6"/>
    <w:rsid w:val="00223A6E"/>
    <w:rsid w:val="00286EA0"/>
    <w:rsid w:val="002F4829"/>
    <w:rsid w:val="0030380D"/>
    <w:rsid w:val="003A076B"/>
    <w:rsid w:val="003A1BAD"/>
    <w:rsid w:val="004137C8"/>
    <w:rsid w:val="004845EA"/>
    <w:rsid w:val="004A71D3"/>
    <w:rsid w:val="00502F56"/>
    <w:rsid w:val="00550A91"/>
    <w:rsid w:val="005956E1"/>
    <w:rsid w:val="005C49A8"/>
    <w:rsid w:val="005D38C7"/>
    <w:rsid w:val="00605969"/>
    <w:rsid w:val="00624E63"/>
    <w:rsid w:val="00625D75"/>
    <w:rsid w:val="00697343"/>
    <w:rsid w:val="006A16E0"/>
    <w:rsid w:val="006B0732"/>
    <w:rsid w:val="00747512"/>
    <w:rsid w:val="0076446E"/>
    <w:rsid w:val="0078085A"/>
    <w:rsid w:val="007A0816"/>
    <w:rsid w:val="007E0FC4"/>
    <w:rsid w:val="00862D54"/>
    <w:rsid w:val="008769B1"/>
    <w:rsid w:val="0087718D"/>
    <w:rsid w:val="008856DA"/>
    <w:rsid w:val="008A5C85"/>
    <w:rsid w:val="008B1C15"/>
    <w:rsid w:val="008C64ED"/>
    <w:rsid w:val="0091106C"/>
    <w:rsid w:val="00912034"/>
    <w:rsid w:val="009528D1"/>
    <w:rsid w:val="00971412"/>
    <w:rsid w:val="00974A87"/>
    <w:rsid w:val="0098271C"/>
    <w:rsid w:val="009A0D7A"/>
    <w:rsid w:val="009A64B7"/>
    <w:rsid w:val="00A04CB5"/>
    <w:rsid w:val="00AE2563"/>
    <w:rsid w:val="00B13359"/>
    <w:rsid w:val="00B546D5"/>
    <w:rsid w:val="00B61F86"/>
    <w:rsid w:val="00BD048D"/>
    <w:rsid w:val="00C0269C"/>
    <w:rsid w:val="00C412F3"/>
    <w:rsid w:val="00C4612E"/>
    <w:rsid w:val="00C61522"/>
    <w:rsid w:val="00C76185"/>
    <w:rsid w:val="00CA2AE4"/>
    <w:rsid w:val="00D01E16"/>
    <w:rsid w:val="00D43ECC"/>
    <w:rsid w:val="00DB74CB"/>
    <w:rsid w:val="00E15DAE"/>
    <w:rsid w:val="00E23917"/>
    <w:rsid w:val="00E32320"/>
    <w:rsid w:val="00F75B81"/>
    <w:rsid w:val="00F8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AE7B6E"/>
  <w15:chartTrackingRefBased/>
  <w15:docId w15:val="{4D15410B-100E-4E3B-A882-8B1852C3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133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133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359"/>
    <w:rPr>
      <w:rFonts w:ascii="Times New Roman" w:eastAsia="Times New Roman" w:hAnsi="Times New Roman" w:cs="Times New Roman"/>
      <w:b/>
      <w:bCs/>
      <w:sz w:val="27"/>
      <w:szCs w:val="27"/>
    </w:rPr>
  </w:style>
  <w:style w:type="paragraph" w:styleId="NormalWeb">
    <w:name w:val="Normal (Web)"/>
    <w:basedOn w:val="Normal"/>
    <w:uiPriority w:val="99"/>
    <w:unhideWhenUsed/>
    <w:rsid w:val="00B133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359"/>
    <w:rPr>
      <w:b/>
      <w:bCs/>
    </w:rPr>
  </w:style>
  <w:style w:type="character" w:customStyle="1" w:styleId="Heading2Char">
    <w:name w:val="Heading 2 Char"/>
    <w:basedOn w:val="DefaultParagraphFont"/>
    <w:link w:val="Heading2"/>
    <w:uiPriority w:val="9"/>
    <w:rsid w:val="00B1335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01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7D50"/>
    <w:pPr>
      <w:ind w:left="720"/>
      <w:contextualSpacing/>
    </w:pPr>
  </w:style>
  <w:style w:type="character" w:styleId="Hyperlink">
    <w:name w:val="Hyperlink"/>
    <w:basedOn w:val="DefaultParagraphFont"/>
    <w:uiPriority w:val="99"/>
    <w:unhideWhenUsed/>
    <w:rsid w:val="00502F56"/>
    <w:rPr>
      <w:color w:val="0563C1" w:themeColor="hyperlink"/>
      <w:u w:val="single"/>
    </w:rPr>
  </w:style>
  <w:style w:type="character" w:styleId="UnresolvedMention">
    <w:name w:val="Unresolved Mention"/>
    <w:basedOn w:val="DefaultParagraphFont"/>
    <w:uiPriority w:val="99"/>
    <w:semiHidden/>
    <w:unhideWhenUsed/>
    <w:rsid w:val="006B0732"/>
    <w:rPr>
      <w:color w:val="605E5C"/>
      <w:shd w:val="clear" w:color="auto" w:fill="E1DFDD"/>
    </w:rPr>
  </w:style>
  <w:style w:type="paragraph" w:styleId="Header">
    <w:name w:val="header"/>
    <w:basedOn w:val="Normal"/>
    <w:link w:val="HeaderChar"/>
    <w:uiPriority w:val="99"/>
    <w:unhideWhenUsed/>
    <w:rsid w:val="00F86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939"/>
  </w:style>
  <w:style w:type="paragraph" w:styleId="Footer">
    <w:name w:val="footer"/>
    <w:basedOn w:val="Normal"/>
    <w:link w:val="FooterChar"/>
    <w:uiPriority w:val="99"/>
    <w:unhideWhenUsed/>
    <w:rsid w:val="00F86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322336">
      <w:bodyDiv w:val="1"/>
      <w:marLeft w:val="0"/>
      <w:marRight w:val="0"/>
      <w:marTop w:val="0"/>
      <w:marBottom w:val="0"/>
      <w:divBdr>
        <w:top w:val="none" w:sz="0" w:space="0" w:color="auto"/>
        <w:left w:val="none" w:sz="0" w:space="0" w:color="auto"/>
        <w:bottom w:val="none" w:sz="0" w:space="0" w:color="auto"/>
        <w:right w:val="none" w:sz="0" w:space="0" w:color="auto"/>
      </w:divBdr>
      <w:divsChild>
        <w:div w:id="92823540">
          <w:marLeft w:val="0"/>
          <w:marRight w:val="0"/>
          <w:marTop w:val="0"/>
          <w:marBottom w:val="0"/>
          <w:divBdr>
            <w:top w:val="none" w:sz="0" w:space="0" w:color="auto"/>
            <w:left w:val="none" w:sz="0" w:space="0" w:color="auto"/>
            <w:bottom w:val="none" w:sz="0" w:space="0" w:color="auto"/>
            <w:right w:val="none" w:sz="0" w:space="0" w:color="auto"/>
          </w:divBdr>
          <w:divsChild>
            <w:div w:id="313143683">
              <w:marLeft w:val="0"/>
              <w:marRight w:val="0"/>
              <w:marTop w:val="0"/>
              <w:marBottom w:val="0"/>
              <w:divBdr>
                <w:top w:val="none" w:sz="0" w:space="0" w:color="auto"/>
                <w:left w:val="none" w:sz="0" w:space="0" w:color="auto"/>
                <w:bottom w:val="none" w:sz="0" w:space="0" w:color="auto"/>
                <w:right w:val="none" w:sz="0" w:space="0" w:color="auto"/>
              </w:divBdr>
              <w:divsChild>
                <w:div w:id="879320137">
                  <w:marLeft w:val="0"/>
                  <w:marRight w:val="0"/>
                  <w:marTop w:val="0"/>
                  <w:marBottom w:val="0"/>
                  <w:divBdr>
                    <w:top w:val="none" w:sz="0" w:space="0" w:color="auto"/>
                    <w:left w:val="none" w:sz="0" w:space="0" w:color="auto"/>
                    <w:bottom w:val="none" w:sz="0" w:space="0" w:color="auto"/>
                    <w:right w:val="none" w:sz="0" w:space="0" w:color="auto"/>
                  </w:divBdr>
                  <w:divsChild>
                    <w:div w:id="1434281846">
                      <w:marLeft w:val="0"/>
                      <w:marRight w:val="0"/>
                      <w:marTop w:val="0"/>
                      <w:marBottom w:val="0"/>
                      <w:divBdr>
                        <w:top w:val="none" w:sz="0" w:space="0" w:color="auto"/>
                        <w:left w:val="none" w:sz="0" w:space="0" w:color="auto"/>
                        <w:bottom w:val="none" w:sz="0" w:space="0" w:color="auto"/>
                        <w:right w:val="none" w:sz="0" w:space="0" w:color="auto"/>
                      </w:divBdr>
                    </w:div>
                    <w:div w:id="1257447314">
                      <w:marLeft w:val="0"/>
                      <w:marRight w:val="0"/>
                      <w:marTop w:val="0"/>
                      <w:marBottom w:val="0"/>
                      <w:divBdr>
                        <w:top w:val="none" w:sz="0" w:space="0" w:color="auto"/>
                        <w:left w:val="none" w:sz="0" w:space="0" w:color="auto"/>
                        <w:bottom w:val="none" w:sz="0" w:space="0" w:color="auto"/>
                        <w:right w:val="none" w:sz="0" w:space="0" w:color="auto"/>
                      </w:divBdr>
                    </w:div>
                    <w:div w:id="7166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77212">
      <w:bodyDiv w:val="1"/>
      <w:marLeft w:val="0"/>
      <w:marRight w:val="0"/>
      <w:marTop w:val="0"/>
      <w:marBottom w:val="0"/>
      <w:divBdr>
        <w:top w:val="none" w:sz="0" w:space="0" w:color="auto"/>
        <w:left w:val="none" w:sz="0" w:space="0" w:color="auto"/>
        <w:bottom w:val="none" w:sz="0" w:space="0" w:color="auto"/>
        <w:right w:val="none" w:sz="0" w:space="0" w:color="auto"/>
      </w:divBdr>
    </w:div>
    <w:div w:id="1782257152">
      <w:bodyDiv w:val="1"/>
      <w:marLeft w:val="0"/>
      <w:marRight w:val="0"/>
      <w:marTop w:val="0"/>
      <w:marBottom w:val="0"/>
      <w:divBdr>
        <w:top w:val="none" w:sz="0" w:space="0" w:color="auto"/>
        <w:left w:val="none" w:sz="0" w:space="0" w:color="auto"/>
        <w:bottom w:val="none" w:sz="0" w:space="0" w:color="auto"/>
        <w:right w:val="none" w:sz="0" w:space="0" w:color="auto"/>
      </w:divBdr>
    </w:div>
    <w:div w:id="213879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20</Pages>
  <Words>6936</Words>
  <Characters>39538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64</cp:revision>
  <dcterms:created xsi:type="dcterms:W3CDTF">2025-10-14T06:56:00Z</dcterms:created>
  <dcterms:modified xsi:type="dcterms:W3CDTF">2025-10-16T11:00:00Z</dcterms:modified>
</cp:coreProperties>
</file>