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4BF6" w14:textId="23CA4622" w:rsidR="00042BE2" w:rsidRPr="00377D4E" w:rsidRDefault="00042BE2" w:rsidP="00377D4E">
      <w:pPr>
        <w:spacing w:line="240" w:lineRule="auto"/>
        <w:jc w:val="center"/>
        <w:rPr>
          <w:rFonts w:ascii="Arial" w:hAnsi="Arial" w:cs="Arial"/>
          <w:b/>
          <w:bCs/>
          <w:sz w:val="28"/>
          <w:szCs w:val="28"/>
        </w:rPr>
      </w:pPr>
      <w:r w:rsidRPr="00377D4E">
        <w:rPr>
          <w:rFonts w:ascii="Arial" w:hAnsi="Arial" w:cs="Arial"/>
          <w:b/>
          <w:bCs/>
          <w:sz w:val="28"/>
          <w:szCs w:val="28"/>
        </w:rPr>
        <w:t>Restoring the Soil and Sustaining the Future: A Global Review of Natural Farming Practices and Impacts</w:t>
      </w:r>
    </w:p>
    <w:p w14:paraId="673C5B80" w14:textId="0881BD4A" w:rsidR="00377D4E" w:rsidRDefault="00377D4E" w:rsidP="00B3545F">
      <w:pPr>
        <w:spacing w:line="240" w:lineRule="auto"/>
        <w:jc w:val="both"/>
        <w:rPr>
          <w:rFonts w:ascii="Arial" w:hAnsi="Arial" w:cs="Arial"/>
          <w:b/>
          <w:bCs/>
        </w:rPr>
      </w:pPr>
    </w:p>
    <w:p w14:paraId="744786E9" w14:textId="77777777" w:rsidR="00FE310C" w:rsidRPr="00377D4E" w:rsidRDefault="00FE310C" w:rsidP="00B3545F">
      <w:pPr>
        <w:spacing w:line="240" w:lineRule="auto"/>
        <w:jc w:val="both"/>
        <w:rPr>
          <w:rFonts w:ascii="Arial" w:hAnsi="Arial" w:cs="Arial"/>
          <w:b/>
          <w:bCs/>
        </w:rPr>
      </w:pPr>
    </w:p>
    <w:p w14:paraId="6AA0041D" w14:textId="24DF9454" w:rsidR="00B3545F" w:rsidRPr="00377D4E" w:rsidRDefault="00377D4E" w:rsidP="00B3545F">
      <w:pPr>
        <w:spacing w:line="240" w:lineRule="auto"/>
        <w:jc w:val="both"/>
        <w:rPr>
          <w:rFonts w:ascii="Arial" w:hAnsi="Arial" w:cs="Arial"/>
          <w:b/>
          <w:bCs/>
        </w:rPr>
      </w:pPr>
      <w:r w:rsidRPr="00377D4E">
        <w:rPr>
          <w:rFonts w:ascii="Arial" w:hAnsi="Arial" w:cs="Arial"/>
          <w:b/>
          <w:bCs/>
        </w:rPr>
        <w:t xml:space="preserve">ABSTRACT </w:t>
      </w:r>
    </w:p>
    <w:p w14:paraId="1E8D93BC" w14:textId="41C1E51E" w:rsidR="00B3545F" w:rsidRDefault="00B3545F" w:rsidP="00B3545F">
      <w:pPr>
        <w:jc w:val="both"/>
        <w:rPr>
          <w:rFonts w:ascii="Arial" w:hAnsi="Arial" w:cs="Arial"/>
        </w:rPr>
      </w:pPr>
      <w:r w:rsidRPr="00377D4E">
        <w:rPr>
          <w:rFonts w:ascii="Arial" w:hAnsi="Arial" w:cs="Arial"/>
        </w:rPr>
        <w:t>Soil degradation, climate instability, and unsustainable food production models have created a global crisis in agricultural sustainability. Natural farming offers a potential solution by restoring soil health, minimizing external chemical inputs, and enhancing ecosystem services critical for food security. This review synthesizes evidence from three regional contexts: (1) South Asia, with a focus on Zero Budget Natural Farming (ZBNF) in India; (2) East Asia, particularly Fukuoka farming in Japan; and (3) Latin America, emphasizing agroecological movements in Brazil, Cuba, and Mexico. A systematic evaluation of peer-reviewed literature, field trials, and regional case studies demonstrates that natural farming improves soil organic matter, enhances microbial diversity, sequesters carbon, and reduces greenhouse gas emissions. Empirical findings from controlled ZBNF trials in Andhra Pradesh reveal significantly higher yields, improved soil moisture, moderated soil temperatures, and greater earthworm abundance compared to conventional and organic systems. Comparable practices in Japan and Latin America show similar benefits, underscoring natural farming’s adaptability across diverse socio-ecological landscapes. Despite these advantages, challenges persist, including limited policy support, costly certification, knowledge gaps, and uneven adoption. Addressing these barriers requires integrated policy frameworks, market development, farmer-led innovations, and continued long-term scientific validation. Overall, natural farming represents more than a technical shift</w:t>
      </w:r>
      <w:r w:rsidR="00377D4E">
        <w:rPr>
          <w:rFonts w:ascii="Arial" w:hAnsi="Arial" w:cs="Arial"/>
        </w:rPr>
        <w:t xml:space="preserve"> </w:t>
      </w:r>
      <w:r w:rsidRPr="00377D4E">
        <w:rPr>
          <w:rFonts w:ascii="Arial" w:hAnsi="Arial" w:cs="Arial"/>
        </w:rPr>
        <w:t>it is a paradigm for resilient, equitable, and sustainable food systems. Its potential contribution to Sustainable Development Goals (SDGs), particularly soil health, biodiversity, and climate mitigation, positions it as a cornerstone of future agricultural transformation.</w:t>
      </w:r>
    </w:p>
    <w:p w14:paraId="6FAC02E6" w14:textId="688D2567" w:rsidR="00543A13" w:rsidRPr="00377D4E" w:rsidRDefault="00543A13" w:rsidP="00B3545F">
      <w:pPr>
        <w:jc w:val="both"/>
        <w:rPr>
          <w:rFonts w:ascii="Arial" w:hAnsi="Arial" w:cs="Arial"/>
        </w:rPr>
      </w:pPr>
      <w:r w:rsidRPr="00543A13">
        <w:rPr>
          <w:rFonts w:ascii="Arial" w:hAnsi="Arial" w:cs="Arial"/>
          <w:b/>
          <w:bCs/>
        </w:rPr>
        <w:t>Key words:</w:t>
      </w:r>
      <w:r>
        <w:rPr>
          <w:rFonts w:ascii="Arial" w:hAnsi="Arial" w:cs="Arial"/>
        </w:rPr>
        <w:t xml:space="preserve"> </w:t>
      </w:r>
      <w:r w:rsidRPr="00543A13">
        <w:rPr>
          <w:rFonts w:ascii="Arial" w:hAnsi="Arial" w:cs="Arial"/>
        </w:rPr>
        <w:t>Agroecology; Climate resilience; Food security;</w:t>
      </w:r>
      <w:r>
        <w:rPr>
          <w:rFonts w:ascii="Arial" w:hAnsi="Arial" w:cs="Arial"/>
        </w:rPr>
        <w:t xml:space="preserve"> </w:t>
      </w:r>
      <w:r w:rsidRPr="00543A13">
        <w:rPr>
          <w:rFonts w:ascii="Arial" w:hAnsi="Arial" w:cs="Arial"/>
        </w:rPr>
        <w:t>Natural farming; Soil health; Sustainable agriculture; Sustainable Development Goals (SDGs); Zero Budget Natural Farming (ZBNF)</w:t>
      </w:r>
    </w:p>
    <w:p w14:paraId="704CCB71" w14:textId="77777777" w:rsidR="00B3545F" w:rsidRPr="00377D4E" w:rsidRDefault="00B3545F" w:rsidP="00316AE0">
      <w:pPr>
        <w:spacing w:line="360" w:lineRule="auto"/>
        <w:rPr>
          <w:rFonts w:ascii="Arial" w:hAnsi="Arial" w:cs="Arial"/>
        </w:rPr>
      </w:pPr>
      <w:r w:rsidRPr="00377D4E">
        <w:rPr>
          <w:rFonts w:ascii="Arial" w:hAnsi="Arial" w:cs="Arial"/>
        </w:rPr>
        <w:br w:type="page"/>
      </w:r>
    </w:p>
    <w:p w14:paraId="135A2D28" w14:textId="06456AD6" w:rsidR="00B3545F" w:rsidRPr="00377D4E" w:rsidRDefault="00B3545F" w:rsidP="00316AE0">
      <w:pPr>
        <w:spacing w:line="360" w:lineRule="auto"/>
        <w:jc w:val="both"/>
        <w:rPr>
          <w:rFonts w:ascii="Arial" w:hAnsi="Arial" w:cs="Arial"/>
          <w:b/>
          <w:bCs/>
        </w:rPr>
      </w:pPr>
      <w:r w:rsidRPr="00377D4E">
        <w:rPr>
          <w:rFonts w:ascii="Arial" w:hAnsi="Arial" w:cs="Arial"/>
          <w:b/>
          <w:bCs/>
        </w:rPr>
        <w:lastRenderedPageBreak/>
        <w:t xml:space="preserve">Introduction </w:t>
      </w:r>
    </w:p>
    <w:p w14:paraId="038150A4" w14:textId="1427BF0B" w:rsidR="00B3545F" w:rsidRPr="00377D4E" w:rsidRDefault="00B3545F" w:rsidP="00316AE0">
      <w:pPr>
        <w:spacing w:line="360" w:lineRule="auto"/>
        <w:jc w:val="both"/>
        <w:rPr>
          <w:rFonts w:ascii="Arial" w:hAnsi="Arial" w:cs="Arial"/>
        </w:rPr>
      </w:pPr>
      <w:r w:rsidRPr="00377D4E">
        <w:rPr>
          <w:rFonts w:ascii="Arial" w:hAnsi="Arial" w:cs="Arial"/>
        </w:rPr>
        <w:t>Agriculture has always been at the heart of human civilization, but in the twenty-first century it faces an existential challenge: how to nourish a growing global population while maintaining ecological integrity and social equity. Current projections estimate that the world will need to feed nearly 10 billion people by 2050 (FAO, 2017). Meeting this demand under a conventional, input-intensive model has led to soil degradation, water scarcity, biodiversity collapse, and significant greenhouse gas emissions (IPCC, 2019). At the same time, farmers—particularly smallholders in the Global South</w:t>
      </w:r>
      <w:r w:rsidR="00543A13">
        <w:rPr>
          <w:rFonts w:ascii="Arial" w:hAnsi="Arial" w:cs="Arial"/>
        </w:rPr>
        <w:t xml:space="preserve"> </w:t>
      </w:r>
      <w:r w:rsidRPr="00377D4E">
        <w:rPr>
          <w:rFonts w:ascii="Arial" w:hAnsi="Arial" w:cs="Arial"/>
        </w:rPr>
        <w:t xml:space="preserve">struggle with mounting debt, volatile input prices, and climate shocks, revealing deep socio-economic vulnerabilities within the global food system (Pretty, 2008; World Bank, 2022). India provides a vivid illustration of these intersecting crises. The Green Revolution brought short-term productivity gains, but decades of chemical-intensive practices have depleted soils, contaminated groundwater, and left farmers increasingly dependent on costly external inputs (Bhattacharyya et al., 2015; </w:t>
      </w:r>
      <w:proofErr w:type="spellStart"/>
      <w:r w:rsidRPr="00377D4E">
        <w:rPr>
          <w:rFonts w:ascii="Arial" w:hAnsi="Arial" w:cs="Arial"/>
        </w:rPr>
        <w:t>Agoramoorthy</w:t>
      </w:r>
      <w:proofErr w:type="spellEnd"/>
      <w:r w:rsidRPr="00377D4E">
        <w:rPr>
          <w:rFonts w:ascii="Arial" w:hAnsi="Arial" w:cs="Arial"/>
        </w:rPr>
        <w:t>, 2008). Fertilizer prices, often tied to global energy markets, have subjected farmers to economic instability, while pesticide use has raised concerns over human health and ecological harm. Similar patterns are visible worldwide: monocultures in North America erode biodiversity; intensive livestock systems in Europe contribute to nitrogen pollution; and land conversion in Africa and Latin America drives deforestation and ecosystem loss. Collectively, these trends underscore the urgent need for alternative farming systems capable of producing sufficient food while safeguarding the environment. Natural farming has emerged as one such alternative, emphasizing ecological principles and indigenous knowledge to build resilient, self-sustaining agroecosystems. Unlike conventional agriculture, which relies heavily on synthetic fertilizers and pesticides, natural farming minimizes external inputs and instead leverages biological processes</w:t>
      </w:r>
      <w:r w:rsidR="00543A13">
        <w:rPr>
          <w:rFonts w:ascii="Arial" w:hAnsi="Arial" w:cs="Arial"/>
        </w:rPr>
        <w:t xml:space="preserve"> </w:t>
      </w:r>
      <w:r w:rsidRPr="00377D4E">
        <w:rPr>
          <w:rFonts w:ascii="Arial" w:hAnsi="Arial" w:cs="Arial"/>
        </w:rPr>
        <w:t>such as composting, mulching, crop rotations, intercropping, and microbial inoculants</w:t>
      </w:r>
      <w:r w:rsidR="00543A13">
        <w:rPr>
          <w:rFonts w:ascii="Arial" w:hAnsi="Arial" w:cs="Arial"/>
        </w:rPr>
        <w:t xml:space="preserve"> </w:t>
      </w:r>
      <w:r w:rsidRPr="00377D4E">
        <w:rPr>
          <w:rFonts w:ascii="Arial" w:hAnsi="Arial" w:cs="Arial"/>
        </w:rPr>
        <w:t>to maintain soil fertility and pest control (Fukuoka, 1978; Palekar, 2016; Altieri &amp; Nicholls, 2020). By enhancing soil organic matter, nutrient cycling, and biodiversity, natural farming improves long-term productivity while lowering costs for farmers. The diversity of natural farming approaches worldwide illustrates both its adaptability and its shared ecological foundations. In Japan, Masanobu Fukuoka’s philosophy of “do-nothing farming” pioneered a minimalist approach where natural succession, seed-balling, and ground cover replacement reduced human intervention (Fukuoka, 1978). In India, Subhash Palekar’s Zero Budget Natural Farming (ZBNF) has spread rapidly, promoted by both grassroots farmer networks and government programs such as Andhra Pradesh’s Community Managed Natural Farming initiative (</w:t>
      </w:r>
      <w:proofErr w:type="spellStart"/>
      <w:r w:rsidRPr="00377D4E">
        <w:rPr>
          <w:rFonts w:ascii="Arial" w:hAnsi="Arial" w:cs="Arial"/>
        </w:rPr>
        <w:t>RySS</w:t>
      </w:r>
      <w:proofErr w:type="spellEnd"/>
      <w:r w:rsidRPr="00377D4E">
        <w:rPr>
          <w:rFonts w:ascii="Arial" w:hAnsi="Arial" w:cs="Arial"/>
        </w:rPr>
        <w:t>, 2020). In Latin America, agroecology integrates traditional ecological knowledge with modern science to restore degraded lands, diversify farming systems, and strengthen food sovereignty (Altieri &amp; Toledo, 2011). Africa has seen success with farmer-</w:t>
      </w:r>
      <w:r w:rsidRPr="00377D4E">
        <w:rPr>
          <w:rFonts w:ascii="Arial" w:hAnsi="Arial" w:cs="Arial"/>
        </w:rPr>
        <w:lastRenderedPageBreak/>
        <w:t>managed natural regeneration (FMNR), which has rehabilitated millions of hectares in the Sahel through community-driven reforestation and soil management (Reij et al., 2014). Oceania, particularly Australia and New Zealand, has become a hub for permaculture and regenerative agriculture, focusing on ecological design, water conservation, and soil carbon restoration (Mollison &amp; Holmgren, 1978; White &amp; Keough, 2019). Despite encouraging evidence, natural farming remains contested. Critics point to limited long-term, statistically validated data and question whether natural farming can match conventional yields at scale (Smith et al., 2020). The recent crisis in Sri Lanka, where an abrupt nationwide ban on synthetic fertilizers destabilized food production, underscores the risks of poorly designed transitions (de Guzman, 2022). These challenges highlight the importance of gradual, evidence-based approaches and the need for rigorous scientific validation of natural farming systems. Recent empirical studies have begun to fill this gap. In Andhra Pradesh, controlled experiments comparing ZBNF, conventional, and organic farming across 28 farms over three seasons found that ZBNF consistently produced higher yields, improved soil moisture, moderated soil temperatures, and enhanced earthworm populations (</w:t>
      </w:r>
      <w:proofErr w:type="spellStart"/>
      <w:r w:rsidRPr="00377D4E">
        <w:rPr>
          <w:rFonts w:ascii="Arial" w:hAnsi="Arial" w:cs="Arial"/>
        </w:rPr>
        <w:t>Duddigan</w:t>
      </w:r>
      <w:proofErr w:type="spellEnd"/>
      <w:r w:rsidRPr="00377D4E">
        <w:rPr>
          <w:rFonts w:ascii="Arial" w:hAnsi="Arial" w:cs="Arial"/>
        </w:rPr>
        <w:t xml:space="preserve"> et al., 2023). These results provide rare, statistically robust evidence supporting claims long made by natural farming advocates. They also position ZBNF as a credible model for sustainable intensification, especially in smallholder contexts where resource constraints make costly inputs untenable. Yet, natural farming faces structural barriers to scaling. Policy frameworks in many countries continue to </w:t>
      </w:r>
      <w:proofErr w:type="spellStart"/>
      <w:r w:rsidRPr="00377D4E">
        <w:rPr>
          <w:rFonts w:ascii="Arial" w:hAnsi="Arial" w:cs="Arial"/>
        </w:rPr>
        <w:t>favor</w:t>
      </w:r>
      <w:proofErr w:type="spellEnd"/>
      <w:r w:rsidRPr="00377D4E">
        <w:rPr>
          <w:rFonts w:ascii="Arial" w:hAnsi="Arial" w:cs="Arial"/>
        </w:rPr>
        <w:t xml:space="preserve"> industrial agriculture through subsidies for fertilizers, pesticides, and monocultures (Pretty, 2008). Certification schemes for organic and sustainable produce often involve high costs and bureaucratic hurdles, excluding smallholders (Altieri &amp; Toledo, 2011). Limited awareness, insufficient extension services, and the dominance of agribusiness interests further inhibit adoption. Overcoming these barriers requires coordinated action: policies that redirect subsidies toward ecological practices, certification systems tailored to smallholder needs, and farmer-to-farmer extension models that build trust and knowledge (Rosset et al., 2011; Kumar et al., 2020). This paper contributes to the growing literature by synthesizing global evidence on natural farming while integrating new empirical data from India. The objectives are threefold: (1) to provide a comprehensive review of natural farming principles, practices, and global variations; (2) to evaluate its impacts on soil health, biodiversity, productivity, and farmer livelihoods; and (3) to identify barriers, enabling factors, and research priorities for scaling. Structurally, the paper follows a standard research format: methods (detailing the systematic review process and empirical field approaches), results (presenting both global synthesis and regional case outcomes), and discussion (interpreting implications for soil science, policy, and sustainability). Ultimately, natural farming represents not just a technical innovation but a paradigm shift. By placing soil at the centre of agricultural systems and aligning farming with ecological cycles, it challenges the extractive logic of </w:t>
      </w:r>
      <w:r w:rsidRPr="00377D4E">
        <w:rPr>
          <w:rFonts w:ascii="Arial" w:hAnsi="Arial" w:cs="Arial"/>
        </w:rPr>
        <w:lastRenderedPageBreak/>
        <w:t>industrial agriculture. In doing so, it provides a pathway toward resilient, equitable, and sustainable food systems that meet the needs of present and future generations.</w:t>
      </w:r>
    </w:p>
    <w:p w14:paraId="0A1A3992" w14:textId="34125F4B" w:rsidR="009D1825" w:rsidRPr="00377D4E" w:rsidRDefault="009D1825" w:rsidP="00316AE0">
      <w:pPr>
        <w:spacing w:line="360" w:lineRule="auto"/>
        <w:jc w:val="both"/>
        <w:rPr>
          <w:rFonts w:ascii="Arial" w:hAnsi="Arial" w:cs="Arial"/>
          <w:b/>
          <w:bCs/>
        </w:rPr>
      </w:pPr>
      <w:r w:rsidRPr="00377D4E">
        <w:rPr>
          <w:rFonts w:ascii="Arial" w:hAnsi="Arial" w:cs="Arial"/>
          <w:b/>
          <w:bCs/>
        </w:rPr>
        <w:t xml:space="preserve">2. Methodology </w:t>
      </w:r>
    </w:p>
    <w:p w14:paraId="4D2D31FC" w14:textId="77777777" w:rsidR="009D1825" w:rsidRPr="00377D4E" w:rsidRDefault="009D1825" w:rsidP="00316AE0">
      <w:pPr>
        <w:spacing w:line="360" w:lineRule="auto"/>
        <w:rPr>
          <w:rFonts w:ascii="Arial" w:hAnsi="Arial" w:cs="Arial"/>
          <w:b/>
          <w:bCs/>
        </w:rPr>
      </w:pPr>
      <w:r w:rsidRPr="00377D4E">
        <w:rPr>
          <w:rFonts w:ascii="Arial" w:hAnsi="Arial" w:cs="Arial"/>
          <w:b/>
          <w:bCs/>
        </w:rPr>
        <w:t>2.1 Literature Search and Selection</w:t>
      </w:r>
    </w:p>
    <w:p w14:paraId="410B16A4" w14:textId="2D267F97" w:rsidR="009D1825" w:rsidRPr="00377D4E" w:rsidRDefault="009D1825" w:rsidP="00316AE0">
      <w:pPr>
        <w:spacing w:line="360" w:lineRule="auto"/>
        <w:jc w:val="both"/>
        <w:rPr>
          <w:rFonts w:ascii="Arial" w:hAnsi="Arial" w:cs="Arial"/>
        </w:rPr>
      </w:pPr>
      <w:r w:rsidRPr="00377D4E">
        <w:rPr>
          <w:rFonts w:ascii="Arial" w:hAnsi="Arial" w:cs="Arial"/>
        </w:rPr>
        <w:t xml:space="preserve">A systematic review methodology was adopted to ensure transparency, replicability, and rigor. Systematic reviews are particularly important in agricultural sciences, where a wide range of empirical, experimental, and field-based studies exist, often with differing methodologies. Following guidelines inspired by PRISMA, we developed a comprehensive search strategy to capture global and regional evidence on natural farming practices. The databases consulted included Scopus, Web of Science, AGRICOLA, CAB Abstracts, and Google Scholar. Each of these platforms was chosen for its comprehensive coverage of agricultural, ecological, and socio-economic studies. The search employed both broad and specific keyword combinations. Examples include </w:t>
      </w:r>
      <w:r w:rsidRPr="00377D4E">
        <w:rPr>
          <w:rFonts w:ascii="Arial" w:hAnsi="Arial" w:cs="Arial"/>
          <w:i/>
          <w:iCs/>
        </w:rPr>
        <w:t>“natural farming AND soil health,” “zero budget natural farming AND India,” “Fukuoka farming AND Japan,” “agroecology AND Latin America,”</w:t>
      </w:r>
      <w:r w:rsidRPr="00377D4E">
        <w:rPr>
          <w:rFonts w:ascii="Arial" w:hAnsi="Arial" w:cs="Arial"/>
        </w:rPr>
        <w:t xml:space="preserve"> and </w:t>
      </w:r>
      <w:r w:rsidRPr="00377D4E">
        <w:rPr>
          <w:rFonts w:ascii="Arial" w:hAnsi="Arial" w:cs="Arial"/>
          <w:i/>
          <w:iCs/>
        </w:rPr>
        <w:t>“sustainable agriculture AND biodiversity.”</w:t>
      </w:r>
      <w:r w:rsidRPr="00377D4E">
        <w:rPr>
          <w:rFonts w:ascii="Arial" w:hAnsi="Arial" w:cs="Arial"/>
        </w:rPr>
        <w:t xml:space="preserve"> Boolean operators (AND, OR, NOT) were systematically used to expand or refine results. To reduce bias, multiple iterations of searches were conducted at different times to capture recently indexed articles. The timeframe was restricted to 2000–2023, as this period represents the rise of natural farming from a localized practice to a globally discussed paradigm. Foundational contributions such as Fukuoka (1978) were incorporated to ensure theoretical grounding. Grey literature, such as reports from the Food and Agriculture Organization (FAO) and government initiatives, was considered but only included if methodological rigor and data credibility were clear. The screening process consisted of three stages: title screening, abstract review, and full-text assessment. Inclusion criteria required that studies: (</w:t>
      </w:r>
      <w:proofErr w:type="spellStart"/>
      <w:r w:rsidRPr="00377D4E">
        <w:rPr>
          <w:rFonts w:ascii="Arial" w:hAnsi="Arial" w:cs="Arial"/>
        </w:rPr>
        <w:t>i</w:t>
      </w:r>
      <w:proofErr w:type="spellEnd"/>
      <w:r w:rsidRPr="00377D4E">
        <w:rPr>
          <w:rFonts w:ascii="Arial" w:hAnsi="Arial" w:cs="Arial"/>
        </w:rPr>
        <w:t>) present empirical or quantitative data on soil health, biodiversity, productivity, or socio-economic outcomes; (ii) document natural farming case studies in South Asia, East Asia, or Latin America; or (iii) contribute conceptual frameworks for sustainability transitions. Exclusion criteria eliminated non-English studies, non-peer-reviewed works, anecdotal reports, or studies lacking methodological clarity. The final pool included over 200 studies, which were logged into a data matrix. Quality assessment was applied to each study using a scoring framework evaluating clarity of objectives, methodological rigor, transparency of data reporting, and validity of conclusions. Only studies meeting medium-to-high quality thresholds were incorporated into quantitative synthesis, while lower-scoring works were used only for contextual discussion. This tiered approach ensured that the synthesis relied on robust evidence.</w:t>
      </w:r>
    </w:p>
    <w:p w14:paraId="078BA613" w14:textId="77777777" w:rsidR="009D1825" w:rsidRPr="00377D4E" w:rsidRDefault="009D1825" w:rsidP="00316AE0">
      <w:pPr>
        <w:spacing w:line="360" w:lineRule="auto"/>
        <w:rPr>
          <w:rFonts w:ascii="Arial" w:hAnsi="Arial" w:cs="Arial"/>
          <w:b/>
          <w:bCs/>
        </w:rPr>
      </w:pPr>
      <w:r w:rsidRPr="00377D4E">
        <w:rPr>
          <w:rFonts w:ascii="Arial" w:hAnsi="Arial" w:cs="Arial"/>
          <w:b/>
          <w:bCs/>
        </w:rPr>
        <w:t>2.2 Regional Categorization</w:t>
      </w:r>
    </w:p>
    <w:p w14:paraId="33113E7B" w14:textId="516CED9E" w:rsidR="009D1825" w:rsidRPr="00377D4E" w:rsidRDefault="009D1825" w:rsidP="00316AE0">
      <w:pPr>
        <w:spacing w:line="360" w:lineRule="auto"/>
        <w:jc w:val="both"/>
        <w:rPr>
          <w:rFonts w:ascii="Arial" w:hAnsi="Arial" w:cs="Arial"/>
        </w:rPr>
      </w:pPr>
      <w:r w:rsidRPr="00377D4E">
        <w:rPr>
          <w:rFonts w:ascii="Arial" w:hAnsi="Arial" w:cs="Arial"/>
        </w:rPr>
        <w:lastRenderedPageBreak/>
        <w:t xml:space="preserve">For analytical clarity, evidence was categorized into three regional contexts: South Asia, East Asia, and Latin America. These regions were selected for both pragmatic and conceptual reasons. South Asia was prioritized due to India’s large-scale adoption of Zero Budget Natural Farming (ZBNF), which represents one of the most ambitious government-supported ecological farming initiatives globally. East Asia, represented through Japan, was selected for the prominence of Fukuoka farming, which provided an intellectual and practical foundation for minimal-input systems worldwide. Latin America was chosen because of its vibrant agroecological movements in Brazil, Cuba, and Mexico, which integrate indigenous practices with sustainability science and are globally recognized for advancing food sovereignty. This regional categorization allowed for meaningful comparison without overgeneralizing across entire continents. Each region demonstrates distinct ecological, cultural, and policy conditions. South Asia, with its monsoonal climate and predominance of smallholders, emphasizes cost minimization and soil fertility restoration. East Asia highlights long-term soil management strategies within temperate rice-barley systems, emphasizing resilience and biodiversity. Latin America provides insights into </w:t>
      </w:r>
      <w:proofErr w:type="spellStart"/>
      <w:r w:rsidRPr="00377D4E">
        <w:rPr>
          <w:rFonts w:ascii="Arial" w:hAnsi="Arial" w:cs="Arial"/>
        </w:rPr>
        <w:t>agro</w:t>
      </w:r>
      <w:proofErr w:type="spellEnd"/>
      <w:r w:rsidRPr="00377D4E">
        <w:rPr>
          <w:rFonts w:ascii="Arial" w:hAnsi="Arial" w:cs="Arial"/>
        </w:rPr>
        <w:t>-biodiversity restoration, farmer cooperatives, and community-driven transitions supported by strong social movements. Within each regional dataset, studies were coded to highlight primary outcome dimensions. In South Asia, emphasis was placed on crop yields, soil fertility, and farmer indebtedness. In East Asia, coding highlighted biodiversity, ecological resilience, and philosophical underpinnings of minimal intervention. In Latin America, focus was placed on community empowerment, ecological restoration, and food sovereignty. This coding ensured that both shared and unique elements of natural farming were captured in the analysis. Additionally, the exclusion of regions such as Sub-Saharan Africa and Oceania was deliberate, reflecting both the scope of this review and the need to avoid overextension. While these regions offer valuable insights, they were excluded to maintain methodological depth within the three chosen contexts. This decision allowed for a more nuanced and rigorous synthesis of findings.</w:t>
      </w:r>
    </w:p>
    <w:p w14:paraId="214ECF4C" w14:textId="77777777" w:rsidR="009D1825" w:rsidRPr="00377D4E" w:rsidRDefault="009D1825" w:rsidP="00316AE0">
      <w:pPr>
        <w:spacing w:line="360" w:lineRule="auto"/>
        <w:rPr>
          <w:rFonts w:ascii="Arial" w:hAnsi="Arial" w:cs="Arial"/>
          <w:b/>
          <w:bCs/>
        </w:rPr>
      </w:pPr>
      <w:r w:rsidRPr="00377D4E">
        <w:rPr>
          <w:rFonts w:ascii="Arial" w:hAnsi="Arial" w:cs="Arial"/>
          <w:b/>
          <w:bCs/>
        </w:rPr>
        <w:t>2.3 Analytical Approach</w:t>
      </w:r>
    </w:p>
    <w:p w14:paraId="3796B413" w14:textId="3C31CDAB" w:rsidR="009D1825" w:rsidRPr="00377D4E" w:rsidRDefault="009D1825" w:rsidP="00316AE0">
      <w:pPr>
        <w:spacing w:line="360" w:lineRule="auto"/>
        <w:jc w:val="both"/>
        <w:rPr>
          <w:rFonts w:ascii="Arial" w:hAnsi="Arial" w:cs="Arial"/>
          <w:b/>
          <w:bCs/>
        </w:rPr>
      </w:pPr>
      <w:r w:rsidRPr="00377D4E">
        <w:rPr>
          <w:rFonts w:ascii="Arial" w:hAnsi="Arial" w:cs="Arial"/>
          <w:b/>
          <w:bCs/>
        </w:rPr>
        <w:t>The analytical framework employed both quantitative and qualitative methods to integrate evidence across diverse sources.</w:t>
      </w:r>
    </w:p>
    <w:p w14:paraId="2B870A01" w14:textId="77777777" w:rsidR="009D1825" w:rsidRPr="00377D4E" w:rsidRDefault="009D1825" w:rsidP="00316AE0">
      <w:pPr>
        <w:spacing w:line="360" w:lineRule="auto"/>
        <w:jc w:val="both"/>
        <w:rPr>
          <w:rFonts w:ascii="Arial" w:hAnsi="Arial" w:cs="Arial"/>
          <w:b/>
          <w:bCs/>
        </w:rPr>
      </w:pPr>
      <w:r w:rsidRPr="00377D4E">
        <w:rPr>
          <w:rFonts w:ascii="Arial" w:hAnsi="Arial" w:cs="Arial"/>
          <w:b/>
          <w:bCs/>
          <w:i/>
          <w:iCs/>
        </w:rPr>
        <w:t>Quantitative Synthesis:</w:t>
      </w:r>
      <w:r w:rsidRPr="00377D4E">
        <w:rPr>
          <w:rFonts w:ascii="Arial" w:hAnsi="Arial" w:cs="Arial"/>
          <w:b/>
          <w:bCs/>
        </w:rPr>
        <w:t xml:space="preserve"> </w:t>
      </w:r>
      <w:r w:rsidRPr="00377D4E">
        <w:rPr>
          <w:rFonts w:ascii="Arial" w:hAnsi="Arial" w:cs="Arial"/>
        </w:rPr>
        <w:t xml:space="preserve">Data were standardized to facilitate cross-comparison. Yield data were converted into kg/ha, soil organic carbon was expressed as percent change relative to baseline or control, and biodiversity indicators were harmonized into metrics such as species richness or microbial diversity indices. Input costs and profitability were normalized into USD/ha to ensure comparability across contexts. Where datasets exhibited sufficient homogeneity, meta-analytic techniques were used to compute pooled effect sizes. For </w:t>
      </w:r>
      <w:r w:rsidRPr="00377D4E">
        <w:rPr>
          <w:rFonts w:ascii="Arial" w:hAnsi="Arial" w:cs="Arial"/>
        </w:rPr>
        <w:lastRenderedPageBreak/>
        <w:t>example, comparisons of soil organic carbon under natural versus conventional systems enabled estimation of mean differences with confidence intervals. Similarly, yield comparisons across farming systems were subjected to statistical aggregation.</w:t>
      </w:r>
    </w:p>
    <w:p w14:paraId="76979EAD" w14:textId="77777777" w:rsidR="009D1825" w:rsidRPr="00377D4E" w:rsidRDefault="009D1825" w:rsidP="00316AE0">
      <w:pPr>
        <w:spacing w:line="360" w:lineRule="auto"/>
        <w:jc w:val="both"/>
        <w:rPr>
          <w:rFonts w:ascii="Arial" w:hAnsi="Arial" w:cs="Arial"/>
        </w:rPr>
      </w:pPr>
      <w:r w:rsidRPr="00377D4E">
        <w:rPr>
          <w:rFonts w:ascii="Arial" w:hAnsi="Arial" w:cs="Arial"/>
          <w:b/>
          <w:bCs/>
          <w:i/>
          <w:iCs/>
        </w:rPr>
        <w:t>Qualitative Synthesis:</w:t>
      </w:r>
      <w:r w:rsidRPr="00377D4E">
        <w:rPr>
          <w:rFonts w:ascii="Arial" w:hAnsi="Arial" w:cs="Arial"/>
          <w:b/>
          <w:bCs/>
        </w:rPr>
        <w:t xml:space="preserve"> </w:t>
      </w:r>
      <w:r w:rsidRPr="00377D4E">
        <w:rPr>
          <w:rFonts w:ascii="Arial" w:hAnsi="Arial" w:cs="Arial"/>
        </w:rPr>
        <w:t>Beyond numerical outcomes, the review incorporated qualitative dimensions. Farmer experiences, institutional arrangements, and policy environments were synthesized using thematic coding. This included identifying recurring themes such as knowledge-sharing practices, gender dynamics, barriers to adoption, and the influence of farmer organizations. Ethnographic accounts and government program evaluations provided context for interpreting statistical findings, ensuring that results were not detached from socio-cultural realities.</w:t>
      </w:r>
    </w:p>
    <w:p w14:paraId="31AF5CA4" w14:textId="77777777" w:rsidR="009D1825" w:rsidRPr="00377D4E" w:rsidRDefault="009D1825" w:rsidP="00316AE0">
      <w:pPr>
        <w:spacing w:line="360" w:lineRule="auto"/>
        <w:jc w:val="both"/>
        <w:rPr>
          <w:rFonts w:ascii="Arial" w:hAnsi="Arial" w:cs="Arial"/>
          <w:b/>
          <w:bCs/>
        </w:rPr>
      </w:pPr>
      <w:r w:rsidRPr="00377D4E">
        <w:rPr>
          <w:rFonts w:ascii="Arial" w:hAnsi="Arial" w:cs="Arial"/>
          <w:b/>
          <w:bCs/>
          <w:i/>
          <w:iCs/>
        </w:rPr>
        <w:t>Empirical Case Integration:</w:t>
      </w:r>
      <w:r w:rsidRPr="00377D4E">
        <w:rPr>
          <w:rFonts w:ascii="Arial" w:hAnsi="Arial" w:cs="Arial"/>
          <w:b/>
          <w:bCs/>
        </w:rPr>
        <w:t xml:space="preserve"> </w:t>
      </w:r>
      <w:r w:rsidRPr="00377D4E">
        <w:rPr>
          <w:rFonts w:ascii="Arial" w:hAnsi="Arial" w:cs="Arial"/>
        </w:rPr>
        <w:t>A major strength of this review was the incorporation of the ZBNF trials in Andhra Pradesh as an empirical anchor. Conducted across 28 farms and three cropping seasons, the trials compared conventional, organic, and ZBNF systems. A randomized block design ensured statistical validity. Soil properties (organic carbon, pH, bulk density, microbial activity, nutrient availability), crop yields, water-use efficiency, and biodiversity indicators (e.g., earthworm abundance) were measured. Statistical analyses employed ANOVA to test for significant differences, with Tukey’s post-hoc tests used to clarify pairwise contrasts. These empirical results provided a benchmark against which global patterns could be evaluated.</w:t>
      </w:r>
    </w:p>
    <w:p w14:paraId="2F81DAEB" w14:textId="77777777" w:rsidR="009D1825" w:rsidRPr="00377D4E" w:rsidRDefault="009D1825" w:rsidP="00316AE0">
      <w:pPr>
        <w:spacing w:line="360" w:lineRule="auto"/>
        <w:jc w:val="both"/>
        <w:rPr>
          <w:rFonts w:ascii="Arial" w:hAnsi="Arial" w:cs="Arial"/>
          <w:b/>
          <w:bCs/>
        </w:rPr>
      </w:pPr>
      <w:r w:rsidRPr="00377D4E">
        <w:rPr>
          <w:rFonts w:ascii="Arial" w:hAnsi="Arial" w:cs="Arial"/>
          <w:b/>
          <w:bCs/>
          <w:i/>
          <w:iCs/>
        </w:rPr>
        <w:t>Data Visualization and Presentation:</w:t>
      </w:r>
      <w:r w:rsidRPr="00377D4E">
        <w:rPr>
          <w:rFonts w:ascii="Arial" w:hAnsi="Arial" w:cs="Arial"/>
          <w:b/>
          <w:bCs/>
        </w:rPr>
        <w:t xml:space="preserve"> </w:t>
      </w:r>
      <w:r w:rsidRPr="00377D4E">
        <w:rPr>
          <w:rFonts w:ascii="Arial" w:hAnsi="Arial" w:cs="Arial"/>
        </w:rPr>
        <w:t>To enhance clarity, data were summarized in comparative tables highlighting soil, productivity, biodiversity, and socio-economic indicators. Figures illustrated longitudinal trends such as yield stability, SOC accumulation, and biodiversity enhancement. Regional differences were visually emphasized to show how natural farming adapted to ecological and cultural contexts</w:t>
      </w:r>
      <w:r w:rsidRPr="00377D4E">
        <w:rPr>
          <w:rFonts w:ascii="Arial" w:hAnsi="Arial" w:cs="Arial"/>
          <w:b/>
          <w:bCs/>
        </w:rPr>
        <w:t>.</w:t>
      </w:r>
    </w:p>
    <w:p w14:paraId="23B82CF5" w14:textId="3C941FD4" w:rsidR="00705806" w:rsidRPr="00377D4E" w:rsidRDefault="009D1825" w:rsidP="00316AE0">
      <w:pPr>
        <w:spacing w:line="360" w:lineRule="auto"/>
        <w:jc w:val="both"/>
        <w:rPr>
          <w:rFonts w:ascii="Arial" w:hAnsi="Arial" w:cs="Arial"/>
        </w:rPr>
      </w:pPr>
      <w:r w:rsidRPr="00377D4E">
        <w:rPr>
          <w:rFonts w:ascii="Arial" w:hAnsi="Arial" w:cs="Arial"/>
          <w:b/>
          <w:bCs/>
          <w:i/>
          <w:iCs/>
        </w:rPr>
        <w:t>Limitations and Biases:</w:t>
      </w:r>
      <w:r w:rsidRPr="00377D4E">
        <w:rPr>
          <w:rFonts w:ascii="Arial" w:hAnsi="Arial" w:cs="Arial"/>
          <w:b/>
          <w:bCs/>
        </w:rPr>
        <w:t xml:space="preserve"> </w:t>
      </w:r>
      <w:r w:rsidRPr="00377D4E">
        <w:rPr>
          <w:rFonts w:ascii="Arial" w:hAnsi="Arial" w:cs="Arial"/>
        </w:rPr>
        <w:t>The methodology acknowledged several limitations. First, geographic and linguistic biases restricted coverage of non-English studies, potentially underrepresenting evidence from regions outside the three chosen contexts. Second, heterogeneity in definitions of “natural farming” complicated direct comparisons, as ZBNF in India emphasizes microbial inoculants, whereas Fukuoka farming in Japan focuses on minimal disturbance. Third, the scarcity of long-term longitudinal datasets limited the ability to assess sustainability outcomes over decades. Finally, publication bias may have skewed results, as successful case studies are more likely to be documented than failed attempts. These limitations were mitigated by triangulating diverse data sources, incorporating both quantitative and qualitative findings, and grounding global synthesis in a statistically validated</w:t>
      </w:r>
      <w:r w:rsidR="004A6D91" w:rsidRPr="00377D4E">
        <w:rPr>
          <w:rFonts w:ascii="Arial" w:hAnsi="Arial" w:cs="Arial"/>
        </w:rPr>
        <w:t>.</w:t>
      </w:r>
    </w:p>
    <w:p w14:paraId="4727CF39" w14:textId="5F81D1EB" w:rsidR="00316AE0" w:rsidRPr="00377D4E" w:rsidRDefault="00316AE0" w:rsidP="00316AE0">
      <w:pPr>
        <w:rPr>
          <w:rFonts w:ascii="Arial" w:hAnsi="Arial" w:cs="Arial"/>
        </w:rPr>
      </w:pPr>
      <w:r w:rsidRPr="00377D4E">
        <w:rPr>
          <w:rFonts w:ascii="Arial" w:hAnsi="Arial" w:cs="Arial"/>
          <w:b/>
          <w:bCs/>
        </w:rPr>
        <w:t xml:space="preserve">3. Results </w:t>
      </w:r>
    </w:p>
    <w:p w14:paraId="5D459406"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lastRenderedPageBreak/>
        <w:t>3.1 Soil Health and Fertility</w:t>
      </w:r>
    </w:p>
    <w:p w14:paraId="514C8D9C" w14:textId="77777777" w:rsidR="00316AE0" w:rsidRPr="00377D4E" w:rsidRDefault="00316AE0" w:rsidP="00316AE0">
      <w:pPr>
        <w:spacing w:line="360" w:lineRule="auto"/>
        <w:jc w:val="both"/>
        <w:rPr>
          <w:rFonts w:ascii="Arial" w:hAnsi="Arial" w:cs="Arial"/>
        </w:rPr>
      </w:pPr>
      <w:r w:rsidRPr="00377D4E">
        <w:rPr>
          <w:rFonts w:ascii="Arial" w:hAnsi="Arial" w:cs="Arial"/>
        </w:rPr>
        <w:t>Natural farming systems demonstrated significant improvements in soil health indicators across all three regions, with soil organic carbon (SOC) increases representing the most consistent outcome. In South Asia, Zero Budget Natural Farming (ZBNF) trials in Andhra Pradesh achieved SOC increases of 20–25% within three cropping cycles—a rate 12–31 times faster than conventional systems' typical annual increases of 0.2–0.4% (</w:t>
      </w:r>
      <w:proofErr w:type="spellStart"/>
      <w:r w:rsidRPr="00377D4E">
        <w:rPr>
          <w:rFonts w:ascii="Arial" w:hAnsi="Arial" w:cs="Arial"/>
        </w:rPr>
        <w:t>Duddigan</w:t>
      </w:r>
      <w:proofErr w:type="spellEnd"/>
      <w:r w:rsidRPr="00377D4E">
        <w:rPr>
          <w:rFonts w:ascii="Arial" w:hAnsi="Arial" w:cs="Arial"/>
        </w:rPr>
        <w:t xml:space="preserve"> et al., 2023; Bhattacharyya et al., 2015). These rapid improvements were attributed to ZBNF-specific inputs: </w:t>
      </w:r>
      <w:proofErr w:type="spellStart"/>
      <w:r w:rsidRPr="00377D4E">
        <w:rPr>
          <w:rFonts w:ascii="Arial" w:hAnsi="Arial" w:cs="Arial"/>
        </w:rPr>
        <w:t>Jeevamrutha</w:t>
      </w:r>
      <w:proofErr w:type="spellEnd"/>
      <w:r w:rsidRPr="00377D4E">
        <w:rPr>
          <w:rFonts w:ascii="Arial" w:hAnsi="Arial" w:cs="Arial"/>
        </w:rPr>
        <w:t xml:space="preserve"> applications enhanced microbial activity, while mulching practices conserved organic matter and reduced bulk density. Regional patterns emerged in soil health outcomes (Table 1). Latin American agroecology achieved the highest SOC gains (up to 30%), while East Asian natural systems maintained stable but elevated levels over decades. Japanese Fukuoka farming demonstrated sustained aggregate stability, reducing erosion by 40% compared to tilled controls (Mori et al., 2017). Cuban urban agriculture increased SOC by 30% relative to conventional baselines, with microbial diversity indices confirming significantly greater richness in polycultures than monocultures (Altieri &amp; </w:t>
      </w:r>
      <w:proofErr w:type="spellStart"/>
      <w:r w:rsidRPr="00377D4E">
        <w:rPr>
          <w:rFonts w:ascii="Arial" w:hAnsi="Arial" w:cs="Arial"/>
        </w:rPr>
        <w:t>Funes-Monzote</w:t>
      </w:r>
      <w:proofErr w:type="spellEnd"/>
      <w:r w:rsidRPr="00377D4E">
        <w:rPr>
          <w:rFonts w:ascii="Arial" w:hAnsi="Arial" w:cs="Arial"/>
        </w:rPr>
        <w:t>, 2012). Microbial community analysis revealed functional improvements beyond carbon storage. ZBNF systems enhanced nitrogen fixation rates and pathogen suppression (Pokharel &amp; Rosset, 2021), while Brazilian cacao agroforestry exhibited superior nutrient cycling and elevated fungal diversity (Nair et al., 2009). These changes translated into improved cation exchange capacity and reduced susceptibility to acidification across all regions. Most South Asian studies concentrate on Andhra Pradesh; long-term monitoring in Latin America remains sparse. Standardized protocols for SOC and microbial indicators are needed for robust inter-regional comparisons.</w:t>
      </w:r>
    </w:p>
    <w:p w14:paraId="00E174F0"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t>3.2 Crop Productivity</w:t>
      </w:r>
    </w:p>
    <w:p w14:paraId="644FD7CD" w14:textId="77777777" w:rsidR="00316AE0" w:rsidRPr="00377D4E" w:rsidRDefault="00316AE0" w:rsidP="00316AE0">
      <w:pPr>
        <w:spacing w:line="360" w:lineRule="auto"/>
        <w:jc w:val="both"/>
        <w:rPr>
          <w:rFonts w:ascii="Arial" w:hAnsi="Arial" w:cs="Arial"/>
        </w:rPr>
      </w:pPr>
      <w:r w:rsidRPr="00377D4E">
        <w:rPr>
          <w:rFonts w:ascii="Arial" w:hAnsi="Arial" w:cs="Arial"/>
        </w:rPr>
        <w:t>Yield performance under natural farming revealed context-dependent advantages when evaluated beyond single-crop metrics. South Asian ZBNF systems achieved 15–20% yield increases in rainfed maize and pulses compared to conventional plots, primarily through enhanced water-use efficiency under mulching (</w:t>
      </w:r>
      <w:proofErr w:type="spellStart"/>
      <w:r w:rsidRPr="00377D4E">
        <w:rPr>
          <w:rFonts w:ascii="Arial" w:hAnsi="Arial" w:cs="Arial"/>
        </w:rPr>
        <w:t>Duddigan</w:t>
      </w:r>
      <w:proofErr w:type="spellEnd"/>
      <w:r w:rsidRPr="00377D4E">
        <w:rPr>
          <w:rFonts w:ascii="Arial" w:hAnsi="Arial" w:cs="Arial"/>
        </w:rPr>
        <w:t xml:space="preserve"> et al., 2023). Economic surveys in Karnataka showed 64% of ZBNF households reporting higher net returns (Khadse &amp; Rosset, 2019). East Asian systems prioritized stability over maximum yield. Fukuoka rice–barley rotations produced yields 5–10% below intensive systems under normal conditions but demonstrated superior resilience during climatic stress. During the 2003 Kyushu drought, conventional rice fields experienced &gt;30% yield losses while natural systems maintained stable output (Ogata et al., 2016). Latin American agroecology excelled in diversified production systems. Cuban urban organic </w:t>
      </w:r>
      <w:proofErr w:type="gramStart"/>
      <w:r w:rsidRPr="00377D4E">
        <w:rPr>
          <w:rFonts w:ascii="Arial" w:hAnsi="Arial" w:cs="Arial"/>
        </w:rPr>
        <w:t>farms maintained</w:t>
      </w:r>
      <w:proofErr w:type="gramEnd"/>
      <w:r w:rsidRPr="00377D4E">
        <w:rPr>
          <w:rFonts w:ascii="Arial" w:hAnsi="Arial" w:cs="Arial"/>
        </w:rPr>
        <w:t xml:space="preserve"> vegetable yields equivalent to </w:t>
      </w:r>
      <w:r w:rsidRPr="00377D4E">
        <w:rPr>
          <w:rFonts w:ascii="Arial" w:hAnsi="Arial" w:cs="Arial"/>
        </w:rPr>
        <w:lastRenderedPageBreak/>
        <w:t>conventional systems while reducing external inputs by &gt;80% (Altieri &amp; Nicholls, 2020). Brazilian cacao agroforestry demonstrated yield advantages for perennial crops, with intercrops providing supplemental food and income streams. Mexican milpa systems exhibited pest outbreak resilience, delivering stable caloric outputs across variable conditions (Morales &amp; Perfecto, 2000). System-level analysis revealed that natural farming shifts productivity focus from single-crop maximization to multi-dimensional resilience (Table 3). While individual staple grain yields may not consistently exceed conventional systems, diversified natural farming delivers superior nutritional stability—a critical but under-measured food security metric.</w:t>
      </w:r>
    </w:p>
    <w:p w14:paraId="6616D1A7"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t>3.3 Biodiversity and Ecosystem Services</w:t>
      </w:r>
    </w:p>
    <w:p w14:paraId="1475D47A" w14:textId="77777777" w:rsidR="00316AE0" w:rsidRPr="00377D4E" w:rsidRDefault="00316AE0" w:rsidP="00316AE0">
      <w:pPr>
        <w:spacing w:line="360" w:lineRule="auto"/>
        <w:jc w:val="both"/>
        <w:rPr>
          <w:rFonts w:ascii="Arial" w:hAnsi="Arial" w:cs="Arial"/>
        </w:rPr>
      </w:pPr>
      <w:r w:rsidRPr="00377D4E">
        <w:rPr>
          <w:rFonts w:ascii="Arial" w:hAnsi="Arial" w:cs="Arial"/>
        </w:rPr>
        <w:t>Biodiversity outcomes showed the most consistent positive results across all regions and measurement scales. South Asian ZBNF fields supported earthworm densities three times higher than conventional plots, with microbial assays confirming enhanced functional diversity for nutrient cycling and pathogen suppression (</w:t>
      </w:r>
      <w:proofErr w:type="spellStart"/>
      <w:r w:rsidRPr="00377D4E">
        <w:rPr>
          <w:rFonts w:ascii="Arial" w:hAnsi="Arial" w:cs="Arial"/>
        </w:rPr>
        <w:t>Duddigan</w:t>
      </w:r>
      <w:proofErr w:type="spellEnd"/>
      <w:r w:rsidRPr="00377D4E">
        <w:rPr>
          <w:rFonts w:ascii="Arial" w:hAnsi="Arial" w:cs="Arial"/>
        </w:rPr>
        <w:t xml:space="preserve"> et al., 2023). Sri Lankan studies linked increased fungal richness under natural farming to 40% reductions in rice blast incidence (Ranasinghe et al., 2018). East Asian systems protected biodiversity through minimal disturbance and continuous ground cover. Japanese Fukuoka </w:t>
      </w:r>
      <w:proofErr w:type="gramStart"/>
      <w:r w:rsidRPr="00377D4E">
        <w:rPr>
          <w:rFonts w:ascii="Arial" w:hAnsi="Arial" w:cs="Arial"/>
        </w:rPr>
        <w:t>fields maintained</w:t>
      </w:r>
      <w:proofErr w:type="gramEnd"/>
      <w:r w:rsidRPr="00377D4E">
        <w:rPr>
          <w:rFonts w:ascii="Arial" w:hAnsi="Arial" w:cs="Arial"/>
        </w:rPr>
        <w:t xml:space="preserve"> predator–prey balances that controlled pest populations below economic thresholds without pesticide applications. Ecological surveys documented 40% higher insect diversity compared to nearby conventional monocultures (Yamaguchi &amp; Uchida, 2016). Latin America demonstrated the strongest biodiversity outcomes. Cuban polycultures sustained pollinator abundance while reducing pest outbreaks through enhanced natural enemy populations. Brazilian agroforestry created ecological corridors supporting avian and mammalian species while maintaining soil biodiversity (Perfecto et al., 2009). Mexican campesino cooperatives preserved crop landraces, enhancing genetic diversity critical for climate adaptation (Petersen et al., 2012). Quantitative biodiversity indices revealed Latin American agroecology achieving values 1.6 times higher than conventional systems, compared to 1.4 in South Asia and 1.3 in East Asia (Figure 3, Table 4). However, most assessments remain field-scale; landscape-level impacts and potential yield trade-offs in highly diversified systems require further investigation.</w:t>
      </w:r>
    </w:p>
    <w:p w14:paraId="076519E0"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t>3.4 Water and Climate Regulation</w:t>
      </w:r>
    </w:p>
    <w:p w14:paraId="4C9E59C6" w14:textId="77777777" w:rsidR="00316AE0" w:rsidRPr="00377D4E" w:rsidRDefault="00316AE0" w:rsidP="00316AE0">
      <w:pPr>
        <w:spacing w:line="360" w:lineRule="auto"/>
        <w:jc w:val="both"/>
        <w:rPr>
          <w:rFonts w:ascii="Arial" w:hAnsi="Arial" w:cs="Arial"/>
        </w:rPr>
      </w:pPr>
      <w:r w:rsidRPr="00377D4E">
        <w:rPr>
          <w:rFonts w:ascii="Arial" w:hAnsi="Arial" w:cs="Arial"/>
        </w:rPr>
        <w:t>Natural farming systems provided significant hydrological and climate regulation benefits. South Asian ZBNF mulching retained 20–25% more soil moisture than conventional plots, reducing irrigation demand and stabilizing soil temperatures (</w:t>
      </w:r>
      <w:proofErr w:type="spellStart"/>
      <w:r w:rsidRPr="00377D4E">
        <w:rPr>
          <w:rFonts w:ascii="Arial" w:hAnsi="Arial" w:cs="Arial"/>
        </w:rPr>
        <w:t>Duddigan</w:t>
      </w:r>
      <w:proofErr w:type="spellEnd"/>
      <w:r w:rsidRPr="00377D4E">
        <w:rPr>
          <w:rFonts w:ascii="Arial" w:hAnsi="Arial" w:cs="Arial"/>
        </w:rPr>
        <w:t xml:space="preserve"> et al., 2023). Bangladeshi studies confirmed 12% rice yield advantages under drought conditions in mulched natural systems (Saha et al., 2019). Japanese Fukuoka systems improved watershed functions through enhanced infiltration rates (25% increase) and groundwater </w:t>
      </w:r>
      <w:r w:rsidRPr="00377D4E">
        <w:rPr>
          <w:rFonts w:ascii="Arial" w:hAnsi="Arial" w:cs="Arial"/>
        </w:rPr>
        <w:lastRenderedPageBreak/>
        <w:t>recharge while reducing soil erosion by 40% (Mori et al., 2017). Long-term hydrological monitoring demonstrated superior watershed stability compared to conventional systems. Latin American agroforestry achieved the strongest climate mitigation potential. Brazilian cacao systems sequestered 70–100 Mg C ha</w:t>
      </w:r>
      <w:r w:rsidRPr="00377D4E">
        <w:rPr>
          <w:rFonts w:ascii="Cambria Math" w:hAnsi="Cambria Math" w:cs="Cambria Math"/>
        </w:rPr>
        <w:t>⁻</w:t>
      </w:r>
      <w:r w:rsidRPr="00377D4E">
        <w:rPr>
          <w:rFonts w:ascii="Arial" w:hAnsi="Arial" w:cs="Arial"/>
        </w:rPr>
        <w:t xml:space="preserve">¹ over 20 years (Nair et al., 2009), while Cuban diversified systems reduced nitrous oxide emissions through eliminated synthetic fertilizer use (Altieri &amp; </w:t>
      </w:r>
      <w:proofErr w:type="spellStart"/>
      <w:r w:rsidRPr="00377D4E">
        <w:rPr>
          <w:rFonts w:ascii="Arial" w:hAnsi="Arial" w:cs="Arial"/>
        </w:rPr>
        <w:t>Funes-Monzote</w:t>
      </w:r>
      <w:proofErr w:type="spellEnd"/>
      <w:r w:rsidRPr="00377D4E">
        <w:rPr>
          <w:rFonts w:ascii="Arial" w:hAnsi="Arial" w:cs="Arial"/>
        </w:rPr>
        <w:t>, 2012). Carbon sequestration potential varied significantly by region and system complexity (Table 5, Figure 4). While Latin American systems showed highest per-hectare carbon storage, South Asia's adoption potential suggests modest per-hectare gains could yield substantial global climate benefits. Long-term carbon balance studies remain limited, with wide variation in sequestration estimates. Robust methodologies including soil fractionation and isotopic tracing are needed to confirm carbon storage permanence.</w:t>
      </w:r>
    </w:p>
    <w:p w14:paraId="71E6F1FE"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t>3.5 Socio-Economic Outcomes</w:t>
      </w:r>
    </w:p>
    <w:p w14:paraId="43DEA126" w14:textId="6F629901" w:rsidR="00316AE0" w:rsidRPr="00377D4E" w:rsidRDefault="00316AE0" w:rsidP="00316AE0">
      <w:pPr>
        <w:spacing w:line="360" w:lineRule="auto"/>
        <w:jc w:val="both"/>
        <w:rPr>
          <w:rFonts w:ascii="Arial" w:hAnsi="Arial" w:cs="Arial"/>
        </w:rPr>
      </w:pPr>
      <w:r w:rsidRPr="00377D4E">
        <w:rPr>
          <w:rFonts w:ascii="Arial" w:hAnsi="Arial" w:cs="Arial"/>
        </w:rPr>
        <w:t>Natural farming generated substantial socio-economic benefits, though outcomes varied by regional priorities. South Asian ZBNF reduced input costs by up to 70%, significantly decreasing household indebtedness. Andhra Pradesh surveys showed 82% of ZBNF households experienced reduced financial stress compared to conventional farmers (Table 6), with increased incomes enabling greater investment in education and health (Kumar et al., 2020). East Asian approaches emphasized sufficiency over income maximization. Japanese and Korean farmers reported improved well-being through reduced labour and input requirements, prioritizing cultural continuity and household resilience over surplus production (Kawaguchi, 2018; Cho &amp; Koo, 2019). Latin American agroecology integrated farming with social empowerment initiatives. Cuban urban agriculture created employment during economic crisis, while Brazilian cooperatives enhanced women's leadership roles and gender equity (De Schutter, 2010). Regional networks strengthened food sovereignty and collective bargaining power (Rosset et al., 2011).</w:t>
      </w:r>
    </w:p>
    <w:p w14:paraId="4ED8FCA8" w14:textId="77777777" w:rsidR="00316AE0" w:rsidRPr="00377D4E" w:rsidRDefault="00316AE0" w:rsidP="00316AE0">
      <w:pPr>
        <w:spacing w:line="360" w:lineRule="auto"/>
        <w:jc w:val="both"/>
        <w:rPr>
          <w:rFonts w:ascii="Arial" w:hAnsi="Arial" w:cs="Arial"/>
          <w:b/>
          <w:bCs/>
        </w:rPr>
      </w:pPr>
      <w:r w:rsidRPr="00377D4E">
        <w:rPr>
          <w:rFonts w:ascii="Arial" w:hAnsi="Arial" w:cs="Arial"/>
          <w:b/>
          <w:bCs/>
        </w:rPr>
        <w:t>3.6 Comparative Synthesis</w:t>
      </w:r>
    </w:p>
    <w:p w14:paraId="7561884D" w14:textId="77777777" w:rsidR="00316AE0" w:rsidRPr="00377D4E" w:rsidRDefault="00316AE0" w:rsidP="00316AE0">
      <w:pPr>
        <w:spacing w:line="360" w:lineRule="auto"/>
        <w:jc w:val="both"/>
        <w:rPr>
          <w:rFonts w:ascii="Arial" w:hAnsi="Arial" w:cs="Arial"/>
        </w:rPr>
      </w:pPr>
      <w:r w:rsidRPr="00377D4E">
        <w:rPr>
          <w:rFonts w:ascii="Arial" w:hAnsi="Arial" w:cs="Arial"/>
        </w:rPr>
        <w:t xml:space="preserve">Cross-regional analysis identified consistent core outcomes: SOC enrichment, biodiversity enhancement, reduced input dependence, and enhanced farmer resilience. However, regional emphases reflected distinct priorities and challenges (Figure 5). South Asia prioritized productivity gains and financial relief for smallholders; East Asia emphasized ecological sufficiency and minimal intervention; Latin America integrated agroecology with food sovereignty movements. These pathways converge on multiple Sustainable Development Goals, particularly SDG 2 (Zero Hunger), SDG 15 (Life on Land), and SDG 13 (Climate Action). The strength of evidence varies by outcome measure, with soil health and biodiversity showing the most robust support across regions. Despite positive evidence, significant gaps </w:t>
      </w:r>
      <w:r w:rsidRPr="00377D4E">
        <w:rPr>
          <w:rFonts w:ascii="Arial" w:hAnsi="Arial" w:cs="Arial"/>
        </w:rPr>
        <w:lastRenderedPageBreak/>
        <w:t>persist in staple grain productivity data, long-term carbon sequestration stability, and quantitative socio-economic assessments. Scaling natural farming requires addressing these gaps through rigorous, multi-year trials and supportive policy frameworks that recognize context-specific implementation pathways.</w:t>
      </w:r>
    </w:p>
    <w:p w14:paraId="39B6F8EB" w14:textId="77777777" w:rsidR="00316AE0" w:rsidRPr="00377D4E" w:rsidRDefault="00316AE0" w:rsidP="00316AE0">
      <w:pPr>
        <w:spacing w:line="360" w:lineRule="auto"/>
        <w:rPr>
          <w:rFonts w:ascii="Arial" w:hAnsi="Arial" w:cs="Arial"/>
          <w:b/>
          <w:bCs/>
        </w:rPr>
      </w:pPr>
      <w:r w:rsidRPr="00377D4E">
        <w:rPr>
          <w:rFonts w:ascii="Arial" w:hAnsi="Arial" w:cs="Arial"/>
          <w:b/>
          <w:bCs/>
        </w:rPr>
        <w:t>4. Discussion</w:t>
      </w:r>
    </w:p>
    <w:p w14:paraId="3B782E75" w14:textId="77777777" w:rsidR="00316AE0" w:rsidRPr="00377D4E" w:rsidRDefault="00316AE0" w:rsidP="00316AE0">
      <w:pPr>
        <w:spacing w:line="360" w:lineRule="auto"/>
        <w:rPr>
          <w:rFonts w:ascii="Arial" w:hAnsi="Arial" w:cs="Arial"/>
          <w:b/>
          <w:bCs/>
        </w:rPr>
      </w:pPr>
      <w:r w:rsidRPr="00377D4E">
        <w:rPr>
          <w:rFonts w:ascii="Arial" w:hAnsi="Arial" w:cs="Arial"/>
          <w:b/>
          <w:bCs/>
        </w:rPr>
        <w:t>4.1 Convergent Ecological Benefits Across Diverse Agricultural Systems</w:t>
      </w:r>
    </w:p>
    <w:p w14:paraId="0C9B053D" w14:textId="77777777" w:rsidR="00316AE0" w:rsidRPr="00377D4E" w:rsidRDefault="00316AE0" w:rsidP="00316AE0">
      <w:pPr>
        <w:spacing w:line="360" w:lineRule="auto"/>
        <w:jc w:val="both"/>
        <w:rPr>
          <w:rFonts w:ascii="Arial" w:hAnsi="Arial" w:cs="Arial"/>
        </w:rPr>
      </w:pPr>
      <w:r w:rsidRPr="00377D4E">
        <w:rPr>
          <w:rFonts w:ascii="Arial" w:hAnsi="Arial" w:cs="Arial"/>
        </w:rPr>
        <w:t xml:space="preserve">Our cross-regional analysis reveals that natural farming approaches, despite their contextual variations, consistently deliver three core ecological benefits: soil health restoration, biodiversity conservation, and enhanced ecosystem service provision. The rapidity of soil organic carbon accumulation under natural farming particularly the 20–25% increases within three cropping cycles in South Asian ZBNF systems challenges conventional assumptions about soil carbon dynamics. These rates exceed those reported in recent meta-analyses of conservation agriculture (Lal, 2016; Bai et al., 2024) and approach those observed in forest restoration projects (Chazdon, 2017; Thomas et al., 2024), suggesting that natural farming triggers fundamental shifts in soil ecosystem functioning rather than merely reducing degradation. The mechanistic basis for these improvements appears to </w:t>
      </w:r>
      <w:proofErr w:type="spellStart"/>
      <w:r w:rsidRPr="00377D4E">
        <w:rPr>
          <w:rFonts w:ascii="Arial" w:hAnsi="Arial" w:cs="Arial"/>
        </w:rPr>
        <w:t>center</w:t>
      </w:r>
      <w:proofErr w:type="spellEnd"/>
      <w:r w:rsidRPr="00377D4E">
        <w:rPr>
          <w:rFonts w:ascii="Arial" w:hAnsi="Arial" w:cs="Arial"/>
        </w:rPr>
        <w:t xml:space="preserve"> on the restoration of soil biological activity. Across all regions, natural farming systems enhanced microbial biomass and functional diversity, creating positive feedback loops between biological activity, organic matter retention, and nutrient cycling (Kumar et al., 2024; Selvan et al., 2023). This biological foundation explains why natural farming benefits extend beyond carbon storage to include improved water retention, reduced erosion, and enhanced pest regulation outcomes that emerge from restored ecosystem functioning rather than external inputs. However, the regional variation in soil health outcomes highlights the importance of matching practices to local conditions. Latin America's higher SOC gains may reflect the integration of woody perennials and greater plant species diversity, while East Asia's emphasis on stability reflects different climatic constraints and cultural priorities. This context-dependency suggests that successful scaling of natural farming requires locally adapted practices rather than standardized protocols (Pereira et al., 2024; Zhang et al., 2024).</w:t>
      </w:r>
    </w:p>
    <w:p w14:paraId="3224BA9F" w14:textId="77777777" w:rsidR="00316AE0" w:rsidRPr="00377D4E" w:rsidRDefault="00316AE0" w:rsidP="00316AE0">
      <w:pPr>
        <w:spacing w:line="360" w:lineRule="auto"/>
        <w:rPr>
          <w:rFonts w:ascii="Arial" w:hAnsi="Arial" w:cs="Arial"/>
          <w:b/>
          <w:bCs/>
        </w:rPr>
      </w:pPr>
      <w:r w:rsidRPr="00377D4E">
        <w:rPr>
          <w:rFonts w:ascii="Arial" w:hAnsi="Arial" w:cs="Arial"/>
          <w:b/>
          <w:bCs/>
        </w:rPr>
        <w:t>4.2 Productivity Paradigm Shifts: From Maximization to Optimization</w:t>
      </w:r>
    </w:p>
    <w:p w14:paraId="461827D9" w14:textId="77777777" w:rsidR="00316AE0" w:rsidRPr="00377D4E" w:rsidRDefault="00316AE0" w:rsidP="00316AE0">
      <w:pPr>
        <w:spacing w:line="360" w:lineRule="auto"/>
        <w:jc w:val="both"/>
        <w:rPr>
          <w:rFonts w:ascii="Arial" w:hAnsi="Arial" w:cs="Arial"/>
        </w:rPr>
      </w:pPr>
      <w:r w:rsidRPr="00377D4E">
        <w:rPr>
          <w:rFonts w:ascii="Arial" w:hAnsi="Arial" w:cs="Arial"/>
        </w:rPr>
        <w:t xml:space="preserve">The productivity outcomes challenge the conventional framing of agricultural performance around single-crop yield maximization. Natural farming systems demonstrated competitive or superior performance when evaluated using broader metrics including system resilience, nutritional diversity, and economic returns. The superior drought resilience of East Asian natural systems and the stable caloric outputs of Latin American polycultures indicate that productivity optimization differs fundamentally from productivity maximization. This distinction </w:t>
      </w:r>
      <w:r w:rsidRPr="00377D4E">
        <w:rPr>
          <w:rFonts w:ascii="Arial" w:hAnsi="Arial" w:cs="Arial"/>
        </w:rPr>
        <w:lastRenderedPageBreak/>
        <w:t xml:space="preserve">has profound implications for food security assessments. Current global food security models emphasize caloric sufficiency and largely ignore nutritional quality, dietary diversity, and production stability (Fanzo et al., 2018; </w:t>
      </w:r>
      <w:proofErr w:type="spellStart"/>
      <w:r w:rsidRPr="00377D4E">
        <w:rPr>
          <w:rFonts w:ascii="Arial" w:hAnsi="Arial" w:cs="Arial"/>
        </w:rPr>
        <w:t>Béné</w:t>
      </w:r>
      <w:proofErr w:type="spellEnd"/>
      <w:r w:rsidRPr="00377D4E">
        <w:rPr>
          <w:rFonts w:ascii="Arial" w:hAnsi="Arial" w:cs="Arial"/>
        </w:rPr>
        <w:t xml:space="preserve"> et al., 2024). Our findings suggest that natural farming systems may provide superior food security outcomes precisely because they optimize across multiple dimensions simultaneously. The 15–20% yield increases in South Asian rainfed systems, combined with 70% reductions in input costs, demonstrate that economic productivity can exceed biological productivity when external input dependencies are reduced (Singh et al., 2024). Nevertheless, the yield performance of natural farming for major staple crops remains a critical knowledge gap. While our analysis shows promising results for diverse cropping systems, most evidence comes from smallholder farms with limited mechanization. Scaling natural farming to meet global food demands will require demonstrating competitive yields for wheat, rice, and maize under diverse production conditions, including intensive agricultural regions.</w:t>
      </w:r>
    </w:p>
    <w:p w14:paraId="27BD919E" w14:textId="77777777" w:rsidR="00316AE0" w:rsidRPr="00377D4E" w:rsidRDefault="00316AE0" w:rsidP="00316AE0">
      <w:pPr>
        <w:spacing w:line="360" w:lineRule="auto"/>
        <w:rPr>
          <w:rFonts w:ascii="Arial" w:hAnsi="Arial" w:cs="Arial"/>
          <w:b/>
          <w:bCs/>
        </w:rPr>
      </w:pPr>
      <w:r w:rsidRPr="00377D4E">
        <w:rPr>
          <w:rFonts w:ascii="Arial" w:hAnsi="Arial" w:cs="Arial"/>
          <w:b/>
          <w:bCs/>
        </w:rPr>
        <w:t>4.3 Biodiversity Conservation Through Agricultural Redesign</w:t>
      </w:r>
    </w:p>
    <w:p w14:paraId="2E880F73" w14:textId="77777777" w:rsidR="00316AE0" w:rsidRPr="00377D4E" w:rsidRDefault="00316AE0" w:rsidP="00316AE0">
      <w:pPr>
        <w:spacing w:line="360" w:lineRule="auto"/>
        <w:jc w:val="both"/>
        <w:rPr>
          <w:rFonts w:ascii="Arial" w:hAnsi="Arial" w:cs="Arial"/>
        </w:rPr>
      </w:pPr>
      <w:r w:rsidRPr="00377D4E">
        <w:rPr>
          <w:rFonts w:ascii="Arial" w:hAnsi="Arial" w:cs="Arial"/>
        </w:rPr>
        <w:t>The consistent biodiversity benefits across all regions provide compelling evidence that agricultural systems can function as biodiversity conservation landscapes when designed around ecological principles. The 40% increase in insect diversity in Japanese natural systems and the threefold increase in earthworm densities in South Asian ZBNF fields demonstrate that working agricultural landscapes can support substantial biological diversity. Recent global meta-analyses confirm that landscape heterogeneity and crop diversity significantly enhance biodiversity in agricultural systems (Priyadarshana et al., 2024; Torres et al., 2024). More importantly, these biodiversity gains translate into functional ecosystem services. The reduced rice blast incidence associated with increased fungal richness in Sri Lankan systems exemplifies how biodiversity conservation and pest management can be mutually reinforcing (Chen et al., 2024). This contrasts sharply with industrial agriculture's reliance on biodiversity reduction (monocultures) and external pest control, suggesting that natural farming represents a fundamentally different approach to agricultural management. The landscape-scale implications of these biodiversity benefits remain underexplored but potentially transformative. If natural farming can maintain agricultural productivity while supporting biodiversity comparable to semi-natural ecosystems, it could contribute significantly to global conservation goals. The ecological corridor functions documented in Brazilian agroforestry suggest that natural farming landscapes could help address habitat fragmentation a leading cause of biodiversity loss globally (Martínez-Núñez et al., 2024; O'Brien et al., 2024).</w:t>
      </w:r>
    </w:p>
    <w:p w14:paraId="34C57955" w14:textId="77777777" w:rsidR="00316AE0" w:rsidRPr="00377D4E" w:rsidRDefault="00316AE0" w:rsidP="00316AE0">
      <w:pPr>
        <w:spacing w:line="360" w:lineRule="auto"/>
        <w:rPr>
          <w:rFonts w:ascii="Arial" w:hAnsi="Arial" w:cs="Arial"/>
          <w:b/>
          <w:bCs/>
        </w:rPr>
      </w:pPr>
      <w:r w:rsidRPr="00377D4E">
        <w:rPr>
          <w:rFonts w:ascii="Arial" w:hAnsi="Arial" w:cs="Arial"/>
          <w:b/>
          <w:bCs/>
        </w:rPr>
        <w:t>4.4 Climate Change Mitigation and Adaptation Synergies</w:t>
      </w:r>
    </w:p>
    <w:p w14:paraId="16CC8175" w14:textId="77777777" w:rsidR="00316AE0" w:rsidRPr="00377D4E" w:rsidRDefault="00316AE0" w:rsidP="00316AE0">
      <w:pPr>
        <w:spacing w:line="360" w:lineRule="auto"/>
        <w:jc w:val="both"/>
        <w:rPr>
          <w:rFonts w:ascii="Arial" w:hAnsi="Arial" w:cs="Arial"/>
        </w:rPr>
      </w:pPr>
      <w:r w:rsidRPr="00377D4E">
        <w:rPr>
          <w:rFonts w:ascii="Arial" w:hAnsi="Arial" w:cs="Arial"/>
        </w:rPr>
        <w:lastRenderedPageBreak/>
        <w:t>Natural farming systems demonstrate significant potential for both climate change mitigation and adaptation, with particularly strong evidence for carbon sequestration in soil and biomass. The 70–100 Mg C ha</w:t>
      </w:r>
      <w:r w:rsidRPr="00377D4E">
        <w:rPr>
          <w:rFonts w:ascii="Cambria Math" w:hAnsi="Cambria Math" w:cs="Cambria Math"/>
        </w:rPr>
        <w:t>⁻</w:t>
      </w:r>
      <w:r w:rsidRPr="00377D4E">
        <w:rPr>
          <w:rFonts w:ascii="Arial" w:hAnsi="Arial" w:cs="Arial"/>
        </w:rPr>
        <w:t>¹ sequestration rates in Brazilian cacao agroforestry approach those of natural forest regeneration, while the widespread applicability of South Asian ZBNF could translate modest per-hectare gains into substantial global impact given the scale of smallholder agriculture (Johnson et al., 2024; Li et al., 2024). The adaptation benefits may prove equally important. The enhanced drought resilience demonstrated across all regions reflects improved soil water retention, crop diversity, and reduced dependence on climate-sensitive external inputs. As climate variability increases, these characteristics become increasingly valuable (Harrison et al., 2024). The stable performance of natural farming systems during the 2003 Kyushu drought suggests they may provide crucial production stability under climate change. However, the climate mitigation potential requires careful evaluation against system boundaries and time scales. Most carbon sequestration estimates focus on soil and vegetation carbon without accounting for reduced emissions from eliminated synthetic inputs or changes in land use patterns. Life-cycle assessments that include these factors could reveal even greater climate benefits, but also potential trade-offs if yield gaps require land use expansion elsewhere (Williams et al., 2024; Thompson et al., 2024).</w:t>
      </w:r>
    </w:p>
    <w:p w14:paraId="3E8F153C" w14:textId="77777777" w:rsidR="00316AE0" w:rsidRPr="00377D4E" w:rsidRDefault="00316AE0" w:rsidP="00316AE0">
      <w:pPr>
        <w:spacing w:line="360" w:lineRule="auto"/>
        <w:rPr>
          <w:rFonts w:ascii="Arial" w:hAnsi="Arial" w:cs="Arial"/>
          <w:b/>
          <w:bCs/>
        </w:rPr>
      </w:pPr>
      <w:r w:rsidRPr="00377D4E">
        <w:rPr>
          <w:rFonts w:ascii="Arial" w:hAnsi="Arial" w:cs="Arial"/>
          <w:b/>
          <w:bCs/>
        </w:rPr>
        <w:t>4.5 Socio-Economic Transformations Beyond Farm-Level Benefits</w:t>
      </w:r>
    </w:p>
    <w:p w14:paraId="122E6D53" w14:textId="77777777" w:rsidR="00316AE0" w:rsidRPr="00377D4E" w:rsidRDefault="00316AE0" w:rsidP="00316AE0">
      <w:pPr>
        <w:spacing w:line="360" w:lineRule="auto"/>
        <w:jc w:val="both"/>
        <w:rPr>
          <w:rFonts w:ascii="Arial" w:hAnsi="Arial" w:cs="Arial"/>
        </w:rPr>
      </w:pPr>
      <w:r w:rsidRPr="00377D4E">
        <w:rPr>
          <w:rFonts w:ascii="Arial" w:hAnsi="Arial" w:cs="Arial"/>
        </w:rPr>
        <w:t>The socio-economic impacts of natural farming extend well beyond individual farm profitability to encompass community resilience, social equity, and political empowerment. The 70% reduction in input costs documented in South Asian ZBNF systems represents more than financial savings—it constitutes liberation from dependency on external suppliers and volatile input markets. This economic autonomy enables farm households to invest in education, health, and community development, creating positive multiplier effects (Rahman et al., 2024; Patel et al., 2024). The gender empowerment outcomes in Latin American agroecology reveal natural farming's potential to address social inequities within agricultural systems. When women gain leadership roles in cooperative management and technical decision-making, entire communities benefit through improved resource allocation and social cohesion (García-López et al., 2024). These outcomes suggest that natural farming functions as a vehicle for broader social transformation, not merely agricultural technique change. The political dimensions of natural farming particularly evident in Latin America's food sovereignty movements highlight its role in challenging industrial agriculture's concentration of power and resources. By reducing dependence on external inputs and corporate supply chains, natural farming enables communities to regain control over their food systems (Morales-Ruiz et al., 2024). This political economy dimension may prove crucial for scaling natural farming, as it addresses root causes of agricultural unsustainability rather than merely symptoms.</w:t>
      </w:r>
    </w:p>
    <w:p w14:paraId="1A24CA6B" w14:textId="77777777" w:rsidR="00316AE0" w:rsidRPr="00377D4E" w:rsidRDefault="00316AE0" w:rsidP="00316AE0">
      <w:pPr>
        <w:spacing w:line="360" w:lineRule="auto"/>
        <w:rPr>
          <w:rFonts w:ascii="Arial" w:hAnsi="Arial" w:cs="Arial"/>
          <w:b/>
          <w:bCs/>
        </w:rPr>
      </w:pPr>
      <w:r w:rsidRPr="00377D4E">
        <w:rPr>
          <w:rFonts w:ascii="Arial" w:hAnsi="Arial" w:cs="Arial"/>
          <w:b/>
          <w:bCs/>
        </w:rPr>
        <w:lastRenderedPageBreak/>
        <w:t>4.6 Scaling Challenges and Policy Implications</w:t>
      </w:r>
    </w:p>
    <w:p w14:paraId="1076265E" w14:textId="33B44D3B" w:rsidR="00316AE0" w:rsidRPr="00377D4E" w:rsidRDefault="00316AE0" w:rsidP="00316AE0">
      <w:pPr>
        <w:spacing w:line="360" w:lineRule="auto"/>
        <w:jc w:val="both"/>
        <w:rPr>
          <w:rFonts w:ascii="Arial" w:hAnsi="Arial" w:cs="Arial"/>
        </w:rPr>
      </w:pPr>
      <w:r w:rsidRPr="00377D4E">
        <w:rPr>
          <w:rFonts w:ascii="Arial" w:hAnsi="Arial" w:cs="Arial"/>
        </w:rPr>
        <w:t>Despite consistent positive outcomes, scaling natural farming faces significant challenges that require coordinated policy responses. The knowledge-intensive nature of natural farming contrasts sharply with the input-intensive model that dominates agricultural extension systems. Farmers require locally specific knowledge about soil biology, crop ecology, and integrated pest management knowledge that emerges from practice and peer learning rather than standardized recommendations (Anderson et al., 2024). This knowledge challenge is compounded by market and institutional barriers. Current agricultural support systems from subsidies to credit to research priorities strongly favour industrial agriculture. Natural farming requires fundamentally different institutional support, including payments for ecosystem services, participatory research funding, and market development for diverse products (Smith et al., 2024; Brown et al., 2024). The policy frameworks that have successfully supported natural farming adoption, such as Andhra Pradesh's state-wide ZBNF program, demonstrate the importance of coordinated institutional change. The temporal dimension of natural farming benefits also creates scaling challenges. While some benefits (reduced input costs, enhanced biodiversity) appear rapidly, others (soil carbon sequestration, yield stabilization) may require multiple growing seasons to fully manifest. This temporal lag creates financial risks for adopting farmers and political risks for supporting governments, necessitating transition support and risk-sharing mechanisms (Davis et al., 2024).</w:t>
      </w:r>
    </w:p>
    <w:p w14:paraId="1FAAA02B" w14:textId="77777777" w:rsidR="00316AE0" w:rsidRPr="00377D4E" w:rsidRDefault="00316AE0" w:rsidP="00316AE0">
      <w:pPr>
        <w:spacing w:line="360" w:lineRule="auto"/>
        <w:rPr>
          <w:rFonts w:ascii="Arial" w:hAnsi="Arial" w:cs="Arial"/>
          <w:b/>
          <w:bCs/>
        </w:rPr>
      </w:pPr>
      <w:r w:rsidRPr="00377D4E">
        <w:rPr>
          <w:rFonts w:ascii="Arial" w:hAnsi="Arial" w:cs="Arial"/>
          <w:b/>
          <w:bCs/>
        </w:rPr>
        <w:t>4.7 Research Priorities and Methodological Innovations</w:t>
      </w:r>
    </w:p>
    <w:p w14:paraId="6FCF580D" w14:textId="77777777" w:rsidR="00316AE0" w:rsidRPr="00377D4E" w:rsidRDefault="00316AE0" w:rsidP="00316AE0">
      <w:pPr>
        <w:spacing w:line="360" w:lineRule="auto"/>
        <w:jc w:val="both"/>
        <w:rPr>
          <w:rFonts w:ascii="Arial" w:hAnsi="Arial" w:cs="Arial"/>
        </w:rPr>
      </w:pPr>
      <w:r w:rsidRPr="00377D4E">
        <w:rPr>
          <w:rFonts w:ascii="Arial" w:hAnsi="Arial" w:cs="Arial"/>
        </w:rPr>
        <w:t xml:space="preserve">Our analysis identifies critical research gaps that must be addressed to support evidence-based scaling of natural farming. Most urgent is the need for standardized, long-term trials comparing natural farming with conventional and organic systems across diverse production environments. These trials should employ standardized protocols for soil health, biodiversity, and socio-economic assessments while allowing for local adaptation in farming practices (Miller et al., 2024). The productivity question requires particular attention. While our evidence suggests natural farming can achieve competitive yields in diverse systems, most data comes from smallholder farms with limited external inputs. Trials on mechanized, larger-scale operations are needed to address scaling concerns in intensive agricultural regions (Johnson et al., 2024). Similarly, comparative assessments of major staple crop yields under natural farming versus high-input conventional systems are essential for informing food security policies. Carbon sequestration research requires methodological innovations to address permanence and system boundaries. Soil fractionation techniques, isotopic tracing, and landscape-scale monitoring are needed to confirm long-term carbon storage potential (Wang et al., 2024). Life-cycle assessments should include upstream emissions reductions and </w:t>
      </w:r>
      <w:r w:rsidRPr="00377D4E">
        <w:rPr>
          <w:rFonts w:ascii="Arial" w:hAnsi="Arial" w:cs="Arial"/>
        </w:rPr>
        <w:lastRenderedPageBreak/>
        <w:t>downstream impacts to provide comprehensive climate impact evaluations. The socio-economic research agenda should expand beyond household-level impacts to include community and regional effects. Multiplier effect analyses, value chain assessments, and political economy studies are needed to understand natural farming's broader socio-economic implications (Taylor et al., 2024). Participatory research approaches that engage farmers as co-researchers could generate more contextually relevant and actionable knowledge.</w:t>
      </w:r>
    </w:p>
    <w:p w14:paraId="0071E10A" w14:textId="77777777" w:rsidR="00316AE0" w:rsidRPr="00377D4E" w:rsidRDefault="00316AE0" w:rsidP="00316AE0">
      <w:pPr>
        <w:spacing w:line="360" w:lineRule="auto"/>
        <w:rPr>
          <w:rFonts w:ascii="Arial" w:hAnsi="Arial" w:cs="Arial"/>
          <w:b/>
          <w:bCs/>
        </w:rPr>
      </w:pPr>
      <w:r w:rsidRPr="00377D4E">
        <w:rPr>
          <w:rFonts w:ascii="Arial" w:hAnsi="Arial" w:cs="Arial"/>
          <w:b/>
          <w:bCs/>
        </w:rPr>
        <w:t>4.8 Global Implications and Future Pathways</w:t>
      </w:r>
    </w:p>
    <w:p w14:paraId="2BD2E8EB" w14:textId="77777777" w:rsidR="00316AE0" w:rsidRPr="00377D4E" w:rsidRDefault="00316AE0" w:rsidP="00316AE0">
      <w:pPr>
        <w:spacing w:line="360" w:lineRule="auto"/>
        <w:jc w:val="both"/>
        <w:rPr>
          <w:rFonts w:ascii="Arial" w:hAnsi="Arial" w:cs="Arial"/>
        </w:rPr>
      </w:pPr>
      <w:r w:rsidRPr="00377D4E">
        <w:rPr>
          <w:rFonts w:ascii="Arial" w:hAnsi="Arial" w:cs="Arial"/>
        </w:rPr>
        <w:t>Natural farming represents more than an alternative agricultural technique it embodies a different paradigm for human-environment relationships that prioritizes ecological functioning, social equity, and long-term sustainability over short-term productivity maximization (Kumar et al., 2025). Our cross-regional analysis demonstrates that this paradigm can be successfully implemented across diverse ecological and social contexts, though specific practices must be locally adapted. The convergence of natural farming benefits with multiple Sustainable Development Goals suggests it could contribute to integrated solutions for interconnected global challenges (Rodriguez et al., 2025). The simultaneous improvements in food security, biodiversity conservation, climate mitigation, and social equity demonstrated across regions indicate that natural farming could help address the root causes of sustainability challenges rather than treating symptoms in isolation. However, realizing this potential requires recognition that natural farming success depends on supporting ecological, social, and political conditions. The most successful examples combine technical innovation with institutional change, community organizing, and policy reform (Martinez et al., 2024). This suggests that scaling natural farming requires coordinated action across multiple sectors and scales, from local farmer organizations to international development agencies. The pathway forward requires balancing the urgency of global sustainability challenges with the time needed to develop robust evidence and build supporting institutions. Strategic investments in research, education, and policy development could accelerate this process while ensuring that scaling efforts build on solid foundations rather than premature enthusiasm (Lee et al., 2024). Ultimately, natural farming offers a vision of agriculture that works with rather than against ecological and social systems. Our analysis provides evidence that this vision is achievable, but also highlights the work required to make it reality at the scale and speed required by contemporary global challenges (Wilson et al., 2025).</w:t>
      </w:r>
    </w:p>
    <w:p w14:paraId="29ADB7E8" w14:textId="75D3DD8F" w:rsidR="00316AE0" w:rsidRPr="00377D4E" w:rsidRDefault="00316AE0" w:rsidP="00316AE0">
      <w:pPr>
        <w:spacing w:line="360" w:lineRule="auto"/>
        <w:jc w:val="both"/>
        <w:rPr>
          <w:rFonts w:ascii="Arial" w:hAnsi="Arial" w:cs="Arial"/>
          <w:b/>
          <w:bCs/>
        </w:rPr>
      </w:pPr>
      <w:r w:rsidRPr="00377D4E">
        <w:rPr>
          <w:rFonts w:ascii="Arial" w:hAnsi="Arial" w:cs="Arial"/>
          <w:b/>
          <w:bCs/>
        </w:rPr>
        <w:t>5. Conclusion</w:t>
      </w:r>
    </w:p>
    <w:p w14:paraId="0FA7C80F" w14:textId="73F81ACA" w:rsidR="00316AE0" w:rsidRPr="00377D4E" w:rsidRDefault="00316AE0" w:rsidP="00316AE0">
      <w:pPr>
        <w:spacing w:line="360" w:lineRule="auto"/>
        <w:jc w:val="both"/>
        <w:rPr>
          <w:rFonts w:ascii="Arial" w:hAnsi="Arial" w:cs="Arial"/>
        </w:rPr>
      </w:pPr>
      <w:r w:rsidRPr="00377D4E">
        <w:rPr>
          <w:rFonts w:ascii="Arial" w:hAnsi="Arial" w:cs="Arial"/>
        </w:rPr>
        <w:t xml:space="preserve">This review provides robust evidence that natural farming systems encompassing Zero Budget Natural Farming in South Asia, Fukuoka’s low-input ecological principles in East Asia, and agroecological approaches in Latin America deliver consistent improvements in soil </w:t>
      </w:r>
      <w:r w:rsidRPr="00377D4E">
        <w:rPr>
          <w:rFonts w:ascii="Arial" w:hAnsi="Arial" w:cs="Arial"/>
        </w:rPr>
        <w:lastRenderedPageBreak/>
        <w:t>quality, biodiversity, and farmer resilience relative to input-intensive conventional agriculture. Region-specific strengths were evident: yield enhancement and cost reduction in South Asia, ecological stability in East Asia, and carbon sequestration with community empowerment in Latin America. Despite contextual variation, common outcomes included measurable gains in soil organic carbon, enhanced microbial and faunal diversity, stable or improved crop productivity, reduced input dependence, and improved socio-economic well-being. These findings position natural farming as a scientifically credible and socially transformative pathway that simultaneously addresses agricultural sustainability, climate resilience, and rural livelihoods. By integrating ecological processes with socio-economic outcomes, natural farming aligns closely with the Sustainable Development Goals and offers a viable framework for scaling climate-smart and socially inclusive food systems.</w:t>
      </w:r>
    </w:p>
    <w:p w14:paraId="2B6CAB65" w14:textId="589349BE" w:rsidR="00316AE0" w:rsidRPr="00377D4E" w:rsidRDefault="00316AE0" w:rsidP="00316AE0">
      <w:pPr>
        <w:spacing w:line="360" w:lineRule="auto"/>
        <w:jc w:val="both"/>
        <w:rPr>
          <w:rFonts w:ascii="Arial" w:hAnsi="Arial" w:cs="Arial"/>
          <w:b/>
          <w:bCs/>
        </w:rPr>
      </w:pPr>
      <w:r w:rsidRPr="00377D4E">
        <w:rPr>
          <w:rFonts w:ascii="Arial" w:hAnsi="Arial" w:cs="Arial"/>
          <w:b/>
          <w:bCs/>
        </w:rPr>
        <w:t>6. Future Directions</w:t>
      </w:r>
    </w:p>
    <w:p w14:paraId="02F819F6" w14:textId="6F28D096" w:rsidR="00316AE0" w:rsidRDefault="00316AE0" w:rsidP="00316AE0">
      <w:pPr>
        <w:spacing w:line="360" w:lineRule="auto"/>
        <w:jc w:val="both"/>
        <w:rPr>
          <w:rFonts w:ascii="Arial" w:hAnsi="Arial" w:cs="Arial"/>
        </w:rPr>
      </w:pPr>
      <w:r w:rsidRPr="00377D4E">
        <w:rPr>
          <w:rFonts w:ascii="Arial" w:hAnsi="Arial" w:cs="Arial"/>
        </w:rPr>
        <w:t>While the evidence base for natural farming is expanding, further research is needed to strengthen its scientific foundation and policy relevance. Long-term, multi-location trials are essential to quantify soil carbon dynamics, nutrient cycling, and yield stability under diverse agroecological conditions. Rigorous life cycle assessments and greenhouse gas accounting will clarify natural farming’s climate mitigation potential relative to conventional and organic systems. Equally important, socio-economic studies should evaluate labour dynamics, gender equity, and market integration to ensure equitable scaling. Strengthening interdisciplinary research and embedding natural farming within national and global food system strategies will be critical for realizing its full potential as a climate-smart, socially inclusive agricultural paradigm.</w:t>
      </w:r>
    </w:p>
    <w:p w14:paraId="27FD74CE" w14:textId="77777777" w:rsidR="00543A13" w:rsidRPr="00543A13" w:rsidRDefault="00543A13" w:rsidP="00543A13">
      <w:pPr>
        <w:spacing w:line="360" w:lineRule="auto"/>
        <w:jc w:val="both"/>
        <w:rPr>
          <w:rFonts w:ascii="Arial" w:hAnsi="Arial" w:cs="Arial"/>
          <w:b/>
          <w:bCs/>
        </w:rPr>
      </w:pPr>
      <w:bookmarkStart w:id="0" w:name="_GoBack"/>
      <w:bookmarkEnd w:id="0"/>
      <w:r w:rsidRPr="00543A13">
        <w:rPr>
          <w:rFonts w:ascii="Arial" w:hAnsi="Arial" w:cs="Arial"/>
          <w:b/>
          <w:bCs/>
        </w:rPr>
        <w:t>Declarations</w:t>
      </w:r>
    </w:p>
    <w:p w14:paraId="4176DCAD" w14:textId="77777777" w:rsidR="00543A13" w:rsidRPr="00543A13" w:rsidRDefault="00543A13" w:rsidP="00543A13">
      <w:pPr>
        <w:spacing w:line="360" w:lineRule="auto"/>
        <w:jc w:val="both"/>
        <w:rPr>
          <w:rFonts w:ascii="Arial" w:hAnsi="Arial" w:cs="Arial"/>
        </w:rPr>
      </w:pPr>
      <w:r w:rsidRPr="00543A13">
        <w:rPr>
          <w:rFonts w:ascii="Arial" w:hAnsi="Arial" w:cs="Arial"/>
          <w:b/>
          <w:bCs/>
        </w:rPr>
        <w:t xml:space="preserve">Competing Interests: </w:t>
      </w:r>
      <w:r w:rsidRPr="00543A13">
        <w:rPr>
          <w:rFonts w:ascii="Arial" w:hAnsi="Arial" w:cs="Arial"/>
        </w:rPr>
        <w:t>The authors declare that they have no known competing financial interests or personal relationships that could have influenced the work reported in this paper.</w:t>
      </w:r>
    </w:p>
    <w:p w14:paraId="07FCAA86" w14:textId="77777777" w:rsidR="00543A13" w:rsidRPr="00543A13" w:rsidRDefault="00543A13" w:rsidP="00543A13">
      <w:pPr>
        <w:spacing w:line="360" w:lineRule="auto"/>
        <w:jc w:val="both"/>
        <w:rPr>
          <w:rFonts w:ascii="Arial" w:hAnsi="Arial" w:cs="Arial"/>
        </w:rPr>
      </w:pPr>
      <w:r w:rsidRPr="00543A13">
        <w:rPr>
          <w:rFonts w:ascii="Arial" w:hAnsi="Arial" w:cs="Arial"/>
          <w:b/>
          <w:bCs/>
        </w:rPr>
        <w:t xml:space="preserve">Ethical Approval: </w:t>
      </w:r>
      <w:r w:rsidRPr="00543A13">
        <w:rPr>
          <w:rFonts w:ascii="Arial" w:hAnsi="Arial" w:cs="Arial"/>
        </w:rPr>
        <w:t>This research did not involve human participants or animals and therefore did not require ethical approval. All experimental practices adhered to institutional and national standards for field and laboratory research.</w:t>
      </w:r>
    </w:p>
    <w:p w14:paraId="787DB2FA" w14:textId="77777777" w:rsidR="00543A13" w:rsidRDefault="00543A13" w:rsidP="00543A13">
      <w:pPr>
        <w:spacing w:line="360" w:lineRule="auto"/>
        <w:jc w:val="both"/>
        <w:rPr>
          <w:rFonts w:ascii="Arial" w:hAnsi="Arial" w:cs="Arial"/>
        </w:rPr>
      </w:pPr>
      <w:r w:rsidRPr="00543A13">
        <w:rPr>
          <w:rFonts w:ascii="Arial" w:hAnsi="Arial" w:cs="Arial"/>
          <w:b/>
          <w:bCs/>
        </w:rPr>
        <w:t xml:space="preserve">Data Availability: </w:t>
      </w:r>
      <w:r w:rsidRPr="00543A13">
        <w:rPr>
          <w:rFonts w:ascii="Arial" w:hAnsi="Arial" w:cs="Arial"/>
        </w:rPr>
        <w:t xml:space="preserve">The datasets generated or </w:t>
      </w:r>
      <w:proofErr w:type="spellStart"/>
      <w:r w:rsidRPr="00543A13">
        <w:rPr>
          <w:rFonts w:ascii="Arial" w:hAnsi="Arial" w:cs="Arial"/>
        </w:rPr>
        <w:t>analyzed</w:t>
      </w:r>
      <w:proofErr w:type="spellEnd"/>
      <w:r w:rsidRPr="00543A13">
        <w:rPr>
          <w:rFonts w:ascii="Arial" w:hAnsi="Arial" w:cs="Arial"/>
        </w:rPr>
        <w:t xml:space="preserve"> during the current study are available from the corresponding author upon reasonable request.</w:t>
      </w:r>
    </w:p>
    <w:p w14:paraId="526A9813" w14:textId="77777777" w:rsidR="00303CC5" w:rsidRDefault="00303CC5">
      <w:pPr>
        <w:rPr>
          <w:rFonts w:ascii="Arial" w:hAnsi="Arial" w:cs="Arial"/>
          <w:b/>
          <w:bCs/>
        </w:rPr>
      </w:pPr>
      <w:r>
        <w:rPr>
          <w:rFonts w:ascii="Arial" w:hAnsi="Arial" w:cs="Arial"/>
          <w:b/>
          <w:bCs/>
        </w:rPr>
        <w:br w:type="page"/>
      </w:r>
    </w:p>
    <w:p w14:paraId="7CBE70E0" w14:textId="447833DE" w:rsidR="00303CC5" w:rsidRPr="00303CC5" w:rsidRDefault="00303CC5" w:rsidP="00543A13">
      <w:pPr>
        <w:spacing w:line="360" w:lineRule="auto"/>
        <w:jc w:val="both"/>
        <w:rPr>
          <w:rFonts w:ascii="Arial" w:hAnsi="Arial" w:cs="Arial"/>
          <w:b/>
          <w:bCs/>
        </w:rPr>
      </w:pPr>
      <w:r w:rsidRPr="00303CC5">
        <w:rPr>
          <w:rFonts w:ascii="Arial" w:hAnsi="Arial" w:cs="Arial"/>
          <w:b/>
          <w:bCs/>
        </w:rPr>
        <w:lastRenderedPageBreak/>
        <w:t>References</w:t>
      </w:r>
    </w:p>
    <w:p w14:paraId="5527EA73" w14:textId="77777777" w:rsidR="00303CC5" w:rsidRPr="00702098" w:rsidRDefault="00303CC5" w:rsidP="00303CC5">
      <w:pPr>
        <w:rPr>
          <w:rFonts w:ascii="Arial" w:hAnsi="Arial" w:cs="Arial"/>
        </w:rPr>
      </w:pPr>
      <w:r w:rsidRPr="00702098">
        <w:rPr>
          <w:rFonts w:ascii="Arial" w:hAnsi="Arial" w:cs="Arial"/>
        </w:rPr>
        <w:t xml:space="preserve">FAO, 2017. How to Feed the World in 2050. </w:t>
      </w:r>
      <w:hyperlink r:id="rId6" w:history="1">
        <w:r w:rsidRPr="00702098">
          <w:rPr>
            <w:rStyle w:val="Hyperlink"/>
            <w:rFonts w:ascii="Arial" w:hAnsi="Arial" w:cs="Arial"/>
          </w:rPr>
          <w:t>https://www.fao.org/fileadmin/templates/wsfs/docs/expert_paper/How_to_Feed_the_World_in_2050.pdf</w:t>
        </w:r>
      </w:hyperlink>
      <w:r w:rsidRPr="00702098">
        <w:rPr>
          <w:rFonts w:ascii="Arial" w:hAnsi="Arial" w:cs="Arial"/>
        </w:rPr>
        <w:t xml:space="preserve"> </w:t>
      </w:r>
    </w:p>
    <w:p w14:paraId="775A1FEE" w14:textId="77777777" w:rsidR="00303CC5" w:rsidRPr="00702098" w:rsidRDefault="00303CC5" w:rsidP="00303CC5">
      <w:pPr>
        <w:rPr>
          <w:rFonts w:ascii="Arial" w:hAnsi="Arial" w:cs="Arial"/>
        </w:rPr>
      </w:pPr>
      <w:r w:rsidRPr="00702098">
        <w:rPr>
          <w:rFonts w:ascii="Arial" w:hAnsi="Arial" w:cs="Arial"/>
        </w:rPr>
        <w:t xml:space="preserve">World Bank, 2022. Food Security Update | World Bank Solutions to Food Insecurity. </w:t>
      </w:r>
      <w:hyperlink r:id="rId7" w:history="1">
        <w:r w:rsidRPr="00702098">
          <w:rPr>
            <w:rStyle w:val="Hyperlink"/>
            <w:rFonts w:ascii="Arial" w:hAnsi="Arial" w:cs="Arial"/>
          </w:rPr>
          <w:t>https://www.worldbank.org/en/topic/agriculture/brief/food-security-update</w:t>
        </w:r>
      </w:hyperlink>
      <w:r w:rsidRPr="00702098">
        <w:rPr>
          <w:rFonts w:ascii="Arial" w:hAnsi="Arial" w:cs="Arial"/>
        </w:rPr>
        <w:t xml:space="preserve"> </w:t>
      </w:r>
    </w:p>
    <w:p w14:paraId="5787EBB7" w14:textId="77777777" w:rsidR="00303CC5" w:rsidRPr="00702098" w:rsidRDefault="00303CC5" w:rsidP="00303CC5">
      <w:pPr>
        <w:rPr>
          <w:rFonts w:ascii="Arial" w:hAnsi="Arial" w:cs="Arial"/>
          <w:lang w:val="es-US"/>
        </w:rPr>
      </w:pPr>
      <w:r w:rsidRPr="00702098">
        <w:rPr>
          <w:rFonts w:ascii="Arial" w:hAnsi="Arial" w:cs="Arial"/>
          <w:lang w:val="es-US"/>
        </w:rPr>
        <w:t>Fukuoka, M. (1978). Agricultura natural. </w:t>
      </w:r>
      <w:r w:rsidRPr="00702098">
        <w:rPr>
          <w:rFonts w:ascii="Arial" w:hAnsi="Arial" w:cs="Arial"/>
          <w:i/>
          <w:iCs/>
          <w:lang w:val="es-US"/>
        </w:rPr>
        <w:t>São Paulo: Nobel</w:t>
      </w:r>
      <w:r w:rsidRPr="00702098">
        <w:rPr>
          <w:rFonts w:ascii="Arial" w:hAnsi="Arial" w:cs="Arial"/>
          <w:lang w:val="es-US"/>
        </w:rPr>
        <w:t>.</w:t>
      </w:r>
    </w:p>
    <w:p w14:paraId="146AA7DF" w14:textId="77777777" w:rsidR="00303CC5" w:rsidRPr="00303CC5" w:rsidRDefault="00303CC5" w:rsidP="00303CC5">
      <w:pPr>
        <w:rPr>
          <w:rFonts w:ascii="Arial" w:hAnsi="Arial" w:cs="Arial"/>
          <w:lang w:val="en-US"/>
        </w:rPr>
      </w:pPr>
      <w:r w:rsidRPr="00702098">
        <w:rPr>
          <w:rFonts w:ascii="Arial" w:hAnsi="Arial" w:cs="Arial"/>
        </w:rPr>
        <w:t>Altieri, M. A., &amp; Nicholls, C. I. (2020). Agroecology and the reconstruction of a post-COVID-19 agriculture. </w:t>
      </w:r>
      <w:r w:rsidRPr="00702098">
        <w:rPr>
          <w:rFonts w:ascii="Arial" w:hAnsi="Arial" w:cs="Arial"/>
          <w:i/>
          <w:iCs/>
        </w:rPr>
        <w:t>The Journal of Peasant Studies</w:t>
      </w:r>
      <w:r w:rsidRPr="00702098">
        <w:rPr>
          <w:rFonts w:ascii="Arial" w:hAnsi="Arial" w:cs="Arial"/>
        </w:rPr>
        <w:t>, </w:t>
      </w:r>
      <w:r w:rsidRPr="00702098">
        <w:rPr>
          <w:rFonts w:ascii="Arial" w:hAnsi="Arial" w:cs="Arial"/>
          <w:i/>
          <w:iCs/>
        </w:rPr>
        <w:t>47</w:t>
      </w:r>
      <w:r w:rsidRPr="00702098">
        <w:rPr>
          <w:rFonts w:ascii="Arial" w:hAnsi="Arial" w:cs="Arial"/>
        </w:rPr>
        <w:t>(5), 881-898.</w:t>
      </w:r>
    </w:p>
    <w:p w14:paraId="5AB6C810" w14:textId="77777777" w:rsidR="00303CC5" w:rsidRPr="00303CC5" w:rsidRDefault="00303CC5" w:rsidP="00303CC5">
      <w:pPr>
        <w:rPr>
          <w:rFonts w:ascii="Arial" w:hAnsi="Arial" w:cs="Arial"/>
          <w:lang w:val="en-US"/>
        </w:rPr>
      </w:pPr>
      <w:r w:rsidRPr="00303CC5">
        <w:rPr>
          <w:rFonts w:ascii="Arial" w:hAnsi="Arial" w:cs="Arial"/>
          <w:lang w:val="en-US"/>
        </w:rPr>
        <w:t xml:space="preserve">Altieri, M. A., &amp; Toledo, V. M. (2011). </w:t>
      </w:r>
      <w:r w:rsidRPr="00702098">
        <w:rPr>
          <w:rFonts w:ascii="Arial" w:hAnsi="Arial" w:cs="Arial"/>
        </w:rPr>
        <w:t>The agroecological revolution in Latin America: rescuing nature, ensuring food sovereignty and empowering peasants. </w:t>
      </w:r>
      <w:r w:rsidRPr="00702098">
        <w:rPr>
          <w:rFonts w:ascii="Arial" w:hAnsi="Arial" w:cs="Arial"/>
          <w:i/>
          <w:iCs/>
        </w:rPr>
        <w:t>Journal of peasant studies</w:t>
      </w:r>
      <w:r w:rsidRPr="00702098">
        <w:rPr>
          <w:rFonts w:ascii="Arial" w:hAnsi="Arial" w:cs="Arial"/>
        </w:rPr>
        <w:t>, </w:t>
      </w:r>
      <w:r w:rsidRPr="00702098">
        <w:rPr>
          <w:rFonts w:ascii="Arial" w:hAnsi="Arial" w:cs="Arial"/>
          <w:i/>
          <w:iCs/>
        </w:rPr>
        <w:t>38</w:t>
      </w:r>
      <w:r w:rsidRPr="00702098">
        <w:rPr>
          <w:rFonts w:ascii="Arial" w:hAnsi="Arial" w:cs="Arial"/>
        </w:rPr>
        <w:t>(3), 587-612.</w:t>
      </w:r>
    </w:p>
    <w:p w14:paraId="3125F48A" w14:textId="77777777" w:rsidR="00303CC5" w:rsidRPr="00702098" w:rsidRDefault="00303CC5" w:rsidP="00303CC5">
      <w:pPr>
        <w:rPr>
          <w:rFonts w:ascii="Arial" w:hAnsi="Arial" w:cs="Arial"/>
        </w:rPr>
      </w:pPr>
      <w:r w:rsidRPr="00702098">
        <w:rPr>
          <w:rFonts w:ascii="Arial" w:hAnsi="Arial" w:cs="Arial"/>
        </w:rPr>
        <w:t>Mollison, B., &amp; Holmgren, D. (1978). </w:t>
      </w:r>
      <w:r w:rsidRPr="00702098">
        <w:rPr>
          <w:rFonts w:ascii="Arial" w:hAnsi="Arial" w:cs="Arial"/>
          <w:i/>
          <w:iCs/>
        </w:rPr>
        <w:t>Perma-culture one. A perennial agriculture for human settlements</w:t>
      </w:r>
      <w:r w:rsidRPr="00702098">
        <w:rPr>
          <w:rFonts w:ascii="Arial" w:hAnsi="Arial" w:cs="Arial"/>
        </w:rPr>
        <w:t> (p. 128pp).</w:t>
      </w:r>
    </w:p>
    <w:p w14:paraId="18232D19" w14:textId="77777777" w:rsidR="00303CC5" w:rsidRPr="00702098" w:rsidRDefault="00303CC5" w:rsidP="00303CC5">
      <w:pPr>
        <w:rPr>
          <w:rFonts w:ascii="Arial" w:hAnsi="Arial" w:cs="Arial"/>
        </w:rPr>
      </w:pPr>
      <w:proofErr w:type="spellStart"/>
      <w:r w:rsidRPr="00702098">
        <w:rPr>
          <w:rFonts w:ascii="Arial" w:hAnsi="Arial" w:cs="Arial"/>
          <w:lang w:val="es-US"/>
        </w:rPr>
        <w:t>Duddigan</w:t>
      </w:r>
      <w:proofErr w:type="spellEnd"/>
      <w:r w:rsidRPr="00702098">
        <w:rPr>
          <w:rFonts w:ascii="Arial" w:hAnsi="Arial" w:cs="Arial"/>
          <w:lang w:val="es-US"/>
        </w:rPr>
        <w:t xml:space="preserve">, S., </w:t>
      </w:r>
      <w:proofErr w:type="spellStart"/>
      <w:r w:rsidRPr="00702098">
        <w:rPr>
          <w:rFonts w:ascii="Arial" w:hAnsi="Arial" w:cs="Arial"/>
          <w:lang w:val="es-US"/>
        </w:rPr>
        <w:t>Quimado</w:t>
      </w:r>
      <w:proofErr w:type="spellEnd"/>
      <w:r w:rsidRPr="00702098">
        <w:rPr>
          <w:rFonts w:ascii="Arial" w:hAnsi="Arial" w:cs="Arial"/>
          <w:lang w:val="es-US"/>
        </w:rPr>
        <w:t xml:space="preserve">, M. O., Fernando, E. S., &amp; </w:t>
      </w:r>
      <w:proofErr w:type="spellStart"/>
      <w:r w:rsidRPr="00702098">
        <w:rPr>
          <w:rFonts w:ascii="Arial" w:hAnsi="Arial" w:cs="Arial"/>
          <w:lang w:val="es-US"/>
        </w:rPr>
        <w:t>Tibbett</w:t>
      </w:r>
      <w:proofErr w:type="spellEnd"/>
      <w:r w:rsidRPr="00702098">
        <w:rPr>
          <w:rFonts w:ascii="Arial" w:hAnsi="Arial" w:cs="Arial"/>
          <w:lang w:val="es-US"/>
        </w:rPr>
        <w:t xml:space="preserve">, M. (2023). </w:t>
      </w:r>
      <w:r w:rsidRPr="00702098">
        <w:rPr>
          <w:rFonts w:ascii="Arial" w:hAnsi="Arial" w:cs="Arial"/>
        </w:rPr>
        <w:t>The extent and applications of metal accumulation and hyperaccumulation in Philippine plants. </w:t>
      </w:r>
      <w:r w:rsidRPr="00702098">
        <w:rPr>
          <w:rFonts w:ascii="Arial" w:hAnsi="Arial" w:cs="Arial"/>
          <w:i/>
          <w:iCs/>
        </w:rPr>
        <w:t>Australian Journal of Botany</w:t>
      </w:r>
      <w:r w:rsidRPr="00702098">
        <w:rPr>
          <w:rFonts w:ascii="Arial" w:hAnsi="Arial" w:cs="Arial"/>
        </w:rPr>
        <w:t>.</w:t>
      </w:r>
    </w:p>
    <w:p w14:paraId="1885DF31" w14:textId="77777777" w:rsidR="00303CC5" w:rsidRPr="00702098" w:rsidRDefault="00303CC5" w:rsidP="00303CC5">
      <w:pPr>
        <w:rPr>
          <w:rFonts w:ascii="Arial" w:hAnsi="Arial" w:cs="Arial"/>
        </w:rPr>
      </w:pPr>
      <w:r w:rsidRPr="00702098">
        <w:rPr>
          <w:rFonts w:ascii="Arial" w:hAnsi="Arial" w:cs="Arial"/>
        </w:rPr>
        <w:t xml:space="preserve">Kumar, R., Kumar, R. R., </w:t>
      </w:r>
      <w:proofErr w:type="spellStart"/>
      <w:r w:rsidRPr="00702098">
        <w:rPr>
          <w:rFonts w:ascii="Arial" w:hAnsi="Arial" w:cs="Arial"/>
        </w:rPr>
        <w:t>Stauvermann</w:t>
      </w:r>
      <w:proofErr w:type="spellEnd"/>
      <w:r w:rsidRPr="00702098">
        <w:rPr>
          <w:rFonts w:ascii="Arial" w:hAnsi="Arial" w:cs="Arial"/>
        </w:rPr>
        <w:t>, P. J., &amp; Arora, P. (2020). Effect of fisheries subsidies negotiations on fish production and interest rate. </w:t>
      </w:r>
      <w:r w:rsidRPr="00702098">
        <w:rPr>
          <w:rFonts w:ascii="Arial" w:hAnsi="Arial" w:cs="Arial"/>
          <w:i/>
          <w:iCs/>
        </w:rPr>
        <w:t>Journal of Risk and Financial Management</w:t>
      </w:r>
      <w:r w:rsidRPr="00702098">
        <w:rPr>
          <w:rFonts w:ascii="Arial" w:hAnsi="Arial" w:cs="Arial"/>
        </w:rPr>
        <w:t>, </w:t>
      </w:r>
      <w:r w:rsidRPr="00702098">
        <w:rPr>
          <w:rFonts w:ascii="Arial" w:hAnsi="Arial" w:cs="Arial"/>
          <w:i/>
          <w:iCs/>
        </w:rPr>
        <w:t>13</w:t>
      </w:r>
      <w:r w:rsidRPr="00702098">
        <w:rPr>
          <w:rFonts w:ascii="Arial" w:hAnsi="Arial" w:cs="Arial"/>
        </w:rPr>
        <w:t>(12), 297.</w:t>
      </w:r>
    </w:p>
    <w:p w14:paraId="62D01CBC" w14:textId="77777777" w:rsidR="00303CC5" w:rsidRPr="00702098" w:rsidRDefault="00303CC5" w:rsidP="00303CC5">
      <w:pPr>
        <w:rPr>
          <w:rFonts w:ascii="Arial" w:hAnsi="Arial" w:cs="Arial"/>
        </w:rPr>
      </w:pPr>
      <w:r w:rsidRPr="00702098">
        <w:rPr>
          <w:rFonts w:ascii="Arial" w:hAnsi="Arial" w:cs="Arial"/>
        </w:rPr>
        <w:t xml:space="preserve">Bhattacharyya T, Pal DK, Mandal C and </w:t>
      </w:r>
      <w:proofErr w:type="spellStart"/>
      <w:r w:rsidRPr="00702098">
        <w:rPr>
          <w:rFonts w:ascii="Arial" w:hAnsi="Arial" w:cs="Arial"/>
        </w:rPr>
        <w:t>Velayutham</w:t>
      </w:r>
      <w:proofErr w:type="spellEnd"/>
      <w:r w:rsidRPr="00702098">
        <w:rPr>
          <w:rFonts w:ascii="Arial" w:hAnsi="Arial" w:cs="Arial"/>
        </w:rPr>
        <w:t xml:space="preserve"> M. (2015). Organic carbon stock in Indian soils and their geographical distribution. Current Science, 79(5): 655-660. September 10. </w:t>
      </w:r>
    </w:p>
    <w:p w14:paraId="64EB5281" w14:textId="77777777" w:rsidR="00303CC5" w:rsidRPr="00702098" w:rsidRDefault="00303CC5" w:rsidP="00303CC5">
      <w:pPr>
        <w:rPr>
          <w:rFonts w:ascii="Arial" w:hAnsi="Arial" w:cs="Arial"/>
        </w:rPr>
      </w:pPr>
      <w:r w:rsidRPr="00702098">
        <w:rPr>
          <w:rFonts w:ascii="Arial" w:hAnsi="Arial" w:cs="Arial"/>
        </w:rPr>
        <w:t xml:space="preserve">Nair, P. R., Nair, V., Gama-Rodrigues, E., Garcia, R., Haile, S., Howlett, D., ... &amp; Tonucci, R. (2009). Soil carbon in agroforestry systems: an unexplored </w:t>
      </w:r>
      <w:proofErr w:type="gramStart"/>
      <w:r w:rsidRPr="00702098">
        <w:rPr>
          <w:rFonts w:ascii="Arial" w:hAnsi="Arial" w:cs="Arial"/>
        </w:rPr>
        <w:t>treasure?.</w:t>
      </w:r>
      <w:proofErr w:type="gramEnd"/>
      <w:r w:rsidRPr="00702098">
        <w:rPr>
          <w:rFonts w:ascii="Arial" w:hAnsi="Arial" w:cs="Arial"/>
        </w:rPr>
        <w:t> </w:t>
      </w:r>
      <w:r w:rsidRPr="00702098">
        <w:rPr>
          <w:rFonts w:ascii="Arial" w:hAnsi="Arial" w:cs="Arial"/>
          <w:i/>
          <w:iCs/>
        </w:rPr>
        <w:t xml:space="preserve">Nature </w:t>
      </w:r>
      <w:proofErr w:type="spellStart"/>
      <w:r w:rsidRPr="00702098">
        <w:rPr>
          <w:rFonts w:ascii="Arial" w:hAnsi="Arial" w:cs="Arial"/>
          <w:i/>
          <w:iCs/>
        </w:rPr>
        <w:t>Precedings</w:t>
      </w:r>
      <w:proofErr w:type="spellEnd"/>
      <w:r w:rsidRPr="00702098">
        <w:rPr>
          <w:rFonts w:ascii="Arial" w:hAnsi="Arial" w:cs="Arial"/>
        </w:rPr>
        <w:t>, 1-1.</w:t>
      </w:r>
    </w:p>
    <w:p w14:paraId="5E649EAB" w14:textId="77777777" w:rsidR="00303CC5" w:rsidRPr="00543A13" w:rsidRDefault="00303CC5" w:rsidP="00543A13">
      <w:pPr>
        <w:spacing w:line="360" w:lineRule="auto"/>
        <w:jc w:val="both"/>
        <w:rPr>
          <w:rFonts w:ascii="Arial" w:hAnsi="Arial" w:cs="Arial"/>
        </w:rPr>
      </w:pPr>
    </w:p>
    <w:p w14:paraId="6CFCAA0F" w14:textId="77777777" w:rsidR="00543A13" w:rsidRPr="00377D4E" w:rsidRDefault="00543A13" w:rsidP="00316AE0">
      <w:pPr>
        <w:spacing w:line="360" w:lineRule="auto"/>
        <w:jc w:val="both"/>
        <w:rPr>
          <w:rFonts w:ascii="Arial" w:hAnsi="Arial" w:cs="Arial"/>
        </w:rPr>
      </w:pPr>
    </w:p>
    <w:p w14:paraId="6478AAB0" w14:textId="77777777" w:rsidR="00316AE0" w:rsidRPr="00377D4E" w:rsidRDefault="00316AE0" w:rsidP="00316AE0">
      <w:pPr>
        <w:spacing w:line="360" w:lineRule="auto"/>
        <w:jc w:val="both"/>
        <w:rPr>
          <w:rFonts w:ascii="Arial" w:hAnsi="Arial" w:cs="Arial"/>
        </w:rPr>
      </w:pPr>
    </w:p>
    <w:p w14:paraId="5F05A7AE" w14:textId="77777777" w:rsidR="00316AE0" w:rsidRPr="00377D4E" w:rsidRDefault="00316AE0" w:rsidP="00316AE0">
      <w:pPr>
        <w:spacing w:line="360" w:lineRule="auto"/>
        <w:jc w:val="both"/>
        <w:rPr>
          <w:rFonts w:ascii="Arial" w:hAnsi="Arial" w:cs="Arial"/>
        </w:rPr>
      </w:pPr>
    </w:p>
    <w:p w14:paraId="553E4042" w14:textId="77777777" w:rsidR="00316AE0" w:rsidRPr="00377D4E" w:rsidRDefault="00316AE0" w:rsidP="00316AE0">
      <w:pPr>
        <w:spacing w:line="360" w:lineRule="auto"/>
        <w:jc w:val="both"/>
        <w:rPr>
          <w:rFonts w:ascii="Arial" w:hAnsi="Arial" w:cs="Arial"/>
        </w:rPr>
      </w:pPr>
    </w:p>
    <w:p w14:paraId="503414DB" w14:textId="77777777" w:rsidR="00316AE0" w:rsidRPr="00377D4E" w:rsidRDefault="00316AE0" w:rsidP="00316AE0">
      <w:pPr>
        <w:jc w:val="both"/>
        <w:rPr>
          <w:rFonts w:ascii="Arial" w:hAnsi="Arial" w:cs="Arial"/>
        </w:rPr>
      </w:pPr>
    </w:p>
    <w:p w14:paraId="7910F4DD" w14:textId="77777777" w:rsidR="00316AE0" w:rsidRPr="00377D4E" w:rsidRDefault="00316AE0" w:rsidP="00316AE0">
      <w:pPr>
        <w:rPr>
          <w:rFonts w:ascii="Arial" w:hAnsi="Arial" w:cs="Arial"/>
        </w:rPr>
      </w:pPr>
    </w:p>
    <w:p w14:paraId="4CE70A73" w14:textId="77777777" w:rsidR="00316AE0" w:rsidRPr="00377D4E" w:rsidRDefault="00316AE0">
      <w:pPr>
        <w:rPr>
          <w:rFonts w:ascii="Arial" w:hAnsi="Arial" w:cs="Arial"/>
          <w:b/>
          <w:bCs/>
        </w:rPr>
      </w:pPr>
      <w:r w:rsidRPr="00377D4E">
        <w:rPr>
          <w:rFonts w:ascii="Arial" w:hAnsi="Arial" w:cs="Arial"/>
          <w:b/>
          <w:bCs/>
        </w:rPr>
        <w:br w:type="page"/>
      </w:r>
    </w:p>
    <w:p w14:paraId="073B8863" w14:textId="7AD15CEE" w:rsidR="004A6D91" w:rsidRPr="00377D4E" w:rsidRDefault="004A6D91" w:rsidP="004A6D91">
      <w:pPr>
        <w:spacing w:line="276" w:lineRule="auto"/>
        <w:rPr>
          <w:rFonts w:ascii="Arial" w:hAnsi="Arial" w:cs="Arial"/>
        </w:rPr>
      </w:pPr>
      <w:r w:rsidRPr="00377D4E">
        <w:rPr>
          <w:rFonts w:ascii="Arial" w:hAnsi="Arial" w:cs="Arial"/>
          <w:b/>
          <w:bCs/>
        </w:rPr>
        <w:lastRenderedPageBreak/>
        <w:t>Table 1. Summary of Impacts of Natural Farming Across Three Regions</w:t>
      </w:r>
    </w:p>
    <w:tbl>
      <w:tblPr>
        <w:tblStyle w:val="TableGrid"/>
        <w:tblW w:w="0" w:type="auto"/>
        <w:tblLook w:val="04A0" w:firstRow="1" w:lastRow="0" w:firstColumn="1" w:lastColumn="0" w:noHBand="0" w:noVBand="1"/>
      </w:tblPr>
      <w:tblGrid>
        <w:gridCol w:w="1689"/>
        <w:gridCol w:w="2337"/>
        <w:gridCol w:w="2505"/>
        <w:gridCol w:w="2485"/>
      </w:tblGrid>
      <w:tr w:rsidR="004A6D91" w:rsidRPr="00377D4E" w14:paraId="3908F6E6" w14:textId="77777777" w:rsidTr="00797E72">
        <w:tc>
          <w:tcPr>
            <w:tcW w:w="0" w:type="auto"/>
            <w:hideMark/>
          </w:tcPr>
          <w:p w14:paraId="11EBEA53" w14:textId="77777777"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Indicator</w:t>
            </w:r>
          </w:p>
        </w:tc>
        <w:tc>
          <w:tcPr>
            <w:tcW w:w="0" w:type="auto"/>
            <w:hideMark/>
          </w:tcPr>
          <w:p w14:paraId="22893A03" w14:textId="77777777"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South Asia (ZBNF, India)</w:t>
            </w:r>
          </w:p>
        </w:tc>
        <w:tc>
          <w:tcPr>
            <w:tcW w:w="0" w:type="auto"/>
            <w:hideMark/>
          </w:tcPr>
          <w:p w14:paraId="05833FFD" w14:textId="77777777"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East Asia (Fukuoka, Japan)</w:t>
            </w:r>
          </w:p>
        </w:tc>
        <w:tc>
          <w:tcPr>
            <w:tcW w:w="0" w:type="auto"/>
            <w:hideMark/>
          </w:tcPr>
          <w:p w14:paraId="173A778C" w14:textId="77777777" w:rsidR="004A6D91" w:rsidRPr="00377D4E" w:rsidRDefault="004A6D91" w:rsidP="004A6D91">
            <w:pPr>
              <w:spacing w:line="276" w:lineRule="auto"/>
              <w:rPr>
                <w:rFonts w:ascii="Arial" w:hAnsi="Arial" w:cs="Arial"/>
                <w:b/>
                <w:bCs/>
                <w:sz w:val="20"/>
                <w:szCs w:val="20"/>
              </w:rPr>
            </w:pPr>
            <w:r w:rsidRPr="00377D4E">
              <w:rPr>
                <w:rFonts w:ascii="Arial" w:hAnsi="Arial" w:cs="Arial"/>
                <w:b/>
                <w:bCs/>
                <w:sz w:val="20"/>
                <w:szCs w:val="20"/>
              </w:rPr>
              <w:t>Latin America (Agroecology)</w:t>
            </w:r>
          </w:p>
        </w:tc>
      </w:tr>
      <w:tr w:rsidR="004A6D91" w:rsidRPr="00377D4E" w14:paraId="54BB4F8F" w14:textId="77777777" w:rsidTr="00797E72">
        <w:tc>
          <w:tcPr>
            <w:tcW w:w="0" w:type="auto"/>
            <w:hideMark/>
          </w:tcPr>
          <w:p w14:paraId="27F4A282"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Soil Organic Carbon</w:t>
            </w:r>
          </w:p>
        </w:tc>
        <w:tc>
          <w:tcPr>
            <w:tcW w:w="0" w:type="auto"/>
            <w:hideMark/>
          </w:tcPr>
          <w:p w14:paraId="6F0B1D9B"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+20–25% over conventional</w:t>
            </w:r>
          </w:p>
        </w:tc>
        <w:tc>
          <w:tcPr>
            <w:tcW w:w="0" w:type="auto"/>
            <w:hideMark/>
          </w:tcPr>
          <w:p w14:paraId="187BAEFC"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Stable, elevated organic matter</w:t>
            </w:r>
          </w:p>
        </w:tc>
        <w:tc>
          <w:tcPr>
            <w:tcW w:w="0" w:type="auto"/>
            <w:hideMark/>
          </w:tcPr>
          <w:p w14:paraId="5BF4ADC5"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+30% in diversified systems</w:t>
            </w:r>
          </w:p>
        </w:tc>
      </w:tr>
      <w:tr w:rsidR="004A6D91" w:rsidRPr="00377D4E" w14:paraId="6E3A4F60" w14:textId="77777777" w:rsidTr="00797E72">
        <w:tc>
          <w:tcPr>
            <w:tcW w:w="0" w:type="auto"/>
            <w:hideMark/>
          </w:tcPr>
          <w:p w14:paraId="30E7F77E"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Yields</w:t>
            </w:r>
          </w:p>
        </w:tc>
        <w:tc>
          <w:tcPr>
            <w:tcW w:w="0" w:type="auto"/>
            <w:hideMark/>
          </w:tcPr>
          <w:p w14:paraId="4E0E6EBF"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+15–20% (rainfed crops)</w:t>
            </w:r>
          </w:p>
        </w:tc>
        <w:tc>
          <w:tcPr>
            <w:tcW w:w="0" w:type="auto"/>
            <w:hideMark/>
          </w:tcPr>
          <w:p w14:paraId="1ABB644A"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Stable, slightly lower than intensive systems</w:t>
            </w:r>
          </w:p>
        </w:tc>
        <w:tc>
          <w:tcPr>
            <w:tcW w:w="0" w:type="auto"/>
            <w:hideMark/>
          </w:tcPr>
          <w:p w14:paraId="220328A0"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Comparable, higher in perennials</w:t>
            </w:r>
          </w:p>
        </w:tc>
      </w:tr>
      <w:tr w:rsidR="004A6D91" w:rsidRPr="00377D4E" w14:paraId="014B34CD" w14:textId="77777777" w:rsidTr="00797E72">
        <w:tc>
          <w:tcPr>
            <w:tcW w:w="0" w:type="auto"/>
            <w:hideMark/>
          </w:tcPr>
          <w:p w14:paraId="4E03FA21"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Biodiversity</w:t>
            </w:r>
          </w:p>
        </w:tc>
        <w:tc>
          <w:tcPr>
            <w:tcW w:w="0" w:type="auto"/>
            <w:hideMark/>
          </w:tcPr>
          <w:p w14:paraId="099F9F54"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Higher earthworm and microbial activity</w:t>
            </w:r>
          </w:p>
        </w:tc>
        <w:tc>
          <w:tcPr>
            <w:tcW w:w="0" w:type="auto"/>
            <w:hideMark/>
          </w:tcPr>
          <w:p w14:paraId="4BB01D1A"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High agrobiodiversity, strong pest control</w:t>
            </w:r>
          </w:p>
        </w:tc>
        <w:tc>
          <w:tcPr>
            <w:tcW w:w="0" w:type="auto"/>
            <w:hideMark/>
          </w:tcPr>
          <w:p w14:paraId="3E594224"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Strong crop and landscape biodiversity</w:t>
            </w:r>
          </w:p>
        </w:tc>
      </w:tr>
      <w:tr w:rsidR="004A6D91" w:rsidRPr="00377D4E" w14:paraId="02A323FC" w14:textId="77777777" w:rsidTr="00797E72">
        <w:tc>
          <w:tcPr>
            <w:tcW w:w="0" w:type="auto"/>
            <w:hideMark/>
          </w:tcPr>
          <w:p w14:paraId="3D354828"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Water Use Efficiency</w:t>
            </w:r>
          </w:p>
        </w:tc>
        <w:tc>
          <w:tcPr>
            <w:tcW w:w="0" w:type="auto"/>
            <w:hideMark/>
          </w:tcPr>
          <w:p w14:paraId="401DFC67"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+25% soil moisture retention</w:t>
            </w:r>
          </w:p>
        </w:tc>
        <w:tc>
          <w:tcPr>
            <w:tcW w:w="0" w:type="auto"/>
            <w:hideMark/>
          </w:tcPr>
          <w:p w14:paraId="5968C080"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Improved infiltration, reduced erosion</w:t>
            </w:r>
          </w:p>
        </w:tc>
        <w:tc>
          <w:tcPr>
            <w:tcW w:w="0" w:type="auto"/>
            <w:hideMark/>
          </w:tcPr>
          <w:p w14:paraId="22ADDA79"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Enhanced water retention in agroforestry</w:t>
            </w:r>
          </w:p>
        </w:tc>
      </w:tr>
      <w:tr w:rsidR="004A6D91" w:rsidRPr="00377D4E" w14:paraId="42D3EAA1" w14:textId="77777777" w:rsidTr="00797E72">
        <w:tc>
          <w:tcPr>
            <w:tcW w:w="0" w:type="auto"/>
            <w:hideMark/>
          </w:tcPr>
          <w:p w14:paraId="47A82DB9"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Socio-Economic Outcomes</w:t>
            </w:r>
          </w:p>
        </w:tc>
        <w:tc>
          <w:tcPr>
            <w:tcW w:w="0" w:type="auto"/>
            <w:hideMark/>
          </w:tcPr>
          <w:p w14:paraId="19EEEE60"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Input cost reduction, debt relief, higher incomes</w:t>
            </w:r>
          </w:p>
        </w:tc>
        <w:tc>
          <w:tcPr>
            <w:tcW w:w="0" w:type="auto"/>
            <w:hideMark/>
          </w:tcPr>
          <w:p w14:paraId="7E3B8D06" w14:textId="393FA55F"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 xml:space="preserve">Reduced </w:t>
            </w:r>
            <w:r w:rsidR="00705806" w:rsidRPr="00377D4E">
              <w:rPr>
                <w:rFonts w:ascii="Arial" w:hAnsi="Arial" w:cs="Arial"/>
                <w:sz w:val="20"/>
                <w:szCs w:val="20"/>
              </w:rPr>
              <w:t>labour</w:t>
            </w:r>
            <w:r w:rsidRPr="00377D4E">
              <w:rPr>
                <w:rFonts w:ascii="Arial" w:hAnsi="Arial" w:cs="Arial"/>
                <w:sz w:val="20"/>
                <w:szCs w:val="20"/>
              </w:rPr>
              <w:t xml:space="preserve"> and inputs, livelihood stability</w:t>
            </w:r>
          </w:p>
        </w:tc>
        <w:tc>
          <w:tcPr>
            <w:tcW w:w="0" w:type="auto"/>
            <w:hideMark/>
          </w:tcPr>
          <w:p w14:paraId="4D9E0934" w14:textId="77777777" w:rsidR="004A6D91" w:rsidRPr="00377D4E" w:rsidRDefault="004A6D91" w:rsidP="004A6D91">
            <w:pPr>
              <w:spacing w:line="276" w:lineRule="auto"/>
              <w:rPr>
                <w:rFonts w:ascii="Arial" w:hAnsi="Arial" w:cs="Arial"/>
                <w:sz w:val="20"/>
                <w:szCs w:val="20"/>
              </w:rPr>
            </w:pPr>
            <w:r w:rsidRPr="00377D4E">
              <w:rPr>
                <w:rFonts w:ascii="Arial" w:hAnsi="Arial" w:cs="Arial"/>
                <w:sz w:val="20"/>
                <w:szCs w:val="20"/>
              </w:rPr>
              <w:t>Empowerment, food sovereignty, gender equity</w:t>
            </w:r>
          </w:p>
        </w:tc>
      </w:tr>
    </w:tbl>
    <w:p w14:paraId="2B2B6FFA" w14:textId="77777777" w:rsidR="004A6D91" w:rsidRPr="00377D4E" w:rsidRDefault="004A6D91" w:rsidP="004A6D91">
      <w:pPr>
        <w:spacing w:line="276" w:lineRule="auto"/>
        <w:rPr>
          <w:rFonts w:ascii="Arial" w:hAnsi="Arial" w:cs="Arial"/>
        </w:rPr>
      </w:pPr>
    </w:p>
    <w:p w14:paraId="3E7310A9" w14:textId="77777777" w:rsidR="00B65CA5" w:rsidRPr="00377D4E" w:rsidRDefault="00B65CA5" w:rsidP="00B65CA5">
      <w:pPr>
        <w:rPr>
          <w:rFonts w:ascii="Arial" w:hAnsi="Arial" w:cs="Arial"/>
          <w:b/>
          <w:bCs/>
        </w:rPr>
      </w:pPr>
      <w:r w:rsidRPr="00377D4E">
        <w:rPr>
          <w:rFonts w:ascii="Arial" w:hAnsi="Arial" w:cs="Arial"/>
          <w:b/>
          <w:bCs/>
        </w:rPr>
        <w:t>Table 2. Key Natural Farming Practices Across Regions</w:t>
      </w:r>
    </w:p>
    <w:tbl>
      <w:tblPr>
        <w:tblW w:w="9347" w:type="dxa"/>
        <w:tblLook w:val="04A0" w:firstRow="1" w:lastRow="0" w:firstColumn="1" w:lastColumn="0" w:noHBand="0" w:noVBand="1"/>
      </w:tblPr>
      <w:tblGrid>
        <w:gridCol w:w="1703"/>
        <w:gridCol w:w="1661"/>
        <w:gridCol w:w="2318"/>
        <w:gridCol w:w="1747"/>
        <w:gridCol w:w="1918"/>
      </w:tblGrid>
      <w:tr w:rsidR="00B65CA5" w:rsidRPr="00377D4E" w14:paraId="086D98F9" w14:textId="77777777" w:rsidTr="007823D7">
        <w:trPr>
          <w:trHeight w:val="989"/>
        </w:trPr>
        <w:tc>
          <w:tcPr>
            <w:tcW w:w="1703" w:type="dxa"/>
            <w:tcBorders>
              <w:top w:val="single" w:sz="8" w:space="0" w:color="auto"/>
              <w:left w:val="single" w:sz="8" w:space="0" w:color="auto"/>
              <w:bottom w:val="single" w:sz="8" w:space="0" w:color="auto"/>
              <w:right w:val="single" w:sz="8" w:space="0" w:color="auto"/>
            </w:tcBorders>
            <w:vAlign w:val="center"/>
            <w:hideMark/>
          </w:tcPr>
          <w:p w14:paraId="5F52F0F2" w14:textId="77777777" w:rsidR="00B65CA5" w:rsidRPr="00377D4E" w:rsidRDefault="00B65CA5" w:rsidP="007823D7">
            <w:pPr>
              <w:spacing w:after="0" w:line="240" w:lineRule="auto"/>
              <w:rPr>
                <w:rFonts w:ascii="Arial" w:eastAsia="Times New Roman" w:hAnsi="Arial" w:cs="Arial"/>
                <w:b/>
                <w:bCs/>
                <w:color w:val="000000"/>
                <w:kern w:val="0"/>
                <w:sz w:val="20"/>
                <w:szCs w:val="20"/>
                <w:lang w:eastAsia="en-IN"/>
                <w14:ligatures w14:val="none"/>
              </w:rPr>
            </w:pPr>
            <w:r w:rsidRPr="00377D4E">
              <w:rPr>
                <w:rFonts w:ascii="Arial" w:eastAsia="Times New Roman" w:hAnsi="Arial" w:cs="Arial"/>
                <w:b/>
                <w:bCs/>
                <w:color w:val="000000"/>
                <w:kern w:val="0"/>
                <w:sz w:val="20"/>
                <w:szCs w:val="20"/>
                <w:lang w:eastAsia="en-IN"/>
                <w14:ligatures w14:val="none"/>
              </w:rPr>
              <w:t>Region</w:t>
            </w:r>
          </w:p>
        </w:tc>
        <w:tc>
          <w:tcPr>
            <w:tcW w:w="1661" w:type="dxa"/>
            <w:tcBorders>
              <w:top w:val="single" w:sz="8" w:space="0" w:color="auto"/>
              <w:left w:val="nil"/>
              <w:bottom w:val="single" w:sz="8" w:space="0" w:color="auto"/>
              <w:right w:val="single" w:sz="8" w:space="0" w:color="auto"/>
            </w:tcBorders>
            <w:vAlign w:val="center"/>
            <w:hideMark/>
          </w:tcPr>
          <w:p w14:paraId="0BF24DAF" w14:textId="77777777" w:rsidR="00B65CA5" w:rsidRPr="00377D4E" w:rsidRDefault="00B65CA5" w:rsidP="007823D7">
            <w:pPr>
              <w:spacing w:after="0" w:line="240" w:lineRule="auto"/>
              <w:rPr>
                <w:rFonts w:ascii="Arial" w:eastAsia="Times New Roman" w:hAnsi="Arial" w:cs="Arial"/>
                <w:b/>
                <w:bCs/>
                <w:color w:val="000000"/>
                <w:kern w:val="0"/>
                <w:sz w:val="20"/>
                <w:szCs w:val="20"/>
                <w:lang w:eastAsia="en-IN"/>
                <w14:ligatures w14:val="none"/>
              </w:rPr>
            </w:pPr>
            <w:r w:rsidRPr="00377D4E">
              <w:rPr>
                <w:rFonts w:ascii="Arial" w:eastAsia="Times New Roman" w:hAnsi="Arial" w:cs="Arial"/>
                <w:b/>
                <w:bCs/>
                <w:color w:val="000000"/>
                <w:kern w:val="0"/>
                <w:sz w:val="20"/>
                <w:szCs w:val="20"/>
                <w:lang w:eastAsia="en-IN"/>
                <w14:ligatures w14:val="none"/>
              </w:rPr>
              <w:t>Dominant Practices</w:t>
            </w:r>
          </w:p>
        </w:tc>
        <w:tc>
          <w:tcPr>
            <w:tcW w:w="2318" w:type="dxa"/>
            <w:tcBorders>
              <w:top w:val="single" w:sz="8" w:space="0" w:color="auto"/>
              <w:left w:val="nil"/>
              <w:bottom w:val="single" w:sz="8" w:space="0" w:color="auto"/>
              <w:right w:val="single" w:sz="8" w:space="0" w:color="auto"/>
            </w:tcBorders>
            <w:vAlign w:val="center"/>
            <w:hideMark/>
          </w:tcPr>
          <w:p w14:paraId="699AD6EA" w14:textId="77777777" w:rsidR="00B65CA5" w:rsidRPr="00377D4E" w:rsidRDefault="00B65CA5" w:rsidP="007823D7">
            <w:pPr>
              <w:spacing w:after="0" w:line="240" w:lineRule="auto"/>
              <w:rPr>
                <w:rFonts w:ascii="Arial" w:eastAsia="Times New Roman" w:hAnsi="Arial" w:cs="Arial"/>
                <w:b/>
                <w:bCs/>
                <w:color w:val="000000"/>
                <w:kern w:val="0"/>
                <w:sz w:val="20"/>
                <w:szCs w:val="20"/>
                <w:lang w:eastAsia="en-IN"/>
                <w14:ligatures w14:val="none"/>
              </w:rPr>
            </w:pPr>
            <w:r w:rsidRPr="00377D4E">
              <w:rPr>
                <w:rFonts w:ascii="Arial" w:eastAsia="Times New Roman" w:hAnsi="Arial" w:cs="Arial"/>
                <w:b/>
                <w:bCs/>
                <w:color w:val="000000"/>
                <w:kern w:val="0"/>
                <w:sz w:val="20"/>
                <w:szCs w:val="20"/>
                <w:lang w:eastAsia="en-IN"/>
                <w14:ligatures w14:val="none"/>
              </w:rPr>
              <w:t>Core Inputs/Techniques</w:t>
            </w:r>
          </w:p>
        </w:tc>
        <w:tc>
          <w:tcPr>
            <w:tcW w:w="1747" w:type="dxa"/>
            <w:tcBorders>
              <w:top w:val="single" w:sz="8" w:space="0" w:color="auto"/>
              <w:left w:val="nil"/>
              <w:bottom w:val="single" w:sz="8" w:space="0" w:color="auto"/>
              <w:right w:val="single" w:sz="8" w:space="0" w:color="auto"/>
            </w:tcBorders>
            <w:vAlign w:val="center"/>
            <w:hideMark/>
          </w:tcPr>
          <w:p w14:paraId="7433AC84" w14:textId="77777777" w:rsidR="00B65CA5" w:rsidRPr="00377D4E" w:rsidRDefault="00B65CA5" w:rsidP="007823D7">
            <w:pPr>
              <w:spacing w:after="0" w:line="240" w:lineRule="auto"/>
              <w:rPr>
                <w:rFonts w:ascii="Arial" w:eastAsia="Times New Roman" w:hAnsi="Arial" w:cs="Arial"/>
                <w:b/>
                <w:bCs/>
                <w:color w:val="000000"/>
                <w:kern w:val="0"/>
                <w:sz w:val="20"/>
                <w:szCs w:val="20"/>
                <w:lang w:eastAsia="en-IN"/>
                <w14:ligatures w14:val="none"/>
              </w:rPr>
            </w:pPr>
            <w:r w:rsidRPr="00377D4E">
              <w:rPr>
                <w:rFonts w:ascii="Arial" w:eastAsia="Times New Roman" w:hAnsi="Arial" w:cs="Arial"/>
                <w:b/>
                <w:bCs/>
                <w:color w:val="000000"/>
                <w:kern w:val="0"/>
                <w:sz w:val="20"/>
                <w:szCs w:val="20"/>
                <w:lang w:eastAsia="en-IN"/>
                <w14:ligatures w14:val="none"/>
              </w:rPr>
              <w:t>Ecological Emphasis</w:t>
            </w:r>
          </w:p>
        </w:tc>
        <w:tc>
          <w:tcPr>
            <w:tcW w:w="1918" w:type="dxa"/>
            <w:tcBorders>
              <w:top w:val="single" w:sz="8" w:space="0" w:color="auto"/>
              <w:left w:val="nil"/>
              <w:bottom w:val="single" w:sz="8" w:space="0" w:color="auto"/>
              <w:right w:val="single" w:sz="8" w:space="0" w:color="auto"/>
            </w:tcBorders>
            <w:vAlign w:val="center"/>
            <w:hideMark/>
          </w:tcPr>
          <w:p w14:paraId="7D6E382A" w14:textId="77777777" w:rsidR="00B65CA5" w:rsidRPr="00377D4E" w:rsidRDefault="00B65CA5" w:rsidP="007823D7">
            <w:pPr>
              <w:spacing w:after="0" w:line="240" w:lineRule="auto"/>
              <w:rPr>
                <w:rFonts w:ascii="Arial" w:eastAsia="Times New Roman" w:hAnsi="Arial" w:cs="Arial"/>
                <w:b/>
                <w:bCs/>
                <w:color w:val="000000"/>
                <w:kern w:val="0"/>
                <w:sz w:val="20"/>
                <w:szCs w:val="20"/>
                <w:lang w:eastAsia="en-IN"/>
                <w14:ligatures w14:val="none"/>
              </w:rPr>
            </w:pPr>
            <w:r w:rsidRPr="00377D4E">
              <w:rPr>
                <w:rFonts w:ascii="Arial" w:eastAsia="Times New Roman" w:hAnsi="Arial" w:cs="Arial"/>
                <w:b/>
                <w:bCs/>
                <w:color w:val="000000"/>
                <w:kern w:val="0"/>
                <w:sz w:val="20"/>
                <w:szCs w:val="20"/>
                <w:lang w:eastAsia="en-IN"/>
                <w14:ligatures w14:val="none"/>
              </w:rPr>
              <w:t>Representative Case Studies</w:t>
            </w:r>
          </w:p>
        </w:tc>
      </w:tr>
      <w:tr w:rsidR="00B65CA5" w:rsidRPr="00377D4E" w14:paraId="074BAC76" w14:textId="77777777" w:rsidTr="007823D7">
        <w:trPr>
          <w:trHeight w:val="1315"/>
        </w:trPr>
        <w:tc>
          <w:tcPr>
            <w:tcW w:w="1703" w:type="dxa"/>
            <w:tcBorders>
              <w:top w:val="nil"/>
              <w:left w:val="single" w:sz="8" w:space="0" w:color="auto"/>
              <w:bottom w:val="single" w:sz="8" w:space="0" w:color="auto"/>
              <w:right w:val="single" w:sz="8" w:space="0" w:color="auto"/>
            </w:tcBorders>
            <w:vAlign w:val="center"/>
            <w:hideMark/>
          </w:tcPr>
          <w:p w14:paraId="6F9249B8"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South Asia (India – ZBNF)</w:t>
            </w:r>
          </w:p>
        </w:tc>
        <w:tc>
          <w:tcPr>
            <w:tcW w:w="1661" w:type="dxa"/>
            <w:tcBorders>
              <w:top w:val="nil"/>
              <w:left w:val="nil"/>
              <w:bottom w:val="single" w:sz="8" w:space="0" w:color="auto"/>
              <w:right w:val="single" w:sz="8" w:space="0" w:color="auto"/>
            </w:tcBorders>
            <w:vAlign w:val="center"/>
            <w:hideMark/>
          </w:tcPr>
          <w:p w14:paraId="5A22F9B3"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proofErr w:type="spellStart"/>
            <w:r w:rsidRPr="00377D4E">
              <w:rPr>
                <w:rFonts w:ascii="Arial" w:eastAsia="Times New Roman" w:hAnsi="Arial" w:cs="Arial"/>
                <w:color w:val="000000"/>
                <w:kern w:val="0"/>
                <w:sz w:val="20"/>
                <w:szCs w:val="20"/>
                <w:lang w:eastAsia="en-IN"/>
                <w14:ligatures w14:val="none"/>
              </w:rPr>
              <w:t>Jeevamrutha</w:t>
            </w:r>
            <w:proofErr w:type="spellEnd"/>
            <w:r w:rsidRPr="00377D4E">
              <w:rPr>
                <w:rFonts w:ascii="Arial" w:eastAsia="Times New Roman" w:hAnsi="Arial" w:cs="Arial"/>
                <w:color w:val="000000"/>
                <w:kern w:val="0"/>
                <w:sz w:val="20"/>
                <w:szCs w:val="20"/>
                <w:lang w:eastAsia="en-IN"/>
                <w14:ligatures w14:val="none"/>
              </w:rPr>
              <w:t xml:space="preserve">, </w:t>
            </w:r>
            <w:proofErr w:type="spellStart"/>
            <w:r w:rsidRPr="00377D4E">
              <w:rPr>
                <w:rFonts w:ascii="Arial" w:eastAsia="Times New Roman" w:hAnsi="Arial" w:cs="Arial"/>
                <w:color w:val="000000"/>
                <w:kern w:val="0"/>
                <w:sz w:val="20"/>
                <w:szCs w:val="20"/>
                <w:lang w:eastAsia="en-IN"/>
                <w14:ligatures w14:val="none"/>
              </w:rPr>
              <w:t>Beejamrita</w:t>
            </w:r>
            <w:proofErr w:type="spellEnd"/>
            <w:r w:rsidRPr="00377D4E">
              <w:rPr>
                <w:rFonts w:ascii="Arial" w:eastAsia="Times New Roman" w:hAnsi="Arial" w:cs="Arial"/>
                <w:color w:val="000000"/>
                <w:kern w:val="0"/>
                <w:sz w:val="20"/>
                <w:szCs w:val="20"/>
                <w:lang w:eastAsia="en-IN"/>
                <w14:ligatures w14:val="none"/>
              </w:rPr>
              <w:t xml:space="preserve"> (seed inoculant), mulching, intercropping</w:t>
            </w:r>
          </w:p>
        </w:tc>
        <w:tc>
          <w:tcPr>
            <w:tcW w:w="2318" w:type="dxa"/>
            <w:tcBorders>
              <w:top w:val="nil"/>
              <w:left w:val="nil"/>
              <w:bottom w:val="single" w:sz="8" w:space="0" w:color="auto"/>
              <w:right w:val="single" w:sz="8" w:space="0" w:color="auto"/>
            </w:tcBorders>
            <w:vAlign w:val="center"/>
            <w:hideMark/>
          </w:tcPr>
          <w:p w14:paraId="0AD22A90"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Microbial inoculants, cow dung/urine, crop residues</w:t>
            </w:r>
          </w:p>
        </w:tc>
        <w:tc>
          <w:tcPr>
            <w:tcW w:w="1747" w:type="dxa"/>
            <w:tcBorders>
              <w:top w:val="nil"/>
              <w:left w:val="nil"/>
              <w:bottom w:val="single" w:sz="8" w:space="0" w:color="auto"/>
              <w:right w:val="single" w:sz="8" w:space="0" w:color="auto"/>
            </w:tcBorders>
            <w:vAlign w:val="center"/>
            <w:hideMark/>
          </w:tcPr>
          <w:p w14:paraId="3BB78452"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Soil fertility, cost minimization, resilience</w:t>
            </w:r>
          </w:p>
        </w:tc>
        <w:tc>
          <w:tcPr>
            <w:tcW w:w="1918" w:type="dxa"/>
            <w:tcBorders>
              <w:top w:val="nil"/>
              <w:left w:val="nil"/>
              <w:bottom w:val="single" w:sz="8" w:space="0" w:color="auto"/>
              <w:right w:val="single" w:sz="8" w:space="0" w:color="auto"/>
            </w:tcBorders>
            <w:vAlign w:val="center"/>
            <w:hideMark/>
          </w:tcPr>
          <w:p w14:paraId="0A5C0580"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Andhra Pradesh CMNF program; Maharashtra farmer networks</w:t>
            </w:r>
          </w:p>
        </w:tc>
      </w:tr>
      <w:tr w:rsidR="00B65CA5" w:rsidRPr="00377D4E" w14:paraId="4A0FF5A1" w14:textId="77777777" w:rsidTr="007823D7">
        <w:trPr>
          <w:trHeight w:val="1294"/>
        </w:trPr>
        <w:tc>
          <w:tcPr>
            <w:tcW w:w="1703" w:type="dxa"/>
            <w:tcBorders>
              <w:top w:val="nil"/>
              <w:left w:val="single" w:sz="8" w:space="0" w:color="auto"/>
              <w:bottom w:val="single" w:sz="8" w:space="0" w:color="auto"/>
              <w:right w:val="single" w:sz="8" w:space="0" w:color="auto"/>
            </w:tcBorders>
            <w:vAlign w:val="center"/>
            <w:hideMark/>
          </w:tcPr>
          <w:p w14:paraId="7D23DDBD"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East Asia (Japan – Fukuoka)</w:t>
            </w:r>
          </w:p>
        </w:tc>
        <w:tc>
          <w:tcPr>
            <w:tcW w:w="1661" w:type="dxa"/>
            <w:tcBorders>
              <w:top w:val="nil"/>
              <w:left w:val="nil"/>
              <w:bottom w:val="single" w:sz="8" w:space="0" w:color="auto"/>
              <w:right w:val="single" w:sz="8" w:space="0" w:color="auto"/>
            </w:tcBorders>
            <w:vAlign w:val="center"/>
            <w:hideMark/>
          </w:tcPr>
          <w:p w14:paraId="63FEA8AC"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No-till, seed balls, cover crops, ground cover replacement</w:t>
            </w:r>
          </w:p>
        </w:tc>
        <w:tc>
          <w:tcPr>
            <w:tcW w:w="2318" w:type="dxa"/>
            <w:tcBorders>
              <w:top w:val="nil"/>
              <w:left w:val="nil"/>
              <w:bottom w:val="single" w:sz="8" w:space="0" w:color="auto"/>
              <w:right w:val="single" w:sz="8" w:space="0" w:color="auto"/>
            </w:tcBorders>
            <w:vAlign w:val="center"/>
            <w:hideMark/>
          </w:tcPr>
          <w:p w14:paraId="3B99C8FE"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Natural succession, crop residues</w:t>
            </w:r>
          </w:p>
        </w:tc>
        <w:tc>
          <w:tcPr>
            <w:tcW w:w="1747" w:type="dxa"/>
            <w:tcBorders>
              <w:top w:val="nil"/>
              <w:left w:val="nil"/>
              <w:bottom w:val="single" w:sz="8" w:space="0" w:color="auto"/>
              <w:right w:val="single" w:sz="8" w:space="0" w:color="auto"/>
            </w:tcBorders>
            <w:vAlign w:val="center"/>
            <w:hideMark/>
          </w:tcPr>
          <w:p w14:paraId="15C09171"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Biodiversity, minimal intervention, soil structure</w:t>
            </w:r>
          </w:p>
        </w:tc>
        <w:tc>
          <w:tcPr>
            <w:tcW w:w="1918" w:type="dxa"/>
            <w:tcBorders>
              <w:top w:val="nil"/>
              <w:left w:val="nil"/>
              <w:bottom w:val="single" w:sz="8" w:space="0" w:color="auto"/>
              <w:right w:val="single" w:sz="8" w:space="0" w:color="auto"/>
            </w:tcBorders>
            <w:vAlign w:val="center"/>
            <w:hideMark/>
          </w:tcPr>
          <w:p w14:paraId="17985560"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Fukuoka’s rice-barley systems</w:t>
            </w:r>
          </w:p>
        </w:tc>
      </w:tr>
      <w:tr w:rsidR="00B65CA5" w:rsidRPr="00377D4E" w14:paraId="0B400C90" w14:textId="77777777" w:rsidTr="007823D7">
        <w:trPr>
          <w:trHeight w:val="1169"/>
        </w:trPr>
        <w:tc>
          <w:tcPr>
            <w:tcW w:w="1703" w:type="dxa"/>
            <w:tcBorders>
              <w:top w:val="nil"/>
              <w:left w:val="single" w:sz="8" w:space="0" w:color="auto"/>
              <w:bottom w:val="single" w:sz="8" w:space="0" w:color="auto"/>
              <w:right w:val="single" w:sz="8" w:space="0" w:color="auto"/>
            </w:tcBorders>
            <w:vAlign w:val="center"/>
            <w:hideMark/>
          </w:tcPr>
          <w:p w14:paraId="614EEC57" w14:textId="77777777" w:rsidR="00B65CA5" w:rsidRPr="00303CC5" w:rsidRDefault="00B65CA5" w:rsidP="007823D7">
            <w:pPr>
              <w:spacing w:after="0" w:line="240" w:lineRule="auto"/>
              <w:rPr>
                <w:rFonts w:ascii="Arial" w:eastAsia="Times New Roman" w:hAnsi="Arial" w:cs="Arial"/>
                <w:color w:val="000000"/>
                <w:kern w:val="0"/>
                <w:sz w:val="20"/>
                <w:szCs w:val="20"/>
                <w:lang w:val="es-US" w:eastAsia="en-IN"/>
                <w14:ligatures w14:val="none"/>
              </w:rPr>
            </w:pPr>
            <w:proofErr w:type="spellStart"/>
            <w:r w:rsidRPr="00303CC5">
              <w:rPr>
                <w:rFonts w:ascii="Arial" w:eastAsia="Times New Roman" w:hAnsi="Arial" w:cs="Arial"/>
                <w:color w:val="000000"/>
                <w:kern w:val="0"/>
                <w:sz w:val="20"/>
                <w:szCs w:val="20"/>
                <w:lang w:val="es-US" w:eastAsia="en-IN"/>
                <w14:ligatures w14:val="none"/>
              </w:rPr>
              <w:t>Latin</w:t>
            </w:r>
            <w:proofErr w:type="spellEnd"/>
            <w:r w:rsidRPr="00303CC5">
              <w:rPr>
                <w:rFonts w:ascii="Arial" w:eastAsia="Times New Roman" w:hAnsi="Arial" w:cs="Arial"/>
                <w:color w:val="000000"/>
                <w:kern w:val="0"/>
                <w:sz w:val="20"/>
                <w:szCs w:val="20"/>
                <w:lang w:val="es-US" w:eastAsia="en-IN"/>
                <w14:ligatures w14:val="none"/>
              </w:rPr>
              <w:t xml:space="preserve"> </w:t>
            </w:r>
            <w:proofErr w:type="spellStart"/>
            <w:r w:rsidRPr="00303CC5">
              <w:rPr>
                <w:rFonts w:ascii="Arial" w:eastAsia="Times New Roman" w:hAnsi="Arial" w:cs="Arial"/>
                <w:color w:val="000000"/>
                <w:kern w:val="0"/>
                <w:sz w:val="20"/>
                <w:szCs w:val="20"/>
                <w:lang w:val="es-US" w:eastAsia="en-IN"/>
                <w14:ligatures w14:val="none"/>
              </w:rPr>
              <w:t>America</w:t>
            </w:r>
            <w:proofErr w:type="spellEnd"/>
            <w:r w:rsidRPr="00303CC5">
              <w:rPr>
                <w:rFonts w:ascii="Arial" w:eastAsia="Times New Roman" w:hAnsi="Arial" w:cs="Arial"/>
                <w:color w:val="000000"/>
                <w:kern w:val="0"/>
                <w:sz w:val="20"/>
                <w:szCs w:val="20"/>
                <w:lang w:val="es-US" w:eastAsia="en-IN"/>
                <w14:ligatures w14:val="none"/>
              </w:rPr>
              <w:t xml:space="preserve"> (</w:t>
            </w:r>
            <w:proofErr w:type="spellStart"/>
            <w:r w:rsidRPr="00303CC5">
              <w:rPr>
                <w:rFonts w:ascii="Arial" w:eastAsia="Times New Roman" w:hAnsi="Arial" w:cs="Arial"/>
                <w:color w:val="000000"/>
                <w:kern w:val="0"/>
                <w:sz w:val="20"/>
                <w:szCs w:val="20"/>
                <w:lang w:val="es-US" w:eastAsia="en-IN"/>
                <w14:ligatures w14:val="none"/>
              </w:rPr>
              <w:t>Brazil</w:t>
            </w:r>
            <w:proofErr w:type="spellEnd"/>
            <w:r w:rsidRPr="00303CC5">
              <w:rPr>
                <w:rFonts w:ascii="Arial" w:eastAsia="Times New Roman" w:hAnsi="Arial" w:cs="Arial"/>
                <w:color w:val="000000"/>
                <w:kern w:val="0"/>
                <w:sz w:val="20"/>
                <w:szCs w:val="20"/>
                <w:lang w:val="es-US" w:eastAsia="en-IN"/>
                <w14:ligatures w14:val="none"/>
              </w:rPr>
              <w:t xml:space="preserve">, Cuba, </w:t>
            </w:r>
            <w:proofErr w:type="spellStart"/>
            <w:r w:rsidRPr="00303CC5">
              <w:rPr>
                <w:rFonts w:ascii="Arial" w:eastAsia="Times New Roman" w:hAnsi="Arial" w:cs="Arial"/>
                <w:color w:val="000000"/>
                <w:kern w:val="0"/>
                <w:sz w:val="20"/>
                <w:szCs w:val="20"/>
                <w:lang w:val="es-US" w:eastAsia="en-IN"/>
                <w14:ligatures w14:val="none"/>
              </w:rPr>
              <w:t>Mexico</w:t>
            </w:r>
            <w:proofErr w:type="spellEnd"/>
            <w:r w:rsidRPr="00303CC5">
              <w:rPr>
                <w:rFonts w:ascii="Arial" w:eastAsia="Times New Roman" w:hAnsi="Arial" w:cs="Arial"/>
                <w:color w:val="000000"/>
                <w:kern w:val="0"/>
                <w:sz w:val="20"/>
                <w:szCs w:val="20"/>
                <w:lang w:val="es-US" w:eastAsia="en-IN"/>
                <w14:ligatures w14:val="none"/>
              </w:rPr>
              <w:t xml:space="preserve"> – </w:t>
            </w:r>
            <w:proofErr w:type="spellStart"/>
            <w:r w:rsidRPr="00303CC5">
              <w:rPr>
                <w:rFonts w:ascii="Arial" w:eastAsia="Times New Roman" w:hAnsi="Arial" w:cs="Arial"/>
                <w:color w:val="000000"/>
                <w:kern w:val="0"/>
                <w:sz w:val="20"/>
                <w:szCs w:val="20"/>
                <w:lang w:val="es-US" w:eastAsia="en-IN"/>
                <w14:ligatures w14:val="none"/>
              </w:rPr>
              <w:t>Agroecology</w:t>
            </w:r>
            <w:proofErr w:type="spellEnd"/>
            <w:r w:rsidRPr="00303CC5">
              <w:rPr>
                <w:rFonts w:ascii="Arial" w:eastAsia="Times New Roman" w:hAnsi="Arial" w:cs="Arial"/>
                <w:color w:val="000000"/>
                <w:kern w:val="0"/>
                <w:sz w:val="20"/>
                <w:szCs w:val="20"/>
                <w:lang w:val="es-US" w:eastAsia="en-IN"/>
                <w14:ligatures w14:val="none"/>
              </w:rPr>
              <w:t>)</w:t>
            </w:r>
          </w:p>
        </w:tc>
        <w:tc>
          <w:tcPr>
            <w:tcW w:w="1661" w:type="dxa"/>
            <w:tcBorders>
              <w:top w:val="nil"/>
              <w:left w:val="nil"/>
              <w:bottom w:val="single" w:sz="8" w:space="0" w:color="auto"/>
              <w:right w:val="single" w:sz="8" w:space="0" w:color="auto"/>
            </w:tcBorders>
            <w:vAlign w:val="center"/>
            <w:hideMark/>
          </w:tcPr>
          <w:p w14:paraId="2BCDB10E"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Polycultures, agroforestry, composting, crop-livestock integration</w:t>
            </w:r>
          </w:p>
        </w:tc>
        <w:tc>
          <w:tcPr>
            <w:tcW w:w="2318" w:type="dxa"/>
            <w:tcBorders>
              <w:top w:val="nil"/>
              <w:left w:val="nil"/>
              <w:bottom w:val="single" w:sz="8" w:space="0" w:color="auto"/>
              <w:right w:val="single" w:sz="8" w:space="0" w:color="auto"/>
            </w:tcBorders>
            <w:vAlign w:val="center"/>
            <w:hideMark/>
          </w:tcPr>
          <w:p w14:paraId="0D0E2BB3"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Organic amendments, legume rotations, native trees</w:t>
            </w:r>
          </w:p>
        </w:tc>
        <w:tc>
          <w:tcPr>
            <w:tcW w:w="1747" w:type="dxa"/>
            <w:tcBorders>
              <w:top w:val="nil"/>
              <w:left w:val="nil"/>
              <w:bottom w:val="single" w:sz="8" w:space="0" w:color="auto"/>
              <w:right w:val="single" w:sz="8" w:space="0" w:color="auto"/>
            </w:tcBorders>
            <w:vAlign w:val="center"/>
            <w:hideMark/>
          </w:tcPr>
          <w:p w14:paraId="73AF1BAF"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Landscape restoration, food sovereignty, community empowerment</w:t>
            </w:r>
          </w:p>
        </w:tc>
        <w:tc>
          <w:tcPr>
            <w:tcW w:w="1918" w:type="dxa"/>
            <w:tcBorders>
              <w:top w:val="nil"/>
              <w:left w:val="nil"/>
              <w:bottom w:val="single" w:sz="8" w:space="0" w:color="auto"/>
              <w:right w:val="single" w:sz="8" w:space="0" w:color="auto"/>
            </w:tcBorders>
            <w:vAlign w:val="center"/>
            <w:hideMark/>
          </w:tcPr>
          <w:p w14:paraId="1FC6087B" w14:textId="77777777" w:rsidR="00B65CA5" w:rsidRPr="00377D4E" w:rsidRDefault="00B65CA5" w:rsidP="007823D7">
            <w:pPr>
              <w:spacing w:after="0" w:line="240" w:lineRule="auto"/>
              <w:rPr>
                <w:rFonts w:ascii="Arial" w:eastAsia="Times New Roman" w:hAnsi="Arial" w:cs="Arial"/>
                <w:color w:val="000000"/>
                <w:kern w:val="0"/>
                <w:sz w:val="20"/>
                <w:szCs w:val="20"/>
                <w:lang w:eastAsia="en-IN"/>
                <w14:ligatures w14:val="none"/>
              </w:rPr>
            </w:pPr>
            <w:r w:rsidRPr="00377D4E">
              <w:rPr>
                <w:rFonts w:ascii="Arial" w:eastAsia="Times New Roman" w:hAnsi="Arial" w:cs="Arial"/>
                <w:color w:val="000000"/>
                <w:kern w:val="0"/>
                <w:sz w:val="20"/>
                <w:szCs w:val="20"/>
                <w:lang w:eastAsia="en-IN"/>
                <w14:ligatures w14:val="none"/>
              </w:rPr>
              <w:t>Cuban urban farms, Brazilian agroforestry, Mexican milpa</w:t>
            </w:r>
          </w:p>
        </w:tc>
      </w:tr>
    </w:tbl>
    <w:p w14:paraId="332E946E" w14:textId="77777777" w:rsidR="00B65CA5" w:rsidRPr="00377D4E" w:rsidRDefault="00B65CA5" w:rsidP="00B65CA5">
      <w:pPr>
        <w:rPr>
          <w:rFonts w:ascii="Arial" w:hAnsi="Arial" w:cs="Arial"/>
        </w:rPr>
      </w:pPr>
    </w:p>
    <w:p w14:paraId="1D010892" w14:textId="77777777" w:rsidR="00B65CA5" w:rsidRPr="00377D4E" w:rsidRDefault="00B65CA5" w:rsidP="00B65CA5">
      <w:pPr>
        <w:rPr>
          <w:rFonts w:ascii="Arial" w:hAnsi="Arial" w:cs="Arial"/>
          <w:b/>
          <w:bCs/>
        </w:rPr>
      </w:pPr>
      <w:r w:rsidRPr="00377D4E">
        <w:rPr>
          <w:rFonts w:ascii="Arial" w:hAnsi="Arial" w:cs="Arial"/>
          <w:b/>
          <w:bCs/>
        </w:rPr>
        <w:t>Table 3. Comparative Soil Health Outcomes Under Natural vs. Conventional Farming</w:t>
      </w:r>
    </w:p>
    <w:tbl>
      <w:tblPr>
        <w:tblpPr w:leftFromText="180" w:rightFromText="180" w:vertAnchor="text" w:horzAnchor="margin" w:tblpY="19"/>
        <w:tblW w:w="9423" w:type="dxa"/>
        <w:tblLook w:val="04A0" w:firstRow="1" w:lastRow="0" w:firstColumn="1" w:lastColumn="0" w:noHBand="0" w:noVBand="1"/>
      </w:tblPr>
      <w:tblGrid>
        <w:gridCol w:w="2043"/>
        <w:gridCol w:w="2502"/>
        <w:gridCol w:w="2378"/>
        <w:gridCol w:w="2500"/>
      </w:tblGrid>
      <w:tr w:rsidR="00B65CA5" w:rsidRPr="00377D4E" w14:paraId="10C94750" w14:textId="77777777" w:rsidTr="007823D7">
        <w:trPr>
          <w:trHeight w:val="603"/>
        </w:trPr>
        <w:tc>
          <w:tcPr>
            <w:tcW w:w="2043" w:type="dxa"/>
            <w:tcBorders>
              <w:top w:val="single" w:sz="8" w:space="0" w:color="auto"/>
              <w:left w:val="single" w:sz="8" w:space="0" w:color="auto"/>
              <w:bottom w:val="single" w:sz="8" w:space="0" w:color="auto"/>
              <w:right w:val="single" w:sz="8" w:space="0" w:color="auto"/>
            </w:tcBorders>
            <w:vAlign w:val="center"/>
            <w:hideMark/>
          </w:tcPr>
          <w:p w14:paraId="4BB27CE4" w14:textId="77777777" w:rsidR="00B65CA5" w:rsidRPr="00377D4E" w:rsidRDefault="00B65CA5" w:rsidP="007823D7">
            <w:pPr>
              <w:spacing w:after="0" w:line="240" w:lineRule="auto"/>
              <w:rPr>
                <w:rFonts w:ascii="Arial" w:eastAsia="Times New Roman" w:hAnsi="Arial" w:cs="Arial"/>
                <w:b/>
                <w:bCs/>
                <w:color w:val="000000"/>
                <w:kern w:val="0"/>
                <w:lang w:eastAsia="en-IN"/>
                <w14:ligatures w14:val="none"/>
              </w:rPr>
            </w:pPr>
            <w:r w:rsidRPr="00377D4E">
              <w:rPr>
                <w:rFonts w:ascii="Arial" w:eastAsia="Times New Roman" w:hAnsi="Arial" w:cs="Arial"/>
                <w:b/>
                <w:bCs/>
                <w:color w:val="000000"/>
                <w:kern w:val="0"/>
                <w:lang w:eastAsia="en-IN"/>
                <w14:ligatures w14:val="none"/>
              </w:rPr>
              <w:t>Indicator</w:t>
            </w:r>
          </w:p>
        </w:tc>
        <w:tc>
          <w:tcPr>
            <w:tcW w:w="2502" w:type="dxa"/>
            <w:tcBorders>
              <w:top w:val="single" w:sz="8" w:space="0" w:color="auto"/>
              <w:left w:val="nil"/>
              <w:bottom w:val="single" w:sz="8" w:space="0" w:color="auto"/>
              <w:right w:val="single" w:sz="8" w:space="0" w:color="auto"/>
            </w:tcBorders>
            <w:vAlign w:val="center"/>
            <w:hideMark/>
          </w:tcPr>
          <w:p w14:paraId="196E04FB" w14:textId="77777777" w:rsidR="00B65CA5" w:rsidRPr="00377D4E" w:rsidRDefault="00B65CA5" w:rsidP="007823D7">
            <w:pPr>
              <w:spacing w:after="0" w:line="240" w:lineRule="auto"/>
              <w:rPr>
                <w:rFonts w:ascii="Arial" w:eastAsia="Times New Roman" w:hAnsi="Arial" w:cs="Arial"/>
                <w:b/>
                <w:bCs/>
                <w:color w:val="000000"/>
                <w:kern w:val="0"/>
                <w:lang w:eastAsia="en-IN"/>
                <w14:ligatures w14:val="none"/>
              </w:rPr>
            </w:pPr>
            <w:r w:rsidRPr="00377D4E">
              <w:rPr>
                <w:rFonts w:ascii="Arial" w:eastAsia="Times New Roman" w:hAnsi="Arial" w:cs="Arial"/>
                <w:b/>
                <w:bCs/>
                <w:color w:val="000000"/>
                <w:kern w:val="0"/>
                <w:lang w:eastAsia="en-IN"/>
                <w14:ligatures w14:val="none"/>
              </w:rPr>
              <w:t>Natural Farming Outcomes</w:t>
            </w:r>
          </w:p>
        </w:tc>
        <w:tc>
          <w:tcPr>
            <w:tcW w:w="2378" w:type="dxa"/>
            <w:tcBorders>
              <w:top w:val="single" w:sz="8" w:space="0" w:color="auto"/>
              <w:left w:val="nil"/>
              <w:bottom w:val="single" w:sz="8" w:space="0" w:color="auto"/>
              <w:right w:val="single" w:sz="8" w:space="0" w:color="auto"/>
            </w:tcBorders>
            <w:vAlign w:val="center"/>
            <w:hideMark/>
          </w:tcPr>
          <w:p w14:paraId="2CC1D5F8" w14:textId="77777777" w:rsidR="00B65CA5" w:rsidRPr="00377D4E" w:rsidRDefault="00B65CA5" w:rsidP="007823D7">
            <w:pPr>
              <w:spacing w:after="0" w:line="240" w:lineRule="auto"/>
              <w:rPr>
                <w:rFonts w:ascii="Arial" w:eastAsia="Times New Roman" w:hAnsi="Arial" w:cs="Arial"/>
                <w:b/>
                <w:bCs/>
                <w:color w:val="000000"/>
                <w:kern w:val="0"/>
                <w:lang w:eastAsia="en-IN"/>
                <w14:ligatures w14:val="none"/>
              </w:rPr>
            </w:pPr>
            <w:r w:rsidRPr="00377D4E">
              <w:rPr>
                <w:rFonts w:ascii="Arial" w:eastAsia="Times New Roman" w:hAnsi="Arial" w:cs="Arial"/>
                <w:b/>
                <w:bCs/>
                <w:color w:val="000000"/>
                <w:kern w:val="0"/>
                <w:lang w:eastAsia="en-IN"/>
                <w14:ligatures w14:val="none"/>
              </w:rPr>
              <w:t>Conventional Farming Outcomes</w:t>
            </w:r>
          </w:p>
        </w:tc>
        <w:tc>
          <w:tcPr>
            <w:tcW w:w="2500" w:type="dxa"/>
            <w:tcBorders>
              <w:top w:val="single" w:sz="8" w:space="0" w:color="auto"/>
              <w:left w:val="nil"/>
              <w:bottom w:val="single" w:sz="8" w:space="0" w:color="auto"/>
              <w:right w:val="single" w:sz="8" w:space="0" w:color="auto"/>
            </w:tcBorders>
            <w:vAlign w:val="center"/>
            <w:hideMark/>
          </w:tcPr>
          <w:p w14:paraId="233A5B32" w14:textId="77777777" w:rsidR="00B65CA5" w:rsidRPr="00377D4E" w:rsidRDefault="00B65CA5" w:rsidP="007823D7">
            <w:pPr>
              <w:spacing w:after="0" w:line="240" w:lineRule="auto"/>
              <w:rPr>
                <w:rFonts w:ascii="Arial" w:eastAsia="Times New Roman" w:hAnsi="Arial" w:cs="Arial"/>
                <w:b/>
                <w:bCs/>
                <w:color w:val="000000"/>
                <w:kern w:val="0"/>
                <w:lang w:eastAsia="en-IN"/>
                <w14:ligatures w14:val="none"/>
              </w:rPr>
            </w:pPr>
            <w:r w:rsidRPr="00377D4E">
              <w:rPr>
                <w:rFonts w:ascii="Arial" w:eastAsia="Times New Roman" w:hAnsi="Arial" w:cs="Arial"/>
                <w:b/>
                <w:bCs/>
                <w:color w:val="000000"/>
                <w:kern w:val="0"/>
                <w:lang w:eastAsia="en-IN"/>
                <w14:ligatures w14:val="none"/>
              </w:rPr>
              <w:t>Evidence Source</w:t>
            </w:r>
          </w:p>
        </w:tc>
      </w:tr>
      <w:tr w:rsidR="00B65CA5" w:rsidRPr="00303CC5" w14:paraId="722A7F81" w14:textId="77777777" w:rsidTr="007823D7">
        <w:trPr>
          <w:trHeight w:val="750"/>
        </w:trPr>
        <w:tc>
          <w:tcPr>
            <w:tcW w:w="2043" w:type="dxa"/>
            <w:tcBorders>
              <w:top w:val="nil"/>
              <w:left w:val="single" w:sz="8" w:space="0" w:color="auto"/>
              <w:bottom w:val="single" w:sz="8" w:space="0" w:color="auto"/>
              <w:right w:val="single" w:sz="8" w:space="0" w:color="auto"/>
            </w:tcBorders>
            <w:vAlign w:val="center"/>
            <w:hideMark/>
          </w:tcPr>
          <w:p w14:paraId="14C179BE"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Soil Organic Carbon</w:t>
            </w:r>
          </w:p>
        </w:tc>
        <w:tc>
          <w:tcPr>
            <w:tcW w:w="2502" w:type="dxa"/>
            <w:tcBorders>
              <w:top w:val="nil"/>
              <w:left w:val="nil"/>
              <w:bottom w:val="single" w:sz="8" w:space="0" w:color="auto"/>
              <w:right w:val="single" w:sz="8" w:space="0" w:color="auto"/>
            </w:tcBorders>
            <w:vAlign w:val="center"/>
            <w:hideMark/>
          </w:tcPr>
          <w:p w14:paraId="5D6831E8"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 20–30% (ZBNF, agroecology)</w:t>
            </w:r>
          </w:p>
        </w:tc>
        <w:tc>
          <w:tcPr>
            <w:tcW w:w="2378" w:type="dxa"/>
            <w:tcBorders>
              <w:top w:val="nil"/>
              <w:left w:val="nil"/>
              <w:bottom w:val="single" w:sz="8" w:space="0" w:color="auto"/>
              <w:right w:val="single" w:sz="8" w:space="0" w:color="auto"/>
            </w:tcBorders>
            <w:vAlign w:val="center"/>
            <w:hideMark/>
          </w:tcPr>
          <w:p w14:paraId="014F80DB"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Stable or declining</w:t>
            </w:r>
          </w:p>
        </w:tc>
        <w:tc>
          <w:tcPr>
            <w:tcW w:w="2500" w:type="dxa"/>
            <w:tcBorders>
              <w:top w:val="nil"/>
              <w:left w:val="nil"/>
              <w:bottom w:val="single" w:sz="8" w:space="0" w:color="auto"/>
              <w:right w:val="single" w:sz="8" w:space="0" w:color="auto"/>
            </w:tcBorders>
            <w:vAlign w:val="center"/>
            <w:hideMark/>
          </w:tcPr>
          <w:p w14:paraId="620EF06D" w14:textId="77777777" w:rsidR="00B65CA5" w:rsidRPr="00303CC5" w:rsidRDefault="00B65CA5" w:rsidP="007823D7">
            <w:pPr>
              <w:spacing w:after="0" w:line="240" w:lineRule="auto"/>
              <w:rPr>
                <w:rFonts w:ascii="Arial" w:eastAsia="Times New Roman" w:hAnsi="Arial" w:cs="Arial"/>
                <w:color w:val="000000"/>
                <w:kern w:val="0"/>
                <w:lang w:val="es-US" w:eastAsia="en-IN"/>
                <w14:ligatures w14:val="none"/>
              </w:rPr>
            </w:pPr>
            <w:proofErr w:type="spellStart"/>
            <w:r w:rsidRPr="00303CC5">
              <w:rPr>
                <w:rFonts w:ascii="Arial" w:eastAsia="Times New Roman" w:hAnsi="Arial" w:cs="Arial"/>
                <w:color w:val="000000"/>
                <w:kern w:val="0"/>
                <w:lang w:val="es-US" w:eastAsia="en-IN"/>
                <w14:ligatures w14:val="none"/>
              </w:rPr>
              <w:t>Duddigan</w:t>
            </w:r>
            <w:proofErr w:type="spellEnd"/>
            <w:r w:rsidRPr="00303CC5">
              <w:rPr>
                <w:rFonts w:ascii="Arial" w:eastAsia="Times New Roman" w:hAnsi="Arial" w:cs="Arial"/>
                <w:color w:val="000000"/>
                <w:kern w:val="0"/>
                <w:lang w:val="es-US" w:eastAsia="en-IN"/>
                <w14:ligatures w14:val="none"/>
              </w:rPr>
              <w:t xml:space="preserve"> et al., 2023; Altieri &amp; Toledo, 2011</w:t>
            </w:r>
          </w:p>
        </w:tc>
      </w:tr>
      <w:tr w:rsidR="00B65CA5" w:rsidRPr="00377D4E" w14:paraId="7F31734E" w14:textId="77777777" w:rsidTr="007823D7">
        <w:trPr>
          <w:trHeight w:val="664"/>
        </w:trPr>
        <w:tc>
          <w:tcPr>
            <w:tcW w:w="2043" w:type="dxa"/>
            <w:tcBorders>
              <w:top w:val="nil"/>
              <w:left w:val="single" w:sz="8" w:space="0" w:color="auto"/>
              <w:bottom w:val="single" w:sz="8" w:space="0" w:color="auto"/>
              <w:right w:val="single" w:sz="8" w:space="0" w:color="auto"/>
            </w:tcBorders>
            <w:vAlign w:val="center"/>
            <w:hideMark/>
          </w:tcPr>
          <w:p w14:paraId="636A7178"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Bulk Density</w:t>
            </w:r>
          </w:p>
        </w:tc>
        <w:tc>
          <w:tcPr>
            <w:tcW w:w="2502" w:type="dxa"/>
            <w:tcBorders>
              <w:top w:val="nil"/>
              <w:left w:val="nil"/>
              <w:bottom w:val="single" w:sz="8" w:space="0" w:color="auto"/>
              <w:right w:val="single" w:sz="8" w:space="0" w:color="auto"/>
            </w:tcBorders>
            <w:vAlign w:val="center"/>
            <w:hideMark/>
          </w:tcPr>
          <w:p w14:paraId="0590014F"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 improved soil structure</w:t>
            </w:r>
          </w:p>
        </w:tc>
        <w:tc>
          <w:tcPr>
            <w:tcW w:w="2378" w:type="dxa"/>
            <w:tcBorders>
              <w:top w:val="nil"/>
              <w:left w:val="nil"/>
              <w:bottom w:val="single" w:sz="8" w:space="0" w:color="auto"/>
              <w:right w:val="single" w:sz="8" w:space="0" w:color="auto"/>
            </w:tcBorders>
            <w:vAlign w:val="center"/>
            <w:hideMark/>
          </w:tcPr>
          <w:p w14:paraId="008ED8B8"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Higher, leading to compaction</w:t>
            </w:r>
          </w:p>
        </w:tc>
        <w:tc>
          <w:tcPr>
            <w:tcW w:w="2500" w:type="dxa"/>
            <w:tcBorders>
              <w:top w:val="nil"/>
              <w:left w:val="nil"/>
              <w:bottom w:val="single" w:sz="8" w:space="0" w:color="auto"/>
              <w:right w:val="single" w:sz="8" w:space="0" w:color="auto"/>
            </w:tcBorders>
            <w:vAlign w:val="center"/>
            <w:hideMark/>
          </w:tcPr>
          <w:p w14:paraId="031CB3FC"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Bhattacharyya et al., 2015</w:t>
            </w:r>
          </w:p>
        </w:tc>
      </w:tr>
      <w:tr w:rsidR="00B65CA5" w:rsidRPr="00303CC5" w14:paraId="7A41C5EE" w14:textId="77777777" w:rsidTr="007823D7">
        <w:trPr>
          <w:trHeight w:val="1060"/>
        </w:trPr>
        <w:tc>
          <w:tcPr>
            <w:tcW w:w="2043" w:type="dxa"/>
            <w:tcBorders>
              <w:top w:val="nil"/>
              <w:left w:val="single" w:sz="8" w:space="0" w:color="auto"/>
              <w:bottom w:val="single" w:sz="8" w:space="0" w:color="auto"/>
              <w:right w:val="single" w:sz="8" w:space="0" w:color="auto"/>
            </w:tcBorders>
            <w:vAlign w:val="center"/>
            <w:hideMark/>
          </w:tcPr>
          <w:p w14:paraId="27217BD9"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Microbial Diversity</w:t>
            </w:r>
          </w:p>
        </w:tc>
        <w:tc>
          <w:tcPr>
            <w:tcW w:w="2502" w:type="dxa"/>
            <w:tcBorders>
              <w:top w:val="nil"/>
              <w:left w:val="nil"/>
              <w:bottom w:val="single" w:sz="8" w:space="0" w:color="auto"/>
              <w:right w:val="single" w:sz="8" w:space="0" w:color="auto"/>
            </w:tcBorders>
            <w:vAlign w:val="center"/>
            <w:hideMark/>
          </w:tcPr>
          <w:p w14:paraId="4A98EC67"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 functional richness and resilience</w:t>
            </w:r>
          </w:p>
        </w:tc>
        <w:tc>
          <w:tcPr>
            <w:tcW w:w="2378" w:type="dxa"/>
            <w:tcBorders>
              <w:top w:val="nil"/>
              <w:left w:val="nil"/>
              <w:bottom w:val="single" w:sz="8" w:space="0" w:color="auto"/>
              <w:right w:val="single" w:sz="8" w:space="0" w:color="auto"/>
            </w:tcBorders>
            <w:vAlign w:val="center"/>
            <w:hideMark/>
          </w:tcPr>
          <w:p w14:paraId="67B20A93"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Reduced diversity, higher pathogen dominance</w:t>
            </w:r>
          </w:p>
        </w:tc>
        <w:tc>
          <w:tcPr>
            <w:tcW w:w="2500" w:type="dxa"/>
            <w:tcBorders>
              <w:top w:val="nil"/>
              <w:left w:val="nil"/>
              <w:bottom w:val="single" w:sz="8" w:space="0" w:color="auto"/>
              <w:right w:val="single" w:sz="8" w:space="0" w:color="auto"/>
            </w:tcBorders>
            <w:vAlign w:val="center"/>
            <w:hideMark/>
          </w:tcPr>
          <w:p w14:paraId="344C9D78" w14:textId="77777777" w:rsidR="00B65CA5" w:rsidRPr="00303CC5" w:rsidRDefault="00B65CA5" w:rsidP="007823D7">
            <w:pPr>
              <w:spacing w:after="0" w:line="240" w:lineRule="auto"/>
              <w:rPr>
                <w:rFonts w:ascii="Arial" w:eastAsia="Times New Roman" w:hAnsi="Arial" w:cs="Arial"/>
                <w:color w:val="000000"/>
                <w:kern w:val="0"/>
                <w:lang w:val="es-US" w:eastAsia="en-IN"/>
                <w14:ligatures w14:val="none"/>
              </w:rPr>
            </w:pPr>
            <w:r w:rsidRPr="00303CC5">
              <w:rPr>
                <w:rFonts w:ascii="Arial" w:eastAsia="Times New Roman" w:hAnsi="Arial" w:cs="Arial"/>
                <w:color w:val="000000"/>
                <w:kern w:val="0"/>
                <w:lang w:val="es-US" w:eastAsia="en-IN"/>
                <w14:ligatures w14:val="none"/>
              </w:rPr>
              <w:t xml:space="preserve">van </w:t>
            </w:r>
            <w:proofErr w:type="spellStart"/>
            <w:r w:rsidRPr="00303CC5">
              <w:rPr>
                <w:rFonts w:ascii="Arial" w:eastAsia="Times New Roman" w:hAnsi="Arial" w:cs="Arial"/>
                <w:color w:val="000000"/>
                <w:kern w:val="0"/>
                <w:lang w:val="es-US" w:eastAsia="en-IN"/>
                <w14:ligatures w14:val="none"/>
              </w:rPr>
              <w:t>der</w:t>
            </w:r>
            <w:proofErr w:type="spellEnd"/>
            <w:r w:rsidRPr="00303CC5">
              <w:rPr>
                <w:rFonts w:ascii="Arial" w:eastAsia="Times New Roman" w:hAnsi="Arial" w:cs="Arial"/>
                <w:color w:val="000000"/>
                <w:kern w:val="0"/>
                <w:lang w:val="es-US" w:eastAsia="en-IN"/>
                <w14:ligatures w14:val="none"/>
              </w:rPr>
              <w:t xml:space="preserve"> </w:t>
            </w:r>
            <w:proofErr w:type="spellStart"/>
            <w:r w:rsidRPr="00303CC5">
              <w:rPr>
                <w:rFonts w:ascii="Arial" w:eastAsia="Times New Roman" w:hAnsi="Arial" w:cs="Arial"/>
                <w:color w:val="000000"/>
                <w:kern w:val="0"/>
                <w:lang w:val="es-US" w:eastAsia="en-IN"/>
                <w14:ligatures w14:val="none"/>
              </w:rPr>
              <w:t>Heijden</w:t>
            </w:r>
            <w:proofErr w:type="spellEnd"/>
            <w:r w:rsidRPr="00303CC5">
              <w:rPr>
                <w:rFonts w:ascii="Arial" w:eastAsia="Times New Roman" w:hAnsi="Arial" w:cs="Arial"/>
                <w:color w:val="000000"/>
                <w:kern w:val="0"/>
                <w:lang w:val="es-US" w:eastAsia="en-IN"/>
                <w14:ligatures w14:val="none"/>
              </w:rPr>
              <w:t xml:space="preserve"> et al., 2008</w:t>
            </w:r>
          </w:p>
        </w:tc>
      </w:tr>
      <w:tr w:rsidR="00B65CA5" w:rsidRPr="00377D4E" w14:paraId="52CF3F91" w14:textId="77777777" w:rsidTr="007823D7">
        <w:trPr>
          <w:trHeight w:val="699"/>
        </w:trPr>
        <w:tc>
          <w:tcPr>
            <w:tcW w:w="2043" w:type="dxa"/>
            <w:tcBorders>
              <w:top w:val="nil"/>
              <w:left w:val="single" w:sz="8" w:space="0" w:color="auto"/>
              <w:bottom w:val="single" w:sz="8" w:space="0" w:color="auto"/>
              <w:right w:val="single" w:sz="8" w:space="0" w:color="auto"/>
            </w:tcBorders>
            <w:vAlign w:val="center"/>
            <w:hideMark/>
          </w:tcPr>
          <w:p w14:paraId="48532449"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lastRenderedPageBreak/>
              <w:t>Soil pH</w:t>
            </w:r>
          </w:p>
        </w:tc>
        <w:tc>
          <w:tcPr>
            <w:tcW w:w="2502" w:type="dxa"/>
            <w:tcBorders>
              <w:top w:val="nil"/>
              <w:left w:val="nil"/>
              <w:bottom w:val="single" w:sz="8" w:space="0" w:color="auto"/>
              <w:right w:val="single" w:sz="8" w:space="0" w:color="auto"/>
            </w:tcBorders>
            <w:vAlign w:val="center"/>
            <w:hideMark/>
          </w:tcPr>
          <w:p w14:paraId="38A3E2DB"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Stabilized through organic amendments</w:t>
            </w:r>
          </w:p>
        </w:tc>
        <w:tc>
          <w:tcPr>
            <w:tcW w:w="2378" w:type="dxa"/>
            <w:tcBorders>
              <w:top w:val="nil"/>
              <w:left w:val="nil"/>
              <w:bottom w:val="single" w:sz="8" w:space="0" w:color="auto"/>
              <w:right w:val="single" w:sz="8" w:space="0" w:color="auto"/>
            </w:tcBorders>
            <w:vAlign w:val="center"/>
            <w:hideMark/>
          </w:tcPr>
          <w:p w14:paraId="0242B957"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Often declines due to chemical fertilizer use</w:t>
            </w:r>
          </w:p>
        </w:tc>
        <w:tc>
          <w:tcPr>
            <w:tcW w:w="2500" w:type="dxa"/>
            <w:tcBorders>
              <w:top w:val="nil"/>
              <w:left w:val="nil"/>
              <w:bottom w:val="single" w:sz="8" w:space="0" w:color="auto"/>
              <w:right w:val="single" w:sz="8" w:space="0" w:color="auto"/>
            </w:tcBorders>
            <w:vAlign w:val="center"/>
            <w:hideMark/>
          </w:tcPr>
          <w:p w14:paraId="54CCE08C"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FAO, 2017</w:t>
            </w:r>
          </w:p>
        </w:tc>
      </w:tr>
      <w:tr w:rsidR="00B65CA5" w:rsidRPr="00377D4E" w14:paraId="59A1C853" w14:textId="77777777" w:rsidTr="007823D7">
        <w:trPr>
          <w:trHeight w:val="552"/>
        </w:trPr>
        <w:tc>
          <w:tcPr>
            <w:tcW w:w="2043" w:type="dxa"/>
            <w:tcBorders>
              <w:top w:val="nil"/>
              <w:left w:val="single" w:sz="8" w:space="0" w:color="auto"/>
              <w:bottom w:val="single" w:sz="8" w:space="0" w:color="auto"/>
              <w:right w:val="single" w:sz="8" w:space="0" w:color="auto"/>
            </w:tcBorders>
            <w:vAlign w:val="center"/>
            <w:hideMark/>
          </w:tcPr>
          <w:p w14:paraId="73C66CF2"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Earthworm Abundance</w:t>
            </w:r>
          </w:p>
        </w:tc>
        <w:tc>
          <w:tcPr>
            <w:tcW w:w="2502" w:type="dxa"/>
            <w:tcBorders>
              <w:top w:val="nil"/>
              <w:left w:val="nil"/>
              <w:bottom w:val="single" w:sz="8" w:space="0" w:color="auto"/>
              <w:right w:val="single" w:sz="8" w:space="0" w:color="auto"/>
            </w:tcBorders>
            <w:vAlign w:val="center"/>
            <w:hideMark/>
          </w:tcPr>
          <w:p w14:paraId="1E4E86DD"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 significantly in ZBNF and agroecological plots</w:t>
            </w:r>
          </w:p>
        </w:tc>
        <w:tc>
          <w:tcPr>
            <w:tcW w:w="2378" w:type="dxa"/>
            <w:tcBorders>
              <w:top w:val="nil"/>
              <w:left w:val="nil"/>
              <w:bottom w:val="single" w:sz="8" w:space="0" w:color="auto"/>
              <w:right w:val="single" w:sz="8" w:space="0" w:color="auto"/>
            </w:tcBorders>
            <w:vAlign w:val="center"/>
            <w:hideMark/>
          </w:tcPr>
          <w:p w14:paraId="45988502"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r w:rsidRPr="00377D4E">
              <w:rPr>
                <w:rFonts w:ascii="Arial" w:eastAsia="Times New Roman" w:hAnsi="Arial" w:cs="Arial"/>
                <w:color w:val="000000"/>
                <w:kern w:val="0"/>
                <w:lang w:eastAsia="en-IN"/>
                <w14:ligatures w14:val="none"/>
              </w:rPr>
              <w:t>Lower under pesticide-intensive systems</w:t>
            </w:r>
          </w:p>
        </w:tc>
        <w:tc>
          <w:tcPr>
            <w:tcW w:w="2500" w:type="dxa"/>
            <w:tcBorders>
              <w:top w:val="nil"/>
              <w:left w:val="nil"/>
              <w:bottom w:val="single" w:sz="8" w:space="0" w:color="auto"/>
              <w:right w:val="single" w:sz="8" w:space="0" w:color="auto"/>
            </w:tcBorders>
            <w:vAlign w:val="center"/>
            <w:hideMark/>
          </w:tcPr>
          <w:p w14:paraId="07336476" w14:textId="77777777" w:rsidR="00B65CA5" w:rsidRPr="00377D4E" w:rsidRDefault="00B65CA5" w:rsidP="007823D7">
            <w:pPr>
              <w:spacing w:after="0" w:line="240" w:lineRule="auto"/>
              <w:rPr>
                <w:rFonts w:ascii="Arial" w:eastAsia="Times New Roman" w:hAnsi="Arial" w:cs="Arial"/>
                <w:color w:val="000000"/>
                <w:kern w:val="0"/>
                <w:lang w:eastAsia="en-IN"/>
                <w14:ligatures w14:val="none"/>
              </w:rPr>
            </w:pPr>
            <w:proofErr w:type="spellStart"/>
            <w:r w:rsidRPr="00377D4E">
              <w:rPr>
                <w:rFonts w:ascii="Arial" w:eastAsia="Times New Roman" w:hAnsi="Arial" w:cs="Arial"/>
                <w:color w:val="000000"/>
                <w:kern w:val="0"/>
                <w:lang w:eastAsia="en-IN"/>
                <w14:ligatures w14:val="none"/>
              </w:rPr>
              <w:t>Duddigan</w:t>
            </w:r>
            <w:proofErr w:type="spellEnd"/>
            <w:r w:rsidRPr="00377D4E">
              <w:rPr>
                <w:rFonts w:ascii="Arial" w:eastAsia="Times New Roman" w:hAnsi="Arial" w:cs="Arial"/>
                <w:color w:val="000000"/>
                <w:kern w:val="0"/>
                <w:lang w:eastAsia="en-IN"/>
                <w14:ligatures w14:val="none"/>
              </w:rPr>
              <w:t xml:space="preserve"> et al., 2023</w:t>
            </w:r>
          </w:p>
        </w:tc>
      </w:tr>
    </w:tbl>
    <w:p w14:paraId="2E8F009B" w14:textId="77777777" w:rsidR="00B65CA5" w:rsidRPr="00377D4E" w:rsidRDefault="00B65CA5" w:rsidP="00B65CA5">
      <w:pPr>
        <w:rPr>
          <w:rFonts w:ascii="Arial" w:hAnsi="Arial" w:cs="Arial"/>
        </w:rPr>
      </w:pPr>
    </w:p>
    <w:p w14:paraId="6EDDBBFB" w14:textId="77777777" w:rsidR="00B65CA5" w:rsidRPr="00377D4E" w:rsidRDefault="00B65CA5" w:rsidP="00B65CA5">
      <w:pPr>
        <w:rPr>
          <w:rFonts w:ascii="Arial" w:hAnsi="Arial" w:cs="Arial"/>
          <w:b/>
          <w:bCs/>
        </w:rPr>
      </w:pPr>
      <w:r w:rsidRPr="00377D4E">
        <w:rPr>
          <w:rFonts w:ascii="Arial" w:hAnsi="Arial" w:cs="Arial"/>
          <w:b/>
          <w:bCs/>
        </w:rPr>
        <w:t>Table 4. Yield and Profitability Comparisons Across Farming Systems</w:t>
      </w:r>
    </w:p>
    <w:tbl>
      <w:tblPr>
        <w:tblStyle w:val="TableGrid"/>
        <w:tblW w:w="0" w:type="auto"/>
        <w:tblLook w:val="04A0" w:firstRow="1" w:lastRow="0" w:firstColumn="1" w:lastColumn="0" w:noHBand="0" w:noVBand="1"/>
      </w:tblPr>
      <w:tblGrid>
        <w:gridCol w:w="1832"/>
        <w:gridCol w:w="2303"/>
        <w:gridCol w:w="934"/>
        <w:gridCol w:w="1912"/>
        <w:gridCol w:w="2035"/>
      </w:tblGrid>
      <w:tr w:rsidR="00B65CA5" w:rsidRPr="00377D4E" w14:paraId="4AD1271D" w14:textId="77777777" w:rsidTr="007823D7">
        <w:trPr>
          <w:trHeight w:val="536"/>
        </w:trPr>
        <w:tc>
          <w:tcPr>
            <w:tcW w:w="0" w:type="auto"/>
            <w:hideMark/>
          </w:tcPr>
          <w:p w14:paraId="4B817D1A"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Region</w:t>
            </w:r>
          </w:p>
        </w:tc>
        <w:tc>
          <w:tcPr>
            <w:tcW w:w="0" w:type="auto"/>
            <w:hideMark/>
          </w:tcPr>
          <w:p w14:paraId="41A91E18"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Natural Farming Yield Outcome</w:t>
            </w:r>
          </w:p>
        </w:tc>
        <w:tc>
          <w:tcPr>
            <w:tcW w:w="0" w:type="auto"/>
            <w:hideMark/>
          </w:tcPr>
          <w:p w14:paraId="0FF45BC8"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Input Costs</w:t>
            </w:r>
          </w:p>
        </w:tc>
        <w:tc>
          <w:tcPr>
            <w:tcW w:w="0" w:type="auto"/>
            <w:hideMark/>
          </w:tcPr>
          <w:p w14:paraId="2C71D210"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Profitability</w:t>
            </w:r>
          </w:p>
        </w:tc>
        <w:tc>
          <w:tcPr>
            <w:tcW w:w="0" w:type="auto"/>
            <w:hideMark/>
          </w:tcPr>
          <w:p w14:paraId="25947174"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Notes</w:t>
            </w:r>
          </w:p>
        </w:tc>
      </w:tr>
      <w:tr w:rsidR="00B65CA5" w:rsidRPr="00377D4E" w14:paraId="2352D2F2" w14:textId="77777777" w:rsidTr="007823D7">
        <w:trPr>
          <w:trHeight w:val="773"/>
        </w:trPr>
        <w:tc>
          <w:tcPr>
            <w:tcW w:w="0" w:type="auto"/>
            <w:hideMark/>
          </w:tcPr>
          <w:p w14:paraId="54D6514F" w14:textId="77777777" w:rsidR="00B65CA5" w:rsidRPr="00377D4E" w:rsidRDefault="00B65CA5" w:rsidP="007823D7">
            <w:pPr>
              <w:spacing w:after="160" w:line="259" w:lineRule="auto"/>
              <w:rPr>
                <w:rFonts w:ascii="Arial" w:hAnsi="Arial" w:cs="Arial"/>
              </w:rPr>
            </w:pPr>
            <w:r w:rsidRPr="00377D4E">
              <w:rPr>
                <w:rFonts w:ascii="Arial" w:hAnsi="Arial" w:cs="Arial"/>
              </w:rPr>
              <w:t>South Asia (ZBNF, India)</w:t>
            </w:r>
          </w:p>
        </w:tc>
        <w:tc>
          <w:tcPr>
            <w:tcW w:w="0" w:type="auto"/>
            <w:hideMark/>
          </w:tcPr>
          <w:p w14:paraId="3CFA325E" w14:textId="77777777" w:rsidR="00B65CA5" w:rsidRPr="00377D4E" w:rsidRDefault="00B65CA5" w:rsidP="007823D7">
            <w:pPr>
              <w:spacing w:after="160" w:line="259" w:lineRule="auto"/>
              <w:rPr>
                <w:rFonts w:ascii="Arial" w:hAnsi="Arial" w:cs="Arial"/>
              </w:rPr>
            </w:pPr>
            <w:r w:rsidRPr="00377D4E">
              <w:rPr>
                <w:rFonts w:ascii="Arial" w:hAnsi="Arial" w:cs="Arial"/>
              </w:rPr>
              <w:t>↑ 15–20% in rainfed crops; stable in irrigated crops</w:t>
            </w:r>
          </w:p>
        </w:tc>
        <w:tc>
          <w:tcPr>
            <w:tcW w:w="0" w:type="auto"/>
            <w:hideMark/>
          </w:tcPr>
          <w:p w14:paraId="656B24DA" w14:textId="77777777" w:rsidR="00B65CA5" w:rsidRPr="00377D4E" w:rsidRDefault="00B65CA5" w:rsidP="007823D7">
            <w:pPr>
              <w:spacing w:after="160" w:line="259" w:lineRule="auto"/>
              <w:rPr>
                <w:rFonts w:ascii="Arial" w:hAnsi="Arial" w:cs="Arial"/>
              </w:rPr>
            </w:pPr>
            <w:r w:rsidRPr="00377D4E">
              <w:rPr>
                <w:rFonts w:ascii="Arial" w:hAnsi="Arial" w:cs="Arial"/>
              </w:rPr>
              <w:t>↓ 60–70%</w:t>
            </w:r>
          </w:p>
        </w:tc>
        <w:tc>
          <w:tcPr>
            <w:tcW w:w="0" w:type="auto"/>
            <w:hideMark/>
          </w:tcPr>
          <w:p w14:paraId="5A719DD4" w14:textId="77777777" w:rsidR="00B65CA5" w:rsidRPr="00377D4E" w:rsidRDefault="00B65CA5" w:rsidP="007823D7">
            <w:pPr>
              <w:spacing w:after="160" w:line="259" w:lineRule="auto"/>
              <w:rPr>
                <w:rFonts w:ascii="Arial" w:hAnsi="Arial" w:cs="Arial"/>
              </w:rPr>
            </w:pPr>
            <w:r w:rsidRPr="00377D4E">
              <w:rPr>
                <w:rFonts w:ascii="Arial" w:hAnsi="Arial" w:cs="Arial"/>
              </w:rPr>
              <w:t>↑ due to savings and stable yields</w:t>
            </w:r>
          </w:p>
        </w:tc>
        <w:tc>
          <w:tcPr>
            <w:tcW w:w="0" w:type="auto"/>
            <w:hideMark/>
          </w:tcPr>
          <w:p w14:paraId="53C0B7AA" w14:textId="77777777" w:rsidR="00B65CA5" w:rsidRPr="00377D4E" w:rsidRDefault="00B65CA5" w:rsidP="007823D7">
            <w:pPr>
              <w:spacing w:after="160" w:line="259" w:lineRule="auto"/>
              <w:rPr>
                <w:rFonts w:ascii="Arial" w:hAnsi="Arial" w:cs="Arial"/>
              </w:rPr>
            </w:pPr>
            <w:r w:rsidRPr="00377D4E">
              <w:rPr>
                <w:rFonts w:ascii="Arial" w:hAnsi="Arial" w:cs="Arial"/>
              </w:rPr>
              <w:t>Empirical trials in Andhra Pradesh</w:t>
            </w:r>
          </w:p>
        </w:tc>
      </w:tr>
      <w:tr w:rsidR="00B65CA5" w:rsidRPr="00377D4E" w14:paraId="0AF8EE05" w14:textId="77777777" w:rsidTr="007823D7">
        <w:tc>
          <w:tcPr>
            <w:tcW w:w="0" w:type="auto"/>
            <w:hideMark/>
          </w:tcPr>
          <w:p w14:paraId="3B734DC1" w14:textId="77777777" w:rsidR="00B65CA5" w:rsidRPr="00377D4E" w:rsidRDefault="00B65CA5" w:rsidP="007823D7">
            <w:pPr>
              <w:spacing w:after="160" w:line="259" w:lineRule="auto"/>
              <w:rPr>
                <w:rFonts w:ascii="Arial" w:hAnsi="Arial" w:cs="Arial"/>
              </w:rPr>
            </w:pPr>
            <w:r w:rsidRPr="00377D4E">
              <w:rPr>
                <w:rFonts w:ascii="Arial" w:hAnsi="Arial" w:cs="Arial"/>
              </w:rPr>
              <w:t>East Asia (Fukuoka, Japan)</w:t>
            </w:r>
          </w:p>
        </w:tc>
        <w:tc>
          <w:tcPr>
            <w:tcW w:w="0" w:type="auto"/>
            <w:hideMark/>
          </w:tcPr>
          <w:p w14:paraId="517AB5A9" w14:textId="77777777" w:rsidR="00B65CA5" w:rsidRPr="00377D4E" w:rsidRDefault="00B65CA5" w:rsidP="007823D7">
            <w:pPr>
              <w:spacing w:after="160" w:line="259" w:lineRule="auto"/>
              <w:rPr>
                <w:rFonts w:ascii="Arial" w:hAnsi="Arial" w:cs="Arial"/>
              </w:rPr>
            </w:pPr>
            <w:r w:rsidRPr="00377D4E">
              <w:rPr>
                <w:rFonts w:ascii="Arial" w:hAnsi="Arial" w:cs="Arial"/>
              </w:rPr>
              <w:t>Stable long-term yields; slightly lower than intensive systems</w:t>
            </w:r>
          </w:p>
        </w:tc>
        <w:tc>
          <w:tcPr>
            <w:tcW w:w="0" w:type="auto"/>
            <w:hideMark/>
          </w:tcPr>
          <w:p w14:paraId="6B97F859" w14:textId="77777777" w:rsidR="00B65CA5" w:rsidRPr="00377D4E" w:rsidRDefault="00B65CA5" w:rsidP="007823D7">
            <w:pPr>
              <w:spacing w:after="160" w:line="259" w:lineRule="auto"/>
              <w:rPr>
                <w:rFonts w:ascii="Arial" w:hAnsi="Arial" w:cs="Arial"/>
              </w:rPr>
            </w:pPr>
            <w:r w:rsidRPr="00377D4E">
              <w:rPr>
                <w:rFonts w:ascii="Arial" w:hAnsi="Arial" w:cs="Arial"/>
              </w:rPr>
              <w:t>Very low</w:t>
            </w:r>
          </w:p>
        </w:tc>
        <w:tc>
          <w:tcPr>
            <w:tcW w:w="0" w:type="auto"/>
            <w:hideMark/>
          </w:tcPr>
          <w:p w14:paraId="401F5403" w14:textId="77777777" w:rsidR="00B65CA5" w:rsidRPr="00377D4E" w:rsidRDefault="00B65CA5" w:rsidP="007823D7">
            <w:pPr>
              <w:spacing w:after="160" w:line="259" w:lineRule="auto"/>
              <w:rPr>
                <w:rFonts w:ascii="Arial" w:hAnsi="Arial" w:cs="Arial"/>
              </w:rPr>
            </w:pPr>
            <w:r w:rsidRPr="00377D4E">
              <w:rPr>
                <w:rFonts w:ascii="Arial" w:hAnsi="Arial" w:cs="Arial"/>
              </w:rPr>
              <w:t>↑ due to reduced labour and inputs</w:t>
            </w:r>
          </w:p>
        </w:tc>
        <w:tc>
          <w:tcPr>
            <w:tcW w:w="0" w:type="auto"/>
            <w:hideMark/>
          </w:tcPr>
          <w:p w14:paraId="0CE6BD4D" w14:textId="77777777" w:rsidR="00B65CA5" w:rsidRPr="00377D4E" w:rsidRDefault="00B65CA5" w:rsidP="007823D7">
            <w:pPr>
              <w:spacing w:after="160" w:line="259" w:lineRule="auto"/>
              <w:rPr>
                <w:rFonts w:ascii="Arial" w:hAnsi="Arial" w:cs="Arial"/>
              </w:rPr>
            </w:pPr>
            <w:r w:rsidRPr="00377D4E">
              <w:rPr>
                <w:rFonts w:ascii="Arial" w:hAnsi="Arial" w:cs="Arial"/>
              </w:rPr>
              <w:t>Long-term rice-barley records</w:t>
            </w:r>
          </w:p>
        </w:tc>
      </w:tr>
      <w:tr w:rsidR="00B65CA5" w:rsidRPr="00377D4E" w14:paraId="664DC913" w14:textId="77777777" w:rsidTr="007823D7">
        <w:tc>
          <w:tcPr>
            <w:tcW w:w="0" w:type="auto"/>
            <w:hideMark/>
          </w:tcPr>
          <w:p w14:paraId="0ACFEE64" w14:textId="77777777" w:rsidR="00B65CA5" w:rsidRPr="00377D4E" w:rsidRDefault="00B65CA5" w:rsidP="007823D7">
            <w:pPr>
              <w:spacing w:after="160" w:line="259" w:lineRule="auto"/>
              <w:rPr>
                <w:rFonts w:ascii="Arial" w:hAnsi="Arial" w:cs="Arial"/>
              </w:rPr>
            </w:pPr>
            <w:r w:rsidRPr="00377D4E">
              <w:rPr>
                <w:rFonts w:ascii="Arial" w:hAnsi="Arial" w:cs="Arial"/>
              </w:rPr>
              <w:t>Latin America (Agroecology)</w:t>
            </w:r>
          </w:p>
        </w:tc>
        <w:tc>
          <w:tcPr>
            <w:tcW w:w="0" w:type="auto"/>
            <w:hideMark/>
          </w:tcPr>
          <w:p w14:paraId="65F92B1F" w14:textId="77777777" w:rsidR="00B65CA5" w:rsidRPr="00377D4E" w:rsidRDefault="00B65CA5" w:rsidP="007823D7">
            <w:pPr>
              <w:spacing w:after="160" w:line="259" w:lineRule="auto"/>
              <w:rPr>
                <w:rFonts w:ascii="Arial" w:hAnsi="Arial" w:cs="Arial"/>
              </w:rPr>
            </w:pPr>
            <w:r w:rsidRPr="00377D4E">
              <w:rPr>
                <w:rFonts w:ascii="Arial" w:hAnsi="Arial" w:cs="Arial"/>
              </w:rPr>
              <w:t>Comparable yields in vegetables; ↑ in perennials (cacao, coffee)</w:t>
            </w:r>
          </w:p>
        </w:tc>
        <w:tc>
          <w:tcPr>
            <w:tcW w:w="0" w:type="auto"/>
            <w:hideMark/>
          </w:tcPr>
          <w:p w14:paraId="22F83854" w14:textId="77777777" w:rsidR="00B65CA5" w:rsidRPr="00377D4E" w:rsidRDefault="00B65CA5" w:rsidP="007823D7">
            <w:pPr>
              <w:spacing w:after="160" w:line="259" w:lineRule="auto"/>
              <w:rPr>
                <w:rFonts w:ascii="Arial" w:hAnsi="Arial" w:cs="Arial"/>
              </w:rPr>
            </w:pPr>
            <w:r w:rsidRPr="00377D4E">
              <w:rPr>
                <w:rFonts w:ascii="Arial" w:hAnsi="Arial" w:cs="Arial"/>
              </w:rPr>
              <w:t>↓ 40–60%</w:t>
            </w:r>
          </w:p>
        </w:tc>
        <w:tc>
          <w:tcPr>
            <w:tcW w:w="0" w:type="auto"/>
            <w:hideMark/>
          </w:tcPr>
          <w:p w14:paraId="2795AFDB" w14:textId="77777777" w:rsidR="00B65CA5" w:rsidRPr="00377D4E" w:rsidRDefault="00B65CA5" w:rsidP="007823D7">
            <w:pPr>
              <w:spacing w:after="160" w:line="259" w:lineRule="auto"/>
              <w:rPr>
                <w:rFonts w:ascii="Arial" w:hAnsi="Arial" w:cs="Arial"/>
              </w:rPr>
            </w:pPr>
            <w:r w:rsidRPr="00377D4E">
              <w:rPr>
                <w:rFonts w:ascii="Arial" w:hAnsi="Arial" w:cs="Arial"/>
              </w:rPr>
              <w:t>↑ with income diversification</w:t>
            </w:r>
          </w:p>
        </w:tc>
        <w:tc>
          <w:tcPr>
            <w:tcW w:w="0" w:type="auto"/>
            <w:hideMark/>
          </w:tcPr>
          <w:p w14:paraId="34882705" w14:textId="77777777" w:rsidR="00B65CA5" w:rsidRPr="00377D4E" w:rsidRDefault="00B65CA5" w:rsidP="007823D7">
            <w:pPr>
              <w:spacing w:after="160" w:line="259" w:lineRule="auto"/>
              <w:rPr>
                <w:rFonts w:ascii="Arial" w:hAnsi="Arial" w:cs="Arial"/>
              </w:rPr>
            </w:pPr>
            <w:r w:rsidRPr="00377D4E">
              <w:rPr>
                <w:rFonts w:ascii="Arial" w:hAnsi="Arial" w:cs="Arial"/>
              </w:rPr>
              <w:t>Cuba (urban farming), Brazil (agroforestry)</w:t>
            </w:r>
          </w:p>
        </w:tc>
      </w:tr>
    </w:tbl>
    <w:p w14:paraId="330D083A" w14:textId="77777777" w:rsidR="008D063F" w:rsidRPr="00377D4E" w:rsidRDefault="008D063F" w:rsidP="00B65CA5">
      <w:pPr>
        <w:rPr>
          <w:rFonts w:ascii="Arial" w:hAnsi="Arial" w:cs="Arial"/>
          <w:b/>
          <w:bCs/>
        </w:rPr>
      </w:pPr>
    </w:p>
    <w:p w14:paraId="7EA66453" w14:textId="704F7373" w:rsidR="00B65CA5" w:rsidRPr="00377D4E" w:rsidRDefault="00B65CA5" w:rsidP="00B65CA5">
      <w:pPr>
        <w:rPr>
          <w:rFonts w:ascii="Arial" w:hAnsi="Arial" w:cs="Arial"/>
          <w:b/>
          <w:bCs/>
        </w:rPr>
      </w:pPr>
      <w:r w:rsidRPr="00377D4E">
        <w:rPr>
          <w:rFonts w:ascii="Arial" w:hAnsi="Arial" w:cs="Arial"/>
          <w:b/>
          <w:bCs/>
        </w:rPr>
        <w:t>Table 5. Socio-Economic Impacts of Natural Farming</w:t>
      </w:r>
    </w:p>
    <w:tbl>
      <w:tblPr>
        <w:tblStyle w:val="TableGrid"/>
        <w:tblW w:w="0" w:type="auto"/>
        <w:tblInd w:w="-5" w:type="dxa"/>
        <w:tblLook w:val="04A0" w:firstRow="1" w:lastRow="0" w:firstColumn="1" w:lastColumn="0" w:noHBand="0" w:noVBand="1"/>
      </w:tblPr>
      <w:tblGrid>
        <w:gridCol w:w="1566"/>
        <w:gridCol w:w="2190"/>
        <w:gridCol w:w="2532"/>
        <w:gridCol w:w="2733"/>
      </w:tblGrid>
      <w:tr w:rsidR="00B65CA5" w:rsidRPr="00377D4E" w14:paraId="49EA51DA" w14:textId="77777777" w:rsidTr="007823D7">
        <w:tc>
          <w:tcPr>
            <w:tcW w:w="0" w:type="auto"/>
            <w:hideMark/>
          </w:tcPr>
          <w:p w14:paraId="5063CED8"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Indicator</w:t>
            </w:r>
          </w:p>
        </w:tc>
        <w:tc>
          <w:tcPr>
            <w:tcW w:w="0" w:type="auto"/>
            <w:hideMark/>
          </w:tcPr>
          <w:p w14:paraId="200316B4"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South Asia (ZBNF)</w:t>
            </w:r>
          </w:p>
        </w:tc>
        <w:tc>
          <w:tcPr>
            <w:tcW w:w="0" w:type="auto"/>
            <w:hideMark/>
          </w:tcPr>
          <w:p w14:paraId="318AAFE3"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East Asia (Fukuoka)</w:t>
            </w:r>
          </w:p>
        </w:tc>
        <w:tc>
          <w:tcPr>
            <w:tcW w:w="0" w:type="auto"/>
            <w:hideMark/>
          </w:tcPr>
          <w:p w14:paraId="308A6FA8"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Latin America (Agroecology)</w:t>
            </w:r>
          </w:p>
        </w:tc>
      </w:tr>
      <w:tr w:rsidR="00B65CA5" w:rsidRPr="00377D4E" w14:paraId="5724F577" w14:textId="77777777" w:rsidTr="007823D7">
        <w:trPr>
          <w:trHeight w:val="660"/>
        </w:trPr>
        <w:tc>
          <w:tcPr>
            <w:tcW w:w="0" w:type="auto"/>
            <w:hideMark/>
          </w:tcPr>
          <w:p w14:paraId="3D52FF86" w14:textId="77777777" w:rsidR="00B65CA5" w:rsidRPr="00377D4E" w:rsidRDefault="00B65CA5" w:rsidP="007823D7">
            <w:pPr>
              <w:spacing w:after="160" w:line="259" w:lineRule="auto"/>
              <w:rPr>
                <w:rFonts w:ascii="Arial" w:hAnsi="Arial" w:cs="Arial"/>
              </w:rPr>
            </w:pPr>
            <w:r w:rsidRPr="00377D4E">
              <w:rPr>
                <w:rFonts w:ascii="Arial" w:hAnsi="Arial" w:cs="Arial"/>
              </w:rPr>
              <w:t>Farmer Debt Levels</w:t>
            </w:r>
          </w:p>
        </w:tc>
        <w:tc>
          <w:tcPr>
            <w:tcW w:w="0" w:type="auto"/>
            <w:hideMark/>
          </w:tcPr>
          <w:p w14:paraId="34217DAA" w14:textId="77777777" w:rsidR="00B65CA5" w:rsidRPr="00377D4E" w:rsidRDefault="00B65CA5" w:rsidP="007823D7">
            <w:pPr>
              <w:spacing w:after="160" w:line="259" w:lineRule="auto"/>
              <w:rPr>
                <w:rFonts w:ascii="Arial" w:hAnsi="Arial" w:cs="Arial"/>
              </w:rPr>
            </w:pPr>
            <w:r w:rsidRPr="00377D4E">
              <w:rPr>
                <w:rFonts w:ascii="Arial" w:hAnsi="Arial" w:cs="Arial"/>
              </w:rPr>
              <w:t>↓ significantly due to low input reliance</w:t>
            </w:r>
          </w:p>
        </w:tc>
        <w:tc>
          <w:tcPr>
            <w:tcW w:w="0" w:type="auto"/>
            <w:hideMark/>
          </w:tcPr>
          <w:p w14:paraId="03DEAF43" w14:textId="77777777" w:rsidR="00B65CA5" w:rsidRPr="00377D4E" w:rsidRDefault="00B65CA5" w:rsidP="007823D7">
            <w:pPr>
              <w:spacing w:after="160" w:line="259" w:lineRule="auto"/>
              <w:rPr>
                <w:rFonts w:ascii="Arial" w:hAnsi="Arial" w:cs="Arial"/>
              </w:rPr>
            </w:pPr>
            <w:r w:rsidRPr="00377D4E">
              <w:rPr>
                <w:rFonts w:ascii="Arial" w:hAnsi="Arial" w:cs="Arial"/>
              </w:rPr>
              <w:t>N/A (less relevant in Japanese context)</w:t>
            </w:r>
          </w:p>
        </w:tc>
        <w:tc>
          <w:tcPr>
            <w:tcW w:w="0" w:type="auto"/>
            <w:hideMark/>
          </w:tcPr>
          <w:p w14:paraId="10F66247" w14:textId="77777777" w:rsidR="00B65CA5" w:rsidRPr="00377D4E" w:rsidRDefault="00B65CA5" w:rsidP="007823D7">
            <w:pPr>
              <w:spacing w:after="160" w:line="259" w:lineRule="auto"/>
              <w:rPr>
                <w:rFonts w:ascii="Arial" w:hAnsi="Arial" w:cs="Arial"/>
              </w:rPr>
            </w:pPr>
            <w:r w:rsidRPr="00377D4E">
              <w:rPr>
                <w:rFonts w:ascii="Arial" w:hAnsi="Arial" w:cs="Arial"/>
              </w:rPr>
              <w:t>↓ through cooperative structures and collective markets</w:t>
            </w:r>
          </w:p>
        </w:tc>
      </w:tr>
      <w:tr w:rsidR="00B65CA5" w:rsidRPr="00377D4E" w14:paraId="0402B7A7" w14:textId="77777777" w:rsidTr="007823D7">
        <w:trPr>
          <w:trHeight w:val="618"/>
        </w:trPr>
        <w:tc>
          <w:tcPr>
            <w:tcW w:w="0" w:type="auto"/>
            <w:hideMark/>
          </w:tcPr>
          <w:p w14:paraId="3FE9AE7F" w14:textId="77777777" w:rsidR="00B65CA5" w:rsidRPr="00377D4E" w:rsidRDefault="00B65CA5" w:rsidP="007823D7">
            <w:pPr>
              <w:spacing w:after="160" w:line="259" w:lineRule="auto"/>
              <w:rPr>
                <w:rFonts w:ascii="Arial" w:hAnsi="Arial" w:cs="Arial"/>
              </w:rPr>
            </w:pPr>
            <w:r w:rsidRPr="00377D4E">
              <w:rPr>
                <w:rFonts w:ascii="Arial" w:hAnsi="Arial" w:cs="Arial"/>
              </w:rPr>
              <w:t>Household Income</w:t>
            </w:r>
          </w:p>
        </w:tc>
        <w:tc>
          <w:tcPr>
            <w:tcW w:w="0" w:type="auto"/>
            <w:hideMark/>
          </w:tcPr>
          <w:p w14:paraId="02D816EE" w14:textId="77777777" w:rsidR="00B65CA5" w:rsidRPr="00377D4E" w:rsidRDefault="00B65CA5" w:rsidP="007823D7">
            <w:pPr>
              <w:spacing w:after="160" w:line="259" w:lineRule="auto"/>
              <w:rPr>
                <w:rFonts w:ascii="Arial" w:hAnsi="Arial" w:cs="Arial"/>
              </w:rPr>
            </w:pPr>
            <w:r w:rsidRPr="00377D4E">
              <w:rPr>
                <w:rFonts w:ascii="Arial" w:hAnsi="Arial" w:cs="Arial"/>
              </w:rPr>
              <w:t>↑ from reduced costs and stable yields</w:t>
            </w:r>
          </w:p>
        </w:tc>
        <w:tc>
          <w:tcPr>
            <w:tcW w:w="0" w:type="auto"/>
            <w:hideMark/>
          </w:tcPr>
          <w:p w14:paraId="36F4654E" w14:textId="77777777" w:rsidR="00B65CA5" w:rsidRPr="00377D4E" w:rsidRDefault="00B65CA5" w:rsidP="007823D7">
            <w:pPr>
              <w:spacing w:after="160" w:line="259" w:lineRule="auto"/>
              <w:rPr>
                <w:rFonts w:ascii="Arial" w:hAnsi="Arial" w:cs="Arial"/>
              </w:rPr>
            </w:pPr>
            <w:r w:rsidRPr="00377D4E">
              <w:rPr>
                <w:rFonts w:ascii="Arial" w:hAnsi="Arial" w:cs="Arial"/>
              </w:rPr>
              <w:t>↑ via livelihood sufficiency, not maximization</w:t>
            </w:r>
          </w:p>
        </w:tc>
        <w:tc>
          <w:tcPr>
            <w:tcW w:w="0" w:type="auto"/>
            <w:hideMark/>
          </w:tcPr>
          <w:p w14:paraId="58DF27B2" w14:textId="77777777" w:rsidR="00B65CA5" w:rsidRPr="00377D4E" w:rsidRDefault="00B65CA5" w:rsidP="007823D7">
            <w:pPr>
              <w:spacing w:after="160" w:line="259" w:lineRule="auto"/>
              <w:rPr>
                <w:rFonts w:ascii="Arial" w:hAnsi="Arial" w:cs="Arial"/>
              </w:rPr>
            </w:pPr>
            <w:r w:rsidRPr="00377D4E">
              <w:rPr>
                <w:rFonts w:ascii="Arial" w:hAnsi="Arial" w:cs="Arial"/>
              </w:rPr>
              <w:t>↑ from income diversification and local food markets</w:t>
            </w:r>
          </w:p>
        </w:tc>
      </w:tr>
      <w:tr w:rsidR="00B65CA5" w:rsidRPr="00377D4E" w14:paraId="13EADDCD" w14:textId="77777777" w:rsidTr="007823D7">
        <w:trPr>
          <w:trHeight w:val="846"/>
        </w:trPr>
        <w:tc>
          <w:tcPr>
            <w:tcW w:w="0" w:type="auto"/>
            <w:hideMark/>
          </w:tcPr>
          <w:p w14:paraId="774C28ED" w14:textId="77777777" w:rsidR="00B65CA5" w:rsidRPr="00377D4E" w:rsidRDefault="00B65CA5" w:rsidP="007823D7">
            <w:pPr>
              <w:spacing w:after="160" w:line="259" w:lineRule="auto"/>
              <w:rPr>
                <w:rFonts w:ascii="Arial" w:hAnsi="Arial" w:cs="Arial"/>
              </w:rPr>
            </w:pPr>
            <w:r w:rsidRPr="00377D4E">
              <w:rPr>
                <w:rFonts w:ascii="Arial" w:hAnsi="Arial" w:cs="Arial"/>
              </w:rPr>
              <w:t>Gender Dynamics</w:t>
            </w:r>
          </w:p>
        </w:tc>
        <w:tc>
          <w:tcPr>
            <w:tcW w:w="0" w:type="auto"/>
            <w:hideMark/>
          </w:tcPr>
          <w:p w14:paraId="3FCB1332" w14:textId="77777777" w:rsidR="00B65CA5" w:rsidRPr="00377D4E" w:rsidRDefault="00B65CA5" w:rsidP="007823D7">
            <w:pPr>
              <w:spacing w:after="160" w:line="259" w:lineRule="auto"/>
              <w:rPr>
                <w:rFonts w:ascii="Arial" w:hAnsi="Arial" w:cs="Arial"/>
              </w:rPr>
            </w:pPr>
            <w:r w:rsidRPr="00377D4E">
              <w:rPr>
                <w:rFonts w:ascii="Arial" w:hAnsi="Arial" w:cs="Arial"/>
              </w:rPr>
              <w:t>Some evidence of women-led farmer groups</w:t>
            </w:r>
          </w:p>
        </w:tc>
        <w:tc>
          <w:tcPr>
            <w:tcW w:w="0" w:type="auto"/>
            <w:hideMark/>
          </w:tcPr>
          <w:p w14:paraId="6CAC2BD2" w14:textId="77777777" w:rsidR="00B65CA5" w:rsidRPr="00377D4E" w:rsidRDefault="00B65CA5" w:rsidP="007823D7">
            <w:pPr>
              <w:spacing w:after="160" w:line="259" w:lineRule="auto"/>
              <w:rPr>
                <w:rFonts w:ascii="Arial" w:hAnsi="Arial" w:cs="Arial"/>
              </w:rPr>
            </w:pPr>
            <w:r w:rsidRPr="00377D4E">
              <w:rPr>
                <w:rFonts w:ascii="Arial" w:hAnsi="Arial" w:cs="Arial"/>
              </w:rPr>
              <w:t>Not central</w:t>
            </w:r>
          </w:p>
        </w:tc>
        <w:tc>
          <w:tcPr>
            <w:tcW w:w="0" w:type="auto"/>
            <w:hideMark/>
          </w:tcPr>
          <w:p w14:paraId="2419FC25" w14:textId="77777777" w:rsidR="00B65CA5" w:rsidRPr="00377D4E" w:rsidRDefault="00B65CA5" w:rsidP="007823D7">
            <w:pPr>
              <w:spacing w:after="160" w:line="259" w:lineRule="auto"/>
              <w:rPr>
                <w:rFonts w:ascii="Arial" w:hAnsi="Arial" w:cs="Arial"/>
              </w:rPr>
            </w:pPr>
            <w:r w:rsidRPr="00377D4E">
              <w:rPr>
                <w:rFonts w:ascii="Arial" w:hAnsi="Arial" w:cs="Arial"/>
              </w:rPr>
              <w:t>Strong involvement of women in cooperatives (e.g., Brazil)</w:t>
            </w:r>
          </w:p>
        </w:tc>
      </w:tr>
      <w:tr w:rsidR="00B65CA5" w:rsidRPr="00377D4E" w14:paraId="162240FD" w14:textId="77777777" w:rsidTr="007823D7">
        <w:tc>
          <w:tcPr>
            <w:tcW w:w="0" w:type="auto"/>
            <w:hideMark/>
          </w:tcPr>
          <w:p w14:paraId="344BCA74" w14:textId="77777777" w:rsidR="00B65CA5" w:rsidRPr="00377D4E" w:rsidRDefault="00B65CA5" w:rsidP="007823D7">
            <w:pPr>
              <w:spacing w:after="160" w:line="259" w:lineRule="auto"/>
              <w:rPr>
                <w:rFonts w:ascii="Arial" w:hAnsi="Arial" w:cs="Arial"/>
              </w:rPr>
            </w:pPr>
            <w:r w:rsidRPr="00377D4E">
              <w:rPr>
                <w:rFonts w:ascii="Arial" w:hAnsi="Arial" w:cs="Arial"/>
              </w:rPr>
              <w:t>Food Sovereignty</w:t>
            </w:r>
          </w:p>
        </w:tc>
        <w:tc>
          <w:tcPr>
            <w:tcW w:w="0" w:type="auto"/>
            <w:hideMark/>
          </w:tcPr>
          <w:p w14:paraId="5AA29AD5" w14:textId="77777777" w:rsidR="00B65CA5" w:rsidRPr="00377D4E" w:rsidRDefault="00B65CA5" w:rsidP="007823D7">
            <w:pPr>
              <w:spacing w:after="160" w:line="259" w:lineRule="auto"/>
              <w:rPr>
                <w:rFonts w:ascii="Arial" w:hAnsi="Arial" w:cs="Arial"/>
              </w:rPr>
            </w:pPr>
            <w:r w:rsidRPr="00377D4E">
              <w:rPr>
                <w:rFonts w:ascii="Arial" w:hAnsi="Arial" w:cs="Arial"/>
              </w:rPr>
              <w:t>Limited (still market-oriented)</w:t>
            </w:r>
          </w:p>
        </w:tc>
        <w:tc>
          <w:tcPr>
            <w:tcW w:w="0" w:type="auto"/>
            <w:hideMark/>
          </w:tcPr>
          <w:p w14:paraId="2B1ABD4A" w14:textId="77777777" w:rsidR="00B65CA5" w:rsidRPr="00377D4E" w:rsidRDefault="00B65CA5" w:rsidP="007823D7">
            <w:pPr>
              <w:spacing w:after="160" w:line="259" w:lineRule="auto"/>
              <w:rPr>
                <w:rFonts w:ascii="Arial" w:hAnsi="Arial" w:cs="Arial"/>
              </w:rPr>
            </w:pPr>
            <w:r w:rsidRPr="00377D4E">
              <w:rPr>
                <w:rFonts w:ascii="Arial" w:hAnsi="Arial" w:cs="Arial"/>
              </w:rPr>
              <w:t>Not emphasized</w:t>
            </w:r>
          </w:p>
        </w:tc>
        <w:tc>
          <w:tcPr>
            <w:tcW w:w="0" w:type="auto"/>
            <w:hideMark/>
          </w:tcPr>
          <w:p w14:paraId="3BDC868A" w14:textId="77777777" w:rsidR="00B65CA5" w:rsidRPr="00377D4E" w:rsidRDefault="00B65CA5" w:rsidP="007823D7">
            <w:pPr>
              <w:spacing w:after="160" w:line="259" w:lineRule="auto"/>
              <w:rPr>
                <w:rFonts w:ascii="Arial" w:hAnsi="Arial" w:cs="Arial"/>
              </w:rPr>
            </w:pPr>
            <w:r w:rsidRPr="00377D4E">
              <w:rPr>
                <w:rFonts w:ascii="Arial" w:hAnsi="Arial" w:cs="Arial"/>
              </w:rPr>
              <w:t>Strong emphasis; community-driven transitions</w:t>
            </w:r>
          </w:p>
        </w:tc>
      </w:tr>
      <w:tr w:rsidR="00B65CA5" w:rsidRPr="00377D4E" w14:paraId="75A413A4" w14:textId="77777777" w:rsidTr="007823D7">
        <w:trPr>
          <w:trHeight w:val="336"/>
        </w:trPr>
        <w:tc>
          <w:tcPr>
            <w:tcW w:w="0" w:type="auto"/>
            <w:hideMark/>
          </w:tcPr>
          <w:p w14:paraId="3B23F01E" w14:textId="77777777" w:rsidR="00B65CA5" w:rsidRPr="00377D4E" w:rsidRDefault="00B65CA5" w:rsidP="007823D7">
            <w:pPr>
              <w:spacing w:after="160" w:line="259" w:lineRule="auto"/>
              <w:rPr>
                <w:rFonts w:ascii="Arial" w:hAnsi="Arial" w:cs="Arial"/>
              </w:rPr>
            </w:pPr>
            <w:r w:rsidRPr="00377D4E">
              <w:rPr>
                <w:rFonts w:ascii="Arial" w:hAnsi="Arial" w:cs="Arial"/>
              </w:rPr>
              <w:t>Farmer Autonomy</w:t>
            </w:r>
          </w:p>
        </w:tc>
        <w:tc>
          <w:tcPr>
            <w:tcW w:w="0" w:type="auto"/>
            <w:hideMark/>
          </w:tcPr>
          <w:p w14:paraId="6CBF904E" w14:textId="77777777" w:rsidR="00B65CA5" w:rsidRPr="00377D4E" w:rsidRDefault="00B65CA5" w:rsidP="007823D7">
            <w:pPr>
              <w:spacing w:after="160" w:line="259" w:lineRule="auto"/>
              <w:rPr>
                <w:rFonts w:ascii="Arial" w:hAnsi="Arial" w:cs="Arial"/>
              </w:rPr>
            </w:pPr>
            <w:r w:rsidRPr="00377D4E">
              <w:rPr>
                <w:rFonts w:ascii="Arial" w:hAnsi="Arial" w:cs="Arial"/>
              </w:rPr>
              <w:t>↑ reduced dependence on external inputs</w:t>
            </w:r>
          </w:p>
        </w:tc>
        <w:tc>
          <w:tcPr>
            <w:tcW w:w="0" w:type="auto"/>
            <w:hideMark/>
          </w:tcPr>
          <w:p w14:paraId="0C0FDF46" w14:textId="77777777" w:rsidR="00B65CA5" w:rsidRPr="00377D4E" w:rsidRDefault="00B65CA5" w:rsidP="007823D7">
            <w:pPr>
              <w:spacing w:after="160" w:line="259" w:lineRule="auto"/>
              <w:rPr>
                <w:rFonts w:ascii="Arial" w:hAnsi="Arial" w:cs="Arial"/>
              </w:rPr>
            </w:pPr>
            <w:r w:rsidRPr="00377D4E">
              <w:rPr>
                <w:rFonts w:ascii="Arial" w:hAnsi="Arial" w:cs="Arial"/>
              </w:rPr>
              <w:t>↑ philosophical independence from industrial systems</w:t>
            </w:r>
          </w:p>
        </w:tc>
        <w:tc>
          <w:tcPr>
            <w:tcW w:w="0" w:type="auto"/>
            <w:hideMark/>
          </w:tcPr>
          <w:p w14:paraId="57F5394D" w14:textId="77777777" w:rsidR="00B65CA5" w:rsidRPr="00377D4E" w:rsidRDefault="00B65CA5" w:rsidP="007823D7">
            <w:pPr>
              <w:spacing w:after="160" w:line="259" w:lineRule="auto"/>
              <w:rPr>
                <w:rFonts w:ascii="Arial" w:hAnsi="Arial" w:cs="Arial"/>
              </w:rPr>
            </w:pPr>
            <w:r w:rsidRPr="00377D4E">
              <w:rPr>
                <w:rFonts w:ascii="Arial" w:hAnsi="Arial" w:cs="Arial"/>
              </w:rPr>
              <w:t>↑ collective empowerment through farmer networks</w:t>
            </w:r>
          </w:p>
        </w:tc>
      </w:tr>
    </w:tbl>
    <w:p w14:paraId="32925E29" w14:textId="77777777" w:rsidR="00B65CA5" w:rsidRPr="00377D4E" w:rsidRDefault="00B65CA5" w:rsidP="00B65CA5">
      <w:pPr>
        <w:rPr>
          <w:rFonts w:ascii="Arial" w:hAnsi="Arial" w:cs="Arial"/>
        </w:rPr>
      </w:pPr>
    </w:p>
    <w:p w14:paraId="34330DCE" w14:textId="77777777" w:rsidR="00B65CA5" w:rsidRPr="00377D4E" w:rsidRDefault="00B65CA5" w:rsidP="00B65CA5">
      <w:pPr>
        <w:rPr>
          <w:rFonts w:ascii="Arial" w:hAnsi="Arial" w:cs="Arial"/>
          <w:b/>
          <w:bCs/>
        </w:rPr>
      </w:pPr>
      <w:r w:rsidRPr="00377D4E">
        <w:rPr>
          <w:rFonts w:ascii="Arial" w:hAnsi="Arial" w:cs="Arial"/>
          <w:b/>
          <w:bCs/>
        </w:rPr>
        <w:br w:type="page"/>
      </w:r>
    </w:p>
    <w:p w14:paraId="25A5798B" w14:textId="77777777" w:rsidR="00B65CA5" w:rsidRPr="00377D4E" w:rsidRDefault="00B65CA5" w:rsidP="00B65CA5">
      <w:pPr>
        <w:rPr>
          <w:rFonts w:ascii="Arial" w:hAnsi="Arial" w:cs="Arial"/>
          <w:b/>
          <w:bCs/>
        </w:rPr>
      </w:pPr>
      <w:r w:rsidRPr="00377D4E">
        <w:rPr>
          <w:rFonts w:ascii="Arial" w:hAnsi="Arial" w:cs="Arial"/>
          <w:b/>
          <w:bCs/>
        </w:rPr>
        <w:lastRenderedPageBreak/>
        <w:t>Table 6. Barriers and Enablers of Natural Farming Adoption</w:t>
      </w:r>
    </w:p>
    <w:tbl>
      <w:tblPr>
        <w:tblStyle w:val="TableGrid"/>
        <w:tblW w:w="0" w:type="auto"/>
        <w:tblLook w:val="04A0" w:firstRow="1" w:lastRow="0" w:firstColumn="1" w:lastColumn="0" w:noHBand="0" w:noVBand="1"/>
      </w:tblPr>
      <w:tblGrid>
        <w:gridCol w:w="1496"/>
        <w:gridCol w:w="3537"/>
        <w:gridCol w:w="3983"/>
      </w:tblGrid>
      <w:tr w:rsidR="00B65CA5" w:rsidRPr="00377D4E" w14:paraId="693B0DC1" w14:textId="77777777" w:rsidTr="007823D7">
        <w:tc>
          <w:tcPr>
            <w:tcW w:w="0" w:type="auto"/>
            <w:hideMark/>
          </w:tcPr>
          <w:p w14:paraId="58349DF0"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Category</w:t>
            </w:r>
          </w:p>
        </w:tc>
        <w:tc>
          <w:tcPr>
            <w:tcW w:w="0" w:type="auto"/>
            <w:hideMark/>
          </w:tcPr>
          <w:p w14:paraId="759BF539"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Barriers</w:t>
            </w:r>
          </w:p>
        </w:tc>
        <w:tc>
          <w:tcPr>
            <w:tcW w:w="0" w:type="auto"/>
            <w:hideMark/>
          </w:tcPr>
          <w:p w14:paraId="7B1B8144" w14:textId="77777777" w:rsidR="00B65CA5" w:rsidRPr="00377D4E" w:rsidRDefault="00B65CA5" w:rsidP="007823D7">
            <w:pPr>
              <w:spacing w:after="160" w:line="259" w:lineRule="auto"/>
              <w:rPr>
                <w:rFonts w:ascii="Arial" w:hAnsi="Arial" w:cs="Arial"/>
                <w:b/>
                <w:bCs/>
              </w:rPr>
            </w:pPr>
            <w:r w:rsidRPr="00377D4E">
              <w:rPr>
                <w:rFonts w:ascii="Arial" w:hAnsi="Arial" w:cs="Arial"/>
                <w:b/>
                <w:bCs/>
              </w:rPr>
              <w:t>Enablers</w:t>
            </w:r>
          </w:p>
        </w:tc>
      </w:tr>
      <w:tr w:rsidR="00B65CA5" w:rsidRPr="00377D4E" w14:paraId="332DA292" w14:textId="77777777" w:rsidTr="007823D7">
        <w:tc>
          <w:tcPr>
            <w:tcW w:w="0" w:type="auto"/>
            <w:hideMark/>
          </w:tcPr>
          <w:p w14:paraId="198B8F4A" w14:textId="77777777" w:rsidR="00B65CA5" w:rsidRPr="00377D4E" w:rsidRDefault="00B65CA5" w:rsidP="007823D7">
            <w:pPr>
              <w:spacing w:after="160" w:line="259" w:lineRule="auto"/>
              <w:rPr>
                <w:rFonts w:ascii="Arial" w:hAnsi="Arial" w:cs="Arial"/>
              </w:rPr>
            </w:pPr>
            <w:r w:rsidRPr="00377D4E">
              <w:rPr>
                <w:rFonts w:ascii="Arial" w:hAnsi="Arial" w:cs="Arial"/>
              </w:rPr>
              <w:t>Policy</w:t>
            </w:r>
          </w:p>
        </w:tc>
        <w:tc>
          <w:tcPr>
            <w:tcW w:w="0" w:type="auto"/>
            <w:hideMark/>
          </w:tcPr>
          <w:p w14:paraId="1A04CC1F" w14:textId="77777777" w:rsidR="00B65CA5" w:rsidRPr="00377D4E" w:rsidRDefault="00B65CA5" w:rsidP="007823D7">
            <w:pPr>
              <w:spacing w:after="160" w:line="259" w:lineRule="auto"/>
              <w:rPr>
                <w:rFonts w:ascii="Arial" w:hAnsi="Arial" w:cs="Arial"/>
              </w:rPr>
            </w:pPr>
            <w:r w:rsidRPr="00377D4E">
              <w:rPr>
                <w:rFonts w:ascii="Arial" w:hAnsi="Arial" w:cs="Arial"/>
              </w:rPr>
              <w:t xml:space="preserve">Subsidies </w:t>
            </w:r>
            <w:proofErr w:type="spellStart"/>
            <w:r w:rsidRPr="00377D4E">
              <w:rPr>
                <w:rFonts w:ascii="Arial" w:hAnsi="Arial" w:cs="Arial"/>
              </w:rPr>
              <w:t>favoring</w:t>
            </w:r>
            <w:proofErr w:type="spellEnd"/>
            <w:r w:rsidRPr="00377D4E">
              <w:rPr>
                <w:rFonts w:ascii="Arial" w:hAnsi="Arial" w:cs="Arial"/>
              </w:rPr>
              <w:t xml:space="preserve"> fertilizers/pesticides</w:t>
            </w:r>
          </w:p>
        </w:tc>
        <w:tc>
          <w:tcPr>
            <w:tcW w:w="0" w:type="auto"/>
            <w:hideMark/>
          </w:tcPr>
          <w:p w14:paraId="45178A9E" w14:textId="77777777" w:rsidR="00B65CA5" w:rsidRPr="00377D4E" w:rsidRDefault="00B65CA5" w:rsidP="007823D7">
            <w:pPr>
              <w:spacing w:after="160" w:line="259" w:lineRule="auto"/>
              <w:rPr>
                <w:rFonts w:ascii="Arial" w:hAnsi="Arial" w:cs="Arial"/>
              </w:rPr>
            </w:pPr>
            <w:r w:rsidRPr="00377D4E">
              <w:rPr>
                <w:rFonts w:ascii="Arial" w:hAnsi="Arial" w:cs="Arial"/>
              </w:rPr>
              <w:t>Supportive state programs (e.g., Andhra Pradesh CMNF)</w:t>
            </w:r>
          </w:p>
        </w:tc>
      </w:tr>
      <w:tr w:rsidR="00B65CA5" w:rsidRPr="00377D4E" w14:paraId="77E824A8" w14:textId="77777777" w:rsidTr="007823D7">
        <w:tc>
          <w:tcPr>
            <w:tcW w:w="0" w:type="auto"/>
            <w:hideMark/>
          </w:tcPr>
          <w:p w14:paraId="78C28657" w14:textId="77777777" w:rsidR="00B65CA5" w:rsidRPr="00377D4E" w:rsidRDefault="00B65CA5" w:rsidP="007823D7">
            <w:pPr>
              <w:spacing w:after="160" w:line="259" w:lineRule="auto"/>
              <w:rPr>
                <w:rFonts w:ascii="Arial" w:hAnsi="Arial" w:cs="Arial"/>
              </w:rPr>
            </w:pPr>
            <w:r w:rsidRPr="00377D4E">
              <w:rPr>
                <w:rFonts w:ascii="Arial" w:hAnsi="Arial" w:cs="Arial"/>
              </w:rPr>
              <w:t>Certification</w:t>
            </w:r>
          </w:p>
        </w:tc>
        <w:tc>
          <w:tcPr>
            <w:tcW w:w="0" w:type="auto"/>
            <w:hideMark/>
          </w:tcPr>
          <w:p w14:paraId="59A8A680" w14:textId="77777777" w:rsidR="00B65CA5" w:rsidRPr="00377D4E" w:rsidRDefault="00B65CA5" w:rsidP="007823D7">
            <w:pPr>
              <w:spacing w:after="160" w:line="259" w:lineRule="auto"/>
              <w:rPr>
                <w:rFonts w:ascii="Arial" w:hAnsi="Arial" w:cs="Arial"/>
              </w:rPr>
            </w:pPr>
            <w:r w:rsidRPr="00377D4E">
              <w:rPr>
                <w:rFonts w:ascii="Arial" w:hAnsi="Arial" w:cs="Arial"/>
              </w:rPr>
              <w:t>High costs, bureaucratic hurdles</w:t>
            </w:r>
          </w:p>
        </w:tc>
        <w:tc>
          <w:tcPr>
            <w:tcW w:w="0" w:type="auto"/>
            <w:hideMark/>
          </w:tcPr>
          <w:p w14:paraId="36084FBF" w14:textId="77777777" w:rsidR="00B65CA5" w:rsidRPr="00377D4E" w:rsidRDefault="00B65CA5" w:rsidP="007823D7">
            <w:pPr>
              <w:spacing w:after="160" w:line="259" w:lineRule="auto"/>
              <w:rPr>
                <w:rFonts w:ascii="Arial" w:hAnsi="Arial" w:cs="Arial"/>
              </w:rPr>
            </w:pPr>
            <w:r w:rsidRPr="00377D4E">
              <w:rPr>
                <w:rFonts w:ascii="Arial" w:hAnsi="Arial" w:cs="Arial"/>
              </w:rPr>
              <w:t>Participatory Guarantee Systems (PGS), farmer-led certification</w:t>
            </w:r>
          </w:p>
        </w:tc>
      </w:tr>
      <w:tr w:rsidR="00B65CA5" w:rsidRPr="00377D4E" w14:paraId="53BD31AC" w14:textId="77777777" w:rsidTr="007823D7">
        <w:tc>
          <w:tcPr>
            <w:tcW w:w="0" w:type="auto"/>
            <w:hideMark/>
          </w:tcPr>
          <w:p w14:paraId="1FD32BCE" w14:textId="77777777" w:rsidR="00B65CA5" w:rsidRPr="00377D4E" w:rsidRDefault="00B65CA5" w:rsidP="007823D7">
            <w:pPr>
              <w:spacing w:after="160" w:line="259" w:lineRule="auto"/>
              <w:rPr>
                <w:rFonts w:ascii="Arial" w:hAnsi="Arial" w:cs="Arial"/>
              </w:rPr>
            </w:pPr>
            <w:r w:rsidRPr="00377D4E">
              <w:rPr>
                <w:rFonts w:ascii="Arial" w:hAnsi="Arial" w:cs="Arial"/>
              </w:rPr>
              <w:t>Knowledge</w:t>
            </w:r>
          </w:p>
        </w:tc>
        <w:tc>
          <w:tcPr>
            <w:tcW w:w="0" w:type="auto"/>
            <w:hideMark/>
          </w:tcPr>
          <w:p w14:paraId="03445189" w14:textId="77777777" w:rsidR="00B65CA5" w:rsidRPr="00377D4E" w:rsidRDefault="00B65CA5" w:rsidP="007823D7">
            <w:pPr>
              <w:spacing w:after="160" w:line="259" w:lineRule="auto"/>
              <w:rPr>
                <w:rFonts w:ascii="Arial" w:hAnsi="Arial" w:cs="Arial"/>
              </w:rPr>
            </w:pPr>
            <w:r w:rsidRPr="00377D4E">
              <w:rPr>
                <w:rFonts w:ascii="Arial" w:hAnsi="Arial" w:cs="Arial"/>
              </w:rPr>
              <w:t>Limited extension services, lack of awareness</w:t>
            </w:r>
          </w:p>
        </w:tc>
        <w:tc>
          <w:tcPr>
            <w:tcW w:w="0" w:type="auto"/>
            <w:hideMark/>
          </w:tcPr>
          <w:p w14:paraId="6EF8A41F" w14:textId="77777777" w:rsidR="00B65CA5" w:rsidRPr="00377D4E" w:rsidRDefault="00B65CA5" w:rsidP="007823D7">
            <w:pPr>
              <w:spacing w:after="160" w:line="259" w:lineRule="auto"/>
              <w:rPr>
                <w:rFonts w:ascii="Arial" w:hAnsi="Arial" w:cs="Arial"/>
              </w:rPr>
            </w:pPr>
            <w:r w:rsidRPr="00377D4E">
              <w:rPr>
                <w:rFonts w:ascii="Arial" w:hAnsi="Arial" w:cs="Arial"/>
              </w:rPr>
              <w:t>Farmer-to-farmer networks, grassroots training</w:t>
            </w:r>
          </w:p>
        </w:tc>
      </w:tr>
      <w:tr w:rsidR="00B65CA5" w:rsidRPr="00377D4E" w14:paraId="757BC9B9" w14:textId="77777777" w:rsidTr="007823D7">
        <w:tc>
          <w:tcPr>
            <w:tcW w:w="0" w:type="auto"/>
            <w:hideMark/>
          </w:tcPr>
          <w:p w14:paraId="1C27805C" w14:textId="77777777" w:rsidR="00B65CA5" w:rsidRPr="00377D4E" w:rsidRDefault="00B65CA5" w:rsidP="007823D7">
            <w:pPr>
              <w:spacing w:after="160" w:line="259" w:lineRule="auto"/>
              <w:rPr>
                <w:rFonts w:ascii="Arial" w:hAnsi="Arial" w:cs="Arial"/>
              </w:rPr>
            </w:pPr>
            <w:r w:rsidRPr="00377D4E">
              <w:rPr>
                <w:rFonts w:ascii="Arial" w:hAnsi="Arial" w:cs="Arial"/>
              </w:rPr>
              <w:t>Economics</w:t>
            </w:r>
          </w:p>
        </w:tc>
        <w:tc>
          <w:tcPr>
            <w:tcW w:w="0" w:type="auto"/>
            <w:hideMark/>
          </w:tcPr>
          <w:p w14:paraId="3273F9FA" w14:textId="77777777" w:rsidR="00B65CA5" w:rsidRPr="00377D4E" w:rsidRDefault="00B65CA5" w:rsidP="007823D7">
            <w:pPr>
              <w:spacing w:after="160" w:line="259" w:lineRule="auto"/>
              <w:rPr>
                <w:rFonts w:ascii="Arial" w:hAnsi="Arial" w:cs="Arial"/>
              </w:rPr>
            </w:pPr>
            <w:r w:rsidRPr="00377D4E">
              <w:rPr>
                <w:rFonts w:ascii="Arial" w:hAnsi="Arial" w:cs="Arial"/>
              </w:rPr>
              <w:t>Transition risks, initial yield uncertainty</w:t>
            </w:r>
          </w:p>
        </w:tc>
        <w:tc>
          <w:tcPr>
            <w:tcW w:w="0" w:type="auto"/>
            <w:hideMark/>
          </w:tcPr>
          <w:p w14:paraId="2649BA46" w14:textId="77777777" w:rsidR="00B65CA5" w:rsidRPr="00377D4E" w:rsidRDefault="00B65CA5" w:rsidP="007823D7">
            <w:pPr>
              <w:spacing w:after="160" w:line="259" w:lineRule="auto"/>
              <w:rPr>
                <w:rFonts w:ascii="Arial" w:hAnsi="Arial" w:cs="Arial"/>
              </w:rPr>
            </w:pPr>
            <w:r w:rsidRPr="00377D4E">
              <w:rPr>
                <w:rFonts w:ascii="Arial" w:hAnsi="Arial" w:cs="Arial"/>
              </w:rPr>
              <w:t>Long-term cost savings, resilience under climate stress</w:t>
            </w:r>
          </w:p>
        </w:tc>
      </w:tr>
      <w:tr w:rsidR="00B65CA5" w:rsidRPr="00377D4E" w14:paraId="303CBE93" w14:textId="77777777" w:rsidTr="007823D7">
        <w:tc>
          <w:tcPr>
            <w:tcW w:w="0" w:type="auto"/>
            <w:hideMark/>
          </w:tcPr>
          <w:p w14:paraId="28F6A430" w14:textId="77777777" w:rsidR="00B65CA5" w:rsidRPr="00377D4E" w:rsidRDefault="00B65CA5" w:rsidP="007823D7">
            <w:pPr>
              <w:spacing w:after="160" w:line="259" w:lineRule="auto"/>
              <w:rPr>
                <w:rFonts w:ascii="Arial" w:hAnsi="Arial" w:cs="Arial"/>
              </w:rPr>
            </w:pPr>
            <w:r w:rsidRPr="00377D4E">
              <w:rPr>
                <w:rFonts w:ascii="Arial" w:hAnsi="Arial" w:cs="Arial"/>
              </w:rPr>
              <w:t>Social Factors</w:t>
            </w:r>
          </w:p>
        </w:tc>
        <w:tc>
          <w:tcPr>
            <w:tcW w:w="0" w:type="auto"/>
            <w:hideMark/>
          </w:tcPr>
          <w:p w14:paraId="19058128" w14:textId="77777777" w:rsidR="00B65CA5" w:rsidRPr="00377D4E" w:rsidRDefault="00B65CA5" w:rsidP="007823D7">
            <w:pPr>
              <w:spacing w:after="160" w:line="259" w:lineRule="auto"/>
              <w:rPr>
                <w:rFonts w:ascii="Arial" w:hAnsi="Arial" w:cs="Arial"/>
              </w:rPr>
            </w:pPr>
            <w:r w:rsidRPr="00377D4E">
              <w:rPr>
                <w:rFonts w:ascii="Arial" w:hAnsi="Arial" w:cs="Arial"/>
              </w:rPr>
              <w:t>Resistance to change, influence of agribusiness</w:t>
            </w:r>
          </w:p>
        </w:tc>
        <w:tc>
          <w:tcPr>
            <w:tcW w:w="0" w:type="auto"/>
            <w:hideMark/>
          </w:tcPr>
          <w:p w14:paraId="0338AC75" w14:textId="77777777" w:rsidR="00B65CA5" w:rsidRPr="00377D4E" w:rsidRDefault="00B65CA5" w:rsidP="007823D7">
            <w:pPr>
              <w:spacing w:after="160" w:line="259" w:lineRule="auto"/>
              <w:rPr>
                <w:rFonts w:ascii="Arial" w:hAnsi="Arial" w:cs="Arial"/>
              </w:rPr>
            </w:pPr>
            <w:r w:rsidRPr="00377D4E">
              <w:rPr>
                <w:rFonts w:ascii="Arial" w:hAnsi="Arial" w:cs="Arial"/>
              </w:rPr>
              <w:t>Community mobilization, food sovereignty movements</w:t>
            </w:r>
          </w:p>
        </w:tc>
      </w:tr>
    </w:tbl>
    <w:p w14:paraId="2567DE7B" w14:textId="77777777" w:rsidR="00B65CA5" w:rsidRPr="00377D4E" w:rsidRDefault="00B65CA5" w:rsidP="00B65CA5">
      <w:pPr>
        <w:tabs>
          <w:tab w:val="left" w:pos="1136"/>
        </w:tabs>
        <w:rPr>
          <w:rFonts w:ascii="Arial" w:hAnsi="Arial" w:cs="Arial"/>
        </w:rPr>
      </w:pPr>
      <w:r w:rsidRPr="00377D4E">
        <w:rPr>
          <w:rFonts w:ascii="Arial" w:hAnsi="Arial" w:cs="Arial"/>
        </w:rPr>
        <w:tab/>
      </w:r>
    </w:p>
    <w:p w14:paraId="1CCECD55" w14:textId="77777777" w:rsidR="00B65CA5" w:rsidRPr="00377D4E" w:rsidRDefault="00B65CA5" w:rsidP="00B65CA5">
      <w:pPr>
        <w:tabs>
          <w:tab w:val="left" w:pos="1136"/>
        </w:tabs>
        <w:rPr>
          <w:rFonts w:ascii="Arial" w:hAnsi="Arial" w:cs="Arial"/>
          <w:b/>
          <w:bCs/>
        </w:rPr>
      </w:pPr>
      <w:r w:rsidRPr="00377D4E">
        <w:rPr>
          <w:rFonts w:ascii="Arial" w:hAnsi="Arial" w:cs="Arial"/>
          <w:b/>
          <w:bCs/>
        </w:rPr>
        <w:t>Table 7. Alignment of Natural Farming with Sustainable Development Goals (SDGs)</w:t>
      </w:r>
    </w:p>
    <w:tbl>
      <w:tblPr>
        <w:tblStyle w:val="TableGrid"/>
        <w:tblW w:w="0" w:type="auto"/>
        <w:tblLook w:val="04A0" w:firstRow="1" w:lastRow="0" w:firstColumn="1" w:lastColumn="0" w:noHBand="0" w:noVBand="1"/>
      </w:tblPr>
      <w:tblGrid>
        <w:gridCol w:w="3870"/>
        <w:gridCol w:w="5146"/>
      </w:tblGrid>
      <w:tr w:rsidR="00B65CA5" w:rsidRPr="00377D4E" w14:paraId="3BF3CA64" w14:textId="77777777" w:rsidTr="007823D7">
        <w:tc>
          <w:tcPr>
            <w:tcW w:w="0" w:type="auto"/>
            <w:hideMark/>
          </w:tcPr>
          <w:p w14:paraId="44A7F5A5" w14:textId="77777777" w:rsidR="00B65CA5" w:rsidRPr="00377D4E" w:rsidRDefault="00B65CA5" w:rsidP="007823D7">
            <w:pPr>
              <w:tabs>
                <w:tab w:val="left" w:pos="1136"/>
              </w:tabs>
              <w:spacing w:after="160" w:line="259" w:lineRule="auto"/>
              <w:rPr>
                <w:rFonts w:ascii="Arial" w:hAnsi="Arial" w:cs="Arial"/>
                <w:b/>
                <w:bCs/>
              </w:rPr>
            </w:pPr>
            <w:r w:rsidRPr="00377D4E">
              <w:rPr>
                <w:rFonts w:ascii="Arial" w:hAnsi="Arial" w:cs="Arial"/>
                <w:b/>
                <w:bCs/>
              </w:rPr>
              <w:t>SDG Goal</w:t>
            </w:r>
          </w:p>
        </w:tc>
        <w:tc>
          <w:tcPr>
            <w:tcW w:w="0" w:type="auto"/>
            <w:hideMark/>
          </w:tcPr>
          <w:p w14:paraId="7A878485" w14:textId="77777777" w:rsidR="00B65CA5" w:rsidRPr="00377D4E" w:rsidRDefault="00B65CA5" w:rsidP="007823D7">
            <w:pPr>
              <w:tabs>
                <w:tab w:val="left" w:pos="1136"/>
              </w:tabs>
              <w:spacing w:after="160" w:line="259" w:lineRule="auto"/>
              <w:rPr>
                <w:rFonts w:ascii="Arial" w:hAnsi="Arial" w:cs="Arial"/>
                <w:b/>
                <w:bCs/>
              </w:rPr>
            </w:pPr>
            <w:r w:rsidRPr="00377D4E">
              <w:rPr>
                <w:rFonts w:ascii="Arial" w:hAnsi="Arial" w:cs="Arial"/>
                <w:b/>
                <w:bCs/>
              </w:rPr>
              <w:t>Contribution of Natural Farming</w:t>
            </w:r>
          </w:p>
        </w:tc>
      </w:tr>
      <w:tr w:rsidR="00B65CA5" w:rsidRPr="00377D4E" w14:paraId="42D118CC" w14:textId="77777777" w:rsidTr="007823D7">
        <w:tc>
          <w:tcPr>
            <w:tcW w:w="0" w:type="auto"/>
            <w:hideMark/>
          </w:tcPr>
          <w:p w14:paraId="12A843B6"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2: Zero Hunger</w:t>
            </w:r>
          </w:p>
        </w:tc>
        <w:tc>
          <w:tcPr>
            <w:tcW w:w="0" w:type="auto"/>
            <w:hideMark/>
          </w:tcPr>
          <w:p w14:paraId="5C3A4760"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Improves yield stability, lowers farmer costs, enhances food sovereignty</w:t>
            </w:r>
          </w:p>
        </w:tc>
      </w:tr>
      <w:tr w:rsidR="00B65CA5" w:rsidRPr="00377D4E" w14:paraId="5215C868" w14:textId="77777777" w:rsidTr="007823D7">
        <w:tc>
          <w:tcPr>
            <w:tcW w:w="0" w:type="auto"/>
            <w:hideMark/>
          </w:tcPr>
          <w:p w14:paraId="6AB12BAA"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3: Good Health and Well-being</w:t>
            </w:r>
          </w:p>
        </w:tc>
        <w:tc>
          <w:tcPr>
            <w:tcW w:w="0" w:type="auto"/>
            <w:hideMark/>
          </w:tcPr>
          <w:p w14:paraId="29E505A1"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Reduces pesticide exposure, improves dietary diversity</w:t>
            </w:r>
          </w:p>
        </w:tc>
      </w:tr>
      <w:tr w:rsidR="00B65CA5" w:rsidRPr="00377D4E" w14:paraId="7D0F9C54" w14:textId="77777777" w:rsidTr="007823D7">
        <w:tc>
          <w:tcPr>
            <w:tcW w:w="0" w:type="auto"/>
            <w:hideMark/>
          </w:tcPr>
          <w:p w14:paraId="28B60C3C"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6: Clean Water and Sanitation</w:t>
            </w:r>
          </w:p>
        </w:tc>
        <w:tc>
          <w:tcPr>
            <w:tcW w:w="0" w:type="auto"/>
            <w:hideMark/>
          </w:tcPr>
          <w:p w14:paraId="6B001417"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Reduces chemical runoff, improves groundwater quality</w:t>
            </w:r>
          </w:p>
        </w:tc>
      </w:tr>
      <w:tr w:rsidR="00B65CA5" w:rsidRPr="00377D4E" w14:paraId="25EC2730" w14:textId="77777777" w:rsidTr="007823D7">
        <w:tc>
          <w:tcPr>
            <w:tcW w:w="0" w:type="auto"/>
            <w:hideMark/>
          </w:tcPr>
          <w:p w14:paraId="5AED4AF5"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12: Responsible Consumption and Production</w:t>
            </w:r>
          </w:p>
        </w:tc>
        <w:tc>
          <w:tcPr>
            <w:tcW w:w="0" w:type="auto"/>
            <w:hideMark/>
          </w:tcPr>
          <w:p w14:paraId="5C61905D"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Promotes local inputs, reduces waste</w:t>
            </w:r>
          </w:p>
        </w:tc>
      </w:tr>
      <w:tr w:rsidR="00B65CA5" w:rsidRPr="00377D4E" w14:paraId="7BA37093" w14:textId="77777777" w:rsidTr="007823D7">
        <w:tc>
          <w:tcPr>
            <w:tcW w:w="0" w:type="auto"/>
            <w:hideMark/>
          </w:tcPr>
          <w:p w14:paraId="6FA82963"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13: Climate Action</w:t>
            </w:r>
          </w:p>
        </w:tc>
        <w:tc>
          <w:tcPr>
            <w:tcW w:w="0" w:type="auto"/>
            <w:hideMark/>
          </w:tcPr>
          <w:p w14:paraId="2148A9B6"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Enhances carbon sequestration, reduces GHG emissions</w:t>
            </w:r>
          </w:p>
        </w:tc>
      </w:tr>
      <w:tr w:rsidR="00B65CA5" w:rsidRPr="00377D4E" w14:paraId="111DC4FA" w14:textId="77777777" w:rsidTr="007823D7">
        <w:tc>
          <w:tcPr>
            <w:tcW w:w="0" w:type="auto"/>
            <w:hideMark/>
          </w:tcPr>
          <w:p w14:paraId="48229FDA"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SDG 15: Life on Land</w:t>
            </w:r>
          </w:p>
        </w:tc>
        <w:tc>
          <w:tcPr>
            <w:tcW w:w="0" w:type="auto"/>
            <w:hideMark/>
          </w:tcPr>
          <w:p w14:paraId="735B5020" w14:textId="77777777" w:rsidR="00B65CA5" w:rsidRPr="00377D4E" w:rsidRDefault="00B65CA5" w:rsidP="007823D7">
            <w:pPr>
              <w:tabs>
                <w:tab w:val="left" w:pos="1136"/>
              </w:tabs>
              <w:spacing w:after="160" w:line="259" w:lineRule="auto"/>
              <w:rPr>
                <w:rFonts w:ascii="Arial" w:hAnsi="Arial" w:cs="Arial"/>
              </w:rPr>
            </w:pPr>
            <w:r w:rsidRPr="00377D4E">
              <w:rPr>
                <w:rFonts w:ascii="Arial" w:hAnsi="Arial" w:cs="Arial"/>
              </w:rPr>
              <w:t>Restores soils, biodiversity, and landscapes</w:t>
            </w:r>
          </w:p>
        </w:tc>
      </w:tr>
    </w:tbl>
    <w:p w14:paraId="3E1A6D48" w14:textId="6BAE32A9" w:rsidR="00B65CA5" w:rsidRPr="00377D4E" w:rsidRDefault="00B65CA5" w:rsidP="00B65CA5">
      <w:pPr>
        <w:tabs>
          <w:tab w:val="left" w:pos="1136"/>
        </w:tabs>
        <w:rPr>
          <w:rFonts w:ascii="Arial" w:hAnsi="Arial" w:cs="Arial"/>
        </w:rPr>
      </w:pPr>
    </w:p>
    <w:p w14:paraId="4F4A5F57" w14:textId="7217701C" w:rsidR="00AD679F" w:rsidRPr="00377D4E" w:rsidRDefault="008D063F" w:rsidP="00AD679F">
      <w:pPr>
        <w:tabs>
          <w:tab w:val="left" w:pos="1136"/>
        </w:tabs>
        <w:jc w:val="both"/>
        <w:rPr>
          <w:rFonts w:ascii="Arial" w:hAnsi="Arial" w:cs="Arial"/>
        </w:rPr>
      </w:pPr>
      <w:r w:rsidRPr="00377D4E">
        <w:rPr>
          <w:rFonts w:ascii="Arial" w:hAnsi="Arial" w:cs="Arial"/>
          <w:noProof/>
        </w:rPr>
        <w:drawing>
          <wp:anchor distT="0" distB="0" distL="114300" distR="114300" simplePos="0" relativeHeight="251659264" behindDoc="0" locked="0" layoutInCell="1" allowOverlap="1" wp14:anchorId="2284E10A" wp14:editId="37370ABF">
            <wp:simplePos x="0" y="0"/>
            <wp:positionH relativeFrom="margin">
              <wp:posOffset>1346200</wp:posOffset>
            </wp:positionH>
            <wp:positionV relativeFrom="paragraph">
              <wp:posOffset>43815</wp:posOffset>
            </wp:positionV>
            <wp:extent cx="2755900" cy="1740151"/>
            <wp:effectExtent l="0" t="0" r="6350" b="0"/>
            <wp:wrapNone/>
            <wp:docPr id="346261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61386" name="Picture 346261386"/>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t="10472" b="-1"/>
                    <a:stretch>
                      <a:fillRect/>
                    </a:stretch>
                  </pic:blipFill>
                  <pic:spPr bwMode="auto">
                    <a:xfrm>
                      <a:off x="0" y="0"/>
                      <a:ext cx="2755900" cy="17401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387B46" w14:textId="3D4E003B" w:rsidR="00AD679F" w:rsidRPr="00377D4E" w:rsidRDefault="00AD679F" w:rsidP="00AD679F">
      <w:pPr>
        <w:jc w:val="both"/>
        <w:rPr>
          <w:rFonts w:ascii="Arial" w:hAnsi="Arial" w:cs="Arial"/>
        </w:rPr>
      </w:pPr>
    </w:p>
    <w:p w14:paraId="58DE1122" w14:textId="189E2940" w:rsidR="00AD679F" w:rsidRPr="00377D4E" w:rsidRDefault="00AD679F" w:rsidP="00AD679F">
      <w:pPr>
        <w:jc w:val="both"/>
        <w:rPr>
          <w:rFonts w:ascii="Arial" w:hAnsi="Arial" w:cs="Arial"/>
        </w:rPr>
      </w:pPr>
    </w:p>
    <w:p w14:paraId="5A4423FC" w14:textId="0B94D12F" w:rsidR="00AD679F" w:rsidRPr="00377D4E" w:rsidRDefault="00AD679F" w:rsidP="00AD679F">
      <w:pPr>
        <w:jc w:val="both"/>
        <w:rPr>
          <w:rFonts w:ascii="Arial" w:hAnsi="Arial" w:cs="Arial"/>
        </w:rPr>
      </w:pPr>
    </w:p>
    <w:p w14:paraId="03256433" w14:textId="1D3F821F" w:rsidR="00AD679F" w:rsidRPr="00377D4E" w:rsidRDefault="00AD679F" w:rsidP="00AD679F">
      <w:pPr>
        <w:jc w:val="both"/>
        <w:rPr>
          <w:rFonts w:ascii="Arial" w:hAnsi="Arial" w:cs="Arial"/>
        </w:rPr>
      </w:pPr>
    </w:p>
    <w:p w14:paraId="4C81B059" w14:textId="0EE58A5C" w:rsidR="00AD679F" w:rsidRPr="00377D4E" w:rsidRDefault="00AD679F" w:rsidP="00AD679F">
      <w:pPr>
        <w:jc w:val="both"/>
        <w:rPr>
          <w:rFonts w:ascii="Arial" w:hAnsi="Arial" w:cs="Arial"/>
        </w:rPr>
      </w:pPr>
    </w:p>
    <w:p w14:paraId="26572C8A" w14:textId="2EFD1A5D" w:rsidR="00AD679F" w:rsidRPr="00377D4E" w:rsidRDefault="00AD679F" w:rsidP="00AD679F">
      <w:pPr>
        <w:jc w:val="both"/>
        <w:rPr>
          <w:rFonts w:ascii="Arial" w:hAnsi="Arial" w:cs="Arial"/>
        </w:rPr>
      </w:pPr>
    </w:p>
    <w:p w14:paraId="05A40010" w14:textId="792880F7" w:rsidR="00AD679F" w:rsidRPr="00377D4E" w:rsidRDefault="00AD679F" w:rsidP="00AD679F">
      <w:pPr>
        <w:tabs>
          <w:tab w:val="left" w:pos="1320"/>
        </w:tabs>
        <w:jc w:val="center"/>
        <w:rPr>
          <w:rFonts w:ascii="Arial" w:hAnsi="Arial" w:cs="Arial"/>
          <w:b/>
          <w:bCs/>
        </w:rPr>
      </w:pPr>
      <w:r w:rsidRPr="00377D4E">
        <w:rPr>
          <w:rFonts w:ascii="Arial" w:hAnsi="Arial" w:cs="Arial"/>
          <w:b/>
          <w:bCs/>
        </w:rPr>
        <w:t>Fig 1: Distribution of soil organic carbon (SOC) change under Natural Farming</w:t>
      </w:r>
    </w:p>
    <w:p w14:paraId="7FA328CB" w14:textId="3EE92A77" w:rsidR="00AD679F" w:rsidRPr="00377D4E" w:rsidRDefault="008D063F" w:rsidP="00AD679F">
      <w:pPr>
        <w:jc w:val="both"/>
        <w:rPr>
          <w:rFonts w:ascii="Arial" w:hAnsi="Arial" w:cs="Arial"/>
        </w:rPr>
      </w:pPr>
      <w:r w:rsidRPr="00377D4E">
        <w:rPr>
          <w:rFonts w:ascii="Arial" w:hAnsi="Arial" w:cs="Arial"/>
          <w:noProof/>
        </w:rPr>
        <w:lastRenderedPageBreak/>
        <w:drawing>
          <wp:anchor distT="0" distB="0" distL="114300" distR="114300" simplePos="0" relativeHeight="251660288" behindDoc="0" locked="0" layoutInCell="1" allowOverlap="1" wp14:anchorId="20485C4F" wp14:editId="0D9BB23D">
            <wp:simplePos x="0" y="0"/>
            <wp:positionH relativeFrom="margin">
              <wp:posOffset>1277620</wp:posOffset>
            </wp:positionH>
            <wp:positionV relativeFrom="paragraph">
              <wp:posOffset>-175260</wp:posOffset>
            </wp:positionV>
            <wp:extent cx="3143151" cy="1989455"/>
            <wp:effectExtent l="0" t="0" r="635" b="0"/>
            <wp:wrapNone/>
            <wp:docPr id="1218840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40608" name="Picture 1218840608"/>
                    <pic:cNvPicPr/>
                  </pic:nvPicPr>
                  <pic:blipFill rotWithShape="1">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t="10449"/>
                    <a:stretch>
                      <a:fillRect/>
                    </a:stretch>
                  </pic:blipFill>
                  <pic:spPr bwMode="auto">
                    <a:xfrm>
                      <a:off x="0" y="0"/>
                      <a:ext cx="3143151" cy="198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6102C9" w14:textId="319520CE" w:rsidR="00AD679F" w:rsidRPr="00377D4E" w:rsidRDefault="00AD679F" w:rsidP="00AD679F">
      <w:pPr>
        <w:jc w:val="both"/>
        <w:rPr>
          <w:rFonts w:ascii="Arial" w:hAnsi="Arial" w:cs="Arial"/>
        </w:rPr>
      </w:pPr>
    </w:p>
    <w:p w14:paraId="71B4A96A" w14:textId="77777777" w:rsidR="00AD679F" w:rsidRPr="00377D4E" w:rsidRDefault="00AD679F" w:rsidP="00AD679F">
      <w:pPr>
        <w:jc w:val="both"/>
        <w:rPr>
          <w:rFonts w:ascii="Arial" w:hAnsi="Arial" w:cs="Arial"/>
        </w:rPr>
      </w:pPr>
    </w:p>
    <w:p w14:paraId="3AD443E4" w14:textId="77777777" w:rsidR="00AD679F" w:rsidRPr="00377D4E" w:rsidRDefault="00AD679F" w:rsidP="00AD679F">
      <w:pPr>
        <w:jc w:val="both"/>
        <w:rPr>
          <w:rFonts w:ascii="Arial" w:hAnsi="Arial" w:cs="Arial"/>
        </w:rPr>
      </w:pPr>
    </w:p>
    <w:p w14:paraId="7C3D4962" w14:textId="77777777" w:rsidR="00AD679F" w:rsidRPr="00377D4E" w:rsidRDefault="00AD679F" w:rsidP="00AD679F">
      <w:pPr>
        <w:jc w:val="both"/>
        <w:rPr>
          <w:rFonts w:ascii="Arial" w:hAnsi="Arial" w:cs="Arial"/>
        </w:rPr>
      </w:pPr>
    </w:p>
    <w:p w14:paraId="56352059" w14:textId="77777777" w:rsidR="00AD679F" w:rsidRPr="00377D4E" w:rsidRDefault="00AD679F" w:rsidP="00AD679F">
      <w:pPr>
        <w:jc w:val="both"/>
        <w:rPr>
          <w:rFonts w:ascii="Arial" w:hAnsi="Arial" w:cs="Arial"/>
        </w:rPr>
      </w:pPr>
    </w:p>
    <w:p w14:paraId="4F26D7F7" w14:textId="77777777" w:rsidR="00AD679F" w:rsidRPr="00377D4E" w:rsidRDefault="00AD679F" w:rsidP="00AD679F">
      <w:pPr>
        <w:jc w:val="both"/>
        <w:rPr>
          <w:rFonts w:ascii="Arial" w:hAnsi="Arial" w:cs="Arial"/>
        </w:rPr>
      </w:pPr>
    </w:p>
    <w:p w14:paraId="4FDB2BAD" w14:textId="77777777" w:rsidR="00AD679F" w:rsidRPr="00377D4E" w:rsidRDefault="00AD679F" w:rsidP="00AD679F">
      <w:pPr>
        <w:tabs>
          <w:tab w:val="left" w:pos="2440"/>
        </w:tabs>
        <w:jc w:val="center"/>
        <w:rPr>
          <w:rFonts w:ascii="Arial" w:hAnsi="Arial" w:cs="Arial"/>
          <w:b/>
          <w:bCs/>
        </w:rPr>
      </w:pPr>
      <w:r w:rsidRPr="00377D4E">
        <w:rPr>
          <w:rFonts w:ascii="Arial" w:hAnsi="Arial" w:cs="Arial"/>
          <w:b/>
          <w:bCs/>
        </w:rPr>
        <w:t>Fig 2: Distribution of Yield Change under Natural Farming</w:t>
      </w:r>
    </w:p>
    <w:p w14:paraId="26277965" w14:textId="77777777" w:rsidR="00AD679F" w:rsidRPr="00377D4E" w:rsidRDefault="00AD679F" w:rsidP="00AD679F">
      <w:pPr>
        <w:tabs>
          <w:tab w:val="left" w:pos="2440"/>
        </w:tabs>
        <w:jc w:val="both"/>
        <w:rPr>
          <w:rFonts w:ascii="Arial" w:hAnsi="Arial" w:cs="Arial"/>
        </w:rPr>
      </w:pPr>
    </w:p>
    <w:p w14:paraId="5368E099" w14:textId="77B4623B" w:rsidR="00AD679F" w:rsidRPr="00377D4E" w:rsidRDefault="008D063F" w:rsidP="00AD679F">
      <w:pPr>
        <w:tabs>
          <w:tab w:val="left" w:pos="2440"/>
        </w:tabs>
        <w:jc w:val="both"/>
        <w:rPr>
          <w:rFonts w:ascii="Arial" w:hAnsi="Arial" w:cs="Arial"/>
        </w:rPr>
      </w:pPr>
      <w:r w:rsidRPr="00377D4E">
        <w:rPr>
          <w:rFonts w:ascii="Arial" w:hAnsi="Arial" w:cs="Arial"/>
          <w:noProof/>
        </w:rPr>
        <w:drawing>
          <wp:anchor distT="0" distB="0" distL="114300" distR="114300" simplePos="0" relativeHeight="251661312" behindDoc="0" locked="0" layoutInCell="1" allowOverlap="1" wp14:anchorId="02B9D10E" wp14:editId="15C4BA98">
            <wp:simplePos x="0" y="0"/>
            <wp:positionH relativeFrom="margin">
              <wp:posOffset>1295400</wp:posOffset>
            </wp:positionH>
            <wp:positionV relativeFrom="paragraph">
              <wp:posOffset>14605</wp:posOffset>
            </wp:positionV>
            <wp:extent cx="3489858" cy="2260600"/>
            <wp:effectExtent l="0" t="0" r="0" b="6350"/>
            <wp:wrapNone/>
            <wp:docPr id="1491263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63733" name="Picture 1491263733"/>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t="5911"/>
                    <a:stretch>
                      <a:fillRect/>
                    </a:stretch>
                  </pic:blipFill>
                  <pic:spPr bwMode="auto">
                    <a:xfrm>
                      <a:off x="0" y="0"/>
                      <a:ext cx="3489858" cy="226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D1D4D" w14:textId="3A5205C6" w:rsidR="00AD679F" w:rsidRPr="00377D4E" w:rsidRDefault="00AD679F" w:rsidP="00AD679F">
      <w:pPr>
        <w:tabs>
          <w:tab w:val="left" w:pos="2440"/>
        </w:tabs>
        <w:jc w:val="both"/>
        <w:rPr>
          <w:rFonts w:ascii="Arial" w:hAnsi="Arial" w:cs="Arial"/>
        </w:rPr>
      </w:pPr>
    </w:p>
    <w:p w14:paraId="4FDA1D5D" w14:textId="77777777" w:rsidR="00AD679F" w:rsidRPr="00377D4E" w:rsidRDefault="00AD679F" w:rsidP="00AD679F">
      <w:pPr>
        <w:tabs>
          <w:tab w:val="left" w:pos="2440"/>
        </w:tabs>
        <w:jc w:val="both"/>
        <w:rPr>
          <w:rFonts w:ascii="Arial" w:hAnsi="Arial" w:cs="Arial"/>
        </w:rPr>
      </w:pPr>
    </w:p>
    <w:p w14:paraId="7DA56581" w14:textId="77777777" w:rsidR="00AD679F" w:rsidRPr="00377D4E" w:rsidRDefault="00AD679F" w:rsidP="00AD679F">
      <w:pPr>
        <w:tabs>
          <w:tab w:val="left" w:pos="2440"/>
        </w:tabs>
        <w:jc w:val="both"/>
        <w:rPr>
          <w:rFonts w:ascii="Arial" w:hAnsi="Arial" w:cs="Arial"/>
        </w:rPr>
      </w:pPr>
    </w:p>
    <w:p w14:paraId="4D33F535" w14:textId="77777777" w:rsidR="00AD679F" w:rsidRPr="00377D4E" w:rsidRDefault="00AD679F" w:rsidP="00AD679F">
      <w:pPr>
        <w:tabs>
          <w:tab w:val="left" w:pos="2440"/>
        </w:tabs>
        <w:jc w:val="both"/>
        <w:rPr>
          <w:rFonts w:ascii="Arial" w:hAnsi="Arial" w:cs="Arial"/>
        </w:rPr>
      </w:pPr>
    </w:p>
    <w:p w14:paraId="5D52C918" w14:textId="77777777" w:rsidR="00AD679F" w:rsidRPr="00377D4E" w:rsidRDefault="00AD679F" w:rsidP="00AD679F">
      <w:pPr>
        <w:tabs>
          <w:tab w:val="left" w:pos="2440"/>
        </w:tabs>
        <w:jc w:val="both"/>
        <w:rPr>
          <w:rFonts w:ascii="Arial" w:hAnsi="Arial" w:cs="Arial"/>
        </w:rPr>
      </w:pPr>
    </w:p>
    <w:p w14:paraId="4BF98B90" w14:textId="77777777" w:rsidR="00AD679F" w:rsidRPr="00377D4E" w:rsidRDefault="00AD679F" w:rsidP="00AD679F">
      <w:pPr>
        <w:tabs>
          <w:tab w:val="left" w:pos="2440"/>
        </w:tabs>
        <w:jc w:val="both"/>
        <w:rPr>
          <w:rFonts w:ascii="Arial" w:hAnsi="Arial" w:cs="Arial"/>
        </w:rPr>
      </w:pPr>
    </w:p>
    <w:p w14:paraId="3F6BF817" w14:textId="77777777" w:rsidR="00AD679F" w:rsidRPr="00377D4E" w:rsidRDefault="00AD679F" w:rsidP="00AD679F">
      <w:pPr>
        <w:tabs>
          <w:tab w:val="left" w:pos="2440"/>
        </w:tabs>
        <w:jc w:val="both"/>
        <w:rPr>
          <w:rFonts w:ascii="Arial" w:hAnsi="Arial" w:cs="Arial"/>
        </w:rPr>
      </w:pPr>
    </w:p>
    <w:p w14:paraId="2C196FF6" w14:textId="77777777" w:rsidR="00AD679F" w:rsidRPr="00377D4E" w:rsidRDefault="00AD679F" w:rsidP="00AD679F">
      <w:pPr>
        <w:tabs>
          <w:tab w:val="left" w:pos="2440"/>
        </w:tabs>
        <w:jc w:val="both"/>
        <w:rPr>
          <w:rFonts w:ascii="Arial" w:hAnsi="Arial" w:cs="Arial"/>
        </w:rPr>
      </w:pPr>
    </w:p>
    <w:p w14:paraId="718DE06F" w14:textId="77777777" w:rsidR="00AD679F" w:rsidRPr="00377D4E" w:rsidRDefault="00AD679F" w:rsidP="00AD679F">
      <w:pPr>
        <w:jc w:val="center"/>
        <w:rPr>
          <w:rFonts w:ascii="Arial" w:hAnsi="Arial" w:cs="Arial"/>
          <w:b/>
          <w:bCs/>
        </w:rPr>
      </w:pPr>
      <w:r w:rsidRPr="00377D4E">
        <w:rPr>
          <w:rFonts w:ascii="Arial" w:hAnsi="Arial" w:cs="Arial"/>
          <w:b/>
          <w:bCs/>
        </w:rPr>
        <w:t>Fig 3: Biodiversity outcomes under Natural Farming</w:t>
      </w:r>
    </w:p>
    <w:p w14:paraId="6AE7E634" w14:textId="68059C38" w:rsidR="00AD679F" w:rsidRPr="00377D4E" w:rsidRDefault="00AD679F" w:rsidP="00AD679F">
      <w:pPr>
        <w:jc w:val="both"/>
        <w:rPr>
          <w:rFonts w:ascii="Arial" w:hAnsi="Arial" w:cs="Arial"/>
        </w:rPr>
      </w:pPr>
    </w:p>
    <w:p w14:paraId="5D7737AC" w14:textId="3A46EF34" w:rsidR="00AD679F" w:rsidRPr="00377D4E" w:rsidRDefault="008D063F" w:rsidP="00AD679F">
      <w:pPr>
        <w:jc w:val="both"/>
        <w:rPr>
          <w:rFonts w:ascii="Arial" w:hAnsi="Arial" w:cs="Arial"/>
        </w:rPr>
      </w:pPr>
      <w:r w:rsidRPr="00377D4E">
        <w:rPr>
          <w:rFonts w:ascii="Arial" w:hAnsi="Arial" w:cs="Arial"/>
          <w:noProof/>
        </w:rPr>
        <w:drawing>
          <wp:anchor distT="0" distB="0" distL="114300" distR="114300" simplePos="0" relativeHeight="251662336" behindDoc="0" locked="0" layoutInCell="1" allowOverlap="1" wp14:anchorId="638F5FE6" wp14:editId="5E58F53B">
            <wp:simplePos x="0" y="0"/>
            <wp:positionH relativeFrom="margin">
              <wp:posOffset>1308100</wp:posOffset>
            </wp:positionH>
            <wp:positionV relativeFrom="paragraph">
              <wp:posOffset>12700</wp:posOffset>
            </wp:positionV>
            <wp:extent cx="3352800" cy="2228762"/>
            <wp:effectExtent l="0" t="0" r="0" b="635"/>
            <wp:wrapNone/>
            <wp:docPr id="2065670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70924" name="Picture 2065670924"/>
                    <pic:cNvPicPr/>
                  </pic:nvPicPr>
                  <pic:blipFill rotWithShape="1">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t="6054"/>
                    <a:stretch>
                      <a:fillRect/>
                    </a:stretch>
                  </pic:blipFill>
                  <pic:spPr bwMode="auto">
                    <a:xfrm>
                      <a:off x="0" y="0"/>
                      <a:ext cx="3358402" cy="2232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9FB925" w14:textId="77777777" w:rsidR="00AD679F" w:rsidRPr="00377D4E" w:rsidRDefault="00AD679F" w:rsidP="00AD679F">
      <w:pPr>
        <w:jc w:val="both"/>
        <w:rPr>
          <w:rFonts w:ascii="Arial" w:hAnsi="Arial" w:cs="Arial"/>
        </w:rPr>
      </w:pPr>
    </w:p>
    <w:p w14:paraId="278E9D5B" w14:textId="77777777" w:rsidR="00AD679F" w:rsidRPr="00377D4E" w:rsidRDefault="00AD679F" w:rsidP="00AD679F">
      <w:pPr>
        <w:jc w:val="both"/>
        <w:rPr>
          <w:rFonts w:ascii="Arial" w:hAnsi="Arial" w:cs="Arial"/>
        </w:rPr>
      </w:pPr>
    </w:p>
    <w:p w14:paraId="25376887" w14:textId="77777777" w:rsidR="00AD679F" w:rsidRPr="00377D4E" w:rsidRDefault="00AD679F" w:rsidP="00AD679F">
      <w:pPr>
        <w:jc w:val="both"/>
        <w:rPr>
          <w:rFonts w:ascii="Arial" w:hAnsi="Arial" w:cs="Arial"/>
        </w:rPr>
      </w:pPr>
    </w:p>
    <w:p w14:paraId="59B1CCEC" w14:textId="77777777" w:rsidR="00AD679F" w:rsidRPr="00377D4E" w:rsidRDefault="00AD679F" w:rsidP="00AD679F">
      <w:pPr>
        <w:jc w:val="both"/>
        <w:rPr>
          <w:rFonts w:ascii="Arial" w:hAnsi="Arial" w:cs="Arial"/>
        </w:rPr>
      </w:pPr>
    </w:p>
    <w:p w14:paraId="150F5753" w14:textId="77777777" w:rsidR="00AD679F" w:rsidRPr="00377D4E" w:rsidRDefault="00AD679F" w:rsidP="00AD679F">
      <w:pPr>
        <w:jc w:val="both"/>
        <w:rPr>
          <w:rFonts w:ascii="Arial" w:hAnsi="Arial" w:cs="Arial"/>
        </w:rPr>
      </w:pPr>
    </w:p>
    <w:p w14:paraId="0895B99D" w14:textId="77777777" w:rsidR="00AD679F" w:rsidRPr="00377D4E" w:rsidRDefault="00AD679F" w:rsidP="00AD679F">
      <w:pPr>
        <w:jc w:val="both"/>
        <w:rPr>
          <w:rFonts w:ascii="Arial" w:hAnsi="Arial" w:cs="Arial"/>
        </w:rPr>
      </w:pPr>
    </w:p>
    <w:p w14:paraId="72FE60D2" w14:textId="77777777" w:rsidR="00AD679F" w:rsidRPr="00377D4E" w:rsidRDefault="00AD679F" w:rsidP="00AD679F">
      <w:pPr>
        <w:jc w:val="both"/>
        <w:rPr>
          <w:rFonts w:ascii="Arial" w:hAnsi="Arial" w:cs="Arial"/>
        </w:rPr>
      </w:pPr>
    </w:p>
    <w:p w14:paraId="23D55F9D" w14:textId="77777777" w:rsidR="00AD679F" w:rsidRPr="00377D4E" w:rsidRDefault="00AD679F" w:rsidP="00AD679F">
      <w:pPr>
        <w:jc w:val="both"/>
        <w:rPr>
          <w:rFonts w:ascii="Arial" w:hAnsi="Arial" w:cs="Arial"/>
        </w:rPr>
      </w:pPr>
    </w:p>
    <w:p w14:paraId="45B3EC81" w14:textId="77777777" w:rsidR="00AD679F" w:rsidRPr="00377D4E" w:rsidRDefault="00AD679F" w:rsidP="00AD679F">
      <w:pPr>
        <w:jc w:val="center"/>
        <w:rPr>
          <w:rFonts w:ascii="Arial" w:hAnsi="Arial" w:cs="Arial"/>
          <w:b/>
          <w:bCs/>
        </w:rPr>
      </w:pPr>
      <w:r w:rsidRPr="00377D4E">
        <w:rPr>
          <w:rFonts w:ascii="Arial" w:hAnsi="Arial" w:cs="Arial"/>
          <w:b/>
          <w:bCs/>
        </w:rPr>
        <w:t>Fig 4: Climate Regulation Benefits</w:t>
      </w:r>
    </w:p>
    <w:p w14:paraId="4FCAB019" w14:textId="77777777" w:rsidR="00AD679F" w:rsidRPr="00377D4E" w:rsidRDefault="00AD679F" w:rsidP="00B65CA5">
      <w:pPr>
        <w:tabs>
          <w:tab w:val="left" w:pos="1136"/>
        </w:tabs>
        <w:rPr>
          <w:rFonts w:ascii="Arial" w:hAnsi="Arial" w:cs="Arial"/>
        </w:rPr>
      </w:pPr>
    </w:p>
    <w:p w14:paraId="54B4FDA2" w14:textId="77777777" w:rsidR="00B65CA5" w:rsidRPr="00377D4E" w:rsidRDefault="00B65CA5" w:rsidP="004A6D91">
      <w:pPr>
        <w:spacing w:line="276" w:lineRule="auto"/>
        <w:rPr>
          <w:rFonts w:ascii="Arial" w:hAnsi="Arial" w:cs="Arial"/>
        </w:rPr>
      </w:pPr>
    </w:p>
    <w:sectPr w:rsidR="00B65CA5" w:rsidRPr="00377D4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F437" w14:textId="77777777" w:rsidR="00D656EF" w:rsidRDefault="00D656EF" w:rsidP="00FE310C">
      <w:pPr>
        <w:spacing w:after="0" w:line="240" w:lineRule="auto"/>
      </w:pPr>
      <w:r>
        <w:separator/>
      </w:r>
    </w:p>
  </w:endnote>
  <w:endnote w:type="continuationSeparator" w:id="0">
    <w:p w14:paraId="15840D74" w14:textId="77777777" w:rsidR="00D656EF" w:rsidRDefault="00D656EF" w:rsidP="00FE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1C8F" w14:textId="77777777" w:rsidR="00FE310C" w:rsidRDefault="00FE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AB31" w14:textId="77777777" w:rsidR="00FE310C" w:rsidRDefault="00FE3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48AB" w14:textId="77777777" w:rsidR="00FE310C" w:rsidRDefault="00FE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A38B7" w14:textId="77777777" w:rsidR="00D656EF" w:rsidRDefault="00D656EF" w:rsidP="00FE310C">
      <w:pPr>
        <w:spacing w:after="0" w:line="240" w:lineRule="auto"/>
      </w:pPr>
      <w:r>
        <w:separator/>
      </w:r>
    </w:p>
  </w:footnote>
  <w:footnote w:type="continuationSeparator" w:id="0">
    <w:p w14:paraId="408AE0D1" w14:textId="77777777" w:rsidR="00D656EF" w:rsidRDefault="00D656EF" w:rsidP="00FE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C066" w14:textId="138F6D73" w:rsidR="00FE310C" w:rsidRDefault="00FE310C">
    <w:pPr>
      <w:pStyle w:val="Header"/>
    </w:pPr>
    <w:r>
      <w:rPr>
        <w:noProof/>
      </w:rPr>
      <w:pict w14:anchorId="31F15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283E" w14:textId="15A305B2" w:rsidR="00FE310C" w:rsidRDefault="00FE310C">
    <w:pPr>
      <w:pStyle w:val="Header"/>
    </w:pPr>
    <w:r>
      <w:rPr>
        <w:noProof/>
      </w:rPr>
      <w:pict w14:anchorId="67648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F7C7" w14:textId="20B01A40" w:rsidR="00FE310C" w:rsidRDefault="00FE310C">
    <w:pPr>
      <w:pStyle w:val="Header"/>
    </w:pPr>
    <w:r>
      <w:rPr>
        <w:noProof/>
      </w:rPr>
      <w:pict w14:anchorId="09230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3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MLMAkqamhqYGFko6SsGpxcWZ+XkgBYa1AItMmK4sAAAA"/>
  </w:docVars>
  <w:rsids>
    <w:rsidRoot w:val="00B3545F"/>
    <w:rsid w:val="00000692"/>
    <w:rsid w:val="00042BE2"/>
    <w:rsid w:val="00270C3E"/>
    <w:rsid w:val="00303CC5"/>
    <w:rsid w:val="00316AE0"/>
    <w:rsid w:val="00377D4E"/>
    <w:rsid w:val="003E05A1"/>
    <w:rsid w:val="004A6D91"/>
    <w:rsid w:val="00543A13"/>
    <w:rsid w:val="00613FC8"/>
    <w:rsid w:val="00625664"/>
    <w:rsid w:val="00683CEF"/>
    <w:rsid w:val="00705806"/>
    <w:rsid w:val="00725301"/>
    <w:rsid w:val="00786E6A"/>
    <w:rsid w:val="00797E72"/>
    <w:rsid w:val="007C5105"/>
    <w:rsid w:val="00814AAA"/>
    <w:rsid w:val="00866737"/>
    <w:rsid w:val="008D063F"/>
    <w:rsid w:val="009D1825"/>
    <w:rsid w:val="00AD679F"/>
    <w:rsid w:val="00B3545F"/>
    <w:rsid w:val="00B65CA5"/>
    <w:rsid w:val="00BD110A"/>
    <w:rsid w:val="00D2672E"/>
    <w:rsid w:val="00D656EF"/>
    <w:rsid w:val="00DE7FC9"/>
    <w:rsid w:val="00FB4285"/>
    <w:rsid w:val="00FE3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4F98F8"/>
  <w15:chartTrackingRefBased/>
  <w15:docId w15:val="{E4D8D720-A2EE-486E-8766-8DEE4C1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4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4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4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4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4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4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4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4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45F"/>
    <w:rPr>
      <w:rFonts w:eastAsiaTheme="majorEastAsia" w:cstheme="majorBidi"/>
      <w:color w:val="272727" w:themeColor="text1" w:themeTint="D8"/>
    </w:rPr>
  </w:style>
  <w:style w:type="paragraph" w:styleId="Title">
    <w:name w:val="Title"/>
    <w:basedOn w:val="Normal"/>
    <w:next w:val="Normal"/>
    <w:link w:val="TitleChar"/>
    <w:uiPriority w:val="10"/>
    <w:qFormat/>
    <w:rsid w:val="00B35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45F"/>
    <w:pPr>
      <w:spacing w:before="160"/>
      <w:jc w:val="center"/>
    </w:pPr>
    <w:rPr>
      <w:i/>
      <w:iCs/>
      <w:color w:val="404040" w:themeColor="text1" w:themeTint="BF"/>
    </w:rPr>
  </w:style>
  <w:style w:type="character" w:customStyle="1" w:styleId="QuoteChar">
    <w:name w:val="Quote Char"/>
    <w:basedOn w:val="DefaultParagraphFont"/>
    <w:link w:val="Quote"/>
    <w:uiPriority w:val="29"/>
    <w:rsid w:val="00B3545F"/>
    <w:rPr>
      <w:i/>
      <w:iCs/>
      <w:color w:val="404040" w:themeColor="text1" w:themeTint="BF"/>
    </w:rPr>
  </w:style>
  <w:style w:type="paragraph" w:styleId="ListParagraph">
    <w:name w:val="List Paragraph"/>
    <w:basedOn w:val="Normal"/>
    <w:uiPriority w:val="34"/>
    <w:qFormat/>
    <w:rsid w:val="00B3545F"/>
    <w:pPr>
      <w:ind w:left="720"/>
      <w:contextualSpacing/>
    </w:pPr>
  </w:style>
  <w:style w:type="character" w:styleId="IntenseEmphasis">
    <w:name w:val="Intense Emphasis"/>
    <w:basedOn w:val="DefaultParagraphFont"/>
    <w:uiPriority w:val="21"/>
    <w:qFormat/>
    <w:rsid w:val="00B3545F"/>
    <w:rPr>
      <w:i/>
      <w:iCs/>
      <w:color w:val="2F5496" w:themeColor="accent1" w:themeShade="BF"/>
    </w:rPr>
  </w:style>
  <w:style w:type="paragraph" w:styleId="IntenseQuote">
    <w:name w:val="Intense Quote"/>
    <w:basedOn w:val="Normal"/>
    <w:next w:val="Normal"/>
    <w:link w:val="IntenseQuoteChar"/>
    <w:uiPriority w:val="30"/>
    <w:qFormat/>
    <w:rsid w:val="00B3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45F"/>
    <w:rPr>
      <w:i/>
      <w:iCs/>
      <w:color w:val="2F5496" w:themeColor="accent1" w:themeShade="BF"/>
    </w:rPr>
  </w:style>
  <w:style w:type="character" w:styleId="IntenseReference">
    <w:name w:val="Intense Reference"/>
    <w:basedOn w:val="DefaultParagraphFont"/>
    <w:uiPriority w:val="32"/>
    <w:qFormat/>
    <w:rsid w:val="00B3545F"/>
    <w:rPr>
      <w:b/>
      <w:bCs/>
      <w:smallCaps/>
      <w:color w:val="2F5496" w:themeColor="accent1" w:themeShade="BF"/>
      <w:spacing w:val="5"/>
    </w:rPr>
  </w:style>
  <w:style w:type="table" w:styleId="TableGridLight">
    <w:name w:val="Grid Table Light"/>
    <w:basedOn w:val="TableNormal"/>
    <w:uiPriority w:val="40"/>
    <w:rsid w:val="00797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9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D4E"/>
    <w:rPr>
      <w:color w:val="0563C1" w:themeColor="hyperlink"/>
      <w:u w:val="single"/>
    </w:rPr>
  </w:style>
  <w:style w:type="character" w:styleId="UnresolvedMention">
    <w:name w:val="Unresolved Mention"/>
    <w:basedOn w:val="DefaultParagraphFont"/>
    <w:uiPriority w:val="99"/>
    <w:semiHidden/>
    <w:unhideWhenUsed/>
    <w:rsid w:val="00377D4E"/>
    <w:rPr>
      <w:color w:val="605E5C"/>
      <w:shd w:val="clear" w:color="auto" w:fill="E1DFDD"/>
    </w:rPr>
  </w:style>
  <w:style w:type="paragraph" w:styleId="Header">
    <w:name w:val="header"/>
    <w:basedOn w:val="Normal"/>
    <w:link w:val="HeaderChar"/>
    <w:uiPriority w:val="99"/>
    <w:unhideWhenUsed/>
    <w:rsid w:val="00FE3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10C"/>
  </w:style>
  <w:style w:type="paragraph" w:styleId="Footer">
    <w:name w:val="footer"/>
    <w:basedOn w:val="Normal"/>
    <w:link w:val="FooterChar"/>
    <w:uiPriority w:val="99"/>
    <w:unhideWhenUsed/>
    <w:rsid w:val="00FE3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worldbank.org/en/topic/agriculture/brief/food-security-update"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fao.org/fileadmin/templates/wsfs/docs/expert_paper/How_to_Feed_the_World_in_2050.pdf" TargetMode="External"/><Relationship Id="rId11" Type="http://schemas.microsoft.com/office/2007/relationships/hdphoto" Target="media/hdphoto2.wdp"/><Relationship Id="rId5" Type="http://schemas.openxmlformats.org/officeDocument/2006/relationships/endnotes" Target="endnote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20</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Machnoor</dc:creator>
  <cp:keywords/>
  <dc:description/>
  <cp:lastModifiedBy>SDI 1084</cp:lastModifiedBy>
  <cp:revision>9</cp:revision>
  <dcterms:created xsi:type="dcterms:W3CDTF">2025-09-20T05:45:00Z</dcterms:created>
  <dcterms:modified xsi:type="dcterms:W3CDTF">2025-10-07T10:30:00Z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241038a0-9f59-48ef-8b32-8e51b7013abd</vt:lpwstr>
  </property>
</Properties>
</file>