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92C6E" w14:textId="77777777" w:rsidR="00E7057E" w:rsidRPr="00E7057E" w:rsidRDefault="00E7057E" w:rsidP="00E7057E">
      <w:pPr>
        <w:spacing w:after="0" w:line="360" w:lineRule="auto"/>
        <w:ind w:left="2832"/>
        <w:jc w:val="right"/>
        <w:rPr>
          <w:rFonts w:ascii="Arial" w:eastAsia="Times New Roman" w:hAnsi="Arial" w:cs="Arial"/>
          <w:b/>
          <w:bCs/>
          <w:sz w:val="40"/>
          <w:szCs w:val="40"/>
          <w:lang w:eastAsia="fr-FR"/>
        </w:rPr>
      </w:pPr>
      <w:r w:rsidRPr="00E7057E">
        <w:rPr>
          <w:rFonts w:ascii="Arial" w:eastAsia="Calibri" w:hAnsi="Arial" w:cs="Arial"/>
          <w:b/>
          <w:bCs/>
          <w:kern w:val="2"/>
          <w:sz w:val="40"/>
          <w:szCs w:val="40"/>
        </w:rPr>
        <w:t xml:space="preserve">Gastroprotective Activity of the Hydroethanolic Leaf Extract of </w:t>
      </w:r>
      <w:r w:rsidRPr="00E7057E">
        <w:rPr>
          <w:rFonts w:ascii="Arial" w:eastAsia="Calibri" w:hAnsi="Arial" w:cs="Arial"/>
          <w:b/>
          <w:bCs/>
          <w:i/>
          <w:iCs/>
          <w:kern w:val="2"/>
          <w:sz w:val="40"/>
          <w:szCs w:val="40"/>
        </w:rPr>
        <w:t>Petiveria alliacea</w:t>
      </w:r>
      <w:r w:rsidRPr="00E7057E">
        <w:rPr>
          <w:rFonts w:ascii="Arial" w:eastAsia="Calibri" w:hAnsi="Arial" w:cs="Arial"/>
          <w:b/>
          <w:bCs/>
          <w:kern w:val="2"/>
          <w:sz w:val="40"/>
          <w:szCs w:val="40"/>
        </w:rPr>
        <w:t xml:space="preserve"> L. in Wistar Rats</w:t>
      </w:r>
    </w:p>
    <w:p w14:paraId="1A6D75BD" w14:textId="77777777" w:rsidR="00B978BE" w:rsidRDefault="00B978BE" w:rsidP="00E7057E">
      <w:pPr>
        <w:spacing w:after="0" w:line="360" w:lineRule="auto"/>
        <w:jc w:val="both"/>
        <w:rPr>
          <w:rFonts w:ascii="Times New Roman" w:eastAsia="Calibri" w:hAnsi="Times New Roman" w:cs="Times New Roman"/>
          <w:b/>
          <w:bCs/>
          <w:kern w:val="2"/>
          <w:sz w:val="24"/>
          <w:szCs w:val="24"/>
          <w:lang w:val="pt-PT"/>
        </w:rPr>
      </w:pPr>
    </w:p>
    <w:p w14:paraId="6BE127DB" w14:textId="77777777" w:rsidR="00B978BE" w:rsidRDefault="00B978BE" w:rsidP="00E7057E">
      <w:pPr>
        <w:spacing w:after="0" w:line="360" w:lineRule="auto"/>
        <w:jc w:val="both"/>
        <w:rPr>
          <w:rFonts w:ascii="Times New Roman" w:eastAsia="Calibri" w:hAnsi="Times New Roman" w:cs="Times New Roman"/>
          <w:b/>
          <w:bCs/>
          <w:kern w:val="2"/>
          <w:sz w:val="24"/>
          <w:szCs w:val="24"/>
          <w:lang w:val="pt-PT"/>
        </w:rPr>
      </w:pPr>
    </w:p>
    <w:p w14:paraId="482B45D7" w14:textId="744A9272" w:rsidR="00E7057E" w:rsidRDefault="00E7057E" w:rsidP="00E7057E">
      <w:pPr>
        <w:spacing w:after="0" w:line="360" w:lineRule="auto"/>
        <w:jc w:val="both"/>
        <w:rPr>
          <w:rFonts w:ascii="Times New Roman" w:eastAsia="Calibri" w:hAnsi="Times New Roman" w:cs="Times New Roman"/>
          <w:kern w:val="2"/>
          <w:sz w:val="24"/>
          <w:szCs w:val="24"/>
          <w:lang w:val="pt-PT"/>
        </w:rPr>
      </w:pPr>
      <w:r w:rsidRPr="00E7057E">
        <w:rPr>
          <w:rFonts w:ascii="Times New Roman" w:eastAsia="Calibri" w:hAnsi="Times New Roman" w:cs="Times New Roman"/>
          <w:b/>
          <w:bCs/>
          <w:kern w:val="2"/>
          <w:sz w:val="24"/>
          <w:szCs w:val="24"/>
          <w:lang w:val="pt-PT"/>
        </w:rPr>
        <w:t>ABSTRACT</w:t>
      </w:r>
    </w:p>
    <w:tbl>
      <w:tblPr>
        <w:tblStyle w:val="TableGrid"/>
        <w:tblW w:w="0" w:type="auto"/>
        <w:tblLook w:val="04A0" w:firstRow="1" w:lastRow="0" w:firstColumn="1" w:lastColumn="0" w:noHBand="0" w:noVBand="1"/>
      </w:tblPr>
      <w:tblGrid>
        <w:gridCol w:w="9212"/>
      </w:tblGrid>
      <w:tr w:rsidR="00E7057E" w14:paraId="42DDC5A1" w14:textId="77777777" w:rsidTr="00E7057E">
        <w:tc>
          <w:tcPr>
            <w:tcW w:w="9212" w:type="dxa"/>
          </w:tcPr>
          <w:p w14:paraId="3F2328B7" w14:textId="77777777" w:rsidR="00E7057E" w:rsidRPr="00A8699D" w:rsidRDefault="00E7057E" w:rsidP="00E7057E">
            <w:pPr>
              <w:spacing w:line="360" w:lineRule="auto"/>
              <w:jc w:val="both"/>
              <w:rPr>
                <w:rFonts w:ascii="Arial" w:eastAsia="Calibri" w:hAnsi="Arial" w:cs="Arial"/>
                <w:kern w:val="2"/>
                <w:sz w:val="20"/>
                <w:szCs w:val="20"/>
              </w:rPr>
            </w:pPr>
            <w:r w:rsidRPr="00E7057E">
              <w:rPr>
                <w:rFonts w:ascii="Arial" w:eastAsia="Calibri" w:hAnsi="Arial" w:cs="Arial"/>
                <w:kern w:val="2"/>
                <w:sz w:val="20"/>
                <w:szCs w:val="20"/>
                <w:lang w:val="pt-PT"/>
              </w:rPr>
              <w:t xml:space="preserve">Gastric ulcer is a multifactorial disorder characterized by disruption of the gastric mucosa, often induced by ethanol, non-steroidal anti-inflammatory drugs (NSAIDs), oxidative stress, or </w:t>
            </w:r>
            <w:r w:rsidRPr="00E7057E">
              <w:rPr>
                <w:rFonts w:ascii="Arial" w:eastAsia="Calibri" w:hAnsi="Arial" w:cs="Arial"/>
                <w:i/>
                <w:iCs/>
                <w:kern w:val="2"/>
                <w:sz w:val="20"/>
                <w:szCs w:val="20"/>
                <w:lang w:val="pt-PT"/>
              </w:rPr>
              <w:t>Helicobacter pylori</w:t>
            </w:r>
            <w:r w:rsidRPr="00E7057E">
              <w:rPr>
                <w:rFonts w:ascii="Arial" w:eastAsia="Calibri" w:hAnsi="Arial" w:cs="Arial"/>
                <w:kern w:val="2"/>
                <w:sz w:val="20"/>
                <w:szCs w:val="20"/>
                <w:lang w:val="pt-PT"/>
              </w:rPr>
              <w:t xml:space="preserve"> infection. This study investigated the gastroprotective activity of the hydroethanolic extract of </w:t>
            </w:r>
            <w:r w:rsidRPr="00E7057E">
              <w:rPr>
                <w:rFonts w:ascii="Arial" w:eastAsia="Calibri" w:hAnsi="Arial" w:cs="Arial"/>
                <w:i/>
                <w:iCs/>
                <w:kern w:val="2"/>
                <w:sz w:val="20"/>
                <w:szCs w:val="20"/>
                <w:lang w:val="pt-PT"/>
              </w:rPr>
              <w:t>Petiveria alliacea</w:t>
            </w:r>
            <w:r w:rsidRPr="00E7057E">
              <w:rPr>
                <w:rFonts w:ascii="Arial" w:eastAsia="Calibri" w:hAnsi="Arial" w:cs="Arial"/>
                <w:kern w:val="2"/>
                <w:sz w:val="20"/>
                <w:szCs w:val="20"/>
                <w:lang w:val="pt-PT"/>
              </w:rPr>
              <w:t xml:space="preserve"> leaves on ethanol-induced gastric ulcers in Wistar rats. The leaves of </w:t>
            </w:r>
            <w:r w:rsidRPr="00E7057E">
              <w:rPr>
                <w:rFonts w:ascii="Arial" w:eastAsia="Calibri" w:hAnsi="Arial" w:cs="Arial"/>
                <w:i/>
                <w:iCs/>
                <w:kern w:val="2"/>
                <w:sz w:val="20"/>
                <w:szCs w:val="20"/>
                <w:lang w:val="pt-PT"/>
              </w:rPr>
              <w:t>Petiveria alliacea</w:t>
            </w:r>
            <w:r w:rsidRPr="00E7057E">
              <w:rPr>
                <w:rFonts w:ascii="Arial" w:eastAsia="Calibri" w:hAnsi="Arial" w:cs="Arial"/>
                <w:kern w:val="2"/>
                <w:sz w:val="20"/>
                <w:szCs w:val="20"/>
                <w:lang w:val="pt-PT"/>
              </w:rPr>
              <w:t xml:space="preserve"> L. were shade-dried, ground into powder, and extracted by maceration in 70% ethanol for 72 hours. The concentrated extract was administered orally to Wistar rats divided into six groups (n = 3), including a healthy control group, an ulcerated group, a group treated with ranitidine (50 mg/kg), and three test groups receiving the extract at doses of 100, 200, and 400 mg/kg, respectively. Gastric ulcers were induced by oral administration of absolute ethanol (96%, 2 mL/rat). One hour later, the stomachs were collected for macroscopic evaluation of lesions. </w:t>
            </w:r>
            <w:r w:rsidRPr="00A8699D">
              <w:rPr>
                <w:rFonts w:ascii="Arial" w:eastAsia="Calibri" w:hAnsi="Arial" w:cs="Arial"/>
                <w:kern w:val="2"/>
                <w:sz w:val="20"/>
                <w:szCs w:val="20"/>
              </w:rPr>
              <w:t>The assessed parameters included the ulceration index, lesion score, and protection index.</w:t>
            </w:r>
            <w:r w:rsidRPr="00E7057E">
              <w:rPr>
                <w:rFonts w:ascii="Arial" w:eastAsia="Calibri" w:hAnsi="Arial" w:cs="Arial"/>
                <w:kern w:val="2"/>
                <w:sz w:val="20"/>
                <w:szCs w:val="20"/>
              </w:rPr>
              <w:t xml:space="preserve"> The results obtained demonstrate a significant and dose-dependent anti-ulcer activity of the </w:t>
            </w:r>
            <w:r w:rsidRPr="00E7057E">
              <w:rPr>
                <w:rFonts w:ascii="Arial" w:eastAsia="Calibri" w:hAnsi="Arial" w:cs="Arial"/>
                <w:i/>
                <w:kern w:val="2"/>
                <w:sz w:val="20"/>
                <w:szCs w:val="20"/>
              </w:rPr>
              <w:t>Petiveria alliacea</w:t>
            </w:r>
            <w:r w:rsidRPr="00E7057E">
              <w:rPr>
                <w:rFonts w:ascii="Arial" w:eastAsia="Calibri" w:hAnsi="Arial" w:cs="Arial"/>
                <w:kern w:val="2"/>
                <w:sz w:val="20"/>
                <w:szCs w:val="20"/>
              </w:rPr>
              <w:t xml:space="preserve"> extract. The ulceration index was markedly reduced in the test groups compared to the ulcer control group (69.8 ± 3.4 mm²), with statistically significant decreases at 100 mg/kg (39.27 ± 3.4 mm</w:t>
            </w:r>
            <w:proofErr w:type="gramStart"/>
            <w:r w:rsidRPr="00E7057E">
              <w:rPr>
                <w:rFonts w:ascii="Arial" w:eastAsia="Calibri" w:hAnsi="Arial" w:cs="Arial"/>
                <w:kern w:val="2"/>
                <w:sz w:val="20"/>
                <w:szCs w:val="20"/>
              </w:rPr>
              <w:t>²;</w:t>
            </w:r>
            <w:proofErr w:type="gramEnd"/>
            <w:r w:rsidRPr="00E7057E">
              <w:rPr>
                <w:rFonts w:ascii="Arial" w:eastAsia="Calibri" w:hAnsi="Arial" w:cs="Arial"/>
                <w:kern w:val="2"/>
                <w:sz w:val="20"/>
                <w:szCs w:val="20"/>
              </w:rPr>
              <w:t xml:space="preserve"> p &lt; 0.05), 200 mg/kg (29.8 ± 2.3 mm²; p &lt; 0.01), and 400 mg/kg (23.3 ± 1.8 mm²; p &lt; 0.01). </w:t>
            </w:r>
            <w:r w:rsidRPr="00A8699D">
              <w:rPr>
                <w:rFonts w:ascii="Arial" w:eastAsia="Calibri" w:hAnsi="Arial" w:cs="Arial"/>
                <w:kern w:val="2"/>
                <w:sz w:val="20"/>
                <w:szCs w:val="20"/>
                <w:lang w:val="da-DK"/>
              </w:rPr>
              <w:t xml:space="preserve">The group treated with ranitidine (50 mg/kg) showed an even greater reduction (19.8 ± 1.6 mm²; p &lt; 0.01). Similarly, ulcer scores were significantly reduced across all test groups, with a progressive improvement according to dose (from 2.9 ± 0.1 to 1.7 ± 0.2; p &lt; 0.01). </w:t>
            </w:r>
            <w:r w:rsidRPr="00E7057E">
              <w:rPr>
                <w:rFonts w:ascii="Arial" w:eastAsia="Calibri" w:hAnsi="Arial" w:cs="Arial"/>
                <w:kern w:val="2"/>
                <w:sz w:val="20"/>
                <w:szCs w:val="20"/>
              </w:rPr>
              <w:t xml:space="preserve">The percentages of ulcer inhibition increased consistently with the dose, reaching 43.73%, 57.3%, and 66.1%, respectively, compared to 71.63% in the ranitidine group. Finally, the protection index confirmed this trend, indicating increasing efficacy of the extract, with the highest level of protection (66.61%) observed at 400 mg/kg, close to that of ranitidine. These results suggest that </w:t>
            </w:r>
            <w:r w:rsidRPr="00E7057E">
              <w:rPr>
                <w:rFonts w:ascii="Arial" w:eastAsia="Calibri" w:hAnsi="Arial" w:cs="Arial"/>
                <w:i/>
                <w:iCs/>
                <w:kern w:val="2"/>
                <w:sz w:val="20"/>
                <w:szCs w:val="20"/>
              </w:rPr>
              <w:t>P. alliacea</w:t>
            </w:r>
            <w:r w:rsidRPr="00E7057E">
              <w:rPr>
                <w:rFonts w:ascii="Arial" w:eastAsia="Calibri" w:hAnsi="Arial" w:cs="Arial"/>
                <w:kern w:val="2"/>
                <w:sz w:val="20"/>
                <w:szCs w:val="20"/>
              </w:rPr>
              <w:t xml:space="preserve"> exerts cytoprotective effects likely related to its phenolic and flavonoid constituents. The findings support the traditional use of </w:t>
            </w:r>
            <w:r w:rsidRPr="00E7057E">
              <w:rPr>
                <w:rFonts w:ascii="Arial" w:eastAsia="Calibri" w:hAnsi="Arial" w:cs="Arial"/>
                <w:i/>
                <w:iCs/>
                <w:kern w:val="2"/>
                <w:sz w:val="20"/>
                <w:szCs w:val="20"/>
              </w:rPr>
              <w:t>P. alliacea</w:t>
            </w:r>
            <w:r w:rsidRPr="00E7057E">
              <w:rPr>
                <w:rFonts w:ascii="Arial" w:eastAsia="Calibri" w:hAnsi="Arial" w:cs="Arial"/>
                <w:kern w:val="2"/>
                <w:sz w:val="20"/>
                <w:szCs w:val="20"/>
              </w:rPr>
              <w:t xml:space="preserve"> in the management of gastric ulcers.</w:t>
            </w:r>
          </w:p>
        </w:tc>
      </w:tr>
    </w:tbl>
    <w:p w14:paraId="50F38076" w14:textId="37C2F3EC" w:rsidR="00E7057E" w:rsidRDefault="00E7057E" w:rsidP="00E7057E">
      <w:pPr>
        <w:spacing w:after="0" w:line="360" w:lineRule="auto"/>
        <w:jc w:val="both"/>
        <w:rPr>
          <w:rFonts w:ascii="Arial" w:eastAsia="Calibri" w:hAnsi="Arial" w:cs="Arial"/>
          <w:kern w:val="2"/>
          <w:sz w:val="20"/>
          <w:szCs w:val="20"/>
        </w:rPr>
      </w:pPr>
      <w:proofErr w:type="gramStart"/>
      <w:r w:rsidRPr="00E7057E">
        <w:rPr>
          <w:rFonts w:ascii="Arial" w:eastAsia="Calibri" w:hAnsi="Arial" w:cs="Arial"/>
          <w:b/>
          <w:bCs/>
          <w:kern w:val="2"/>
          <w:sz w:val="20"/>
          <w:szCs w:val="20"/>
        </w:rPr>
        <w:t>Keywords</w:t>
      </w:r>
      <w:r w:rsidRPr="00E7057E">
        <w:rPr>
          <w:rFonts w:ascii="Arial" w:eastAsia="Calibri" w:hAnsi="Arial" w:cs="Arial"/>
          <w:kern w:val="2"/>
          <w:sz w:val="20"/>
          <w:szCs w:val="20"/>
        </w:rPr>
        <w:t>:</w:t>
      </w:r>
      <w:proofErr w:type="gramEnd"/>
      <w:r w:rsidRPr="00E7057E">
        <w:rPr>
          <w:rFonts w:ascii="Arial" w:eastAsia="Calibri" w:hAnsi="Arial" w:cs="Arial"/>
          <w:kern w:val="2"/>
          <w:sz w:val="20"/>
          <w:szCs w:val="20"/>
        </w:rPr>
        <w:t xml:space="preserve"> </w:t>
      </w:r>
      <w:r w:rsidRPr="00E7057E">
        <w:rPr>
          <w:rFonts w:ascii="Arial" w:eastAsia="Calibri" w:hAnsi="Arial" w:cs="Arial"/>
          <w:i/>
          <w:iCs/>
          <w:kern w:val="2"/>
          <w:sz w:val="20"/>
          <w:szCs w:val="20"/>
        </w:rPr>
        <w:t>Petiveria alliacea</w:t>
      </w:r>
      <w:r w:rsidRPr="00E7057E">
        <w:rPr>
          <w:rFonts w:ascii="Arial" w:eastAsia="Calibri" w:hAnsi="Arial" w:cs="Arial"/>
          <w:kern w:val="2"/>
          <w:sz w:val="20"/>
          <w:szCs w:val="20"/>
        </w:rPr>
        <w:t>, gastric ulcer, ethanol, gastroprotection, oxidative stress, traditional medicine.</w:t>
      </w:r>
    </w:p>
    <w:p w14:paraId="4D1465D9" w14:textId="229409C1" w:rsidR="00B978BE" w:rsidRDefault="00B978BE" w:rsidP="00E7057E">
      <w:pPr>
        <w:spacing w:after="0" w:line="360" w:lineRule="auto"/>
        <w:jc w:val="both"/>
        <w:rPr>
          <w:rFonts w:ascii="Arial" w:eastAsia="Calibri" w:hAnsi="Arial" w:cs="Arial"/>
          <w:kern w:val="2"/>
          <w:sz w:val="20"/>
          <w:szCs w:val="20"/>
        </w:rPr>
      </w:pPr>
    </w:p>
    <w:p w14:paraId="2446F560" w14:textId="77777777" w:rsidR="00B978BE" w:rsidRPr="00E7057E" w:rsidRDefault="00B978BE" w:rsidP="00E7057E">
      <w:pPr>
        <w:spacing w:after="0" w:line="360" w:lineRule="auto"/>
        <w:jc w:val="both"/>
        <w:rPr>
          <w:rFonts w:ascii="Arial" w:eastAsia="Calibri" w:hAnsi="Arial" w:cs="Arial"/>
          <w:kern w:val="2"/>
          <w:sz w:val="20"/>
          <w:szCs w:val="20"/>
        </w:rPr>
      </w:pPr>
    </w:p>
    <w:p w14:paraId="289419F1" w14:textId="77777777" w:rsidR="00E7057E" w:rsidRPr="00E7057E" w:rsidRDefault="00E7057E" w:rsidP="00E7057E">
      <w:pPr>
        <w:spacing w:after="0" w:line="360" w:lineRule="auto"/>
        <w:jc w:val="both"/>
        <w:rPr>
          <w:rFonts w:ascii="Times New Roman" w:eastAsia="Times New Roman" w:hAnsi="Times New Roman" w:cs="Times New Roman"/>
          <w:b/>
          <w:bCs/>
          <w:sz w:val="24"/>
          <w:szCs w:val="24"/>
          <w:lang w:eastAsia="fr-FR"/>
        </w:rPr>
      </w:pPr>
    </w:p>
    <w:p w14:paraId="54B3FBAE" w14:textId="77777777" w:rsidR="00E7057E" w:rsidRPr="00E7057E" w:rsidRDefault="00E7057E" w:rsidP="00E7057E">
      <w:pPr>
        <w:pStyle w:val="ListParagraph"/>
        <w:numPr>
          <w:ilvl w:val="0"/>
          <w:numId w:val="5"/>
        </w:numPr>
        <w:spacing w:after="0" w:line="360" w:lineRule="auto"/>
        <w:jc w:val="both"/>
        <w:rPr>
          <w:rFonts w:ascii="Arial" w:eastAsia="Times New Roman" w:hAnsi="Arial" w:cs="Arial"/>
          <w:sz w:val="24"/>
          <w:szCs w:val="24"/>
          <w:lang w:eastAsia="fr-FR"/>
        </w:rPr>
      </w:pPr>
      <w:r w:rsidRPr="00E7057E">
        <w:rPr>
          <w:rFonts w:ascii="Arial" w:eastAsia="Times New Roman" w:hAnsi="Arial" w:cs="Arial"/>
          <w:b/>
          <w:bCs/>
          <w:sz w:val="24"/>
          <w:szCs w:val="24"/>
          <w:lang w:eastAsia="fr-FR"/>
        </w:rPr>
        <w:lastRenderedPageBreak/>
        <w:t>INTRODUCTION</w:t>
      </w:r>
    </w:p>
    <w:p w14:paraId="17CB26D8" w14:textId="77777777" w:rsidR="00E7057E" w:rsidRPr="00E7057E" w:rsidRDefault="00E7057E" w:rsidP="00E7057E">
      <w:pPr>
        <w:spacing w:after="0" w:line="360" w:lineRule="auto"/>
        <w:jc w:val="both"/>
        <w:rPr>
          <w:rFonts w:ascii="Arial" w:eastAsia="Times New Roman" w:hAnsi="Arial" w:cs="Arial"/>
          <w:sz w:val="20"/>
          <w:szCs w:val="20"/>
          <w:lang w:eastAsia="fr-FR"/>
        </w:rPr>
      </w:pPr>
      <w:r w:rsidRPr="00E7057E">
        <w:rPr>
          <w:rFonts w:ascii="Arial" w:eastAsia="Times New Roman" w:hAnsi="Arial" w:cs="Arial"/>
          <w:sz w:val="20"/>
          <w:szCs w:val="20"/>
          <w:lang w:eastAsia="fr-FR"/>
        </w:rPr>
        <w:t>Gastric disorders, particularly peptic ulcers, represent a major global public health concern, affecting millions of individuals annually. They are among the leading causes of morbidity and healthcare expenses, especially in low- and middle-income countries where access to medical care remains limited</w:t>
      </w:r>
      <w:r w:rsidR="0005390E">
        <w:rPr>
          <w:rFonts w:ascii="Arial" w:eastAsia="Times New Roman" w:hAnsi="Arial" w:cs="Arial"/>
          <w:sz w:val="20"/>
          <w:szCs w:val="20"/>
          <w:lang w:eastAsia="fr-FR"/>
        </w:rPr>
        <w:t xml:space="preserve"> (</w:t>
      </w:r>
      <w:r w:rsidR="0005390E" w:rsidRPr="0005390E">
        <w:rPr>
          <w:rFonts w:ascii="Arial" w:eastAsia="Times New Roman" w:hAnsi="Arial" w:cs="Arial"/>
          <w:sz w:val="20"/>
          <w:szCs w:val="20"/>
          <w:lang w:eastAsia="fr-FR"/>
        </w:rPr>
        <w:t>Kashyap</w:t>
      </w:r>
      <w:r w:rsidR="0005390E">
        <w:rPr>
          <w:rFonts w:ascii="Arial" w:eastAsia="Times New Roman" w:hAnsi="Arial" w:cs="Arial"/>
          <w:sz w:val="20"/>
          <w:szCs w:val="20"/>
          <w:lang w:eastAsia="fr-FR"/>
        </w:rPr>
        <w:t xml:space="preserve"> et al</w:t>
      </w:r>
      <w:r w:rsidRPr="00E7057E">
        <w:rPr>
          <w:rFonts w:ascii="Arial" w:eastAsia="Times New Roman" w:hAnsi="Arial" w:cs="Arial"/>
          <w:sz w:val="20"/>
          <w:szCs w:val="20"/>
          <w:lang w:eastAsia="fr-FR"/>
        </w:rPr>
        <w:t>.</w:t>
      </w:r>
      <w:r w:rsidR="0005390E" w:rsidRPr="0005390E">
        <w:rPr>
          <w:rFonts w:ascii="Arial" w:eastAsia="Times New Roman" w:hAnsi="Arial" w:cs="Arial"/>
          <w:sz w:val="20"/>
          <w:szCs w:val="20"/>
          <w:lang w:eastAsia="fr-FR"/>
        </w:rPr>
        <w:t>,</w:t>
      </w:r>
      <w:r w:rsidR="0005390E">
        <w:rPr>
          <w:rFonts w:ascii="Arial" w:eastAsia="Times New Roman" w:hAnsi="Arial" w:cs="Arial"/>
          <w:sz w:val="20"/>
          <w:szCs w:val="20"/>
          <w:lang w:eastAsia="fr-FR"/>
        </w:rPr>
        <w:t xml:space="preserve"> 2015).</w:t>
      </w:r>
      <w:r w:rsidRPr="00E7057E">
        <w:rPr>
          <w:rFonts w:ascii="Arial" w:eastAsia="Times New Roman" w:hAnsi="Arial" w:cs="Arial"/>
          <w:sz w:val="20"/>
          <w:szCs w:val="20"/>
          <w:lang w:eastAsia="fr-FR"/>
        </w:rPr>
        <w:t xml:space="preserve"> These gastrointestinal lesions result from a pathological imbalance between aggressive factorssuch as hydrochloric acid, pepsin, free radicals, non-steroidal anti-inflammatory drugs (NSAIDs), and </w:t>
      </w:r>
      <w:r w:rsidRPr="00E7057E">
        <w:rPr>
          <w:rFonts w:ascii="Arial" w:eastAsia="Times New Roman" w:hAnsi="Arial" w:cs="Arial"/>
          <w:i/>
          <w:iCs/>
          <w:sz w:val="20"/>
          <w:szCs w:val="20"/>
          <w:lang w:eastAsia="fr-FR"/>
        </w:rPr>
        <w:t>Helicobacter pylori</w:t>
      </w:r>
      <w:r w:rsidRPr="00E7057E">
        <w:rPr>
          <w:rFonts w:ascii="Arial" w:eastAsia="Times New Roman" w:hAnsi="Arial" w:cs="Arial"/>
          <w:sz w:val="20"/>
          <w:szCs w:val="20"/>
          <w:lang w:eastAsia="fr-FR"/>
        </w:rPr>
        <w:t>and the protective mechanisms of the gastric mucosa, including mucus secretion, bicarbonate production, prostaglandin synthesis, mucosal blood flow, and cellular regeneration</w:t>
      </w:r>
      <w:r w:rsidR="0005390E">
        <w:rPr>
          <w:rFonts w:ascii="Arial" w:eastAsia="Times New Roman" w:hAnsi="Arial" w:cs="Arial"/>
          <w:sz w:val="20"/>
          <w:szCs w:val="20"/>
          <w:lang w:eastAsia="fr-FR"/>
        </w:rPr>
        <w:t xml:space="preserve"> (</w:t>
      </w:r>
      <w:r w:rsidR="0005390E" w:rsidRPr="0005390E">
        <w:rPr>
          <w:rFonts w:ascii="Arial" w:eastAsia="Times New Roman" w:hAnsi="Arial" w:cs="Arial"/>
          <w:sz w:val="20"/>
          <w:szCs w:val="20"/>
          <w:lang w:eastAsia="fr-FR"/>
        </w:rPr>
        <w:t>Suleyman</w:t>
      </w:r>
      <w:r w:rsidR="0005390E" w:rsidRPr="0005390E">
        <w:t xml:space="preserve"> </w:t>
      </w:r>
      <w:r w:rsidR="0005390E" w:rsidRPr="004A11DB">
        <w:rPr>
          <w:rFonts w:ascii="Arial" w:eastAsia="Times New Roman" w:hAnsi="Arial" w:cs="Arial"/>
          <w:i/>
          <w:sz w:val="20"/>
          <w:szCs w:val="20"/>
          <w:lang w:eastAsia="fr-FR"/>
        </w:rPr>
        <w:t>et al</w:t>
      </w:r>
      <w:r w:rsidR="0005390E">
        <w:rPr>
          <w:rFonts w:ascii="Arial" w:eastAsia="Times New Roman" w:hAnsi="Arial" w:cs="Arial"/>
          <w:sz w:val="20"/>
          <w:szCs w:val="20"/>
          <w:lang w:eastAsia="fr-FR"/>
        </w:rPr>
        <w:t xml:space="preserve">., 2010 ; </w:t>
      </w:r>
      <w:r w:rsidR="0005390E" w:rsidRPr="0005390E">
        <w:rPr>
          <w:rFonts w:ascii="Arial" w:eastAsia="Times New Roman" w:hAnsi="Arial" w:cs="Arial"/>
          <w:sz w:val="20"/>
          <w:szCs w:val="20"/>
          <w:lang w:eastAsia="fr-FR"/>
        </w:rPr>
        <w:t>Konturek</w:t>
      </w:r>
      <w:r w:rsidR="0005390E" w:rsidRPr="0005390E">
        <w:t xml:space="preserve"> </w:t>
      </w:r>
      <w:r w:rsidR="0005390E" w:rsidRPr="004A11DB">
        <w:rPr>
          <w:rFonts w:ascii="Arial" w:eastAsia="Times New Roman" w:hAnsi="Arial" w:cs="Arial"/>
          <w:i/>
          <w:sz w:val="20"/>
          <w:szCs w:val="20"/>
          <w:lang w:eastAsia="fr-FR"/>
        </w:rPr>
        <w:t>et al</w:t>
      </w:r>
      <w:r w:rsidR="0005390E">
        <w:rPr>
          <w:rFonts w:ascii="Arial" w:eastAsia="Times New Roman" w:hAnsi="Arial" w:cs="Arial"/>
          <w:sz w:val="20"/>
          <w:szCs w:val="20"/>
          <w:lang w:eastAsia="fr-FR"/>
        </w:rPr>
        <w:t xml:space="preserve">., </w:t>
      </w:r>
      <w:proofErr w:type="gramStart"/>
      <w:r w:rsidR="0005390E">
        <w:rPr>
          <w:rFonts w:ascii="Arial" w:eastAsia="Times New Roman" w:hAnsi="Arial" w:cs="Arial"/>
          <w:sz w:val="20"/>
          <w:szCs w:val="20"/>
          <w:lang w:eastAsia="fr-FR"/>
        </w:rPr>
        <w:t>2011</w:t>
      </w:r>
      <w:r w:rsidR="0005390E" w:rsidRPr="0005390E">
        <w:rPr>
          <w:rFonts w:ascii="Arial" w:eastAsia="Times New Roman" w:hAnsi="Arial" w:cs="Arial"/>
          <w:sz w:val="20"/>
          <w:szCs w:val="20"/>
          <w:lang w:eastAsia="fr-FR"/>
        </w:rPr>
        <w:t xml:space="preserve"> </w:t>
      </w:r>
      <w:r w:rsidR="0005390E">
        <w:rPr>
          <w:rFonts w:ascii="Arial" w:eastAsia="Times New Roman" w:hAnsi="Arial" w:cs="Arial"/>
          <w:sz w:val="20"/>
          <w:szCs w:val="20"/>
          <w:lang w:eastAsia="fr-FR"/>
        </w:rPr>
        <w:t>)</w:t>
      </w:r>
      <w:bookmarkStart w:id="0" w:name="_Hlk197895239"/>
      <w:proofErr w:type="gramEnd"/>
      <w:r w:rsidRPr="00E7057E">
        <w:rPr>
          <w:rFonts w:ascii="Arial" w:eastAsia="Times New Roman" w:hAnsi="Arial" w:cs="Arial"/>
          <w:sz w:val="20"/>
          <w:szCs w:val="20"/>
          <w:lang w:eastAsia="fr-FR"/>
        </w:rPr>
        <w:t>.</w:t>
      </w:r>
      <w:bookmarkEnd w:id="0"/>
    </w:p>
    <w:p w14:paraId="679DDDC5" w14:textId="77777777" w:rsidR="00E7057E" w:rsidRPr="00E7057E" w:rsidRDefault="00E7057E" w:rsidP="00E7057E">
      <w:pPr>
        <w:spacing w:after="0" w:line="360" w:lineRule="auto"/>
        <w:jc w:val="both"/>
        <w:rPr>
          <w:rFonts w:ascii="Arial" w:eastAsia="Times New Roman" w:hAnsi="Arial" w:cs="Arial"/>
          <w:sz w:val="20"/>
          <w:szCs w:val="20"/>
          <w:lang w:eastAsia="fr-FR"/>
        </w:rPr>
      </w:pPr>
      <w:r w:rsidRPr="00E7057E">
        <w:rPr>
          <w:rFonts w:ascii="Arial" w:eastAsia="Times New Roman" w:hAnsi="Arial" w:cs="Arial"/>
          <w:sz w:val="20"/>
          <w:szCs w:val="20"/>
          <w:lang w:eastAsia="fr-FR"/>
        </w:rPr>
        <w:t>Conventional therapies mainly involve proton pump inhibitors (PPIs), H</w:t>
      </w:r>
      <w:r w:rsidRPr="00E7057E">
        <w:rPr>
          <w:rFonts w:ascii="Arial" w:eastAsia="Times New Roman" w:hAnsi="Arial" w:cs="Arial"/>
          <w:sz w:val="20"/>
          <w:szCs w:val="20"/>
          <w:vertAlign w:val="subscript"/>
          <w:lang w:eastAsia="fr-FR"/>
        </w:rPr>
        <w:t>2</w:t>
      </w:r>
      <w:r w:rsidRPr="00E7057E">
        <w:rPr>
          <w:rFonts w:ascii="Arial" w:eastAsia="Times New Roman" w:hAnsi="Arial" w:cs="Arial"/>
          <w:sz w:val="20"/>
          <w:szCs w:val="20"/>
          <w:lang w:eastAsia="fr-FR"/>
        </w:rPr>
        <w:t xml:space="preserve"> receptor antagonists, anticholinergics, and antibiotics in cases linked to </w:t>
      </w:r>
      <w:r w:rsidRPr="00E7057E">
        <w:rPr>
          <w:rFonts w:ascii="Arial" w:eastAsia="Times New Roman" w:hAnsi="Arial" w:cs="Arial"/>
          <w:i/>
          <w:iCs/>
          <w:sz w:val="20"/>
          <w:szCs w:val="20"/>
          <w:lang w:eastAsia="fr-FR"/>
        </w:rPr>
        <w:t>H. pylori</w:t>
      </w:r>
      <w:r w:rsidRPr="00E7057E">
        <w:rPr>
          <w:rFonts w:ascii="Arial" w:eastAsia="Times New Roman" w:hAnsi="Arial" w:cs="Arial"/>
          <w:sz w:val="20"/>
          <w:szCs w:val="20"/>
          <w:lang w:eastAsia="fr-FR"/>
        </w:rPr>
        <w:t xml:space="preserve"> infection. While effective, long-term use of these treatments is often associated with significant adverse effects (e.g., diarrhea, headaches, opportunistic infections, disruption of gut microbiota), high recurrence rates after discontinuation, and substantial economic burden for patients</w:t>
      </w:r>
      <w:r w:rsidR="004A11DB">
        <w:rPr>
          <w:rFonts w:ascii="Arial" w:eastAsia="Times New Roman" w:hAnsi="Arial" w:cs="Arial"/>
          <w:sz w:val="20"/>
          <w:szCs w:val="20"/>
          <w:lang w:eastAsia="fr-FR"/>
        </w:rPr>
        <w:t xml:space="preserve"> (</w:t>
      </w:r>
      <w:r w:rsidR="004A11DB" w:rsidRPr="004A11DB">
        <w:rPr>
          <w:rFonts w:ascii="Arial" w:eastAsia="Times New Roman" w:hAnsi="Arial" w:cs="Arial"/>
          <w:sz w:val="20"/>
          <w:szCs w:val="20"/>
          <w:lang w:eastAsia="fr-FR"/>
        </w:rPr>
        <w:t>Zhou</w:t>
      </w:r>
      <w:r w:rsidR="004A11DB" w:rsidRPr="004A11DB">
        <w:rPr>
          <w:rFonts w:ascii="Arial" w:eastAsia="Times New Roman" w:hAnsi="Arial" w:cs="Arial"/>
          <w:i/>
          <w:sz w:val="20"/>
          <w:szCs w:val="20"/>
          <w:lang w:eastAsia="fr-FR"/>
        </w:rPr>
        <w:t xml:space="preserve"> et al</w:t>
      </w:r>
      <w:r w:rsidR="004A11DB">
        <w:rPr>
          <w:rFonts w:ascii="Arial" w:eastAsia="Times New Roman" w:hAnsi="Arial" w:cs="Arial"/>
          <w:sz w:val="20"/>
          <w:szCs w:val="20"/>
          <w:lang w:eastAsia="fr-FR"/>
        </w:rPr>
        <w:t xml:space="preserve">., </w:t>
      </w:r>
      <w:proofErr w:type="gramStart"/>
      <w:r w:rsidR="004A11DB">
        <w:rPr>
          <w:rFonts w:ascii="Arial" w:eastAsia="Times New Roman" w:hAnsi="Arial" w:cs="Arial"/>
          <w:sz w:val="20"/>
          <w:szCs w:val="20"/>
          <w:lang w:eastAsia="fr-FR"/>
        </w:rPr>
        <w:t>2018</w:t>
      </w:r>
      <w:r w:rsidR="004A11DB" w:rsidRPr="0005390E">
        <w:rPr>
          <w:rFonts w:ascii="Arial" w:eastAsia="Times New Roman" w:hAnsi="Arial" w:cs="Arial"/>
          <w:sz w:val="20"/>
          <w:szCs w:val="20"/>
          <w:lang w:eastAsia="fr-FR"/>
        </w:rPr>
        <w:t xml:space="preserve"> </w:t>
      </w:r>
      <w:r w:rsidR="004A11DB">
        <w:rPr>
          <w:rFonts w:ascii="Arial" w:eastAsia="Times New Roman" w:hAnsi="Arial" w:cs="Arial"/>
          <w:sz w:val="20"/>
          <w:szCs w:val="20"/>
          <w:lang w:eastAsia="fr-FR"/>
        </w:rPr>
        <w:t>)</w:t>
      </w:r>
      <w:proofErr w:type="gramEnd"/>
      <w:r w:rsidR="004A11DB" w:rsidRPr="00E7057E">
        <w:rPr>
          <w:rFonts w:ascii="Arial" w:eastAsia="Times New Roman" w:hAnsi="Arial" w:cs="Arial"/>
          <w:sz w:val="20"/>
          <w:szCs w:val="20"/>
          <w:lang w:eastAsia="fr-FR"/>
        </w:rPr>
        <w:t>.</w:t>
      </w:r>
      <w:r w:rsidR="004A11DB">
        <w:rPr>
          <w:rFonts w:ascii="Arial" w:eastAsia="Times New Roman" w:hAnsi="Arial" w:cs="Arial"/>
          <w:sz w:val="20"/>
          <w:szCs w:val="20"/>
          <w:lang w:eastAsia="fr-FR"/>
        </w:rPr>
        <w:t xml:space="preserve"> </w:t>
      </w:r>
      <w:r w:rsidRPr="00E7057E">
        <w:rPr>
          <w:rFonts w:ascii="Arial" w:eastAsia="Times New Roman" w:hAnsi="Arial" w:cs="Arial"/>
          <w:sz w:val="20"/>
          <w:szCs w:val="20"/>
          <w:lang w:eastAsia="fr-FR"/>
        </w:rPr>
        <w:t xml:space="preserve">Moreover, the emergence of bacterial resistance to antibiotics such as clarithromycin and metronidazole has severely hampered the effective management of infection-related ulcers </w:t>
      </w:r>
      <w:r w:rsidR="004A11DB">
        <w:rPr>
          <w:rFonts w:ascii="Arial" w:eastAsia="Times New Roman" w:hAnsi="Arial" w:cs="Arial"/>
          <w:sz w:val="20"/>
          <w:szCs w:val="20"/>
          <w:lang w:eastAsia="fr-FR"/>
        </w:rPr>
        <w:t>(</w:t>
      </w:r>
      <w:r w:rsidR="004A11DB" w:rsidRPr="004A11DB">
        <w:rPr>
          <w:rFonts w:ascii="Arial" w:eastAsia="Times New Roman" w:hAnsi="Arial" w:cs="Arial"/>
          <w:sz w:val="20"/>
          <w:szCs w:val="20"/>
          <w:lang w:eastAsia="fr-FR"/>
        </w:rPr>
        <w:t>Thung</w:t>
      </w:r>
      <w:r w:rsidR="004A11DB" w:rsidRPr="004A11DB">
        <w:rPr>
          <w:rFonts w:ascii="Arial" w:eastAsia="Times New Roman" w:hAnsi="Arial" w:cs="Arial"/>
          <w:i/>
          <w:sz w:val="20"/>
          <w:szCs w:val="20"/>
          <w:lang w:eastAsia="fr-FR"/>
        </w:rPr>
        <w:t xml:space="preserve"> et al</w:t>
      </w:r>
      <w:r w:rsidR="004A11DB">
        <w:rPr>
          <w:rFonts w:ascii="Arial" w:eastAsia="Times New Roman" w:hAnsi="Arial" w:cs="Arial"/>
          <w:sz w:val="20"/>
          <w:szCs w:val="20"/>
          <w:lang w:eastAsia="fr-FR"/>
        </w:rPr>
        <w:t xml:space="preserve">., </w:t>
      </w:r>
      <w:proofErr w:type="gramStart"/>
      <w:r w:rsidR="004A11DB">
        <w:rPr>
          <w:rFonts w:ascii="Arial" w:eastAsia="Times New Roman" w:hAnsi="Arial" w:cs="Arial"/>
          <w:sz w:val="20"/>
          <w:szCs w:val="20"/>
          <w:lang w:eastAsia="fr-FR"/>
        </w:rPr>
        <w:t>2016</w:t>
      </w:r>
      <w:r w:rsidR="004A11DB" w:rsidRPr="0005390E">
        <w:rPr>
          <w:rFonts w:ascii="Arial" w:eastAsia="Times New Roman" w:hAnsi="Arial" w:cs="Arial"/>
          <w:sz w:val="20"/>
          <w:szCs w:val="20"/>
          <w:lang w:eastAsia="fr-FR"/>
        </w:rPr>
        <w:t xml:space="preserve"> </w:t>
      </w:r>
      <w:r w:rsidR="004A11DB">
        <w:rPr>
          <w:rFonts w:ascii="Arial" w:eastAsia="Times New Roman" w:hAnsi="Arial" w:cs="Arial"/>
          <w:sz w:val="20"/>
          <w:szCs w:val="20"/>
          <w:lang w:eastAsia="fr-FR"/>
        </w:rPr>
        <w:t>)</w:t>
      </w:r>
      <w:proofErr w:type="gramEnd"/>
      <w:r w:rsidR="004A11DB" w:rsidRPr="00E7057E">
        <w:rPr>
          <w:rFonts w:ascii="Arial" w:eastAsia="Times New Roman" w:hAnsi="Arial" w:cs="Arial"/>
          <w:sz w:val="20"/>
          <w:szCs w:val="20"/>
          <w:lang w:eastAsia="fr-FR"/>
        </w:rPr>
        <w:t>.</w:t>
      </w:r>
    </w:p>
    <w:p w14:paraId="2E51BC56" w14:textId="77777777" w:rsidR="00E7057E" w:rsidRPr="00E7057E" w:rsidRDefault="00E7057E" w:rsidP="00E7057E">
      <w:pPr>
        <w:spacing w:after="0" w:line="360" w:lineRule="auto"/>
        <w:jc w:val="both"/>
        <w:rPr>
          <w:rFonts w:ascii="Arial" w:eastAsia="Times New Roman" w:hAnsi="Arial" w:cs="Arial"/>
          <w:sz w:val="20"/>
          <w:szCs w:val="20"/>
          <w:lang w:eastAsia="fr-FR"/>
        </w:rPr>
      </w:pPr>
      <w:r w:rsidRPr="00E7057E">
        <w:rPr>
          <w:rFonts w:ascii="Arial" w:eastAsia="Times New Roman" w:hAnsi="Arial" w:cs="Arial"/>
          <w:sz w:val="20"/>
          <w:szCs w:val="20"/>
          <w:lang w:eastAsia="fr-FR"/>
        </w:rPr>
        <w:t xml:space="preserve">In this context, the search for safer, more affordable, and better-tolerated alternative therapies has become a priority. Medicinal plants are a rich source of bioactive compounds with anti-inflammatory, antioxidant, healing, and gastroprotective properties. According to the World Health Organization </w:t>
      </w:r>
      <w:bookmarkStart w:id="1" w:name="_Hlk197896146"/>
      <w:r w:rsidR="00717CF0" w:rsidRPr="00717CF0">
        <w:rPr>
          <w:rFonts w:ascii="Arial" w:eastAsia="Times New Roman" w:hAnsi="Arial" w:cs="Arial"/>
          <w:sz w:val="20"/>
          <w:szCs w:val="20"/>
          <w:lang w:eastAsia="fr-FR"/>
        </w:rPr>
        <w:t>(WHO</w:t>
      </w:r>
      <w:r w:rsidR="00717CF0">
        <w:rPr>
          <w:rFonts w:ascii="Arial" w:eastAsia="Times New Roman" w:hAnsi="Arial" w:cs="Arial"/>
          <w:sz w:val="20"/>
          <w:szCs w:val="20"/>
          <w:lang w:eastAsia="fr-FR"/>
        </w:rPr>
        <w:t xml:space="preserve"> et al., </w:t>
      </w:r>
      <w:proofErr w:type="gramStart"/>
      <w:r w:rsidR="00717CF0">
        <w:rPr>
          <w:rFonts w:ascii="Arial" w:eastAsia="Times New Roman" w:hAnsi="Arial" w:cs="Arial"/>
          <w:sz w:val="20"/>
          <w:szCs w:val="20"/>
          <w:lang w:eastAsia="fr-FR"/>
        </w:rPr>
        <w:t>2013</w:t>
      </w:r>
      <w:r w:rsidR="00717CF0" w:rsidRPr="00717CF0">
        <w:rPr>
          <w:rFonts w:ascii="Arial" w:eastAsia="Times New Roman" w:hAnsi="Arial" w:cs="Arial"/>
          <w:sz w:val="20"/>
          <w:szCs w:val="20"/>
          <w:lang w:eastAsia="fr-FR"/>
        </w:rPr>
        <w:t xml:space="preserve"> )</w:t>
      </w:r>
      <w:bookmarkEnd w:id="1"/>
      <w:proofErr w:type="gramEnd"/>
      <w:r w:rsidR="00717CF0">
        <w:rPr>
          <w:rFonts w:ascii="Arial" w:eastAsia="Times New Roman" w:hAnsi="Arial" w:cs="Arial"/>
          <w:sz w:val="20"/>
          <w:szCs w:val="20"/>
          <w:lang w:eastAsia="fr-FR"/>
        </w:rPr>
        <w:t xml:space="preserve"> </w:t>
      </w:r>
      <w:r w:rsidRPr="00E7057E">
        <w:rPr>
          <w:rFonts w:ascii="Arial" w:eastAsia="Times New Roman" w:hAnsi="Arial" w:cs="Arial"/>
          <w:sz w:val="20"/>
          <w:szCs w:val="20"/>
          <w:lang w:eastAsia="fr-FR"/>
        </w:rPr>
        <w:t xml:space="preserve">, over 80% of the population in developing countries relies on plant-based traditional medicine as their primary healthcare resource. The therapeutic efficacy of these plants is mainly attributed to secondary metabolites such as flavonoids, saponins, tannins, alkaloids, and phenolic compounds, many of which have been extensively studied for their mucosal protective effects </w:t>
      </w:r>
      <w:bookmarkStart w:id="2" w:name="_Hlk197896523"/>
      <w:r w:rsidR="00072F39" w:rsidRPr="00072F39">
        <w:rPr>
          <w:rFonts w:ascii="Arial" w:eastAsia="Times New Roman" w:hAnsi="Arial" w:cs="Arial"/>
          <w:sz w:val="20"/>
          <w:szCs w:val="20"/>
          <w:lang w:eastAsia="fr-FR"/>
        </w:rPr>
        <w:t>(Shay</w:t>
      </w:r>
      <w:r w:rsidR="00072F39">
        <w:rPr>
          <w:rFonts w:ascii="Arial" w:eastAsia="Times New Roman" w:hAnsi="Arial" w:cs="Arial"/>
          <w:sz w:val="20"/>
          <w:szCs w:val="20"/>
          <w:lang w:eastAsia="fr-FR"/>
        </w:rPr>
        <w:t xml:space="preserve"> et al., </w:t>
      </w:r>
      <w:proofErr w:type="gramStart"/>
      <w:r w:rsidR="00072F39">
        <w:rPr>
          <w:rFonts w:ascii="Arial" w:eastAsia="Times New Roman" w:hAnsi="Arial" w:cs="Arial"/>
          <w:sz w:val="20"/>
          <w:szCs w:val="20"/>
          <w:lang w:eastAsia="fr-FR"/>
        </w:rPr>
        <w:t>2005</w:t>
      </w:r>
      <w:r w:rsidR="00072F39" w:rsidRPr="00072F39">
        <w:rPr>
          <w:rFonts w:ascii="Arial" w:eastAsia="Times New Roman" w:hAnsi="Arial" w:cs="Arial"/>
          <w:sz w:val="20"/>
          <w:szCs w:val="20"/>
          <w:lang w:eastAsia="fr-FR"/>
        </w:rPr>
        <w:t xml:space="preserve"> )</w:t>
      </w:r>
      <w:proofErr w:type="gramEnd"/>
      <w:r w:rsidRPr="00E7057E">
        <w:rPr>
          <w:rFonts w:ascii="Arial" w:eastAsia="Times New Roman" w:hAnsi="Arial" w:cs="Arial"/>
          <w:sz w:val="20"/>
          <w:szCs w:val="20"/>
          <w:lang w:eastAsia="fr-FR"/>
        </w:rPr>
        <w:t>.</w:t>
      </w:r>
      <w:bookmarkEnd w:id="2"/>
    </w:p>
    <w:p w14:paraId="10B30D0E" w14:textId="77777777" w:rsidR="00E7057E" w:rsidRPr="00E7057E" w:rsidRDefault="00E7057E" w:rsidP="00E7057E">
      <w:pPr>
        <w:spacing w:after="0" w:line="360" w:lineRule="auto"/>
        <w:jc w:val="both"/>
        <w:rPr>
          <w:rFonts w:ascii="Arial" w:eastAsia="Times New Roman" w:hAnsi="Arial" w:cs="Arial"/>
          <w:sz w:val="20"/>
          <w:szCs w:val="20"/>
          <w:lang w:eastAsia="fr-FR"/>
        </w:rPr>
      </w:pPr>
      <w:r w:rsidRPr="00E7057E">
        <w:rPr>
          <w:rFonts w:ascii="Arial" w:eastAsia="Times New Roman" w:hAnsi="Arial" w:cs="Arial"/>
          <w:i/>
          <w:iCs/>
          <w:sz w:val="20"/>
          <w:szCs w:val="20"/>
          <w:lang w:eastAsia="fr-FR"/>
        </w:rPr>
        <w:t>Petiveria alliacea</w:t>
      </w:r>
      <w:r w:rsidRPr="00E7057E">
        <w:rPr>
          <w:rFonts w:ascii="Arial" w:eastAsia="Times New Roman" w:hAnsi="Arial" w:cs="Arial"/>
          <w:sz w:val="20"/>
          <w:szCs w:val="20"/>
          <w:lang w:eastAsia="fr-FR"/>
        </w:rPr>
        <w:t xml:space="preserve"> L., a medicinal plant of the Phytolaccaceae family, is widely distributed across tropical regions of Latin America, the Caribbean, and Africa. Commonly known as "guinea hen weed" or "anamu," it is traditionally used for treating a variety of ailments, including pain, respiratory infections, chronic inflammation, digestive disorders, and cancer</w:t>
      </w:r>
      <w:r w:rsidR="00367CC6">
        <w:rPr>
          <w:rFonts w:ascii="Arial" w:eastAsia="Times New Roman" w:hAnsi="Arial" w:cs="Arial"/>
          <w:sz w:val="20"/>
          <w:szCs w:val="20"/>
          <w:lang w:eastAsia="fr-FR"/>
        </w:rPr>
        <w:t xml:space="preserve"> </w:t>
      </w:r>
      <w:r w:rsidR="00367CC6" w:rsidRPr="00367CC6">
        <w:rPr>
          <w:rFonts w:ascii="Arial" w:eastAsia="Times New Roman" w:hAnsi="Arial" w:cs="Arial"/>
          <w:sz w:val="20"/>
          <w:szCs w:val="20"/>
          <w:lang w:eastAsia="fr-FR"/>
        </w:rPr>
        <w:t>(</w:t>
      </w:r>
      <w:r w:rsidR="0032550A" w:rsidRPr="0032550A">
        <w:rPr>
          <w:rFonts w:ascii="Arial" w:eastAsia="Times New Roman" w:hAnsi="Arial" w:cs="Arial"/>
          <w:sz w:val="20"/>
          <w:szCs w:val="20"/>
          <w:lang w:eastAsia="fr-FR"/>
        </w:rPr>
        <w:t>Melo-Cavalcante</w:t>
      </w:r>
      <w:r w:rsidR="00367CC6" w:rsidRPr="00367CC6">
        <w:rPr>
          <w:rFonts w:ascii="Arial" w:eastAsia="Times New Roman" w:hAnsi="Arial" w:cs="Arial"/>
          <w:sz w:val="20"/>
          <w:szCs w:val="20"/>
          <w:lang w:eastAsia="fr-FR"/>
        </w:rPr>
        <w:t xml:space="preserve"> </w:t>
      </w:r>
      <w:r w:rsidR="00367CC6" w:rsidRPr="0032550A">
        <w:rPr>
          <w:rFonts w:ascii="Arial" w:eastAsia="Times New Roman" w:hAnsi="Arial" w:cs="Arial"/>
          <w:i/>
          <w:sz w:val="20"/>
          <w:szCs w:val="20"/>
          <w:lang w:eastAsia="fr-FR"/>
        </w:rPr>
        <w:t>et al</w:t>
      </w:r>
      <w:r w:rsidR="00367CC6" w:rsidRPr="00367CC6">
        <w:rPr>
          <w:rFonts w:ascii="Arial" w:eastAsia="Times New Roman" w:hAnsi="Arial" w:cs="Arial"/>
          <w:sz w:val="20"/>
          <w:szCs w:val="20"/>
          <w:lang w:eastAsia="fr-FR"/>
        </w:rPr>
        <w:t>., 200</w:t>
      </w:r>
      <w:r w:rsidR="0032550A">
        <w:rPr>
          <w:rFonts w:ascii="Arial" w:eastAsia="Times New Roman" w:hAnsi="Arial" w:cs="Arial"/>
          <w:sz w:val="20"/>
          <w:szCs w:val="20"/>
          <w:lang w:eastAsia="fr-FR"/>
        </w:rPr>
        <w:t>8</w:t>
      </w:r>
      <w:r w:rsidR="00367CC6" w:rsidRPr="00367CC6">
        <w:rPr>
          <w:rFonts w:ascii="Arial" w:eastAsia="Times New Roman" w:hAnsi="Arial" w:cs="Arial"/>
          <w:sz w:val="20"/>
          <w:szCs w:val="20"/>
          <w:lang w:eastAsia="fr-FR"/>
        </w:rPr>
        <w:t>).</w:t>
      </w:r>
      <w:r w:rsidR="009702C9">
        <w:rPr>
          <w:rFonts w:ascii="Arial" w:eastAsia="Times New Roman" w:hAnsi="Arial" w:cs="Arial"/>
          <w:sz w:val="20"/>
          <w:szCs w:val="20"/>
          <w:lang w:eastAsia="fr-FR"/>
        </w:rPr>
        <w:t xml:space="preserve"> </w:t>
      </w:r>
      <w:r w:rsidRPr="00E7057E">
        <w:rPr>
          <w:rFonts w:ascii="Arial" w:eastAsia="Times New Roman" w:hAnsi="Arial" w:cs="Arial"/>
          <w:sz w:val="20"/>
          <w:szCs w:val="20"/>
          <w:lang w:eastAsia="fr-FR"/>
        </w:rPr>
        <w:t xml:space="preserve">Previous pharmacological studies have demonstrated its analgesic, antioxidant, immunomodulatory, antibacterial, and antifungal properties, largely attributed to the abundance of flavonoids, thiophenes, sulfur compounds, and aromatic constituents in its leaves </w:t>
      </w:r>
      <w:r w:rsidR="009702C9" w:rsidRPr="009702C9">
        <w:rPr>
          <w:rFonts w:ascii="Arial" w:eastAsia="Times New Roman" w:hAnsi="Arial" w:cs="Arial"/>
          <w:sz w:val="20"/>
          <w:szCs w:val="20"/>
          <w:lang w:eastAsia="fr-FR"/>
        </w:rPr>
        <w:t xml:space="preserve">(Ramos </w:t>
      </w:r>
      <w:r w:rsidR="009702C9">
        <w:rPr>
          <w:rFonts w:ascii="Arial" w:eastAsia="Times New Roman" w:hAnsi="Arial" w:cs="Arial"/>
          <w:sz w:val="20"/>
          <w:szCs w:val="20"/>
          <w:lang w:eastAsia="fr-FR"/>
        </w:rPr>
        <w:t>et al., 2011</w:t>
      </w:r>
      <w:r w:rsidR="009702C9" w:rsidRPr="009702C9">
        <w:rPr>
          <w:rFonts w:ascii="Arial" w:eastAsia="Times New Roman" w:hAnsi="Arial" w:cs="Arial"/>
          <w:sz w:val="20"/>
          <w:szCs w:val="20"/>
          <w:lang w:eastAsia="fr-FR"/>
        </w:rPr>
        <w:t>).</w:t>
      </w:r>
    </w:p>
    <w:p w14:paraId="40089572" w14:textId="77777777" w:rsidR="00E7057E" w:rsidRPr="00E7057E" w:rsidRDefault="00E7057E" w:rsidP="00E7057E">
      <w:pPr>
        <w:spacing w:after="0" w:line="360" w:lineRule="auto"/>
        <w:jc w:val="both"/>
        <w:rPr>
          <w:rFonts w:ascii="Arial" w:eastAsia="Times New Roman" w:hAnsi="Arial" w:cs="Arial"/>
          <w:sz w:val="20"/>
          <w:szCs w:val="20"/>
          <w:lang w:eastAsia="fr-FR"/>
        </w:rPr>
      </w:pPr>
      <w:r w:rsidRPr="00E7057E">
        <w:rPr>
          <w:rFonts w:ascii="Arial" w:eastAsia="Times New Roman" w:hAnsi="Arial" w:cs="Arial"/>
          <w:sz w:val="20"/>
          <w:szCs w:val="20"/>
          <w:lang w:eastAsia="fr-FR"/>
        </w:rPr>
        <w:t xml:space="preserve">Despite its widespread traditional use for gastrointestinal ailments, scientific investigations into its gastroprotective potential using controlled experimental models remain scarce. This study therefore aims to evaluate the gastroprotective effect of the hydroalcoholic extract of </w:t>
      </w:r>
      <w:r w:rsidRPr="00E7057E">
        <w:rPr>
          <w:rFonts w:ascii="Arial" w:eastAsia="Times New Roman" w:hAnsi="Arial" w:cs="Arial"/>
          <w:i/>
          <w:iCs/>
          <w:sz w:val="20"/>
          <w:szCs w:val="20"/>
          <w:lang w:eastAsia="fr-FR"/>
        </w:rPr>
        <w:t>Petiveria alliacea</w:t>
      </w:r>
      <w:r w:rsidRPr="00E7057E">
        <w:rPr>
          <w:rFonts w:ascii="Arial" w:eastAsia="Times New Roman" w:hAnsi="Arial" w:cs="Arial"/>
          <w:sz w:val="20"/>
          <w:szCs w:val="20"/>
          <w:lang w:eastAsia="fr-FR"/>
        </w:rPr>
        <w:t xml:space="preserve"> leaves in Wistar rats, a widely used animal model for pharmacological ulcer studies. This work is part of an ongoing effort to enhance the pharmacological value of local plant resources and may open new avenues for the development of plant-based therapeutics for gastric disorders.</w:t>
      </w:r>
    </w:p>
    <w:p w14:paraId="245A1B92" w14:textId="77777777" w:rsidR="00E7057E" w:rsidRPr="00E7057E" w:rsidRDefault="00E7057E" w:rsidP="00E7057E">
      <w:pPr>
        <w:spacing w:after="0" w:line="360" w:lineRule="auto"/>
        <w:jc w:val="both"/>
        <w:rPr>
          <w:rFonts w:ascii="Times New Roman" w:eastAsia="Times New Roman" w:hAnsi="Times New Roman" w:cs="Times New Roman"/>
          <w:sz w:val="24"/>
          <w:szCs w:val="24"/>
          <w:lang w:eastAsia="fr-FR"/>
        </w:rPr>
      </w:pPr>
    </w:p>
    <w:p w14:paraId="2FE06BC2" w14:textId="77777777" w:rsidR="00E7057E" w:rsidRPr="00E7057E" w:rsidRDefault="00E7057E" w:rsidP="00E7057E">
      <w:pPr>
        <w:pStyle w:val="ListParagraph"/>
        <w:numPr>
          <w:ilvl w:val="0"/>
          <w:numId w:val="5"/>
        </w:numPr>
        <w:spacing w:after="0" w:line="360" w:lineRule="auto"/>
        <w:rPr>
          <w:rFonts w:ascii="Arial" w:eastAsia="Times New Roman" w:hAnsi="Arial" w:cs="Arial"/>
          <w:b/>
          <w:bCs/>
          <w:sz w:val="24"/>
          <w:szCs w:val="24"/>
          <w:lang w:eastAsia="fr-FR"/>
        </w:rPr>
      </w:pPr>
      <w:r w:rsidRPr="00E7057E">
        <w:rPr>
          <w:rFonts w:ascii="Arial" w:eastAsia="Times New Roman" w:hAnsi="Arial" w:cs="Arial"/>
          <w:b/>
          <w:bCs/>
          <w:sz w:val="24"/>
          <w:szCs w:val="24"/>
          <w:lang w:eastAsia="fr-FR"/>
        </w:rPr>
        <w:t>MATERIALS AND METHODS</w:t>
      </w:r>
    </w:p>
    <w:p w14:paraId="4F92C266" w14:textId="77777777" w:rsidR="00E7057E" w:rsidRPr="00E7057E" w:rsidRDefault="00E7057E" w:rsidP="00E7057E">
      <w:pPr>
        <w:pStyle w:val="ListParagraph"/>
        <w:numPr>
          <w:ilvl w:val="1"/>
          <w:numId w:val="5"/>
        </w:numPr>
        <w:spacing w:after="0" w:line="360" w:lineRule="auto"/>
        <w:rPr>
          <w:rFonts w:ascii="Arial" w:eastAsia="Times New Roman" w:hAnsi="Arial" w:cs="Arial"/>
          <w:b/>
          <w:bCs/>
          <w:sz w:val="20"/>
          <w:szCs w:val="20"/>
          <w:lang w:eastAsia="fr-FR"/>
        </w:rPr>
      </w:pPr>
      <w:r w:rsidRPr="00E7057E">
        <w:rPr>
          <w:rFonts w:ascii="Arial" w:eastAsia="Times New Roman" w:hAnsi="Arial" w:cs="Arial"/>
          <w:b/>
          <w:bCs/>
          <w:sz w:val="20"/>
          <w:szCs w:val="20"/>
          <w:lang w:eastAsia="fr-FR"/>
        </w:rPr>
        <w:t>Biological Material</w:t>
      </w:r>
    </w:p>
    <w:p w14:paraId="4C38A37D" w14:textId="77777777" w:rsidR="00E7057E" w:rsidRDefault="00E7057E" w:rsidP="00E7057E">
      <w:pPr>
        <w:spacing w:after="0" w:line="360" w:lineRule="auto"/>
        <w:jc w:val="both"/>
        <w:rPr>
          <w:rFonts w:ascii="Arial" w:eastAsia="Times New Roman" w:hAnsi="Arial" w:cs="Arial"/>
          <w:sz w:val="20"/>
          <w:szCs w:val="20"/>
          <w:lang w:eastAsia="fr-FR"/>
        </w:rPr>
      </w:pPr>
      <w:r w:rsidRPr="00E7057E">
        <w:rPr>
          <w:rFonts w:ascii="Arial" w:eastAsia="Times New Roman" w:hAnsi="Arial" w:cs="Arial"/>
          <w:sz w:val="20"/>
          <w:szCs w:val="20"/>
          <w:lang w:eastAsia="fr-FR"/>
        </w:rPr>
        <w:lastRenderedPageBreak/>
        <w:t>The study was conducted on male Wistar albino rats, a species commonly used in biomedical research due to its docility, ease of breeding in laboratory settings, and reproducible response to experimental protocols. Only male rats were selected to avoid potential hormonal variations associated with the estrous cycle in females, which could influence physiological parameters and the evaluated gastroprotective outcomes. The animals had a body weight ranging between 150 and 200 grams at the start of the study, corresponding to an appropriate physiological maturity phase for pharmacological experiments on the gastric ulcer model. A minimum of eighteen (18) rats were used, randomly allocated into six (6) experimental groups of three (3) rats each, in accordance with ethical guidelines to ensure statistical validity while minimizing the number of animals used.</w:t>
      </w:r>
    </w:p>
    <w:p w14:paraId="33E4C37C" w14:textId="77777777" w:rsidR="00E7057E" w:rsidRPr="00E7057E" w:rsidRDefault="00E7057E" w:rsidP="00E7057E">
      <w:pPr>
        <w:spacing w:after="0" w:line="360" w:lineRule="auto"/>
        <w:jc w:val="both"/>
        <w:rPr>
          <w:rFonts w:ascii="Arial" w:eastAsia="Times New Roman" w:hAnsi="Arial" w:cs="Arial"/>
          <w:sz w:val="20"/>
          <w:szCs w:val="20"/>
          <w:lang w:eastAsia="fr-FR"/>
        </w:rPr>
      </w:pPr>
    </w:p>
    <w:p w14:paraId="6A2C340D" w14:textId="77777777" w:rsidR="00E7057E" w:rsidRPr="00E7057E" w:rsidRDefault="00E7057E" w:rsidP="00E7057E">
      <w:pPr>
        <w:pStyle w:val="ListParagraph"/>
        <w:numPr>
          <w:ilvl w:val="2"/>
          <w:numId w:val="5"/>
        </w:numPr>
        <w:spacing w:after="0" w:line="360" w:lineRule="auto"/>
        <w:jc w:val="both"/>
        <w:rPr>
          <w:rFonts w:ascii="Arial" w:eastAsia="Times New Roman" w:hAnsi="Arial" w:cs="Arial"/>
          <w:sz w:val="20"/>
          <w:szCs w:val="20"/>
          <w:lang w:eastAsia="fr-FR"/>
        </w:rPr>
      </w:pPr>
      <w:r w:rsidRPr="00E7057E">
        <w:rPr>
          <w:rFonts w:ascii="Arial" w:eastAsia="Calibri" w:hAnsi="Arial" w:cs="Arial"/>
          <w:b/>
          <w:bCs/>
          <w:kern w:val="2"/>
          <w:sz w:val="20"/>
          <w:szCs w:val="20"/>
        </w:rPr>
        <w:t xml:space="preserve">Source of Experimental </w:t>
      </w:r>
      <w:proofErr w:type="gramStart"/>
      <w:r w:rsidRPr="00E7057E">
        <w:rPr>
          <w:rFonts w:ascii="Arial" w:eastAsia="Calibri" w:hAnsi="Arial" w:cs="Arial"/>
          <w:b/>
          <w:bCs/>
          <w:kern w:val="2"/>
          <w:sz w:val="20"/>
          <w:szCs w:val="20"/>
        </w:rPr>
        <w:t>Animals:</w:t>
      </w:r>
      <w:proofErr w:type="gramEnd"/>
    </w:p>
    <w:p w14:paraId="3CD5C5EB" w14:textId="77777777" w:rsidR="00E7057E" w:rsidRDefault="00E7057E" w:rsidP="00E7057E">
      <w:pPr>
        <w:spacing w:after="0" w:line="360" w:lineRule="auto"/>
        <w:jc w:val="both"/>
        <w:rPr>
          <w:rFonts w:ascii="Arial" w:eastAsia="Times New Roman" w:hAnsi="Arial" w:cs="Arial"/>
          <w:sz w:val="20"/>
          <w:szCs w:val="20"/>
          <w:lang w:eastAsia="fr-FR"/>
        </w:rPr>
      </w:pPr>
      <w:r w:rsidRPr="00E7057E">
        <w:rPr>
          <w:rFonts w:ascii="Arial" w:eastAsia="Times New Roman" w:hAnsi="Arial" w:cs="Arial"/>
          <w:sz w:val="20"/>
          <w:szCs w:val="20"/>
          <w:lang w:eastAsia="fr-FR"/>
        </w:rPr>
        <w:t>The experimental animals (Wistar rats) were obtained from the animal house of the Faculty of Sciences and Techniques (FAST), University of Abomey-Calavi, Benin.</w:t>
      </w:r>
    </w:p>
    <w:p w14:paraId="70169120" w14:textId="77777777" w:rsidR="00E7057E" w:rsidRPr="00E7057E" w:rsidRDefault="00E7057E" w:rsidP="00E7057E">
      <w:pPr>
        <w:spacing w:after="0" w:line="360" w:lineRule="auto"/>
        <w:jc w:val="both"/>
        <w:rPr>
          <w:rFonts w:ascii="Arial" w:eastAsia="Times New Roman" w:hAnsi="Arial" w:cs="Arial"/>
          <w:sz w:val="20"/>
          <w:szCs w:val="20"/>
          <w:lang w:eastAsia="fr-FR"/>
        </w:rPr>
      </w:pPr>
    </w:p>
    <w:p w14:paraId="2CCA60C7" w14:textId="77777777" w:rsidR="00E7057E" w:rsidRPr="00E7057E" w:rsidRDefault="00E7057E" w:rsidP="00E7057E">
      <w:pPr>
        <w:pStyle w:val="ListParagraph"/>
        <w:numPr>
          <w:ilvl w:val="2"/>
          <w:numId w:val="5"/>
        </w:numPr>
        <w:spacing w:after="0" w:line="360" w:lineRule="auto"/>
        <w:jc w:val="both"/>
        <w:rPr>
          <w:rFonts w:ascii="Arial" w:eastAsia="Times New Roman" w:hAnsi="Arial" w:cs="Arial"/>
          <w:b/>
          <w:bCs/>
          <w:sz w:val="20"/>
          <w:szCs w:val="20"/>
          <w:lang w:eastAsia="fr-FR"/>
        </w:rPr>
      </w:pPr>
      <w:r w:rsidRPr="00E7057E">
        <w:rPr>
          <w:rFonts w:ascii="Arial" w:eastAsia="Times New Roman" w:hAnsi="Arial" w:cs="Arial"/>
          <w:b/>
          <w:bCs/>
          <w:sz w:val="20"/>
          <w:szCs w:val="20"/>
          <w:lang w:eastAsia="fr-FR"/>
        </w:rPr>
        <w:t xml:space="preserve">Acclimation </w:t>
      </w:r>
      <w:proofErr w:type="gramStart"/>
      <w:r w:rsidRPr="00E7057E">
        <w:rPr>
          <w:rFonts w:ascii="Arial" w:eastAsia="Times New Roman" w:hAnsi="Arial" w:cs="Arial"/>
          <w:b/>
          <w:bCs/>
          <w:sz w:val="20"/>
          <w:szCs w:val="20"/>
          <w:lang w:eastAsia="fr-FR"/>
        </w:rPr>
        <w:t>Conditions:</w:t>
      </w:r>
      <w:proofErr w:type="gramEnd"/>
    </w:p>
    <w:p w14:paraId="6AEF7859" w14:textId="77777777" w:rsidR="00E7057E" w:rsidRPr="00E7057E" w:rsidRDefault="00E7057E" w:rsidP="00E7057E">
      <w:pPr>
        <w:spacing w:after="0" w:line="360" w:lineRule="auto"/>
        <w:jc w:val="both"/>
        <w:rPr>
          <w:rFonts w:ascii="Arial" w:eastAsia="Times New Roman" w:hAnsi="Arial" w:cs="Arial"/>
          <w:sz w:val="20"/>
          <w:szCs w:val="20"/>
          <w:lang w:eastAsia="fr-FR"/>
        </w:rPr>
      </w:pPr>
      <w:r w:rsidRPr="00E7057E">
        <w:rPr>
          <w:rFonts w:ascii="Arial" w:eastAsia="Times New Roman" w:hAnsi="Arial" w:cs="Arial"/>
          <w:sz w:val="20"/>
          <w:szCs w:val="20"/>
          <w:lang w:eastAsia="fr-FR"/>
        </w:rPr>
        <w:t>Before the start of the experiments, all animals were acclimated for 7 days in the animal facility under standard laboratory conditions (temperature 22 ± 2 °C, relative humidity 50–60%, 12 h light/12 h dark cycle), with free access to food and water.</w:t>
      </w:r>
    </w:p>
    <w:p w14:paraId="7FE8E829" w14:textId="77777777" w:rsidR="00E7057E" w:rsidRPr="00E7057E" w:rsidRDefault="00E7057E" w:rsidP="00E7057E">
      <w:pPr>
        <w:spacing w:after="0" w:line="360" w:lineRule="auto"/>
        <w:jc w:val="both"/>
        <w:rPr>
          <w:rFonts w:ascii="Arial" w:eastAsia="Times New Roman" w:hAnsi="Arial" w:cs="Arial"/>
          <w:sz w:val="20"/>
          <w:szCs w:val="20"/>
          <w:lang w:eastAsia="fr-FR"/>
        </w:rPr>
      </w:pPr>
    </w:p>
    <w:p w14:paraId="251F7A96" w14:textId="77777777" w:rsidR="00E7057E" w:rsidRPr="00E7057E" w:rsidRDefault="00E7057E" w:rsidP="00E7057E">
      <w:pPr>
        <w:pStyle w:val="ListParagraph"/>
        <w:numPr>
          <w:ilvl w:val="1"/>
          <w:numId w:val="5"/>
        </w:numPr>
        <w:spacing w:after="0" w:line="360" w:lineRule="auto"/>
        <w:jc w:val="both"/>
        <w:rPr>
          <w:rFonts w:ascii="Arial" w:eastAsia="Times New Roman" w:hAnsi="Arial" w:cs="Arial"/>
          <w:b/>
          <w:bCs/>
          <w:sz w:val="20"/>
          <w:szCs w:val="20"/>
          <w:lang w:eastAsia="fr-FR"/>
        </w:rPr>
      </w:pPr>
      <w:r w:rsidRPr="00E7057E">
        <w:rPr>
          <w:rFonts w:ascii="Arial" w:eastAsia="Times New Roman" w:hAnsi="Arial" w:cs="Arial"/>
          <w:b/>
          <w:bCs/>
          <w:sz w:val="20"/>
          <w:szCs w:val="20"/>
          <w:lang w:eastAsia="fr-FR"/>
        </w:rPr>
        <w:t>Reagents and Products</w:t>
      </w:r>
    </w:p>
    <w:p w14:paraId="43AE928D" w14:textId="77777777" w:rsidR="00E7057E" w:rsidRPr="00E7057E" w:rsidRDefault="00E7057E" w:rsidP="00E7057E">
      <w:pPr>
        <w:spacing w:after="0" w:line="360" w:lineRule="auto"/>
        <w:jc w:val="both"/>
        <w:rPr>
          <w:rFonts w:ascii="Arial" w:eastAsia="Times New Roman" w:hAnsi="Arial" w:cs="Arial"/>
          <w:b/>
          <w:bCs/>
          <w:i/>
          <w:iCs/>
          <w:sz w:val="20"/>
          <w:szCs w:val="20"/>
          <w:lang w:eastAsia="fr-FR"/>
        </w:rPr>
      </w:pPr>
      <w:r w:rsidRPr="00E7057E">
        <w:rPr>
          <w:rFonts w:ascii="Arial" w:eastAsia="Times New Roman" w:hAnsi="Arial" w:cs="Arial"/>
          <w:sz w:val="20"/>
          <w:szCs w:val="20"/>
          <w:lang w:eastAsia="fr-FR"/>
        </w:rPr>
        <w:t xml:space="preserve">The various reagents used throughout this study were selected based on the experimental objectives, particularly for inducing gastric lesions, histological evaluation, and potentially, oxidative stress analysis. For the preparation of </w:t>
      </w:r>
      <w:r w:rsidRPr="00E7057E">
        <w:rPr>
          <w:rFonts w:ascii="Arial" w:eastAsia="Times New Roman" w:hAnsi="Arial" w:cs="Arial"/>
          <w:i/>
          <w:iCs/>
          <w:sz w:val="20"/>
          <w:szCs w:val="20"/>
          <w:lang w:eastAsia="fr-FR"/>
        </w:rPr>
        <w:t>Petiveria alliacea</w:t>
      </w:r>
      <w:r w:rsidRPr="00E7057E">
        <w:rPr>
          <w:rFonts w:ascii="Arial" w:eastAsia="Times New Roman" w:hAnsi="Arial" w:cs="Arial"/>
          <w:sz w:val="20"/>
          <w:szCs w:val="20"/>
          <w:lang w:eastAsia="fr-FR"/>
        </w:rPr>
        <w:t xml:space="preserve"> extracts, solvents of varying polarities were employed, including 70% ethanol, methanol, and distilled water, to maximize the extraction of bioactive compounds present in the leaves, such as flavonoids, phenolic compounds, and other secondary metabolites. Gastric ulcers were induced using two well-known ulcerogenic </w:t>
      </w:r>
      <w:proofErr w:type="gramStart"/>
      <w:r w:rsidRPr="00E7057E">
        <w:rPr>
          <w:rFonts w:ascii="Arial" w:eastAsia="Times New Roman" w:hAnsi="Arial" w:cs="Arial"/>
          <w:sz w:val="20"/>
          <w:szCs w:val="20"/>
          <w:lang w:eastAsia="fr-FR"/>
        </w:rPr>
        <w:t>agents:</w:t>
      </w:r>
      <w:proofErr w:type="gramEnd"/>
      <w:r w:rsidRPr="00E7057E">
        <w:rPr>
          <w:rFonts w:ascii="Arial" w:eastAsia="Times New Roman" w:hAnsi="Arial" w:cs="Arial"/>
          <w:sz w:val="20"/>
          <w:szCs w:val="20"/>
          <w:lang w:eastAsia="fr-FR"/>
        </w:rPr>
        <w:t xml:space="preserve"> absolute ethanol (96%), used to induce acute lesions via gastric mucosal necrosis, and indomethacin, a non-steroidal anti-inflammatory drug that inhibits the synthesis of gastroprotective prostaglandins. These experimental models faithfully reproduce the pathophysiological mechanisms of human ulcers.</w:t>
      </w:r>
    </w:p>
    <w:p w14:paraId="1B38FEB2" w14:textId="77777777" w:rsidR="00E7057E" w:rsidRDefault="00E7057E" w:rsidP="00E7057E">
      <w:pPr>
        <w:spacing w:after="0" w:line="360" w:lineRule="auto"/>
        <w:jc w:val="both"/>
        <w:rPr>
          <w:rFonts w:ascii="Arial" w:eastAsia="Times New Roman" w:hAnsi="Arial" w:cs="Arial"/>
          <w:sz w:val="20"/>
          <w:szCs w:val="20"/>
          <w:lang w:eastAsia="fr-FR"/>
        </w:rPr>
      </w:pPr>
      <w:r w:rsidRPr="00E7057E">
        <w:rPr>
          <w:rFonts w:ascii="Arial" w:eastAsia="Times New Roman" w:hAnsi="Arial" w:cs="Arial"/>
          <w:sz w:val="20"/>
          <w:szCs w:val="20"/>
          <w:lang w:eastAsia="fr-FR"/>
        </w:rPr>
        <w:t>To pharmacologically validate the observed effects, a reference drug was administered alongside the extracts. This was either ranitidine, an H</w:t>
      </w:r>
      <w:r w:rsidRPr="00E7057E">
        <w:rPr>
          <w:rFonts w:ascii="Arial" w:eastAsia="Times New Roman" w:hAnsi="Arial" w:cs="Arial"/>
          <w:sz w:val="20"/>
          <w:szCs w:val="20"/>
          <w:vertAlign w:val="subscript"/>
          <w:lang w:eastAsia="fr-FR"/>
        </w:rPr>
        <w:t>2</w:t>
      </w:r>
      <w:r w:rsidRPr="00E7057E">
        <w:rPr>
          <w:rFonts w:ascii="Arial" w:eastAsia="Times New Roman" w:hAnsi="Arial" w:cs="Arial"/>
          <w:sz w:val="20"/>
          <w:szCs w:val="20"/>
          <w:lang w:eastAsia="fr-FR"/>
        </w:rPr>
        <w:t xml:space="preserve"> histamine receptor antagonist, or omeprazole, a proton pump inhibitor (PPI), both widely used in the clinical treatment of gastroduodenal ulcers.</w:t>
      </w:r>
    </w:p>
    <w:p w14:paraId="748FB379" w14:textId="77777777" w:rsidR="00E7057E" w:rsidRPr="00E7057E" w:rsidRDefault="00E7057E" w:rsidP="00E7057E">
      <w:pPr>
        <w:spacing w:after="0" w:line="360" w:lineRule="auto"/>
        <w:jc w:val="both"/>
        <w:rPr>
          <w:rFonts w:ascii="Arial" w:eastAsia="Times New Roman" w:hAnsi="Arial" w:cs="Arial"/>
          <w:sz w:val="20"/>
          <w:szCs w:val="20"/>
          <w:lang w:eastAsia="fr-FR"/>
        </w:rPr>
      </w:pPr>
    </w:p>
    <w:p w14:paraId="47E52DBB" w14:textId="77777777" w:rsidR="00E7057E" w:rsidRPr="00E7057E" w:rsidRDefault="00E7057E" w:rsidP="00E7057E">
      <w:pPr>
        <w:pStyle w:val="ListParagraph"/>
        <w:numPr>
          <w:ilvl w:val="1"/>
          <w:numId w:val="5"/>
        </w:numPr>
        <w:spacing w:after="0" w:line="360" w:lineRule="auto"/>
        <w:jc w:val="both"/>
        <w:rPr>
          <w:rFonts w:ascii="Arial" w:eastAsia="Times New Roman" w:hAnsi="Arial" w:cs="Arial"/>
          <w:b/>
          <w:bCs/>
          <w:sz w:val="20"/>
          <w:szCs w:val="20"/>
          <w:lang w:eastAsia="fr-FR"/>
        </w:rPr>
      </w:pPr>
      <w:r w:rsidRPr="00E7057E">
        <w:rPr>
          <w:rFonts w:ascii="Arial" w:eastAsia="Times New Roman" w:hAnsi="Arial" w:cs="Arial"/>
          <w:b/>
          <w:bCs/>
          <w:sz w:val="20"/>
          <w:szCs w:val="20"/>
          <w:lang w:eastAsia="fr-FR"/>
        </w:rPr>
        <w:t xml:space="preserve">Collection and Authentication of Plant </w:t>
      </w:r>
      <w:proofErr w:type="gramStart"/>
      <w:r w:rsidRPr="00E7057E">
        <w:rPr>
          <w:rFonts w:ascii="Arial" w:eastAsia="Times New Roman" w:hAnsi="Arial" w:cs="Arial"/>
          <w:b/>
          <w:bCs/>
          <w:sz w:val="20"/>
          <w:szCs w:val="20"/>
          <w:lang w:eastAsia="fr-FR"/>
        </w:rPr>
        <w:t>Material:</w:t>
      </w:r>
      <w:proofErr w:type="gramEnd"/>
    </w:p>
    <w:p w14:paraId="3E1833AE" w14:textId="77777777" w:rsidR="00E7057E" w:rsidRPr="00E7057E" w:rsidRDefault="00E7057E" w:rsidP="00E7057E">
      <w:pPr>
        <w:spacing w:after="0" w:line="360" w:lineRule="auto"/>
        <w:jc w:val="both"/>
        <w:rPr>
          <w:rFonts w:ascii="Arial" w:eastAsia="Times New Roman" w:hAnsi="Arial" w:cs="Arial"/>
          <w:sz w:val="20"/>
          <w:szCs w:val="20"/>
          <w:lang w:eastAsia="fr-FR"/>
        </w:rPr>
      </w:pPr>
      <w:r w:rsidRPr="00E7057E">
        <w:rPr>
          <w:rFonts w:ascii="Arial" w:eastAsia="Times New Roman" w:hAnsi="Arial" w:cs="Arial"/>
          <w:sz w:val="20"/>
          <w:szCs w:val="20"/>
          <w:lang w:eastAsia="fr-FR"/>
        </w:rPr>
        <w:t xml:space="preserve">Fresh leaves of </w:t>
      </w:r>
      <w:r w:rsidRPr="00E7057E">
        <w:rPr>
          <w:rFonts w:ascii="Arial" w:eastAsia="Times New Roman" w:hAnsi="Arial" w:cs="Arial"/>
          <w:i/>
          <w:iCs/>
          <w:sz w:val="20"/>
          <w:szCs w:val="20"/>
          <w:lang w:eastAsia="fr-FR"/>
        </w:rPr>
        <w:t>Petiveria alliacea</w:t>
      </w:r>
      <w:r w:rsidRPr="00E7057E">
        <w:rPr>
          <w:rFonts w:ascii="Arial" w:eastAsia="Times New Roman" w:hAnsi="Arial" w:cs="Arial"/>
          <w:sz w:val="20"/>
          <w:szCs w:val="20"/>
          <w:lang w:eastAsia="fr-FR"/>
        </w:rPr>
        <w:t xml:space="preserve"> L. were collected in January 2025 in Abomey-Calavi, Atlantique Department, Republic of Benin. The botanical identification of the plant was carried out by Professor Monique TOSSOU, a plant taxonomist at the National Herbarium of the University of Abomey-Calavi (UAC), Benin.</w:t>
      </w:r>
    </w:p>
    <w:p w14:paraId="41835E65" w14:textId="77777777" w:rsidR="00E7057E" w:rsidRPr="00E7057E" w:rsidRDefault="00E7057E" w:rsidP="00E7057E">
      <w:pPr>
        <w:pStyle w:val="ListParagraph"/>
        <w:numPr>
          <w:ilvl w:val="2"/>
          <w:numId w:val="5"/>
        </w:numPr>
        <w:spacing w:after="0" w:line="360" w:lineRule="auto"/>
        <w:jc w:val="both"/>
        <w:rPr>
          <w:rFonts w:ascii="Arial" w:eastAsia="Times New Roman" w:hAnsi="Arial" w:cs="Arial"/>
          <w:b/>
          <w:bCs/>
          <w:sz w:val="20"/>
          <w:szCs w:val="20"/>
          <w:lang w:eastAsia="fr-FR"/>
        </w:rPr>
      </w:pPr>
      <w:r w:rsidRPr="00E7057E">
        <w:rPr>
          <w:rFonts w:ascii="Arial" w:eastAsia="Times New Roman" w:hAnsi="Arial" w:cs="Arial"/>
          <w:b/>
          <w:bCs/>
          <w:sz w:val="20"/>
          <w:szCs w:val="20"/>
          <w:lang w:eastAsia="fr-FR"/>
        </w:rPr>
        <w:t>Preparation of the Extract</w:t>
      </w:r>
    </w:p>
    <w:p w14:paraId="67C92DC4" w14:textId="77777777" w:rsidR="00E7057E" w:rsidRPr="00E7057E" w:rsidRDefault="00E7057E" w:rsidP="00E7057E">
      <w:pPr>
        <w:spacing w:after="0" w:line="360" w:lineRule="auto"/>
        <w:jc w:val="both"/>
        <w:rPr>
          <w:rFonts w:ascii="Arial" w:eastAsia="Times New Roman" w:hAnsi="Arial" w:cs="Arial"/>
          <w:sz w:val="20"/>
          <w:szCs w:val="20"/>
          <w:lang w:eastAsia="fr-FR"/>
        </w:rPr>
      </w:pPr>
      <w:r w:rsidRPr="00E7057E">
        <w:rPr>
          <w:rFonts w:ascii="Arial" w:eastAsia="Times New Roman" w:hAnsi="Arial" w:cs="Arial"/>
          <w:sz w:val="20"/>
          <w:szCs w:val="20"/>
          <w:lang w:eastAsia="fr-FR"/>
        </w:rPr>
        <w:lastRenderedPageBreak/>
        <w:t xml:space="preserve">The harvested leaves of </w:t>
      </w:r>
      <w:r w:rsidRPr="00E7057E">
        <w:rPr>
          <w:rFonts w:ascii="Arial" w:eastAsia="Times New Roman" w:hAnsi="Arial" w:cs="Arial"/>
          <w:i/>
          <w:iCs/>
          <w:sz w:val="20"/>
          <w:szCs w:val="20"/>
          <w:lang w:eastAsia="fr-FR"/>
        </w:rPr>
        <w:t>Petiveria alliacea</w:t>
      </w:r>
      <w:r w:rsidRPr="00E7057E">
        <w:rPr>
          <w:rFonts w:ascii="Arial" w:eastAsia="Times New Roman" w:hAnsi="Arial" w:cs="Arial"/>
          <w:sz w:val="20"/>
          <w:szCs w:val="20"/>
          <w:lang w:eastAsia="fr-FR"/>
        </w:rPr>
        <w:t xml:space="preserve"> L. were shade-dried in a well-ventilated environment until a constant weight was achieved. Once dried, they were ground using an electric grinder to obtain a fine and homogeneous powder.</w:t>
      </w:r>
    </w:p>
    <w:p w14:paraId="2BEDB9AE" w14:textId="77777777" w:rsidR="00E7057E" w:rsidRPr="00E7057E" w:rsidRDefault="00E7057E" w:rsidP="00E7057E">
      <w:pPr>
        <w:spacing w:after="0" w:line="360" w:lineRule="auto"/>
        <w:jc w:val="both"/>
        <w:rPr>
          <w:rFonts w:ascii="Arial" w:eastAsia="Times New Roman" w:hAnsi="Arial" w:cs="Arial"/>
          <w:sz w:val="20"/>
          <w:szCs w:val="20"/>
          <w:lang w:eastAsia="fr-FR"/>
        </w:rPr>
      </w:pPr>
      <w:r w:rsidRPr="00E7057E">
        <w:rPr>
          <w:rFonts w:ascii="Arial" w:eastAsia="Times New Roman" w:hAnsi="Arial" w:cs="Arial"/>
          <w:sz w:val="20"/>
          <w:szCs w:val="20"/>
          <w:lang w:eastAsia="fr-FR"/>
        </w:rPr>
        <w:t>The extraction of bioactive compounds was carried out by macerating 200 g of the plant powder in 1 L of 70% ethanol (</w:t>
      </w:r>
      <w:proofErr w:type="gramStart"/>
      <w:r w:rsidRPr="00E7057E">
        <w:rPr>
          <w:rFonts w:ascii="Arial" w:eastAsia="Times New Roman" w:hAnsi="Arial" w:cs="Arial"/>
          <w:sz w:val="20"/>
          <w:szCs w:val="20"/>
          <w:lang w:eastAsia="fr-FR"/>
        </w:rPr>
        <w:t>1:</w:t>
      </w:r>
      <w:proofErr w:type="gramEnd"/>
      <w:r w:rsidRPr="00E7057E">
        <w:rPr>
          <w:rFonts w:ascii="Arial" w:eastAsia="Times New Roman" w:hAnsi="Arial" w:cs="Arial"/>
          <w:sz w:val="20"/>
          <w:szCs w:val="20"/>
          <w:lang w:eastAsia="fr-FR"/>
        </w:rPr>
        <w:t xml:space="preserve">5 w/v ratio) for 72 hours at room temperature, with intermittent shaking to enhance solvent-material contact and optimize extraction yield. </w:t>
      </w:r>
      <w:r w:rsidRPr="00E7057E">
        <w:rPr>
          <w:rFonts w:ascii="Arial" w:eastAsia="Times New Roman" w:hAnsi="Arial" w:cs="Arial"/>
          <w:sz w:val="20"/>
          <w:szCs w:val="20"/>
          <w:lang w:val="da-DK" w:eastAsia="fr-FR"/>
        </w:rPr>
        <w:t xml:space="preserve">The resulting mixture was then filtered using Whatman No. 1 filter paper. The filtrate was concentrated by solvent evaporation in a low-temperature oven (below 45 °C) or using a rotary evaporator, depending on equipment availability. </w:t>
      </w:r>
      <w:r w:rsidRPr="00E7057E">
        <w:rPr>
          <w:rFonts w:ascii="Arial" w:eastAsia="Times New Roman" w:hAnsi="Arial" w:cs="Arial"/>
          <w:sz w:val="20"/>
          <w:szCs w:val="20"/>
          <w:lang w:eastAsia="fr-FR"/>
        </w:rPr>
        <w:t>The crude extract was stored in an airtight container at +4 °C until used for biological assays.</w:t>
      </w:r>
    </w:p>
    <w:p w14:paraId="59F91D41" w14:textId="77777777" w:rsidR="00E7057E" w:rsidRPr="00E7057E" w:rsidRDefault="00E7057E" w:rsidP="00E7057E">
      <w:pPr>
        <w:spacing w:after="0" w:line="360" w:lineRule="auto"/>
        <w:jc w:val="both"/>
        <w:rPr>
          <w:rFonts w:ascii="Times New Roman" w:eastAsia="Times New Roman" w:hAnsi="Times New Roman" w:cs="Times New Roman"/>
          <w:sz w:val="24"/>
          <w:szCs w:val="24"/>
          <w:lang w:eastAsia="fr-FR"/>
        </w:rPr>
      </w:pPr>
    </w:p>
    <w:p w14:paraId="44E426AC" w14:textId="77777777" w:rsidR="00E7057E" w:rsidRPr="002E4654" w:rsidRDefault="00E7057E" w:rsidP="002E4654">
      <w:pPr>
        <w:pStyle w:val="ListParagraph"/>
        <w:numPr>
          <w:ilvl w:val="1"/>
          <w:numId w:val="5"/>
        </w:numPr>
        <w:spacing w:after="0" w:line="360" w:lineRule="auto"/>
        <w:jc w:val="both"/>
        <w:rPr>
          <w:rFonts w:ascii="Arial" w:eastAsia="Times New Roman" w:hAnsi="Arial" w:cs="Arial"/>
          <w:b/>
          <w:bCs/>
          <w:sz w:val="20"/>
          <w:szCs w:val="20"/>
          <w:lang w:eastAsia="fr-FR"/>
        </w:rPr>
      </w:pPr>
      <w:r w:rsidRPr="002E4654">
        <w:rPr>
          <w:rFonts w:ascii="Arial" w:eastAsia="Times New Roman" w:hAnsi="Arial" w:cs="Arial"/>
          <w:b/>
          <w:bCs/>
          <w:sz w:val="20"/>
          <w:szCs w:val="20"/>
          <w:lang w:eastAsia="fr-FR"/>
        </w:rPr>
        <w:t>Experimental Design</w:t>
      </w:r>
    </w:p>
    <w:p w14:paraId="7FAC6913" w14:textId="77777777" w:rsidR="00E7057E" w:rsidRPr="002E4654" w:rsidRDefault="00E7057E" w:rsidP="002E4654">
      <w:pPr>
        <w:pStyle w:val="ListParagraph"/>
        <w:numPr>
          <w:ilvl w:val="2"/>
          <w:numId w:val="5"/>
        </w:numPr>
        <w:spacing w:after="0" w:line="360" w:lineRule="auto"/>
        <w:jc w:val="both"/>
        <w:rPr>
          <w:rFonts w:ascii="Arial" w:eastAsia="Times New Roman" w:hAnsi="Arial" w:cs="Arial"/>
          <w:b/>
          <w:bCs/>
          <w:sz w:val="20"/>
          <w:szCs w:val="20"/>
          <w:lang w:eastAsia="fr-FR"/>
        </w:rPr>
      </w:pPr>
      <w:r w:rsidRPr="002E4654">
        <w:rPr>
          <w:rFonts w:ascii="Arial" w:eastAsia="Times New Roman" w:hAnsi="Arial" w:cs="Arial"/>
          <w:b/>
          <w:bCs/>
          <w:sz w:val="20"/>
          <w:szCs w:val="20"/>
          <w:lang w:eastAsia="fr-FR"/>
        </w:rPr>
        <w:t>Group Allocation</w:t>
      </w:r>
    </w:p>
    <w:p w14:paraId="144800E1" w14:textId="77777777" w:rsidR="00E7057E" w:rsidRPr="00E7057E" w:rsidRDefault="00E7057E" w:rsidP="00E7057E">
      <w:pPr>
        <w:spacing w:after="0" w:line="360" w:lineRule="auto"/>
        <w:jc w:val="both"/>
        <w:rPr>
          <w:rFonts w:ascii="Arial" w:eastAsia="Times New Roman" w:hAnsi="Arial" w:cs="Arial"/>
          <w:b/>
          <w:bCs/>
          <w:sz w:val="20"/>
          <w:szCs w:val="20"/>
          <w:lang w:eastAsia="fr-FR"/>
        </w:rPr>
      </w:pPr>
      <w:r w:rsidRPr="00E7057E">
        <w:rPr>
          <w:rFonts w:ascii="Arial" w:eastAsia="Times New Roman" w:hAnsi="Arial" w:cs="Arial"/>
          <w:sz w:val="20"/>
          <w:szCs w:val="20"/>
          <w:lang w:eastAsia="fr-FR"/>
        </w:rPr>
        <w:t xml:space="preserve">The animals were randomly allocated into six (6) experimental groups, each consisting of three (3) rats, for a total of eighteen (18) rats. This allocation allows for the evaluation of the dose-dependent effect of the </w:t>
      </w:r>
      <w:r w:rsidRPr="00E7057E">
        <w:rPr>
          <w:rFonts w:ascii="Arial" w:eastAsia="Times New Roman" w:hAnsi="Arial" w:cs="Arial"/>
          <w:i/>
          <w:iCs/>
          <w:sz w:val="20"/>
          <w:szCs w:val="20"/>
          <w:lang w:eastAsia="fr-FR"/>
        </w:rPr>
        <w:t>Petiveria alliacea</w:t>
      </w:r>
      <w:r w:rsidRPr="00E7057E">
        <w:rPr>
          <w:rFonts w:ascii="Arial" w:eastAsia="Times New Roman" w:hAnsi="Arial" w:cs="Arial"/>
          <w:sz w:val="20"/>
          <w:szCs w:val="20"/>
          <w:lang w:eastAsia="fr-FR"/>
        </w:rPr>
        <w:t xml:space="preserve"> extract while ensuring statistical comparison with the control and reference drug groups. Treatments were administered orally, one hour prior to ulcer induction in the designated groups. The group distribution is as </w:t>
      </w:r>
      <w:proofErr w:type="gramStart"/>
      <w:r w:rsidRPr="00E7057E">
        <w:rPr>
          <w:rFonts w:ascii="Arial" w:eastAsia="Times New Roman" w:hAnsi="Arial" w:cs="Arial"/>
          <w:sz w:val="20"/>
          <w:szCs w:val="20"/>
          <w:lang w:eastAsia="fr-FR"/>
        </w:rPr>
        <w:t>follows:</w:t>
      </w:r>
      <w:proofErr w:type="gramEnd"/>
    </w:p>
    <w:p w14:paraId="29567EB2" w14:textId="77777777" w:rsidR="00E7057E" w:rsidRPr="00E7057E" w:rsidRDefault="00E7057E" w:rsidP="00E7057E">
      <w:pPr>
        <w:numPr>
          <w:ilvl w:val="0"/>
          <w:numId w:val="1"/>
        </w:numPr>
        <w:spacing w:before="100" w:beforeAutospacing="1" w:after="100" w:afterAutospacing="1" w:line="360" w:lineRule="auto"/>
        <w:jc w:val="both"/>
        <w:rPr>
          <w:rFonts w:ascii="Arial" w:eastAsia="Times New Roman" w:hAnsi="Arial" w:cs="Arial"/>
          <w:sz w:val="20"/>
          <w:szCs w:val="20"/>
          <w:lang w:eastAsia="fr-FR"/>
        </w:rPr>
      </w:pPr>
      <w:r w:rsidRPr="00E7057E">
        <w:rPr>
          <w:rFonts w:ascii="Arial" w:eastAsia="Times New Roman" w:hAnsi="Arial" w:cs="Arial"/>
          <w:b/>
          <w:bCs/>
          <w:sz w:val="20"/>
          <w:szCs w:val="20"/>
          <w:lang w:eastAsia="fr-FR"/>
        </w:rPr>
        <w:t>Group 1 (Healthy Control</w:t>
      </w:r>
      <w:proofErr w:type="gramStart"/>
      <w:r w:rsidRPr="00E7057E">
        <w:rPr>
          <w:rFonts w:ascii="Arial" w:eastAsia="Times New Roman" w:hAnsi="Arial" w:cs="Arial"/>
          <w:b/>
          <w:bCs/>
          <w:sz w:val="20"/>
          <w:szCs w:val="20"/>
          <w:lang w:eastAsia="fr-FR"/>
        </w:rPr>
        <w:t>):</w:t>
      </w:r>
      <w:proofErr w:type="gramEnd"/>
      <w:r w:rsidRPr="00E7057E">
        <w:rPr>
          <w:rFonts w:ascii="Arial" w:eastAsia="Times New Roman" w:hAnsi="Arial" w:cs="Arial"/>
          <w:sz w:val="20"/>
          <w:szCs w:val="20"/>
          <w:lang w:eastAsia="fr-FR"/>
        </w:rPr>
        <w:t xml:space="preserve"> Rats in this group were given distilled water (10 mL/kg) and were not exposed to any ulcerogenic agent. This group serves to establish baseline physiological values for the studied parameters.</w:t>
      </w:r>
    </w:p>
    <w:p w14:paraId="76474D06" w14:textId="77777777" w:rsidR="00E7057E" w:rsidRPr="00E7057E" w:rsidRDefault="00E7057E" w:rsidP="00E7057E">
      <w:pPr>
        <w:numPr>
          <w:ilvl w:val="0"/>
          <w:numId w:val="1"/>
        </w:numPr>
        <w:spacing w:before="100" w:beforeAutospacing="1" w:after="100" w:afterAutospacing="1" w:line="360" w:lineRule="auto"/>
        <w:jc w:val="both"/>
        <w:rPr>
          <w:rFonts w:ascii="Arial" w:eastAsia="Times New Roman" w:hAnsi="Arial" w:cs="Arial"/>
          <w:sz w:val="20"/>
          <w:szCs w:val="20"/>
          <w:lang w:eastAsia="fr-FR"/>
        </w:rPr>
      </w:pPr>
      <w:r w:rsidRPr="00E7057E">
        <w:rPr>
          <w:rFonts w:ascii="Arial" w:eastAsia="Times New Roman" w:hAnsi="Arial" w:cs="Arial"/>
          <w:b/>
          <w:bCs/>
          <w:sz w:val="20"/>
          <w:szCs w:val="20"/>
          <w:lang w:eastAsia="fr-FR"/>
        </w:rPr>
        <w:t>Group 2 (Ulcer Control</w:t>
      </w:r>
      <w:proofErr w:type="gramStart"/>
      <w:r w:rsidRPr="00E7057E">
        <w:rPr>
          <w:rFonts w:ascii="Arial" w:eastAsia="Times New Roman" w:hAnsi="Arial" w:cs="Arial"/>
          <w:b/>
          <w:bCs/>
          <w:sz w:val="20"/>
          <w:szCs w:val="20"/>
          <w:lang w:eastAsia="fr-FR"/>
        </w:rPr>
        <w:t>):</w:t>
      </w:r>
      <w:proofErr w:type="gramEnd"/>
      <w:r w:rsidRPr="00E7057E">
        <w:rPr>
          <w:rFonts w:ascii="Arial" w:eastAsia="Times New Roman" w:hAnsi="Arial" w:cs="Arial"/>
          <w:sz w:val="20"/>
          <w:szCs w:val="20"/>
          <w:lang w:eastAsia="fr-FR"/>
        </w:rPr>
        <w:t xml:space="preserve"> This group also received distilled water (10 mL/kg), but one hour later, an ulcerogenic agent (96% absolute ethanol) was administered to induce acute gastric lesions. This serves </w:t>
      </w:r>
      <w:proofErr w:type="gramStart"/>
      <w:r w:rsidRPr="00E7057E">
        <w:rPr>
          <w:rFonts w:ascii="Arial" w:eastAsia="Times New Roman" w:hAnsi="Arial" w:cs="Arial"/>
          <w:sz w:val="20"/>
          <w:szCs w:val="20"/>
          <w:lang w:eastAsia="fr-FR"/>
        </w:rPr>
        <w:t>as</w:t>
      </w:r>
      <w:proofErr w:type="gramEnd"/>
      <w:r w:rsidRPr="00E7057E">
        <w:rPr>
          <w:rFonts w:ascii="Arial" w:eastAsia="Times New Roman" w:hAnsi="Arial" w:cs="Arial"/>
          <w:sz w:val="20"/>
          <w:szCs w:val="20"/>
          <w:lang w:eastAsia="fr-FR"/>
        </w:rPr>
        <w:t xml:space="preserve"> the negative control.</w:t>
      </w:r>
    </w:p>
    <w:p w14:paraId="2862E1A2" w14:textId="77777777" w:rsidR="00E7057E" w:rsidRPr="00E7057E" w:rsidRDefault="00E7057E" w:rsidP="00E7057E">
      <w:pPr>
        <w:numPr>
          <w:ilvl w:val="0"/>
          <w:numId w:val="1"/>
        </w:numPr>
        <w:spacing w:before="100" w:beforeAutospacing="1" w:after="100" w:afterAutospacing="1" w:line="360" w:lineRule="auto"/>
        <w:jc w:val="both"/>
        <w:rPr>
          <w:rFonts w:ascii="Arial" w:eastAsia="Times New Roman" w:hAnsi="Arial" w:cs="Arial"/>
          <w:sz w:val="20"/>
          <w:szCs w:val="20"/>
          <w:lang w:eastAsia="fr-FR"/>
        </w:rPr>
      </w:pPr>
      <w:r w:rsidRPr="00E7057E">
        <w:rPr>
          <w:rFonts w:ascii="Arial" w:eastAsia="Times New Roman" w:hAnsi="Arial" w:cs="Arial"/>
          <w:b/>
          <w:bCs/>
          <w:sz w:val="20"/>
          <w:szCs w:val="20"/>
          <w:lang w:eastAsia="fr-FR"/>
        </w:rPr>
        <w:t>Group 3 (Reference</w:t>
      </w:r>
      <w:proofErr w:type="gramStart"/>
      <w:r w:rsidRPr="00E7057E">
        <w:rPr>
          <w:rFonts w:ascii="Arial" w:eastAsia="Times New Roman" w:hAnsi="Arial" w:cs="Arial"/>
          <w:b/>
          <w:bCs/>
          <w:sz w:val="20"/>
          <w:szCs w:val="20"/>
          <w:lang w:eastAsia="fr-FR"/>
        </w:rPr>
        <w:t>):</w:t>
      </w:r>
      <w:proofErr w:type="gramEnd"/>
      <w:r w:rsidRPr="00E7057E">
        <w:rPr>
          <w:rFonts w:ascii="Arial" w:eastAsia="Times New Roman" w:hAnsi="Arial" w:cs="Arial"/>
          <w:sz w:val="20"/>
          <w:szCs w:val="20"/>
          <w:lang w:eastAsia="fr-FR"/>
        </w:rPr>
        <w:t xml:space="preserve"> Rats were pretreated with ranitidine at a dose of 50 mg/kg one hour before ethanol administration. This group serves as the positive control, allowing for the evaluation of the protective efficacy of a standard antiulcer drug.</w:t>
      </w:r>
    </w:p>
    <w:p w14:paraId="7476C077" w14:textId="77777777" w:rsidR="00E7057E" w:rsidRPr="00E7057E" w:rsidRDefault="00E7057E" w:rsidP="00E7057E">
      <w:pPr>
        <w:numPr>
          <w:ilvl w:val="0"/>
          <w:numId w:val="1"/>
        </w:numPr>
        <w:spacing w:before="100" w:beforeAutospacing="1" w:after="100" w:afterAutospacing="1" w:line="360" w:lineRule="auto"/>
        <w:jc w:val="both"/>
        <w:rPr>
          <w:rFonts w:ascii="Arial" w:eastAsia="Times New Roman" w:hAnsi="Arial" w:cs="Arial"/>
          <w:sz w:val="20"/>
          <w:szCs w:val="20"/>
          <w:lang w:eastAsia="fr-FR"/>
        </w:rPr>
      </w:pPr>
      <w:r w:rsidRPr="00E7057E">
        <w:rPr>
          <w:rFonts w:ascii="Arial" w:eastAsia="Times New Roman" w:hAnsi="Arial" w:cs="Arial"/>
          <w:b/>
          <w:bCs/>
          <w:sz w:val="20"/>
          <w:szCs w:val="20"/>
          <w:lang w:eastAsia="fr-FR"/>
        </w:rPr>
        <w:t>Group 4 (Test 1</w:t>
      </w:r>
      <w:proofErr w:type="gramStart"/>
      <w:r w:rsidRPr="00E7057E">
        <w:rPr>
          <w:rFonts w:ascii="Arial" w:eastAsia="Times New Roman" w:hAnsi="Arial" w:cs="Arial"/>
          <w:b/>
          <w:bCs/>
          <w:sz w:val="20"/>
          <w:szCs w:val="20"/>
          <w:lang w:eastAsia="fr-FR"/>
        </w:rPr>
        <w:t>):</w:t>
      </w:r>
      <w:proofErr w:type="gramEnd"/>
      <w:r w:rsidRPr="00E7057E">
        <w:rPr>
          <w:rFonts w:ascii="Arial" w:eastAsia="Times New Roman" w:hAnsi="Arial" w:cs="Arial"/>
          <w:sz w:val="20"/>
          <w:szCs w:val="20"/>
          <w:lang w:eastAsia="fr-FR"/>
        </w:rPr>
        <w:t xml:space="preserve"> This group received the hydroalcoholic extract of </w:t>
      </w:r>
      <w:r w:rsidRPr="00E7057E">
        <w:rPr>
          <w:rFonts w:ascii="Arial" w:eastAsia="Times New Roman" w:hAnsi="Arial" w:cs="Arial"/>
          <w:i/>
          <w:iCs/>
          <w:sz w:val="20"/>
          <w:szCs w:val="20"/>
          <w:lang w:eastAsia="fr-FR"/>
        </w:rPr>
        <w:t>Petiveria alliacea</w:t>
      </w:r>
      <w:r w:rsidRPr="00E7057E">
        <w:rPr>
          <w:rFonts w:ascii="Arial" w:eastAsia="Times New Roman" w:hAnsi="Arial" w:cs="Arial"/>
          <w:sz w:val="20"/>
          <w:szCs w:val="20"/>
          <w:lang w:eastAsia="fr-FR"/>
        </w:rPr>
        <w:t xml:space="preserve"> at a dose of 100 mg/kg, followed by ethanol administration to induce the ulcer.</w:t>
      </w:r>
    </w:p>
    <w:p w14:paraId="0AC2936A" w14:textId="77777777" w:rsidR="00E7057E" w:rsidRPr="00E7057E" w:rsidRDefault="00E7057E" w:rsidP="00E7057E">
      <w:pPr>
        <w:numPr>
          <w:ilvl w:val="0"/>
          <w:numId w:val="1"/>
        </w:numPr>
        <w:spacing w:before="100" w:beforeAutospacing="1" w:after="100" w:afterAutospacing="1" w:line="360" w:lineRule="auto"/>
        <w:jc w:val="both"/>
        <w:rPr>
          <w:rFonts w:ascii="Arial" w:eastAsia="Times New Roman" w:hAnsi="Arial" w:cs="Arial"/>
          <w:sz w:val="20"/>
          <w:szCs w:val="20"/>
          <w:lang w:eastAsia="fr-FR"/>
        </w:rPr>
      </w:pPr>
      <w:r w:rsidRPr="00E7057E">
        <w:rPr>
          <w:rFonts w:ascii="Arial" w:eastAsia="Times New Roman" w:hAnsi="Arial" w:cs="Arial"/>
          <w:b/>
          <w:bCs/>
          <w:sz w:val="20"/>
          <w:szCs w:val="20"/>
          <w:lang w:eastAsia="fr-FR"/>
        </w:rPr>
        <w:t>Group 5 (Test 2</w:t>
      </w:r>
      <w:proofErr w:type="gramStart"/>
      <w:r w:rsidRPr="00E7057E">
        <w:rPr>
          <w:rFonts w:ascii="Arial" w:eastAsia="Times New Roman" w:hAnsi="Arial" w:cs="Arial"/>
          <w:b/>
          <w:bCs/>
          <w:sz w:val="20"/>
          <w:szCs w:val="20"/>
          <w:lang w:eastAsia="fr-FR"/>
        </w:rPr>
        <w:t>):</w:t>
      </w:r>
      <w:proofErr w:type="gramEnd"/>
      <w:r w:rsidRPr="00E7057E">
        <w:rPr>
          <w:rFonts w:ascii="Arial" w:eastAsia="Times New Roman" w:hAnsi="Arial" w:cs="Arial"/>
          <w:sz w:val="20"/>
          <w:szCs w:val="20"/>
          <w:lang w:eastAsia="fr-FR"/>
        </w:rPr>
        <w:t xml:space="preserve"> Rats were treated with the extract at a dose of 200 mg/kg, then exposed to the ulcerogenic agent.</w:t>
      </w:r>
    </w:p>
    <w:p w14:paraId="659DF87C" w14:textId="77777777" w:rsidR="00E7057E" w:rsidRPr="00E7057E" w:rsidRDefault="00E7057E" w:rsidP="00E7057E">
      <w:pPr>
        <w:numPr>
          <w:ilvl w:val="0"/>
          <w:numId w:val="1"/>
        </w:numPr>
        <w:spacing w:before="100" w:beforeAutospacing="1" w:after="100" w:afterAutospacing="1" w:line="360" w:lineRule="auto"/>
        <w:jc w:val="both"/>
        <w:rPr>
          <w:rFonts w:ascii="Arial" w:eastAsia="Times New Roman" w:hAnsi="Arial" w:cs="Arial"/>
          <w:sz w:val="20"/>
          <w:szCs w:val="20"/>
          <w:lang w:eastAsia="fr-FR"/>
        </w:rPr>
      </w:pPr>
      <w:r w:rsidRPr="00E7057E">
        <w:rPr>
          <w:rFonts w:ascii="Arial" w:eastAsia="Times New Roman" w:hAnsi="Arial" w:cs="Arial"/>
          <w:b/>
          <w:bCs/>
          <w:sz w:val="20"/>
          <w:szCs w:val="20"/>
          <w:lang w:eastAsia="fr-FR"/>
        </w:rPr>
        <w:t>Group 6 (Test 3</w:t>
      </w:r>
      <w:proofErr w:type="gramStart"/>
      <w:r w:rsidRPr="00E7057E">
        <w:rPr>
          <w:rFonts w:ascii="Arial" w:eastAsia="Times New Roman" w:hAnsi="Arial" w:cs="Arial"/>
          <w:b/>
          <w:bCs/>
          <w:sz w:val="20"/>
          <w:szCs w:val="20"/>
          <w:lang w:eastAsia="fr-FR"/>
        </w:rPr>
        <w:t>):</w:t>
      </w:r>
      <w:proofErr w:type="gramEnd"/>
      <w:r w:rsidRPr="00E7057E">
        <w:rPr>
          <w:rFonts w:ascii="Arial" w:eastAsia="Times New Roman" w:hAnsi="Arial" w:cs="Arial"/>
          <w:sz w:val="20"/>
          <w:szCs w:val="20"/>
          <w:lang w:eastAsia="fr-FR"/>
        </w:rPr>
        <w:t xml:space="preserve"> This group received a higher dose of the extract, 400 mg/kg, before ethanol-induced ulceration.</w:t>
      </w:r>
    </w:p>
    <w:p w14:paraId="7852A8FA" w14:textId="77777777" w:rsidR="00E7057E" w:rsidRPr="00E7057E" w:rsidRDefault="00E7057E" w:rsidP="00E7057E">
      <w:pPr>
        <w:spacing w:before="100" w:beforeAutospacing="1" w:after="100" w:afterAutospacing="1" w:line="360" w:lineRule="auto"/>
        <w:jc w:val="both"/>
        <w:rPr>
          <w:rFonts w:ascii="Times New Roman" w:eastAsia="Times New Roman" w:hAnsi="Times New Roman" w:cs="Times New Roman"/>
          <w:sz w:val="24"/>
          <w:szCs w:val="24"/>
          <w:lang w:eastAsia="fr-FR"/>
        </w:rPr>
      </w:pPr>
      <w:r w:rsidRPr="00E7057E">
        <w:rPr>
          <w:rFonts w:ascii="Arial" w:eastAsia="Times New Roman" w:hAnsi="Arial" w:cs="Arial"/>
          <w:sz w:val="20"/>
          <w:szCs w:val="20"/>
          <w:lang w:eastAsia="fr-FR"/>
        </w:rPr>
        <w:t>This experimental approach aims to evaluate the gastroprotective potential of the extract based on the administered dose and compare its efficacy to that of a well-established reference drug</w:t>
      </w:r>
    </w:p>
    <w:p w14:paraId="1629694C" w14:textId="77777777" w:rsidR="00E7057E" w:rsidRPr="002E4654" w:rsidRDefault="00E7057E" w:rsidP="002E4654">
      <w:pPr>
        <w:pStyle w:val="ListParagraph"/>
        <w:numPr>
          <w:ilvl w:val="2"/>
          <w:numId w:val="5"/>
        </w:numPr>
        <w:spacing w:after="0" w:line="360" w:lineRule="auto"/>
        <w:rPr>
          <w:rFonts w:ascii="Arial" w:eastAsia="Times New Roman" w:hAnsi="Arial" w:cs="Arial"/>
          <w:b/>
          <w:bCs/>
          <w:sz w:val="20"/>
          <w:szCs w:val="20"/>
          <w:lang w:eastAsia="fr-FR"/>
        </w:rPr>
      </w:pPr>
      <w:r w:rsidRPr="002E4654">
        <w:rPr>
          <w:rFonts w:ascii="Arial" w:eastAsia="Times New Roman" w:hAnsi="Arial" w:cs="Arial"/>
          <w:b/>
          <w:bCs/>
          <w:sz w:val="20"/>
          <w:szCs w:val="20"/>
          <w:lang w:eastAsia="fr-FR"/>
        </w:rPr>
        <w:t>Induction of Ulcer</w:t>
      </w:r>
    </w:p>
    <w:p w14:paraId="4DB9406E" w14:textId="77777777" w:rsidR="00E7057E" w:rsidRPr="00E7057E" w:rsidRDefault="00E7057E" w:rsidP="00E7057E">
      <w:pPr>
        <w:spacing w:after="0" w:line="360" w:lineRule="auto"/>
        <w:jc w:val="both"/>
        <w:rPr>
          <w:rFonts w:ascii="Arial" w:eastAsia="Times New Roman" w:hAnsi="Arial" w:cs="Arial"/>
          <w:sz w:val="20"/>
          <w:szCs w:val="20"/>
          <w:lang w:eastAsia="fr-FR"/>
        </w:rPr>
      </w:pPr>
      <w:r w:rsidRPr="00E7057E">
        <w:rPr>
          <w:rFonts w:ascii="Arial" w:eastAsia="Times New Roman" w:hAnsi="Arial" w:cs="Arial"/>
          <w:sz w:val="20"/>
          <w:szCs w:val="20"/>
          <w:lang w:eastAsia="fr-FR"/>
        </w:rPr>
        <w:t xml:space="preserve">Gastric lesions were induced according to a standardized acute chemical gastritis protocol, well-documented in experimental gastroprotection models. Twenty-four (24) hours prior to the administration of the ulcerogenic agent, all rats underwent partial fasting, meaning they were deprived </w:t>
      </w:r>
      <w:r w:rsidRPr="00E7057E">
        <w:rPr>
          <w:rFonts w:ascii="Arial" w:eastAsia="Times New Roman" w:hAnsi="Arial" w:cs="Arial"/>
          <w:sz w:val="20"/>
          <w:szCs w:val="20"/>
          <w:lang w:eastAsia="fr-FR"/>
        </w:rPr>
        <w:lastRenderedPageBreak/>
        <w:t>of solid food but had free access to water. This fasting period ensured optimal gastric emptying and better uniformity of physiological conditions at the time of ulcer induction. Additionally, this fasting period contributes to increasing the gastric mucosa's sensitivity to necrotizing agents.</w:t>
      </w:r>
    </w:p>
    <w:p w14:paraId="56E9A229" w14:textId="77777777" w:rsidR="00E7057E" w:rsidRPr="00E7057E" w:rsidRDefault="00E7057E" w:rsidP="00E7057E">
      <w:pPr>
        <w:spacing w:after="0" w:line="360" w:lineRule="auto"/>
        <w:jc w:val="both"/>
        <w:rPr>
          <w:rFonts w:ascii="Arial" w:eastAsia="Times New Roman" w:hAnsi="Arial" w:cs="Arial"/>
          <w:sz w:val="20"/>
          <w:szCs w:val="20"/>
          <w:lang w:eastAsia="fr-FR"/>
        </w:rPr>
      </w:pPr>
      <w:r w:rsidRPr="00E7057E">
        <w:rPr>
          <w:rFonts w:ascii="Arial" w:eastAsia="Times New Roman" w:hAnsi="Arial" w:cs="Arial"/>
          <w:sz w:val="20"/>
          <w:szCs w:val="20"/>
          <w:lang w:eastAsia="fr-FR"/>
        </w:rPr>
        <w:t>Gastric ulcers were subsequently induced by direct oral administration of 96% absolute ethanol at a dose of 2 mL per rat, using a soft gastric tube. Absolute ethanol is a well-known ulcerogenic agent, capable of inducing severe hemorrhagic lesions in the gastric mucosa through direct epithelial cell destruction, reduction in mucus secretion, and free radical generation. This makes it a relevant model for evaluating the gastroprotective effects of natural substances.</w:t>
      </w:r>
    </w:p>
    <w:p w14:paraId="5BFEF5CE" w14:textId="77777777" w:rsidR="00E7057E" w:rsidRPr="00E7057E" w:rsidRDefault="00E7057E" w:rsidP="00E7057E">
      <w:pPr>
        <w:spacing w:after="0" w:line="360" w:lineRule="auto"/>
        <w:jc w:val="both"/>
        <w:rPr>
          <w:rFonts w:ascii="Arial" w:eastAsia="Times New Roman" w:hAnsi="Arial" w:cs="Arial"/>
          <w:sz w:val="20"/>
          <w:szCs w:val="20"/>
          <w:lang w:eastAsia="fr-FR"/>
        </w:rPr>
      </w:pPr>
      <w:r w:rsidRPr="00E7057E">
        <w:rPr>
          <w:rFonts w:ascii="Arial" w:eastAsia="Times New Roman" w:hAnsi="Arial" w:cs="Arial"/>
          <w:sz w:val="20"/>
          <w:szCs w:val="20"/>
          <w:lang w:eastAsia="fr-FR"/>
        </w:rPr>
        <w:t>The rats were euthanized one hour after ethanol administration, a time when the lesions were well-developed but still acute. This timing allowed for macroscopic, histological, and, if necessary, biochemical analysis of the gastric wall.</w:t>
      </w:r>
    </w:p>
    <w:p w14:paraId="5F28C3CA" w14:textId="77777777" w:rsidR="00E7057E" w:rsidRPr="00E7057E" w:rsidRDefault="00E7057E" w:rsidP="00E7057E">
      <w:pPr>
        <w:spacing w:after="0" w:line="360" w:lineRule="auto"/>
        <w:jc w:val="both"/>
        <w:rPr>
          <w:rFonts w:ascii="Times New Roman" w:eastAsia="Times New Roman" w:hAnsi="Times New Roman" w:cs="Times New Roman"/>
          <w:sz w:val="24"/>
          <w:szCs w:val="24"/>
          <w:lang w:eastAsia="fr-FR"/>
        </w:rPr>
      </w:pPr>
    </w:p>
    <w:p w14:paraId="39EC0210" w14:textId="77777777" w:rsidR="00E7057E" w:rsidRPr="002E4654" w:rsidRDefault="00E7057E" w:rsidP="002E4654">
      <w:pPr>
        <w:pStyle w:val="ListParagraph"/>
        <w:numPr>
          <w:ilvl w:val="2"/>
          <w:numId w:val="5"/>
        </w:numPr>
        <w:spacing w:after="0" w:line="278" w:lineRule="auto"/>
        <w:rPr>
          <w:rFonts w:ascii="Arial" w:eastAsia="Times New Roman" w:hAnsi="Arial" w:cs="Arial"/>
          <w:b/>
          <w:bCs/>
          <w:sz w:val="20"/>
          <w:szCs w:val="20"/>
          <w:lang w:eastAsia="fr-FR"/>
        </w:rPr>
      </w:pPr>
      <w:r w:rsidRPr="002E4654">
        <w:rPr>
          <w:rFonts w:ascii="Arial" w:eastAsia="Times New Roman" w:hAnsi="Arial" w:cs="Arial"/>
          <w:b/>
          <w:bCs/>
          <w:sz w:val="20"/>
          <w:szCs w:val="20"/>
          <w:lang w:eastAsia="fr-FR"/>
        </w:rPr>
        <w:t>Evaluation of Ulcers</w:t>
      </w:r>
    </w:p>
    <w:p w14:paraId="2E17E5F2" w14:textId="77777777" w:rsidR="00E7057E" w:rsidRPr="00E7057E" w:rsidRDefault="00E7057E" w:rsidP="00E7057E">
      <w:pPr>
        <w:spacing w:after="0" w:line="278" w:lineRule="auto"/>
        <w:jc w:val="both"/>
        <w:rPr>
          <w:rFonts w:ascii="Arial" w:eastAsia="Times New Roman" w:hAnsi="Arial" w:cs="Arial"/>
          <w:b/>
          <w:bCs/>
          <w:sz w:val="20"/>
          <w:szCs w:val="20"/>
          <w:lang w:eastAsia="fr-FR"/>
        </w:rPr>
      </w:pPr>
      <w:r w:rsidRPr="00E7057E">
        <w:rPr>
          <w:rFonts w:ascii="Arial" w:eastAsia="Times New Roman" w:hAnsi="Arial" w:cs="Arial"/>
          <w:sz w:val="20"/>
          <w:szCs w:val="20"/>
          <w:lang w:eastAsia="fr-FR"/>
        </w:rPr>
        <w:t>Six hours after administration of the ulcerogenic agent, the animals were anesthetized and then euthanized according to ethical standards, in order to proceed with the collection of the stomachs. A median incision was made along the abdominal line, followed by careful dissection of each rat's stomach. The harvested organs were immediately opened along the greater curvature of the stomach, and gently rinsed with physiological saline to remove food debris and traces of blood, without altering the lesions.</w:t>
      </w:r>
    </w:p>
    <w:p w14:paraId="65DD4F5A" w14:textId="77777777" w:rsidR="00E7057E" w:rsidRPr="00E7057E" w:rsidRDefault="00E7057E" w:rsidP="00E7057E">
      <w:pPr>
        <w:numPr>
          <w:ilvl w:val="0"/>
          <w:numId w:val="2"/>
        </w:numPr>
        <w:spacing w:before="100" w:beforeAutospacing="1" w:after="0" w:line="360" w:lineRule="auto"/>
        <w:jc w:val="both"/>
        <w:rPr>
          <w:rFonts w:ascii="Arial" w:eastAsia="Times New Roman" w:hAnsi="Arial" w:cs="Arial"/>
          <w:sz w:val="20"/>
          <w:szCs w:val="20"/>
          <w:lang w:eastAsia="fr-FR"/>
        </w:rPr>
      </w:pPr>
      <w:r w:rsidRPr="00E7057E">
        <w:rPr>
          <w:rFonts w:ascii="Arial" w:eastAsia="Times New Roman" w:hAnsi="Arial" w:cs="Arial"/>
          <w:b/>
          <w:bCs/>
          <w:sz w:val="20"/>
          <w:szCs w:val="20"/>
          <w:lang w:eastAsia="fr-FR"/>
        </w:rPr>
        <w:t>Ulceration Index (UI</w:t>
      </w:r>
      <w:proofErr w:type="gramStart"/>
      <w:r w:rsidRPr="00E7057E">
        <w:rPr>
          <w:rFonts w:ascii="Arial" w:eastAsia="Times New Roman" w:hAnsi="Arial" w:cs="Arial"/>
          <w:b/>
          <w:bCs/>
          <w:sz w:val="20"/>
          <w:szCs w:val="20"/>
          <w:lang w:eastAsia="fr-FR"/>
        </w:rPr>
        <w:t>)</w:t>
      </w:r>
      <w:r w:rsidRPr="00E7057E">
        <w:rPr>
          <w:rFonts w:ascii="Arial" w:eastAsia="Times New Roman" w:hAnsi="Arial" w:cs="Arial"/>
          <w:sz w:val="20"/>
          <w:szCs w:val="20"/>
          <w:lang w:eastAsia="fr-FR"/>
        </w:rPr>
        <w:t>:</w:t>
      </w:r>
      <w:proofErr w:type="gramEnd"/>
      <w:r w:rsidRPr="00E7057E">
        <w:rPr>
          <w:rFonts w:ascii="Arial" w:eastAsia="Times New Roman" w:hAnsi="Arial" w:cs="Arial"/>
          <w:sz w:val="20"/>
          <w:szCs w:val="20"/>
          <w:lang w:eastAsia="fr-FR"/>
        </w:rPr>
        <w:t xml:space="preserve"> This was determined by measuring the total surface area of the ulcerative lesions expressed in square millimeters (mm²), using either a millimeter grid or a calibrated imaging system. This measurement allows for the evaluation of the actual extent of tissue damage. The data collected were then used to calculate the percentage of ulcer inhibition, compared to the ulcerated control group, in order to assess the gastroprotective effect of the tested extract.</w:t>
      </w:r>
    </w:p>
    <w:p w14:paraId="763A12BF" w14:textId="77777777" w:rsidR="00E7057E" w:rsidRPr="00E7057E" w:rsidRDefault="00E7057E" w:rsidP="00E7057E">
      <w:pPr>
        <w:spacing w:before="100" w:beforeAutospacing="1" w:after="100" w:afterAutospacing="1" w:line="360" w:lineRule="auto"/>
        <w:ind w:left="720"/>
        <w:jc w:val="center"/>
        <w:rPr>
          <w:rFonts w:ascii="Arial" w:eastAsia="Times New Roman" w:hAnsi="Arial" w:cs="Arial"/>
          <w:sz w:val="20"/>
          <w:szCs w:val="20"/>
          <w:lang w:eastAsia="fr-FR"/>
        </w:rPr>
      </w:pPr>
      <w:r w:rsidRPr="00E7057E">
        <w:rPr>
          <w:rFonts w:ascii="Arial" w:eastAsia="Calibri" w:hAnsi="Arial" w:cs="Arial"/>
          <w:noProof/>
          <w:kern w:val="2"/>
          <w:sz w:val="20"/>
          <w:szCs w:val="20"/>
          <w:lang w:eastAsia="fr-FR"/>
        </w:rPr>
        <w:drawing>
          <wp:inline distT="0" distB="0" distL="0" distR="0" wp14:anchorId="0B2D75BF" wp14:editId="6A0AD702">
            <wp:extent cx="3611064" cy="428625"/>
            <wp:effectExtent l="0" t="0" r="889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24218" name=""/>
                    <pic:cNvPicPr/>
                  </pic:nvPicPr>
                  <pic:blipFill>
                    <a:blip r:embed="rId7"/>
                    <a:stretch>
                      <a:fillRect/>
                    </a:stretch>
                  </pic:blipFill>
                  <pic:spPr>
                    <a:xfrm>
                      <a:off x="0" y="0"/>
                      <a:ext cx="3615384" cy="429138"/>
                    </a:xfrm>
                    <a:prstGeom prst="rect">
                      <a:avLst/>
                    </a:prstGeom>
                  </pic:spPr>
                </pic:pic>
              </a:graphicData>
            </a:graphic>
          </wp:inline>
        </w:drawing>
      </w:r>
    </w:p>
    <w:p w14:paraId="2CEE2E89" w14:textId="77777777" w:rsidR="00E7057E" w:rsidRPr="00E7057E" w:rsidRDefault="00E7057E" w:rsidP="00E7057E">
      <w:pPr>
        <w:spacing w:before="100" w:beforeAutospacing="1" w:after="100" w:afterAutospacing="1" w:line="360" w:lineRule="auto"/>
        <w:rPr>
          <w:rFonts w:ascii="Arial" w:eastAsia="Times New Roman" w:hAnsi="Arial" w:cs="Arial"/>
          <w:sz w:val="20"/>
          <w:szCs w:val="20"/>
          <w:lang w:eastAsia="fr-FR"/>
        </w:rPr>
      </w:pPr>
      <w:proofErr w:type="gramStart"/>
      <w:r w:rsidRPr="00E7057E">
        <w:rPr>
          <w:rFonts w:ascii="Arial" w:eastAsia="Times New Roman" w:hAnsi="Arial" w:cs="Arial"/>
          <w:sz w:val="20"/>
          <w:szCs w:val="20"/>
          <w:lang w:eastAsia="fr-FR"/>
        </w:rPr>
        <w:t>Where:</w:t>
      </w:r>
      <w:proofErr w:type="gramEnd"/>
    </w:p>
    <w:p w14:paraId="487C0F11" w14:textId="77777777" w:rsidR="00E7057E" w:rsidRPr="00E7057E" w:rsidRDefault="00E7057E" w:rsidP="00E7057E">
      <w:pPr>
        <w:numPr>
          <w:ilvl w:val="0"/>
          <w:numId w:val="3"/>
        </w:numPr>
        <w:spacing w:before="100" w:beforeAutospacing="1" w:after="100" w:afterAutospacing="1" w:line="360" w:lineRule="auto"/>
        <w:contextualSpacing/>
        <w:rPr>
          <w:rFonts w:ascii="Arial" w:eastAsia="Times New Roman" w:hAnsi="Arial" w:cs="Arial"/>
          <w:sz w:val="20"/>
          <w:szCs w:val="20"/>
          <w:lang w:eastAsia="fr-FR"/>
        </w:rPr>
      </w:pPr>
      <w:r w:rsidRPr="00E7057E">
        <w:rPr>
          <w:rFonts w:ascii="Arial" w:eastAsia="Times New Roman" w:hAnsi="Arial" w:cs="Arial"/>
          <w:b/>
          <w:bCs/>
          <w:sz w:val="20"/>
          <w:szCs w:val="20"/>
          <w:lang w:eastAsia="fr-FR"/>
        </w:rPr>
        <w:t>UI_control</w:t>
      </w:r>
      <w:r w:rsidRPr="00E7057E">
        <w:rPr>
          <w:rFonts w:ascii="Arial" w:eastAsia="Times New Roman" w:hAnsi="Arial" w:cs="Arial"/>
          <w:sz w:val="20"/>
          <w:szCs w:val="20"/>
          <w:lang w:eastAsia="fr-FR"/>
        </w:rPr>
        <w:t xml:space="preserve"> is the ulceration index of the control (ulcerated) group.</w:t>
      </w:r>
    </w:p>
    <w:p w14:paraId="5A5ADC16" w14:textId="77777777" w:rsidR="00E7057E" w:rsidRPr="00E7057E" w:rsidRDefault="00E7057E" w:rsidP="00E7057E">
      <w:pPr>
        <w:numPr>
          <w:ilvl w:val="0"/>
          <w:numId w:val="3"/>
        </w:numPr>
        <w:spacing w:before="100" w:beforeAutospacing="1" w:after="100" w:afterAutospacing="1" w:line="360" w:lineRule="auto"/>
        <w:contextualSpacing/>
        <w:rPr>
          <w:rFonts w:ascii="Arial" w:eastAsia="Times New Roman" w:hAnsi="Arial" w:cs="Arial"/>
          <w:sz w:val="20"/>
          <w:szCs w:val="20"/>
          <w:lang w:val="da-DK" w:eastAsia="fr-FR"/>
        </w:rPr>
      </w:pPr>
      <w:r w:rsidRPr="00E7057E">
        <w:rPr>
          <w:rFonts w:ascii="Arial" w:eastAsia="Times New Roman" w:hAnsi="Arial" w:cs="Arial"/>
          <w:b/>
          <w:bCs/>
          <w:sz w:val="20"/>
          <w:szCs w:val="20"/>
          <w:lang w:val="da-DK" w:eastAsia="fr-FR"/>
        </w:rPr>
        <w:t>UI_treated</w:t>
      </w:r>
      <w:r w:rsidRPr="00E7057E">
        <w:rPr>
          <w:rFonts w:ascii="Arial" w:eastAsia="Times New Roman" w:hAnsi="Arial" w:cs="Arial"/>
          <w:sz w:val="20"/>
          <w:szCs w:val="20"/>
          <w:lang w:val="da-DK" w:eastAsia="fr-FR"/>
        </w:rPr>
        <w:t xml:space="preserve"> is the ulceration index of the treated group.</w:t>
      </w:r>
    </w:p>
    <w:p w14:paraId="6ABA1AD2" w14:textId="77777777" w:rsidR="00E7057E" w:rsidRPr="00E7057E" w:rsidRDefault="00E7057E" w:rsidP="00E7057E">
      <w:pPr>
        <w:spacing w:before="100" w:beforeAutospacing="1" w:after="100" w:afterAutospacing="1" w:line="360" w:lineRule="auto"/>
        <w:ind w:left="720"/>
        <w:contextualSpacing/>
        <w:rPr>
          <w:rFonts w:ascii="Arial" w:eastAsia="Times New Roman" w:hAnsi="Arial" w:cs="Arial"/>
          <w:sz w:val="20"/>
          <w:szCs w:val="20"/>
          <w:lang w:val="da-DK" w:eastAsia="fr-FR"/>
        </w:rPr>
      </w:pPr>
    </w:p>
    <w:p w14:paraId="00A3DA89" w14:textId="77777777" w:rsidR="00E7057E" w:rsidRPr="00E7057E" w:rsidRDefault="00E7057E" w:rsidP="00E7057E">
      <w:pPr>
        <w:numPr>
          <w:ilvl w:val="0"/>
          <w:numId w:val="4"/>
        </w:numPr>
        <w:spacing w:before="100" w:beforeAutospacing="1" w:after="100" w:afterAutospacing="1" w:line="360" w:lineRule="auto"/>
        <w:contextualSpacing/>
        <w:jc w:val="both"/>
        <w:rPr>
          <w:rFonts w:ascii="Arial" w:eastAsia="Times New Roman" w:hAnsi="Arial" w:cs="Arial"/>
          <w:sz w:val="20"/>
          <w:szCs w:val="20"/>
          <w:lang w:eastAsia="fr-FR"/>
        </w:rPr>
      </w:pPr>
      <w:r w:rsidRPr="00E7057E">
        <w:rPr>
          <w:rFonts w:ascii="Arial" w:eastAsia="Times New Roman" w:hAnsi="Arial" w:cs="Arial"/>
          <w:b/>
          <w:bCs/>
          <w:sz w:val="20"/>
          <w:szCs w:val="20"/>
          <w:lang w:val="da-DK" w:eastAsia="fr-FR"/>
        </w:rPr>
        <w:t>Ulcerative Score:</w:t>
      </w:r>
      <w:r w:rsidRPr="00E7057E">
        <w:rPr>
          <w:rFonts w:ascii="Arial" w:eastAsia="Times New Roman" w:hAnsi="Arial" w:cs="Arial"/>
          <w:sz w:val="20"/>
          <w:szCs w:val="20"/>
          <w:lang w:val="da-DK" w:eastAsia="fr-FR"/>
        </w:rPr>
        <w:t xml:space="preserve"> Each stomach was scored based on the severity of the observed lesions, using a standardized evaluation grid that considered the number, length, and depth of lesions (erosions, hemorrhages, potential perforations). </w:t>
      </w:r>
      <w:r w:rsidRPr="00E7057E">
        <w:rPr>
          <w:rFonts w:ascii="Arial" w:eastAsia="Times New Roman" w:hAnsi="Arial" w:cs="Arial"/>
          <w:sz w:val="20"/>
          <w:szCs w:val="20"/>
          <w:lang w:eastAsia="fr-FR"/>
        </w:rPr>
        <w:t>This semi-quantitative score allows for the comparison of lesion severity between different experimental groups.</w:t>
      </w:r>
    </w:p>
    <w:p w14:paraId="290370FE" w14:textId="77777777" w:rsidR="00E7057E" w:rsidRPr="00E7057E" w:rsidRDefault="00E7057E" w:rsidP="00E7057E">
      <w:pPr>
        <w:numPr>
          <w:ilvl w:val="0"/>
          <w:numId w:val="4"/>
        </w:numPr>
        <w:spacing w:before="100" w:beforeAutospacing="1" w:after="100" w:afterAutospacing="1" w:line="360" w:lineRule="auto"/>
        <w:contextualSpacing/>
        <w:jc w:val="both"/>
        <w:rPr>
          <w:rFonts w:ascii="Arial" w:eastAsia="Times New Roman" w:hAnsi="Arial" w:cs="Arial"/>
          <w:sz w:val="20"/>
          <w:szCs w:val="20"/>
          <w:lang w:eastAsia="fr-FR"/>
        </w:rPr>
      </w:pPr>
      <w:r w:rsidRPr="00E7057E">
        <w:rPr>
          <w:rFonts w:ascii="Arial" w:eastAsia="Times New Roman" w:hAnsi="Arial" w:cs="Arial"/>
          <w:b/>
          <w:bCs/>
          <w:sz w:val="20"/>
          <w:szCs w:val="20"/>
          <w:lang w:eastAsia="fr-FR"/>
        </w:rPr>
        <w:t xml:space="preserve">Protection </w:t>
      </w:r>
      <w:proofErr w:type="gramStart"/>
      <w:r w:rsidRPr="00E7057E">
        <w:rPr>
          <w:rFonts w:ascii="Arial" w:eastAsia="Times New Roman" w:hAnsi="Arial" w:cs="Arial"/>
          <w:b/>
          <w:bCs/>
          <w:sz w:val="20"/>
          <w:szCs w:val="20"/>
          <w:lang w:eastAsia="fr-FR"/>
        </w:rPr>
        <w:t>Index:</w:t>
      </w:r>
      <w:proofErr w:type="gramEnd"/>
      <w:r w:rsidRPr="00E7057E">
        <w:rPr>
          <w:rFonts w:ascii="Arial" w:eastAsia="Times New Roman" w:hAnsi="Arial" w:cs="Arial"/>
          <w:sz w:val="20"/>
          <w:szCs w:val="20"/>
          <w:lang w:eastAsia="fr-FR"/>
        </w:rPr>
        <w:t xml:space="preserve"> The protection index is used to assess the effectiveness of a gastroprotective treatment by comparing the ulceration index (UI) of the treated group to that of the ulcerated control group.</w:t>
      </w:r>
    </w:p>
    <w:p w14:paraId="04129519" w14:textId="77777777" w:rsidR="00E7057E" w:rsidRPr="002E4654" w:rsidRDefault="00E7057E" w:rsidP="00E7057E">
      <w:pPr>
        <w:spacing w:before="100" w:beforeAutospacing="1" w:after="100" w:afterAutospacing="1" w:line="360" w:lineRule="auto"/>
        <w:jc w:val="center"/>
        <w:rPr>
          <w:rFonts w:ascii="Arial" w:eastAsia="Calibri" w:hAnsi="Arial" w:cs="Arial"/>
          <w:b/>
          <w:bCs/>
          <w:kern w:val="2"/>
          <w:sz w:val="20"/>
          <w:szCs w:val="20"/>
        </w:rPr>
      </w:pPr>
      <w:r w:rsidRPr="00E7057E">
        <w:rPr>
          <w:rFonts w:ascii="Arial" w:eastAsia="Calibri" w:hAnsi="Arial" w:cs="Arial"/>
          <w:noProof/>
          <w:kern w:val="2"/>
          <w:sz w:val="20"/>
          <w:szCs w:val="20"/>
          <w:lang w:eastAsia="fr-FR"/>
        </w:rPr>
        <w:lastRenderedPageBreak/>
        <w:drawing>
          <wp:inline distT="0" distB="0" distL="0" distR="0" wp14:anchorId="3CE75187" wp14:editId="112F6DCE">
            <wp:extent cx="3474720" cy="617336"/>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66055" name=""/>
                    <pic:cNvPicPr/>
                  </pic:nvPicPr>
                  <pic:blipFill>
                    <a:blip r:embed="rId8"/>
                    <a:stretch>
                      <a:fillRect/>
                    </a:stretch>
                  </pic:blipFill>
                  <pic:spPr>
                    <a:xfrm>
                      <a:off x="0" y="0"/>
                      <a:ext cx="3481706" cy="618577"/>
                    </a:xfrm>
                    <a:prstGeom prst="rect">
                      <a:avLst/>
                    </a:prstGeom>
                  </pic:spPr>
                </pic:pic>
              </a:graphicData>
            </a:graphic>
          </wp:inline>
        </w:drawing>
      </w:r>
    </w:p>
    <w:p w14:paraId="57EE905F" w14:textId="77777777" w:rsidR="00E7057E" w:rsidRPr="002E4654" w:rsidRDefault="00E7057E" w:rsidP="002E4654">
      <w:pPr>
        <w:pStyle w:val="ListParagraph"/>
        <w:numPr>
          <w:ilvl w:val="1"/>
          <w:numId w:val="5"/>
        </w:numPr>
        <w:spacing w:after="0" w:line="360" w:lineRule="auto"/>
        <w:jc w:val="both"/>
        <w:rPr>
          <w:rFonts w:ascii="Arial" w:eastAsia="Calibri" w:hAnsi="Arial" w:cs="Arial"/>
          <w:b/>
          <w:bCs/>
          <w:kern w:val="2"/>
          <w:sz w:val="20"/>
          <w:szCs w:val="20"/>
        </w:rPr>
      </w:pPr>
      <w:r w:rsidRPr="002E4654">
        <w:rPr>
          <w:rFonts w:ascii="Arial" w:eastAsia="Calibri" w:hAnsi="Arial" w:cs="Arial"/>
          <w:b/>
          <w:bCs/>
          <w:kern w:val="2"/>
          <w:sz w:val="20"/>
          <w:szCs w:val="20"/>
        </w:rPr>
        <w:t>Statistical Analysis</w:t>
      </w:r>
    </w:p>
    <w:p w14:paraId="76257C1D" w14:textId="77777777" w:rsidR="00E7057E" w:rsidRPr="00E7057E" w:rsidRDefault="00E7057E" w:rsidP="00E7057E">
      <w:pPr>
        <w:spacing w:after="0" w:line="360" w:lineRule="auto"/>
        <w:jc w:val="both"/>
        <w:rPr>
          <w:rFonts w:ascii="Arial" w:eastAsia="Calibri" w:hAnsi="Arial" w:cs="Arial"/>
          <w:kern w:val="2"/>
          <w:sz w:val="20"/>
          <w:szCs w:val="20"/>
        </w:rPr>
      </w:pPr>
      <w:r w:rsidRPr="00E7057E">
        <w:rPr>
          <w:rFonts w:ascii="Arial" w:eastAsia="Calibri" w:hAnsi="Arial" w:cs="Arial"/>
          <w:kern w:val="2"/>
          <w:sz w:val="20"/>
          <w:szCs w:val="20"/>
        </w:rPr>
        <w:t>The data obtained were expressed as mean ± standard deviation (M ± SD) for each experimental group. Statistical analysis was performed using GraphPad Prism 8 software, commonly used for the analysis of biological data. Differences between groups were evaluated using one-way analysis of variance (ANOVA), followed by post hoc testing in case of significant differences.</w:t>
      </w:r>
    </w:p>
    <w:p w14:paraId="171766C3" w14:textId="77777777" w:rsidR="00E7057E" w:rsidRPr="00E7057E" w:rsidRDefault="00E7057E" w:rsidP="00E7057E">
      <w:pPr>
        <w:spacing w:after="0" w:line="360" w:lineRule="auto"/>
        <w:jc w:val="both"/>
        <w:rPr>
          <w:rFonts w:ascii="Arial" w:eastAsia="Times New Roman" w:hAnsi="Arial" w:cs="Arial"/>
          <w:sz w:val="20"/>
          <w:szCs w:val="20"/>
          <w:lang w:eastAsia="fr-FR"/>
        </w:rPr>
      </w:pPr>
      <w:r w:rsidRPr="00A8699D">
        <w:rPr>
          <w:rFonts w:ascii="Arial" w:eastAsia="Calibri" w:hAnsi="Arial" w:cs="Arial"/>
          <w:kern w:val="2"/>
          <w:sz w:val="20"/>
          <w:szCs w:val="20"/>
          <w:lang w:val="da-DK"/>
        </w:rPr>
        <w:t xml:space="preserve">The threshold for statistical significance was set at p &lt; 0.05. </w:t>
      </w:r>
      <w:r w:rsidRPr="00E7057E">
        <w:rPr>
          <w:rFonts w:ascii="Arial" w:eastAsia="Calibri" w:hAnsi="Arial" w:cs="Arial"/>
          <w:kern w:val="2"/>
          <w:sz w:val="20"/>
          <w:szCs w:val="20"/>
        </w:rPr>
        <w:t>Any p-value below this threshold was considered to indicate a significant difference between the compared groups.</w:t>
      </w:r>
    </w:p>
    <w:p w14:paraId="77CE14FD" w14:textId="77777777" w:rsidR="00E7057E" w:rsidRPr="00E7057E" w:rsidRDefault="00E7057E" w:rsidP="00E7057E">
      <w:pPr>
        <w:spacing w:after="0" w:line="360" w:lineRule="auto"/>
        <w:rPr>
          <w:rFonts w:ascii="Arial" w:eastAsia="Times New Roman" w:hAnsi="Arial" w:cs="Arial"/>
          <w:b/>
          <w:bCs/>
          <w:sz w:val="20"/>
          <w:szCs w:val="20"/>
          <w:lang w:eastAsia="fr-FR"/>
        </w:rPr>
      </w:pPr>
    </w:p>
    <w:p w14:paraId="3808190F" w14:textId="77777777" w:rsidR="00E7057E" w:rsidRDefault="009424D8" w:rsidP="009424D8">
      <w:pPr>
        <w:pStyle w:val="ListParagraph"/>
        <w:numPr>
          <w:ilvl w:val="0"/>
          <w:numId w:val="5"/>
        </w:numPr>
        <w:rPr>
          <w:rFonts w:ascii="Arial" w:eastAsia="Times New Roman" w:hAnsi="Arial" w:cs="Arial"/>
          <w:b/>
          <w:bCs/>
          <w:sz w:val="24"/>
          <w:szCs w:val="24"/>
          <w:lang w:eastAsia="fr-FR"/>
        </w:rPr>
      </w:pPr>
      <w:r w:rsidRPr="009424D8">
        <w:rPr>
          <w:rFonts w:ascii="Arial" w:eastAsia="Times New Roman" w:hAnsi="Arial" w:cs="Arial"/>
          <w:b/>
          <w:bCs/>
          <w:sz w:val="24"/>
          <w:szCs w:val="24"/>
          <w:lang w:eastAsia="fr-FR"/>
        </w:rPr>
        <w:t>RESULTS AND DISCUSSION</w:t>
      </w:r>
    </w:p>
    <w:p w14:paraId="29B624B3" w14:textId="77777777" w:rsidR="009424D8" w:rsidRPr="009424D8" w:rsidRDefault="009424D8" w:rsidP="009424D8">
      <w:pPr>
        <w:pStyle w:val="ListParagraph"/>
        <w:numPr>
          <w:ilvl w:val="1"/>
          <w:numId w:val="5"/>
        </w:numPr>
        <w:rPr>
          <w:rFonts w:ascii="Arial" w:eastAsia="Times New Roman" w:hAnsi="Arial" w:cs="Arial"/>
          <w:b/>
          <w:bCs/>
          <w:sz w:val="20"/>
          <w:szCs w:val="20"/>
          <w:lang w:eastAsia="fr-FR"/>
        </w:rPr>
      </w:pPr>
      <w:r w:rsidRPr="009424D8">
        <w:rPr>
          <w:rFonts w:ascii="Arial" w:eastAsia="Times New Roman" w:hAnsi="Arial" w:cs="Arial"/>
          <w:b/>
          <w:bCs/>
          <w:sz w:val="20"/>
          <w:szCs w:val="20"/>
          <w:lang w:eastAsia="fr-FR"/>
        </w:rPr>
        <w:t>Results</w:t>
      </w:r>
    </w:p>
    <w:p w14:paraId="4BAAAF1C" w14:textId="77777777" w:rsidR="00E7057E" w:rsidRPr="009424D8" w:rsidRDefault="00E7057E" w:rsidP="009424D8">
      <w:pPr>
        <w:pStyle w:val="ListParagraph"/>
        <w:numPr>
          <w:ilvl w:val="2"/>
          <w:numId w:val="6"/>
        </w:numPr>
        <w:spacing w:before="100" w:beforeAutospacing="1" w:after="0" w:line="360" w:lineRule="auto"/>
        <w:rPr>
          <w:rFonts w:ascii="Arial" w:eastAsia="Times New Roman" w:hAnsi="Arial" w:cs="Arial"/>
          <w:b/>
          <w:bCs/>
          <w:sz w:val="20"/>
          <w:szCs w:val="20"/>
          <w:lang w:eastAsia="fr-FR"/>
        </w:rPr>
      </w:pPr>
      <w:r w:rsidRPr="009424D8">
        <w:rPr>
          <w:rFonts w:ascii="Arial" w:eastAsia="Times New Roman" w:hAnsi="Arial" w:cs="Arial"/>
          <w:b/>
          <w:bCs/>
          <w:sz w:val="20"/>
          <w:szCs w:val="20"/>
          <w:lang w:eastAsia="fr-FR"/>
        </w:rPr>
        <w:t xml:space="preserve">Extraction Yield </w:t>
      </w:r>
    </w:p>
    <w:p w14:paraId="6E0C94F8" w14:textId="77777777" w:rsidR="00E7057E" w:rsidRPr="00E7057E" w:rsidRDefault="00E7057E" w:rsidP="00E7057E">
      <w:pPr>
        <w:spacing w:before="100" w:beforeAutospacing="1" w:after="0" w:line="360" w:lineRule="auto"/>
        <w:rPr>
          <w:rFonts w:ascii="Arial" w:eastAsia="Times New Roman" w:hAnsi="Arial" w:cs="Arial"/>
          <w:sz w:val="20"/>
          <w:szCs w:val="20"/>
          <w:lang w:eastAsia="fr-FR"/>
        </w:rPr>
      </w:pPr>
      <w:r w:rsidRPr="00E7057E">
        <w:rPr>
          <w:rFonts w:ascii="Arial" w:eastAsia="Times New Roman" w:hAnsi="Arial" w:cs="Arial"/>
          <w:b/>
          <w:bCs/>
          <w:sz w:val="20"/>
          <w:szCs w:val="20"/>
          <w:lang w:eastAsia="fr-FR"/>
        </w:rPr>
        <w:t>Table 1</w:t>
      </w:r>
      <w:bookmarkStart w:id="3" w:name="_Hlk197457201"/>
      <w:r w:rsidRPr="00E7057E">
        <w:rPr>
          <w:rFonts w:ascii="Arial" w:eastAsia="Times New Roman" w:hAnsi="Arial" w:cs="Arial"/>
          <w:b/>
          <w:bCs/>
          <w:sz w:val="20"/>
          <w:szCs w:val="20"/>
          <w:lang w:eastAsia="fr-FR"/>
        </w:rPr>
        <w:t xml:space="preserve">. </w:t>
      </w:r>
      <w:r w:rsidRPr="00E7057E">
        <w:rPr>
          <w:rFonts w:ascii="Arial" w:eastAsia="Times New Roman" w:hAnsi="Arial" w:cs="Arial"/>
          <w:sz w:val="20"/>
          <w:szCs w:val="20"/>
          <w:lang w:eastAsia="fr-FR"/>
        </w:rPr>
        <w:t>Extraction Yield Determination</w:t>
      </w:r>
      <w:bookmarkEnd w:id="3"/>
    </w:p>
    <w:tbl>
      <w:tblPr>
        <w:tblStyle w:val="Tableausimple21"/>
        <w:tblW w:w="8860" w:type="dxa"/>
        <w:tblLook w:val="04A0" w:firstRow="1" w:lastRow="0" w:firstColumn="1" w:lastColumn="0" w:noHBand="0" w:noVBand="1"/>
      </w:tblPr>
      <w:tblGrid>
        <w:gridCol w:w="2958"/>
        <w:gridCol w:w="1582"/>
        <w:gridCol w:w="859"/>
        <w:gridCol w:w="2236"/>
        <w:gridCol w:w="1225"/>
      </w:tblGrid>
      <w:tr w:rsidR="00E7057E" w:rsidRPr="002E4654" w14:paraId="433FBB0B" w14:textId="77777777" w:rsidTr="00362AFD">
        <w:trPr>
          <w:cnfStyle w:val="100000000000" w:firstRow="1" w:lastRow="0" w:firstColumn="0" w:lastColumn="0" w:oddVBand="0" w:evenVBand="0" w:oddHBand="0" w:evenHBand="0" w:firstRowFirstColumn="0" w:firstRowLastColumn="0" w:lastRowFirstColumn="0" w:lastRowLastColumn="0"/>
          <w:trHeight w:val="773"/>
        </w:trPr>
        <w:tc>
          <w:tcPr>
            <w:cnfStyle w:val="001000000000" w:firstRow="0" w:lastRow="0" w:firstColumn="1" w:lastColumn="0" w:oddVBand="0" w:evenVBand="0" w:oddHBand="0" w:evenHBand="0" w:firstRowFirstColumn="0" w:firstRowLastColumn="0" w:lastRowFirstColumn="0" w:lastRowLastColumn="0"/>
            <w:tcW w:w="0" w:type="auto"/>
            <w:hideMark/>
          </w:tcPr>
          <w:p w14:paraId="73BBD917" w14:textId="77777777" w:rsidR="00E7057E" w:rsidRPr="00E7057E" w:rsidRDefault="00E7057E" w:rsidP="00E7057E">
            <w:pPr>
              <w:spacing w:line="360" w:lineRule="auto"/>
              <w:jc w:val="center"/>
              <w:rPr>
                <w:rFonts w:ascii="Arial" w:eastAsia="Times New Roman" w:hAnsi="Arial" w:cs="Arial"/>
                <w:sz w:val="20"/>
                <w:szCs w:val="20"/>
                <w:lang w:eastAsia="fr-FR"/>
              </w:rPr>
            </w:pPr>
            <w:r w:rsidRPr="00E7057E">
              <w:rPr>
                <w:rFonts w:ascii="Arial" w:eastAsia="Times New Roman" w:hAnsi="Arial" w:cs="Arial"/>
                <w:sz w:val="20"/>
                <w:szCs w:val="20"/>
                <w:lang w:eastAsia="fr-FR"/>
              </w:rPr>
              <w:t>Plant Material Weight (g)</w:t>
            </w:r>
          </w:p>
        </w:tc>
        <w:tc>
          <w:tcPr>
            <w:tcW w:w="0" w:type="auto"/>
            <w:hideMark/>
          </w:tcPr>
          <w:p w14:paraId="08842FE2" w14:textId="77777777" w:rsidR="00E7057E" w:rsidRPr="00E7057E" w:rsidRDefault="00E7057E" w:rsidP="00E7057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E7057E">
              <w:rPr>
                <w:rFonts w:ascii="Arial" w:eastAsia="Times New Roman" w:hAnsi="Arial" w:cs="Arial"/>
                <w:sz w:val="20"/>
                <w:szCs w:val="20"/>
                <w:lang w:eastAsia="fr-FR"/>
              </w:rPr>
              <w:t>Appearance</w:t>
            </w:r>
          </w:p>
        </w:tc>
        <w:tc>
          <w:tcPr>
            <w:tcW w:w="0" w:type="auto"/>
            <w:hideMark/>
          </w:tcPr>
          <w:p w14:paraId="522DB390" w14:textId="77777777" w:rsidR="00E7057E" w:rsidRPr="00E7057E" w:rsidRDefault="00E7057E" w:rsidP="00E7057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E7057E">
              <w:rPr>
                <w:rFonts w:ascii="Arial" w:eastAsia="Times New Roman" w:hAnsi="Arial" w:cs="Arial"/>
                <w:sz w:val="20"/>
                <w:szCs w:val="20"/>
                <w:lang w:eastAsia="fr-FR"/>
              </w:rPr>
              <w:t>Color</w:t>
            </w:r>
          </w:p>
        </w:tc>
        <w:tc>
          <w:tcPr>
            <w:tcW w:w="0" w:type="auto"/>
            <w:hideMark/>
          </w:tcPr>
          <w:p w14:paraId="3E4E7993" w14:textId="77777777" w:rsidR="00E7057E" w:rsidRPr="00E7057E" w:rsidRDefault="00E7057E" w:rsidP="00E7057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E7057E">
              <w:rPr>
                <w:rFonts w:ascii="Arial" w:eastAsia="Times New Roman" w:hAnsi="Arial" w:cs="Arial"/>
                <w:sz w:val="20"/>
                <w:szCs w:val="20"/>
                <w:lang w:eastAsia="fr-FR"/>
              </w:rPr>
              <w:t>Extract Weight (g)</w:t>
            </w:r>
          </w:p>
        </w:tc>
        <w:tc>
          <w:tcPr>
            <w:tcW w:w="0" w:type="auto"/>
            <w:hideMark/>
          </w:tcPr>
          <w:p w14:paraId="639AC335" w14:textId="77777777" w:rsidR="00E7057E" w:rsidRPr="00E7057E" w:rsidRDefault="00E7057E" w:rsidP="00E7057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E7057E">
              <w:rPr>
                <w:rFonts w:ascii="Arial" w:eastAsia="Times New Roman" w:hAnsi="Arial" w:cs="Arial"/>
                <w:sz w:val="20"/>
                <w:szCs w:val="20"/>
                <w:lang w:eastAsia="fr-FR"/>
              </w:rPr>
              <w:t>Yield (%)</w:t>
            </w:r>
          </w:p>
        </w:tc>
      </w:tr>
      <w:tr w:rsidR="00E7057E" w:rsidRPr="002E4654" w14:paraId="56125A52" w14:textId="77777777" w:rsidTr="00362AFD">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0" w:type="auto"/>
            <w:hideMark/>
          </w:tcPr>
          <w:p w14:paraId="7EF77952" w14:textId="77777777" w:rsidR="00E7057E" w:rsidRPr="00E7057E" w:rsidRDefault="00E7057E" w:rsidP="00E7057E">
            <w:pPr>
              <w:spacing w:line="360" w:lineRule="auto"/>
              <w:jc w:val="center"/>
              <w:rPr>
                <w:rFonts w:ascii="Arial" w:eastAsia="Times New Roman" w:hAnsi="Arial" w:cs="Arial"/>
                <w:sz w:val="20"/>
                <w:szCs w:val="20"/>
                <w:lang w:eastAsia="fr-FR"/>
              </w:rPr>
            </w:pPr>
            <w:r w:rsidRPr="00E7057E">
              <w:rPr>
                <w:rFonts w:ascii="Arial" w:eastAsia="Times New Roman" w:hAnsi="Arial" w:cs="Arial"/>
                <w:sz w:val="20"/>
                <w:szCs w:val="20"/>
                <w:lang w:eastAsia="fr-FR"/>
              </w:rPr>
              <w:t>200 g</w:t>
            </w:r>
          </w:p>
        </w:tc>
        <w:tc>
          <w:tcPr>
            <w:tcW w:w="0" w:type="auto"/>
            <w:hideMark/>
          </w:tcPr>
          <w:p w14:paraId="76F6474E" w14:textId="77777777" w:rsidR="00E7057E" w:rsidRPr="00E7057E" w:rsidRDefault="00E7057E" w:rsidP="00E7057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E7057E">
              <w:rPr>
                <w:rFonts w:ascii="Arial" w:eastAsia="Times New Roman" w:hAnsi="Arial" w:cs="Arial"/>
                <w:sz w:val="20"/>
                <w:szCs w:val="20"/>
                <w:lang w:eastAsia="fr-FR"/>
              </w:rPr>
              <w:t>Powder</w:t>
            </w:r>
          </w:p>
        </w:tc>
        <w:tc>
          <w:tcPr>
            <w:tcW w:w="0" w:type="auto"/>
            <w:hideMark/>
          </w:tcPr>
          <w:p w14:paraId="611A79BD" w14:textId="77777777" w:rsidR="00E7057E" w:rsidRPr="00E7057E" w:rsidRDefault="00E7057E" w:rsidP="00E7057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E7057E">
              <w:rPr>
                <w:rFonts w:ascii="Arial" w:eastAsia="Times New Roman" w:hAnsi="Arial" w:cs="Arial"/>
                <w:sz w:val="20"/>
                <w:szCs w:val="20"/>
                <w:lang w:eastAsia="fr-FR"/>
              </w:rPr>
              <w:t>Black</w:t>
            </w:r>
          </w:p>
        </w:tc>
        <w:tc>
          <w:tcPr>
            <w:tcW w:w="0" w:type="auto"/>
            <w:hideMark/>
          </w:tcPr>
          <w:p w14:paraId="4FBD31FC" w14:textId="77777777" w:rsidR="00E7057E" w:rsidRPr="00E7057E" w:rsidRDefault="00E7057E" w:rsidP="00E7057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E7057E">
              <w:rPr>
                <w:rFonts w:ascii="Arial" w:eastAsia="Times New Roman" w:hAnsi="Arial" w:cs="Arial"/>
                <w:sz w:val="20"/>
                <w:szCs w:val="20"/>
                <w:lang w:eastAsia="fr-FR"/>
              </w:rPr>
              <w:t>49.81 g</w:t>
            </w:r>
          </w:p>
        </w:tc>
        <w:tc>
          <w:tcPr>
            <w:tcW w:w="0" w:type="auto"/>
            <w:hideMark/>
          </w:tcPr>
          <w:p w14:paraId="283360B9" w14:textId="77777777" w:rsidR="00E7057E" w:rsidRPr="00E7057E" w:rsidRDefault="00E7057E" w:rsidP="00E7057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E7057E">
              <w:rPr>
                <w:rFonts w:ascii="Arial" w:eastAsia="Times New Roman" w:hAnsi="Arial" w:cs="Arial"/>
                <w:sz w:val="20"/>
                <w:szCs w:val="20"/>
                <w:lang w:eastAsia="fr-FR"/>
              </w:rPr>
              <w:t>24.90%</w:t>
            </w:r>
          </w:p>
        </w:tc>
      </w:tr>
    </w:tbl>
    <w:p w14:paraId="191FCFB6" w14:textId="77777777" w:rsidR="00E7057E" w:rsidRPr="00E7057E" w:rsidRDefault="00E7057E" w:rsidP="00E7057E">
      <w:pPr>
        <w:spacing w:before="100" w:beforeAutospacing="1" w:after="100" w:afterAutospacing="1" w:line="360" w:lineRule="auto"/>
        <w:jc w:val="both"/>
        <w:rPr>
          <w:rFonts w:ascii="Arial" w:eastAsia="Times New Roman" w:hAnsi="Arial" w:cs="Arial"/>
          <w:sz w:val="20"/>
          <w:szCs w:val="20"/>
          <w:lang w:eastAsia="fr-FR"/>
        </w:rPr>
      </w:pPr>
      <w:r w:rsidRPr="00E7057E">
        <w:rPr>
          <w:rFonts w:ascii="Arial" w:eastAsia="Times New Roman" w:hAnsi="Arial" w:cs="Arial"/>
          <w:sz w:val="20"/>
          <w:szCs w:val="20"/>
          <w:lang w:eastAsia="fr-FR"/>
        </w:rPr>
        <w:t>The analysis of Table 1 shows that from 200 g of powdered Petiveria alliacea leaves (black in color), a crude extract was obtained through hydro-alcoholic maceration, resulting in a final weight of 49.81 g. This corresponds to an extraction yield of 24.90%, indicating good solubilization of bioactive compounds in the solvent used (70% ethanol). The black appearance of the powder may suggest a high concentration of phenolic compounds or other pigmented substances that could contribute to the biological activity of the extract.</w:t>
      </w:r>
    </w:p>
    <w:p w14:paraId="74703D60" w14:textId="77777777" w:rsidR="00E7057E" w:rsidRPr="009424D8" w:rsidRDefault="00E7057E" w:rsidP="009424D8">
      <w:pPr>
        <w:pStyle w:val="ListParagraph"/>
        <w:numPr>
          <w:ilvl w:val="2"/>
          <w:numId w:val="7"/>
        </w:numPr>
        <w:spacing w:before="100" w:beforeAutospacing="1" w:after="100" w:afterAutospacing="1" w:line="360" w:lineRule="auto"/>
        <w:rPr>
          <w:rFonts w:ascii="Arial" w:eastAsia="Times New Roman" w:hAnsi="Arial" w:cs="Arial"/>
          <w:sz w:val="20"/>
          <w:szCs w:val="20"/>
          <w:lang w:eastAsia="fr-FR"/>
        </w:rPr>
      </w:pPr>
      <w:r w:rsidRPr="009424D8">
        <w:rPr>
          <w:rFonts w:ascii="Arial" w:eastAsia="Times New Roman" w:hAnsi="Arial" w:cs="Arial"/>
          <w:b/>
          <w:bCs/>
          <w:sz w:val="20"/>
          <w:szCs w:val="20"/>
          <w:lang w:eastAsia="fr-FR"/>
        </w:rPr>
        <w:t>Ulceration Index (UI, in mm²)</w:t>
      </w:r>
    </w:p>
    <w:p w14:paraId="10EF77ED" w14:textId="77777777" w:rsidR="00E7057E" w:rsidRPr="00E7057E" w:rsidRDefault="00E7057E" w:rsidP="00E7057E">
      <w:pPr>
        <w:spacing w:before="100" w:beforeAutospacing="1" w:after="100" w:afterAutospacing="1" w:line="360" w:lineRule="auto"/>
        <w:rPr>
          <w:rFonts w:ascii="Arial" w:eastAsia="Times New Roman" w:hAnsi="Arial" w:cs="Arial"/>
          <w:sz w:val="20"/>
          <w:szCs w:val="20"/>
          <w:lang w:eastAsia="fr-FR"/>
        </w:rPr>
      </w:pPr>
      <w:r w:rsidRPr="00E7057E">
        <w:rPr>
          <w:rFonts w:ascii="Arial" w:eastAsia="Times New Roman" w:hAnsi="Arial" w:cs="Arial"/>
          <w:b/>
          <w:bCs/>
          <w:sz w:val="20"/>
          <w:szCs w:val="20"/>
          <w:lang w:eastAsia="fr-FR"/>
        </w:rPr>
        <w:t xml:space="preserve">Table 2. </w:t>
      </w:r>
      <w:r w:rsidRPr="00E7057E">
        <w:rPr>
          <w:rFonts w:ascii="Arial" w:eastAsia="Times New Roman" w:hAnsi="Arial" w:cs="Arial"/>
          <w:sz w:val="20"/>
          <w:szCs w:val="20"/>
          <w:lang w:eastAsia="fr-FR"/>
        </w:rPr>
        <w:t>Ulcer Index Determination</w:t>
      </w:r>
    </w:p>
    <w:tbl>
      <w:tblPr>
        <w:tblStyle w:val="Tableausimple21"/>
        <w:tblW w:w="9265" w:type="dxa"/>
        <w:tblLook w:val="04A0" w:firstRow="1" w:lastRow="0" w:firstColumn="1" w:lastColumn="0" w:noHBand="0" w:noVBand="1"/>
      </w:tblPr>
      <w:tblGrid>
        <w:gridCol w:w="2835"/>
        <w:gridCol w:w="3300"/>
        <w:gridCol w:w="3130"/>
      </w:tblGrid>
      <w:tr w:rsidR="00E7057E" w:rsidRPr="009424D8" w14:paraId="5158092C" w14:textId="77777777" w:rsidTr="00362AFD">
        <w:trPr>
          <w:cnfStyle w:val="100000000000" w:firstRow="1" w:lastRow="0" w:firstColumn="0" w:lastColumn="0" w:oddVBand="0" w:evenVBand="0" w:oddHBand="0"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0" w:type="auto"/>
            <w:hideMark/>
          </w:tcPr>
          <w:p w14:paraId="4DD86FE0" w14:textId="77777777" w:rsidR="00E7057E" w:rsidRPr="00E7057E" w:rsidRDefault="00E7057E" w:rsidP="00E7057E">
            <w:pPr>
              <w:spacing w:line="360" w:lineRule="auto"/>
              <w:jc w:val="center"/>
              <w:rPr>
                <w:rFonts w:ascii="Arial" w:eastAsia="Times New Roman" w:hAnsi="Arial" w:cs="Arial"/>
                <w:sz w:val="20"/>
                <w:szCs w:val="20"/>
                <w:lang w:eastAsia="fr-FR"/>
              </w:rPr>
            </w:pPr>
            <w:r w:rsidRPr="00E7057E">
              <w:rPr>
                <w:rFonts w:ascii="Arial" w:eastAsia="Times New Roman" w:hAnsi="Arial" w:cs="Arial"/>
                <w:sz w:val="20"/>
                <w:szCs w:val="20"/>
                <w:lang w:eastAsia="fr-FR"/>
              </w:rPr>
              <w:t>Group</w:t>
            </w:r>
          </w:p>
        </w:tc>
        <w:tc>
          <w:tcPr>
            <w:tcW w:w="0" w:type="auto"/>
            <w:hideMark/>
          </w:tcPr>
          <w:p w14:paraId="0348C7BC" w14:textId="77777777" w:rsidR="00E7057E" w:rsidRPr="00E7057E" w:rsidRDefault="00E7057E" w:rsidP="00E7057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E7057E">
              <w:rPr>
                <w:rFonts w:ascii="Arial" w:eastAsia="Times New Roman" w:hAnsi="Arial" w:cs="Arial"/>
                <w:sz w:val="20"/>
                <w:szCs w:val="20"/>
                <w:lang w:eastAsia="fr-FR"/>
              </w:rPr>
              <w:t>Treatment</w:t>
            </w:r>
          </w:p>
        </w:tc>
        <w:tc>
          <w:tcPr>
            <w:tcW w:w="0" w:type="auto"/>
            <w:hideMark/>
          </w:tcPr>
          <w:p w14:paraId="1A23253B" w14:textId="77777777" w:rsidR="00E7057E" w:rsidRPr="00E7057E" w:rsidRDefault="00E7057E" w:rsidP="00E7057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E7057E">
              <w:rPr>
                <w:rFonts w:ascii="Arial" w:eastAsia="Times New Roman" w:hAnsi="Arial" w:cs="Arial"/>
                <w:sz w:val="20"/>
                <w:szCs w:val="20"/>
                <w:lang w:eastAsia="fr-FR"/>
              </w:rPr>
              <w:t>UI (mm²) (M ± SD)</w:t>
            </w:r>
          </w:p>
        </w:tc>
      </w:tr>
      <w:tr w:rsidR="00E7057E" w:rsidRPr="009424D8" w14:paraId="42DCCD7B" w14:textId="77777777" w:rsidTr="00362AFD">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0" w:type="auto"/>
            <w:hideMark/>
          </w:tcPr>
          <w:p w14:paraId="3964CB6E" w14:textId="77777777" w:rsidR="00E7057E" w:rsidRPr="00E7057E" w:rsidRDefault="00E7057E" w:rsidP="00E7057E">
            <w:pPr>
              <w:spacing w:line="360" w:lineRule="auto"/>
              <w:jc w:val="center"/>
              <w:rPr>
                <w:rFonts w:ascii="Arial" w:eastAsia="Times New Roman" w:hAnsi="Arial" w:cs="Arial"/>
                <w:sz w:val="20"/>
                <w:szCs w:val="20"/>
                <w:lang w:eastAsia="fr-FR"/>
              </w:rPr>
            </w:pPr>
            <w:r w:rsidRPr="00E7057E">
              <w:rPr>
                <w:rFonts w:ascii="Arial" w:eastAsia="Times New Roman" w:hAnsi="Arial" w:cs="Arial"/>
                <w:sz w:val="20"/>
                <w:szCs w:val="20"/>
                <w:lang w:eastAsia="fr-FR"/>
              </w:rPr>
              <w:t>Healthy Control</w:t>
            </w:r>
          </w:p>
        </w:tc>
        <w:tc>
          <w:tcPr>
            <w:tcW w:w="0" w:type="auto"/>
            <w:hideMark/>
          </w:tcPr>
          <w:p w14:paraId="6ADD0AC2" w14:textId="77777777" w:rsidR="00E7057E" w:rsidRPr="00E7057E" w:rsidRDefault="00E7057E" w:rsidP="00E7057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E7057E">
              <w:rPr>
                <w:rFonts w:ascii="Arial" w:eastAsia="Times New Roman" w:hAnsi="Arial" w:cs="Arial"/>
                <w:sz w:val="20"/>
                <w:szCs w:val="20"/>
                <w:lang w:eastAsia="fr-FR"/>
              </w:rPr>
              <w:t>Distilled water</w:t>
            </w:r>
          </w:p>
        </w:tc>
        <w:tc>
          <w:tcPr>
            <w:tcW w:w="0" w:type="auto"/>
            <w:hideMark/>
          </w:tcPr>
          <w:p w14:paraId="3CF29F7A" w14:textId="77777777" w:rsidR="00E7057E" w:rsidRPr="00E7057E" w:rsidRDefault="00E7057E" w:rsidP="00E7057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E7057E">
              <w:rPr>
                <w:rFonts w:ascii="Arial" w:eastAsia="Times New Roman" w:hAnsi="Arial" w:cs="Arial"/>
                <w:sz w:val="20"/>
                <w:szCs w:val="20"/>
                <w:lang w:eastAsia="fr-FR"/>
              </w:rPr>
              <w:t>0.00 ± 0.00</w:t>
            </w:r>
          </w:p>
        </w:tc>
      </w:tr>
      <w:tr w:rsidR="00E7057E" w:rsidRPr="009424D8" w14:paraId="79F50B91" w14:textId="77777777" w:rsidTr="00362AFD">
        <w:trPr>
          <w:trHeight w:val="287"/>
        </w:trPr>
        <w:tc>
          <w:tcPr>
            <w:cnfStyle w:val="001000000000" w:firstRow="0" w:lastRow="0" w:firstColumn="1" w:lastColumn="0" w:oddVBand="0" w:evenVBand="0" w:oddHBand="0" w:evenHBand="0" w:firstRowFirstColumn="0" w:firstRowLastColumn="0" w:lastRowFirstColumn="0" w:lastRowLastColumn="0"/>
            <w:tcW w:w="0" w:type="auto"/>
            <w:hideMark/>
          </w:tcPr>
          <w:p w14:paraId="2BC3D06F" w14:textId="77777777" w:rsidR="00E7057E" w:rsidRPr="00E7057E" w:rsidRDefault="00E7057E" w:rsidP="00E7057E">
            <w:pPr>
              <w:spacing w:line="360" w:lineRule="auto"/>
              <w:jc w:val="center"/>
              <w:rPr>
                <w:rFonts w:ascii="Arial" w:eastAsia="Times New Roman" w:hAnsi="Arial" w:cs="Arial"/>
                <w:sz w:val="20"/>
                <w:szCs w:val="20"/>
                <w:lang w:eastAsia="fr-FR"/>
              </w:rPr>
            </w:pPr>
            <w:r w:rsidRPr="00E7057E">
              <w:rPr>
                <w:rFonts w:ascii="Arial" w:eastAsia="Times New Roman" w:hAnsi="Arial" w:cs="Arial"/>
                <w:sz w:val="20"/>
                <w:szCs w:val="20"/>
                <w:lang w:eastAsia="fr-FR"/>
              </w:rPr>
              <w:t>Ulcer Control</w:t>
            </w:r>
          </w:p>
        </w:tc>
        <w:tc>
          <w:tcPr>
            <w:tcW w:w="0" w:type="auto"/>
            <w:hideMark/>
          </w:tcPr>
          <w:p w14:paraId="1220099E" w14:textId="77777777" w:rsidR="00E7057E" w:rsidRPr="00E7057E" w:rsidRDefault="00E7057E" w:rsidP="00E7057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E7057E">
              <w:rPr>
                <w:rFonts w:ascii="Arial" w:eastAsia="Times New Roman" w:hAnsi="Arial" w:cs="Arial"/>
                <w:sz w:val="20"/>
                <w:szCs w:val="20"/>
                <w:lang w:eastAsia="fr-FR"/>
              </w:rPr>
              <w:t>Distilled water</w:t>
            </w:r>
          </w:p>
        </w:tc>
        <w:tc>
          <w:tcPr>
            <w:tcW w:w="0" w:type="auto"/>
            <w:hideMark/>
          </w:tcPr>
          <w:p w14:paraId="721DBD53" w14:textId="77777777" w:rsidR="00E7057E" w:rsidRPr="00E7057E" w:rsidRDefault="00E7057E" w:rsidP="00E7057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E7057E">
              <w:rPr>
                <w:rFonts w:ascii="Arial" w:eastAsia="Times New Roman" w:hAnsi="Arial" w:cs="Arial"/>
                <w:sz w:val="20"/>
                <w:szCs w:val="20"/>
                <w:lang w:eastAsia="fr-FR"/>
              </w:rPr>
              <w:t>69.8 ± 3.4</w:t>
            </w:r>
          </w:p>
        </w:tc>
      </w:tr>
      <w:tr w:rsidR="00E7057E" w:rsidRPr="009424D8" w14:paraId="5D798D56" w14:textId="77777777" w:rsidTr="00362AF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0" w:type="auto"/>
            <w:hideMark/>
          </w:tcPr>
          <w:p w14:paraId="48C9A19A" w14:textId="77777777" w:rsidR="00E7057E" w:rsidRPr="00E7057E" w:rsidRDefault="00E7057E" w:rsidP="00E7057E">
            <w:pPr>
              <w:spacing w:line="360" w:lineRule="auto"/>
              <w:jc w:val="center"/>
              <w:rPr>
                <w:rFonts w:ascii="Arial" w:eastAsia="Times New Roman" w:hAnsi="Arial" w:cs="Arial"/>
                <w:sz w:val="20"/>
                <w:szCs w:val="20"/>
                <w:lang w:eastAsia="fr-FR"/>
              </w:rPr>
            </w:pPr>
            <w:r w:rsidRPr="00E7057E">
              <w:rPr>
                <w:rFonts w:ascii="Arial" w:eastAsia="Times New Roman" w:hAnsi="Arial" w:cs="Arial"/>
                <w:sz w:val="20"/>
                <w:szCs w:val="20"/>
                <w:lang w:eastAsia="fr-FR"/>
              </w:rPr>
              <w:t>Reference</w:t>
            </w:r>
          </w:p>
        </w:tc>
        <w:tc>
          <w:tcPr>
            <w:tcW w:w="0" w:type="auto"/>
            <w:hideMark/>
          </w:tcPr>
          <w:p w14:paraId="7A496862" w14:textId="77777777" w:rsidR="00E7057E" w:rsidRPr="00E7057E" w:rsidRDefault="00E7057E" w:rsidP="00E7057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E7057E">
              <w:rPr>
                <w:rFonts w:ascii="Arial" w:eastAsia="Times New Roman" w:hAnsi="Arial" w:cs="Arial"/>
                <w:sz w:val="20"/>
                <w:szCs w:val="20"/>
                <w:lang w:eastAsia="fr-FR"/>
              </w:rPr>
              <w:t>Ranitidine 50 mg/kg</w:t>
            </w:r>
          </w:p>
        </w:tc>
        <w:tc>
          <w:tcPr>
            <w:tcW w:w="0" w:type="auto"/>
            <w:hideMark/>
          </w:tcPr>
          <w:p w14:paraId="6D3676D4" w14:textId="77777777" w:rsidR="00E7057E" w:rsidRPr="00E7057E" w:rsidRDefault="00E7057E" w:rsidP="00E7057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E7057E">
              <w:rPr>
                <w:rFonts w:ascii="Arial" w:eastAsia="Times New Roman" w:hAnsi="Arial" w:cs="Arial"/>
                <w:sz w:val="20"/>
                <w:szCs w:val="20"/>
                <w:lang w:eastAsia="fr-FR"/>
              </w:rPr>
              <w:t>19.8 ± 1.6 **</w:t>
            </w:r>
          </w:p>
        </w:tc>
      </w:tr>
      <w:tr w:rsidR="00E7057E" w:rsidRPr="009424D8" w14:paraId="1824BFE0" w14:textId="77777777" w:rsidTr="00362AFD">
        <w:trPr>
          <w:trHeight w:val="287"/>
        </w:trPr>
        <w:tc>
          <w:tcPr>
            <w:cnfStyle w:val="001000000000" w:firstRow="0" w:lastRow="0" w:firstColumn="1" w:lastColumn="0" w:oddVBand="0" w:evenVBand="0" w:oddHBand="0" w:evenHBand="0" w:firstRowFirstColumn="0" w:firstRowLastColumn="0" w:lastRowFirstColumn="0" w:lastRowLastColumn="0"/>
            <w:tcW w:w="0" w:type="auto"/>
            <w:hideMark/>
          </w:tcPr>
          <w:p w14:paraId="1B3012DB" w14:textId="77777777" w:rsidR="00E7057E" w:rsidRPr="00E7057E" w:rsidRDefault="00E7057E" w:rsidP="00E7057E">
            <w:pPr>
              <w:spacing w:line="360" w:lineRule="auto"/>
              <w:jc w:val="center"/>
              <w:rPr>
                <w:rFonts w:ascii="Arial" w:eastAsia="Times New Roman" w:hAnsi="Arial" w:cs="Arial"/>
                <w:sz w:val="20"/>
                <w:szCs w:val="20"/>
                <w:lang w:eastAsia="fr-FR"/>
              </w:rPr>
            </w:pPr>
            <w:r w:rsidRPr="00E7057E">
              <w:rPr>
                <w:rFonts w:ascii="Arial" w:eastAsia="Times New Roman" w:hAnsi="Arial" w:cs="Arial"/>
                <w:sz w:val="20"/>
                <w:szCs w:val="20"/>
                <w:lang w:eastAsia="fr-FR"/>
              </w:rPr>
              <w:t>Test 1</w:t>
            </w:r>
          </w:p>
        </w:tc>
        <w:tc>
          <w:tcPr>
            <w:tcW w:w="0" w:type="auto"/>
            <w:hideMark/>
          </w:tcPr>
          <w:p w14:paraId="1E5023A4" w14:textId="77777777" w:rsidR="00E7057E" w:rsidRPr="00E7057E" w:rsidRDefault="00E7057E" w:rsidP="00E7057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E7057E">
              <w:rPr>
                <w:rFonts w:ascii="Arial" w:eastAsia="Times New Roman" w:hAnsi="Arial" w:cs="Arial"/>
                <w:sz w:val="20"/>
                <w:szCs w:val="20"/>
                <w:lang w:eastAsia="fr-FR"/>
              </w:rPr>
              <w:t>Extract 100 mg/kg</w:t>
            </w:r>
          </w:p>
        </w:tc>
        <w:tc>
          <w:tcPr>
            <w:tcW w:w="0" w:type="auto"/>
            <w:hideMark/>
          </w:tcPr>
          <w:p w14:paraId="03741A61" w14:textId="77777777" w:rsidR="00E7057E" w:rsidRPr="00E7057E" w:rsidRDefault="00E7057E" w:rsidP="00E7057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E7057E">
              <w:rPr>
                <w:rFonts w:ascii="Arial" w:eastAsia="Times New Roman" w:hAnsi="Arial" w:cs="Arial"/>
                <w:sz w:val="20"/>
                <w:szCs w:val="20"/>
                <w:lang w:eastAsia="fr-FR"/>
              </w:rPr>
              <w:t>39.27 ± 3.4 *</w:t>
            </w:r>
          </w:p>
        </w:tc>
      </w:tr>
      <w:tr w:rsidR="00E7057E" w:rsidRPr="009424D8" w14:paraId="60D33AAC" w14:textId="77777777" w:rsidTr="00362AFD">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0" w:type="auto"/>
            <w:hideMark/>
          </w:tcPr>
          <w:p w14:paraId="54E1B689" w14:textId="77777777" w:rsidR="00E7057E" w:rsidRPr="00E7057E" w:rsidRDefault="00E7057E" w:rsidP="00E7057E">
            <w:pPr>
              <w:spacing w:line="360" w:lineRule="auto"/>
              <w:jc w:val="center"/>
              <w:rPr>
                <w:rFonts w:ascii="Arial" w:eastAsia="Times New Roman" w:hAnsi="Arial" w:cs="Arial"/>
                <w:sz w:val="20"/>
                <w:szCs w:val="20"/>
                <w:lang w:eastAsia="fr-FR"/>
              </w:rPr>
            </w:pPr>
            <w:r w:rsidRPr="00E7057E">
              <w:rPr>
                <w:rFonts w:ascii="Arial" w:eastAsia="Times New Roman" w:hAnsi="Arial" w:cs="Arial"/>
                <w:sz w:val="20"/>
                <w:szCs w:val="20"/>
                <w:lang w:eastAsia="fr-FR"/>
              </w:rPr>
              <w:t>Test 2</w:t>
            </w:r>
          </w:p>
        </w:tc>
        <w:tc>
          <w:tcPr>
            <w:tcW w:w="0" w:type="auto"/>
            <w:hideMark/>
          </w:tcPr>
          <w:p w14:paraId="72248E84" w14:textId="77777777" w:rsidR="00E7057E" w:rsidRPr="00E7057E" w:rsidRDefault="00E7057E" w:rsidP="00E7057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E7057E">
              <w:rPr>
                <w:rFonts w:ascii="Arial" w:eastAsia="Times New Roman" w:hAnsi="Arial" w:cs="Arial"/>
                <w:sz w:val="20"/>
                <w:szCs w:val="20"/>
                <w:lang w:eastAsia="fr-FR"/>
              </w:rPr>
              <w:t>Extract 200 mg/kg</w:t>
            </w:r>
          </w:p>
        </w:tc>
        <w:tc>
          <w:tcPr>
            <w:tcW w:w="0" w:type="auto"/>
            <w:hideMark/>
          </w:tcPr>
          <w:p w14:paraId="7F7C5B9B" w14:textId="77777777" w:rsidR="00E7057E" w:rsidRPr="00E7057E" w:rsidRDefault="00E7057E" w:rsidP="00E7057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E7057E">
              <w:rPr>
                <w:rFonts w:ascii="Arial" w:eastAsia="Times New Roman" w:hAnsi="Arial" w:cs="Arial"/>
                <w:sz w:val="20"/>
                <w:szCs w:val="20"/>
                <w:lang w:eastAsia="fr-FR"/>
              </w:rPr>
              <w:t>29.8 ± 2.3 **</w:t>
            </w:r>
          </w:p>
        </w:tc>
      </w:tr>
      <w:tr w:rsidR="00E7057E" w:rsidRPr="009424D8" w14:paraId="4C2CC4DD" w14:textId="77777777" w:rsidTr="00362AFD">
        <w:trPr>
          <w:trHeight w:val="273"/>
        </w:trPr>
        <w:tc>
          <w:tcPr>
            <w:cnfStyle w:val="001000000000" w:firstRow="0" w:lastRow="0" w:firstColumn="1" w:lastColumn="0" w:oddVBand="0" w:evenVBand="0" w:oddHBand="0" w:evenHBand="0" w:firstRowFirstColumn="0" w:firstRowLastColumn="0" w:lastRowFirstColumn="0" w:lastRowLastColumn="0"/>
            <w:tcW w:w="0" w:type="auto"/>
            <w:hideMark/>
          </w:tcPr>
          <w:p w14:paraId="227ED1F2" w14:textId="77777777" w:rsidR="00E7057E" w:rsidRPr="00E7057E" w:rsidRDefault="00E7057E" w:rsidP="00E7057E">
            <w:pPr>
              <w:spacing w:line="360" w:lineRule="auto"/>
              <w:jc w:val="center"/>
              <w:rPr>
                <w:rFonts w:ascii="Arial" w:eastAsia="Times New Roman" w:hAnsi="Arial" w:cs="Arial"/>
                <w:sz w:val="20"/>
                <w:szCs w:val="20"/>
                <w:lang w:eastAsia="fr-FR"/>
              </w:rPr>
            </w:pPr>
            <w:r w:rsidRPr="00E7057E">
              <w:rPr>
                <w:rFonts w:ascii="Arial" w:eastAsia="Times New Roman" w:hAnsi="Arial" w:cs="Arial"/>
                <w:sz w:val="20"/>
                <w:szCs w:val="20"/>
                <w:lang w:eastAsia="fr-FR"/>
              </w:rPr>
              <w:t>Test 3</w:t>
            </w:r>
          </w:p>
        </w:tc>
        <w:tc>
          <w:tcPr>
            <w:tcW w:w="0" w:type="auto"/>
            <w:hideMark/>
          </w:tcPr>
          <w:p w14:paraId="7648F53F" w14:textId="77777777" w:rsidR="00E7057E" w:rsidRPr="00E7057E" w:rsidRDefault="00E7057E" w:rsidP="00E7057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E7057E">
              <w:rPr>
                <w:rFonts w:ascii="Arial" w:eastAsia="Times New Roman" w:hAnsi="Arial" w:cs="Arial"/>
                <w:sz w:val="20"/>
                <w:szCs w:val="20"/>
                <w:lang w:eastAsia="fr-FR"/>
              </w:rPr>
              <w:t>Extract 400 mg/kg</w:t>
            </w:r>
          </w:p>
        </w:tc>
        <w:tc>
          <w:tcPr>
            <w:tcW w:w="0" w:type="auto"/>
            <w:hideMark/>
          </w:tcPr>
          <w:p w14:paraId="67F564E6" w14:textId="77777777" w:rsidR="00E7057E" w:rsidRPr="00E7057E" w:rsidRDefault="00E7057E" w:rsidP="00E7057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E7057E">
              <w:rPr>
                <w:rFonts w:ascii="Arial" w:eastAsia="Times New Roman" w:hAnsi="Arial" w:cs="Arial"/>
                <w:sz w:val="20"/>
                <w:szCs w:val="20"/>
                <w:lang w:eastAsia="fr-FR"/>
              </w:rPr>
              <w:t>23.3 ± 1.8 **</w:t>
            </w:r>
          </w:p>
        </w:tc>
      </w:tr>
    </w:tbl>
    <w:p w14:paraId="6C892F0B" w14:textId="77777777" w:rsidR="00E7057E" w:rsidRPr="00E7057E" w:rsidRDefault="00E7057E" w:rsidP="00E7057E">
      <w:pPr>
        <w:spacing w:before="100" w:beforeAutospacing="1" w:after="100" w:afterAutospacing="1" w:line="360" w:lineRule="auto"/>
        <w:jc w:val="both"/>
        <w:rPr>
          <w:rFonts w:ascii="Arial" w:eastAsia="Times New Roman" w:hAnsi="Arial" w:cs="Arial"/>
          <w:sz w:val="20"/>
          <w:szCs w:val="20"/>
          <w:lang w:eastAsia="fr-FR"/>
        </w:rPr>
      </w:pPr>
      <w:r w:rsidRPr="00E7057E">
        <w:rPr>
          <w:rFonts w:ascii="Arial" w:eastAsia="Times New Roman" w:hAnsi="Arial" w:cs="Arial"/>
          <w:sz w:val="20"/>
          <w:szCs w:val="20"/>
          <w:lang w:eastAsia="fr-FR"/>
        </w:rPr>
        <w:lastRenderedPageBreak/>
        <w:t>"Data are presented as mean ± standard deviation. *: significant difference at P &lt; 0.05; **: significant difference at P &lt; 0.01."</w:t>
      </w:r>
    </w:p>
    <w:p w14:paraId="65DEB440" w14:textId="77777777" w:rsidR="00E7057E" w:rsidRPr="00E7057E" w:rsidRDefault="00E7057E" w:rsidP="00E7057E">
      <w:pPr>
        <w:spacing w:before="100" w:beforeAutospacing="1" w:after="100" w:afterAutospacing="1" w:line="360" w:lineRule="auto"/>
        <w:jc w:val="both"/>
        <w:rPr>
          <w:rFonts w:ascii="Arial" w:eastAsia="Times New Roman" w:hAnsi="Arial" w:cs="Arial"/>
          <w:sz w:val="20"/>
          <w:szCs w:val="20"/>
          <w:lang w:eastAsia="fr-FR"/>
        </w:rPr>
      </w:pPr>
      <w:r w:rsidRPr="00E7057E">
        <w:rPr>
          <w:rFonts w:ascii="Arial" w:eastAsia="Times New Roman" w:hAnsi="Arial" w:cs="Arial"/>
          <w:sz w:val="20"/>
          <w:szCs w:val="20"/>
          <w:lang w:eastAsia="fr-FR"/>
        </w:rPr>
        <w:t>The table presents the ulceration indices obtained after treatment. The analysis of the ulceration index reveals that the Petiveria alliacea extract exerts significant and dose-dependent anti-ulcer activity. The healthy control group shows no lesions (0.00 mm²), while the ulcer control group exhibits a high index (69.8 ± 3.4 mm²), confirming effective ulcer induction by ethanol. The reference treatment (ranitidine 50 mg/kg) significantly reduces lesions (19.8 ± 1.6 mm</w:t>
      </w:r>
      <w:proofErr w:type="gramStart"/>
      <w:r w:rsidRPr="00E7057E">
        <w:rPr>
          <w:rFonts w:ascii="Arial" w:eastAsia="Times New Roman" w:hAnsi="Arial" w:cs="Arial"/>
          <w:sz w:val="20"/>
          <w:szCs w:val="20"/>
          <w:lang w:eastAsia="fr-FR"/>
        </w:rPr>
        <w:t>²;</w:t>
      </w:r>
      <w:proofErr w:type="gramEnd"/>
      <w:r w:rsidRPr="00E7057E">
        <w:rPr>
          <w:rFonts w:ascii="Arial" w:eastAsia="Times New Roman" w:hAnsi="Arial" w:cs="Arial"/>
          <w:sz w:val="20"/>
          <w:szCs w:val="20"/>
          <w:lang w:eastAsia="fr-FR"/>
        </w:rPr>
        <w:t xml:space="preserve"> p &lt; 0.01), demonstrating marked protection. The Petiveria alliacea extract at 100 mg/kg moderately decreases the ulceration index (39.27 ± 3.4 mm</w:t>
      </w:r>
      <w:proofErr w:type="gramStart"/>
      <w:r w:rsidRPr="00E7057E">
        <w:rPr>
          <w:rFonts w:ascii="Arial" w:eastAsia="Times New Roman" w:hAnsi="Arial" w:cs="Arial"/>
          <w:sz w:val="20"/>
          <w:szCs w:val="20"/>
          <w:lang w:eastAsia="fr-FR"/>
        </w:rPr>
        <w:t>²;</w:t>
      </w:r>
      <w:proofErr w:type="gramEnd"/>
      <w:r w:rsidRPr="00E7057E">
        <w:rPr>
          <w:rFonts w:ascii="Arial" w:eastAsia="Times New Roman" w:hAnsi="Arial" w:cs="Arial"/>
          <w:sz w:val="20"/>
          <w:szCs w:val="20"/>
          <w:lang w:eastAsia="fr-FR"/>
        </w:rPr>
        <w:t xml:space="preserve"> p &lt; 0.05), with a more significant reduction at 200 mg/kg (29.8 ± 2.3 mm²; p &lt; 0.01) and 400 mg/kg (23.3 ± 1.8 mm²; p &lt; 0.01). These results indicate an increasing efficacy with the dose, reaching at 400 mg/kg an effect comparable to that of ranitidine. This protection suggests potential gastroprotective mechanisms, likely related to antioxidant, anti-inflammatory, or cytoprotective actions of the extract.</w:t>
      </w:r>
    </w:p>
    <w:p w14:paraId="2BB5F3D0" w14:textId="77777777" w:rsidR="00E7057E" w:rsidRPr="009424D8" w:rsidRDefault="00E7057E" w:rsidP="009424D8">
      <w:pPr>
        <w:pStyle w:val="ListParagraph"/>
        <w:numPr>
          <w:ilvl w:val="2"/>
          <w:numId w:val="7"/>
        </w:numPr>
        <w:spacing w:after="0" w:line="360" w:lineRule="auto"/>
        <w:rPr>
          <w:rFonts w:ascii="Arial" w:eastAsia="Times New Roman" w:hAnsi="Arial" w:cs="Arial"/>
          <w:b/>
          <w:bCs/>
          <w:sz w:val="20"/>
          <w:szCs w:val="20"/>
          <w:lang w:eastAsia="fr-FR"/>
        </w:rPr>
      </w:pPr>
      <w:r w:rsidRPr="009424D8">
        <w:rPr>
          <w:rFonts w:ascii="Arial" w:eastAsia="Times New Roman" w:hAnsi="Arial" w:cs="Arial"/>
          <w:b/>
          <w:bCs/>
          <w:sz w:val="20"/>
          <w:szCs w:val="20"/>
          <w:lang w:eastAsia="fr-FR"/>
        </w:rPr>
        <w:t>Ulcer Score</w:t>
      </w:r>
    </w:p>
    <w:p w14:paraId="7E573000" w14:textId="77777777" w:rsidR="00E7057E" w:rsidRPr="00E7057E" w:rsidRDefault="00E7057E" w:rsidP="00E7057E">
      <w:pPr>
        <w:spacing w:after="0" w:line="360" w:lineRule="auto"/>
        <w:rPr>
          <w:rFonts w:ascii="Arial" w:eastAsia="Times New Roman" w:hAnsi="Arial" w:cs="Arial"/>
          <w:b/>
          <w:bCs/>
          <w:sz w:val="20"/>
          <w:szCs w:val="20"/>
          <w:lang w:eastAsia="fr-FR"/>
        </w:rPr>
      </w:pPr>
      <w:r w:rsidRPr="00E7057E">
        <w:rPr>
          <w:rFonts w:ascii="Arial" w:eastAsia="Times New Roman" w:hAnsi="Arial" w:cs="Arial"/>
          <w:b/>
          <w:bCs/>
          <w:sz w:val="20"/>
          <w:szCs w:val="20"/>
          <w:lang w:eastAsia="fr-FR"/>
        </w:rPr>
        <w:t xml:space="preserve">Table </w:t>
      </w:r>
      <w:proofErr w:type="gramStart"/>
      <w:r w:rsidRPr="00E7057E">
        <w:rPr>
          <w:rFonts w:ascii="Arial" w:eastAsia="Times New Roman" w:hAnsi="Arial" w:cs="Arial"/>
          <w:b/>
          <w:bCs/>
          <w:sz w:val="20"/>
          <w:szCs w:val="20"/>
          <w:lang w:eastAsia="fr-FR"/>
        </w:rPr>
        <w:t>3.</w:t>
      </w:r>
      <w:r w:rsidRPr="00E7057E">
        <w:rPr>
          <w:rFonts w:ascii="Arial" w:eastAsia="Times New Roman" w:hAnsi="Arial" w:cs="Arial"/>
          <w:sz w:val="20"/>
          <w:szCs w:val="20"/>
          <w:lang w:eastAsia="fr-FR"/>
        </w:rPr>
        <w:t>Determination</w:t>
      </w:r>
      <w:proofErr w:type="gramEnd"/>
      <w:r w:rsidRPr="00E7057E">
        <w:rPr>
          <w:rFonts w:ascii="Arial" w:eastAsia="Times New Roman" w:hAnsi="Arial" w:cs="Arial"/>
          <w:sz w:val="20"/>
          <w:szCs w:val="20"/>
          <w:lang w:eastAsia="fr-FR"/>
        </w:rPr>
        <w:t xml:space="preserve"> of Ulcer Score</w:t>
      </w:r>
    </w:p>
    <w:tbl>
      <w:tblPr>
        <w:tblStyle w:val="Tableausimple21"/>
        <w:tblW w:w="8386" w:type="dxa"/>
        <w:tblLook w:val="04A0" w:firstRow="1" w:lastRow="0" w:firstColumn="1" w:lastColumn="0" w:noHBand="0" w:noVBand="1"/>
      </w:tblPr>
      <w:tblGrid>
        <w:gridCol w:w="2435"/>
        <w:gridCol w:w="2834"/>
        <w:gridCol w:w="3117"/>
      </w:tblGrid>
      <w:tr w:rsidR="00E7057E" w:rsidRPr="009424D8" w14:paraId="6BE190B3" w14:textId="77777777" w:rsidTr="00362AFD">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hideMark/>
          </w:tcPr>
          <w:p w14:paraId="71D96E1A" w14:textId="77777777" w:rsidR="00E7057E" w:rsidRPr="00E7057E" w:rsidRDefault="00E7057E" w:rsidP="00E7057E">
            <w:pPr>
              <w:spacing w:line="360" w:lineRule="auto"/>
              <w:jc w:val="center"/>
              <w:rPr>
                <w:rFonts w:ascii="Arial" w:eastAsia="Times New Roman" w:hAnsi="Arial" w:cs="Arial"/>
                <w:sz w:val="20"/>
                <w:szCs w:val="20"/>
                <w:lang w:eastAsia="fr-FR"/>
              </w:rPr>
            </w:pPr>
            <w:r w:rsidRPr="00E7057E">
              <w:rPr>
                <w:rFonts w:ascii="Arial" w:eastAsia="Times New Roman" w:hAnsi="Arial" w:cs="Arial"/>
                <w:sz w:val="20"/>
                <w:szCs w:val="20"/>
                <w:lang w:eastAsia="fr-FR"/>
              </w:rPr>
              <w:t>Group</w:t>
            </w:r>
          </w:p>
        </w:tc>
        <w:tc>
          <w:tcPr>
            <w:tcW w:w="0" w:type="auto"/>
            <w:hideMark/>
          </w:tcPr>
          <w:p w14:paraId="3D61D042" w14:textId="77777777" w:rsidR="00E7057E" w:rsidRPr="00E7057E" w:rsidRDefault="00E7057E" w:rsidP="00E7057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E7057E">
              <w:rPr>
                <w:rFonts w:ascii="Arial" w:eastAsia="Times New Roman" w:hAnsi="Arial" w:cs="Arial"/>
                <w:sz w:val="20"/>
                <w:szCs w:val="20"/>
                <w:lang w:eastAsia="fr-FR"/>
              </w:rPr>
              <w:t>Treatment</w:t>
            </w:r>
          </w:p>
        </w:tc>
        <w:tc>
          <w:tcPr>
            <w:tcW w:w="0" w:type="auto"/>
            <w:hideMark/>
          </w:tcPr>
          <w:p w14:paraId="6C7F54B5" w14:textId="77777777" w:rsidR="00E7057E" w:rsidRPr="00E7057E" w:rsidRDefault="00E7057E" w:rsidP="00E7057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E7057E">
              <w:rPr>
                <w:rFonts w:ascii="Arial" w:eastAsia="Times New Roman" w:hAnsi="Arial" w:cs="Arial"/>
                <w:sz w:val="20"/>
                <w:szCs w:val="20"/>
                <w:lang w:eastAsia="fr-FR"/>
              </w:rPr>
              <w:t>Ulcer Score (M ± SD)</w:t>
            </w:r>
          </w:p>
        </w:tc>
      </w:tr>
      <w:tr w:rsidR="00E7057E" w:rsidRPr="009424D8" w14:paraId="3B09912F" w14:textId="77777777" w:rsidTr="00362AF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hideMark/>
          </w:tcPr>
          <w:p w14:paraId="47790110" w14:textId="77777777" w:rsidR="00E7057E" w:rsidRPr="00E7057E" w:rsidRDefault="00E7057E" w:rsidP="00E7057E">
            <w:pPr>
              <w:spacing w:line="360" w:lineRule="auto"/>
              <w:jc w:val="center"/>
              <w:rPr>
                <w:rFonts w:ascii="Arial" w:eastAsia="Times New Roman" w:hAnsi="Arial" w:cs="Arial"/>
                <w:sz w:val="20"/>
                <w:szCs w:val="20"/>
                <w:lang w:eastAsia="fr-FR"/>
              </w:rPr>
            </w:pPr>
            <w:r w:rsidRPr="00E7057E">
              <w:rPr>
                <w:rFonts w:ascii="Arial" w:eastAsia="Times New Roman" w:hAnsi="Arial" w:cs="Arial"/>
                <w:sz w:val="20"/>
                <w:szCs w:val="20"/>
                <w:lang w:eastAsia="fr-FR"/>
              </w:rPr>
              <w:t>Healthy Control</w:t>
            </w:r>
          </w:p>
        </w:tc>
        <w:tc>
          <w:tcPr>
            <w:tcW w:w="0" w:type="auto"/>
            <w:hideMark/>
          </w:tcPr>
          <w:p w14:paraId="082A9B28" w14:textId="77777777" w:rsidR="00E7057E" w:rsidRPr="00E7057E" w:rsidRDefault="00E7057E" w:rsidP="00E7057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E7057E">
              <w:rPr>
                <w:rFonts w:ascii="Arial" w:eastAsia="Times New Roman" w:hAnsi="Arial" w:cs="Arial"/>
                <w:sz w:val="20"/>
                <w:szCs w:val="20"/>
                <w:lang w:eastAsia="fr-FR"/>
              </w:rPr>
              <w:t>Distilled water</w:t>
            </w:r>
          </w:p>
        </w:tc>
        <w:tc>
          <w:tcPr>
            <w:tcW w:w="0" w:type="auto"/>
            <w:hideMark/>
          </w:tcPr>
          <w:p w14:paraId="658F06ED" w14:textId="77777777" w:rsidR="00E7057E" w:rsidRPr="00E7057E" w:rsidRDefault="00E7057E" w:rsidP="00E7057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E7057E">
              <w:rPr>
                <w:rFonts w:ascii="Arial" w:eastAsia="Times New Roman" w:hAnsi="Arial" w:cs="Arial"/>
                <w:sz w:val="20"/>
                <w:szCs w:val="20"/>
                <w:lang w:eastAsia="fr-FR"/>
              </w:rPr>
              <w:t>0.0 ± 0.0</w:t>
            </w:r>
          </w:p>
        </w:tc>
      </w:tr>
      <w:tr w:rsidR="00E7057E" w:rsidRPr="009424D8" w14:paraId="706AE168" w14:textId="77777777" w:rsidTr="00362AFD">
        <w:trPr>
          <w:trHeight w:val="330"/>
        </w:trPr>
        <w:tc>
          <w:tcPr>
            <w:cnfStyle w:val="001000000000" w:firstRow="0" w:lastRow="0" w:firstColumn="1" w:lastColumn="0" w:oddVBand="0" w:evenVBand="0" w:oddHBand="0" w:evenHBand="0" w:firstRowFirstColumn="0" w:firstRowLastColumn="0" w:lastRowFirstColumn="0" w:lastRowLastColumn="0"/>
            <w:tcW w:w="0" w:type="auto"/>
            <w:hideMark/>
          </w:tcPr>
          <w:p w14:paraId="79137ECE" w14:textId="77777777" w:rsidR="00E7057E" w:rsidRPr="00E7057E" w:rsidRDefault="00E7057E" w:rsidP="00E7057E">
            <w:pPr>
              <w:spacing w:line="360" w:lineRule="auto"/>
              <w:jc w:val="center"/>
              <w:rPr>
                <w:rFonts w:ascii="Arial" w:eastAsia="Times New Roman" w:hAnsi="Arial" w:cs="Arial"/>
                <w:sz w:val="20"/>
                <w:szCs w:val="20"/>
                <w:lang w:eastAsia="fr-FR"/>
              </w:rPr>
            </w:pPr>
            <w:r w:rsidRPr="00E7057E">
              <w:rPr>
                <w:rFonts w:ascii="Arial" w:eastAsia="Times New Roman" w:hAnsi="Arial" w:cs="Arial"/>
                <w:sz w:val="20"/>
                <w:szCs w:val="20"/>
                <w:lang w:eastAsia="fr-FR"/>
              </w:rPr>
              <w:t>Ulcer Control</w:t>
            </w:r>
          </w:p>
        </w:tc>
        <w:tc>
          <w:tcPr>
            <w:tcW w:w="0" w:type="auto"/>
            <w:hideMark/>
          </w:tcPr>
          <w:p w14:paraId="7BF490A8" w14:textId="77777777" w:rsidR="00E7057E" w:rsidRPr="00E7057E" w:rsidRDefault="00E7057E" w:rsidP="00E7057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E7057E">
              <w:rPr>
                <w:rFonts w:ascii="Arial" w:eastAsia="Times New Roman" w:hAnsi="Arial" w:cs="Arial"/>
                <w:sz w:val="20"/>
                <w:szCs w:val="20"/>
                <w:lang w:eastAsia="fr-FR"/>
              </w:rPr>
              <w:t>Distilled water</w:t>
            </w:r>
          </w:p>
        </w:tc>
        <w:tc>
          <w:tcPr>
            <w:tcW w:w="0" w:type="auto"/>
            <w:hideMark/>
          </w:tcPr>
          <w:p w14:paraId="705E658E" w14:textId="77777777" w:rsidR="00E7057E" w:rsidRPr="00E7057E" w:rsidRDefault="00E7057E" w:rsidP="00E7057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E7057E">
              <w:rPr>
                <w:rFonts w:ascii="Arial" w:eastAsia="Times New Roman" w:hAnsi="Arial" w:cs="Arial"/>
                <w:sz w:val="20"/>
                <w:szCs w:val="20"/>
                <w:lang w:eastAsia="fr-FR"/>
              </w:rPr>
              <w:t>5.1 ± 0.4</w:t>
            </w:r>
          </w:p>
        </w:tc>
      </w:tr>
      <w:tr w:rsidR="00E7057E" w:rsidRPr="009424D8" w14:paraId="3D8EF094" w14:textId="77777777" w:rsidTr="00362AFD">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0" w:type="auto"/>
            <w:hideMark/>
          </w:tcPr>
          <w:p w14:paraId="4F56577B" w14:textId="77777777" w:rsidR="00E7057E" w:rsidRPr="00E7057E" w:rsidRDefault="00E7057E" w:rsidP="00E7057E">
            <w:pPr>
              <w:spacing w:line="360" w:lineRule="auto"/>
              <w:jc w:val="center"/>
              <w:rPr>
                <w:rFonts w:ascii="Arial" w:eastAsia="Times New Roman" w:hAnsi="Arial" w:cs="Arial"/>
                <w:sz w:val="20"/>
                <w:szCs w:val="20"/>
                <w:lang w:eastAsia="fr-FR"/>
              </w:rPr>
            </w:pPr>
            <w:r w:rsidRPr="00E7057E">
              <w:rPr>
                <w:rFonts w:ascii="Arial" w:eastAsia="Times New Roman" w:hAnsi="Arial" w:cs="Arial"/>
                <w:sz w:val="20"/>
                <w:szCs w:val="20"/>
                <w:lang w:eastAsia="fr-FR"/>
              </w:rPr>
              <w:t>Reference</w:t>
            </w:r>
          </w:p>
        </w:tc>
        <w:tc>
          <w:tcPr>
            <w:tcW w:w="0" w:type="auto"/>
            <w:hideMark/>
          </w:tcPr>
          <w:p w14:paraId="3E66D789" w14:textId="77777777" w:rsidR="00E7057E" w:rsidRPr="00E7057E" w:rsidRDefault="00E7057E" w:rsidP="00E7057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E7057E">
              <w:rPr>
                <w:rFonts w:ascii="Arial" w:eastAsia="Times New Roman" w:hAnsi="Arial" w:cs="Arial"/>
                <w:sz w:val="20"/>
                <w:szCs w:val="20"/>
                <w:lang w:eastAsia="fr-FR"/>
              </w:rPr>
              <w:t>Ranitidine 50 mg/kg</w:t>
            </w:r>
          </w:p>
        </w:tc>
        <w:tc>
          <w:tcPr>
            <w:tcW w:w="0" w:type="auto"/>
            <w:hideMark/>
          </w:tcPr>
          <w:p w14:paraId="0A67720C" w14:textId="77777777" w:rsidR="00E7057E" w:rsidRPr="00E7057E" w:rsidRDefault="00E7057E" w:rsidP="00E7057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E7057E">
              <w:rPr>
                <w:rFonts w:ascii="Arial" w:eastAsia="Times New Roman" w:hAnsi="Arial" w:cs="Arial"/>
                <w:sz w:val="20"/>
                <w:szCs w:val="20"/>
                <w:lang w:eastAsia="fr-FR"/>
              </w:rPr>
              <w:t>1.4 ± 0.6 **</w:t>
            </w:r>
          </w:p>
        </w:tc>
      </w:tr>
      <w:tr w:rsidR="00E7057E" w:rsidRPr="009424D8" w14:paraId="6C62079E" w14:textId="77777777" w:rsidTr="00362AFD">
        <w:trPr>
          <w:trHeight w:val="330"/>
        </w:trPr>
        <w:tc>
          <w:tcPr>
            <w:cnfStyle w:val="001000000000" w:firstRow="0" w:lastRow="0" w:firstColumn="1" w:lastColumn="0" w:oddVBand="0" w:evenVBand="0" w:oddHBand="0" w:evenHBand="0" w:firstRowFirstColumn="0" w:firstRowLastColumn="0" w:lastRowFirstColumn="0" w:lastRowLastColumn="0"/>
            <w:tcW w:w="0" w:type="auto"/>
            <w:hideMark/>
          </w:tcPr>
          <w:p w14:paraId="2FB03CC7" w14:textId="77777777" w:rsidR="00E7057E" w:rsidRPr="00E7057E" w:rsidRDefault="00E7057E" w:rsidP="00E7057E">
            <w:pPr>
              <w:spacing w:line="360" w:lineRule="auto"/>
              <w:jc w:val="center"/>
              <w:rPr>
                <w:rFonts w:ascii="Arial" w:eastAsia="Times New Roman" w:hAnsi="Arial" w:cs="Arial"/>
                <w:sz w:val="20"/>
                <w:szCs w:val="20"/>
                <w:lang w:eastAsia="fr-FR"/>
              </w:rPr>
            </w:pPr>
            <w:r w:rsidRPr="00E7057E">
              <w:rPr>
                <w:rFonts w:ascii="Arial" w:eastAsia="Times New Roman" w:hAnsi="Arial" w:cs="Arial"/>
                <w:sz w:val="20"/>
                <w:szCs w:val="20"/>
                <w:lang w:eastAsia="fr-FR"/>
              </w:rPr>
              <w:t>Test 1</w:t>
            </w:r>
          </w:p>
        </w:tc>
        <w:tc>
          <w:tcPr>
            <w:tcW w:w="0" w:type="auto"/>
            <w:hideMark/>
          </w:tcPr>
          <w:p w14:paraId="17185E0F" w14:textId="77777777" w:rsidR="00E7057E" w:rsidRPr="00E7057E" w:rsidRDefault="00E7057E" w:rsidP="00E7057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E7057E">
              <w:rPr>
                <w:rFonts w:ascii="Arial" w:eastAsia="Times New Roman" w:hAnsi="Arial" w:cs="Arial"/>
                <w:sz w:val="20"/>
                <w:szCs w:val="20"/>
                <w:lang w:eastAsia="fr-FR"/>
              </w:rPr>
              <w:t>Extract 100 mg/kg</w:t>
            </w:r>
          </w:p>
        </w:tc>
        <w:tc>
          <w:tcPr>
            <w:tcW w:w="0" w:type="auto"/>
            <w:hideMark/>
          </w:tcPr>
          <w:p w14:paraId="1CDD2F08" w14:textId="77777777" w:rsidR="00E7057E" w:rsidRPr="00E7057E" w:rsidRDefault="00E7057E" w:rsidP="00E7057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E7057E">
              <w:rPr>
                <w:rFonts w:ascii="Arial" w:eastAsia="Times New Roman" w:hAnsi="Arial" w:cs="Arial"/>
                <w:sz w:val="20"/>
                <w:szCs w:val="20"/>
                <w:lang w:eastAsia="fr-FR"/>
              </w:rPr>
              <w:t>2.9 ± 0.1 *</w:t>
            </w:r>
          </w:p>
        </w:tc>
      </w:tr>
      <w:tr w:rsidR="00E7057E" w:rsidRPr="009424D8" w14:paraId="00472DD2" w14:textId="77777777" w:rsidTr="00362AF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hideMark/>
          </w:tcPr>
          <w:p w14:paraId="07CB1DB5" w14:textId="77777777" w:rsidR="00E7057E" w:rsidRPr="00E7057E" w:rsidRDefault="00E7057E" w:rsidP="00E7057E">
            <w:pPr>
              <w:spacing w:line="360" w:lineRule="auto"/>
              <w:jc w:val="center"/>
              <w:rPr>
                <w:rFonts w:ascii="Arial" w:eastAsia="Times New Roman" w:hAnsi="Arial" w:cs="Arial"/>
                <w:sz w:val="20"/>
                <w:szCs w:val="20"/>
                <w:lang w:eastAsia="fr-FR"/>
              </w:rPr>
            </w:pPr>
            <w:r w:rsidRPr="00E7057E">
              <w:rPr>
                <w:rFonts w:ascii="Arial" w:eastAsia="Times New Roman" w:hAnsi="Arial" w:cs="Arial"/>
                <w:sz w:val="20"/>
                <w:szCs w:val="20"/>
                <w:lang w:eastAsia="fr-FR"/>
              </w:rPr>
              <w:t>Test 2</w:t>
            </w:r>
          </w:p>
        </w:tc>
        <w:tc>
          <w:tcPr>
            <w:tcW w:w="0" w:type="auto"/>
            <w:hideMark/>
          </w:tcPr>
          <w:p w14:paraId="163F4C0C" w14:textId="77777777" w:rsidR="00E7057E" w:rsidRPr="00E7057E" w:rsidRDefault="00E7057E" w:rsidP="00E7057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E7057E">
              <w:rPr>
                <w:rFonts w:ascii="Arial" w:eastAsia="Times New Roman" w:hAnsi="Arial" w:cs="Arial"/>
                <w:sz w:val="20"/>
                <w:szCs w:val="20"/>
                <w:lang w:eastAsia="fr-FR"/>
              </w:rPr>
              <w:t>Extract 200 mg/kg</w:t>
            </w:r>
          </w:p>
        </w:tc>
        <w:tc>
          <w:tcPr>
            <w:tcW w:w="0" w:type="auto"/>
            <w:hideMark/>
          </w:tcPr>
          <w:p w14:paraId="1555310B" w14:textId="77777777" w:rsidR="00E7057E" w:rsidRPr="00E7057E" w:rsidRDefault="00E7057E" w:rsidP="00E7057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E7057E">
              <w:rPr>
                <w:rFonts w:ascii="Arial" w:eastAsia="Times New Roman" w:hAnsi="Arial" w:cs="Arial"/>
                <w:sz w:val="20"/>
                <w:szCs w:val="20"/>
                <w:lang w:eastAsia="fr-FR"/>
              </w:rPr>
              <w:t>1.9 ± 0.3 **</w:t>
            </w:r>
          </w:p>
        </w:tc>
      </w:tr>
      <w:tr w:rsidR="00E7057E" w:rsidRPr="009424D8" w14:paraId="6A3FBFD0" w14:textId="77777777" w:rsidTr="00362AFD">
        <w:trPr>
          <w:trHeight w:val="330"/>
        </w:trPr>
        <w:tc>
          <w:tcPr>
            <w:cnfStyle w:val="001000000000" w:firstRow="0" w:lastRow="0" w:firstColumn="1" w:lastColumn="0" w:oddVBand="0" w:evenVBand="0" w:oddHBand="0" w:evenHBand="0" w:firstRowFirstColumn="0" w:firstRowLastColumn="0" w:lastRowFirstColumn="0" w:lastRowLastColumn="0"/>
            <w:tcW w:w="0" w:type="auto"/>
            <w:hideMark/>
          </w:tcPr>
          <w:p w14:paraId="45B574F4" w14:textId="77777777" w:rsidR="00E7057E" w:rsidRPr="00E7057E" w:rsidRDefault="00E7057E" w:rsidP="00E7057E">
            <w:pPr>
              <w:spacing w:line="360" w:lineRule="auto"/>
              <w:jc w:val="center"/>
              <w:rPr>
                <w:rFonts w:ascii="Arial" w:eastAsia="Times New Roman" w:hAnsi="Arial" w:cs="Arial"/>
                <w:sz w:val="20"/>
                <w:szCs w:val="20"/>
                <w:lang w:eastAsia="fr-FR"/>
              </w:rPr>
            </w:pPr>
            <w:r w:rsidRPr="00E7057E">
              <w:rPr>
                <w:rFonts w:ascii="Arial" w:eastAsia="Times New Roman" w:hAnsi="Arial" w:cs="Arial"/>
                <w:sz w:val="20"/>
                <w:szCs w:val="20"/>
                <w:lang w:eastAsia="fr-FR"/>
              </w:rPr>
              <w:t>Test 3</w:t>
            </w:r>
          </w:p>
        </w:tc>
        <w:tc>
          <w:tcPr>
            <w:tcW w:w="0" w:type="auto"/>
            <w:hideMark/>
          </w:tcPr>
          <w:p w14:paraId="5D54A02A" w14:textId="77777777" w:rsidR="00E7057E" w:rsidRPr="00E7057E" w:rsidRDefault="00E7057E" w:rsidP="00E7057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E7057E">
              <w:rPr>
                <w:rFonts w:ascii="Arial" w:eastAsia="Times New Roman" w:hAnsi="Arial" w:cs="Arial"/>
                <w:sz w:val="20"/>
                <w:szCs w:val="20"/>
                <w:lang w:eastAsia="fr-FR"/>
              </w:rPr>
              <w:t>Extract 400 mg/kg</w:t>
            </w:r>
          </w:p>
        </w:tc>
        <w:tc>
          <w:tcPr>
            <w:tcW w:w="0" w:type="auto"/>
            <w:hideMark/>
          </w:tcPr>
          <w:p w14:paraId="12914639" w14:textId="77777777" w:rsidR="00E7057E" w:rsidRPr="00E7057E" w:rsidRDefault="00E7057E" w:rsidP="00E7057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E7057E">
              <w:rPr>
                <w:rFonts w:ascii="Arial" w:eastAsia="Times New Roman" w:hAnsi="Arial" w:cs="Arial"/>
                <w:sz w:val="20"/>
                <w:szCs w:val="20"/>
                <w:lang w:eastAsia="fr-FR"/>
              </w:rPr>
              <w:t>1.7 ± 0.2 **</w:t>
            </w:r>
          </w:p>
        </w:tc>
      </w:tr>
    </w:tbl>
    <w:p w14:paraId="2AAE76DD" w14:textId="77777777" w:rsidR="00E7057E" w:rsidRPr="00E7057E" w:rsidRDefault="00E7057E" w:rsidP="00E7057E">
      <w:pPr>
        <w:spacing w:before="100" w:beforeAutospacing="1" w:after="100" w:afterAutospacing="1" w:line="360" w:lineRule="auto"/>
        <w:jc w:val="both"/>
        <w:rPr>
          <w:rFonts w:ascii="Arial" w:eastAsia="Times New Roman" w:hAnsi="Arial" w:cs="Arial"/>
          <w:sz w:val="20"/>
          <w:szCs w:val="20"/>
          <w:lang w:eastAsia="fr-FR"/>
        </w:rPr>
      </w:pPr>
      <w:r w:rsidRPr="00E7057E">
        <w:rPr>
          <w:rFonts w:ascii="Arial" w:eastAsia="Times New Roman" w:hAnsi="Arial" w:cs="Arial"/>
          <w:sz w:val="20"/>
          <w:szCs w:val="20"/>
          <w:lang w:eastAsia="fr-FR"/>
        </w:rPr>
        <w:t>"Data are presented as mean ± standard deviation. *: significant difference at P &lt; 0.05; **: significant difference at P &lt; 0.01."</w:t>
      </w:r>
    </w:p>
    <w:p w14:paraId="0212D022" w14:textId="77777777" w:rsidR="00E7057E" w:rsidRPr="00E7057E" w:rsidRDefault="00E7057E" w:rsidP="00E7057E">
      <w:pPr>
        <w:spacing w:before="100" w:beforeAutospacing="1" w:after="100" w:afterAutospacing="1" w:line="360" w:lineRule="auto"/>
        <w:jc w:val="both"/>
        <w:rPr>
          <w:rFonts w:ascii="Arial" w:eastAsia="Times New Roman" w:hAnsi="Arial" w:cs="Arial"/>
          <w:sz w:val="20"/>
          <w:szCs w:val="20"/>
          <w:lang w:eastAsia="fr-FR"/>
        </w:rPr>
      </w:pPr>
      <w:r w:rsidRPr="00E7057E">
        <w:rPr>
          <w:rFonts w:ascii="Arial" w:eastAsia="Times New Roman" w:hAnsi="Arial" w:cs="Arial"/>
          <w:sz w:val="20"/>
          <w:szCs w:val="20"/>
          <w:lang w:eastAsia="fr-FR"/>
        </w:rPr>
        <w:t xml:space="preserve">The analysis of the ulcer score confirms the dose-dependent gastroprotective effect of </w:t>
      </w:r>
      <w:r w:rsidRPr="00E7057E">
        <w:rPr>
          <w:rFonts w:ascii="Arial" w:eastAsia="Times New Roman" w:hAnsi="Arial" w:cs="Arial"/>
          <w:i/>
          <w:iCs/>
          <w:sz w:val="20"/>
          <w:szCs w:val="20"/>
          <w:lang w:eastAsia="fr-FR"/>
        </w:rPr>
        <w:t>Petiveria alliacea</w:t>
      </w:r>
      <w:r w:rsidRPr="00E7057E">
        <w:rPr>
          <w:rFonts w:ascii="Arial" w:eastAsia="Times New Roman" w:hAnsi="Arial" w:cs="Arial"/>
          <w:sz w:val="20"/>
          <w:szCs w:val="20"/>
          <w:lang w:eastAsia="fr-FR"/>
        </w:rPr>
        <w:t xml:space="preserve"> extract. The healthy control group exhibited no lesions (0.0 ± 0.0), whereas the ulcer control group showed severe gastric lesions (5.1 ± 0.4), validating the efficacy of the ulcer induction model. Treatment with ranitidine (50 mg/kg) significantly reduced the score to 1.4 ± 0.6 (p &lt; 0.01), demonstrating a strong protective effect. The extract at 100 mg/kg moderately reduced the ulcer score (2.9 ± 0.1; p &lt; 0.05), with greater reductions at 200 mg/kg (1.9 ± 0.3; p &lt; 0.01) and 400 mg/kg (1.7 ± 0.2; p &lt; 0.01). These findings indicate a progressive attenuation of lesion severity with increasing doses, with the 400 mg/kg dose showing an effect comparable to ranitidine. This suggests that the extract exhibits notable protective action on the gastric mucosa, likely related to anti-inflammatory or cytoprotective properties, warranting further investigation into the underlying mechanisms.</w:t>
      </w:r>
    </w:p>
    <w:p w14:paraId="26C765A5" w14:textId="77777777" w:rsidR="00E7057E" w:rsidRPr="009424D8" w:rsidRDefault="00E7057E" w:rsidP="009424D8">
      <w:pPr>
        <w:pStyle w:val="ListParagraph"/>
        <w:numPr>
          <w:ilvl w:val="2"/>
          <w:numId w:val="7"/>
        </w:numPr>
        <w:spacing w:before="100" w:beforeAutospacing="1" w:after="100" w:afterAutospacing="1" w:line="360" w:lineRule="auto"/>
        <w:rPr>
          <w:rFonts w:ascii="Arial" w:eastAsia="Times New Roman" w:hAnsi="Arial" w:cs="Arial"/>
          <w:b/>
          <w:bCs/>
          <w:sz w:val="20"/>
          <w:szCs w:val="20"/>
          <w:lang w:eastAsia="fr-FR"/>
        </w:rPr>
      </w:pPr>
      <w:r w:rsidRPr="009424D8">
        <w:rPr>
          <w:rFonts w:ascii="Arial" w:eastAsia="Times New Roman" w:hAnsi="Arial" w:cs="Arial"/>
          <w:b/>
          <w:bCs/>
          <w:sz w:val="20"/>
          <w:szCs w:val="20"/>
          <w:lang w:eastAsia="fr-FR"/>
        </w:rPr>
        <w:t>Ulcer Inhibition Percentage</w:t>
      </w:r>
      <w:r w:rsidRPr="009424D8">
        <w:rPr>
          <w:rFonts w:ascii="Arial" w:eastAsia="Times New Roman" w:hAnsi="Arial" w:cs="Arial"/>
          <w:sz w:val="20"/>
          <w:szCs w:val="20"/>
          <w:lang w:eastAsia="fr-FR"/>
        </w:rPr>
        <w:br/>
      </w:r>
      <w:r w:rsidRPr="009424D8">
        <w:rPr>
          <w:rFonts w:ascii="Arial" w:eastAsia="Times New Roman" w:hAnsi="Arial" w:cs="Arial"/>
          <w:b/>
          <w:bCs/>
          <w:sz w:val="20"/>
          <w:szCs w:val="20"/>
          <w:lang w:eastAsia="fr-FR"/>
        </w:rPr>
        <w:t xml:space="preserve">Table 4. </w:t>
      </w:r>
      <w:r w:rsidRPr="009424D8">
        <w:rPr>
          <w:rFonts w:ascii="Arial" w:eastAsia="Times New Roman" w:hAnsi="Arial" w:cs="Arial"/>
          <w:sz w:val="20"/>
          <w:szCs w:val="20"/>
          <w:lang w:eastAsia="fr-FR"/>
        </w:rPr>
        <w:t>Determination of Ulcer Inhibition Percentage</w:t>
      </w:r>
    </w:p>
    <w:tbl>
      <w:tblPr>
        <w:tblStyle w:val="Tableausimple21"/>
        <w:tblW w:w="8941" w:type="dxa"/>
        <w:tblLook w:val="04A0" w:firstRow="1" w:lastRow="0" w:firstColumn="1" w:lastColumn="0" w:noHBand="0" w:noVBand="1"/>
      </w:tblPr>
      <w:tblGrid>
        <w:gridCol w:w="2457"/>
        <w:gridCol w:w="2858"/>
        <w:gridCol w:w="3626"/>
      </w:tblGrid>
      <w:tr w:rsidR="00E7057E" w:rsidRPr="009424D8" w14:paraId="6647C48C" w14:textId="77777777" w:rsidTr="00362AFD">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0" w:type="auto"/>
            <w:hideMark/>
          </w:tcPr>
          <w:p w14:paraId="4A9334BF" w14:textId="77777777" w:rsidR="00E7057E" w:rsidRPr="00E7057E" w:rsidRDefault="00E7057E" w:rsidP="00E7057E">
            <w:pPr>
              <w:spacing w:line="360" w:lineRule="auto"/>
              <w:jc w:val="center"/>
              <w:rPr>
                <w:rFonts w:ascii="Arial" w:eastAsia="Times New Roman" w:hAnsi="Arial" w:cs="Arial"/>
                <w:sz w:val="20"/>
                <w:szCs w:val="20"/>
                <w:lang w:eastAsia="fr-FR"/>
              </w:rPr>
            </w:pPr>
            <w:r w:rsidRPr="00E7057E">
              <w:rPr>
                <w:rFonts w:ascii="Arial" w:eastAsia="Times New Roman" w:hAnsi="Arial" w:cs="Arial"/>
                <w:sz w:val="20"/>
                <w:szCs w:val="20"/>
                <w:lang w:eastAsia="fr-FR"/>
              </w:rPr>
              <w:lastRenderedPageBreak/>
              <w:t>Group</w:t>
            </w:r>
          </w:p>
        </w:tc>
        <w:tc>
          <w:tcPr>
            <w:tcW w:w="0" w:type="auto"/>
            <w:hideMark/>
          </w:tcPr>
          <w:p w14:paraId="0C5B7103" w14:textId="77777777" w:rsidR="00E7057E" w:rsidRPr="00E7057E" w:rsidRDefault="00E7057E" w:rsidP="00E7057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E7057E">
              <w:rPr>
                <w:rFonts w:ascii="Arial" w:eastAsia="Times New Roman" w:hAnsi="Arial" w:cs="Arial"/>
                <w:sz w:val="20"/>
                <w:szCs w:val="20"/>
                <w:lang w:eastAsia="fr-FR"/>
              </w:rPr>
              <w:t>Treatment</w:t>
            </w:r>
          </w:p>
        </w:tc>
        <w:tc>
          <w:tcPr>
            <w:tcW w:w="0" w:type="auto"/>
            <w:hideMark/>
          </w:tcPr>
          <w:p w14:paraId="2B0B299A" w14:textId="77777777" w:rsidR="00E7057E" w:rsidRPr="00E7057E" w:rsidRDefault="00E7057E" w:rsidP="00E7057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E7057E">
              <w:rPr>
                <w:rFonts w:ascii="Arial" w:eastAsia="Times New Roman" w:hAnsi="Arial" w:cs="Arial"/>
                <w:sz w:val="20"/>
                <w:szCs w:val="20"/>
                <w:lang w:eastAsia="fr-FR"/>
              </w:rPr>
              <w:t>% Inhibition (calculated)</w:t>
            </w:r>
          </w:p>
        </w:tc>
      </w:tr>
      <w:tr w:rsidR="00E7057E" w:rsidRPr="009424D8" w14:paraId="31066BB0" w14:textId="77777777" w:rsidTr="00362AFD">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0" w:type="auto"/>
            <w:hideMark/>
          </w:tcPr>
          <w:p w14:paraId="6A4C1343" w14:textId="77777777" w:rsidR="00E7057E" w:rsidRPr="00E7057E" w:rsidRDefault="00E7057E" w:rsidP="00E7057E">
            <w:pPr>
              <w:spacing w:line="360" w:lineRule="auto"/>
              <w:jc w:val="center"/>
              <w:rPr>
                <w:rFonts w:ascii="Arial" w:eastAsia="Times New Roman" w:hAnsi="Arial" w:cs="Arial"/>
                <w:sz w:val="20"/>
                <w:szCs w:val="20"/>
                <w:lang w:eastAsia="fr-FR"/>
              </w:rPr>
            </w:pPr>
            <w:r w:rsidRPr="00E7057E">
              <w:rPr>
                <w:rFonts w:ascii="Arial" w:eastAsia="Times New Roman" w:hAnsi="Arial" w:cs="Arial"/>
                <w:sz w:val="20"/>
                <w:szCs w:val="20"/>
                <w:lang w:eastAsia="fr-FR"/>
              </w:rPr>
              <w:t>Healthy Control</w:t>
            </w:r>
          </w:p>
        </w:tc>
        <w:tc>
          <w:tcPr>
            <w:tcW w:w="0" w:type="auto"/>
            <w:hideMark/>
          </w:tcPr>
          <w:p w14:paraId="038BDA78" w14:textId="77777777" w:rsidR="00E7057E" w:rsidRPr="00E7057E" w:rsidRDefault="00E7057E" w:rsidP="00E7057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E7057E">
              <w:rPr>
                <w:rFonts w:ascii="Arial" w:eastAsia="Times New Roman" w:hAnsi="Arial" w:cs="Arial"/>
                <w:sz w:val="20"/>
                <w:szCs w:val="20"/>
                <w:lang w:eastAsia="fr-FR"/>
              </w:rPr>
              <w:t>Distilled water</w:t>
            </w:r>
          </w:p>
        </w:tc>
        <w:tc>
          <w:tcPr>
            <w:tcW w:w="0" w:type="auto"/>
            <w:hideMark/>
          </w:tcPr>
          <w:p w14:paraId="2748DB01" w14:textId="77777777" w:rsidR="00E7057E" w:rsidRPr="00E7057E" w:rsidRDefault="00E7057E" w:rsidP="00E7057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E7057E">
              <w:rPr>
                <w:rFonts w:ascii="Arial" w:eastAsia="Times New Roman" w:hAnsi="Arial" w:cs="Arial"/>
                <w:sz w:val="20"/>
                <w:szCs w:val="20"/>
                <w:lang w:eastAsia="fr-FR"/>
              </w:rPr>
              <w:t>—</w:t>
            </w:r>
          </w:p>
        </w:tc>
      </w:tr>
      <w:tr w:rsidR="00E7057E" w:rsidRPr="009424D8" w14:paraId="64FE5F3F" w14:textId="77777777" w:rsidTr="00362AFD">
        <w:trPr>
          <w:trHeight w:val="272"/>
        </w:trPr>
        <w:tc>
          <w:tcPr>
            <w:cnfStyle w:val="001000000000" w:firstRow="0" w:lastRow="0" w:firstColumn="1" w:lastColumn="0" w:oddVBand="0" w:evenVBand="0" w:oddHBand="0" w:evenHBand="0" w:firstRowFirstColumn="0" w:firstRowLastColumn="0" w:lastRowFirstColumn="0" w:lastRowLastColumn="0"/>
            <w:tcW w:w="0" w:type="auto"/>
            <w:hideMark/>
          </w:tcPr>
          <w:p w14:paraId="5E5E0CDD" w14:textId="77777777" w:rsidR="00E7057E" w:rsidRPr="00E7057E" w:rsidRDefault="00E7057E" w:rsidP="00E7057E">
            <w:pPr>
              <w:spacing w:line="360" w:lineRule="auto"/>
              <w:jc w:val="center"/>
              <w:rPr>
                <w:rFonts w:ascii="Arial" w:eastAsia="Times New Roman" w:hAnsi="Arial" w:cs="Arial"/>
                <w:sz w:val="20"/>
                <w:szCs w:val="20"/>
                <w:lang w:eastAsia="fr-FR"/>
              </w:rPr>
            </w:pPr>
            <w:r w:rsidRPr="00E7057E">
              <w:rPr>
                <w:rFonts w:ascii="Arial" w:eastAsia="Times New Roman" w:hAnsi="Arial" w:cs="Arial"/>
                <w:sz w:val="20"/>
                <w:szCs w:val="20"/>
                <w:lang w:eastAsia="fr-FR"/>
              </w:rPr>
              <w:t>Ulcer Control</w:t>
            </w:r>
          </w:p>
        </w:tc>
        <w:tc>
          <w:tcPr>
            <w:tcW w:w="0" w:type="auto"/>
            <w:hideMark/>
          </w:tcPr>
          <w:p w14:paraId="59205087" w14:textId="77777777" w:rsidR="00E7057E" w:rsidRPr="00E7057E" w:rsidRDefault="00E7057E" w:rsidP="00E7057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E7057E">
              <w:rPr>
                <w:rFonts w:ascii="Arial" w:eastAsia="Times New Roman" w:hAnsi="Arial" w:cs="Arial"/>
                <w:sz w:val="20"/>
                <w:szCs w:val="20"/>
                <w:lang w:eastAsia="fr-FR"/>
              </w:rPr>
              <w:t>Distilled water</w:t>
            </w:r>
          </w:p>
        </w:tc>
        <w:tc>
          <w:tcPr>
            <w:tcW w:w="0" w:type="auto"/>
            <w:hideMark/>
          </w:tcPr>
          <w:p w14:paraId="47BE2781" w14:textId="77777777" w:rsidR="00E7057E" w:rsidRPr="00E7057E" w:rsidRDefault="00E7057E" w:rsidP="00E7057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E7057E">
              <w:rPr>
                <w:rFonts w:ascii="Arial" w:eastAsia="Times New Roman" w:hAnsi="Arial" w:cs="Arial"/>
                <w:sz w:val="20"/>
                <w:szCs w:val="20"/>
                <w:lang w:eastAsia="fr-FR"/>
              </w:rPr>
              <w:t>0%</w:t>
            </w:r>
          </w:p>
        </w:tc>
      </w:tr>
      <w:tr w:rsidR="00E7057E" w:rsidRPr="009424D8" w14:paraId="451137F5" w14:textId="77777777" w:rsidTr="00362AF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0" w:type="auto"/>
            <w:hideMark/>
          </w:tcPr>
          <w:p w14:paraId="0D98D67F" w14:textId="77777777" w:rsidR="00E7057E" w:rsidRPr="00E7057E" w:rsidRDefault="00E7057E" w:rsidP="00E7057E">
            <w:pPr>
              <w:spacing w:line="360" w:lineRule="auto"/>
              <w:jc w:val="center"/>
              <w:rPr>
                <w:rFonts w:ascii="Arial" w:eastAsia="Times New Roman" w:hAnsi="Arial" w:cs="Arial"/>
                <w:sz w:val="20"/>
                <w:szCs w:val="20"/>
                <w:lang w:eastAsia="fr-FR"/>
              </w:rPr>
            </w:pPr>
            <w:r w:rsidRPr="00E7057E">
              <w:rPr>
                <w:rFonts w:ascii="Arial" w:eastAsia="Times New Roman" w:hAnsi="Arial" w:cs="Arial"/>
                <w:sz w:val="20"/>
                <w:szCs w:val="20"/>
                <w:lang w:eastAsia="fr-FR"/>
              </w:rPr>
              <w:t>Reference</w:t>
            </w:r>
          </w:p>
        </w:tc>
        <w:tc>
          <w:tcPr>
            <w:tcW w:w="0" w:type="auto"/>
            <w:hideMark/>
          </w:tcPr>
          <w:p w14:paraId="3B697B1D" w14:textId="77777777" w:rsidR="00E7057E" w:rsidRPr="00E7057E" w:rsidRDefault="00E7057E" w:rsidP="00E7057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E7057E">
              <w:rPr>
                <w:rFonts w:ascii="Arial" w:eastAsia="Times New Roman" w:hAnsi="Arial" w:cs="Arial"/>
                <w:sz w:val="20"/>
                <w:szCs w:val="20"/>
                <w:lang w:eastAsia="fr-FR"/>
              </w:rPr>
              <w:t>Ranitidine 50 mg/kg</w:t>
            </w:r>
          </w:p>
        </w:tc>
        <w:tc>
          <w:tcPr>
            <w:tcW w:w="0" w:type="auto"/>
            <w:hideMark/>
          </w:tcPr>
          <w:p w14:paraId="58A4CB1F" w14:textId="77777777" w:rsidR="00E7057E" w:rsidRPr="00E7057E" w:rsidRDefault="00E7057E" w:rsidP="00E7057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E7057E">
              <w:rPr>
                <w:rFonts w:ascii="Arial" w:eastAsia="Times New Roman" w:hAnsi="Arial" w:cs="Arial"/>
                <w:sz w:val="20"/>
                <w:szCs w:val="20"/>
                <w:lang w:eastAsia="fr-FR"/>
              </w:rPr>
              <w:t>71.63%</w:t>
            </w:r>
          </w:p>
        </w:tc>
      </w:tr>
      <w:tr w:rsidR="00E7057E" w:rsidRPr="009424D8" w14:paraId="141F7BAB" w14:textId="77777777" w:rsidTr="00362AFD">
        <w:trPr>
          <w:trHeight w:val="272"/>
        </w:trPr>
        <w:tc>
          <w:tcPr>
            <w:cnfStyle w:val="001000000000" w:firstRow="0" w:lastRow="0" w:firstColumn="1" w:lastColumn="0" w:oddVBand="0" w:evenVBand="0" w:oddHBand="0" w:evenHBand="0" w:firstRowFirstColumn="0" w:firstRowLastColumn="0" w:lastRowFirstColumn="0" w:lastRowLastColumn="0"/>
            <w:tcW w:w="0" w:type="auto"/>
            <w:hideMark/>
          </w:tcPr>
          <w:p w14:paraId="409C87B9" w14:textId="77777777" w:rsidR="00E7057E" w:rsidRPr="00E7057E" w:rsidRDefault="00E7057E" w:rsidP="00E7057E">
            <w:pPr>
              <w:spacing w:line="360" w:lineRule="auto"/>
              <w:jc w:val="center"/>
              <w:rPr>
                <w:rFonts w:ascii="Arial" w:eastAsia="Times New Roman" w:hAnsi="Arial" w:cs="Arial"/>
                <w:sz w:val="20"/>
                <w:szCs w:val="20"/>
                <w:lang w:eastAsia="fr-FR"/>
              </w:rPr>
            </w:pPr>
            <w:r w:rsidRPr="00E7057E">
              <w:rPr>
                <w:rFonts w:ascii="Arial" w:eastAsia="Times New Roman" w:hAnsi="Arial" w:cs="Arial"/>
                <w:sz w:val="20"/>
                <w:szCs w:val="20"/>
                <w:lang w:eastAsia="fr-FR"/>
              </w:rPr>
              <w:t>Test 1</w:t>
            </w:r>
          </w:p>
        </w:tc>
        <w:tc>
          <w:tcPr>
            <w:tcW w:w="0" w:type="auto"/>
            <w:hideMark/>
          </w:tcPr>
          <w:p w14:paraId="500F9641" w14:textId="77777777" w:rsidR="00E7057E" w:rsidRPr="00E7057E" w:rsidRDefault="00E7057E" w:rsidP="00E7057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E7057E">
              <w:rPr>
                <w:rFonts w:ascii="Arial" w:eastAsia="Times New Roman" w:hAnsi="Arial" w:cs="Arial"/>
                <w:sz w:val="20"/>
                <w:szCs w:val="20"/>
                <w:lang w:eastAsia="fr-FR"/>
              </w:rPr>
              <w:t>Extract 100 mg/kg</w:t>
            </w:r>
          </w:p>
        </w:tc>
        <w:tc>
          <w:tcPr>
            <w:tcW w:w="0" w:type="auto"/>
            <w:hideMark/>
          </w:tcPr>
          <w:p w14:paraId="0104117C" w14:textId="77777777" w:rsidR="00E7057E" w:rsidRPr="00E7057E" w:rsidRDefault="00E7057E" w:rsidP="00E7057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E7057E">
              <w:rPr>
                <w:rFonts w:ascii="Arial" w:eastAsia="Times New Roman" w:hAnsi="Arial" w:cs="Arial"/>
                <w:sz w:val="20"/>
                <w:szCs w:val="20"/>
                <w:lang w:eastAsia="fr-FR"/>
              </w:rPr>
              <w:t>43.73%</w:t>
            </w:r>
          </w:p>
        </w:tc>
      </w:tr>
      <w:tr w:rsidR="00E7057E" w:rsidRPr="009424D8" w14:paraId="78C9A59B" w14:textId="77777777" w:rsidTr="00362AFD">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0" w:type="auto"/>
            <w:hideMark/>
          </w:tcPr>
          <w:p w14:paraId="16D81CC0" w14:textId="77777777" w:rsidR="00E7057E" w:rsidRPr="00E7057E" w:rsidRDefault="00E7057E" w:rsidP="00E7057E">
            <w:pPr>
              <w:spacing w:line="360" w:lineRule="auto"/>
              <w:jc w:val="center"/>
              <w:rPr>
                <w:rFonts w:ascii="Arial" w:eastAsia="Times New Roman" w:hAnsi="Arial" w:cs="Arial"/>
                <w:sz w:val="20"/>
                <w:szCs w:val="20"/>
                <w:lang w:eastAsia="fr-FR"/>
              </w:rPr>
            </w:pPr>
            <w:r w:rsidRPr="00E7057E">
              <w:rPr>
                <w:rFonts w:ascii="Arial" w:eastAsia="Times New Roman" w:hAnsi="Arial" w:cs="Arial"/>
                <w:sz w:val="20"/>
                <w:szCs w:val="20"/>
                <w:lang w:eastAsia="fr-FR"/>
              </w:rPr>
              <w:t>Test 2</w:t>
            </w:r>
          </w:p>
        </w:tc>
        <w:tc>
          <w:tcPr>
            <w:tcW w:w="0" w:type="auto"/>
            <w:hideMark/>
          </w:tcPr>
          <w:p w14:paraId="7BD3B79E" w14:textId="77777777" w:rsidR="00E7057E" w:rsidRPr="00E7057E" w:rsidRDefault="00E7057E" w:rsidP="00E7057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E7057E">
              <w:rPr>
                <w:rFonts w:ascii="Arial" w:eastAsia="Times New Roman" w:hAnsi="Arial" w:cs="Arial"/>
                <w:sz w:val="20"/>
                <w:szCs w:val="20"/>
                <w:lang w:eastAsia="fr-FR"/>
              </w:rPr>
              <w:t>Extract 200 mg/kg</w:t>
            </w:r>
          </w:p>
        </w:tc>
        <w:tc>
          <w:tcPr>
            <w:tcW w:w="0" w:type="auto"/>
            <w:hideMark/>
          </w:tcPr>
          <w:p w14:paraId="043823FF" w14:textId="77777777" w:rsidR="00E7057E" w:rsidRPr="00E7057E" w:rsidRDefault="00E7057E" w:rsidP="00E7057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E7057E">
              <w:rPr>
                <w:rFonts w:ascii="Arial" w:eastAsia="Times New Roman" w:hAnsi="Arial" w:cs="Arial"/>
                <w:sz w:val="20"/>
                <w:szCs w:val="20"/>
                <w:lang w:eastAsia="fr-FR"/>
              </w:rPr>
              <w:t>57.3%</w:t>
            </w:r>
          </w:p>
        </w:tc>
      </w:tr>
      <w:tr w:rsidR="00E7057E" w:rsidRPr="009424D8" w14:paraId="3125B02B" w14:textId="77777777" w:rsidTr="00362AFD">
        <w:trPr>
          <w:trHeight w:val="259"/>
        </w:trPr>
        <w:tc>
          <w:tcPr>
            <w:cnfStyle w:val="001000000000" w:firstRow="0" w:lastRow="0" w:firstColumn="1" w:lastColumn="0" w:oddVBand="0" w:evenVBand="0" w:oddHBand="0" w:evenHBand="0" w:firstRowFirstColumn="0" w:firstRowLastColumn="0" w:lastRowFirstColumn="0" w:lastRowLastColumn="0"/>
            <w:tcW w:w="0" w:type="auto"/>
            <w:hideMark/>
          </w:tcPr>
          <w:p w14:paraId="6AE31F72" w14:textId="77777777" w:rsidR="00E7057E" w:rsidRPr="00E7057E" w:rsidRDefault="00E7057E" w:rsidP="00E7057E">
            <w:pPr>
              <w:spacing w:line="360" w:lineRule="auto"/>
              <w:jc w:val="center"/>
              <w:rPr>
                <w:rFonts w:ascii="Arial" w:eastAsia="Times New Roman" w:hAnsi="Arial" w:cs="Arial"/>
                <w:sz w:val="20"/>
                <w:szCs w:val="20"/>
                <w:lang w:eastAsia="fr-FR"/>
              </w:rPr>
            </w:pPr>
            <w:r w:rsidRPr="00E7057E">
              <w:rPr>
                <w:rFonts w:ascii="Arial" w:eastAsia="Times New Roman" w:hAnsi="Arial" w:cs="Arial"/>
                <w:sz w:val="20"/>
                <w:szCs w:val="20"/>
                <w:lang w:eastAsia="fr-FR"/>
              </w:rPr>
              <w:t>Test 3</w:t>
            </w:r>
          </w:p>
        </w:tc>
        <w:tc>
          <w:tcPr>
            <w:tcW w:w="0" w:type="auto"/>
            <w:hideMark/>
          </w:tcPr>
          <w:p w14:paraId="263A473C" w14:textId="77777777" w:rsidR="00E7057E" w:rsidRPr="00E7057E" w:rsidRDefault="00E7057E" w:rsidP="00E7057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E7057E">
              <w:rPr>
                <w:rFonts w:ascii="Arial" w:eastAsia="Times New Roman" w:hAnsi="Arial" w:cs="Arial"/>
                <w:sz w:val="20"/>
                <w:szCs w:val="20"/>
                <w:lang w:eastAsia="fr-FR"/>
              </w:rPr>
              <w:t>Extract 400 mg/kg</w:t>
            </w:r>
          </w:p>
        </w:tc>
        <w:tc>
          <w:tcPr>
            <w:tcW w:w="0" w:type="auto"/>
            <w:hideMark/>
          </w:tcPr>
          <w:p w14:paraId="24CB9527" w14:textId="77777777" w:rsidR="00E7057E" w:rsidRPr="00E7057E" w:rsidRDefault="00E7057E" w:rsidP="00E7057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E7057E">
              <w:rPr>
                <w:rFonts w:ascii="Arial" w:eastAsia="Times New Roman" w:hAnsi="Arial" w:cs="Arial"/>
                <w:sz w:val="20"/>
                <w:szCs w:val="20"/>
                <w:lang w:eastAsia="fr-FR"/>
              </w:rPr>
              <w:t>66.1%</w:t>
            </w:r>
          </w:p>
        </w:tc>
      </w:tr>
    </w:tbl>
    <w:p w14:paraId="0DE4218A" w14:textId="77777777" w:rsidR="00E7057E" w:rsidRPr="00E7057E" w:rsidRDefault="00E7057E" w:rsidP="00E7057E">
      <w:pPr>
        <w:spacing w:before="100" w:beforeAutospacing="1" w:after="100" w:afterAutospacing="1" w:line="360" w:lineRule="auto"/>
        <w:jc w:val="both"/>
        <w:rPr>
          <w:rFonts w:ascii="Arial" w:eastAsia="Times New Roman" w:hAnsi="Arial" w:cs="Arial"/>
          <w:sz w:val="20"/>
          <w:szCs w:val="20"/>
          <w:lang w:eastAsia="fr-FR"/>
        </w:rPr>
      </w:pPr>
      <w:r w:rsidRPr="00E7057E">
        <w:rPr>
          <w:rFonts w:ascii="Arial" w:eastAsia="Times New Roman" w:hAnsi="Arial" w:cs="Arial"/>
          <w:sz w:val="20"/>
          <w:szCs w:val="20"/>
          <w:lang w:eastAsia="fr-FR"/>
        </w:rPr>
        <w:t>"Data are presented as mean ± standard deviation. *: significant difference at P &lt; 0.05; **: significant difference at P &lt; 0.01."</w:t>
      </w:r>
    </w:p>
    <w:p w14:paraId="03E75C4A" w14:textId="77777777" w:rsidR="00E7057E" w:rsidRPr="00E7057E" w:rsidRDefault="00E7057E" w:rsidP="00E7057E">
      <w:pPr>
        <w:spacing w:before="100" w:beforeAutospacing="1" w:after="100" w:afterAutospacing="1" w:line="360" w:lineRule="auto"/>
        <w:jc w:val="both"/>
        <w:rPr>
          <w:rFonts w:ascii="Arial" w:eastAsia="Times New Roman" w:hAnsi="Arial" w:cs="Arial"/>
          <w:sz w:val="20"/>
          <w:szCs w:val="20"/>
          <w:lang w:eastAsia="fr-FR"/>
        </w:rPr>
      </w:pPr>
      <w:r w:rsidRPr="00E7057E">
        <w:rPr>
          <w:rFonts w:ascii="Arial" w:eastAsia="Times New Roman" w:hAnsi="Arial" w:cs="Arial"/>
          <w:sz w:val="20"/>
          <w:szCs w:val="20"/>
          <w:lang w:eastAsia="fr-FR"/>
        </w:rPr>
        <w:t xml:space="preserve">The evaluation of ulcer inhibition percentage highlights the increasing effectiveness of </w:t>
      </w:r>
      <w:r w:rsidRPr="00E7057E">
        <w:rPr>
          <w:rFonts w:ascii="Arial" w:eastAsia="Times New Roman" w:hAnsi="Arial" w:cs="Arial"/>
          <w:i/>
          <w:iCs/>
          <w:sz w:val="20"/>
          <w:szCs w:val="20"/>
          <w:lang w:eastAsia="fr-FR"/>
        </w:rPr>
        <w:t>Petiveria alliacea</w:t>
      </w:r>
      <w:r w:rsidRPr="00E7057E">
        <w:rPr>
          <w:rFonts w:ascii="Arial" w:eastAsia="Times New Roman" w:hAnsi="Arial" w:cs="Arial"/>
          <w:sz w:val="20"/>
          <w:szCs w:val="20"/>
          <w:lang w:eastAsia="fr-FR"/>
        </w:rPr>
        <w:t xml:space="preserve"> extract in preventing ethanol-induced gastric lesions. As expected, the healthy control group exhibited no ulceration, while the ulcer control group showed 0% inhibition, validating the reliability of the ulcer model. The reference treatment with ranitidine (50 mg/kg) demonstrated a high inhibition rate of 71.63%, serving as </w:t>
      </w:r>
      <w:proofErr w:type="gramStart"/>
      <w:r w:rsidRPr="00E7057E">
        <w:rPr>
          <w:rFonts w:ascii="Arial" w:eastAsia="Times New Roman" w:hAnsi="Arial" w:cs="Arial"/>
          <w:sz w:val="20"/>
          <w:szCs w:val="20"/>
          <w:lang w:eastAsia="fr-FR"/>
        </w:rPr>
        <w:t>a</w:t>
      </w:r>
      <w:proofErr w:type="gramEnd"/>
      <w:r w:rsidRPr="00E7057E">
        <w:rPr>
          <w:rFonts w:ascii="Arial" w:eastAsia="Times New Roman" w:hAnsi="Arial" w:cs="Arial"/>
          <w:sz w:val="20"/>
          <w:szCs w:val="20"/>
          <w:lang w:eastAsia="fr-FR"/>
        </w:rPr>
        <w:t xml:space="preserve"> comparative standard. The extract at 100 mg/kg produced 43.73% inhibition, which increased to 57.3% at 200 mg/kg and reached 66.1% at 400 mg/kg. This clear dose-dependent trend confirms the gastroprotective activity of the extract, with the maximum efficacy at 400 mg/kg approaching that of ranitidine. These findings support the therapeutic potential of </w:t>
      </w:r>
      <w:r w:rsidRPr="00E7057E">
        <w:rPr>
          <w:rFonts w:ascii="Arial" w:eastAsia="Times New Roman" w:hAnsi="Arial" w:cs="Arial"/>
          <w:i/>
          <w:iCs/>
          <w:sz w:val="20"/>
          <w:szCs w:val="20"/>
          <w:lang w:eastAsia="fr-FR"/>
        </w:rPr>
        <w:t>Petiveria alliacea</w:t>
      </w:r>
      <w:r w:rsidRPr="00E7057E">
        <w:rPr>
          <w:rFonts w:ascii="Arial" w:eastAsia="Times New Roman" w:hAnsi="Arial" w:cs="Arial"/>
          <w:sz w:val="20"/>
          <w:szCs w:val="20"/>
          <w:lang w:eastAsia="fr-FR"/>
        </w:rPr>
        <w:t xml:space="preserve"> against gastric ulcers, likely through combined mechanisms involving acid reduction, mucosal barrier enhancement, and attenuation of oxidative stress.</w:t>
      </w:r>
    </w:p>
    <w:p w14:paraId="5DCC3C5A" w14:textId="77777777" w:rsidR="00E7057E" w:rsidRPr="009424D8" w:rsidRDefault="00E7057E" w:rsidP="009424D8">
      <w:pPr>
        <w:pStyle w:val="ListParagraph"/>
        <w:numPr>
          <w:ilvl w:val="2"/>
          <w:numId w:val="7"/>
        </w:numPr>
        <w:spacing w:before="100" w:beforeAutospacing="1" w:after="100" w:afterAutospacing="1" w:line="360" w:lineRule="auto"/>
        <w:rPr>
          <w:rFonts w:ascii="Arial" w:eastAsia="Times New Roman" w:hAnsi="Arial" w:cs="Arial"/>
          <w:sz w:val="20"/>
          <w:szCs w:val="20"/>
          <w:lang w:eastAsia="fr-FR"/>
        </w:rPr>
      </w:pPr>
      <w:r w:rsidRPr="009424D8">
        <w:rPr>
          <w:rFonts w:ascii="Arial" w:eastAsia="Times New Roman" w:hAnsi="Arial" w:cs="Arial"/>
          <w:b/>
          <w:bCs/>
          <w:sz w:val="20"/>
          <w:szCs w:val="20"/>
          <w:lang w:eastAsia="fr-FR"/>
        </w:rPr>
        <w:t>Protection Index</w:t>
      </w:r>
      <w:r w:rsidRPr="009424D8">
        <w:rPr>
          <w:rFonts w:ascii="Arial" w:eastAsia="Times New Roman" w:hAnsi="Arial" w:cs="Arial"/>
          <w:sz w:val="20"/>
          <w:szCs w:val="20"/>
          <w:lang w:eastAsia="fr-FR"/>
        </w:rPr>
        <w:br/>
      </w:r>
      <w:r w:rsidRPr="009424D8">
        <w:rPr>
          <w:rFonts w:ascii="Arial" w:eastAsia="Times New Roman" w:hAnsi="Arial" w:cs="Arial"/>
          <w:b/>
          <w:bCs/>
          <w:sz w:val="20"/>
          <w:szCs w:val="20"/>
          <w:lang w:eastAsia="fr-FR"/>
        </w:rPr>
        <w:t xml:space="preserve">Table 5. </w:t>
      </w:r>
      <w:r w:rsidRPr="009424D8">
        <w:rPr>
          <w:rFonts w:ascii="Arial" w:eastAsia="Times New Roman" w:hAnsi="Arial" w:cs="Arial"/>
          <w:sz w:val="20"/>
          <w:szCs w:val="20"/>
          <w:lang w:eastAsia="fr-FR"/>
        </w:rPr>
        <w:t>Determination of Protection Index</w:t>
      </w:r>
    </w:p>
    <w:tbl>
      <w:tblPr>
        <w:tblStyle w:val="Tableausimple21"/>
        <w:tblW w:w="8591" w:type="dxa"/>
        <w:tblLook w:val="04A0" w:firstRow="1" w:lastRow="0" w:firstColumn="1" w:lastColumn="0" w:noHBand="0" w:noVBand="1"/>
      </w:tblPr>
      <w:tblGrid>
        <w:gridCol w:w="2604"/>
        <w:gridCol w:w="4390"/>
        <w:gridCol w:w="1597"/>
      </w:tblGrid>
      <w:tr w:rsidR="00E7057E" w:rsidRPr="009424D8" w14:paraId="09B1E133" w14:textId="77777777" w:rsidTr="00362AFD">
        <w:trPr>
          <w:cnfStyle w:val="100000000000" w:firstRow="1" w:lastRow="0" w:firstColumn="0" w:lastColumn="0" w:oddVBand="0" w:evenVBand="0" w:oddHBand="0"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0" w:type="auto"/>
            <w:hideMark/>
          </w:tcPr>
          <w:p w14:paraId="7F342EBE" w14:textId="77777777" w:rsidR="00E7057E" w:rsidRPr="00E7057E" w:rsidRDefault="00E7057E" w:rsidP="00E7057E">
            <w:pPr>
              <w:spacing w:line="360" w:lineRule="auto"/>
              <w:jc w:val="center"/>
              <w:rPr>
                <w:rFonts w:ascii="Arial" w:eastAsia="Times New Roman" w:hAnsi="Arial" w:cs="Arial"/>
                <w:sz w:val="20"/>
                <w:szCs w:val="20"/>
                <w:lang w:eastAsia="fr-FR"/>
              </w:rPr>
            </w:pPr>
            <w:r w:rsidRPr="00E7057E">
              <w:rPr>
                <w:rFonts w:ascii="Arial" w:eastAsia="Times New Roman" w:hAnsi="Arial" w:cs="Arial"/>
                <w:sz w:val="20"/>
                <w:szCs w:val="20"/>
                <w:lang w:eastAsia="fr-FR"/>
              </w:rPr>
              <w:t>Treated Group</w:t>
            </w:r>
          </w:p>
        </w:tc>
        <w:tc>
          <w:tcPr>
            <w:tcW w:w="0" w:type="auto"/>
            <w:hideMark/>
          </w:tcPr>
          <w:p w14:paraId="0FF23E5D" w14:textId="77777777" w:rsidR="00E7057E" w:rsidRPr="00E7057E" w:rsidRDefault="00E7057E" w:rsidP="00E7057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E7057E">
              <w:rPr>
                <w:rFonts w:ascii="Arial" w:eastAsia="Times New Roman" w:hAnsi="Arial" w:cs="Arial"/>
                <w:sz w:val="20"/>
                <w:szCs w:val="20"/>
                <w:lang w:eastAsia="fr-FR"/>
              </w:rPr>
              <w:t>Protection Index Calculation (%)</w:t>
            </w:r>
          </w:p>
        </w:tc>
        <w:tc>
          <w:tcPr>
            <w:tcW w:w="0" w:type="auto"/>
            <w:hideMark/>
          </w:tcPr>
          <w:p w14:paraId="5B4F3BB1" w14:textId="77777777" w:rsidR="00E7057E" w:rsidRPr="00E7057E" w:rsidRDefault="00E7057E" w:rsidP="00E7057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E7057E">
              <w:rPr>
                <w:rFonts w:ascii="Arial" w:eastAsia="Times New Roman" w:hAnsi="Arial" w:cs="Arial"/>
                <w:sz w:val="20"/>
                <w:szCs w:val="20"/>
                <w:lang w:eastAsia="fr-FR"/>
              </w:rPr>
              <w:t>Result (%)</w:t>
            </w:r>
          </w:p>
        </w:tc>
      </w:tr>
      <w:tr w:rsidR="00E7057E" w:rsidRPr="009424D8" w14:paraId="28C0A705" w14:textId="77777777" w:rsidTr="00362AFD">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0" w:type="auto"/>
            <w:hideMark/>
          </w:tcPr>
          <w:p w14:paraId="08192A96" w14:textId="77777777" w:rsidR="00E7057E" w:rsidRPr="00E7057E" w:rsidRDefault="00E7057E" w:rsidP="00E7057E">
            <w:pPr>
              <w:spacing w:line="360" w:lineRule="auto"/>
              <w:jc w:val="center"/>
              <w:rPr>
                <w:rFonts w:ascii="Arial" w:eastAsia="Times New Roman" w:hAnsi="Arial" w:cs="Arial"/>
                <w:sz w:val="20"/>
                <w:szCs w:val="20"/>
                <w:lang w:eastAsia="fr-FR"/>
              </w:rPr>
            </w:pPr>
            <w:r w:rsidRPr="00E7057E">
              <w:rPr>
                <w:rFonts w:ascii="Arial" w:eastAsia="Times New Roman" w:hAnsi="Arial" w:cs="Arial"/>
                <w:sz w:val="20"/>
                <w:szCs w:val="20"/>
                <w:lang w:eastAsia="fr-FR"/>
              </w:rPr>
              <w:t>Reference</w:t>
            </w:r>
          </w:p>
        </w:tc>
        <w:tc>
          <w:tcPr>
            <w:tcW w:w="0" w:type="auto"/>
            <w:hideMark/>
          </w:tcPr>
          <w:p w14:paraId="488373CA" w14:textId="77777777" w:rsidR="00E7057E" w:rsidRPr="00E7057E" w:rsidRDefault="00E7057E" w:rsidP="00E7057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E7057E">
              <w:rPr>
                <w:rFonts w:ascii="Arial" w:eastAsia="Times New Roman" w:hAnsi="Arial" w:cs="Arial"/>
                <w:sz w:val="20"/>
                <w:szCs w:val="20"/>
                <w:lang w:eastAsia="fr-FR"/>
              </w:rPr>
              <w:t>100 − (19.8 / 69.8 × 100) = 71.63</w:t>
            </w:r>
          </w:p>
        </w:tc>
        <w:tc>
          <w:tcPr>
            <w:tcW w:w="0" w:type="auto"/>
            <w:hideMark/>
          </w:tcPr>
          <w:p w14:paraId="75FDE82B" w14:textId="77777777" w:rsidR="00E7057E" w:rsidRPr="00E7057E" w:rsidRDefault="00E7057E" w:rsidP="00E7057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E7057E">
              <w:rPr>
                <w:rFonts w:ascii="Arial" w:eastAsia="Times New Roman" w:hAnsi="Arial" w:cs="Arial"/>
                <w:sz w:val="20"/>
                <w:szCs w:val="20"/>
                <w:lang w:eastAsia="fr-FR"/>
              </w:rPr>
              <w:t>71.63%</w:t>
            </w:r>
          </w:p>
        </w:tc>
      </w:tr>
      <w:tr w:rsidR="00E7057E" w:rsidRPr="009424D8" w14:paraId="5C9CD658" w14:textId="77777777" w:rsidTr="00362AFD">
        <w:trPr>
          <w:trHeight w:val="426"/>
        </w:trPr>
        <w:tc>
          <w:tcPr>
            <w:cnfStyle w:val="001000000000" w:firstRow="0" w:lastRow="0" w:firstColumn="1" w:lastColumn="0" w:oddVBand="0" w:evenVBand="0" w:oddHBand="0" w:evenHBand="0" w:firstRowFirstColumn="0" w:firstRowLastColumn="0" w:lastRowFirstColumn="0" w:lastRowLastColumn="0"/>
            <w:tcW w:w="0" w:type="auto"/>
            <w:hideMark/>
          </w:tcPr>
          <w:p w14:paraId="01D425CA" w14:textId="77777777" w:rsidR="00E7057E" w:rsidRPr="00E7057E" w:rsidRDefault="00E7057E" w:rsidP="00E7057E">
            <w:pPr>
              <w:spacing w:line="360" w:lineRule="auto"/>
              <w:jc w:val="center"/>
              <w:rPr>
                <w:rFonts w:ascii="Arial" w:eastAsia="Times New Roman" w:hAnsi="Arial" w:cs="Arial"/>
                <w:sz w:val="20"/>
                <w:szCs w:val="20"/>
                <w:lang w:eastAsia="fr-FR"/>
              </w:rPr>
            </w:pPr>
            <w:r w:rsidRPr="00E7057E">
              <w:rPr>
                <w:rFonts w:ascii="Arial" w:eastAsia="Times New Roman" w:hAnsi="Arial" w:cs="Arial"/>
                <w:sz w:val="20"/>
                <w:szCs w:val="20"/>
                <w:lang w:eastAsia="fr-FR"/>
              </w:rPr>
              <w:t>Test 1 (100 mg/kg)</w:t>
            </w:r>
          </w:p>
        </w:tc>
        <w:tc>
          <w:tcPr>
            <w:tcW w:w="0" w:type="auto"/>
            <w:hideMark/>
          </w:tcPr>
          <w:p w14:paraId="42BA67FC" w14:textId="77777777" w:rsidR="00E7057E" w:rsidRPr="00E7057E" w:rsidRDefault="00E7057E" w:rsidP="00E7057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E7057E">
              <w:rPr>
                <w:rFonts w:ascii="Arial" w:eastAsia="Times New Roman" w:hAnsi="Arial" w:cs="Arial"/>
                <w:sz w:val="20"/>
                <w:szCs w:val="20"/>
                <w:lang w:eastAsia="fr-FR"/>
              </w:rPr>
              <w:t>100 − (39.27 / 69.8 × 100) = 43.73</w:t>
            </w:r>
          </w:p>
        </w:tc>
        <w:tc>
          <w:tcPr>
            <w:tcW w:w="0" w:type="auto"/>
            <w:hideMark/>
          </w:tcPr>
          <w:p w14:paraId="043411D5" w14:textId="77777777" w:rsidR="00E7057E" w:rsidRPr="00E7057E" w:rsidRDefault="00E7057E" w:rsidP="00E7057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E7057E">
              <w:rPr>
                <w:rFonts w:ascii="Arial" w:eastAsia="Times New Roman" w:hAnsi="Arial" w:cs="Arial"/>
                <w:sz w:val="20"/>
                <w:szCs w:val="20"/>
                <w:lang w:eastAsia="fr-FR"/>
              </w:rPr>
              <w:t>43.73%</w:t>
            </w:r>
          </w:p>
        </w:tc>
      </w:tr>
      <w:tr w:rsidR="00E7057E" w:rsidRPr="009424D8" w14:paraId="6331A126" w14:textId="77777777" w:rsidTr="00362AFD">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0" w:type="auto"/>
            <w:hideMark/>
          </w:tcPr>
          <w:p w14:paraId="07D7D021" w14:textId="77777777" w:rsidR="00E7057E" w:rsidRPr="00E7057E" w:rsidRDefault="00E7057E" w:rsidP="00E7057E">
            <w:pPr>
              <w:spacing w:line="360" w:lineRule="auto"/>
              <w:jc w:val="center"/>
              <w:rPr>
                <w:rFonts w:ascii="Arial" w:eastAsia="Times New Roman" w:hAnsi="Arial" w:cs="Arial"/>
                <w:sz w:val="20"/>
                <w:szCs w:val="20"/>
                <w:lang w:eastAsia="fr-FR"/>
              </w:rPr>
            </w:pPr>
            <w:r w:rsidRPr="00E7057E">
              <w:rPr>
                <w:rFonts w:ascii="Arial" w:eastAsia="Times New Roman" w:hAnsi="Arial" w:cs="Arial"/>
                <w:sz w:val="20"/>
                <w:szCs w:val="20"/>
                <w:lang w:eastAsia="fr-FR"/>
              </w:rPr>
              <w:t>Test 2 (200 mg/kg)</w:t>
            </w:r>
          </w:p>
        </w:tc>
        <w:tc>
          <w:tcPr>
            <w:tcW w:w="0" w:type="auto"/>
            <w:hideMark/>
          </w:tcPr>
          <w:p w14:paraId="7D583383" w14:textId="77777777" w:rsidR="00E7057E" w:rsidRPr="00E7057E" w:rsidRDefault="00E7057E" w:rsidP="00E7057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E7057E">
              <w:rPr>
                <w:rFonts w:ascii="Arial" w:eastAsia="Times New Roman" w:hAnsi="Arial" w:cs="Arial"/>
                <w:sz w:val="20"/>
                <w:szCs w:val="20"/>
                <w:lang w:eastAsia="fr-FR"/>
              </w:rPr>
              <w:t>100 − (29.8 / 69.8 × 100) = 57.30</w:t>
            </w:r>
          </w:p>
        </w:tc>
        <w:tc>
          <w:tcPr>
            <w:tcW w:w="0" w:type="auto"/>
            <w:hideMark/>
          </w:tcPr>
          <w:p w14:paraId="3BBD2B44" w14:textId="77777777" w:rsidR="00E7057E" w:rsidRPr="00E7057E" w:rsidRDefault="00E7057E" w:rsidP="00E7057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E7057E">
              <w:rPr>
                <w:rFonts w:ascii="Arial" w:eastAsia="Times New Roman" w:hAnsi="Arial" w:cs="Arial"/>
                <w:sz w:val="20"/>
                <w:szCs w:val="20"/>
                <w:lang w:eastAsia="fr-FR"/>
              </w:rPr>
              <w:t>57.30%</w:t>
            </w:r>
          </w:p>
        </w:tc>
      </w:tr>
      <w:tr w:rsidR="00E7057E" w:rsidRPr="009424D8" w14:paraId="2F9883DB" w14:textId="77777777" w:rsidTr="00362AFD">
        <w:trPr>
          <w:trHeight w:val="426"/>
        </w:trPr>
        <w:tc>
          <w:tcPr>
            <w:cnfStyle w:val="001000000000" w:firstRow="0" w:lastRow="0" w:firstColumn="1" w:lastColumn="0" w:oddVBand="0" w:evenVBand="0" w:oddHBand="0" w:evenHBand="0" w:firstRowFirstColumn="0" w:firstRowLastColumn="0" w:lastRowFirstColumn="0" w:lastRowLastColumn="0"/>
            <w:tcW w:w="0" w:type="auto"/>
            <w:hideMark/>
          </w:tcPr>
          <w:p w14:paraId="020019A8" w14:textId="77777777" w:rsidR="00E7057E" w:rsidRPr="00E7057E" w:rsidRDefault="00E7057E" w:rsidP="00E7057E">
            <w:pPr>
              <w:spacing w:line="360" w:lineRule="auto"/>
              <w:jc w:val="center"/>
              <w:rPr>
                <w:rFonts w:ascii="Arial" w:eastAsia="Times New Roman" w:hAnsi="Arial" w:cs="Arial"/>
                <w:sz w:val="20"/>
                <w:szCs w:val="20"/>
                <w:lang w:eastAsia="fr-FR"/>
              </w:rPr>
            </w:pPr>
            <w:r w:rsidRPr="00E7057E">
              <w:rPr>
                <w:rFonts w:ascii="Arial" w:eastAsia="Times New Roman" w:hAnsi="Arial" w:cs="Arial"/>
                <w:sz w:val="20"/>
                <w:szCs w:val="20"/>
                <w:lang w:eastAsia="fr-FR"/>
              </w:rPr>
              <w:t>Test 3 (400 mg/kg)</w:t>
            </w:r>
          </w:p>
        </w:tc>
        <w:tc>
          <w:tcPr>
            <w:tcW w:w="0" w:type="auto"/>
            <w:hideMark/>
          </w:tcPr>
          <w:p w14:paraId="58E4F641" w14:textId="77777777" w:rsidR="00E7057E" w:rsidRPr="00E7057E" w:rsidRDefault="00E7057E" w:rsidP="00E7057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E7057E">
              <w:rPr>
                <w:rFonts w:ascii="Arial" w:eastAsia="Times New Roman" w:hAnsi="Arial" w:cs="Arial"/>
                <w:sz w:val="20"/>
                <w:szCs w:val="20"/>
                <w:lang w:eastAsia="fr-FR"/>
              </w:rPr>
              <w:t>100 − (23.3 / 69.8 × 100) = 66.61</w:t>
            </w:r>
          </w:p>
        </w:tc>
        <w:tc>
          <w:tcPr>
            <w:tcW w:w="0" w:type="auto"/>
            <w:hideMark/>
          </w:tcPr>
          <w:p w14:paraId="62C80C9B" w14:textId="77777777" w:rsidR="00E7057E" w:rsidRPr="00E7057E" w:rsidRDefault="00E7057E" w:rsidP="00E7057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E7057E">
              <w:rPr>
                <w:rFonts w:ascii="Arial" w:eastAsia="Times New Roman" w:hAnsi="Arial" w:cs="Arial"/>
                <w:sz w:val="20"/>
                <w:szCs w:val="20"/>
                <w:lang w:eastAsia="fr-FR"/>
              </w:rPr>
              <w:t>66.61%</w:t>
            </w:r>
          </w:p>
        </w:tc>
      </w:tr>
    </w:tbl>
    <w:p w14:paraId="09073178" w14:textId="77777777" w:rsidR="00E7057E" w:rsidRPr="00E7057E" w:rsidRDefault="00E7057E" w:rsidP="00E7057E">
      <w:pPr>
        <w:spacing w:before="100" w:beforeAutospacing="1" w:after="100" w:afterAutospacing="1" w:line="360" w:lineRule="auto"/>
        <w:jc w:val="both"/>
        <w:rPr>
          <w:rFonts w:ascii="Arial" w:eastAsia="Times New Roman" w:hAnsi="Arial" w:cs="Arial"/>
          <w:sz w:val="20"/>
          <w:szCs w:val="20"/>
          <w:lang w:eastAsia="fr-FR"/>
        </w:rPr>
      </w:pPr>
      <w:r w:rsidRPr="00E7057E">
        <w:rPr>
          <w:rFonts w:ascii="Arial" w:eastAsia="Times New Roman" w:hAnsi="Arial" w:cs="Arial"/>
          <w:sz w:val="20"/>
          <w:szCs w:val="20"/>
          <w:lang w:eastAsia="fr-FR"/>
        </w:rPr>
        <w:t>"Data are presented as mean ± standard deviation. *: significant difference at P &lt; 0.05; **: significant difference at P &lt; 0.01."</w:t>
      </w:r>
    </w:p>
    <w:p w14:paraId="740171F4" w14:textId="77777777" w:rsidR="00E7057E" w:rsidRPr="00E7057E" w:rsidRDefault="00E7057E" w:rsidP="00E7057E">
      <w:pPr>
        <w:spacing w:before="100" w:beforeAutospacing="1" w:after="100" w:afterAutospacing="1" w:line="360" w:lineRule="auto"/>
        <w:jc w:val="both"/>
        <w:rPr>
          <w:rFonts w:ascii="Arial" w:eastAsia="Times New Roman" w:hAnsi="Arial" w:cs="Arial"/>
          <w:sz w:val="20"/>
          <w:szCs w:val="20"/>
          <w:lang w:eastAsia="fr-FR"/>
        </w:rPr>
      </w:pPr>
      <w:r w:rsidRPr="00E7057E">
        <w:rPr>
          <w:rFonts w:ascii="Arial" w:eastAsia="Times New Roman" w:hAnsi="Arial" w:cs="Arial"/>
          <w:sz w:val="20"/>
          <w:szCs w:val="20"/>
          <w:lang w:eastAsia="fr-FR"/>
        </w:rPr>
        <w:t xml:space="preserve">The analysis of the protection index confirms the progressive gastroprotective effect of </w:t>
      </w:r>
      <w:r w:rsidRPr="00E7057E">
        <w:rPr>
          <w:rFonts w:ascii="Arial" w:eastAsia="Times New Roman" w:hAnsi="Arial" w:cs="Arial"/>
          <w:i/>
          <w:iCs/>
          <w:sz w:val="20"/>
          <w:szCs w:val="20"/>
          <w:lang w:eastAsia="fr-FR"/>
        </w:rPr>
        <w:t>Petiveria alliacea</w:t>
      </w:r>
      <w:r w:rsidRPr="00E7057E">
        <w:rPr>
          <w:rFonts w:ascii="Arial" w:eastAsia="Times New Roman" w:hAnsi="Arial" w:cs="Arial"/>
          <w:sz w:val="20"/>
          <w:szCs w:val="20"/>
          <w:lang w:eastAsia="fr-FR"/>
        </w:rPr>
        <w:t xml:space="preserve"> extract against ethanol-induced gastric lesions. The reference group treated with ranitidine (50 mg/kg) exhibited a high protection index of 71.63%, serving as </w:t>
      </w:r>
      <w:proofErr w:type="gramStart"/>
      <w:r w:rsidRPr="00E7057E">
        <w:rPr>
          <w:rFonts w:ascii="Arial" w:eastAsia="Times New Roman" w:hAnsi="Arial" w:cs="Arial"/>
          <w:sz w:val="20"/>
          <w:szCs w:val="20"/>
          <w:lang w:eastAsia="fr-FR"/>
        </w:rPr>
        <w:t>a</w:t>
      </w:r>
      <w:proofErr w:type="gramEnd"/>
      <w:r w:rsidRPr="00E7057E">
        <w:rPr>
          <w:rFonts w:ascii="Arial" w:eastAsia="Times New Roman" w:hAnsi="Arial" w:cs="Arial"/>
          <w:sz w:val="20"/>
          <w:szCs w:val="20"/>
          <w:lang w:eastAsia="fr-FR"/>
        </w:rPr>
        <w:t xml:space="preserve"> standard for comparison. </w:t>
      </w:r>
      <w:r w:rsidRPr="00E7057E">
        <w:rPr>
          <w:rFonts w:ascii="Arial" w:eastAsia="Times New Roman" w:hAnsi="Arial" w:cs="Arial"/>
          <w:sz w:val="20"/>
          <w:szCs w:val="20"/>
          <w:lang w:val="da-DK" w:eastAsia="fr-FR"/>
        </w:rPr>
        <w:t xml:space="preserve">The extract at 100 mg/kg conferred 43.73% protection, which increased to 57.30% at 200 mg/kg and reached 66.61% at 400 mg/kg. </w:t>
      </w:r>
      <w:r w:rsidRPr="00E7057E">
        <w:rPr>
          <w:rFonts w:ascii="Arial" w:eastAsia="Times New Roman" w:hAnsi="Arial" w:cs="Arial"/>
          <w:sz w:val="20"/>
          <w:szCs w:val="20"/>
          <w:lang w:eastAsia="fr-FR"/>
        </w:rPr>
        <w:t xml:space="preserve">This consistent dose-dependent increase in protection index demonstrates the extract’s efficacy, with the highest dose approaching the effect of ranitidine. These results further </w:t>
      </w:r>
      <w:r w:rsidRPr="00E7057E">
        <w:rPr>
          <w:rFonts w:ascii="Arial" w:eastAsia="Times New Roman" w:hAnsi="Arial" w:cs="Arial"/>
          <w:sz w:val="20"/>
          <w:szCs w:val="20"/>
          <w:lang w:eastAsia="fr-FR"/>
        </w:rPr>
        <w:lastRenderedPageBreak/>
        <w:t>support previous findings on ulcer index, ulcerative score, and inhibition percentage, suggesting a promising therapeutic potential of the extractpossibly through mechanisms involving gastric mucosal stabilization, antioxidant activity, or inhibition of acid secretion.</w:t>
      </w:r>
    </w:p>
    <w:p w14:paraId="767D81AB" w14:textId="77777777" w:rsidR="009424D8" w:rsidRDefault="00E7057E" w:rsidP="009424D8">
      <w:pPr>
        <w:pStyle w:val="ListParagraph"/>
        <w:numPr>
          <w:ilvl w:val="1"/>
          <w:numId w:val="7"/>
        </w:numPr>
        <w:spacing w:after="0" w:line="360" w:lineRule="auto"/>
        <w:jc w:val="both"/>
        <w:rPr>
          <w:rFonts w:ascii="Times New Roman" w:eastAsia="Times New Roman" w:hAnsi="Times New Roman" w:cs="Times New Roman"/>
          <w:sz w:val="24"/>
          <w:szCs w:val="24"/>
          <w:lang w:eastAsia="fr-FR"/>
        </w:rPr>
      </w:pPr>
      <w:r w:rsidRPr="009424D8">
        <w:rPr>
          <w:rFonts w:ascii="Times New Roman" w:eastAsia="Times New Roman" w:hAnsi="Times New Roman" w:cs="Times New Roman"/>
          <w:b/>
          <w:bCs/>
          <w:sz w:val="24"/>
          <w:szCs w:val="24"/>
          <w:lang w:eastAsia="fr-FR"/>
        </w:rPr>
        <w:t>DISCUSSION</w:t>
      </w:r>
    </w:p>
    <w:p w14:paraId="47E469D8" w14:textId="77777777" w:rsidR="00E7057E" w:rsidRPr="009424D8" w:rsidRDefault="00E7057E" w:rsidP="009424D8">
      <w:pPr>
        <w:spacing w:after="0" w:line="360" w:lineRule="auto"/>
        <w:ind w:left="180"/>
        <w:jc w:val="both"/>
        <w:rPr>
          <w:rFonts w:ascii="Arial" w:eastAsia="Times New Roman" w:hAnsi="Arial" w:cs="Arial"/>
          <w:sz w:val="20"/>
          <w:szCs w:val="20"/>
          <w:lang w:eastAsia="fr-FR"/>
        </w:rPr>
      </w:pPr>
      <w:r w:rsidRPr="009424D8">
        <w:rPr>
          <w:rFonts w:ascii="Arial" w:eastAsia="Times New Roman" w:hAnsi="Arial" w:cs="Arial"/>
          <w:sz w:val="20"/>
          <w:szCs w:val="20"/>
          <w:lang w:eastAsia="fr-FR"/>
        </w:rPr>
        <w:t xml:space="preserve">The findings of this study clearly demonstrate that the hydroalcoholic extract of </w:t>
      </w:r>
      <w:r w:rsidRPr="009424D8">
        <w:rPr>
          <w:rFonts w:ascii="Arial" w:eastAsia="Times New Roman" w:hAnsi="Arial" w:cs="Arial"/>
          <w:i/>
          <w:iCs/>
          <w:sz w:val="20"/>
          <w:szCs w:val="20"/>
          <w:lang w:eastAsia="fr-FR"/>
        </w:rPr>
        <w:t>Petiveria alliacea</w:t>
      </w:r>
      <w:r w:rsidRPr="009424D8">
        <w:rPr>
          <w:rFonts w:ascii="Arial" w:eastAsia="Times New Roman" w:hAnsi="Arial" w:cs="Arial"/>
          <w:sz w:val="20"/>
          <w:szCs w:val="20"/>
          <w:lang w:eastAsia="fr-FR"/>
        </w:rPr>
        <w:t xml:space="preserve"> leaves exhibits significant gastroprotective activity against ethanol-induced gastric lesions in Wistar rats. This protective effect is evidenced by a dose-dependent reduction in ulcer index and ulcerative score, along with a proportional increase in the percentage of inhibition of gastric lesions, achieving an efficacy comparable to that of ranitidine at a dose of 400 mg/kg.</w:t>
      </w:r>
    </w:p>
    <w:p w14:paraId="20BD4C87" w14:textId="77777777" w:rsidR="00E7057E" w:rsidRPr="00E7057E" w:rsidRDefault="00E7057E" w:rsidP="00E7057E">
      <w:pPr>
        <w:spacing w:after="0" w:line="360" w:lineRule="auto"/>
        <w:jc w:val="both"/>
        <w:rPr>
          <w:rFonts w:ascii="Arial" w:eastAsia="Times New Roman" w:hAnsi="Arial" w:cs="Arial"/>
          <w:sz w:val="20"/>
          <w:szCs w:val="20"/>
          <w:lang w:eastAsia="fr-FR"/>
        </w:rPr>
      </w:pPr>
      <w:r w:rsidRPr="00E7057E">
        <w:rPr>
          <w:rFonts w:ascii="Arial" w:eastAsia="Times New Roman" w:hAnsi="Arial" w:cs="Arial"/>
          <w:sz w:val="20"/>
          <w:szCs w:val="20"/>
          <w:lang w:eastAsia="fr-FR"/>
        </w:rPr>
        <w:t>Ethanol is well-documented to induce acute gastric injury through multiple mechanisms, including prostaglandin depletion, disruption of the mucosal barrier, increased oxidative stress and inflammation, and reduced mucosal blood flow</w:t>
      </w:r>
      <w:r w:rsidR="009702C9">
        <w:rPr>
          <w:rFonts w:ascii="Arial" w:eastAsia="Times New Roman" w:hAnsi="Arial" w:cs="Arial"/>
          <w:sz w:val="20"/>
          <w:szCs w:val="20"/>
          <w:lang w:eastAsia="fr-FR"/>
        </w:rPr>
        <w:t xml:space="preserve"> </w:t>
      </w:r>
      <w:r w:rsidR="009702C9" w:rsidRPr="009702C9">
        <w:rPr>
          <w:rFonts w:ascii="Arial" w:eastAsia="Times New Roman" w:hAnsi="Arial" w:cs="Arial"/>
          <w:sz w:val="20"/>
          <w:szCs w:val="20"/>
          <w:lang w:eastAsia="fr-FR"/>
        </w:rPr>
        <w:t xml:space="preserve">(Abdallah </w:t>
      </w:r>
      <w:r w:rsidR="009702C9" w:rsidRPr="009702C9">
        <w:rPr>
          <w:rFonts w:ascii="Arial" w:eastAsia="Times New Roman" w:hAnsi="Arial" w:cs="Arial"/>
          <w:i/>
          <w:sz w:val="20"/>
          <w:szCs w:val="20"/>
          <w:lang w:eastAsia="fr-FR"/>
        </w:rPr>
        <w:t>et al</w:t>
      </w:r>
      <w:r w:rsidR="009702C9" w:rsidRPr="009702C9">
        <w:rPr>
          <w:rFonts w:ascii="Arial" w:eastAsia="Times New Roman" w:hAnsi="Arial" w:cs="Arial"/>
          <w:sz w:val="20"/>
          <w:szCs w:val="20"/>
          <w:lang w:eastAsia="fr-FR"/>
        </w:rPr>
        <w:t>.,</w:t>
      </w:r>
      <w:r w:rsidR="009702C9">
        <w:rPr>
          <w:rFonts w:ascii="Arial" w:eastAsia="Times New Roman" w:hAnsi="Arial" w:cs="Arial"/>
          <w:sz w:val="20"/>
          <w:szCs w:val="20"/>
          <w:lang w:eastAsia="fr-FR"/>
        </w:rPr>
        <w:t xml:space="preserve"> </w:t>
      </w:r>
      <w:proofErr w:type="gramStart"/>
      <w:r w:rsidR="009702C9" w:rsidRPr="009702C9">
        <w:rPr>
          <w:rFonts w:ascii="Arial" w:eastAsia="Times New Roman" w:hAnsi="Arial" w:cs="Arial"/>
          <w:sz w:val="20"/>
          <w:szCs w:val="20"/>
          <w:lang w:eastAsia="fr-FR"/>
        </w:rPr>
        <w:t>2019 .</w:t>
      </w:r>
      <w:proofErr w:type="gramEnd"/>
      <w:r w:rsidR="009702C9" w:rsidRPr="009702C9">
        <w:rPr>
          <w:rFonts w:ascii="Arial" w:eastAsia="Times New Roman" w:hAnsi="Arial" w:cs="Arial"/>
          <w:sz w:val="20"/>
          <w:szCs w:val="20"/>
          <w:lang w:eastAsia="fr-FR"/>
        </w:rPr>
        <w:t xml:space="preserve">, Salga </w:t>
      </w:r>
      <w:r w:rsidR="009702C9" w:rsidRPr="009702C9">
        <w:rPr>
          <w:rFonts w:ascii="Arial" w:eastAsia="Times New Roman" w:hAnsi="Arial" w:cs="Arial"/>
          <w:i/>
          <w:sz w:val="20"/>
          <w:szCs w:val="20"/>
          <w:lang w:eastAsia="fr-FR"/>
        </w:rPr>
        <w:t>et al</w:t>
      </w:r>
      <w:r w:rsidR="009702C9" w:rsidRPr="009702C9">
        <w:rPr>
          <w:rFonts w:ascii="Arial" w:eastAsia="Times New Roman" w:hAnsi="Arial" w:cs="Arial"/>
          <w:sz w:val="20"/>
          <w:szCs w:val="20"/>
          <w:lang w:eastAsia="fr-FR"/>
        </w:rPr>
        <w:t>.,2017)</w:t>
      </w:r>
      <w:r w:rsidR="009702C9">
        <w:rPr>
          <w:rFonts w:ascii="Arial" w:eastAsia="Times New Roman" w:hAnsi="Arial" w:cs="Arial"/>
          <w:sz w:val="20"/>
          <w:szCs w:val="20"/>
          <w:lang w:eastAsia="fr-FR"/>
        </w:rPr>
        <w:t xml:space="preserve">. </w:t>
      </w:r>
      <w:r w:rsidRPr="00E7057E">
        <w:rPr>
          <w:rFonts w:ascii="Arial" w:eastAsia="Times New Roman" w:hAnsi="Arial" w:cs="Arial"/>
          <w:sz w:val="20"/>
          <w:szCs w:val="20"/>
          <w:lang w:eastAsia="fr-FR"/>
        </w:rPr>
        <w:t xml:space="preserve">In this model, </w:t>
      </w:r>
      <w:r w:rsidRPr="00E7057E">
        <w:rPr>
          <w:rFonts w:ascii="Arial" w:eastAsia="Times New Roman" w:hAnsi="Arial" w:cs="Arial"/>
          <w:i/>
          <w:iCs/>
          <w:sz w:val="20"/>
          <w:szCs w:val="20"/>
          <w:lang w:eastAsia="fr-FR"/>
        </w:rPr>
        <w:t>P. alliacea</w:t>
      </w:r>
      <w:r w:rsidRPr="00E7057E">
        <w:rPr>
          <w:rFonts w:ascii="Arial" w:eastAsia="Times New Roman" w:hAnsi="Arial" w:cs="Arial"/>
          <w:sz w:val="20"/>
          <w:szCs w:val="20"/>
          <w:lang w:eastAsia="fr-FR"/>
        </w:rPr>
        <w:t xml:space="preserve"> extract effectively mitigated these harmful effects, suggesting the presence of cytoprotective mechanisms similar to those of standard antiulcer agents.</w:t>
      </w:r>
    </w:p>
    <w:p w14:paraId="192D8E58" w14:textId="77777777" w:rsidR="00E7057E" w:rsidRPr="00E7057E" w:rsidRDefault="00E7057E" w:rsidP="00E7057E">
      <w:pPr>
        <w:spacing w:after="0" w:line="360" w:lineRule="auto"/>
        <w:jc w:val="both"/>
        <w:rPr>
          <w:rFonts w:ascii="Arial" w:eastAsia="Times New Roman" w:hAnsi="Arial" w:cs="Arial"/>
          <w:sz w:val="20"/>
          <w:szCs w:val="20"/>
          <w:lang w:eastAsia="fr-FR"/>
        </w:rPr>
      </w:pPr>
      <w:r w:rsidRPr="00E7057E">
        <w:rPr>
          <w:rFonts w:ascii="Arial" w:eastAsia="Times New Roman" w:hAnsi="Arial" w:cs="Arial"/>
          <w:sz w:val="20"/>
          <w:szCs w:val="20"/>
          <w:lang w:eastAsia="fr-FR"/>
        </w:rPr>
        <w:t xml:space="preserve">Previous studies have reported various pharmacological properties of </w:t>
      </w:r>
      <w:r w:rsidRPr="00E7057E">
        <w:rPr>
          <w:rFonts w:ascii="Arial" w:eastAsia="Times New Roman" w:hAnsi="Arial" w:cs="Arial"/>
          <w:i/>
          <w:iCs/>
          <w:sz w:val="20"/>
          <w:szCs w:val="20"/>
          <w:lang w:eastAsia="fr-FR"/>
        </w:rPr>
        <w:t>P. alliacea</w:t>
      </w:r>
      <w:r w:rsidRPr="00E7057E">
        <w:rPr>
          <w:rFonts w:ascii="Arial" w:eastAsia="Times New Roman" w:hAnsi="Arial" w:cs="Arial"/>
          <w:sz w:val="20"/>
          <w:szCs w:val="20"/>
          <w:lang w:eastAsia="fr-FR"/>
        </w:rPr>
        <w:t xml:space="preserve">, including anti-inflammatory, antioxidant, and antimicrobial </w:t>
      </w:r>
      <w:r w:rsidR="009702C9" w:rsidRPr="00E7057E">
        <w:rPr>
          <w:rFonts w:ascii="Arial" w:eastAsia="Times New Roman" w:hAnsi="Arial" w:cs="Arial"/>
          <w:sz w:val="20"/>
          <w:szCs w:val="20"/>
          <w:lang w:eastAsia="fr-FR"/>
        </w:rPr>
        <w:t>effects</w:t>
      </w:r>
      <w:r w:rsidR="009702C9">
        <w:rPr>
          <w:rFonts w:ascii="Arial" w:eastAsia="Times New Roman" w:hAnsi="Arial" w:cs="Arial"/>
          <w:sz w:val="20"/>
          <w:szCs w:val="20"/>
          <w:lang w:eastAsia="fr-FR"/>
        </w:rPr>
        <w:t xml:space="preserve"> </w:t>
      </w:r>
      <w:r w:rsidR="00620CE3" w:rsidRPr="00620CE3">
        <w:rPr>
          <w:rFonts w:ascii="Arial" w:eastAsia="Times New Roman" w:hAnsi="Arial" w:cs="Arial"/>
          <w:sz w:val="20"/>
          <w:szCs w:val="20"/>
          <w:lang w:eastAsia="fr-FR"/>
        </w:rPr>
        <w:t xml:space="preserve">(Melo-Cavalcante </w:t>
      </w:r>
      <w:r w:rsidR="00620CE3" w:rsidRPr="00620CE3">
        <w:rPr>
          <w:rFonts w:ascii="Arial" w:eastAsia="Times New Roman" w:hAnsi="Arial" w:cs="Arial"/>
          <w:i/>
          <w:sz w:val="20"/>
          <w:szCs w:val="20"/>
          <w:lang w:eastAsia="fr-FR"/>
        </w:rPr>
        <w:t>et al.,</w:t>
      </w:r>
      <w:r w:rsidR="00620CE3" w:rsidRPr="00620CE3">
        <w:rPr>
          <w:rFonts w:ascii="Arial" w:eastAsia="Times New Roman" w:hAnsi="Arial" w:cs="Arial"/>
          <w:sz w:val="20"/>
          <w:szCs w:val="20"/>
          <w:lang w:eastAsia="fr-FR"/>
        </w:rPr>
        <w:t xml:space="preserve"> </w:t>
      </w:r>
      <w:proofErr w:type="gramStart"/>
      <w:r w:rsidR="00620CE3" w:rsidRPr="00620CE3">
        <w:rPr>
          <w:rFonts w:ascii="Arial" w:eastAsia="Times New Roman" w:hAnsi="Arial" w:cs="Arial"/>
          <w:sz w:val="20"/>
          <w:szCs w:val="20"/>
          <w:lang w:eastAsia="fr-FR"/>
        </w:rPr>
        <w:t>2008 .</w:t>
      </w:r>
      <w:proofErr w:type="gramEnd"/>
      <w:r w:rsidR="00620CE3" w:rsidRPr="00620CE3">
        <w:rPr>
          <w:rFonts w:ascii="Arial" w:eastAsia="Times New Roman" w:hAnsi="Arial" w:cs="Arial"/>
          <w:sz w:val="20"/>
          <w:szCs w:val="20"/>
          <w:lang w:eastAsia="fr-FR"/>
        </w:rPr>
        <w:t xml:space="preserve">, Ramos </w:t>
      </w:r>
      <w:r w:rsidR="00620CE3" w:rsidRPr="00620CE3">
        <w:rPr>
          <w:rFonts w:ascii="Arial" w:eastAsia="Times New Roman" w:hAnsi="Arial" w:cs="Arial"/>
          <w:i/>
          <w:sz w:val="20"/>
          <w:szCs w:val="20"/>
          <w:lang w:eastAsia="fr-FR"/>
        </w:rPr>
        <w:t>et al</w:t>
      </w:r>
      <w:r w:rsidR="00620CE3" w:rsidRPr="00620CE3">
        <w:rPr>
          <w:rFonts w:ascii="Arial" w:eastAsia="Times New Roman" w:hAnsi="Arial" w:cs="Arial"/>
          <w:sz w:val="20"/>
          <w:szCs w:val="20"/>
          <w:lang w:eastAsia="fr-FR"/>
        </w:rPr>
        <w:t>.,2011).</w:t>
      </w:r>
      <w:r w:rsidR="009702C9" w:rsidRPr="00E7057E">
        <w:rPr>
          <w:rFonts w:ascii="Arial" w:eastAsia="Times New Roman" w:hAnsi="Arial" w:cs="Arial"/>
          <w:sz w:val="20"/>
          <w:szCs w:val="20"/>
          <w:lang w:eastAsia="fr-FR"/>
        </w:rPr>
        <w:t xml:space="preserve"> </w:t>
      </w:r>
      <w:r w:rsidRPr="00E7057E">
        <w:rPr>
          <w:rFonts w:ascii="Arial" w:eastAsia="Times New Roman" w:hAnsi="Arial" w:cs="Arial"/>
          <w:sz w:val="20"/>
          <w:szCs w:val="20"/>
          <w:lang w:eastAsia="fr-FR"/>
        </w:rPr>
        <w:t>These activities may account for its observed gastroprotective efficacy. In particular, the presence of flavonoids, sulfur-containing compounds, and thiophenesalready identified in this plantis likely to contribute to gastric mucosal protection, as reported for other plant species with similar phytochemical profiles</w:t>
      </w:r>
      <w:r w:rsidR="000D5B09">
        <w:rPr>
          <w:rFonts w:ascii="Arial" w:eastAsia="Times New Roman" w:hAnsi="Arial" w:cs="Arial"/>
          <w:sz w:val="20"/>
          <w:szCs w:val="20"/>
          <w:lang w:eastAsia="fr-FR"/>
        </w:rPr>
        <w:t xml:space="preserve"> </w:t>
      </w:r>
      <w:r w:rsidR="000D5B09" w:rsidRPr="00620CE3">
        <w:rPr>
          <w:rFonts w:ascii="Arial" w:eastAsia="Times New Roman" w:hAnsi="Arial" w:cs="Arial"/>
          <w:sz w:val="20"/>
          <w:szCs w:val="20"/>
          <w:lang w:eastAsia="fr-FR"/>
        </w:rPr>
        <w:t>(</w:t>
      </w:r>
      <w:r w:rsidR="000D5B09" w:rsidRPr="00DE6F76">
        <w:rPr>
          <w:rFonts w:ascii="Arial" w:eastAsia="Times New Roman" w:hAnsi="Arial" w:cs="Arial"/>
          <w:sz w:val="20"/>
          <w:szCs w:val="20"/>
          <w:lang w:eastAsia="fr-FR"/>
        </w:rPr>
        <w:t xml:space="preserve">Wallace </w:t>
      </w:r>
      <w:r w:rsidR="000D5B09" w:rsidRPr="00620CE3">
        <w:rPr>
          <w:rFonts w:ascii="Arial" w:eastAsia="Times New Roman" w:hAnsi="Arial" w:cs="Arial"/>
          <w:i/>
          <w:sz w:val="20"/>
          <w:szCs w:val="20"/>
          <w:lang w:eastAsia="fr-FR"/>
        </w:rPr>
        <w:t>et al.,</w:t>
      </w:r>
      <w:r w:rsidR="000D5B09">
        <w:rPr>
          <w:rFonts w:ascii="Arial" w:eastAsia="Times New Roman" w:hAnsi="Arial" w:cs="Arial"/>
          <w:sz w:val="20"/>
          <w:szCs w:val="20"/>
          <w:lang w:eastAsia="fr-FR"/>
        </w:rPr>
        <w:t xml:space="preserve"> </w:t>
      </w:r>
      <w:proofErr w:type="gramStart"/>
      <w:r w:rsidR="000D5B09">
        <w:rPr>
          <w:rFonts w:ascii="Arial" w:eastAsia="Times New Roman" w:hAnsi="Arial" w:cs="Arial"/>
          <w:sz w:val="20"/>
          <w:szCs w:val="20"/>
          <w:lang w:eastAsia="fr-FR"/>
        </w:rPr>
        <w:t>2011</w:t>
      </w:r>
      <w:r w:rsidR="000D5B09" w:rsidRPr="00620CE3">
        <w:rPr>
          <w:rFonts w:ascii="Arial" w:eastAsia="Times New Roman" w:hAnsi="Arial" w:cs="Arial"/>
          <w:sz w:val="20"/>
          <w:szCs w:val="20"/>
          <w:lang w:eastAsia="fr-FR"/>
        </w:rPr>
        <w:t xml:space="preserve"> .</w:t>
      </w:r>
      <w:proofErr w:type="gramEnd"/>
      <w:r w:rsidR="000D5B09" w:rsidRPr="00620CE3">
        <w:rPr>
          <w:rFonts w:ascii="Arial" w:eastAsia="Times New Roman" w:hAnsi="Arial" w:cs="Arial"/>
          <w:sz w:val="20"/>
          <w:szCs w:val="20"/>
          <w:lang w:eastAsia="fr-FR"/>
        </w:rPr>
        <w:t xml:space="preserve">, </w:t>
      </w:r>
      <w:r w:rsidR="000D5B09" w:rsidRPr="00DE6F76">
        <w:rPr>
          <w:rFonts w:ascii="Arial" w:eastAsia="Times New Roman" w:hAnsi="Arial" w:cs="Arial"/>
          <w:sz w:val="20"/>
          <w:szCs w:val="20"/>
          <w:lang w:eastAsia="fr-FR"/>
        </w:rPr>
        <w:t>Suleyman</w:t>
      </w:r>
      <w:r w:rsidR="000D5B09" w:rsidRPr="00620CE3">
        <w:rPr>
          <w:rFonts w:ascii="Arial" w:eastAsia="Times New Roman" w:hAnsi="Arial" w:cs="Arial"/>
          <w:sz w:val="20"/>
          <w:szCs w:val="20"/>
          <w:lang w:eastAsia="fr-FR"/>
        </w:rPr>
        <w:t xml:space="preserve"> </w:t>
      </w:r>
      <w:r w:rsidR="000D5B09" w:rsidRPr="00620CE3">
        <w:rPr>
          <w:rFonts w:ascii="Arial" w:eastAsia="Times New Roman" w:hAnsi="Arial" w:cs="Arial"/>
          <w:i/>
          <w:sz w:val="20"/>
          <w:szCs w:val="20"/>
          <w:lang w:eastAsia="fr-FR"/>
        </w:rPr>
        <w:t>et al</w:t>
      </w:r>
      <w:r w:rsidR="000D5B09" w:rsidRPr="00620CE3">
        <w:rPr>
          <w:rFonts w:ascii="Arial" w:eastAsia="Times New Roman" w:hAnsi="Arial" w:cs="Arial"/>
          <w:sz w:val="20"/>
          <w:szCs w:val="20"/>
          <w:lang w:eastAsia="fr-FR"/>
        </w:rPr>
        <w:t>.,201</w:t>
      </w:r>
      <w:r w:rsidR="000D5B09">
        <w:rPr>
          <w:rFonts w:ascii="Arial" w:eastAsia="Times New Roman" w:hAnsi="Arial" w:cs="Arial"/>
          <w:sz w:val="20"/>
          <w:szCs w:val="20"/>
          <w:lang w:eastAsia="fr-FR"/>
        </w:rPr>
        <w:t>0</w:t>
      </w:r>
      <w:r w:rsidR="000D5B09" w:rsidRPr="00620CE3">
        <w:rPr>
          <w:rFonts w:ascii="Arial" w:eastAsia="Times New Roman" w:hAnsi="Arial" w:cs="Arial"/>
          <w:sz w:val="20"/>
          <w:szCs w:val="20"/>
          <w:lang w:eastAsia="fr-FR"/>
        </w:rPr>
        <w:t>).</w:t>
      </w:r>
    </w:p>
    <w:p w14:paraId="03BA7B66" w14:textId="77777777" w:rsidR="00E7057E" w:rsidRPr="00E7057E" w:rsidRDefault="00E7057E" w:rsidP="00E7057E">
      <w:pPr>
        <w:spacing w:after="0" w:line="360" w:lineRule="auto"/>
        <w:jc w:val="both"/>
        <w:rPr>
          <w:rFonts w:ascii="Arial" w:eastAsia="Times New Roman" w:hAnsi="Arial" w:cs="Arial"/>
          <w:sz w:val="20"/>
          <w:szCs w:val="20"/>
          <w:lang w:eastAsia="fr-FR"/>
        </w:rPr>
      </w:pPr>
      <w:r w:rsidRPr="00E7057E">
        <w:rPr>
          <w:rFonts w:ascii="Arial" w:eastAsia="Times New Roman" w:hAnsi="Arial" w:cs="Arial"/>
          <w:sz w:val="20"/>
          <w:szCs w:val="20"/>
          <w:lang w:eastAsia="fr-FR"/>
        </w:rPr>
        <w:t xml:space="preserve">Our results are consistent with findings from studies on other medicinal plants with antiulcer activity. For example, </w:t>
      </w:r>
      <w:r w:rsidRPr="00E7057E">
        <w:rPr>
          <w:rFonts w:ascii="Arial" w:eastAsia="Times New Roman" w:hAnsi="Arial" w:cs="Arial"/>
          <w:i/>
          <w:iCs/>
          <w:sz w:val="20"/>
          <w:szCs w:val="20"/>
          <w:lang w:eastAsia="fr-FR"/>
        </w:rPr>
        <w:t>Moringa oleifera</w:t>
      </w:r>
      <w:r w:rsidRPr="00E7057E">
        <w:rPr>
          <w:rFonts w:ascii="Arial" w:eastAsia="Times New Roman" w:hAnsi="Arial" w:cs="Arial"/>
          <w:sz w:val="20"/>
          <w:szCs w:val="20"/>
          <w:lang w:eastAsia="fr-FR"/>
        </w:rPr>
        <w:t xml:space="preserve"> extract has been shown to inhibit ethanol-induced gastric lesions in rats by 68</w:t>
      </w:r>
      <w:proofErr w:type="gramStart"/>
      <w:r w:rsidRPr="00E7057E">
        <w:rPr>
          <w:rFonts w:ascii="Arial" w:eastAsia="Times New Roman" w:hAnsi="Arial" w:cs="Arial"/>
          <w:sz w:val="20"/>
          <w:szCs w:val="20"/>
          <w:lang w:eastAsia="fr-FR"/>
        </w:rPr>
        <w:t>% ,</w:t>
      </w:r>
      <w:proofErr w:type="gramEnd"/>
      <w:r w:rsidRPr="00E7057E">
        <w:rPr>
          <w:rFonts w:ascii="Arial" w:eastAsia="Times New Roman" w:hAnsi="Arial" w:cs="Arial"/>
          <w:sz w:val="20"/>
          <w:szCs w:val="20"/>
          <w:lang w:eastAsia="fr-FR"/>
        </w:rPr>
        <w:t xml:space="preserve"> a level of effectiveness similar to that observed with </w:t>
      </w:r>
      <w:r w:rsidRPr="00E7057E">
        <w:rPr>
          <w:rFonts w:ascii="Arial" w:eastAsia="Times New Roman" w:hAnsi="Arial" w:cs="Arial"/>
          <w:i/>
          <w:iCs/>
          <w:sz w:val="20"/>
          <w:szCs w:val="20"/>
          <w:lang w:eastAsia="fr-FR"/>
        </w:rPr>
        <w:t>P. alliacea</w:t>
      </w:r>
      <w:r w:rsidRPr="00E7057E">
        <w:rPr>
          <w:rFonts w:ascii="Arial" w:eastAsia="Times New Roman" w:hAnsi="Arial" w:cs="Arial"/>
          <w:sz w:val="20"/>
          <w:szCs w:val="20"/>
          <w:lang w:eastAsia="fr-FR"/>
        </w:rPr>
        <w:t xml:space="preserve"> at 400 mg/kg. Similarly, </w:t>
      </w:r>
      <w:r w:rsidRPr="00E7057E">
        <w:rPr>
          <w:rFonts w:ascii="Arial" w:eastAsia="Times New Roman" w:hAnsi="Arial" w:cs="Arial"/>
          <w:i/>
          <w:iCs/>
          <w:sz w:val="20"/>
          <w:szCs w:val="20"/>
          <w:lang w:eastAsia="fr-FR"/>
        </w:rPr>
        <w:t>Vernonia amygdalina</w:t>
      </w:r>
      <w:r w:rsidRPr="00E7057E">
        <w:rPr>
          <w:rFonts w:ascii="Arial" w:eastAsia="Times New Roman" w:hAnsi="Arial" w:cs="Arial"/>
          <w:sz w:val="20"/>
          <w:szCs w:val="20"/>
          <w:lang w:eastAsia="fr-FR"/>
        </w:rPr>
        <w:t xml:space="preserve">, rich in antioxidants, demonstrated dose-dependent gastric protection, as did </w:t>
      </w:r>
      <w:r w:rsidRPr="00E7057E">
        <w:rPr>
          <w:rFonts w:ascii="Arial" w:eastAsia="Times New Roman" w:hAnsi="Arial" w:cs="Arial"/>
          <w:i/>
          <w:iCs/>
          <w:sz w:val="20"/>
          <w:szCs w:val="20"/>
          <w:lang w:eastAsia="fr-FR"/>
        </w:rPr>
        <w:t>Zingiber officinale</w:t>
      </w:r>
      <w:r w:rsidRPr="00E7057E">
        <w:rPr>
          <w:rFonts w:ascii="Arial" w:eastAsia="Times New Roman" w:hAnsi="Arial" w:cs="Arial"/>
          <w:sz w:val="20"/>
          <w:szCs w:val="20"/>
          <w:lang w:eastAsia="fr-FR"/>
        </w:rPr>
        <w:t xml:space="preserve"> (ginger), whose antiulcer effect has been attributed to its phenolic and anti-inflammatory constituents</w:t>
      </w:r>
      <w:r w:rsidR="00A367FB">
        <w:rPr>
          <w:rFonts w:ascii="Arial" w:eastAsia="Times New Roman" w:hAnsi="Arial" w:cs="Arial"/>
          <w:sz w:val="20"/>
          <w:szCs w:val="20"/>
          <w:lang w:eastAsia="fr-FR"/>
        </w:rPr>
        <w:t xml:space="preserve"> </w:t>
      </w:r>
      <w:r w:rsidR="00A367FB" w:rsidRPr="00A367FB">
        <w:rPr>
          <w:rFonts w:ascii="Arial" w:eastAsia="Times New Roman" w:hAnsi="Arial" w:cs="Arial"/>
          <w:sz w:val="20"/>
          <w:szCs w:val="20"/>
          <w:lang w:eastAsia="fr-FR"/>
        </w:rPr>
        <w:t xml:space="preserve">(Ibrahim </w:t>
      </w:r>
      <w:r w:rsidR="00A367FB" w:rsidRPr="00A367FB">
        <w:rPr>
          <w:rFonts w:ascii="Arial" w:eastAsia="Times New Roman" w:hAnsi="Arial" w:cs="Arial"/>
          <w:i/>
          <w:sz w:val="20"/>
          <w:szCs w:val="20"/>
          <w:lang w:eastAsia="fr-FR"/>
        </w:rPr>
        <w:t>et al</w:t>
      </w:r>
      <w:r w:rsidR="00A367FB" w:rsidRPr="00A367FB">
        <w:rPr>
          <w:rFonts w:ascii="Arial" w:eastAsia="Times New Roman" w:hAnsi="Arial" w:cs="Arial"/>
          <w:sz w:val="20"/>
          <w:szCs w:val="20"/>
          <w:lang w:eastAsia="fr-FR"/>
        </w:rPr>
        <w:t xml:space="preserve">., </w:t>
      </w:r>
      <w:proofErr w:type="gramStart"/>
      <w:r w:rsidR="00A367FB" w:rsidRPr="00A367FB">
        <w:rPr>
          <w:rFonts w:ascii="Arial" w:eastAsia="Times New Roman" w:hAnsi="Arial" w:cs="Arial"/>
          <w:sz w:val="20"/>
          <w:szCs w:val="20"/>
          <w:lang w:eastAsia="fr-FR"/>
        </w:rPr>
        <w:t>2015 .</w:t>
      </w:r>
      <w:proofErr w:type="gramEnd"/>
      <w:r w:rsidR="00A367FB" w:rsidRPr="00A367FB">
        <w:rPr>
          <w:rFonts w:ascii="Arial" w:eastAsia="Times New Roman" w:hAnsi="Arial" w:cs="Arial"/>
          <w:sz w:val="20"/>
          <w:szCs w:val="20"/>
          <w:lang w:eastAsia="fr-FR"/>
        </w:rPr>
        <w:t xml:space="preserve">, Akah </w:t>
      </w:r>
      <w:r w:rsidR="00A367FB" w:rsidRPr="00A367FB">
        <w:rPr>
          <w:rFonts w:ascii="Arial" w:eastAsia="Times New Roman" w:hAnsi="Arial" w:cs="Arial"/>
          <w:i/>
          <w:sz w:val="20"/>
          <w:szCs w:val="20"/>
          <w:lang w:eastAsia="fr-FR"/>
        </w:rPr>
        <w:t>et al</w:t>
      </w:r>
      <w:r w:rsidR="00A367FB" w:rsidRPr="00A367FB">
        <w:rPr>
          <w:rFonts w:ascii="Arial" w:eastAsia="Times New Roman" w:hAnsi="Arial" w:cs="Arial"/>
          <w:sz w:val="20"/>
          <w:szCs w:val="20"/>
          <w:lang w:eastAsia="fr-FR"/>
        </w:rPr>
        <w:t>.,</w:t>
      </w:r>
      <w:r w:rsidR="00A367FB">
        <w:rPr>
          <w:rFonts w:ascii="Arial" w:eastAsia="Times New Roman" w:hAnsi="Arial" w:cs="Arial"/>
          <w:sz w:val="20"/>
          <w:szCs w:val="20"/>
          <w:lang w:eastAsia="fr-FR"/>
        </w:rPr>
        <w:t xml:space="preserve"> </w:t>
      </w:r>
      <w:r w:rsidR="00A367FB" w:rsidRPr="00A367FB">
        <w:rPr>
          <w:rFonts w:ascii="Arial" w:eastAsia="Times New Roman" w:hAnsi="Arial" w:cs="Arial"/>
          <w:sz w:val="20"/>
          <w:szCs w:val="20"/>
          <w:lang w:eastAsia="fr-FR"/>
        </w:rPr>
        <w:t xml:space="preserve">2011 ;  Al-Yahya </w:t>
      </w:r>
      <w:r w:rsidR="00A367FB" w:rsidRPr="006C6E26">
        <w:rPr>
          <w:rFonts w:ascii="Arial" w:eastAsia="Times New Roman" w:hAnsi="Arial" w:cs="Arial"/>
          <w:i/>
          <w:sz w:val="20"/>
          <w:szCs w:val="20"/>
          <w:lang w:eastAsia="fr-FR"/>
        </w:rPr>
        <w:t>et al</w:t>
      </w:r>
      <w:r w:rsidR="006C6E26">
        <w:rPr>
          <w:rFonts w:ascii="Arial" w:eastAsia="Times New Roman" w:hAnsi="Arial" w:cs="Arial"/>
          <w:sz w:val="20"/>
          <w:szCs w:val="20"/>
          <w:lang w:eastAsia="fr-FR"/>
        </w:rPr>
        <w:t>.,2013)</w:t>
      </w:r>
      <w:r w:rsidRPr="00E7057E">
        <w:rPr>
          <w:rFonts w:ascii="Arial" w:eastAsia="Times New Roman" w:hAnsi="Arial" w:cs="Arial"/>
          <w:sz w:val="20"/>
          <w:szCs w:val="20"/>
          <w:lang w:eastAsia="fr-FR"/>
        </w:rPr>
        <w:t>.</w:t>
      </w:r>
    </w:p>
    <w:p w14:paraId="241C98BA" w14:textId="77777777" w:rsidR="00E7057E" w:rsidRPr="00E7057E" w:rsidRDefault="00E7057E" w:rsidP="00E7057E">
      <w:pPr>
        <w:spacing w:after="0" w:line="360" w:lineRule="auto"/>
        <w:jc w:val="both"/>
        <w:rPr>
          <w:rFonts w:ascii="Arial" w:eastAsia="Times New Roman" w:hAnsi="Arial" w:cs="Arial"/>
          <w:sz w:val="20"/>
          <w:szCs w:val="20"/>
          <w:lang w:eastAsia="fr-FR"/>
        </w:rPr>
      </w:pPr>
      <w:r w:rsidRPr="00E7057E">
        <w:rPr>
          <w:rFonts w:ascii="Arial" w:eastAsia="Times New Roman" w:hAnsi="Arial" w:cs="Arial"/>
          <w:sz w:val="20"/>
          <w:szCs w:val="20"/>
          <w:lang w:eastAsia="fr-FR"/>
        </w:rPr>
        <w:t>The observed gastroprotective effect in our study may also involve partial inhibition of gastric acid secretion, a mechanism previously reported for certain plant extracts rich in saponins and tannins. Ranitidine, as an H</w:t>
      </w:r>
      <w:r w:rsidRPr="00E7057E">
        <w:rPr>
          <w:rFonts w:ascii="Cambria Math" w:eastAsia="Times New Roman" w:hAnsi="Cambria Math" w:cs="Cambria Math"/>
          <w:sz w:val="20"/>
          <w:szCs w:val="20"/>
          <w:lang w:eastAsia="fr-FR"/>
        </w:rPr>
        <w:t>₂</w:t>
      </w:r>
      <w:r w:rsidRPr="00E7057E">
        <w:rPr>
          <w:rFonts w:ascii="Arial" w:eastAsia="Times New Roman" w:hAnsi="Arial" w:cs="Arial"/>
          <w:sz w:val="20"/>
          <w:szCs w:val="20"/>
          <w:lang w:eastAsia="fr-FR"/>
        </w:rPr>
        <w:t xml:space="preserve"> receptor antagonist, efficiently reduces gastric acidity and serves as a useful benchmark, although its prolonged use has been associated with adverse effects and recent safety concerns </w:t>
      </w:r>
      <w:r w:rsidR="00067F7F" w:rsidRPr="00067F7F">
        <w:rPr>
          <w:rFonts w:ascii="Arial" w:eastAsia="Times New Roman" w:hAnsi="Arial" w:cs="Arial"/>
          <w:sz w:val="20"/>
          <w:szCs w:val="20"/>
          <w:lang w:eastAsia="fr-FR"/>
        </w:rPr>
        <w:t>(Wallace et al., 201</w:t>
      </w:r>
      <w:r w:rsidR="00067F7F">
        <w:rPr>
          <w:rFonts w:ascii="Arial" w:eastAsia="Times New Roman" w:hAnsi="Arial" w:cs="Arial"/>
          <w:sz w:val="20"/>
          <w:szCs w:val="20"/>
          <w:lang w:eastAsia="fr-FR"/>
        </w:rPr>
        <w:t>1</w:t>
      </w:r>
      <w:r w:rsidR="00067F7F" w:rsidRPr="00067F7F">
        <w:rPr>
          <w:rFonts w:ascii="Arial" w:eastAsia="Times New Roman" w:hAnsi="Arial" w:cs="Arial"/>
          <w:sz w:val="20"/>
          <w:szCs w:val="20"/>
          <w:lang w:eastAsia="fr-FR"/>
        </w:rPr>
        <w:t>)</w:t>
      </w:r>
      <w:r w:rsidRPr="00E7057E">
        <w:rPr>
          <w:rFonts w:ascii="Arial" w:eastAsia="Times New Roman" w:hAnsi="Arial" w:cs="Arial"/>
          <w:sz w:val="20"/>
          <w:szCs w:val="20"/>
          <w:lang w:eastAsia="fr-FR"/>
        </w:rPr>
        <w:t>.</w:t>
      </w:r>
      <w:r w:rsidR="00067F7F">
        <w:rPr>
          <w:rFonts w:ascii="Arial" w:eastAsia="Times New Roman" w:hAnsi="Arial" w:cs="Arial"/>
          <w:sz w:val="20"/>
          <w:szCs w:val="20"/>
          <w:lang w:eastAsia="fr-FR"/>
        </w:rPr>
        <w:t xml:space="preserve"> </w:t>
      </w:r>
      <w:r w:rsidRPr="00E7057E">
        <w:rPr>
          <w:rFonts w:ascii="Arial" w:eastAsia="Times New Roman" w:hAnsi="Arial" w:cs="Arial"/>
          <w:i/>
          <w:iCs/>
          <w:sz w:val="20"/>
          <w:szCs w:val="20"/>
          <w:lang w:eastAsia="fr-FR"/>
        </w:rPr>
        <w:t>P. alliacea</w:t>
      </w:r>
      <w:r w:rsidRPr="00E7057E">
        <w:rPr>
          <w:rFonts w:ascii="Arial" w:eastAsia="Times New Roman" w:hAnsi="Arial" w:cs="Arial"/>
          <w:sz w:val="20"/>
          <w:szCs w:val="20"/>
          <w:lang w:eastAsia="fr-FR"/>
        </w:rPr>
        <w:t xml:space="preserve"> extract may therefore offer a safer alternative.</w:t>
      </w:r>
    </w:p>
    <w:p w14:paraId="781BD289" w14:textId="77777777" w:rsidR="00E7057E" w:rsidRPr="00E7057E" w:rsidRDefault="00E7057E" w:rsidP="00E7057E">
      <w:pPr>
        <w:spacing w:after="0" w:line="360" w:lineRule="auto"/>
        <w:jc w:val="both"/>
        <w:rPr>
          <w:rFonts w:ascii="Arial" w:eastAsia="Times New Roman" w:hAnsi="Arial" w:cs="Arial"/>
          <w:sz w:val="20"/>
          <w:szCs w:val="20"/>
          <w:lang w:eastAsia="fr-FR"/>
        </w:rPr>
      </w:pPr>
      <w:r w:rsidRPr="00E7057E">
        <w:rPr>
          <w:rFonts w:ascii="Arial" w:eastAsia="Times New Roman" w:hAnsi="Arial" w:cs="Arial"/>
          <w:sz w:val="20"/>
          <w:szCs w:val="20"/>
          <w:lang w:eastAsia="fr-FR"/>
        </w:rPr>
        <w:t>It is also well established that oxidative stress plays a central role in the pathogenesis of gastric ulcers, through lipid peroxidation and epithelial cell damage</w:t>
      </w:r>
      <w:r w:rsidR="00067F7F">
        <w:rPr>
          <w:rFonts w:ascii="Arial" w:eastAsia="Times New Roman" w:hAnsi="Arial" w:cs="Arial"/>
          <w:sz w:val="20"/>
          <w:szCs w:val="20"/>
          <w:lang w:eastAsia="fr-FR"/>
        </w:rPr>
        <w:t xml:space="preserve"> </w:t>
      </w:r>
      <w:r w:rsidR="00067F7F" w:rsidRPr="00A8699D">
        <w:rPr>
          <w:rFonts w:ascii="Arial" w:eastAsia="Times New Roman" w:hAnsi="Arial" w:cs="Arial"/>
          <w:sz w:val="20"/>
          <w:szCs w:val="20"/>
          <w:lang w:eastAsia="fr-FR"/>
        </w:rPr>
        <w:t xml:space="preserve">(Ueda </w:t>
      </w:r>
      <w:r w:rsidR="00067F7F" w:rsidRPr="00A8699D">
        <w:rPr>
          <w:rFonts w:ascii="Arial" w:eastAsia="Times New Roman" w:hAnsi="Arial" w:cs="Arial"/>
          <w:i/>
          <w:sz w:val="20"/>
          <w:szCs w:val="20"/>
          <w:lang w:eastAsia="fr-FR"/>
        </w:rPr>
        <w:t>et al</w:t>
      </w:r>
      <w:r w:rsidR="00067F7F" w:rsidRPr="00A8699D">
        <w:rPr>
          <w:rFonts w:ascii="Arial" w:eastAsia="Times New Roman" w:hAnsi="Arial" w:cs="Arial"/>
          <w:sz w:val="20"/>
          <w:szCs w:val="20"/>
          <w:lang w:eastAsia="fr-FR"/>
        </w:rPr>
        <w:t xml:space="preserve">., </w:t>
      </w:r>
      <w:proofErr w:type="gramStart"/>
      <w:r w:rsidR="00067F7F" w:rsidRPr="00A8699D">
        <w:rPr>
          <w:rFonts w:ascii="Arial" w:eastAsia="Times New Roman" w:hAnsi="Arial" w:cs="Arial"/>
          <w:sz w:val="20"/>
          <w:szCs w:val="20"/>
          <w:lang w:eastAsia="fr-FR"/>
        </w:rPr>
        <w:t>2005;</w:t>
      </w:r>
      <w:proofErr w:type="gramEnd"/>
      <w:r w:rsidR="00067F7F" w:rsidRPr="00A8699D">
        <w:rPr>
          <w:rFonts w:ascii="Arial" w:eastAsia="Times New Roman" w:hAnsi="Arial" w:cs="Arial"/>
          <w:sz w:val="20"/>
          <w:szCs w:val="20"/>
          <w:lang w:eastAsia="fr-FR"/>
        </w:rPr>
        <w:t xml:space="preserve"> Kwiecien</w:t>
      </w:r>
      <w:r w:rsidR="00067F7F" w:rsidRPr="00067F7F">
        <w:t xml:space="preserve"> </w:t>
      </w:r>
      <w:r w:rsidR="00067F7F" w:rsidRPr="00A8699D">
        <w:rPr>
          <w:rFonts w:ascii="Arial" w:eastAsia="Times New Roman" w:hAnsi="Arial" w:cs="Arial"/>
          <w:i/>
          <w:sz w:val="20"/>
          <w:szCs w:val="20"/>
          <w:lang w:eastAsia="fr-FR"/>
        </w:rPr>
        <w:t>et al.,</w:t>
      </w:r>
      <w:r w:rsidR="00067F7F" w:rsidRPr="00A8699D">
        <w:rPr>
          <w:rFonts w:ascii="Arial" w:eastAsia="Times New Roman" w:hAnsi="Arial" w:cs="Arial"/>
          <w:sz w:val="20"/>
          <w:szCs w:val="20"/>
          <w:lang w:eastAsia="fr-FR"/>
        </w:rPr>
        <w:t>2014)</w:t>
      </w:r>
      <w:r w:rsidRPr="00E7057E">
        <w:rPr>
          <w:rFonts w:ascii="Arial" w:eastAsia="Times New Roman" w:hAnsi="Arial" w:cs="Arial"/>
          <w:sz w:val="20"/>
          <w:szCs w:val="20"/>
          <w:lang w:eastAsia="fr-FR"/>
        </w:rPr>
        <w:t xml:space="preserve">. The antioxidant capacity previously demonstrated for </w:t>
      </w:r>
      <w:r w:rsidRPr="00E7057E">
        <w:rPr>
          <w:rFonts w:ascii="Arial" w:eastAsia="Times New Roman" w:hAnsi="Arial" w:cs="Arial"/>
          <w:i/>
          <w:iCs/>
          <w:sz w:val="20"/>
          <w:szCs w:val="20"/>
          <w:lang w:eastAsia="fr-FR"/>
        </w:rPr>
        <w:t>P. alliacea</w:t>
      </w:r>
      <w:r w:rsidRPr="00E7057E">
        <w:rPr>
          <w:rFonts w:ascii="Arial" w:eastAsia="Times New Roman" w:hAnsi="Arial" w:cs="Arial"/>
          <w:sz w:val="20"/>
          <w:szCs w:val="20"/>
          <w:lang w:eastAsia="fr-FR"/>
        </w:rPr>
        <w:t xml:space="preserve"> supports the hypothesis that lesion reduction may be partly mediated by free radical scavenging </w:t>
      </w:r>
      <w:r w:rsidR="00861F4E" w:rsidRPr="00E7057E">
        <w:rPr>
          <w:rFonts w:ascii="Arial" w:eastAsia="Times New Roman" w:hAnsi="Arial" w:cs="Arial"/>
          <w:sz w:val="20"/>
          <w:szCs w:val="20"/>
          <w:lang w:eastAsia="fr-FR"/>
        </w:rPr>
        <w:t>activity</w:t>
      </w:r>
      <w:r w:rsidR="00861F4E">
        <w:rPr>
          <w:rFonts w:ascii="Arial" w:eastAsia="Times New Roman" w:hAnsi="Arial" w:cs="Arial"/>
          <w:sz w:val="20"/>
          <w:szCs w:val="20"/>
          <w:lang w:eastAsia="fr-FR"/>
        </w:rPr>
        <w:t xml:space="preserve"> </w:t>
      </w:r>
      <w:r w:rsidR="00861F4E" w:rsidRPr="00861F4E">
        <w:rPr>
          <w:rFonts w:ascii="Arial" w:eastAsia="Times New Roman" w:hAnsi="Arial" w:cs="Arial"/>
          <w:sz w:val="20"/>
          <w:szCs w:val="20"/>
          <w:lang w:eastAsia="fr-FR"/>
        </w:rPr>
        <w:t xml:space="preserve">(Torres </w:t>
      </w:r>
      <w:r w:rsidR="00861F4E" w:rsidRPr="00861F4E">
        <w:rPr>
          <w:rFonts w:ascii="Arial" w:eastAsia="Times New Roman" w:hAnsi="Arial" w:cs="Arial"/>
          <w:i/>
          <w:sz w:val="20"/>
          <w:szCs w:val="20"/>
          <w:lang w:eastAsia="fr-FR"/>
        </w:rPr>
        <w:t>et al</w:t>
      </w:r>
      <w:r w:rsidR="00861F4E" w:rsidRPr="00861F4E">
        <w:rPr>
          <w:rFonts w:ascii="Arial" w:eastAsia="Times New Roman" w:hAnsi="Arial" w:cs="Arial"/>
          <w:sz w:val="20"/>
          <w:szCs w:val="20"/>
          <w:lang w:eastAsia="fr-FR"/>
        </w:rPr>
        <w:t>.,</w:t>
      </w:r>
      <w:r w:rsidR="00861F4E">
        <w:rPr>
          <w:rFonts w:ascii="Arial" w:eastAsia="Times New Roman" w:hAnsi="Arial" w:cs="Arial"/>
          <w:sz w:val="20"/>
          <w:szCs w:val="20"/>
          <w:lang w:eastAsia="fr-FR"/>
        </w:rPr>
        <w:t xml:space="preserve"> </w:t>
      </w:r>
      <w:r w:rsidR="00861F4E" w:rsidRPr="00861F4E">
        <w:rPr>
          <w:rFonts w:ascii="Arial" w:eastAsia="Times New Roman" w:hAnsi="Arial" w:cs="Arial"/>
          <w:sz w:val="20"/>
          <w:szCs w:val="20"/>
          <w:lang w:eastAsia="fr-FR"/>
        </w:rPr>
        <w:t>2015).</w:t>
      </w:r>
    </w:p>
    <w:p w14:paraId="5E68D019" w14:textId="77777777" w:rsidR="00E7057E" w:rsidRPr="009424D8" w:rsidRDefault="00E7057E" w:rsidP="00E7057E">
      <w:pPr>
        <w:spacing w:after="0" w:line="360" w:lineRule="auto"/>
        <w:jc w:val="both"/>
        <w:rPr>
          <w:rFonts w:ascii="Arial" w:eastAsia="Times New Roman" w:hAnsi="Arial" w:cs="Arial"/>
          <w:sz w:val="20"/>
          <w:szCs w:val="20"/>
          <w:lang w:eastAsia="fr-FR"/>
        </w:rPr>
      </w:pPr>
      <w:r w:rsidRPr="00E7057E">
        <w:rPr>
          <w:rFonts w:ascii="Arial" w:eastAsia="Times New Roman" w:hAnsi="Arial" w:cs="Arial"/>
          <w:sz w:val="20"/>
          <w:szCs w:val="20"/>
          <w:lang w:eastAsia="fr-FR"/>
        </w:rPr>
        <w:t xml:space="preserve">Comparable effects have been reported for other African medicinal plants such as </w:t>
      </w:r>
      <w:r w:rsidRPr="00E7057E">
        <w:rPr>
          <w:rFonts w:ascii="Arial" w:eastAsia="Times New Roman" w:hAnsi="Arial" w:cs="Arial"/>
          <w:i/>
          <w:iCs/>
          <w:sz w:val="20"/>
          <w:szCs w:val="20"/>
          <w:lang w:eastAsia="fr-FR"/>
        </w:rPr>
        <w:t>Ficus sycomorus</w:t>
      </w:r>
      <w:r w:rsidRPr="00E7057E">
        <w:rPr>
          <w:rFonts w:ascii="Arial" w:eastAsia="Times New Roman" w:hAnsi="Arial" w:cs="Arial"/>
          <w:sz w:val="20"/>
          <w:szCs w:val="20"/>
          <w:lang w:eastAsia="fr-FR"/>
        </w:rPr>
        <w:t xml:space="preserve">, </w:t>
      </w:r>
      <w:r w:rsidRPr="00E7057E">
        <w:rPr>
          <w:rFonts w:ascii="Arial" w:eastAsia="Times New Roman" w:hAnsi="Arial" w:cs="Arial"/>
          <w:i/>
          <w:iCs/>
          <w:sz w:val="20"/>
          <w:szCs w:val="20"/>
          <w:lang w:eastAsia="fr-FR"/>
        </w:rPr>
        <w:t>Annona muricata</w:t>
      </w:r>
      <w:r w:rsidRPr="00E7057E">
        <w:rPr>
          <w:rFonts w:ascii="Arial" w:eastAsia="Times New Roman" w:hAnsi="Arial" w:cs="Arial"/>
          <w:sz w:val="20"/>
          <w:szCs w:val="20"/>
          <w:lang w:eastAsia="fr-FR"/>
        </w:rPr>
        <w:t xml:space="preserve"> and </w:t>
      </w:r>
      <w:r w:rsidRPr="00E7057E">
        <w:rPr>
          <w:rFonts w:ascii="Arial" w:eastAsia="Times New Roman" w:hAnsi="Arial" w:cs="Arial"/>
          <w:i/>
          <w:iCs/>
          <w:sz w:val="20"/>
          <w:szCs w:val="20"/>
          <w:lang w:eastAsia="fr-FR"/>
        </w:rPr>
        <w:t>Ageratum conyzoides</w:t>
      </w:r>
      <w:r w:rsidRPr="00E7057E">
        <w:rPr>
          <w:rFonts w:ascii="Arial" w:eastAsia="Times New Roman" w:hAnsi="Arial" w:cs="Arial"/>
          <w:sz w:val="20"/>
          <w:szCs w:val="20"/>
          <w:lang w:eastAsia="fr-FR"/>
        </w:rPr>
        <w:t xml:space="preserve">, highlighting the relevance of further comparative evaluation of local species to develop accessible phytomedicines. Moreover, some studies suggest that sulfur-containing compounds in </w:t>
      </w:r>
      <w:r w:rsidRPr="00E7057E">
        <w:rPr>
          <w:rFonts w:ascii="Arial" w:eastAsia="Times New Roman" w:hAnsi="Arial" w:cs="Arial"/>
          <w:i/>
          <w:iCs/>
          <w:sz w:val="20"/>
          <w:szCs w:val="20"/>
          <w:lang w:eastAsia="fr-FR"/>
        </w:rPr>
        <w:t>P. alliacea</w:t>
      </w:r>
      <w:r w:rsidRPr="00E7057E">
        <w:rPr>
          <w:rFonts w:ascii="Arial" w:eastAsia="Times New Roman" w:hAnsi="Arial" w:cs="Arial"/>
          <w:sz w:val="20"/>
          <w:szCs w:val="20"/>
          <w:lang w:eastAsia="fr-FR"/>
        </w:rPr>
        <w:t xml:space="preserve"> may enhance the endogenous production of </w:t>
      </w:r>
      <w:r w:rsidRPr="00E7057E">
        <w:rPr>
          <w:rFonts w:ascii="Arial" w:eastAsia="Times New Roman" w:hAnsi="Arial" w:cs="Arial"/>
          <w:sz w:val="20"/>
          <w:szCs w:val="20"/>
          <w:lang w:eastAsia="fr-FR"/>
        </w:rPr>
        <w:lastRenderedPageBreak/>
        <w:t xml:space="preserve">prostaglandins, thereby promoting gastric mucosal regeneration </w:t>
      </w:r>
      <w:r w:rsidR="00F133CE" w:rsidRPr="00F133CE">
        <w:rPr>
          <w:rFonts w:ascii="Arial" w:eastAsia="Times New Roman" w:hAnsi="Arial" w:cs="Arial"/>
          <w:sz w:val="20"/>
          <w:szCs w:val="20"/>
          <w:lang w:eastAsia="fr-FR"/>
        </w:rPr>
        <w:t xml:space="preserve">(Obochi </w:t>
      </w:r>
      <w:r w:rsidR="00F133CE" w:rsidRPr="00F133CE">
        <w:rPr>
          <w:rFonts w:ascii="Arial" w:eastAsia="Times New Roman" w:hAnsi="Arial" w:cs="Arial"/>
          <w:i/>
          <w:sz w:val="20"/>
          <w:szCs w:val="20"/>
          <w:lang w:eastAsia="fr-FR"/>
        </w:rPr>
        <w:t>et al</w:t>
      </w:r>
      <w:r w:rsidR="00F133CE" w:rsidRPr="00F133CE">
        <w:rPr>
          <w:rFonts w:ascii="Arial" w:eastAsia="Times New Roman" w:hAnsi="Arial" w:cs="Arial"/>
          <w:sz w:val="20"/>
          <w:szCs w:val="20"/>
          <w:lang w:eastAsia="fr-FR"/>
        </w:rPr>
        <w:t>.,</w:t>
      </w:r>
      <w:r w:rsidR="00F133CE">
        <w:rPr>
          <w:rFonts w:ascii="Arial" w:eastAsia="Times New Roman" w:hAnsi="Arial" w:cs="Arial"/>
          <w:sz w:val="20"/>
          <w:szCs w:val="20"/>
          <w:lang w:eastAsia="fr-FR"/>
        </w:rPr>
        <w:t xml:space="preserve"> </w:t>
      </w:r>
      <w:r w:rsidR="00F133CE" w:rsidRPr="00F133CE">
        <w:rPr>
          <w:rFonts w:ascii="Arial" w:eastAsia="Times New Roman" w:hAnsi="Arial" w:cs="Arial"/>
          <w:sz w:val="20"/>
          <w:szCs w:val="20"/>
          <w:lang w:eastAsia="fr-FR"/>
        </w:rPr>
        <w:t xml:space="preserve">2013 ; Tanko </w:t>
      </w:r>
      <w:r w:rsidR="00F133CE" w:rsidRPr="00F133CE">
        <w:rPr>
          <w:rFonts w:ascii="Arial" w:eastAsia="Times New Roman" w:hAnsi="Arial" w:cs="Arial"/>
          <w:i/>
          <w:sz w:val="20"/>
          <w:szCs w:val="20"/>
          <w:lang w:eastAsia="fr-FR"/>
        </w:rPr>
        <w:t>et al</w:t>
      </w:r>
      <w:r w:rsidR="00F133CE">
        <w:rPr>
          <w:rFonts w:ascii="Arial" w:eastAsia="Times New Roman" w:hAnsi="Arial" w:cs="Arial"/>
          <w:sz w:val="20"/>
          <w:szCs w:val="20"/>
          <w:lang w:eastAsia="fr-FR"/>
        </w:rPr>
        <w:t>.,</w:t>
      </w:r>
      <w:proofErr w:type="gramStart"/>
      <w:r w:rsidR="00F133CE">
        <w:rPr>
          <w:rFonts w:ascii="Arial" w:eastAsia="Times New Roman" w:hAnsi="Arial" w:cs="Arial"/>
          <w:sz w:val="20"/>
          <w:szCs w:val="20"/>
          <w:lang w:eastAsia="fr-FR"/>
        </w:rPr>
        <w:t>2008;</w:t>
      </w:r>
      <w:proofErr w:type="gramEnd"/>
      <w:r w:rsidR="00F133CE">
        <w:rPr>
          <w:rFonts w:ascii="Arial" w:eastAsia="Times New Roman" w:hAnsi="Arial" w:cs="Arial"/>
          <w:sz w:val="20"/>
          <w:szCs w:val="20"/>
          <w:lang w:eastAsia="fr-FR"/>
        </w:rPr>
        <w:t xml:space="preserve"> Fiorucci</w:t>
      </w:r>
      <w:r w:rsidR="00F133CE" w:rsidRPr="00F133CE">
        <w:rPr>
          <w:rFonts w:ascii="Arial" w:eastAsia="Times New Roman" w:hAnsi="Arial" w:cs="Arial"/>
          <w:i/>
          <w:sz w:val="20"/>
          <w:szCs w:val="20"/>
          <w:lang w:eastAsia="fr-FR"/>
        </w:rPr>
        <w:t xml:space="preserve"> et al</w:t>
      </w:r>
      <w:r w:rsidR="00F133CE" w:rsidRPr="00F133CE">
        <w:rPr>
          <w:rFonts w:ascii="Arial" w:eastAsia="Times New Roman" w:hAnsi="Arial" w:cs="Arial"/>
          <w:sz w:val="20"/>
          <w:szCs w:val="20"/>
          <w:lang w:eastAsia="fr-FR"/>
        </w:rPr>
        <w:t xml:space="preserve"> </w:t>
      </w:r>
      <w:r w:rsidR="00F133CE">
        <w:rPr>
          <w:rFonts w:ascii="Arial" w:eastAsia="Times New Roman" w:hAnsi="Arial" w:cs="Arial"/>
          <w:sz w:val="20"/>
          <w:szCs w:val="20"/>
          <w:lang w:eastAsia="fr-FR"/>
        </w:rPr>
        <w:t xml:space="preserve">., </w:t>
      </w:r>
      <w:r w:rsidR="00F133CE" w:rsidRPr="00F133CE">
        <w:rPr>
          <w:rFonts w:ascii="Arial" w:eastAsia="Times New Roman" w:hAnsi="Arial" w:cs="Arial"/>
          <w:sz w:val="20"/>
          <w:szCs w:val="20"/>
          <w:lang w:eastAsia="fr-FR"/>
        </w:rPr>
        <w:t>2001  ).</w:t>
      </w:r>
    </w:p>
    <w:p w14:paraId="76043282" w14:textId="77777777" w:rsidR="009424D8" w:rsidRDefault="00E7057E" w:rsidP="009424D8">
      <w:pPr>
        <w:pStyle w:val="ListParagraph"/>
        <w:numPr>
          <w:ilvl w:val="0"/>
          <w:numId w:val="7"/>
        </w:numPr>
        <w:spacing w:before="100" w:beforeAutospacing="1" w:after="100" w:afterAutospacing="1" w:line="360" w:lineRule="auto"/>
        <w:jc w:val="both"/>
        <w:rPr>
          <w:rFonts w:ascii="Times New Roman" w:eastAsia="Calibri" w:hAnsi="Times New Roman" w:cs="Times New Roman"/>
          <w:kern w:val="2"/>
          <w:sz w:val="24"/>
          <w:szCs w:val="24"/>
        </w:rPr>
      </w:pPr>
      <w:r w:rsidRPr="009424D8">
        <w:rPr>
          <w:rFonts w:ascii="Times New Roman" w:eastAsia="Calibri" w:hAnsi="Times New Roman" w:cs="Times New Roman"/>
          <w:b/>
          <w:bCs/>
          <w:kern w:val="2"/>
          <w:sz w:val="24"/>
          <w:szCs w:val="24"/>
        </w:rPr>
        <w:t>CONCLUSION</w:t>
      </w:r>
    </w:p>
    <w:p w14:paraId="1A12A6DB" w14:textId="77777777" w:rsidR="00E7057E" w:rsidRPr="009424D8" w:rsidRDefault="00E7057E" w:rsidP="009424D8">
      <w:pPr>
        <w:spacing w:before="100" w:beforeAutospacing="1" w:after="100" w:afterAutospacing="1" w:line="360" w:lineRule="auto"/>
        <w:jc w:val="both"/>
        <w:rPr>
          <w:rFonts w:ascii="Arial" w:eastAsia="Calibri" w:hAnsi="Arial" w:cs="Arial"/>
          <w:kern w:val="2"/>
          <w:sz w:val="20"/>
          <w:szCs w:val="20"/>
        </w:rPr>
      </w:pPr>
      <w:r w:rsidRPr="009424D8">
        <w:rPr>
          <w:rFonts w:ascii="Arial" w:eastAsia="Calibri" w:hAnsi="Arial" w:cs="Arial"/>
          <w:kern w:val="2"/>
          <w:sz w:val="20"/>
          <w:szCs w:val="20"/>
        </w:rPr>
        <w:t xml:space="preserve">The hydroethanolic extract of </w:t>
      </w:r>
      <w:r w:rsidRPr="009424D8">
        <w:rPr>
          <w:rFonts w:ascii="Arial" w:eastAsia="Calibri" w:hAnsi="Arial" w:cs="Arial"/>
          <w:i/>
          <w:iCs/>
          <w:kern w:val="2"/>
          <w:sz w:val="20"/>
          <w:szCs w:val="20"/>
        </w:rPr>
        <w:t>Petiveria alliacea</w:t>
      </w:r>
      <w:r w:rsidRPr="009424D8">
        <w:rPr>
          <w:rFonts w:ascii="Arial" w:eastAsia="Calibri" w:hAnsi="Arial" w:cs="Arial"/>
          <w:kern w:val="2"/>
          <w:sz w:val="20"/>
          <w:szCs w:val="20"/>
        </w:rPr>
        <w:t xml:space="preserve"> leaves exhibited significant gastroprotective activity in Wistar rats subjected to ethanol-induced gastric ulceration. This protective effect was characterized by a marked reduction in mucosal lesions, enhanced mucus production, and favorable modulation of oxidative stress parameters. These findings support the traditional use of this plant in the management of gastric ulcers and highlight its potential as </w:t>
      </w:r>
      <w:proofErr w:type="gramStart"/>
      <w:r w:rsidRPr="009424D8">
        <w:rPr>
          <w:rFonts w:ascii="Arial" w:eastAsia="Calibri" w:hAnsi="Arial" w:cs="Arial"/>
          <w:kern w:val="2"/>
          <w:sz w:val="20"/>
          <w:szCs w:val="20"/>
        </w:rPr>
        <w:t>a</w:t>
      </w:r>
      <w:proofErr w:type="gramEnd"/>
      <w:r w:rsidRPr="009424D8">
        <w:rPr>
          <w:rFonts w:ascii="Arial" w:eastAsia="Calibri" w:hAnsi="Arial" w:cs="Arial"/>
          <w:kern w:val="2"/>
          <w:sz w:val="20"/>
          <w:szCs w:val="20"/>
        </w:rPr>
        <w:t xml:space="preserve"> source of bioactive compounds for the development of gastroprotective phytomedicines. However, further studies, particularly toxicological and clinical investigations, are required to confirm its safety and efficacy in humans.</w:t>
      </w:r>
    </w:p>
    <w:p w14:paraId="1BD8076E" w14:textId="77777777" w:rsidR="00E7057E" w:rsidRPr="00E7057E" w:rsidRDefault="00E7057E" w:rsidP="00E7057E">
      <w:pPr>
        <w:spacing w:before="100" w:beforeAutospacing="1" w:after="100" w:afterAutospacing="1" w:line="360" w:lineRule="auto"/>
        <w:jc w:val="both"/>
        <w:rPr>
          <w:rFonts w:ascii="Arial" w:eastAsia="Times New Roman" w:hAnsi="Arial" w:cs="Arial"/>
          <w:b/>
          <w:bCs/>
          <w:sz w:val="24"/>
          <w:szCs w:val="24"/>
          <w:lang w:eastAsia="fr-FR"/>
        </w:rPr>
      </w:pPr>
      <w:bookmarkStart w:id="4" w:name="_Hlk197894430"/>
      <w:bookmarkStart w:id="5" w:name="_GoBack"/>
      <w:bookmarkEnd w:id="5"/>
      <w:r w:rsidRPr="00E7057E">
        <w:rPr>
          <w:rFonts w:ascii="Arial" w:eastAsia="Times New Roman" w:hAnsi="Arial" w:cs="Arial"/>
          <w:b/>
          <w:bCs/>
          <w:sz w:val="24"/>
          <w:szCs w:val="24"/>
          <w:lang w:eastAsia="fr-FR"/>
        </w:rPr>
        <w:t>REFERENCES</w:t>
      </w:r>
    </w:p>
    <w:bookmarkEnd w:id="4"/>
    <w:p w14:paraId="49A1C65A" w14:textId="77777777" w:rsidR="00E7057E" w:rsidRPr="00E7057E" w:rsidRDefault="00E7057E" w:rsidP="00E7057E">
      <w:pPr>
        <w:spacing w:before="100" w:beforeAutospacing="1" w:after="100" w:afterAutospacing="1" w:line="360" w:lineRule="auto"/>
        <w:ind w:left="705" w:hanging="705"/>
        <w:jc w:val="both"/>
        <w:rPr>
          <w:rFonts w:ascii="Arial" w:eastAsia="Times New Roman" w:hAnsi="Arial" w:cs="Arial"/>
          <w:sz w:val="20"/>
          <w:szCs w:val="20"/>
          <w:lang w:eastAsia="fr-FR"/>
        </w:rPr>
      </w:pPr>
      <w:r w:rsidRPr="00E7057E">
        <w:rPr>
          <w:rFonts w:ascii="Times New Roman" w:eastAsia="Times New Roman" w:hAnsi="Times New Roman" w:cs="Times New Roman"/>
          <w:sz w:val="24"/>
          <w:szCs w:val="24"/>
          <w:lang w:eastAsia="fr-FR"/>
        </w:rPr>
        <w:t xml:space="preserve">1. </w:t>
      </w:r>
      <w:r w:rsidRPr="00E7057E">
        <w:rPr>
          <w:rFonts w:ascii="Times New Roman" w:eastAsia="Times New Roman" w:hAnsi="Times New Roman" w:cs="Times New Roman"/>
          <w:sz w:val="24"/>
          <w:szCs w:val="24"/>
          <w:lang w:eastAsia="fr-FR"/>
        </w:rPr>
        <w:tab/>
      </w:r>
      <w:r w:rsidRPr="00E7057E">
        <w:rPr>
          <w:rFonts w:ascii="Arial" w:eastAsia="Times New Roman" w:hAnsi="Arial" w:cs="Arial"/>
          <w:sz w:val="20"/>
          <w:szCs w:val="20"/>
          <w:lang w:eastAsia="fr-FR"/>
        </w:rPr>
        <w:t xml:space="preserve">Kashyap, P., Farrugia, G., &amp; Camilleri, M. (2015). Gastroduodenal </w:t>
      </w:r>
      <w:proofErr w:type="gramStart"/>
      <w:r w:rsidRPr="00E7057E">
        <w:rPr>
          <w:rFonts w:ascii="Arial" w:eastAsia="Times New Roman" w:hAnsi="Arial" w:cs="Arial"/>
          <w:sz w:val="20"/>
          <w:szCs w:val="20"/>
          <w:lang w:eastAsia="fr-FR"/>
        </w:rPr>
        <w:t>disorders:</w:t>
      </w:r>
      <w:proofErr w:type="gramEnd"/>
      <w:r w:rsidRPr="00E7057E">
        <w:rPr>
          <w:rFonts w:ascii="Arial" w:eastAsia="Times New Roman" w:hAnsi="Arial" w:cs="Arial"/>
          <w:sz w:val="20"/>
          <w:szCs w:val="20"/>
          <w:lang w:eastAsia="fr-FR"/>
        </w:rPr>
        <w:t xml:space="preserve"> epidemiology,diagnosis, and treatment. </w:t>
      </w:r>
      <w:r w:rsidRPr="00E7057E">
        <w:rPr>
          <w:rFonts w:ascii="Arial" w:eastAsia="Times New Roman" w:hAnsi="Arial" w:cs="Arial"/>
          <w:i/>
          <w:iCs/>
          <w:sz w:val="20"/>
          <w:szCs w:val="20"/>
          <w:lang w:eastAsia="fr-FR"/>
        </w:rPr>
        <w:t>Nature Reviews Gastroenterology &amp; Hepatology</w:t>
      </w:r>
      <w:r w:rsidRPr="00E7057E">
        <w:rPr>
          <w:rFonts w:ascii="Arial" w:eastAsia="Times New Roman" w:hAnsi="Arial" w:cs="Arial"/>
          <w:sz w:val="20"/>
          <w:szCs w:val="20"/>
          <w:lang w:eastAsia="fr-FR"/>
        </w:rPr>
        <w:t xml:space="preserve">, 12(2), 73–85. </w:t>
      </w:r>
      <w:hyperlink r:id="rId9" w:tgtFrame="_new" w:history="1">
        <w:r w:rsidRPr="00E7057E">
          <w:rPr>
            <w:rFonts w:ascii="Arial" w:eastAsia="Times New Roman" w:hAnsi="Arial" w:cs="Arial"/>
            <w:sz w:val="20"/>
            <w:szCs w:val="20"/>
            <w:u w:val="single"/>
            <w:lang w:eastAsia="fr-FR"/>
          </w:rPr>
          <w:t>https://doi.org/10.1038/nrgastro.2014.188</w:t>
        </w:r>
      </w:hyperlink>
    </w:p>
    <w:p w14:paraId="5E4337CC" w14:textId="77777777" w:rsidR="00E7057E" w:rsidRPr="00E7057E" w:rsidRDefault="00E7057E" w:rsidP="00E7057E">
      <w:pPr>
        <w:spacing w:before="100" w:beforeAutospacing="1" w:after="100" w:afterAutospacing="1" w:line="360" w:lineRule="auto"/>
        <w:ind w:left="705" w:hanging="705"/>
        <w:jc w:val="both"/>
        <w:rPr>
          <w:rFonts w:ascii="Arial" w:eastAsia="Times New Roman" w:hAnsi="Arial" w:cs="Arial"/>
          <w:sz w:val="20"/>
          <w:szCs w:val="20"/>
          <w:lang w:eastAsia="fr-FR"/>
        </w:rPr>
      </w:pPr>
      <w:r w:rsidRPr="00E7057E">
        <w:rPr>
          <w:rFonts w:ascii="Arial" w:eastAsia="Times New Roman" w:hAnsi="Arial" w:cs="Arial"/>
          <w:sz w:val="20"/>
          <w:szCs w:val="20"/>
          <w:lang w:eastAsia="fr-FR"/>
        </w:rPr>
        <w:t>2.</w:t>
      </w:r>
      <w:r w:rsidRPr="00E7057E">
        <w:rPr>
          <w:rFonts w:ascii="Arial" w:eastAsia="Times New Roman" w:hAnsi="Arial" w:cs="Arial"/>
          <w:sz w:val="20"/>
          <w:szCs w:val="20"/>
          <w:lang w:eastAsia="fr-FR"/>
        </w:rPr>
        <w:tab/>
        <w:t xml:space="preserve">Suleyman, H., Demirezer, L. O., Kuruüzüm, A., Banoglu, Z. N., Göçer, F., Ozbakir, G., Gepdiremen, A., &amp; Ciftçi, M. (2010). Antiinflammatory and antioxidant properties of the plant extract from </w:t>
      </w:r>
      <w:r w:rsidRPr="00E7057E">
        <w:rPr>
          <w:rFonts w:ascii="Arial" w:eastAsia="Times New Roman" w:hAnsi="Arial" w:cs="Arial"/>
          <w:i/>
          <w:iCs/>
          <w:sz w:val="20"/>
          <w:szCs w:val="20"/>
          <w:lang w:eastAsia="fr-FR"/>
        </w:rPr>
        <w:t>Centaurea solstitialis</w:t>
      </w:r>
      <w:r w:rsidRPr="00E7057E">
        <w:rPr>
          <w:rFonts w:ascii="Arial" w:eastAsia="Times New Roman" w:hAnsi="Arial" w:cs="Arial"/>
          <w:sz w:val="20"/>
          <w:szCs w:val="20"/>
          <w:lang w:eastAsia="fr-FR"/>
        </w:rPr>
        <w:t xml:space="preserve"> L. </w:t>
      </w:r>
      <w:r w:rsidRPr="00E7057E">
        <w:rPr>
          <w:rFonts w:ascii="Arial" w:eastAsia="Times New Roman" w:hAnsi="Arial" w:cs="Arial"/>
          <w:i/>
          <w:iCs/>
          <w:sz w:val="20"/>
          <w:szCs w:val="20"/>
          <w:lang w:eastAsia="fr-FR"/>
        </w:rPr>
        <w:t>Pharmacological Reports</w:t>
      </w:r>
      <w:r w:rsidRPr="00E7057E">
        <w:rPr>
          <w:rFonts w:ascii="Arial" w:eastAsia="Times New Roman" w:hAnsi="Arial" w:cs="Arial"/>
          <w:sz w:val="20"/>
          <w:szCs w:val="20"/>
          <w:lang w:eastAsia="fr-FR"/>
        </w:rPr>
        <w:t>, 62(3), 548–564.</w:t>
      </w:r>
    </w:p>
    <w:p w14:paraId="53C0636D" w14:textId="77777777" w:rsidR="00E7057E" w:rsidRPr="00E7057E" w:rsidRDefault="00E7057E" w:rsidP="00E7057E">
      <w:pPr>
        <w:spacing w:before="100" w:beforeAutospacing="1" w:after="100" w:afterAutospacing="1" w:line="360" w:lineRule="auto"/>
        <w:ind w:left="705" w:hanging="705"/>
        <w:jc w:val="both"/>
        <w:rPr>
          <w:rFonts w:ascii="Arial" w:eastAsia="Times New Roman" w:hAnsi="Arial" w:cs="Arial"/>
          <w:sz w:val="20"/>
          <w:szCs w:val="20"/>
          <w:lang w:eastAsia="fr-FR"/>
        </w:rPr>
      </w:pPr>
      <w:r w:rsidRPr="00E7057E">
        <w:rPr>
          <w:rFonts w:ascii="Arial" w:eastAsia="Times New Roman" w:hAnsi="Arial" w:cs="Arial"/>
          <w:sz w:val="20"/>
          <w:szCs w:val="20"/>
          <w:lang w:val="da-DK" w:eastAsia="fr-FR"/>
        </w:rPr>
        <w:t>3.</w:t>
      </w:r>
      <w:r w:rsidRPr="00E7057E">
        <w:rPr>
          <w:rFonts w:ascii="Arial" w:eastAsia="Times New Roman" w:hAnsi="Arial" w:cs="Arial"/>
          <w:sz w:val="20"/>
          <w:szCs w:val="20"/>
          <w:lang w:val="da-DK" w:eastAsia="fr-FR"/>
        </w:rPr>
        <w:tab/>
        <w:t xml:space="preserve">Konturek, P. C., Brzozowski, T., &amp; Konturek, S. J. (2011). </w:t>
      </w:r>
      <w:r w:rsidRPr="00E7057E">
        <w:rPr>
          <w:rFonts w:ascii="Arial" w:eastAsia="Times New Roman" w:hAnsi="Arial" w:cs="Arial"/>
          <w:sz w:val="20"/>
          <w:szCs w:val="20"/>
          <w:lang w:eastAsia="fr-FR"/>
        </w:rPr>
        <w:t xml:space="preserve">Stress and the </w:t>
      </w:r>
      <w:proofErr w:type="gramStart"/>
      <w:r w:rsidRPr="00E7057E">
        <w:rPr>
          <w:rFonts w:ascii="Arial" w:eastAsia="Times New Roman" w:hAnsi="Arial" w:cs="Arial"/>
          <w:sz w:val="20"/>
          <w:szCs w:val="20"/>
          <w:lang w:eastAsia="fr-FR"/>
        </w:rPr>
        <w:t>gut:</w:t>
      </w:r>
      <w:proofErr w:type="gramEnd"/>
      <w:r w:rsidRPr="00E7057E">
        <w:rPr>
          <w:rFonts w:ascii="Arial" w:eastAsia="Times New Roman" w:hAnsi="Arial" w:cs="Arial"/>
          <w:sz w:val="20"/>
          <w:szCs w:val="20"/>
          <w:lang w:eastAsia="fr-FR"/>
        </w:rPr>
        <w:t xml:space="preserve"> pathophysiology, clinical consequences, diagnostic approach and treatment options. </w:t>
      </w:r>
      <w:r w:rsidRPr="00E7057E">
        <w:rPr>
          <w:rFonts w:ascii="Arial" w:eastAsia="Times New Roman" w:hAnsi="Arial" w:cs="Arial"/>
          <w:i/>
          <w:iCs/>
          <w:sz w:val="20"/>
          <w:szCs w:val="20"/>
          <w:lang w:eastAsia="fr-FR"/>
        </w:rPr>
        <w:t>Journal of Physiology and Pharmacology</w:t>
      </w:r>
      <w:r w:rsidRPr="00E7057E">
        <w:rPr>
          <w:rFonts w:ascii="Arial" w:eastAsia="Times New Roman" w:hAnsi="Arial" w:cs="Arial"/>
          <w:sz w:val="20"/>
          <w:szCs w:val="20"/>
          <w:lang w:eastAsia="fr-FR"/>
        </w:rPr>
        <w:t>, 62(6), 591–599.</w:t>
      </w:r>
    </w:p>
    <w:p w14:paraId="16B33008" w14:textId="77777777" w:rsidR="00E7057E" w:rsidRPr="00E7057E" w:rsidRDefault="00E7057E" w:rsidP="00E7057E">
      <w:pPr>
        <w:spacing w:before="100" w:beforeAutospacing="1" w:after="100" w:afterAutospacing="1" w:line="360" w:lineRule="auto"/>
        <w:ind w:left="705" w:hanging="705"/>
        <w:jc w:val="both"/>
        <w:rPr>
          <w:rFonts w:ascii="Arial" w:eastAsia="Times New Roman" w:hAnsi="Arial" w:cs="Arial"/>
          <w:sz w:val="20"/>
          <w:szCs w:val="20"/>
          <w:lang w:val="fr-CA" w:eastAsia="fr-FR"/>
        </w:rPr>
      </w:pPr>
      <w:r w:rsidRPr="00E7057E">
        <w:rPr>
          <w:rFonts w:ascii="Arial" w:eastAsia="Times New Roman" w:hAnsi="Arial" w:cs="Arial"/>
          <w:sz w:val="20"/>
          <w:szCs w:val="20"/>
          <w:lang w:eastAsia="fr-FR"/>
        </w:rPr>
        <w:t>4.</w:t>
      </w:r>
      <w:r w:rsidRPr="00E7057E">
        <w:rPr>
          <w:rFonts w:ascii="Arial" w:eastAsia="Times New Roman" w:hAnsi="Arial" w:cs="Arial"/>
          <w:sz w:val="20"/>
          <w:szCs w:val="20"/>
          <w:lang w:eastAsia="fr-FR"/>
        </w:rPr>
        <w:tab/>
        <w:t xml:space="preserve">Zhou, L., Zhang, J., &amp; Wang, C. (2018). The adverse effects of proton pump inhibitors. </w:t>
      </w:r>
      <w:r w:rsidRPr="00E7057E">
        <w:rPr>
          <w:rFonts w:ascii="Arial" w:eastAsia="Times New Roman" w:hAnsi="Arial" w:cs="Arial"/>
          <w:i/>
          <w:iCs/>
          <w:sz w:val="20"/>
          <w:szCs w:val="20"/>
          <w:lang w:val="fr-CA" w:eastAsia="fr-FR"/>
        </w:rPr>
        <w:t>Frontiers in Pharmacology</w:t>
      </w:r>
      <w:r w:rsidRPr="00E7057E">
        <w:rPr>
          <w:rFonts w:ascii="Arial" w:eastAsia="Times New Roman" w:hAnsi="Arial" w:cs="Arial"/>
          <w:sz w:val="20"/>
          <w:szCs w:val="20"/>
          <w:lang w:val="fr-CA" w:eastAsia="fr-FR"/>
        </w:rPr>
        <w:t xml:space="preserve">, 9, 110. </w:t>
      </w:r>
      <w:hyperlink r:id="rId10" w:tgtFrame="_new" w:history="1">
        <w:r w:rsidRPr="00E7057E">
          <w:rPr>
            <w:rFonts w:ascii="Arial" w:eastAsia="Times New Roman" w:hAnsi="Arial" w:cs="Arial"/>
            <w:sz w:val="20"/>
            <w:szCs w:val="20"/>
            <w:u w:val="single"/>
            <w:lang w:val="fr-CA" w:eastAsia="fr-FR"/>
          </w:rPr>
          <w:t>https://doi.org/10.3389/fphar.2018.00110</w:t>
        </w:r>
      </w:hyperlink>
    </w:p>
    <w:p w14:paraId="734657CE" w14:textId="77777777" w:rsidR="00E7057E" w:rsidRPr="00E7057E" w:rsidRDefault="00E7057E" w:rsidP="00E7057E">
      <w:pPr>
        <w:spacing w:before="100" w:beforeAutospacing="1" w:after="100" w:afterAutospacing="1" w:line="360" w:lineRule="auto"/>
        <w:ind w:left="705" w:hanging="705"/>
        <w:jc w:val="both"/>
        <w:rPr>
          <w:rFonts w:ascii="Arial" w:eastAsia="Times New Roman" w:hAnsi="Arial" w:cs="Arial"/>
          <w:sz w:val="20"/>
          <w:szCs w:val="20"/>
          <w:lang w:eastAsia="fr-FR"/>
        </w:rPr>
      </w:pPr>
      <w:r w:rsidRPr="00E7057E">
        <w:rPr>
          <w:rFonts w:ascii="Arial" w:eastAsia="Times New Roman" w:hAnsi="Arial" w:cs="Arial"/>
          <w:sz w:val="20"/>
          <w:szCs w:val="20"/>
          <w:lang w:eastAsia="fr-FR"/>
        </w:rPr>
        <w:t>5.</w:t>
      </w:r>
      <w:r w:rsidRPr="00E7057E">
        <w:rPr>
          <w:rFonts w:ascii="Arial" w:eastAsia="Times New Roman" w:hAnsi="Arial" w:cs="Arial"/>
          <w:sz w:val="20"/>
          <w:szCs w:val="20"/>
          <w:lang w:eastAsia="fr-FR"/>
        </w:rPr>
        <w:tab/>
        <w:t xml:space="preserve">Thung, I., Aramin, H., Vavinskaya, V., Gupta, S., Park, J. Y., Crowe, S. E., &amp; Valasek, M. A. (2016). Review </w:t>
      </w:r>
      <w:proofErr w:type="gramStart"/>
      <w:r w:rsidRPr="00E7057E">
        <w:rPr>
          <w:rFonts w:ascii="Arial" w:eastAsia="Times New Roman" w:hAnsi="Arial" w:cs="Arial"/>
          <w:sz w:val="20"/>
          <w:szCs w:val="20"/>
          <w:lang w:eastAsia="fr-FR"/>
        </w:rPr>
        <w:t>article:</w:t>
      </w:r>
      <w:proofErr w:type="gramEnd"/>
      <w:r w:rsidRPr="00E7057E">
        <w:rPr>
          <w:rFonts w:ascii="Arial" w:eastAsia="Times New Roman" w:hAnsi="Arial" w:cs="Arial"/>
          <w:sz w:val="20"/>
          <w:szCs w:val="20"/>
          <w:lang w:eastAsia="fr-FR"/>
        </w:rPr>
        <w:t xml:space="preserve"> the global emergence of </w:t>
      </w:r>
      <w:r w:rsidRPr="00E7057E">
        <w:rPr>
          <w:rFonts w:ascii="Arial" w:eastAsia="Times New Roman" w:hAnsi="Arial" w:cs="Arial"/>
          <w:i/>
          <w:iCs/>
          <w:sz w:val="20"/>
          <w:szCs w:val="20"/>
          <w:lang w:eastAsia="fr-FR"/>
        </w:rPr>
        <w:t>Helicobacter pylori</w:t>
      </w:r>
      <w:r w:rsidRPr="00E7057E">
        <w:rPr>
          <w:rFonts w:ascii="Arial" w:eastAsia="Times New Roman" w:hAnsi="Arial" w:cs="Arial"/>
          <w:sz w:val="20"/>
          <w:szCs w:val="20"/>
          <w:lang w:eastAsia="fr-FR"/>
        </w:rPr>
        <w:t xml:space="preserve"> antibiotic resistance. </w:t>
      </w:r>
      <w:r w:rsidRPr="00E7057E">
        <w:rPr>
          <w:rFonts w:ascii="Arial" w:eastAsia="Times New Roman" w:hAnsi="Arial" w:cs="Arial"/>
          <w:i/>
          <w:iCs/>
          <w:sz w:val="20"/>
          <w:szCs w:val="20"/>
          <w:lang w:eastAsia="fr-FR"/>
        </w:rPr>
        <w:t>World Journal of Gastroenterology</w:t>
      </w:r>
      <w:r w:rsidRPr="00E7057E">
        <w:rPr>
          <w:rFonts w:ascii="Arial" w:eastAsia="Times New Roman" w:hAnsi="Arial" w:cs="Arial"/>
          <w:sz w:val="20"/>
          <w:szCs w:val="20"/>
          <w:lang w:eastAsia="fr-FR"/>
        </w:rPr>
        <w:t>, 22(19), 10335–10350.</w:t>
      </w:r>
    </w:p>
    <w:p w14:paraId="6CA35CD0" w14:textId="77777777" w:rsidR="00E7057E" w:rsidRPr="00E7057E" w:rsidRDefault="00E7057E" w:rsidP="00E7057E">
      <w:pPr>
        <w:spacing w:before="100" w:beforeAutospacing="1" w:after="100" w:afterAutospacing="1" w:line="360" w:lineRule="auto"/>
        <w:ind w:left="705" w:hanging="705"/>
        <w:jc w:val="both"/>
        <w:rPr>
          <w:rFonts w:ascii="Arial" w:eastAsia="Calibri" w:hAnsi="Arial" w:cs="Arial"/>
          <w:kern w:val="2"/>
          <w:sz w:val="20"/>
          <w:szCs w:val="20"/>
          <w:lang w:val="pt-PT"/>
        </w:rPr>
      </w:pPr>
      <w:r w:rsidRPr="00E7057E">
        <w:rPr>
          <w:rFonts w:ascii="Arial" w:eastAsia="Times New Roman" w:hAnsi="Arial" w:cs="Arial"/>
          <w:sz w:val="20"/>
          <w:szCs w:val="20"/>
          <w:lang w:eastAsia="fr-FR"/>
        </w:rPr>
        <w:t>6.</w:t>
      </w:r>
      <w:r w:rsidRPr="00E7057E">
        <w:rPr>
          <w:rFonts w:ascii="Arial" w:eastAsia="Times New Roman" w:hAnsi="Arial" w:cs="Arial"/>
          <w:sz w:val="20"/>
          <w:szCs w:val="20"/>
          <w:lang w:eastAsia="fr-FR"/>
        </w:rPr>
        <w:tab/>
        <w:t xml:space="preserve">WHO. (2013). </w:t>
      </w:r>
      <w:r w:rsidRPr="00E7057E">
        <w:rPr>
          <w:rFonts w:ascii="Arial" w:eastAsia="Times New Roman" w:hAnsi="Arial" w:cs="Arial"/>
          <w:i/>
          <w:iCs/>
          <w:sz w:val="20"/>
          <w:szCs w:val="20"/>
          <w:lang w:eastAsia="fr-FR"/>
        </w:rPr>
        <w:t>WHO traditional medicine strategy 2014–2023</w:t>
      </w:r>
      <w:r w:rsidRPr="00E7057E">
        <w:rPr>
          <w:rFonts w:ascii="Arial" w:eastAsia="Times New Roman" w:hAnsi="Arial" w:cs="Arial"/>
          <w:sz w:val="20"/>
          <w:szCs w:val="20"/>
          <w:lang w:eastAsia="fr-FR"/>
        </w:rPr>
        <w:t xml:space="preserve">. World Health Organization. </w:t>
      </w:r>
      <w:hyperlink r:id="rId11" w:tgtFrame="_new" w:history="1">
        <w:r w:rsidRPr="00E7057E">
          <w:rPr>
            <w:rFonts w:ascii="Arial" w:eastAsia="Times New Roman" w:hAnsi="Arial" w:cs="Arial"/>
            <w:sz w:val="20"/>
            <w:szCs w:val="20"/>
            <w:u w:val="single"/>
            <w:lang w:val="pt-PT" w:eastAsia="fr-FR"/>
          </w:rPr>
          <w:t>https://apps.who.int/iris/handle/10665/92455</w:t>
        </w:r>
      </w:hyperlink>
    </w:p>
    <w:p w14:paraId="522C95D1" w14:textId="77777777" w:rsidR="00E7057E" w:rsidRPr="00E7057E" w:rsidRDefault="00E7057E" w:rsidP="00E7057E">
      <w:pPr>
        <w:spacing w:before="100" w:beforeAutospacing="1" w:after="100" w:afterAutospacing="1" w:line="360" w:lineRule="auto"/>
        <w:ind w:left="708" w:hanging="705"/>
        <w:jc w:val="both"/>
        <w:rPr>
          <w:rFonts w:ascii="Arial" w:eastAsia="Times New Roman" w:hAnsi="Arial" w:cs="Arial"/>
          <w:sz w:val="20"/>
          <w:szCs w:val="20"/>
          <w:lang w:val="pt-PT" w:eastAsia="fr-FR"/>
        </w:rPr>
      </w:pPr>
      <w:r w:rsidRPr="00E7057E">
        <w:rPr>
          <w:rFonts w:ascii="Arial" w:eastAsia="Times New Roman" w:hAnsi="Arial" w:cs="Arial"/>
          <w:sz w:val="20"/>
          <w:szCs w:val="20"/>
          <w:lang w:val="pt-PT" w:eastAsia="fr-FR"/>
        </w:rPr>
        <w:t>7.</w:t>
      </w:r>
      <w:r w:rsidRPr="00E7057E">
        <w:rPr>
          <w:rFonts w:ascii="Arial" w:eastAsia="Times New Roman" w:hAnsi="Arial" w:cs="Arial"/>
          <w:sz w:val="20"/>
          <w:szCs w:val="20"/>
          <w:lang w:val="pt-PT" w:eastAsia="fr-FR"/>
        </w:rPr>
        <w:tab/>
        <w:t xml:space="preserve">Shay, N. F., &amp; Banz, W. J. (2005). </w:t>
      </w:r>
      <w:r w:rsidRPr="00E7057E">
        <w:rPr>
          <w:rFonts w:ascii="Arial" w:eastAsia="Times New Roman" w:hAnsi="Arial" w:cs="Arial"/>
          <w:sz w:val="20"/>
          <w:szCs w:val="20"/>
          <w:lang w:eastAsia="fr-FR"/>
        </w:rPr>
        <w:t xml:space="preserve">Regulation of gastrointestinal health by dietary factors. </w:t>
      </w:r>
      <w:r w:rsidRPr="00E7057E">
        <w:rPr>
          <w:rFonts w:ascii="Arial" w:eastAsia="Times New Roman" w:hAnsi="Arial" w:cs="Arial"/>
          <w:i/>
          <w:iCs/>
          <w:sz w:val="20"/>
          <w:szCs w:val="20"/>
          <w:lang w:eastAsia="fr-FR"/>
        </w:rPr>
        <w:t>The Journal of Nutrition</w:t>
      </w:r>
      <w:r w:rsidRPr="00E7057E">
        <w:rPr>
          <w:rFonts w:ascii="Arial" w:eastAsia="Times New Roman" w:hAnsi="Arial" w:cs="Arial"/>
          <w:sz w:val="20"/>
          <w:szCs w:val="20"/>
          <w:lang w:eastAsia="fr-FR"/>
        </w:rPr>
        <w:t xml:space="preserve">, 135(5), 1179–1182.   </w:t>
      </w:r>
      <w:hyperlink r:id="rId12" w:history="1">
        <w:r w:rsidRPr="00E7057E">
          <w:rPr>
            <w:rFonts w:ascii="Arial" w:eastAsia="Times New Roman" w:hAnsi="Arial" w:cs="Arial"/>
            <w:sz w:val="20"/>
            <w:szCs w:val="20"/>
            <w:u w:val="single"/>
            <w:lang w:val="pt-PT" w:eastAsia="fr-FR"/>
          </w:rPr>
          <w:t>https://doi.org/10.1093/jn/135.5.1179</w:t>
        </w:r>
      </w:hyperlink>
    </w:p>
    <w:p w14:paraId="137C4F51" w14:textId="77777777" w:rsidR="00E7057E" w:rsidRPr="00E7057E" w:rsidRDefault="00E7057E" w:rsidP="00E7057E">
      <w:pPr>
        <w:spacing w:before="100" w:beforeAutospacing="1" w:after="100" w:afterAutospacing="1" w:line="360" w:lineRule="auto"/>
        <w:ind w:left="705" w:hanging="705"/>
        <w:jc w:val="both"/>
        <w:rPr>
          <w:rFonts w:ascii="Arial" w:eastAsia="Times New Roman" w:hAnsi="Arial" w:cs="Arial"/>
          <w:sz w:val="20"/>
          <w:szCs w:val="20"/>
          <w:lang w:val="pt-PT" w:eastAsia="fr-FR"/>
        </w:rPr>
      </w:pPr>
      <w:r w:rsidRPr="00E7057E">
        <w:rPr>
          <w:rFonts w:ascii="Arial" w:eastAsia="Times New Roman" w:hAnsi="Arial" w:cs="Arial"/>
          <w:sz w:val="20"/>
          <w:szCs w:val="20"/>
          <w:lang w:val="pt-PT" w:eastAsia="fr-FR"/>
        </w:rPr>
        <w:lastRenderedPageBreak/>
        <w:t>8.</w:t>
      </w:r>
      <w:r w:rsidRPr="00E7057E">
        <w:rPr>
          <w:rFonts w:ascii="Arial" w:eastAsia="Times New Roman" w:hAnsi="Arial" w:cs="Arial"/>
          <w:sz w:val="20"/>
          <w:szCs w:val="20"/>
          <w:lang w:val="pt-PT" w:eastAsia="fr-FR"/>
        </w:rPr>
        <w:tab/>
        <w:t xml:space="preserve">Melo-Cavalcante, A. A., de Oliveira, A. F., de Lima, D. F., &amp; de Menezes, A. M. (2008). Antimutagenic and antioxidant activities of </w:t>
      </w:r>
      <w:r w:rsidRPr="00E7057E">
        <w:rPr>
          <w:rFonts w:ascii="Arial" w:eastAsia="Times New Roman" w:hAnsi="Arial" w:cs="Arial"/>
          <w:i/>
          <w:iCs/>
          <w:sz w:val="20"/>
          <w:szCs w:val="20"/>
          <w:lang w:val="pt-PT" w:eastAsia="fr-FR"/>
        </w:rPr>
        <w:t>Petiveria alliacea</w:t>
      </w:r>
      <w:r w:rsidRPr="00E7057E">
        <w:rPr>
          <w:rFonts w:ascii="Arial" w:eastAsia="Times New Roman" w:hAnsi="Arial" w:cs="Arial"/>
          <w:sz w:val="20"/>
          <w:szCs w:val="20"/>
          <w:lang w:val="pt-PT" w:eastAsia="fr-FR"/>
        </w:rPr>
        <w:t xml:space="preserve"> L. in vivo. </w:t>
      </w:r>
      <w:r w:rsidRPr="00E7057E">
        <w:rPr>
          <w:rFonts w:ascii="Arial" w:eastAsia="Times New Roman" w:hAnsi="Arial" w:cs="Arial"/>
          <w:i/>
          <w:iCs/>
          <w:sz w:val="20"/>
          <w:szCs w:val="20"/>
          <w:lang w:val="pt-PT" w:eastAsia="fr-FR"/>
        </w:rPr>
        <w:t>Genetics and Molecular Biology</w:t>
      </w:r>
      <w:r w:rsidRPr="00E7057E">
        <w:rPr>
          <w:rFonts w:ascii="Arial" w:eastAsia="Times New Roman" w:hAnsi="Arial" w:cs="Arial"/>
          <w:sz w:val="20"/>
          <w:szCs w:val="20"/>
          <w:lang w:val="pt-PT" w:eastAsia="fr-FR"/>
        </w:rPr>
        <w:t xml:space="preserve">, 31(2), 401–406. </w:t>
      </w:r>
      <w:r w:rsidR="00701F41">
        <w:fldChar w:fldCharType="begin"/>
      </w:r>
      <w:r w:rsidR="00701F41">
        <w:instrText xml:space="preserve"> HYPERLINK "https://doi.org/10.1590/S1415-47572008000200033" \t "_new" </w:instrText>
      </w:r>
      <w:r w:rsidR="00701F41">
        <w:fldChar w:fldCharType="separate"/>
      </w:r>
      <w:r w:rsidRPr="00E7057E">
        <w:rPr>
          <w:rFonts w:ascii="Arial" w:eastAsia="Times New Roman" w:hAnsi="Arial" w:cs="Arial"/>
          <w:sz w:val="20"/>
          <w:szCs w:val="20"/>
          <w:u w:val="single"/>
          <w:lang w:val="pt-PT" w:eastAsia="fr-FR"/>
        </w:rPr>
        <w:t>https://doi.org/10.1590/S1415-47572008000200033</w:t>
      </w:r>
      <w:r w:rsidR="00701F41">
        <w:rPr>
          <w:rFonts w:ascii="Arial" w:eastAsia="Times New Roman" w:hAnsi="Arial" w:cs="Arial"/>
          <w:sz w:val="20"/>
          <w:szCs w:val="20"/>
          <w:u w:val="single"/>
          <w:lang w:val="pt-PT" w:eastAsia="fr-FR"/>
        </w:rPr>
        <w:fldChar w:fldCharType="end"/>
      </w:r>
    </w:p>
    <w:p w14:paraId="22FB887B" w14:textId="77777777" w:rsidR="00E7057E" w:rsidRPr="00E7057E" w:rsidRDefault="00E7057E" w:rsidP="00E7057E">
      <w:pPr>
        <w:spacing w:before="100" w:beforeAutospacing="1" w:after="100" w:afterAutospacing="1" w:line="360" w:lineRule="auto"/>
        <w:ind w:left="705" w:hanging="705"/>
        <w:jc w:val="both"/>
        <w:rPr>
          <w:rFonts w:ascii="Arial" w:eastAsia="Times New Roman" w:hAnsi="Arial" w:cs="Arial"/>
          <w:sz w:val="20"/>
          <w:szCs w:val="20"/>
          <w:lang w:eastAsia="fr-FR"/>
        </w:rPr>
      </w:pPr>
      <w:r w:rsidRPr="00E7057E">
        <w:rPr>
          <w:rFonts w:ascii="Arial" w:eastAsia="Times New Roman" w:hAnsi="Arial" w:cs="Arial"/>
          <w:sz w:val="20"/>
          <w:szCs w:val="20"/>
          <w:lang w:val="pt-PT" w:eastAsia="fr-FR"/>
        </w:rPr>
        <w:t>9.</w:t>
      </w:r>
      <w:r w:rsidRPr="00E7057E">
        <w:rPr>
          <w:rFonts w:ascii="Arial" w:eastAsia="Times New Roman" w:hAnsi="Arial" w:cs="Arial"/>
          <w:sz w:val="20"/>
          <w:szCs w:val="20"/>
          <w:lang w:val="pt-PT" w:eastAsia="fr-FR"/>
        </w:rPr>
        <w:tab/>
        <w:t xml:space="preserve">Ramos, A. L., Pérez, M. C., &amp; Borges, C. L. (2011). </w:t>
      </w:r>
      <w:r w:rsidRPr="00E7057E">
        <w:rPr>
          <w:rFonts w:ascii="Arial" w:eastAsia="Times New Roman" w:hAnsi="Arial" w:cs="Arial"/>
          <w:sz w:val="20"/>
          <w:szCs w:val="20"/>
          <w:lang w:eastAsia="fr-FR"/>
        </w:rPr>
        <w:t xml:space="preserve">Antibacterial and antioxidant activity of </w:t>
      </w:r>
      <w:r w:rsidRPr="00E7057E">
        <w:rPr>
          <w:rFonts w:ascii="Arial" w:eastAsia="Times New Roman" w:hAnsi="Arial" w:cs="Arial"/>
          <w:i/>
          <w:iCs/>
          <w:sz w:val="20"/>
          <w:szCs w:val="20"/>
          <w:lang w:eastAsia="fr-FR"/>
        </w:rPr>
        <w:t>Petiveria alliacea</w:t>
      </w:r>
      <w:r w:rsidRPr="00E7057E">
        <w:rPr>
          <w:rFonts w:ascii="Arial" w:eastAsia="Times New Roman" w:hAnsi="Arial" w:cs="Arial"/>
          <w:sz w:val="20"/>
          <w:szCs w:val="20"/>
          <w:lang w:eastAsia="fr-FR"/>
        </w:rPr>
        <w:t xml:space="preserve"> extracts. </w:t>
      </w:r>
      <w:r w:rsidRPr="00E7057E">
        <w:rPr>
          <w:rFonts w:ascii="Arial" w:eastAsia="Times New Roman" w:hAnsi="Arial" w:cs="Arial"/>
          <w:i/>
          <w:iCs/>
          <w:sz w:val="20"/>
          <w:szCs w:val="20"/>
          <w:lang w:eastAsia="fr-FR"/>
        </w:rPr>
        <w:t>Pharmacognosy Magazine</w:t>
      </w:r>
      <w:r w:rsidRPr="00E7057E">
        <w:rPr>
          <w:rFonts w:ascii="Arial" w:eastAsia="Times New Roman" w:hAnsi="Arial" w:cs="Arial"/>
          <w:sz w:val="20"/>
          <w:szCs w:val="20"/>
          <w:lang w:eastAsia="fr-FR"/>
        </w:rPr>
        <w:t xml:space="preserve">, 7(25), 45–49. </w:t>
      </w:r>
      <w:hyperlink r:id="rId13" w:tgtFrame="_new" w:history="1">
        <w:r w:rsidRPr="00E7057E">
          <w:rPr>
            <w:rFonts w:ascii="Arial" w:eastAsia="Times New Roman" w:hAnsi="Arial" w:cs="Arial"/>
            <w:sz w:val="20"/>
            <w:szCs w:val="20"/>
            <w:u w:val="single"/>
            <w:lang w:eastAsia="fr-FR"/>
          </w:rPr>
          <w:t>https://doi.org/10.4103/0973-1296.75902</w:t>
        </w:r>
      </w:hyperlink>
    </w:p>
    <w:p w14:paraId="26AF970D" w14:textId="77777777" w:rsidR="00E7057E" w:rsidRPr="00E7057E" w:rsidRDefault="00E7057E" w:rsidP="00E7057E">
      <w:pPr>
        <w:spacing w:before="100" w:beforeAutospacing="1" w:after="100" w:afterAutospacing="1" w:line="360" w:lineRule="auto"/>
        <w:ind w:left="708" w:hanging="705"/>
        <w:jc w:val="both"/>
        <w:rPr>
          <w:rFonts w:ascii="Arial" w:eastAsia="Times New Roman" w:hAnsi="Arial" w:cs="Arial"/>
          <w:sz w:val="20"/>
          <w:szCs w:val="20"/>
          <w:lang w:val="pt-PT" w:eastAsia="fr-FR"/>
        </w:rPr>
      </w:pPr>
      <w:r w:rsidRPr="00E7057E">
        <w:rPr>
          <w:rFonts w:ascii="Arial" w:eastAsia="Times New Roman" w:hAnsi="Arial" w:cs="Arial"/>
          <w:sz w:val="20"/>
          <w:szCs w:val="20"/>
          <w:lang w:eastAsia="fr-FR"/>
        </w:rPr>
        <w:t>10.</w:t>
      </w:r>
      <w:r w:rsidRPr="00E7057E">
        <w:rPr>
          <w:rFonts w:ascii="Arial" w:eastAsia="Times New Roman" w:hAnsi="Arial" w:cs="Arial"/>
          <w:sz w:val="20"/>
          <w:szCs w:val="20"/>
          <w:lang w:eastAsia="fr-FR"/>
        </w:rPr>
        <w:tab/>
        <w:t xml:space="preserve">Abdallah, E. M., Khalid, A. S., &amp; Ibrahim, N. (2019). Antiulcerogenic activity of Ficus sycomorus leaf extract in rats. </w:t>
      </w:r>
      <w:r w:rsidRPr="00E7057E">
        <w:rPr>
          <w:rFonts w:ascii="Arial" w:eastAsia="Times New Roman" w:hAnsi="Arial" w:cs="Arial"/>
          <w:sz w:val="20"/>
          <w:szCs w:val="20"/>
          <w:lang w:val="pt-PT" w:eastAsia="fr-FR"/>
        </w:rPr>
        <w:t>Pharmacognosy Journal, 11(5), 1155–1159.</w:t>
      </w:r>
    </w:p>
    <w:p w14:paraId="39428253" w14:textId="77777777" w:rsidR="00E7057E" w:rsidRPr="00E7057E" w:rsidRDefault="00E7057E" w:rsidP="00E7057E">
      <w:pPr>
        <w:spacing w:before="100" w:beforeAutospacing="1" w:after="100" w:afterAutospacing="1" w:line="360" w:lineRule="auto"/>
        <w:ind w:left="705" w:hanging="705"/>
        <w:jc w:val="both"/>
        <w:rPr>
          <w:rFonts w:ascii="Arial" w:eastAsia="Times New Roman" w:hAnsi="Arial" w:cs="Arial"/>
          <w:sz w:val="20"/>
          <w:szCs w:val="20"/>
          <w:lang w:val="pt-PT" w:eastAsia="fr-FR"/>
        </w:rPr>
      </w:pPr>
      <w:r w:rsidRPr="00E7057E">
        <w:rPr>
          <w:rFonts w:ascii="Arial" w:eastAsia="Times New Roman" w:hAnsi="Arial" w:cs="Arial"/>
          <w:sz w:val="20"/>
          <w:szCs w:val="20"/>
          <w:lang w:val="pt-PT" w:eastAsia="fr-FR"/>
        </w:rPr>
        <w:t>11.</w:t>
      </w:r>
      <w:r w:rsidRPr="00E7057E">
        <w:rPr>
          <w:rFonts w:ascii="Arial" w:eastAsia="Times New Roman" w:hAnsi="Arial" w:cs="Arial"/>
          <w:sz w:val="20"/>
          <w:szCs w:val="20"/>
          <w:lang w:val="pt-PT" w:eastAsia="fr-FR"/>
        </w:rPr>
        <w:tab/>
        <w:t>Salga, M. S., Ali, H. M., Abdulla, M. A., &amp; Abdelwahab, S. I. (2017). Mechanisms of gastric ulcer healing induced by Andrographis paniculata in rats. Pharmaceutical Biology, 55(1), 2120–2127.</w:t>
      </w:r>
    </w:p>
    <w:p w14:paraId="478E7142" w14:textId="77777777" w:rsidR="00E7057E" w:rsidRPr="00E7057E" w:rsidRDefault="00E7057E" w:rsidP="00E7057E">
      <w:pPr>
        <w:spacing w:before="100" w:beforeAutospacing="1" w:after="100" w:afterAutospacing="1" w:line="360" w:lineRule="auto"/>
        <w:ind w:left="705" w:hanging="705"/>
        <w:jc w:val="both"/>
        <w:rPr>
          <w:rFonts w:ascii="Arial" w:eastAsia="Times New Roman" w:hAnsi="Arial" w:cs="Arial"/>
          <w:sz w:val="20"/>
          <w:szCs w:val="20"/>
          <w:lang w:val="pt-PT" w:eastAsia="fr-FR"/>
        </w:rPr>
      </w:pPr>
      <w:r w:rsidRPr="00E7057E">
        <w:rPr>
          <w:rFonts w:ascii="Arial" w:eastAsia="Times New Roman" w:hAnsi="Arial" w:cs="Arial"/>
          <w:sz w:val="20"/>
          <w:szCs w:val="20"/>
          <w:lang w:val="pt-PT" w:eastAsia="fr-FR"/>
        </w:rPr>
        <w:t>12.</w:t>
      </w:r>
      <w:r w:rsidRPr="00E7057E">
        <w:rPr>
          <w:rFonts w:ascii="Arial" w:eastAsia="Times New Roman" w:hAnsi="Arial" w:cs="Arial"/>
          <w:sz w:val="20"/>
          <w:szCs w:val="20"/>
          <w:lang w:val="pt-PT" w:eastAsia="fr-FR"/>
        </w:rPr>
        <w:tab/>
        <w:t>Melo-Cavalcante, A. A. C., de Oliveira, R. J., Morais, S. M., de Lima, R. J., &amp; Trindade, S. R. (2008). Mutagenic and antioxidant properties of Petiveria alliacea L. Mutation Research/Genetic Toxicology and Environmental Mutagenesis, 652(1), 164–170.</w:t>
      </w:r>
    </w:p>
    <w:p w14:paraId="3E9BD947" w14:textId="77777777" w:rsidR="00E7057E" w:rsidRPr="00E7057E" w:rsidRDefault="00E7057E" w:rsidP="00E7057E">
      <w:pPr>
        <w:spacing w:before="100" w:beforeAutospacing="1" w:after="100" w:afterAutospacing="1" w:line="360" w:lineRule="auto"/>
        <w:ind w:left="705" w:hanging="705"/>
        <w:jc w:val="both"/>
        <w:rPr>
          <w:rFonts w:ascii="Arial" w:eastAsia="Times New Roman" w:hAnsi="Arial" w:cs="Arial"/>
          <w:sz w:val="20"/>
          <w:szCs w:val="20"/>
          <w:lang w:eastAsia="fr-FR"/>
        </w:rPr>
      </w:pPr>
      <w:r w:rsidRPr="00E7057E">
        <w:rPr>
          <w:rFonts w:ascii="Arial" w:eastAsia="Times New Roman" w:hAnsi="Arial" w:cs="Arial"/>
          <w:sz w:val="20"/>
          <w:szCs w:val="20"/>
          <w:lang w:val="pt-PT" w:eastAsia="fr-FR"/>
        </w:rPr>
        <w:t>13.</w:t>
      </w:r>
      <w:r w:rsidRPr="00E7057E">
        <w:rPr>
          <w:rFonts w:ascii="Arial" w:eastAsia="Times New Roman" w:hAnsi="Arial" w:cs="Arial"/>
          <w:sz w:val="20"/>
          <w:szCs w:val="20"/>
          <w:lang w:val="pt-PT" w:eastAsia="fr-FR"/>
        </w:rPr>
        <w:tab/>
        <w:t xml:space="preserve">Ramos, R. O., Jiménez, M. A., Ocampo, S. A., &amp; Rodríguez, L. C. (2011). </w:t>
      </w:r>
      <w:r w:rsidRPr="00E7057E">
        <w:rPr>
          <w:rFonts w:ascii="Arial" w:eastAsia="Times New Roman" w:hAnsi="Arial" w:cs="Arial"/>
          <w:sz w:val="20"/>
          <w:szCs w:val="20"/>
          <w:lang w:eastAsia="fr-FR"/>
        </w:rPr>
        <w:t xml:space="preserve">Anti-inflammatory activity of </w:t>
      </w:r>
      <w:r w:rsidRPr="00E7057E">
        <w:rPr>
          <w:rFonts w:ascii="Arial" w:eastAsia="Times New Roman" w:hAnsi="Arial" w:cs="Arial"/>
          <w:i/>
          <w:iCs/>
          <w:sz w:val="20"/>
          <w:szCs w:val="20"/>
          <w:lang w:eastAsia="fr-FR"/>
        </w:rPr>
        <w:t>Petiveria alliacea</w:t>
      </w:r>
      <w:r w:rsidRPr="00E7057E">
        <w:rPr>
          <w:rFonts w:ascii="Arial" w:eastAsia="Times New Roman" w:hAnsi="Arial" w:cs="Arial"/>
          <w:sz w:val="20"/>
          <w:szCs w:val="20"/>
          <w:lang w:eastAsia="fr-FR"/>
        </w:rPr>
        <w:t xml:space="preserve"> in rats. Pharmacognosy Magazine, 7(26), 101–108.</w:t>
      </w:r>
    </w:p>
    <w:p w14:paraId="7BEB4CA2" w14:textId="77777777" w:rsidR="00E7057E" w:rsidRPr="00E7057E" w:rsidRDefault="00E7057E" w:rsidP="00E7057E">
      <w:pPr>
        <w:spacing w:before="100" w:beforeAutospacing="1" w:after="100" w:afterAutospacing="1" w:line="360" w:lineRule="auto"/>
        <w:ind w:left="705" w:hanging="705"/>
        <w:jc w:val="both"/>
        <w:rPr>
          <w:rFonts w:ascii="Arial" w:eastAsia="Times New Roman" w:hAnsi="Arial" w:cs="Arial"/>
          <w:sz w:val="20"/>
          <w:szCs w:val="20"/>
          <w:lang w:eastAsia="fr-FR"/>
        </w:rPr>
      </w:pPr>
      <w:r w:rsidRPr="00E7057E">
        <w:rPr>
          <w:rFonts w:ascii="Arial" w:eastAsia="Times New Roman" w:hAnsi="Arial" w:cs="Arial"/>
          <w:sz w:val="20"/>
          <w:szCs w:val="20"/>
          <w:lang w:eastAsia="fr-FR"/>
        </w:rPr>
        <w:t>14.</w:t>
      </w:r>
      <w:r w:rsidRPr="00E7057E">
        <w:rPr>
          <w:rFonts w:ascii="Arial" w:eastAsia="Times New Roman" w:hAnsi="Arial" w:cs="Arial"/>
          <w:sz w:val="20"/>
          <w:szCs w:val="20"/>
          <w:lang w:eastAsia="fr-FR"/>
        </w:rPr>
        <w:tab/>
        <w:t xml:space="preserve">Wallace, J. L., &amp; Sharkey, K. A. (2011). Modern approaches to gastric ulcer </w:t>
      </w:r>
      <w:proofErr w:type="gramStart"/>
      <w:r w:rsidRPr="00E7057E">
        <w:rPr>
          <w:rFonts w:ascii="Arial" w:eastAsia="Times New Roman" w:hAnsi="Arial" w:cs="Arial"/>
          <w:sz w:val="20"/>
          <w:szCs w:val="20"/>
          <w:lang w:eastAsia="fr-FR"/>
        </w:rPr>
        <w:t>therapy:</w:t>
      </w:r>
      <w:proofErr w:type="gramEnd"/>
      <w:r w:rsidRPr="00E7057E">
        <w:rPr>
          <w:rFonts w:ascii="Arial" w:eastAsia="Times New Roman" w:hAnsi="Arial" w:cs="Arial"/>
          <w:sz w:val="20"/>
          <w:szCs w:val="20"/>
          <w:lang w:eastAsia="fr-FR"/>
        </w:rPr>
        <w:t xml:space="preserve"> the role of prostaglandins, nitric oxide, and sensory neurons. Nature Reviews Gastroenterology &amp; Hepatology, 8(1), 43–54.</w:t>
      </w:r>
    </w:p>
    <w:p w14:paraId="0CE7ECDF" w14:textId="77777777" w:rsidR="00E7057E" w:rsidRPr="00E7057E" w:rsidRDefault="00E7057E" w:rsidP="00E7057E">
      <w:pPr>
        <w:spacing w:before="100" w:beforeAutospacing="1" w:after="100" w:afterAutospacing="1" w:line="360" w:lineRule="auto"/>
        <w:ind w:left="705" w:hanging="705"/>
        <w:jc w:val="both"/>
        <w:rPr>
          <w:rFonts w:ascii="Arial" w:eastAsia="Times New Roman" w:hAnsi="Arial" w:cs="Arial"/>
          <w:sz w:val="20"/>
          <w:szCs w:val="20"/>
          <w:lang w:eastAsia="fr-FR"/>
        </w:rPr>
      </w:pPr>
      <w:r w:rsidRPr="00E7057E">
        <w:rPr>
          <w:rFonts w:ascii="Arial" w:eastAsia="Times New Roman" w:hAnsi="Arial" w:cs="Arial"/>
          <w:sz w:val="20"/>
          <w:szCs w:val="20"/>
          <w:lang w:eastAsia="fr-FR"/>
        </w:rPr>
        <w:t>15.</w:t>
      </w:r>
      <w:r w:rsidRPr="00E7057E">
        <w:rPr>
          <w:rFonts w:ascii="Arial" w:eastAsia="Times New Roman" w:hAnsi="Arial" w:cs="Arial"/>
          <w:sz w:val="20"/>
          <w:szCs w:val="20"/>
          <w:lang w:eastAsia="fr-FR"/>
        </w:rPr>
        <w:tab/>
        <w:t xml:space="preserve">Suleyman, H., Demirezer, L. O., Kuruüzüm, A., Banoglu, Z. N., Gocer, F., Ozbakir, G., Gepdiremen, A. (2010). Antiinflammatory and antiulcerogenic effects of Achillea millefolium L. subsp. </w:t>
      </w:r>
      <w:proofErr w:type="gramStart"/>
      <w:r w:rsidRPr="00E7057E">
        <w:rPr>
          <w:rFonts w:ascii="Arial" w:eastAsia="Times New Roman" w:hAnsi="Arial" w:cs="Arial"/>
          <w:sz w:val="20"/>
          <w:szCs w:val="20"/>
          <w:lang w:eastAsia="fr-FR"/>
        </w:rPr>
        <w:t>millefolium</w:t>
      </w:r>
      <w:proofErr w:type="gramEnd"/>
      <w:r w:rsidRPr="00E7057E">
        <w:rPr>
          <w:rFonts w:ascii="Arial" w:eastAsia="Times New Roman" w:hAnsi="Arial" w:cs="Arial"/>
          <w:sz w:val="20"/>
          <w:szCs w:val="20"/>
          <w:lang w:eastAsia="fr-FR"/>
        </w:rPr>
        <w:t xml:space="preserve"> Afan. </w:t>
      </w:r>
      <w:proofErr w:type="gramStart"/>
      <w:r w:rsidRPr="00E7057E">
        <w:rPr>
          <w:rFonts w:ascii="Arial" w:eastAsia="Times New Roman" w:hAnsi="Arial" w:cs="Arial"/>
          <w:sz w:val="20"/>
          <w:szCs w:val="20"/>
          <w:lang w:eastAsia="fr-FR"/>
        </w:rPr>
        <w:t>extract</w:t>
      </w:r>
      <w:proofErr w:type="gramEnd"/>
      <w:r w:rsidRPr="00E7057E">
        <w:rPr>
          <w:rFonts w:ascii="Arial" w:eastAsia="Times New Roman" w:hAnsi="Arial" w:cs="Arial"/>
          <w:sz w:val="20"/>
          <w:szCs w:val="20"/>
          <w:lang w:eastAsia="fr-FR"/>
        </w:rPr>
        <w:t xml:space="preserve">. Phytotherapy Research, 25(1), 1–5. </w:t>
      </w:r>
      <w:hyperlink r:id="rId14" w:history="1">
        <w:r w:rsidRPr="00E7057E">
          <w:rPr>
            <w:rFonts w:ascii="Arial" w:eastAsia="Times New Roman" w:hAnsi="Arial" w:cs="Arial"/>
            <w:sz w:val="20"/>
            <w:szCs w:val="20"/>
            <w:u w:val="single"/>
            <w:lang w:eastAsia="fr-FR"/>
          </w:rPr>
          <w:t>https://doi.org/10.1002/ptr.3121</w:t>
        </w:r>
      </w:hyperlink>
    </w:p>
    <w:p w14:paraId="3876F0F7" w14:textId="77777777" w:rsidR="00E7057E" w:rsidRPr="00E7057E" w:rsidRDefault="00E7057E" w:rsidP="00E7057E">
      <w:pPr>
        <w:spacing w:before="100" w:beforeAutospacing="1" w:after="100" w:afterAutospacing="1" w:line="360" w:lineRule="auto"/>
        <w:ind w:left="705" w:hanging="705"/>
        <w:jc w:val="both"/>
        <w:rPr>
          <w:rFonts w:ascii="Arial" w:eastAsia="Times New Roman" w:hAnsi="Arial" w:cs="Arial"/>
          <w:sz w:val="20"/>
          <w:szCs w:val="20"/>
          <w:lang w:eastAsia="fr-FR"/>
        </w:rPr>
      </w:pPr>
      <w:r w:rsidRPr="00E7057E">
        <w:rPr>
          <w:rFonts w:ascii="Arial" w:eastAsia="Times New Roman" w:hAnsi="Arial" w:cs="Arial"/>
          <w:sz w:val="20"/>
          <w:szCs w:val="20"/>
          <w:lang w:eastAsia="fr-FR"/>
        </w:rPr>
        <w:t>16.</w:t>
      </w:r>
      <w:r w:rsidRPr="00E7057E">
        <w:rPr>
          <w:rFonts w:ascii="Arial" w:eastAsia="Times New Roman" w:hAnsi="Arial" w:cs="Arial"/>
          <w:sz w:val="20"/>
          <w:szCs w:val="20"/>
          <w:lang w:eastAsia="fr-FR"/>
        </w:rPr>
        <w:tab/>
        <w:t>Ibrahim, J. A., Jimoh, R. O., &amp; Kunle, O. F. (2015). Evaluation of the antiulcer potential of aqueous extract of Moringa oleifera leaves in rats. Nigerian Journal of Natural Products and Medicine, 19, 30–36.</w:t>
      </w:r>
    </w:p>
    <w:p w14:paraId="46071849" w14:textId="77777777" w:rsidR="00E7057E" w:rsidRPr="00E7057E" w:rsidRDefault="00E7057E" w:rsidP="00E7057E">
      <w:pPr>
        <w:spacing w:before="100" w:beforeAutospacing="1" w:after="100" w:afterAutospacing="1" w:line="360" w:lineRule="auto"/>
        <w:ind w:left="705" w:hanging="705"/>
        <w:jc w:val="both"/>
        <w:rPr>
          <w:rFonts w:ascii="Arial" w:eastAsia="Times New Roman" w:hAnsi="Arial" w:cs="Arial"/>
          <w:sz w:val="20"/>
          <w:szCs w:val="20"/>
          <w:lang w:eastAsia="fr-FR"/>
        </w:rPr>
      </w:pPr>
      <w:r w:rsidRPr="00E7057E">
        <w:rPr>
          <w:rFonts w:ascii="Arial" w:eastAsia="Times New Roman" w:hAnsi="Arial" w:cs="Arial"/>
          <w:sz w:val="20"/>
          <w:szCs w:val="20"/>
          <w:lang w:eastAsia="fr-FR"/>
        </w:rPr>
        <w:t>17.</w:t>
      </w:r>
      <w:r w:rsidRPr="00E7057E">
        <w:rPr>
          <w:rFonts w:ascii="Arial" w:eastAsia="Times New Roman" w:hAnsi="Arial" w:cs="Arial"/>
          <w:sz w:val="20"/>
          <w:szCs w:val="20"/>
          <w:lang w:eastAsia="fr-FR"/>
        </w:rPr>
        <w:tab/>
        <w:t>Akah, P. A., Okoli, C. O., Nwafor, S. V., Okoye, T. C., Ezike, A. C., &amp; Enwerem, N. M. (2011). Evaluation of the anti-ulcer properties of Vernonia amygdalina leaf extract in experimental animals. Asian Pacific Journal of Tropical Medicine, 4(2), 140–143.</w:t>
      </w:r>
    </w:p>
    <w:p w14:paraId="193B7938" w14:textId="77777777" w:rsidR="00E7057E" w:rsidRPr="00E7057E" w:rsidRDefault="00E7057E" w:rsidP="00E7057E">
      <w:pPr>
        <w:spacing w:before="100" w:beforeAutospacing="1" w:after="100" w:afterAutospacing="1" w:line="360" w:lineRule="auto"/>
        <w:ind w:left="705" w:hanging="705"/>
        <w:jc w:val="both"/>
        <w:rPr>
          <w:rFonts w:ascii="Arial" w:eastAsia="Times New Roman" w:hAnsi="Arial" w:cs="Arial"/>
          <w:sz w:val="20"/>
          <w:szCs w:val="20"/>
          <w:lang w:eastAsia="fr-FR"/>
        </w:rPr>
      </w:pPr>
      <w:r w:rsidRPr="00E7057E">
        <w:rPr>
          <w:rFonts w:ascii="Arial" w:eastAsia="Times New Roman" w:hAnsi="Arial" w:cs="Arial"/>
          <w:sz w:val="20"/>
          <w:szCs w:val="20"/>
          <w:lang w:val="pt-PT" w:eastAsia="fr-FR"/>
        </w:rPr>
        <w:t>18.</w:t>
      </w:r>
      <w:r w:rsidRPr="00E7057E">
        <w:rPr>
          <w:rFonts w:ascii="Arial" w:eastAsia="Times New Roman" w:hAnsi="Arial" w:cs="Arial"/>
          <w:sz w:val="20"/>
          <w:szCs w:val="20"/>
          <w:lang w:val="pt-PT" w:eastAsia="fr-FR"/>
        </w:rPr>
        <w:tab/>
        <w:t xml:space="preserve">Al-Yahya, M., Rafatullah, S., Mossa, J. S., Ageel, A. M., Parmar, N. S., &amp; Tariq, M. (2013). </w:t>
      </w:r>
      <w:r w:rsidRPr="00E7057E">
        <w:rPr>
          <w:rFonts w:ascii="Arial" w:eastAsia="Times New Roman" w:hAnsi="Arial" w:cs="Arial"/>
          <w:sz w:val="20"/>
          <w:szCs w:val="20"/>
          <w:lang w:eastAsia="fr-FR"/>
        </w:rPr>
        <w:t>Gastroprotective activities of Zingiber officinale (ginger) against ethanol-induced gastric lesions in rats. World Journal of Gastroenterology, 19(5), 774–784.</w:t>
      </w:r>
    </w:p>
    <w:p w14:paraId="19A624E0" w14:textId="77777777" w:rsidR="009424D8" w:rsidRPr="00E7057E" w:rsidRDefault="00E7057E" w:rsidP="009424D8">
      <w:pPr>
        <w:spacing w:before="100" w:beforeAutospacing="1" w:after="100" w:afterAutospacing="1" w:line="360" w:lineRule="auto"/>
        <w:ind w:left="705" w:hanging="705"/>
        <w:jc w:val="both"/>
        <w:rPr>
          <w:rFonts w:ascii="Arial" w:eastAsia="Times New Roman" w:hAnsi="Arial" w:cs="Arial"/>
          <w:sz w:val="20"/>
          <w:szCs w:val="20"/>
          <w:u w:val="single"/>
          <w:lang w:eastAsia="fr-FR"/>
        </w:rPr>
      </w:pPr>
      <w:r w:rsidRPr="00E7057E">
        <w:rPr>
          <w:rFonts w:ascii="Arial" w:eastAsia="Times New Roman" w:hAnsi="Arial" w:cs="Arial"/>
          <w:sz w:val="20"/>
          <w:szCs w:val="20"/>
          <w:lang w:eastAsia="fr-FR"/>
        </w:rPr>
        <w:lastRenderedPageBreak/>
        <w:t>19.</w:t>
      </w:r>
      <w:r w:rsidRPr="00E7057E">
        <w:rPr>
          <w:rFonts w:ascii="Arial" w:eastAsia="Times New Roman" w:hAnsi="Arial" w:cs="Arial"/>
          <w:sz w:val="20"/>
          <w:szCs w:val="20"/>
          <w:lang w:eastAsia="fr-FR"/>
        </w:rPr>
        <w:tab/>
        <w:t xml:space="preserve">Wallace, J. L., &amp; Sharkey, K. A. (2011). Mechanisms of gastrointestinal injury and repair. Pharmacology &amp; Therapeutics, 130(3), 226–238. </w:t>
      </w:r>
      <w:hyperlink r:id="rId15" w:history="1">
        <w:r w:rsidRPr="00E7057E">
          <w:rPr>
            <w:rFonts w:ascii="Arial" w:eastAsia="Times New Roman" w:hAnsi="Arial" w:cs="Arial"/>
            <w:sz w:val="20"/>
            <w:szCs w:val="20"/>
            <w:u w:val="single"/>
            <w:lang w:eastAsia="fr-FR"/>
          </w:rPr>
          <w:t>https://doi.org/10.1016/j.pharmthera.2011.01.005</w:t>
        </w:r>
      </w:hyperlink>
    </w:p>
    <w:p w14:paraId="15E15C73" w14:textId="77777777" w:rsidR="00E7057E" w:rsidRPr="00E7057E" w:rsidRDefault="00E7057E" w:rsidP="00E7057E">
      <w:pPr>
        <w:spacing w:before="100" w:beforeAutospacing="1" w:after="100" w:afterAutospacing="1" w:line="360" w:lineRule="auto"/>
        <w:ind w:left="705" w:hanging="705"/>
        <w:jc w:val="both"/>
        <w:rPr>
          <w:rFonts w:ascii="Arial" w:eastAsia="Times New Roman" w:hAnsi="Arial" w:cs="Arial"/>
          <w:sz w:val="20"/>
          <w:szCs w:val="20"/>
          <w:lang w:eastAsia="fr-FR"/>
        </w:rPr>
      </w:pPr>
      <w:r w:rsidRPr="00E7057E">
        <w:rPr>
          <w:rFonts w:ascii="Arial" w:eastAsia="Times New Roman" w:hAnsi="Arial" w:cs="Arial"/>
          <w:sz w:val="20"/>
          <w:szCs w:val="20"/>
          <w:lang w:eastAsia="fr-FR"/>
        </w:rPr>
        <w:t>20.</w:t>
      </w:r>
      <w:r w:rsidRPr="00E7057E">
        <w:rPr>
          <w:rFonts w:ascii="Arial" w:eastAsia="Times New Roman" w:hAnsi="Arial" w:cs="Arial"/>
          <w:sz w:val="20"/>
          <w:szCs w:val="20"/>
          <w:lang w:eastAsia="fr-FR"/>
        </w:rPr>
        <w:tab/>
        <w:t>Ueda, S., Takahashi, T., Fukuda, T., &amp; Ishikawa, T. (2005). Mechanism of mucosal damage in ethanol-induced gastritis in rats. Digestive Diseases and Sciences, 50(1), 71–79.</w:t>
      </w:r>
    </w:p>
    <w:p w14:paraId="01A46EAA" w14:textId="77777777" w:rsidR="00E7057E" w:rsidRPr="00E7057E" w:rsidRDefault="00E7057E" w:rsidP="00E7057E">
      <w:pPr>
        <w:spacing w:before="100" w:beforeAutospacing="1" w:after="100" w:afterAutospacing="1" w:line="360" w:lineRule="auto"/>
        <w:ind w:left="705" w:hanging="705"/>
        <w:jc w:val="both"/>
        <w:rPr>
          <w:rFonts w:ascii="Arial" w:eastAsia="Times New Roman" w:hAnsi="Arial" w:cs="Arial"/>
          <w:sz w:val="20"/>
          <w:szCs w:val="20"/>
          <w:lang w:val="pt-PT" w:eastAsia="fr-FR"/>
        </w:rPr>
      </w:pPr>
      <w:r w:rsidRPr="00E7057E">
        <w:rPr>
          <w:rFonts w:ascii="Arial" w:eastAsia="Times New Roman" w:hAnsi="Arial" w:cs="Arial"/>
          <w:sz w:val="20"/>
          <w:szCs w:val="20"/>
          <w:lang w:eastAsia="fr-FR"/>
        </w:rPr>
        <w:t>21.</w:t>
      </w:r>
      <w:r w:rsidRPr="00E7057E">
        <w:rPr>
          <w:rFonts w:ascii="Arial" w:eastAsia="Times New Roman" w:hAnsi="Arial" w:cs="Arial"/>
          <w:sz w:val="20"/>
          <w:szCs w:val="20"/>
          <w:lang w:eastAsia="fr-FR"/>
        </w:rPr>
        <w:tab/>
        <w:t xml:space="preserve">Kwiecien, S., Brzozowski, T., &amp; Konturek, S. J. (2014). Effects of reactive oxygen species action on gastric mucosa in various models of mucosal injury. </w:t>
      </w:r>
      <w:r w:rsidRPr="00E7057E">
        <w:rPr>
          <w:rFonts w:ascii="Arial" w:eastAsia="Times New Roman" w:hAnsi="Arial" w:cs="Arial"/>
          <w:sz w:val="20"/>
          <w:szCs w:val="20"/>
          <w:lang w:val="pt-PT" w:eastAsia="fr-FR"/>
        </w:rPr>
        <w:t>Current Medicinal Chemistry, 21(19), 2110–2114.</w:t>
      </w:r>
    </w:p>
    <w:p w14:paraId="1C361CCB" w14:textId="77777777" w:rsidR="00E7057E" w:rsidRPr="00E7057E" w:rsidRDefault="00E7057E" w:rsidP="00E7057E">
      <w:pPr>
        <w:spacing w:before="100" w:beforeAutospacing="1" w:after="100" w:afterAutospacing="1" w:line="360" w:lineRule="auto"/>
        <w:ind w:left="705" w:hanging="705"/>
        <w:jc w:val="both"/>
        <w:rPr>
          <w:rFonts w:ascii="Arial" w:eastAsia="Times New Roman" w:hAnsi="Arial" w:cs="Arial"/>
          <w:sz w:val="20"/>
          <w:szCs w:val="20"/>
          <w:lang w:val="pt-PT" w:eastAsia="fr-FR"/>
        </w:rPr>
      </w:pPr>
      <w:r w:rsidRPr="00E7057E">
        <w:rPr>
          <w:rFonts w:ascii="Arial" w:eastAsia="Times New Roman" w:hAnsi="Arial" w:cs="Arial"/>
          <w:sz w:val="20"/>
          <w:szCs w:val="20"/>
          <w:lang w:val="pt-PT" w:eastAsia="fr-FR"/>
        </w:rPr>
        <w:t>22.</w:t>
      </w:r>
      <w:r w:rsidRPr="00E7057E">
        <w:rPr>
          <w:rFonts w:ascii="Arial" w:eastAsia="Times New Roman" w:hAnsi="Arial" w:cs="Arial"/>
          <w:sz w:val="20"/>
          <w:szCs w:val="20"/>
          <w:lang w:val="pt-PT" w:eastAsia="fr-FR"/>
        </w:rPr>
        <w:tab/>
        <w:t xml:space="preserve">Torres, Y. R., Almeida, M. C., &amp; Santana, L. A. (2015). Antimicrobial and immunomodulatory effects of Petiveria alliacea L. extract. Brazilian Journal of Medical and Biological Research, 48(5), 415–422. </w:t>
      </w:r>
      <w:hyperlink r:id="rId16" w:history="1">
        <w:r w:rsidRPr="00E7057E">
          <w:rPr>
            <w:rFonts w:ascii="Arial" w:eastAsia="Times New Roman" w:hAnsi="Arial" w:cs="Arial"/>
            <w:sz w:val="20"/>
            <w:szCs w:val="20"/>
            <w:u w:val="single"/>
            <w:lang w:val="pt-PT" w:eastAsia="fr-FR"/>
          </w:rPr>
          <w:t>https://doi.org/10.1590/1414-431X20144133</w:t>
        </w:r>
      </w:hyperlink>
    </w:p>
    <w:p w14:paraId="62FB5197" w14:textId="77777777" w:rsidR="00E7057E" w:rsidRPr="00E7057E" w:rsidRDefault="00E7057E" w:rsidP="00E7057E">
      <w:pPr>
        <w:spacing w:before="100" w:beforeAutospacing="1" w:after="100" w:afterAutospacing="1" w:line="360" w:lineRule="auto"/>
        <w:ind w:left="705" w:hanging="705"/>
        <w:jc w:val="both"/>
        <w:rPr>
          <w:rFonts w:ascii="Arial" w:eastAsia="Times New Roman" w:hAnsi="Arial" w:cs="Arial"/>
          <w:sz w:val="20"/>
          <w:szCs w:val="20"/>
          <w:lang w:eastAsia="fr-FR"/>
        </w:rPr>
      </w:pPr>
      <w:r w:rsidRPr="00E7057E">
        <w:rPr>
          <w:rFonts w:ascii="Arial" w:eastAsia="Times New Roman" w:hAnsi="Arial" w:cs="Arial"/>
          <w:sz w:val="20"/>
          <w:szCs w:val="20"/>
          <w:lang w:val="pt-PT" w:eastAsia="fr-FR"/>
        </w:rPr>
        <w:t>23.</w:t>
      </w:r>
      <w:r w:rsidRPr="00E7057E">
        <w:rPr>
          <w:rFonts w:ascii="Arial" w:eastAsia="Times New Roman" w:hAnsi="Arial" w:cs="Arial"/>
          <w:sz w:val="20"/>
          <w:szCs w:val="20"/>
          <w:lang w:val="pt-PT" w:eastAsia="fr-FR"/>
        </w:rPr>
        <w:tab/>
        <w:t xml:space="preserve">Obochi, G. O., Malu, S. P., &amp; Mkpang, M. A. (2013). Anti-ulcerogenic and antioxidant effects of methanolic leaf extract of Annona muricata on ethanol-induced ulcer in rats. </w:t>
      </w:r>
      <w:r w:rsidRPr="00E7057E">
        <w:rPr>
          <w:rFonts w:ascii="Arial" w:eastAsia="Times New Roman" w:hAnsi="Arial" w:cs="Arial"/>
          <w:sz w:val="20"/>
          <w:szCs w:val="20"/>
          <w:lang w:eastAsia="fr-FR"/>
        </w:rPr>
        <w:t>Journal of Natural Sciences Research, 3(10), 70–77.</w:t>
      </w:r>
    </w:p>
    <w:p w14:paraId="5E75FBE3" w14:textId="77777777" w:rsidR="00E7057E" w:rsidRPr="00E7057E" w:rsidRDefault="00E7057E" w:rsidP="00E7057E">
      <w:pPr>
        <w:spacing w:before="100" w:beforeAutospacing="1" w:after="100" w:afterAutospacing="1" w:line="360" w:lineRule="auto"/>
        <w:ind w:left="705" w:hanging="705"/>
        <w:jc w:val="both"/>
        <w:rPr>
          <w:rFonts w:ascii="Arial" w:eastAsia="Times New Roman" w:hAnsi="Arial" w:cs="Arial"/>
          <w:sz w:val="20"/>
          <w:szCs w:val="20"/>
          <w:lang w:eastAsia="fr-FR"/>
        </w:rPr>
      </w:pPr>
      <w:bookmarkStart w:id="6" w:name="_Hlk197899687"/>
      <w:r w:rsidRPr="00E7057E">
        <w:rPr>
          <w:rFonts w:ascii="Arial" w:eastAsia="Times New Roman" w:hAnsi="Arial" w:cs="Arial"/>
          <w:sz w:val="20"/>
          <w:szCs w:val="20"/>
          <w:lang w:eastAsia="fr-FR"/>
        </w:rPr>
        <w:t>24.</w:t>
      </w:r>
      <w:bookmarkEnd w:id="6"/>
      <w:r w:rsidRPr="00E7057E">
        <w:rPr>
          <w:rFonts w:ascii="Arial" w:eastAsia="Times New Roman" w:hAnsi="Arial" w:cs="Arial"/>
          <w:sz w:val="20"/>
          <w:szCs w:val="20"/>
          <w:lang w:eastAsia="fr-FR"/>
        </w:rPr>
        <w:tab/>
        <w:t>Tanko, Y., Magaji, M. G., &amp; Yerima, M. (2008). Anti-ulcerogenic and anti-secretory effect of aqueous leaves extract of Ageratum conyzoides in rats. African Journal of Biotechnology, 7(5), 569–572.</w:t>
      </w:r>
    </w:p>
    <w:p w14:paraId="6F4D1684" w14:textId="77777777" w:rsidR="00E7057E" w:rsidRPr="00E7057E" w:rsidRDefault="00E7057E" w:rsidP="00E7057E">
      <w:pPr>
        <w:spacing w:before="100" w:beforeAutospacing="1" w:after="100" w:afterAutospacing="1" w:line="360" w:lineRule="auto"/>
        <w:ind w:left="705" w:hanging="705"/>
        <w:jc w:val="both"/>
        <w:rPr>
          <w:rFonts w:ascii="Arial" w:eastAsia="Times New Roman" w:hAnsi="Arial" w:cs="Arial"/>
          <w:sz w:val="20"/>
          <w:szCs w:val="20"/>
          <w:lang w:eastAsia="fr-FR"/>
        </w:rPr>
      </w:pPr>
      <w:r w:rsidRPr="00E7057E">
        <w:rPr>
          <w:rFonts w:ascii="Arial" w:eastAsia="Times New Roman" w:hAnsi="Arial" w:cs="Arial"/>
          <w:sz w:val="20"/>
          <w:szCs w:val="20"/>
          <w:lang w:eastAsia="fr-FR"/>
        </w:rPr>
        <w:t>25.</w:t>
      </w:r>
      <w:r w:rsidRPr="00E7057E">
        <w:rPr>
          <w:rFonts w:ascii="Arial" w:eastAsia="Times New Roman" w:hAnsi="Arial" w:cs="Arial"/>
          <w:sz w:val="20"/>
          <w:szCs w:val="20"/>
          <w:lang w:eastAsia="fr-FR"/>
        </w:rPr>
        <w:tab/>
        <w:t>Fiorucci, S., Antonelli, E., Distrutti, E., Rizzo, G., Mencarelli, A., Orlandi, S., Zanardo, R. C., &amp; Morelli, A. (2001). Inhibition of hydrogen sulfide generation contributes to gastric injury induced by anti-inflammatory non-steroidal drugs. Gastroenterology, 121(5), 1092–1105.</w:t>
      </w:r>
    </w:p>
    <w:p w14:paraId="7B65CB19" w14:textId="77777777" w:rsidR="00C314F2" w:rsidRPr="00E7057E" w:rsidRDefault="00C314F2"/>
    <w:sectPr w:rsidR="00C314F2" w:rsidRPr="00E7057E" w:rsidSect="001D4976">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5FBF42" w14:textId="77777777" w:rsidR="00701F41" w:rsidRDefault="00701F41" w:rsidP="00B978BE">
      <w:pPr>
        <w:spacing w:after="0" w:line="240" w:lineRule="auto"/>
      </w:pPr>
      <w:r>
        <w:separator/>
      </w:r>
    </w:p>
  </w:endnote>
  <w:endnote w:type="continuationSeparator" w:id="0">
    <w:p w14:paraId="47D221EB" w14:textId="77777777" w:rsidR="00701F41" w:rsidRDefault="00701F41" w:rsidP="00B97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B7C67" w14:textId="77777777" w:rsidR="00B978BE" w:rsidRDefault="00B978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1DB0B" w14:textId="77777777" w:rsidR="00B978BE" w:rsidRDefault="00B978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4E22D" w14:textId="77777777" w:rsidR="00B978BE" w:rsidRDefault="00B978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DF12C5" w14:textId="77777777" w:rsidR="00701F41" w:rsidRDefault="00701F41" w:rsidP="00B978BE">
      <w:pPr>
        <w:spacing w:after="0" w:line="240" w:lineRule="auto"/>
      </w:pPr>
      <w:r>
        <w:separator/>
      </w:r>
    </w:p>
  </w:footnote>
  <w:footnote w:type="continuationSeparator" w:id="0">
    <w:p w14:paraId="6485FDE9" w14:textId="77777777" w:rsidR="00701F41" w:rsidRDefault="00701F41" w:rsidP="00B978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712FA" w14:textId="7EFF0DF2" w:rsidR="00B978BE" w:rsidRDefault="00B978BE">
    <w:pPr>
      <w:pStyle w:val="Header"/>
    </w:pPr>
    <w:r>
      <w:rPr>
        <w:noProof/>
      </w:rPr>
      <w:pict w14:anchorId="096B93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8163626"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B87B1" w14:textId="42474B23" w:rsidR="00B978BE" w:rsidRDefault="00B978BE">
    <w:pPr>
      <w:pStyle w:val="Header"/>
    </w:pPr>
    <w:r>
      <w:rPr>
        <w:noProof/>
      </w:rPr>
      <w:pict w14:anchorId="6BAF61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8163627"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DCF12" w14:textId="36721A2B" w:rsidR="00B978BE" w:rsidRDefault="00B978BE">
    <w:pPr>
      <w:pStyle w:val="Header"/>
    </w:pPr>
    <w:r>
      <w:rPr>
        <w:noProof/>
      </w:rPr>
      <w:pict w14:anchorId="4D50F9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8163625"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86C0D"/>
    <w:multiLevelType w:val="multilevel"/>
    <w:tmpl w:val="04F0E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3C3C89"/>
    <w:multiLevelType w:val="multilevel"/>
    <w:tmpl w:val="4CAE0372"/>
    <w:lvl w:ilvl="0">
      <w:start w:val="3"/>
      <w:numFmt w:val="decimal"/>
      <w:lvlText w:val="%1"/>
      <w:lvlJc w:val="left"/>
      <w:pPr>
        <w:ind w:left="435" w:hanging="435"/>
      </w:pPr>
      <w:rPr>
        <w:rFonts w:hint="default"/>
      </w:rPr>
    </w:lvl>
    <w:lvl w:ilvl="1">
      <w:start w:val="1"/>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3941403C"/>
    <w:multiLevelType w:val="hybridMultilevel"/>
    <w:tmpl w:val="0D8295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3837737"/>
    <w:multiLevelType w:val="multilevel"/>
    <w:tmpl w:val="B00AE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9F1106"/>
    <w:multiLevelType w:val="multilevel"/>
    <w:tmpl w:val="A64E7C0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6FA2B4F"/>
    <w:multiLevelType w:val="multilevel"/>
    <w:tmpl w:val="8230E9E6"/>
    <w:lvl w:ilvl="0">
      <w:start w:val="3"/>
      <w:numFmt w:val="decimal"/>
      <w:lvlText w:val="%1."/>
      <w:lvlJc w:val="left"/>
      <w:pPr>
        <w:ind w:left="495" w:hanging="495"/>
      </w:pPr>
      <w:rPr>
        <w:rFonts w:hint="default"/>
        <w:b/>
      </w:rPr>
    </w:lvl>
    <w:lvl w:ilvl="1">
      <w:start w:val="1"/>
      <w:numFmt w:val="decimal"/>
      <w:lvlText w:val="%1.%2."/>
      <w:lvlJc w:val="left"/>
      <w:pPr>
        <w:ind w:left="675" w:hanging="495"/>
      </w:pPr>
      <w:rPr>
        <w:rFonts w:hint="default"/>
        <w:b/>
      </w:rPr>
    </w:lvl>
    <w:lvl w:ilvl="2">
      <w:start w:val="2"/>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6" w15:restartNumberingAfterBreak="0">
    <w:nsid w:val="7E776E80"/>
    <w:multiLevelType w:val="hybridMultilevel"/>
    <w:tmpl w:val="B9FEFA7C"/>
    <w:lvl w:ilvl="0" w:tplc="CC0C6420">
      <w:start w:val="200"/>
      <w:numFmt w:val="bullet"/>
      <w:lvlText w:val="-"/>
      <w:lvlJc w:val="left"/>
      <w:pPr>
        <w:ind w:left="1080" w:hanging="360"/>
      </w:pPr>
      <w:rPr>
        <w:rFonts w:ascii="Times New Roman" w:eastAsia="Times New Roman" w:hAnsi="Times New Roman" w:cs="Times New Roman"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6"/>
  </w:num>
  <w:num w:numId="4">
    <w:abstractNumId w:val="2"/>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057E"/>
    <w:rsid w:val="0005390E"/>
    <w:rsid w:val="00067F7F"/>
    <w:rsid w:val="00072F39"/>
    <w:rsid w:val="000D5B09"/>
    <w:rsid w:val="0016626D"/>
    <w:rsid w:val="002E4654"/>
    <w:rsid w:val="0032550A"/>
    <w:rsid w:val="00367CC6"/>
    <w:rsid w:val="003A6548"/>
    <w:rsid w:val="003E1089"/>
    <w:rsid w:val="004A11DB"/>
    <w:rsid w:val="00620CE3"/>
    <w:rsid w:val="006C6E26"/>
    <w:rsid w:val="00701F41"/>
    <w:rsid w:val="00717CF0"/>
    <w:rsid w:val="00861F4E"/>
    <w:rsid w:val="009424D8"/>
    <w:rsid w:val="009702C9"/>
    <w:rsid w:val="00A367FB"/>
    <w:rsid w:val="00A8699D"/>
    <w:rsid w:val="00A96020"/>
    <w:rsid w:val="00B978BE"/>
    <w:rsid w:val="00BE7C83"/>
    <w:rsid w:val="00C314F2"/>
    <w:rsid w:val="00E7057E"/>
    <w:rsid w:val="00F133CE"/>
    <w:rsid w:val="00F66C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3DCF51"/>
  <w15:docId w15:val="{0AA5A4F7-2034-4337-8169-844C974C1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ausimple21">
    <w:name w:val="Tableau simple 21"/>
    <w:basedOn w:val="TableNormal"/>
    <w:uiPriority w:val="42"/>
    <w:rsid w:val="00E7057E"/>
    <w:pPr>
      <w:spacing w:after="0" w:line="240" w:lineRule="auto"/>
    </w:pPr>
    <w:rPr>
      <w:kern w:val="2"/>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BalloonText">
    <w:name w:val="Balloon Text"/>
    <w:basedOn w:val="Normal"/>
    <w:link w:val="BalloonTextChar"/>
    <w:uiPriority w:val="99"/>
    <w:semiHidden/>
    <w:unhideWhenUsed/>
    <w:rsid w:val="00E705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57E"/>
    <w:rPr>
      <w:rFonts w:ascii="Tahoma" w:hAnsi="Tahoma" w:cs="Tahoma"/>
      <w:sz w:val="16"/>
      <w:szCs w:val="16"/>
    </w:rPr>
  </w:style>
  <w:style w:type="table" w:styleId="TableGrid">
    <w:name w:val="Table Grid"/>
    <w:basedOn w:val="TableNormal"/>
    <w:uiPriority w:val="59"/>
    <w:rsid w:val="00E70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057E"/>
    <w:pPr>
      <w:ind w:left="720"/>
      <w:contextualSpacing/>
    </w:pPr>
  </w:style>
  <w:style w:type="character" w:styleId="Hyperlink">
    <w:name w:val="Hyperlink"/>
    <w:basedOn w:val="DefaultParagraphFont"/>
    <w:uiPriority w:val="99"/>
    <w:unhideWhenUsed/>
    <w:rsid w:val="003E1089"/>
    <w:rPr>
      <w:color w:val="0000FF" w:themeColor="hyperlink"/>
      <w:u w:val="single"/>
    </w:rPr>
  </w:style>
  <w:style w:type="character" w:styleId="UnresolvedMention">
    <w:name w:val="Unresolved Mention"/>
    <w:basedOn w:val="DefaultParagraphFont"/>
    <w:uiPriority w:val="99"/>
    <w:semiHidden/>
    <w:unhideWhenUsed/>
    <w:rsid w:val="003E1089"/>
    <w:rPr>
      <w:color w:val="605E5C"/>
      <w:shd w:val="clear" w:color="auto" w:fill="E1DFDD"/>
    </w:rPr>
  </w:style>
  <w:style w:type="paragraph" w:styleId="Header">
    <w:name w:val="header"/>
    <w:basedOn w:val="Normal"/>
    <w:link w:val="HeaderChar"/>
    <w:uiPriority w:val="99"/>
    <w:unhideWhenUsed/>
    <w:rsid w:val="00B978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8BE"/>
  </w:style>
  <w:style w:type="paragraph" w:styleId="Footer">
    <w:name w:val="footer"/>
    <w:basedOn w:val="Normal"/>
    <w:link w:val="FooterChar"/>
    <w:uiPriority w:val="99"/>
    <w:unhideWhenUsed/>
    <w:rsid w:val="00B978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4103/0973-1296.75902"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doi.org/10.1093/jn/135.5.1179"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590/1414-431X20144133"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s.who.int/iris/handle/10665/92455"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j.pharmthera.2011.01.005" TargetMode="External"/><Relationship Id="rId23" Type="http://schemas.openxmlformats.org/officeDocument/2006/relationships/fontTable" Target="fontTable.xml"/><Relationship Id="rId10" Type="http://schemas.openxmlformats.org/officeDocument/2006/relationships/hyperlink" Target="https://doi.org/10.3389/fphar.2018.00110"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038/nrgastro.2014.188" TargetMode="External"/><Relationship Id="rId14" Type="http://schemas.openxmlformats.org/officeDocument/2006/relationships/hyperlink" Target="https://doi.org/10.1002/ptr.3121" TargetMode="External"/><Relationship Id="rId22"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12</Pages>
  <Words>4755</Words>
  <Characters>27110</Characters>
  <Application>Microsoft Office Word</Application>
  <DocSecurity>0</DocSecurity>
  <Lines>225</Lines>
  <Paragraphs>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16</cp:revision>
  <dcterms:created xsi:type="dcterms:W3CDTF">2025-10-06T13:18:00Z</dcterms:created>
  <dcterms:modified xsi:type="dcterms:W3CDTF">2025-10-08T08:47:00Z</dcterms:modified>
</cp:coreProperties>
</file>