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803B18" w14:textId="7FB3AB1F" w:rsidR="0029159F" w:rsidRDefault="0029159F" w:rsidP="0029159F">
      <w:pPr>
        <w:pStyle w:val="NormalWeb"/>
        <w:rPr>
          <w:rStyle w:val="Strong"/>
          <w:rFonts w:asciiTheme="minorHAnsi" w:hAnsiTheme="minorHAnsi" w:cstheme="minorHAnsi"/>
          <w:sz w:val="28"/>
        </w:rPr>
      </w:pPr>
      <w:r>
        <w:rPr>
          <w:rStyle w:val="Strong"/>
          <w:rFonts w:asciiTheme="minorHAnsi" w:hAnsiTheme="minorHAnsi" w:cstheme="minorHAnsi"/>
        </w:rPr>
        <w:t xml:space="preserve">                                     </w:t>
      </w:r>
      <w:bookmarkStart w:id="0" w:name="_Hlk210923191"/>
      <w:bookmarkStart w:id="1" w:name="_GoBack"/>
      <w:proofErr w:type="spellStart"/>
      <w:r w:rsidRPr="0029159F">
        <w:rPr>
          <w:rStyle w:val="Strong"/>
          <w:rFonts w:asciiTheme="minorHAnsi" w:hAnsiTheme="minorHAnsi" w:cstheme="minorHAnsi"/>
          <w:sz w:val="28"/>
        </w:rPr>
        <w:t>Predictive</w:t>
      </w:r>
      <w:proofErr w:type="spellEnd"/>
      <w:r w:rsidRPr="0029159F">
        <w:rPr>
          <w:rStyle w:val="Strong"/>
          <w:rFonts w:asciiTheme="minorHAnsi" w:hAnsiTheme="minorHAnsi" w:cstheme="minorHAnsi"/>
          <w:sz w:val="28"/>
        </w:rPr>
        <w:t xml:space="preserve"> </w:t>
      </w:r>
      <w:proofErr w:type="spellStart"/>
      <w:r w:rsidRPr="0029159F">
        <w:rPr>
          <w:rStyle w:val="Strong"/>
          <w:rFonts w:asciiTheme="minorHAnsi" w:hAnsiTheme="minorHAnsi" w:cstheme="minorHAnsi"/>
          <w:sz w:val="28"/>
        </w:rPr>
        <w:t>Factors</w:t>
      </w:r>
      <w:proofErr w:type="spellEnd"/>
      <w:r w:rsidRPr="0029159F">
        <w:rPr>
          <w:rStyle w:val="Strong"/>
          <w:rFonts w:asciiTheme="minorHAnsi" w:hAnsiTheme="minorHAnsi" w:cstheme="minorHAnsi"/>
          <w:sz w:val="28"/>
        </w:rPr>
        <w:t xml:space="preserve"> of </w:t>
      </w:r>
      <w:proofErr w:type="spellStart"/>
      <w:r w:rsidRPr="0029159F">
        <w:rPr>
          <w:rStyle w:val="Strong"/>
          <w:rFonts w:asciiTheme="minorHAnsi" w:hAnsiTheme="minorHAnsi" w:cstheme="minorHAnsi"/>
          <w:sz w:val="28"/>
        </w:rPr>
        <w:t>Biliary</w:t>
      </w:r>
      <w:proofErr w:type="spellEnd"/>
      <w:r w:rsidRPr="0029159F">
        <w:rPr>
          <w:rStyle w:val="Strong"/>
          <w:rFonts w:asciiTheme="minorHAnsi" w:hAnsiTheme="minorHAnsi" w:cstheme="minorHAnsi"/>
          <w:sz w:val="28"/>
        </w:rPr>
        <w:t xml:space="preserve"> </w:t>
      </w:r>
      <w:proofErr w:type="spellStart"/>
      <w:r w:rsidRPr="0029159F">
        <w:rPr>
          <w:rStyle w:val="Strong"/>
          <w:rFonts w:asciiTheme="minorHAnsi" w:hAnsiTheme="minorHAnsi" w:cstheme="minorHAnsi"/>
          <w:sz w:val="28"/>
        </w:rPr>
        <w:t>Cannulation</w:t>
      </w:r>
      <w:proofErr w:type="spellEnd"/>
      <w:r w:rsidRPr="0029159F">
        <w:rPr>
          <w:rStyle w:val="Strong"/>
          <w:rFonts w:asciiTheme="minorHAnsi" w:hAnsiTheme="minorHAnsi" w:cstheme="minorHAnsi"/>
          <w:sz w:val="28"/>
        </w:rPr>
        <w:t xml:space="preserve"> Failure</w:t>
      </w:r>
      <w:bookmarkEnd w:id="0"/>
      <w:bookmarkEnd w:id="1"/>
    </w:p>
    <w:p w14:paraId="01FCDF1C" w14:textId="77777777" w:rsidR="00C447E3" w:rsidRDefault="00C447E3" w:rsidP="0029159F">
      <w:pPr>
        <w:pStyle w:val="NormalWeb"/>
        <w:jc w:val="center"/>
        <w:rPr>
          <w:b/>
        </w:rPr>
      </w:pPr>
    </w:p>
    <w:p w14:paraId="13863935" w14:textId="77777777" w:rsidR="00C447E3" w:rsidRDefault="00C447E3" w:rsidP="0029159F">
      <w:pPr>
        <w:pStyle w:val="NormalWeb"/>
        <w:jc w:val="center"/>
        <w:rPr>
          <w:b/>
        </w:rPr>
      </w:pPr>
    </w:p>
    <w:p w14:paraId="54036307" w14:textId="77777777" w:rsidR="0029159F" w:rsidRPr="00323A60" w:rsidRDefault="0029159F" w:rsidP="0029159F">
      <w:pPr>
        <w:pStyle w:val="NormalWeb"/>
        <w:rPr>
          <w:rFonts w:asciiTheme="minorHAnsi" w:hAnsiTheme="minorHAnsi" w:cstheme="minorHAnsi"/>
        </w:rPr>
      </w:pPr>
      <w:r w:rsidRPr="0029159F">
        <w:rPr>
          <w:rFonts w:asciiTheme="minorHAnsi" w:hAnsiTheme="minorHAnsi" w:cstheme="minorHAnsi"/>
        </w:rPr>
        <w:br/>
      </w:r>
      <w:proofErr w:type="gramStart"/>
      <w:r w:rsidRPr="00051F9F">
        <w:rPr>
          <w:rStyle w:val="Strong"/>
          <w:rFonts w:asciiTheme="minorHAnsi" w:hAnsiTheme="minorHAnsi" w:cstheme="minorHAnsi"/>
          <w:sz w:val="28"/>
        </w:rPr>
        <w:t>Abstract:</w:t>
      </w:r>
      <w:proofErr w:type="gramEnd"/>
      <w:r w:rsidRPr="00323A60">
        <w:rPr>
          <w:rFonts w:asciiTheme="minorHAnsi" w:hAnsiTheme="minorHAnsi" w:cstheme="minorHAnsi"/>
        </w:rPr>
        <w:br/>
      </w:r>
      <w:r w:rsidRPr="00323A60">
        <w:rPr>
          <w:rStyle w:val="Strong"/>
          <w:rFonts w:asciiTheme="minorHAnsi" w:hAnsiTheme="minorHAnsi" w:cstheme="minorHAnsi"/>
        </w:rPr>
        <w:t>Introduction:</w:t>
      </w:r>
      <w:r w:rsidRPr="00323A60">
        <w:rPr>
          <w:rFonts w:asciiTheme="minorHAnsi" w:hAnsiTheme="minorHAnsi" w:cstheme="minorHAnsi"/>
        </w:rPr>
        <w:t xml:space="preserve"> </w:t>
      </w:r>
      <w:proofErr w:type="spellStart"/>
      <w:r w:rsidRPr="00323A60">
        <w:rPr>
          <w:rFonts w:asciiTheme="minorHAnsi" w:hAnsiTheme="minorHAnsi" w:cstheme="minorHAnsi"/>
        </w:rPr>
        <w:t>Endoscopic</w:t>
      </w:r>
      <w:proofErr w:type="spellEnd"/>
      <w:r w:rsidRPr="00323A60">
        <w:rPr>
          <w:rFonts w:asciiTheme="minorHAnsi" w:hAnsiTheme="minorHAnsi" w:cstheme="minorHAnsi"/>
        </w:rPr>
        <w:t xml:space="preserve"> </w:t>
      </w:r>
      <w:proofErr w:type="spellStart"/>
      <w:r w:rsidRPr="00323A60">
        <w:rPr>
          <w:rFonts w:asciiTheme="minorHAnsi" w:hAnsiTheme="minorHAnsi" w:cstheme="minorHAnsi"/>
        </w:rPr>
        <w:t>biliary</w:t>
      </w:r>
      <w:proofErr w:type="spellEnd"/>
      <w:r w:rsidRPr="00323A60">
        <w:rPr>
          <w:rFonts w:asciiTheme="minorHAnsi" w:hAnsiTheme="minorHAnsi" w:cstheme="minorHAnsi"/>
        </w:rPr>
        <w:t xml:space="preserve"> drainage continues to </w:t>
      </w:r>
      <w:proofErr w:type="spellStart"/>
      <w:r w:rsidRPr="00323A60">
        <w:rPr>
          <w:rFonts w:asciiTheme="minorHAnsi" w:hAnsiTheme="minorHAnsi" w:cstheme="minorHAnsi"/>
        </w:rPr>
        <w:t>evolve</w:t>
      </w:r>
      <w:proofErr w:type="spellEnd"/>
      <w:r w:rsidRPr="00323A60">
        <w:rPr>
          <w:rFonts w:asciiTheme="minorHAnsi" w:hAnsiTheme="minorHAnsi" w:cstheme="minorHAnsi"/>
        </w:rPr>
        <w:t xml:space="preserve"> and </w:t>
      </w:r>
      <w:proofErr w:type="spellStart"/>
      <w:r w:rsidRPr="00323A60">
        <w:rPr>
          <w:rFonts w:asciiTheme="minorHAnsi" w:hAnsiTheme="minorHAnsi" w:cstheme="minorHAnsi"/>
        </w:rPr>
        <w:t>now</w:t>
      </w:r>
      <w:proofErr w:type="spellEnd"/>
      <w:r w:rsidRPr="00323A60">
        <w:rPr>
          <w:rFonts w:asciiTheme="minorHAnsi" w:hAnsiTheme="minorHAnsi" w:cstheme="minorHAnsi"/>
        </w:rPr>
        <w:t xml:space="preserve"> </w:t>
      </w:r>
      <w:proofErr w:type="spellStart"/>
      <w:r w:rsidRPr="00323A60">
        <w:rPr>
          <w:rFonts w:asciiTheme="minorHAnsi" w:hAnsiTheme="minorHAnsi" w:cstheme="minorHAnsi"/>
        </w:rPr>
        <w:t>plays</w:t>
      </w:r>
      <w:proofErr w:type="spellEnd"/>
      <w:r w:rsidRPr="00323A60">
        <w:rPr>
          <w:rFonts w:asciiTheme="minorHAnsi" w:hAnsiTheme="minorHAnsi" w:cstheme="minorHAnsi"/>
        </w:rPr>
        <w:t xml:space="preserve"> a central </w:t>
      </w:r>
      <w:proofErr w:type="spellStart"/>
      <w:r w:rsidRPr="00323A60">
        <w:rPr>
          <w:rFonts w:asciiTheme="minorHAnsi" w:hAnsiTheme="minorHAnsi" w:cstheme="minorHAnsi"/>
        </w:rPr>
        <w:t>role</w:t>
      </w:r>
      <w:proofErr w:type="spellEnd"/>
      <w:r w:rsidRPr="00323A60">
        <w:rPr>
          <w:rFonts w:asciiTheme="minorHAnsi" w:hAnsiTheme="minorHAnsi" w:cstheme="minorHAnsi"/>
        </w:rPr>
        <w:t xml:space="preserve"> in the management of </w:t>
      </w:r>
      <w:proofErr w:type="spellStart"/>
      <w:r w:rsidRPr="00323A60">
        <w:rPr>
          <w:rFonts w:asciiTheme="minorHAnsi" w:hAnsiTheme="minorHAnsi" w:cstheme="minorHAnsi"/>
        </w:rPr>
        <w:t>biliary</w:t>
      </w:r>
      <w:proofErr w:type="spellEnd"/>
      <w:r w:rsidRPr="00323A60">
        <w:rPr>
          <w:rFonts w:asciiTheme="minorHAnsi" w:hAnsiTheme="minorHAnsi" w:cstheme="minorHAnsi"/>
        </w:rPr>
        <w:t xml:space="preserve"> tract </w:t>
      </w:r>
      <w:proofErr w:type="spellStart"/>
      <w:r w:rsidRPr="00323A60">
        <w:rPr>
          <w:rFonts w:asciiTheme="minorHAnsi" w:hAnsiTheme="minorHAnsi" w:cstheme="minorHAnsi"/>
        </w:rPr>
        <w:t>strictures</w:t>
      </w:r>
      <w:proofErr w:type="spellEnd"/>
      <w:r w:rsidRPr="00323A60">
        <w:rPr>
          <w:rFonts w:asciiTheme="minorHAnsi" w:hAnsiTheme="minorHAnsi" w:cstheme="minorHAnsi"/>
        </w:rPr>
        <w:t xml:space="preserve"> of </w:t>
      </w:r>
      <w:proofErr w:type="spellStart"/>
      <w:r w:rsidRPr="00323A60">
        <w:rPr>
          <w:rFonts w:asciiTheme="minorHAnsi" w:hAnsiTheme="minorHAnsi" w:cstheme="minorHAnsi"/>
        </w:rPr>
        <w:t>lithiasic</w:t>
      </w:r>
      <w:proofErr w:type="spellEnd"/>
      <w:r w:rsidRPr="00323A60">
        <w:rPr>
          <w:rFonts w:asciiTheme="minorHAnsi" w:hAnsiTheme="minorHAnsi" w:cstheme="minorHAnsi"/>
        </w:rPr>
        <w:t xml:space="preserve">, tumoral, or </w:t>
      </w:r>
      <w:proofErr w:type="spellStart"/>
      <w:r w:rsidRPr="00323A60">
        <w:rPr>
          <w:rFonts w:asciiTheme="minorHAnsi" w:hAnsiTheme="minorHAnsi" w:cstheme="minorHAnsi"/>
        </w:rPr>
        <w:t>other</w:t>
      </w:r>
      <w:proofErr w:type="spellEnd"/>
      <w:r w:rsidRPr="00323A60">
        <w:rPr>
          <w:rFonts w:asciiTheme="minorHAnsi" w:hAnsiTheme="minorHAnsi" w:cstheme="minorHAnsi"/>
        </w:rPr>
        <w:t xml:space="preserve"> </w:t>
      </w:r>
      <w:proofErr w:type="spellStart"/>
      <w:r w:rsidRPr="00323A60">
        <w:rPr>
          <w:rFonts w:asciiTheme="minorHAnsi" w:hAnsiTheme="minorHAnsi" w:cstheme="minorHAnsi"/>
        </w:rPr>
        <w:t>origins</w:t>
      </w:r>
      <w:proofErr w:type="spellEnd"/>
      <w:r w:rsidRPr="00323A60">
        <w:rPr>
          <w:rFonts w:asciiTheme="minorHAnsi" w:hAnsiTheme="minorHAnsi" w:cstheme="minorHAnsi"/>
        </w:rPr>
        <w:t>.</w:t>
      </w:r>
      <w:r w:rsidRPr="00323A60">
        <w:rPr>
          <w:rFonts w:asciiTheme="minorHAnsi" w:hAnsiTheme="minorHAnsi" w:cstheme="minorHAnsi"/>
        </w:rPr>
        <w:br/>
        <w:t xml:space="preserve">The </w:t>
      </w:r>
      <w:proofErr w:type="spellStart"/>
      <w:r w:rsidRPr="00323A60">
        <w:rPr>
          <w:rFonts w:asciiTheme="minorHAnsi" w:hAnsiTheme="minorHAnsi" w:cstheme="minorHAnsi"/>
        </w:rPr>
        <w:t>aim</w:t>
      </w:r>
      <w:proofErr w:type="spellEnd"/>
      <w:r w:rsidRPr="00323A60">
        <w:rPr>
          <w:rFonts w:asciiTheme="minorHAnsi" w:hAnsiTheme="minorHAnsi" w:cstheme="minorHAnsi"/>
        </w:rPr>
        <w:t xml:space="preserve"> of </w:t>
      </w:r>
      <w:proofErr w:type="spellStart"/>
      <w:r w:rsidRPr="00323A60">
        <w:rPr>
          <w:rFonts w:asciiTheme="minorHAnsi" w:hAnsiTheme="minorHAnsi" w:cstheme="minorHAnsi"/>
        </w:rPr>
        <w:t>our</w:t>
      </w:r>
      <w:proofErr w:type="spellEnd"/>
      <w:r w:rsidRPr="00323A60">
        <w:rPr>
          <w:rFonts w:asciiTheme="minorHAnsi" w:hAnsiTheme="minorHAnsi" w:cstheme="minorHAnsi"/>
        </w:rPr>
        <w:t xml:space="preserve"> </w:t>
      </w:r>
      <w:proofErr w:type="spellStart"/>
      <w:r w:rsidRPr="00323A60">
        <w:rPr>
          <w:rFonts w:asciiTheme="minorHAnsi" w:hAnsiTheme="minorHAnsi" w:cstheme="minorHAnsi"/>
        </w:rPr>
        <w:t>study</w:t>
      </w:r>
      <w:proofErr w:type="spellEnd"/>
      <w:r w:rsidRPr="00323A60">
        <w:rPr>
          <w:rFonts w:asciiTheme="minorHAnsi" w:hAnsiTheme="minorHAnsi" w:cstheme="minorHAnsi"/>
        </w:rPr>
        <w:t xml:space="preserve"> </w:t>
      </w:r>
      <w:proofErr w:type="spellStart"/>
      <w:r w:rsidRPr="00323A60">
        <w:rPr>
          <w:rFonts w:asciiTheme="minorHAnsi" w:hAnsiTheme="minorHAnsi" w:cstheme="minorHAnsi"/>
        </w:rPr>
        <w:t>is</w:t>
      </w:r>
      <w:proofErr w:type="spellEnd"/>
      <w:r w:rsidRPr="00323A60">
        <w:rPr>
          <w:rFonts w:asciiTheme="minorHAnsi" w:hAnsiTheme="minorHAnsi" w:cstheme="minorHAnsi"/>
        </w:rPr>
        <w:t xml:space="preserve"> to report </w:t>
      </w:r>
      <w:proofErr w:type="spellStart"/>
      <w:r w:rsidRPr="00323A60">
        <w:rPr>
          <w:rFonts w:asciiTheme="minorHAnsi" w:hAnsiTheme="minorHAnsi" w:cstheme="minorHAnsi"/>
        </w:rPr>
        <w:t>our</w:t>
      </w:r>
      <w:proofErr w:type="spellEnd"/>
      <w:r w:rsidRPr="00323A60">
        <w:rPr>
          <w:rFonts w:asciiTheme="minorHAnsi" w:hAnsiTheme="minorHAnsi" w:cstheme="minorHAnsi"/>
        </w:rPr>
        <w:t xml:space="preserve"> </w:t>
      </w:r>
      <w:proofErr w:type="spellStart"/>
      <w:r w:rsidRPr="00323A60">
        <w:rPr>
          <w:rFonts w:asciiTheme="minorHAnsi" w:hAnsiTheme="minorHAnsi" w:cstheme="minorHAnsi"/>
        </w:rPr>
        <w:t>outcomes</w:t>
      </w:r>
      <w:proofErr w:type="spellEnd"/>
      <w:r w:rsidRPr="00323A60">
        <w:rPr>
          <w:rFonts w:asciiTheme="minorHAnsi" w:hAnsiTheme="minorHAnsi" w:cstheme="minorHAnsi"/>
        </w:rPr>
        <w:t xml:space="preserve"> </w:t>
      </w:r>
      <w:proofErr w:type="spellStart"/>
      <w:r w:rsidRPr="00323A60">
        <w:rPr>
          <w:rFonts w:asciiTheme="minorHAnsi" w:hAnsiTheme="minorHAnsi" w:cstheme="minorHAnsi"/>
        </w:rPr>
        <w:t>with</w:t>
      </w:r>
      <w:proofErr w:type="spellEnd"/>
      <w:r w:rsidRPr="00323A60">
        <w:rPr>
          <w:rFonts w:asciiTheme="minorHAnsi" w:hAnsiTheme="minorHAnsi" w:cstheme="minorHAnsi"/>
        </w:rPr>
        <w:t xml:space="preserve"> </w:t>
      </w:r>
      <w:proofErr w:type="spellStart"/>
      <w:r w:rsidRPr="00323A60">
        <w:rPr>
          <w:rFonts w:asciiTheme="minorHAnsi" w:hAnsiTheme="minorHAnsi" w:cstheme="minorHAnsi"/>
        </w:rPr>
        <w:t>endoscopic</w:t>
      </w:r>
      <w:proofErr w:type="spellEnd"/>
      <w:r w:rsidRPr="00323A60">
        <w:rPr>
          <w:rFonts w:asciiTheme="minorHAnsi" w:hAnsiTheme="minorHAnsi" w:cstheme="minorHAnsi"/>
        </w:rPr>
        <w:t xml:space="preserve"> </w:t>
      </w:r>
      <w:proofErr w:type="spellStart"/>
      <w:r w:rsidRPr="00323A60">
        <w:rPr>
          <w:rFonts w:asciiTheme="minorHAnsi" w:hAnsiTheme="minorHAnsi" w:cstheme="minorHAnsi"/>
        </w:rPr>
        <w:t>biliary</w:t>
      </w:r>
      <w:proofErr w:type="spellEnd"/>
      <w:r w:rsidRPr="00323A60">
        <w:rPr>
          <w:rFonts w:asciiTheme="minorHAnsi" w:hAnsiTheme="minorHAnsi" w:cstheme="minorHAnsi"/>
        </w:rPr>
        <w:t xml:space="preserve"> drainage via </w:t>
      </w:r>
      <w:proofErr w:type="spellStart"/>
      <w:r w:rsidRPr="00323A60">
        <w:rPr>
          <w:rFonts w:asciiTheme="minorHAnsi" w:hAnsiTheme="minorHAnsi" w:cstheme="minorHAnsi"/>
        </w:rPr>
        <w:t>endoscopic</w:t>
      </w:r>
      <w:proofErr w:type="spellEnd"/>
      <w:r w:rsidRPr="00323A60">
        <w:rPr>
          <w:rFonts w:asciiTheme="minorHAnsi" w:hAnsiTheme="minorHAnsi" w:cstheme="minorHAnsi"/>
        </w:rPr>
        <w:t xml:space="preserve"> </w:t>
      </w:r>
      <w:proofErr w:type="spellStart"/>
      <w:r w:rsidRPr="00323A60">
        <w:rPr>
          <w:rFonts w:asciiTheme="minorHAnsi" w:hAnsiTheme="minorHAnsi" w:cstheme="minorHAnsi"/>
        </w:rPr>
        <w:t>retrograde</w:t>
      </w:r>
      <w:proofErr w:type="spellEnd"/>
      <w:r w:rsidRPr="00323A60">
        <w:rPr>
          <w:rFonts w:asciiTheme="minorHAnsi" w:hAnsiTheme="minorHAnsi" w:cstheme="minorHAnsi"/>
        </w:rPr>
        <w:t xml:space="preserve"> </w:t>
      </w:r>
      <w:proofErr w:type="spellStart"/>
      <w:r w:rsidRPr="00323A60">
        <w:rPr>
          <w:rFonts w:asciiTheme="minorHAnsi" w:hAnsiTheme="minorHAnsi" w:cstheme="minorHAnsi"/>
        </w:rPr>
        <w:t>cholangiopancreatography</w:t>
      </w:r>
      <w:proofErr w:type="spellEnd"/>
      <w:r w:rsidRPr="00323A60">
        <w:rPr>
          <w:rFonts w:asciiTheme="minorHAnsi" w:hAnsiTheme="minorHAnsi" w:cstheme="minorHAnsi"/>
        </w:rPr>
        <w:t xml:space="preserve"> (ERCP) and to </w:t>
      </w:r>
      <w:proofErr w:type="spellStart"/>
      <w:r w:rsidRPr="00323A60">
        <w:rPr>
          <w:rFonts w:asciiTheme="minorHAnsi" w:hAnsiTheme="minorHAnsi" w:cstheme="minorHAnsi"/>
        </w:rPr>
        <w:t>identify</w:t>
      </w:r>
      <w:proofErr w:type="spellEnd"/>
      <w:r w:rsidRPr="00323A60">
        <w:rPr>
          <w:rFonts w:asciiTheme="minorHAnsi" w:hAnsiTheme="minorHAnsi" w:cstheme="minorHAnsi"/>
        </w:rPr>
        <w:t xml:space="preserve"> </w:t>
      </w:r>
      <w:proofErr w:type="spellStart"/>
      <w:r w:rsidRPr="00323A60">
        <w:rPr>
          <w:rFonts w:asciiTheme="minorHAnsi" w:hAnsiTheme="minorHAnsi" w:cstheme="minorHAnsi"/>
        </w:rPr>
        <w:t>factors</w:t>
      </w:r>
      <w:proofErr w:type="spellEnd"/>
      <w:r w:rsidRPr="00323A60">
        <w:rPr>
          <w:rFonts w:asciiTheme="minorHAnsi" w:hAnsiTheme="minorHAnsi" w:cstheme="minorHAnsi"/>
        </w:rPr>
        <w:t xml:space="preserve"> </w:t>
      </w:r>
      <w:proofErr w:type="spellStart"/>
      <w:r w:rsidRPr="00323A60">
        <w:rPr>
          <w:rFonts w:asciiTheme="minorHAnsi" w:hAnsiTheme="minorHAnsi" w:cstheme="minorHAnsi"/>
        </w:rPr>
        <w:t>associated</w:t>
      </w:r>
      <w:proofErr w:type="spellEnd"/>
      <w:r w:rsidRPr="00323A60">
        <w:rPr>
          <w:rFonts w:asciiTheme="minorHAnsi" w:hAnsiTheme="minorHAnsi" w:cstheme="minorHAnsi"/>
        </w:rPr>
        <w:t xml:space="preserve"> </w:t>
      </w:r>
      <w:proofErr w:type="spellStart"/>
      <w:r w:rsidRPr="00323A60">
        <w:rPr>
          <w:rFonts w:asciiTheme="minorHAnsi" w:hAnsiTheme="minorHAnsi" w:cstheme="minorHAnsi"/>
        </w:rPr>
        <w:t>with</w:t>
      </w:r>
      <w:proofErr w:type="spellEnd"/>
      <w:r w:rsidRPr="00323A60">
        <w:rPr>
          <w:rFonts w:asciiTheme="minorHAnsi" w:hAnsiTheme="minorHAnsi" w:cstheme="minorHAnsi"/>
        </w:rPr>
        <w:t xml:space="preserve"> </w:t>
      </w:r>
      <w:proofErr w:type="spellStart"/>
      <w:r w:rsidRPr="00323A60">
        <w:rPr>
          <w:rFonts w:asciiTheme="minorHAnsi" w:hAnsiTheme="minorHAnsi" w:cstheme="minorHAnsi"/>
        </w:rPr>
        <w:t>cannulation</w:t>
      </w:r>
      <w:proofErr w:type="spellEnd"/>
      <w:r w:rsidRPr="00323A60">
        <w:rPr>
          <w:rFonts w:asciiTheme="minorHAnsi" w:hAnsiTheme="minorHAnsi" w:cstheme="minorHAnsi"/>
        </w:rPr>
        <w:t xml:space="preserve"> </w:t>
      </w:r>
      <w:proofErr w:type="spellStart"/>
      <w:r w:rsidRPr="00323A60">
        <w:rPr>
          <w:rFonts w:asciiTheme="minorHAnsi" w:hAnsiTheme="minorHAnsi" w:cstheme="minorHAnsi"/>
        </w:rPr>
        <w:t>failure</w:t>
      </w:r>
      <w:proofErr w:type="spellEnd"/>
      <w:r w:rsidRPr="00323A60">
        <w:rPr>
          <w:rFonts w:asciiTheme="minorHAnsi" w:hAnsiTheme="minorHAnsi" w:cstheme="minorHAnsi"/>
        </w:rPr>
        <w:t>.</w:t>
      </w:r>
    </w:p>
    <w:p w14:paraId="20FAE6C0" w14:textId="77777777" w:rsidR="0029159F" w:rsidRPr="00323A60" w:rsidRDefault="0029159F" w:rsidP="0029159F">
      <w:pPr>
        <w:pStyle w:val="NormalWeb"/>
        <w:rPr>
          <w:rFonts w:asciiTheme="minorHAnsi" w:hAnsiTheme="minorHAnsi" w:cstheme="minorHAnsi"/>
        </w:rPr>
      </w:pPr>
      <w:r w:rsidRPr="00323A60">
        <w:rPr>
          <w:rStyle w:val="Strong"/>
          <w:rFonts w:asciiTheme="minorHAnsi" w:hAnsiTheme="minorHAnsi" w:cstheme="minorHAnsi"/>
        </w:rPr>
        <w:t xml:space="preserve">Materials and </w:t>
      </w:r>
      <w:proofErr w:type="gramStart"/>
      <w:r w:rsidRPr="00323A60">
        <w:rPr>
          <w:rStyle w:val="Strong"/>
          <w:rFonts w:asciiTheme="minorHAnsi" w:hAnsiTheme="minorHAnsi" w:cstheme="minorHAnsi"/>
        </w:rPr>
        <w:t>Methods:</w:t>
      </w:r>
      <w:proofErr w:type="gramEnd"/>
      <w:r w:rsidRPr="00323A60">
        <w:rPr>
          <w:rFonts w:asciiTheme="minorHAnsi" w:hAnsiTheme="minorHAnsi" w:cstheme="minorHAnsi"/>
        </w:rPr>
        <w:t xml:space="preserve"> This </w:t>
      </w:r>
      <w:proofErr w:type="spellStart"/>
      <w:r w:rsidRPr="00323A60">
        <w:rPr>
          <w:rFonts w:asciiTheme="minorHAnsi" w:hAnsiTheme="minorHAnsi" w:cstheme="minorHAnsi"/>
        </w:rPr>
        <w:t>is</w:t>
      </w:r>
      <w:proofErr w:type="spellEnd"/>
      <w:r w:rsidRPr="00323A60">
        <w:rPr>
          <w:rFonts w:asciiTheme="minorHAnsi" w:hAnsiTheme="minorHAnsi" w:cstheme="minorHAnsi"/>
        </w:rPr>
        <w:t xml:space="preserve"> a </w:t>
      </w:r>
      <w:proofErr w:type="spellStart"/>
      <w:r w:rsidRPr="00323A60">
        <w:rPr>
          <w:rFonts w:asciiTheme="minorHAnsi" w:hAnsiTheme="minorHAnsi" w:cstheme="minorHAnsi"/>
        </w:rPr>
        <w:t>retrospective</w:t>
      </w:r>
      <w:proofErr w:type="spellEnd"/>
      <w:r w:rsidRPr="00323A60">
        <w:rPr>
          <w:rFonts w:asciiTheme="minorHAnsi" w:hAnsiTheme="minorHAnsi" w:cstheme="minorHAnsi"/>
        </w:rPr>
        <w:t xml:space="preserve">, descriptive, and </w:t>
      </w:r>
      <w:proofErr w:type="spellStart"/>
      <w:r w:rsidRPr="00323A60">
        <w:rPr>
          <w:rFonts w:asciiTheme="minorHAnsi" w:hAnsiTheme="minorHAnsi" w:cstheme="minorHAnsi"/>
        </w:rPr>
        <w:t>analytical</w:t>
      </w:r>
      <w:proofErr w:type="spellEnd"/>
      <w:r w:rsidRPr="00323A60">
        <w:rPr>
          <w:rFonts w:asciiTheme="minorHAnsi" w:hAnsiTheme="minorHAnsi" w:cstheme="minorHAnsi"/>
        </w:rPr>
        <w:t xml:space="preserve"> </w:t>
      </w:r>
      <w:proofErr w:type="spellStart"/>
      <w:r w:rsidRPr="00323A60">
        <w:rPr>
          <w:rFonts w:asciiTheme="minorHAnsi" w:hAnsiTheme="minorHAnsi" w:cstheme="minorHAnsi"/>
        </w:rPr>
        <w:t>study</w:t>
      </w:r>
      <w:proofErr w:type="spellEnd"/>
      <w:r w:rsidRPr="00323A60">
        <w:rPr>
          <w:rFonts w:asciiTheme="minorHAnsi" w:hAnsiTheme="minorHAnsi" w:cstheme="minorHAnsi"/>
        </w:rPr>
        <w:t xml:space="preserve"> </w:t>
      </w:r>
      <w:proofErr w:type="spellStart"/>
      <w:r w:rsidRPr="00323A60">
        <w:rPr>
          <w:rFonts w:asciiTheme="minorHAnsi" w:hAnsiTheme="minorHAnsi" w:cstheme="minorHAnsi"/>
        </w:rPr>
        <w:t>conducted</w:t>
      </w:r>
      <w:proofErr w:type="spellEnd"/>
      <w:r w:rsidRPr="00323A60">
        <w:rPr>
          <w:rFonts w:asciiTheme="minorHAnsi" w:hAnsiTheme="minorHAnsi" w:cstheme="minorHAnsi"/>
        </w:rPr>
        <w:t xml:space="preserve"> in the </w:t>
      </w:r>
      <w:proofErr w:type="spellStart"/>
      <w:r w:rsidRPr="00323A60">
        <w:rPr>
          <w:rFonts w:asciiTheme="minorHAnsi" w:hAnsiTheme="minorHAnsi" w:cstheme="minorHAnsi"/>
        </w:rPr>
        <w:t>Hepato-Gastroenterology</w:t>
      </w:r>
      <w:proofErr w:type="spellEnd"/>
      <w:r w:rsidRPr="00323A60">
        <w:rPr>
          <w:rFonts w:asciiTheme="minorHAnsi" w:hAnsiTheme="minorHAnsi" w:cstheme="minorHAnsi"/>
        </w:rPr>
        <w:t xml:space="preserve"> </w:t>
      </w:r>
      <w:proofErr w:type="spellStart"/>
      <w:r w:rsidRPr="00323A60">
        <w:rPr>
          <w:rFonts w:asciiTheme="minorHAnsi" w:hAnsiTheme="minorHAnsi" w:cstheme="minorHAnsi"/>
        </w:rPr>
        <w:t>Department</w:t>
      </w:r>
      <w:proofErr w:type="spellEnd"/>
      <w:r w:rsidRPr="00323A60">
        <w:rPr>
          <w:rFonts w:asciiTheme="minorHAnsi" w:hAnsiTheme="minorHAnsi" w:cstheme="minorHAnsi"/>
        </w:rPr>
        <w:t xml:space="preserve"> at Ibn Rochd </w:t>
      </w:r>
      <w:proofErr w:type="spellStart"/>
      <w:r w:rsidRPr="00323A60">
        <w:rPr>
          <w:rFonts w:asciiTheme="minorHAnsi" w:hAnsiTheme="minorHAnsi" w:cstheme="minorHAnsi"/>
        </w:rPr>
        <w:t>University</w:t>
      </w:r>
      <w:proofErr w:type="spellEnd"/>
      <w:r w:rsidRPr="00323A60">
        <w:rPr>
          <w:rFonts w:asciiTheme="minorHAnsi" w:hAnsiTheme="minorHAnsi" w:cstheme="minorHAnsi"/>
        </w:rPr>
        <w:t xml:space="preserve"> Hospital in Casablanca. It </w:t>
      </w:r>
      <w:proofErr w:type="spellStart"/>
      <w:r w:rsidRPr="00323A60">
        <w:rPr>
          <w:rFonts w:asciiTheme="minorHAnsi" w:hAnsiTheme="minorHAnsi" w:cstheme="minorHAnsi"/>
        </w:rPr>
        <w:t>covers</w:t>
      </w:r>
      <w:proofErr w:type="spellEnd"/>
      <w:r w:rsidRPr="00323A60">
        <w:rPr>
          <w:rFonts w:asciiTheme="minorHAnsi" w:hAnsiTheme="minorHAnsi" w:cstheme="minorHAnsi"/>
        </w:rPr>
        <w:t xml:space="preserve"> an </w:t>
      </w:r>
      <w:proofErr w:type="spellStart"/>
      <w:r w:rsidRPr="00323A60">
        <w:rPr>
          <w:rFonts w:asciiTheme="minorHAnsi" w:hAnsiTheme="minorHAnsi" w:cstheme="minorHAnsi"/>
        </w:rPr>
        <w:t>eight-year</w:t>
      </w:r>
      <w:proofErr w:type="spellEnd"/>
      <w:r w:rsidRPr="00323A60">
        <w:rPr>
          <w:rFonts w:asciiTheme="minorHAnsi" w:hAnsiTheme="minorHAnsi" w:cstheme="minorHAnsi"/>
        </w:rPr>
        <w:t xml:space="preserve"> </w:t>
      </w:r>
      <w:proofErr w:type="spellStart"/>
      <w:r w:rsidRPr="00323A60">
        <w:rPr>
          <w:rFonts w:asciiTheme="minorHAnsi" w:hAnsiTheme="minorHAnsi" w:cstheme="minorHAnsi"/>
        </w:rPr>
        <w:t>period</w:t>
      </w:r>
      <w:proofErr w:type="spellEnd"/>
      <w:r w:rsidRPr="00323A60">
        <w:rPr>
          <w:rFonts w:asciiTheme="minorHAnsi" w:hAnsiTheme="minorHAnsi" w:cstheme="minorHAnsi"/>
        </w:rPr>
        <w:t xml:space="preserve">, </w:t>
      </w:r>
      <w:proofErr w:type="spellStart"/>
      <w:r w:rsidRPr="00323A60">
        <w:rPr>
          <w:rFonts w:asciiTheme="minorHAnsi" w:hAnsiTheme="minorHAnsi" w:cstheme="minorHAnsi"/>
        </w:rPr>
        <w:t>from</w:t>
      </w:r>
      <w:proofErr w:type="spellEnd"/>
      <w:r w:rsidRPr="00323A60">
        <w:rPr>
          <w:rFonts w:asciiTheme="minorHAnsi" w:hAnsiTheme="minorHAnsi" w:cstheme="minorHAnsi"/>
        </w:rPr>
        <w:t xml:space="preserve"> </w:t>
      </w:r>
      <w:proofErr w:type="spellStart"/>
      <w:r w:rsidRPr="00323A60">
        <w:rPr>
          <w:rFonts w:asciiTheme="minorHAnsi" w:hAnsiTheme="minorHAnsi" w:cstheme="minorHAnsi"/>
        </w:rPr>
        <w:t>January</w:t>
      </w:r>
      <w:proofErr w:type="spellEnd"/>
      <w:r w:rsidRPr="00323A60">
        <w:rPr>
          <w:rFonts w:asciiTheme="minorHAnsi" w:hAnsiTheme="minorHAnsi" w:cstheme="minorHAnsi"/>
        </w:rPr>
        <w:t xml:space="preserve"> 2017 to </w:t>
      </w:r>
      <w:proofErr w:type="spellStart"/>
      <w:r w:rsidRPr="00323A60">
        <w:rPr>
          <w:rFonts w:asciiTheme="minorHAnsi" w:hAnsiTheme="minorHAnsi" w:cstheme="minorHAnsi"/>
        </w:rPr>
        <w:t>January</w:t>
      </w:r>
      <w:proofErr w:type="spellEnd"/>
      <w:r w:rsidRPr="00323A60">
        <w:rPr>
          <w:rFonts w:asciiTheme="minorHAnsi" w:hAnsiTheme="minorHAnsi" w:cstheme="minorHAnsi"/>
        </w:rPr>
        <w:t xml:space="preserve"> 2024, and </w:t>
      </w:r>
      <w:proofErr w:type="spellStart"/>
      <w:r w:rsidRPr="00323A60">
        <w:rPr>
          <w:rFonts w:asciiTheme="minorHAnsi" w:hAnsiTheme="minorHAnsi" w:cstheme="minorHAnsi"/>
        </w:rPr>
        <w:t>includes</w:t>
      </w:r>
      <w:proofErr w:type="spellEnd"/>
      <w:r w:rsidRPr="00323A60">
        <w:rPr>
          <w:rFonts w:asciiTheme="minorHAnsi" w:hAnsiTheme="minorHAnsi" w:cstheme="minorHAnsi"/>
        </w:rPr>
        <w:t xml:space="preserve"> all patients </w:t>
      </w:r>
      <w:proofErr w:type="spellStart"/>
      <w:r w:rsidRPr="00323A60">
        <w:rPr>
          <w:rFonts w:asciiTheme="minorHAnsi" w:hAnsiTheme="minorHAnsi" w:cstheme="minorHAnsi"/>
        </w:rPr>
        <w:t>who</w:t>
      </w:r>
      <w:proofErr w:type="spellEnd"/>
      <w:r w:rsidRPr="00323A60">
        <w:rPr>
          <w:rFonts w:asciiTheme="minorHAnsi" w:hAnsiTheme="minorHAnsi" w:cstheme="minorHAnsi"/>
        </w:rPr>
        <w:t xml:space="preserve"> </w:t>
      </w:r>
      <w:proofErr w:type="spellStart"/>
      <w:r w:rsidRPr="00323A60">
        <w:rPr>
          <w:rFonts w:asciiTheme="minorHAnsi" w:hAnsiTheme="minorHAnsi" w:cstheme="minorHAnsi"/>
        </w:rPr>
        <w:t>underwent</w:t>
      </w:r>
      <w:proofErr w:type="spellEnd"/>
      <w:r w:rsidRPr="00323A60">
        <w:rPr>
          <w:rFonts w:asciiTheme="minorHAnsi" w:hAnsiTheme="minorHAnsi" w:cstheme="minorHAnsi"/>
        </w:rPr>
        <w:t xml:space="preserve"> </w:t>
      </w:r>
      <w:proofErr w:type="spellStart"/>
      <w:r w:rsidRPr="00323A60">
        <w:rPr>
          <w:rFonts w:asciiTheme="minorHAnsi" w:hAnsiTheme="minorHAnsi" w:cstheme="minorHAnsi"/>
        </w:rPr>
        <w:t>therapeutic</w:t>
      </w:r>
      <w:proofErr w:type="spellEnd"/>
      <w:r w:rsidRPr="00323A60">
        <w:rPr>
          <w:rFonts w:asciiTheme="minorHAnsi" w:hAnsiTheme="minorHAnsi" w:cstheme="minorHAnsi"/>
        </w:rPr>
        <w:t xml:space="preserve"> ERCP.</w:t>
      </w:r>
    </w:p>
    <w:p w14:paraId="54731A1B" w14:textId="77777777" w:rsidR="0029159F" w:rsidRPr="00323A60" w:rsidRDefault="0029159F" w:rsidP="0029159F">
      <w:pPr>
        <w:pStyle w:val="NormalWeb"/>
        <w:rPr>
          <w:rFonts w:asciiTheme="minorHAnsi" w:hAnsiTheme="minorHAnsi" w:cstheme="minorHAnsi"/>
        </w:rPr>
      </w:pPr>
      <w:proofErr w:type="spellStart"/>
      <w:proofErr w:type="gramStart"/>
      <w:r w:rsidRPr="00323A60">
        <w:rPr>
          <w:rStyle w:val="Strong"/>
          <w:rFonts w:asciiTheme="minorHAnsi" w:hAnsiTheme="minorHAnsi" w:cstheme="minorHAnsi"/>
        </w:rPr>
        <w:t>Results</w:t>
      </w:r>
      <w:proofErr w:type="spellEnd"/>
      <w:r w:rsidRPr="00323A60">
        <w:rPr>
          <w:rStyle w:val="Strong"/>
          <w:rFonts w:asciiTheme="minorHAnsi" w:hAnsiTheme="minorHAnsi" w:cstheme="minorHAnsi"/>
        </w:rPr>
        <w:t>:</w:t>
      </w:r>
      <w:proofErr w:type="gramEnd"/>
      <w:r w:rsidRPr="00323A60">
        <w:rPr>
          <w:rFonts w:asciiTheme="minorHAnsi" w:hAnsiTheme="minorHAnsi" w:cstheme="minorHAnsi"/>
        </w:rPr>
        <w:t xml:space="preserve"> </w:t>
      </w:r>
      <w:proofErr w:type="spellStart"/>
      <w:r w:rsidRPr="00323A60">
        <w:rPr>
          <w:rFonts w:asciiTheme="minorHAnsi" w:hAnsiTheme="minorHAnsi" w:cstheme="minorHAnsi"/>
        </w:rPr>
        <w:t>During</w:t>
      </w:r>
      <w:proofErr w:type="spellEnd"/>
      <w:r w:rsidRPr="00323A60">
        <w:rPr>
          <w:rFonts w:asciiTheme="minorHAnsi" w:hAnsiTheme="minorHAnsi" w:cstheme="minorHAnsi"/>
        </w:rPr>
        <w:t xml:space="preserve"> the </w:t>
      </w:r>
      <w:proofErr w:type="spellStart"/>
      <w:r w:rsidRPr="00323A60">
        <w:rPr>
          <w:rFonts w:asciiTheme="minorHAnsi" w:hAnsiTheme="minorHAnsi" w:cstheme="minorHAnsi"/>
        </w:rPr>
        <w:t>study</w:t>
      </w:r>
      <w:proofErr w:type="spellEnd"/>
      <w:r w:rsidRPr="00323A60">
        <w:rPr>
          <w:rFonts w:asciiTheme="minorHAnsi" w:hAnsiTheme="minorHAnsi" w:cstheme="minorHAnsi"/>
        </w:rPr>
        <w:t xml:space="preserve"> </w:t>
      </w:r>
      <w:proofErr w:type="spellStart"/>
      <w:r w:rsidRPr="00323A60">
        <w:rPr>
          <w:rFonts w:asciiTheme="minorHAnsi" w:hAnsiTheme="minorHAnsi" w:cstheme="minorHAnsi"/>
        </w:rPr>
        <w:t>period</w:t>
      </w:r>
      <w:proofErr w:type="spellEnd"/>
      <w:r w:rsidRPr="00323A60">
        <w:rPr>
          <w:rFonts w:asciiTheme="minorHAnsi" w:hAnsiTheme="minorHAnsi" w:cstheme="minorHAnsi"/>
        </w:rPr>
        <w:t xml:space="preserve">, 407 </w:t>
      </w:r>
      <w:proofErr w:type="spellStart"/>
      <w:r w:rsidRPr="00323A60">
        <w:rPr>
          <w:rFonts w:asciiTheme="minorHAnsi" w:hAnsiTheme="minorHAnsi" w:cstheme="minorHAnsi"/>
        </w:rPr>
        <w:t>therapeutic</w:t>
      </w:r>
      <w:proofErr w:type="spellEnd"/>
      <w:r w:rsidRPr="00323A60">
        <w:rPr>
          <w:rFonts w:asciiTheme="minorHAnsi" w:hAnsiTheme="minorHAnsi" w:cstheme="minorHAnsi"/>
        </w:rPr>
        <w:t xml:space="preserve"> ERCP </w:t>
      </w:r>
      <w:proofErr w:type="spellStart"/>
      <w:r w:rsidRPr="00323A60">
        <w:rPr>
          <w:rFonts w:asciiTheme="minorHAnsi" w:hAnsiTheme="minorHAnsi" w:cstheme="minorHAnsi"/>
        </w:rPr>
        <w:t>procedures</w:t>
      </w:r>
      <w:proofErr w:type="spellEnd"/>
      <w:r w:rsidRPr="00323A60">
        <w:rPr>
          <w:rFonts w:asciiTheme="minorHAnsi" w:hAnsiTheme="minorHAnsi" w:cstheme="minorHAnsi"/>
        </w:rPr>
        <w:t xml:space="preserve"> </w:t>
      </w:r>
      <w:proofErr w:type="spellStart"/>
      <w:r w:rsidRPr="00323A60">
        <w:rPr>
          <w:rFonts w:asciiTheme="minorHAnsi" w:hAnsiTheme="minorHAnsi" w:cstheme="minorHAnsi"/>
        </w:rPr>
        <w:t>were</w:t>
      </w:r>
      <w:proofErr w:type="spellEnd"/>
      <w:r w:rsidRPr="00323A60">
        <w:rPr>
          <w:rFonts w:asciiTheme="minorHAnsi" w:hAnsiTheme="minorHAnsi" w:cstheme="minorHAnsi"/>
        </w:rPr>
        <w:t xml:space="preserve"> </w:t>
      </w:r>
      <w:proofErr w:type="spellStart"/>
      <w:r w:rsidRPr="00323A60">
        <w:rPr>
          <w:rFonts w:asciiTheme="minorHAnsi" w:hAnsiTheme="minorHAnsi" w:cstheme="minorHAnsi"/>
        </w:rPr>
        <w:t>performed</w:t>
      </w:r>
      <w:proofErr w:type="spellEnd"/>
      <w:r w:rsidRPr="00323A60">
        <w:rPr>
          <w:rFonts w:asciiTheme="minorHAnsi" w:hAnsiTheme="minorHAnsi" w:cstheme="minorHAnsi"/>
        </w:rPr>
        <w:t xml:space="preserve">. </w:t>
      </w:r>
      <w:proofErr w:type="spellStart"/>
      <w:r w:rsidRPr="00323A60">
        <w:rPr>
          <w:rFonts w:asciiTheme="minorHAnsi" w:hAnsiTheme="minorHAnsi" w:cstheme="minorHAnsi"/>
        </w:rPr>
        <w:t>Cannulation</w:t>
      </w:r>
      <w:proofErr w:type="spellEnd"/>
      <w:r w:rsidRPr="00323A60">
        <w:rPr>
          <w:rFonts w:asciiTheme="minorHAnsi" w:hAnsiTheme="minorHAnsi" w:cstheme="minorHAnsi"/>
        </w:rPr>
        <w:t xml:space="preserve"> </w:t>
      </w:r>
      <w:proofErr w:type="spellStart"/>
      <w:r w:rsidRPr="00323A60">
        <w:rPr>
          <w:rFonts w:asciiTheme="minorHAnsi" w:hAnsiTheme="minorHAnsi" w:cstheme="minorHAnsi"/>
        </w:rPr>
        <w:t>failure</w:t>
      </w:r>
      <w:proofErr w:type="spellEnd"/>
      <w:r w:rsidRPr="00323A60">
        <w:rPr>
          <w:rFonts w:asciiTheme="minorHAnsi" w:hAnsiTheme="minorHAnsi" w:cstheme="minorHAnsi"/>
        </w:rPr>
        <w:t xml:space="preserve"> </w:t>
      </w:r>
      <w:proofErr w:type="spellStart"/>
      <w:r w:rsidRPr="00323A60">
        <w:rPr>
          <w:rFonts w:asciiTheme="minorHAnsi" w:hAnsiTheme="minorHAnsi" w:cstheme="minorHAnsi"/>
        </w:rPr>
        <w:t>occurred</w:t>
      </w:r>
      <w:proofErr w:type="spellEnd"/>
      <w:r w:rsidRPr="00323A60">
        <w:rPr>
          <w:rFonts w:asciiTheme="minorHAnsi" w:hAnsiTheme="minorHAnsi" w:cstheme="minorHAnsi"/>
        </w:rPr>
        <w:t xml:space="preserve"> </w:t>
      </w:r>
      <w:proofErr w:type="spellStart"/>
      <w:r w:rsidRPr="00323A60">
        <w:rPr>
          <w:rFonts w:asciiTheme="minorHAnsi" w:hAnsiTheme="minorHAnsi" w:cstheme="minorHAnsi"/>
        </w:rPr>
        <w:t>in</w:t>
      </w:r>
      <w:proofErr w:type="spellEnd"/>
      <w:r w:rsidRPr="00323A60">
        <w:rPr>
          <w:rFonts w:asciiTheme="minorHAnsi" w:hAnsiTheme="minorHAnsi" w:cstheme="minorHAnsi"/>
        </w:rPr>
        <w:t xml:space="preserve"> 7% of cases, </w:t>
      </w:r>
      <w:proofErr w:type="spellStart"/>
      <w:r w:rsidRPr="00323A60">
        <w:rPr>
          <w:rFonts w:asciiTheme="minorHAnsi" w:hAnsiTheme="minorHAnsi" w:cstheme="minorHAnsi"/>
        </w:rPr>
        <w:t>representing</w:t>
      </w:r>
      <w:proofErr w:type="spellEnd"/>
      <w:r w:rsidRPr="00323A60">
        <w:rPr>
          <w:rFonts w:asciiTheme="minorHAnsi" w:hAnsiTheme="minorHAnsi" w:cstheme="minorHAnsi"/>
        </w:rPr>
        <w:t xml:space="preserve"> 30 patients.</w:t>
      </w:r>
      <w:r w:rsidRPr="00323A60">
        <w:rPr>
          <w:rFonts w:asciiTheme="minorHAnsi" w:hAnsiTheme="minorHAnsi" w:cstheme="minorHAnsi"/>
        </w:rPr>
        <w:br/>
        <w:t xml:space="preserve">The </w:t>
      </w:r>
      <w:proofErr w:type="spellStart"/>
      <w:r w:rsidRPr="00323A60">
        <w:rPr>
          <w:rFonts w:asciiTheme="minorHAnsi" w:hAnsiTheme="minorHAnsi" w:cstheme="minorHAnsi"/>
        </w:rPr>
        <w:t>predictive</w:t>
      </w:r>
      <w:proofErr w:type="spellEnd"/>
      <w:r w:rsidRPr="00323A60">
        <w:rPr>
          <w:rFonts w:asciiTheme="minorHAnsi" w:hAnsiTheme="minorHAnsi" w:cstheme="minorHAnsi"/>
        </w:rPr>
        <w:t xml:space="preserve"> </w:t>
      </w:r>
      <w:proofErr w:type="spellStart"/>
      <w:r w:rsidRPr="00323A60">
        <w:rPr>
          <w:rFonts w:asciiTheme="minorHAnsi" w:hAnsiTheme="minorHAnsi" w:cstheme="minorHAnsi"/>
        </w:rPr>
        <w:t>factors</w:t>
      </w:r>
      <w:proofErr w:type="spellEnd"/>
      <w:r w:rsidRPr="00323A60">
        <w:rPr>
          <w:rFonts w:asciiTheme="minorHAnsi" w:hAnsiTheme="minorHAnsi" w:cstheme="minorHAnsi"/>
        </w:rPr>
        <w:t xml:space="preserve"> of </w:t>
      </w:r>
      <w:proofErr w:type="spellStart"/>
      <w:r w:rsidRPr="00323A60">
        <w:rPr>
          <w:rFonts w:asciiTheme="minorHAnsi" w:hAnsiTheme="minorHAnsi" w:cstheme="minorHAnsi"/>
        </w:rPr>
        <w:t>biliary</w:t>
      </w:r>
      <w:proofErr w:type="spellEnd"/>
      <w:r w:rsidRPr="00323A60">
        <w:rPr>
          <w:rFonts w:asciiTheme="minorHAnsi" w:hAnsiTheme="minorHAnsi" w:cstheme="minorHAnsi"/>
        </w:rPr>
        <w:t xml:space="preserve"> </w:t>
      </w:r>
      <w:proofErr w:type="spellStart"/>
      <w:r w:rsidRPr="00323A60">
        <w:rPr>
          <w:rFonts w:asciiTheme="minorHAnsi" w:hAnsiTheme="minorHAnsi" w:cstheme="minorHAnsi"/>
        </w:rPr>
        <w:t>cannulation</w:t>
      </w:r>
      <w:proofErr w:type="spellEnd"/>
      <w:r w:rsidRPr="00323A60">
        <w:rPr>
          <w:rFonts w:asciiTheme="minorHAnsi" w:hAnsiTheme="minorHAnsi" w:cstheme="minorHAnsi"/>
        </w:rPr>
        <w:t xml:space="preserve"> </w:t>
      </w:r>
      <w:proofErr w:type="spellStart"/>
      <w:r w:rsidRPr="00323A60">
        <w:rPr>
          <w:rFonts w:asciiTheme="minorHAnsi" w:hAnsiTheme="minorHAnsi" w:cstheme="minorHAnsi"/>
        </w:rPr>
        <w:t>failure</w:t>
      </w:r>
      <w:proofErr w:type="spellEnd"/>
      <w:r w:rsidRPr="00323A60">
        <w:rPr>
          <w:rFonts w:asciiTheme="minorHAnsi" w:hAnsiTheme="minorHAnsi" w:cstheme="minorHAnsi"/>
        </w:rPr>
        <w:t xml:space="preserve"> </w:t>
      </w:r>
      <w:proofErr w:type="spellStart"/>
      <w:r w:rsidRPr="00323A60">
        <w:rPr>
          <w:rFonts w:asciiTheme="minorHAnsi" w:hAnsiTheme="minorHAnsi" w:cstheme="minorHAnsi"/>
        </w:rPr>
        <w:t>identified</w:t>
      </w:r>
      <w:proofErr w:type="spellEnd"/>
      <w:r w:rsidRPr="00323A60">
        <w:rPr>
          <w:rFonts w:asciiTheme="minorHAnsi" w:hAnsiTheme="minorHAnsi" w:cstheme="minorHAnsi"/>
        </w:rPr>
        <w:t xml:space="preserve"> in </w:t>
      </w:r>
      <w:proofErr w:type="spellStart"/>
      <w:r w:rsidRPr="00323A60">
        <w:rPr>
          <w:rFonts w:asciiTheme="minorHAnsi" w:hAnsiTheme="minorHAnsi" w:cstheme="minorHAnsi"/>
        </w:rPr>
        <w:t>our</w:t>
      </w:r>
      <w:proofErr w:type="spellEnd"/>
      <w:r w:rsidRPr="00323A60">
        <w:rPr>
          <w:rFonts w:asciiTheme="minorHAnsi" w:hAnsiTheme="minorHAnsi" w:cstheme="minorHAnsi"/>
        </w:rPr>
        <w:t xml:space="preserve"> </w:t>
      </w:r>
      <w:proofErr w:type="spellStart"/>
      <w:r w:rsidRPr="00323A60">
        <w:rPr>
          <w:rFonts w:asciiTheme="minorHAnsi" w:hAnsiTheme="minorHAnsi" w:cstheme="minorHAnsi"/>
        </w:rPr>
        <w:t>study</w:t>
      </w:r>
      <w:proofErr w:type="spellEnd"/>
      <w:r w:rsidRPr="00323A60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323A60">
        <w:rPr>
          <w:rFonts w:asciiTheme="minorHAnsi" w:hAnsiTheme="minorHAnsi" w:cstheme="minorHAnsi"/>
        </w:rPr>
        <w:t>were</w:t>
      </w:r>
      <w:proofErr w:type="spellEnd"/>
      <w:r w:rsidRPr="00323A60">
        <w:rPr>
          <w:rFonts w:asciiTheme="minorHAnsi" w:hAnsiTheme="minorHAnsi" w:cstheme="minorHAnsi"/>
        </w:rPr>
        <w:t>:</w:t>
      </w:r>
      <w:proofErr w:type="gramEnd"/>
      <w:r w:rsidRPr="00323A60">
        <w:rPr>
          <w:rFonts w:asciiTheme="minorHAnsi" w:hAnsiTheme="minorHAnsi" w:cstheme="minorHAnsi"/>
        </w:rPr>
        <w:t xml:space="preserve"> an </w:t>
      </w:r>
      <w:proofErr w:type="spellStart"/>
      <w:r w:rsidRPr="00323A60">
        <w:rPr>
          <w:rFonts w:asciiTheme="minorHAnsi" w:hAnsiTheme="minorHAnsi" w:cstheme="minorHAnsi"/>
        </w:rPr>
        <w:t>impacted</w:t>
      </w:r>
      <w:proofErr w:type="spellEnd"/>
      <w:r w:rsidRPr="00323A60">
        <w:rPr>
          <w:rFonts w:asciiTheme="minorHAnsi" w:hAnsiTheme="minorHAnsi" w:cstheme="minorHAnsi"/>
        </w:rPr>
        <w:t xml:space="preserve"> stone in the distal </w:t>
      </w:r>
      <w:proofErr w:type="spellStart"/>
      <w:r w:rsidRPr="00323A60">
        <w:rPr>
          <w:rFonts w:asciiTheme="minorHAnsi" w:hAnsiTheme="minorHAnsi" w:cstheme="minorHAnsi"/>
        </w:rPr>
        <w:t>common</w:t>
      </w:r>
      <w:proofErr w:type="spellEnd"/>
      <w:r w:rsidRPr="00323A60">
        <w:rPr>
          <w:rFonts w:asciiTheme="minorHAnsi" w:hAnsiTheme="minorHAnsi" w:cstheme="minorHAnsi"/>
        </w:rPr>
        <w:t xml:space="preserve"> bile </w:t>
      </w:r>
      <w:proofErr w:type="spellStart"/>
      <w:r w:rsidRPr="00323A60">
        <w:rPr>
          <w:rFonts w:asciiTheme="minorHAnsi" w:hAnsiTheme="minorHAnsi" w:cstheme="minorHAnsi"/>
        </w:rPr>
        <w:t>duct</w:t>
      </w:r>
      <w:proofErr w:type="spellEnd"/>
      <w:r w:rsidRPr="00323A60">
        <w:rPr>
          <w:rFonts w:asciiTheme="minorHAnsi" w:hAnsiTheme="minorHAnsi" w:cstheme="minorHAnsi"/>
        </w:rPr>
        <w:t xml:space="preserve">, the </w:t>
      </w:r>
      <w:proofErr w:type="spellStart"/>
      <w:r w:rsidRPr="00323A60">
        <w:rPr>
          <w:rFonts w:asciiTheme="minorHAnsi" w:hAnsiTheme="minorHAnsi" w:cstheme="minorHAnsi"/>
        </w:rPr>
        <w:t>appearance</w:t>
      </w:r>
      <w:proofErr w:type="spellEnd"/>
      <w:r w:rsidRPr="00323A60">
        <w:rPr>
          <w:rFonts w:asciiTheme="minorHAnsi" w:hAnsiTheme="minorHAnsi" w:cstheme="minorHAnsi"/>
        </w:rPr>
        <w:t xml:space="preserve"> of the </w:t>
      </w:r>
      <w:proofErr w:type="spellStart"/>
      <w:r w:rsidRPr="00323A60">
        <w:rPr>
          <w:rFonts w:asciiTheme="minorHAnsi" w:hAnsiTheme="minorHAnsi" w:cstheme="minorHAnsi"/>
        </w:rPr>
        <w:t>duodenal</w:t>
      </w:r>
      <w:proofErr w:type="spellEnd"/>
      <w:r w:rsidRPr="00323A60">
        <w:rPr>
          <w:rFonts w:asciiTheme="minorHAnsi" w:hAnsiTheme="minorHAnsi" w:cstheme="minorHAnsi"/>
        </w:rPr>
        <w:t xml:space="preserve"> </w:t>
      </w:r>
      <w:proofErr w:type="spellStart"/>
      <w:r w:rsidRPr="00323A60">
        <w:rPr>
          <w:rFonts w:asciiTheme="minorHAnsi" w:hAnsiTheme="minorHAnsi" w:cstheme="minorHAnsi"/>
        </w:rPr>
        <w:t>papilla</w:t>
      </w:r>
      <w:proofErr w:type="spellEnd"/>
      <w:r w:rsidRPr="00323A60">
        <w:rPr>
          <w:rFonts w:asciiTheme="minorHAnsi" w:hAnsiTheme="minorHAnsi" w:cstheme="minorHAnsi"/>
        </w:rPr>
        <w:t xml:space="preserve">, and an </w:t>
      </w:r>
      <w:proofErr w:type="spellStart"/>
      <w:r w:rsidRPr="00323A60">
        <w:rPr>
          <w:rFonts w:asciiTheme="minorHAnsi" w:hAnsiTheme="minorHAnsi" w:cstheme="minorHAnsi"/>
        </w:rPr>
        <w:t>intradiverticular</w:t>
      </w:r>
      <w:proofErr w:type="spellEnd"/>
      <w:r w:rsidRPr="00323A60">
        <w:rPr>
          <w:rFonts w:asciiTheme="minorHAnsi" w:hAnsiTheme="minorHAnsi" w:cstheme="minorHAnsi"/>
        </w:rPr>
        <w:t xml:space="preserve"> location of the </w:t>
      </w:r>
      <w:proofErr w:type="spellStart"/>
      <w:r w:rsidRPr="00323A60">
        <w:rPr>
          <w:rFonts w:asciiTheme="minorHAnsi" w:hAnsiTheme="minorHAnsi" w:cstheme="minorHAnsi"/>
        </w:rPr>
        <w:t>papilla</w:t>
      </w:r>
      <w:proofErr w:type="spellEnd"/>
      <w:r w:rsidRPr="00323A60">
        <w:rPr>
          <w:rFonts w:asciiTheme="minorHAnsi" w:hAnsiTheme="minorHAnsi" w:cstheme="minorHAnsi"/>
        </w:rPr>
        <w:t>.</w:t>
      </w:r>
    </w:p>
    <w:p w14:paraId="5EBD6D27" w14:textId="77777777" w:rsidR="0029159F" w:rsidRPr="00323A60" w:rsidRDefault="0029159F" w:rsidP="0029159F">
      <w:pPr>
        <w:pStyle w:val="NormalWeb"/>
        <w:rPr>
          <w:rFonts w:asciiTheme="minorHAnsi" w:hAnsiTheme="minorHAnsi" w:cstheme="minorHAnsi"/>
        </w:rPr>
      </w:pPr>
      <w:proofErr w:type="gramStart"/>
      <w:r w:rsidRPr="00323A60">
        <w:rPr>
          <w:rStyle w:val="Strong"/>
          <w:rFonts w:asciiTheme="minorHAnsi" w:hAnsiTheme="minorHAnsi" w:cstheme="minorHAnsi"/>
        </w:rPr>
        <w:t>Conclusion:</w:t>
      </w:r>
      <w:proofErr w:type="gramEnd"/>
      <w:r w:rsidRPr="00323A60">
        <w:rPr>
          <w:rFonts w:asciiTheme="minorHAnsi" w:hAnsiTheme="minorHAnsi" w:cstheme="minorHAnsi"/>
        </w:rPr>
        <w:t xml:space="preserve"> Our </w:t>
      </w:r>
      <w:proofErr w:type="spellStart"/>
      <w:r w:rsidRPr="00323A60">
        <w:rPr>
          <w:rFonts w:asciiTheme="minorHAnsi" w:hAnsiTheme="minorHAnsi" w:cstheme="minorHAnsi"/>
        </w:rPr>
        <w:t>study</w:t>
      </w:r>
      <w:proofErr w:type="spellEnd"/>
      <w:r w:rsidRPr="00323A60">
        <w:rPr>
          <w:rFonts w:asciiTheme="minorHAnsi" w:hAnsiTheme="minorHAnsi" w:cstheme="minorHAnsi"/>
        </w:rPr>
        <w:t xml:space="preserve"> </w:t>
      </w:r>
      <w:proofErr w:type="spellStart"/>
      <w:r w:rsidRPr="00323A60">
        <w:rPr>
          <w:rFonts w:asciiTheme="minorHAnsi" w:hAnsiTheme="minorHAnsi" w:cstheme="minorHAnsi"/>
        </w:rPr>
        <w:t>demonstrated</w:t>
      </w:r>
      <w:proofErr w:type="spellEnd"/>
      <w:r w:rsidRPr="00323A60">
        <w:rPr>
          <w:rFonts w:asciiTheme="minorHAnsi" w:hAnsiTheme="minorHAnsi" w:cstheme="minorHAnsi"/>
        </w:rPr>
        <w:t xml:space="preserve"> </w:t>
      </w:r>
      <w:proofErr w:type="spellStart"/>
      <w:r w:rsidRPr="00323A60">
        <w:rPr>
          <w:rFonts w:asciiTheme="minorHAnsi" w:hAnsiTheme="minorHAnsi" w:cstheme="minorHAnsi"/>
        </w:rPr>
        <w:t>that</w:t>
      </w:r>
      <w:proofErr w:type="spellEnd"/>
      <w:r w:rsidRPr="00323A60">
        <w:rPr>
          <w:rFonts w:asciiTheme="minorHAnsi" w:hAnsiTheme="minorHAnsi" w:cstheme="minorHAnsi"/>
        </w:rPr>
        <w:t xml:space="preserve"> the location and </w:t>
      </w:r>
      <w:proofErr w:type="spellStart"/>
      <w:r w:rsidRPr="00323A60">
        <w:rPr>
          <w:rFonts w:asciiTheme="minorHAnsi" w:hAnsiTheme="minorHAnsi" w:cstheme="minorHAnsi"/>
        </w:rPr>
        <w:t>appearance</w:t>
      </w:r>
      <w:proofErr w:type="spellEnd"/>
      <w:r w:rsidRPr="00323A60">
        <w:rPr>
          <w:rFonts w:asciiTheme="minorHAnsi" w:hAnsiTheme="minorHAnsi" w:cstheme="minorHAnsi"/>
        </w:rPr>
        <w:t xml:space="preserve"> of the </w:t>
      </w:r>
      <w:proofErr w:type="spellStart"/>
      <w:r w:rsidRPr="00323A60">
        <w:rPr>
          <w:rFonts w:asciiTheme="minorHAnsi" w:hAnsiTheme="minorHAnsi" w:cstheme="minorHAnsi"/>
        </w:rPr>
        <w:t>duodenal</w:t>
      </w:r>
      <w:proofErr w:type="spellEnd"/>
      <w:r w:rsidRPr="00323A60">
        <w:rPr>
          <w:rFonts w:asciiTheme="minorHAnsi" w:hAnsiTheme="minorHAnsi" w:cstheme="minorHAnsi"/>
        </w:rPr>
        <w:t xml:space="preserve"> </w:t>
      </w:r>
      <w:proofErr w:type="spellStart"/>
      <w:r w:rsidRPr="00323A60">
        <w:rPr>
          <w:rFonts w:asciiTheme="minorHAnsi" w:hAnsiTheme="minorHAnsi" w:cstheme="minorHAnsi"/>
        </w:rPr>
        <w:t>papilla</w:t>
      </w:r>
      <w:proofErr w:type="spellEnd"/>
      <w:r w:rsidRPr="00323A60">
        <w:rPr>
          <w:rFonts w:asciiTheme="minorHAnsi" w:hAnsiTheme="minorHAnsi" w:cstheme="minorHAnsi"/>
        </w:rPr>
        <w:t xml:space="preserve">, as </w:t>
      </w:r>
      <w:proofErr w:type="spellStart"/>
      <w:r w:rsidRPr="00323A60">
        <w:rPr>
          <w:rFonts w:asciiTheme="minorHAnsi" w:hAnsiTheme="minorHAnsi" w:cstheme="minorHAnsi"/>
        </w:rPr>
        <w:t>well</w:t>
      </w:r>
      <w:proofErr w:type="spellEnd"/>
      <w:r w:rsidRPr="00323A60">
        <w:rPr>
          <w:rFonts w:asciiTheme="minorHAnsi" w:hAnsiTheme="minorHAnsi" w:cstheme="minorHAnsi"/>
        </w:rPr>
        <w:t xml:space="preserve"> as the </w:t>
      </w:r>
      <w:proofErr w:type="spellStart"/>
      <w:r w:rsidRPr="00323A60">
        <w:rPr>
          <w:rFonts w:asciiTheme="minorHAnsi" w:hAnsiTheme="minorHAnsi" w:cstheme="minorHAnsi"/>
        </w:rPr>
        <w:t>presence</w:t>
      </w:r>
      <w:proofErr w:type="spellEnd"/>
      <w:r w:rsidRPr="00323A60">
        <w:rPr>
          <w:rFonts w:asciiTheme="minorHAnsi" w:hAnsiTheme="minorHAnsi" w:cstheme="minorHAnsi"/>
        </w:rPr>
        <w:t xml:space="preserve"> of an </w:t>
      </w:r>
      <w:proofErr w:type="spellStart"/>
      <w:r w:rsidRPr="00323A60">
        <w:rPr>
          <w:rFonts w:asciiTheme="minorHAnsi" w:hAnsiTheme="minorHAnsi" w:cstheme="minorHAnsi"/>
        </w:rPr>
        <w:t>impacted</w:t>
      </w:r>
      <w:proofErr w:type="spellEnd"/>
      <w:r w:rsidRPr="00323A60">
        <w:rPr>
          <w:rFonts w:asciiTheme="minorHAnsi" w:hAnsiTheme="minorHAnsi" w:cstheme="minorHAnsi"/>
        </w:rPr>
        <w:t xml:space="preserve"> stone in the distal </w:t>
      </w:r>
      <w:proofErr w:type="spellStart"/>
      <w:r w:rsidRPr="00323A60">
        <w:rPr>
          <w:rFonts w:asciiTheme="minorHAnsi" w:hAnsiTheme="minorHAnsi" w:cstheme="minorHAnsi"/>
        </w:rPr>
        <w:t>common</w:t>
      </w:r>
      <w:proofErr w:type="spellEnd"/>
      <w:r w:rsidRPr="00323A60">
        <w:rPr>
          <w:rFonts w:asciiTheme="minorHAnsi" w:hAnsiTheme="minorHAnsi" w:cstheme="minorHAnsi"/>
        </w:rPr>
        <w:t xml:space="preserve"> bile </w:t>
      </w:r>
      <w:proofErr w:type="spellStart"/>
      <w:r w:rsidRPr="00323A60">
        <w:rPr>
          <w:rFonts w:asciiTheme="minorHAnsi" w:hAnsiTheme="minorHAnsi" w:cstheme="minorHAnsi"/>
        </w:rPr>
        <w:t>duct</w:t>
      </w:r>
      <w:proofErr w:type="spellEnd"/>
      <w:r w:rsidRPr="00323A60">
        <w:rPr>
          <w:rFonts w:asciiTheme="minorHAnsi" w:hAnsiTheme="minorHAnsi" w:cstheme="minorHAnsi"/>
        </w:rPr>
        <w:t xml:space="preserve">, are </w:t>
      </w:r>
      <w:proofErr w:type="spellStart"/>
      <w:r w:rsidRPr="00323A60">
        <w:rPr>
          <w:rFonts w:asciiTheme="minorHAnsi" w:hAnsiTheme="minorHAnsi" w:cstheme="minorHAnsi"/>
        </w:rPr>
        <w:t>significant</w:t>
      </w:r>
      <w:proofErr w:type="spellEnd"/>
      <w:r w:rsidRPr="00323A60">
        <w:rPr>
          <w:rFonts w:asciiTheme="minorHAnsi" w:hAnsiTheme="minorHAnsi" w:cstheme="minorHAnsi"/>
        </w:rPr>
        <w:t xml:space="preserve"> </w:t>
      </w:r>
      <w:proofErr w:type="spellStart"/>
      <w:r w:rsidRPr="00323A60">
        <w:rPr>
          <w:rFonts w:asciiTheme="minorHAnsi" w:hAnsiTheme="minorHAnsi" w:cstheme="minorHAnsi"/>
        </w:rPr>
        <w:t>factors</w:t>
      </w:r>
      <w:proofErr w:type="spellEnd"/>
      <w:r w:rsidRPr="00323A60">
        <w:rPr>
          <w:rFonts w:asciiTheme="minorHAnsi" w:hAnsiTheme="minorHAnsi" w:cstheme="minorHAnsi"/>
        </w:rPr>
        <w:t xml:space="preserve"> </w:t>
      </w:r>
      <w:proofErr w:type="spellStart"/>
      <w:r w:rsidRPr="00323A60">
        <w:rPr>
          <w:rFonts w:asciiTheme="minorHAnsi" w:hAnsiTheme="minorHAnsi" w:cstheme="minorHAnsi"/>
        </w:rPr>
        <w:t>influencing</w:t>
      </w:r>
      <w:proofErr w:type="spellEnd"/>
      <w:r w:rsidRPr="00323A60">
        <w:rPr>
          <w:rFonts w:asciiTheme="minorHAnsi" w:hAnsiTheme="minorHAnsi" w:cstheme="minorHAnsi"/>
        </w:rPr>
        <w:t xml:space="preserve"> the </w:t>
      </w:r>
      <w:proofErr w:type="spellStart"/>
      <w:r w:rsidRPr="00323A60">
        <w:rPr>
          <w:rFonts w:asciiTheme="minorHAnsi" w:hAnsiTheme="minorHAnsi" w:cstheme="minorHAnsi"/>
        </w:rPr>
        <w:t>risk</w:t>
      </w:r>
      <w:proofErr w:type="spellEnd"/>
      <w:r w:rsidRPr="00323A60">
        <w:rPr>
          <w:rFonts w:asciiTheme="minorHAnsi" w:hAnsiTheme="minorHAnsi" w:cstheme="minorHAnsi"/>
        </w:rPr>
        <w:t xml:space="preserve"> of </w:t>
      </w:r>
      <w:proofErr w:type="spellStart"/>
      <w:r w:rsidRPr="00323A60">
        <w:rPr>
          <w:rFonts w:asciiTheme="minorHAnsi" w:hAnsiTheme="minorHAnsi" w:cstheme="minorHAnsi"/>
        </w:rPr>
        <w:t>biliary</w:t>
      </w:r>
      <w:proofErr w:type="spellEnd"/>
      <w:r w:rsidRPr="00323A60">
        <w:rPr>
          <w:rFonts w:asciiTheme="minorHAnsi" w:hAnsiTheme="minorHAnsi" w:cstheme="minorHAnsi"/>
        </w:rPr>
        <w:t xml:space="preserve"> </w:t>
      </w:r>
      <w:proofErr w:type="spellStart"/>
      <w:r w:rsidRPr="00323A60">
        <w:rPr>
          <w:rFonts w:asciiTheme="minorHAnsi" w:hAnsiTheme="minorHAnsi" w:cstheme="minorHAnsi"/>
        </w:rPr>
        <w:t>cannulation</w:t>
      </w:r>
      <w:proofErr w:type="spellEnd"/>
      <w:r w:rsidRPr="00323A60">
        <w:rPr>
          <w:rFonts w:asciiTheme="minorHAnsi" w:hAnsiTheme="minorHAnsi" w:cstheme="minorHAnsi"/>
        </w:rPr>
        <w:t xml:space="preserve"> </w:t>
      </w:r>
      <w:proofErr w:type="spellStart"/>
      <w:r w:rsidRPr="00323A60">
        <w:rPr>
          <w:rFonts w:asciiTheme="minorHAnsi" w:hAnsiTheme="minorHAnsi" w:cstheme="minorHAnsi"/>
        </w:rPr>
        <w:t>failure</w:t>
      </w:r>
      <w:proofErr w:type="spellEnd"/>
      <w:r w:rsidRPr="00323A60">
        <w:rPr>
          <w:rFonts w:asciiTheme="minorHAnsi" w:hAnsiTheme="minorHAnsi" w:cstheme="minorHAnsi"/>
        </w:rPr>
        <w:t>.</w:t>
      </w:r>
    </w:p>
    <w:p w14:paraId="241147DD" w14:textId="77777777" w:rsidR="00C24070" w:rsidRPr="00C24070" w:rsidRDefault="00C24070" w:rsidP="0029159F">
      <w:pPr>
        <w:pStyle w:val="NormalWeb"/>
        <w:rPr>
          <w:rFonts w:asciiTheme="minorHAnsi" w:hAnsiTheme="minorHAnsi" w:cstheme="minorHAnsi"/>
          <w:b/>
          <w:sz w:val="28"/>
        </w:rPr>
      </w:pPr>
      <w:r w:rsidRPr="00C24070">
        <w:rPr>
          <w:rFonts w:asciiTheme="minorHAnsi" w:hAnsiTheme="minorHAnsi" w:cstheme="minorHAnsi"/>
          <w:b/>
        </w:rPr>
        <w:t>Keywords :</w:t>
      </w:r>
      <w:r>
        <w:rPr>
          <w:rFonts w:asciiTheme="minorHAnsi" w:hAnsiTheme="minorHAnsi" w:cstheme="minorHAnsi"/>
          <w:b/>
        </w:rPr>
        <w:t xml:space="preserve"> Failure-ERCP</w:t>
      </w:r>
      <w:r w:rsidRPr="00C24070">
        <w:rPr>
          <w:rFonts w:asciiTheme="minorHAnsi" w:hAnsiTheme="minorHAnsi" w:cstheme="minorHAnsi"/>
          <w:b/>
        </w:rPr>
        <w:t>-</w:t>
      </w:r>
      <w:r w:rsidRPr="00C24070">
        <w:rPr>
          <w:rFonts w:asciiTheme="minorHAnsi" w:hAnsiTheme="minorHAnsi" w:cstheme="minorHAnsi"/>
        </w:rPr>
        <w:t xml:space="preserve"> </w:t>
      </w:r>
      <w:proofErr w:type="spellStart"/>
      <w:r>
        <w:rPr>
          <w:rStyle w:val="Strong"/>
          <w:rFonts w:asciiTheme="minorHAnsi" w:hAnsiTheme="minorHAnsi" w:cstheme="minorHAnsi"/>
        </w:rPr>
        <w:t>B</w:t>
      </w:r>
      <w:r w:rsidRPr="00C24070">
        <w:rPr>
          <w:rStyle w:val="Strong"/>
          <w:rFonts w:asciiTheme="minorHAnsi" w:hAnsiTheme="minorHAnsi" w:cstheme="minorHAnsi"/>
        </w:rPr>
        <w:t>iliary</w:t>
      </w:r>
      <w:proofErr w:type="spellEnd"/>
      <w:r w:rsidRPr="00C24070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C24070">
        <w:rPr>
          <w:rStyle w:val="Strong"/>
          <w:rFonts w:asciiTheme="minorHAnsi" w:hAnsiTheme="minorHAnsi" w:cstheme="minorHAnsi"/>
        </w:rPr>
        <w:t>cannulation</w:t>
      </w:r>
      <w:proofErr w:type="spellEnd"/>
    </w:p>
    <w:p w14:paraId="45FEA2D4" w14:textId="77777777" w:rsidR="004824DF" w:rsidRDefault="004824DF"/>
    <w:p w14:paraId="54B98C09" w14:textId="77777777" w:rsidR="000E53EF" w:rsidRPr="00051F9F" w:rsidRDefault="0029159F" w:rsidP="000E53EF">
      <w:pPr>
        <w:spacing w:after="120" w:line="240" w:lineRule="auto"/>
        <w:rPr>
          <w:rFonts w:cstheme="minorHAnsi"/>
          <w:b/>
          <w:sz w:val="28"/>
        </w:rPr>
      </w:pPr>
      <w:r w:rsidRPr="00051F9F">
        <w:rPr>
          <w:rFonts w:cstheme="minorHAnsi"/>
          <w:b/>
          <w:sz w:val="28"/>
        </w:rPr>
        <w:t xml:space="preserve">Introduction : </w:t>
      </w:r>
    </w:p>
    <w:p w14:paraId="6D3E1A1F" w14:textId="77777777" w:rsidR="007D6230" w:rsidRPr="00051F9F" w:rsidRDefault="0029159F" w:rsidP="000E53EF">
      <w:pPr>
        <w:spacing w:after="120"/>
        <w:rPr>
          <w:rFonts w:cstheme="minorHAnsi"/>
          <w:sz w:val="24"/>
        </w:rPr>
      </w:pPr>
      <w:proofErr w:type="spellStart"/>
      <w:r w:rsidRPr="00051F9F">
        <w:rPr>
          <w:rFonts w:cstheme="minorHAnsi"/>
          <w:sz w:val="24"/>
        </w:rPr>
        <w:t>Selective</w:t>
      </w:r>
      <w:proofErr w:type="spellEnd"/>
      <w:r w:rsidRPr="00051F9F">
        <w:rPr>
          <w:rFonts w:cstheme="minorHAnsi"/>
          <w:sz w:val="24"/>
        </w:rPr>
        <w:t xml:space="preserve"> </w:t>
      </w:r>
      <w:proofErr w:type="spellStart"/>
      <w:r w:rsidRPr="00051F9F">
        <w:rPr>
          <w:rFonts w:cstheme="minorHAnsi"/>
          <w:sz w:val="24"/>
        </w:rPr>
        <w:t>cannulation</w:t>
      </w:r>
      <w:proofErr w:type="spellEnd"/>
      <w:r w:rsidRPr="00051F9F">
        <w:rPr>
          <w:rFonts w:cstheme="minorHAnsi"/>
          <w:sz w:val="24"/>
        </w:rPr>
        <w:t xml:space="preserve"> of the main bile </w:t>
      </w:r>
      <w:proofErr w:type="spellStart"/>
      <w:r w:rsidRPr="00051F9F">
        <w:rPr>
          <w:rFonts w:cstheme="minorHAnsi"/>
          <w:sz w:val="24"/>
        </w:rPr>
        <w:t>duct</w:t>
      </w:r>
      <w:proofErr w:type="spellEnd"/>
      <w:r w:rsidRPr="00051F9F">
        <w:rPr>
          <w:rFonts w:cstheme="minorHAnsi"/>
          <w:sz w:val="24"/>
        </w:rPr>
        <w:t xml:space="preserve"> </w:t>
      </w:r>
      <w:proofErr w:type="spellStart"/>
      <w:r w:rsidRPr="00051F9F">
        <w:rPr>
          <w:rFonts w:cstheme="minorHAnsi"/>
          <w:sz w:val="24"/>
        </w:rPr>
        <w:t>is</w:t>
      </w:r>
      <w:proofErr w:type="spellEnd"/>
      <w:r w:rsidRPr="00051F9F">
        <w:rPr>
          <w:rFonts w:cstheme="minorHAnsi"/>
          <w:sz w:val="24"/>
        </w:rPr>
        <w:t xml:space="preserve"> a crucial </w:t>
      </w:r>
      <w:proofErr w:type="spellStart"/>
      <w:r w:rsidRPr="00051F9F">
        <w:rPr>
          <w:rFonts w:cstheme="minorHAnsi"/>
          <w:sz w:val="24"/>
        </w:rPr>
        <w:t>step</w:t>
      </w:r>
      <w:proofErr w:type="spellEnd"/>
      <w:r w:rsidRPr="00051F9F">
        <w:rPr>
          <w:rFonts w:cstheme="minorHAnsi"/>
          <w:sz w:val="24"/>
        </w:rPr>
        <w:t xml:space="preserve"> </w:t>
      </w:r>
      <w:proofErr w:type="spellStart"/>
      <w:r w:rsidRPr="00051F9F">
        <w:rPr>
          <w:rFonts w:cstheme="minorHAnsi"/>
          <w:sz w:val="24"/>
        </w:rPr>
        <w:t>during</w:t>
      </w:r>
      <w:proofErr w:type="spellEnd"/>
      <w:r w:rsidRPr="00051F9F">
        <w:rPr>
          <w:rFonts w:cstheme="minorHAnsi"/>
          <w:sz w:val="24"/>
        </w:rPr>
        <w:t xml:space="preserve"> </w:t>
      </w:r>
      <w:proofErr w:type="spellStart"/>
      <w:r w:rsidRPr="00051F9F">
        <w:rPr>
          <w:rFonts w:cstheme="minorHAnsi"/>
          <w:sz w:val="24"/>
        </w:rPr>
        <w:t>endoscopic</w:t>
      </w:r>
      <w:proofErr w:type="spellEnd"/>
      <w:r w:rsidRPr="00051F9F">
        <w:rPr>
          <w:rFonts w:cstheme="minorHAnsi"/>
          <w:sz w:val="24"/>
        </w:rPr>
        <w:t xml:space="preserve"> </w:t>
      </w:r>
      <w:proofErr w:type="spellStart"/>
      <w:r w:rsidRPr="00051F9F">
        <w:rPr>
          <w:rFonts w:cstheme="minorHAnsi"/>
          <w:sz w:val="24"/>
        </w:rPr>
        <w:t>retrograde</w:t>
      </w:r>
      <w:proofErr w:type="spellEnd"/>
      <w:r w:rsidRPr="00051F9F">
        <w:rPr>
          <w:rFonts w:cstheme="minorHAnsi"/>
          <w:sz w:val="24"/>
        </w:rPr>
        <w:t xml:space="preserve"> </w:t>
      </w:r>
      <w:proofErr w:type="spellStart"/>
      <w:r w:rsidRPr="00051F9F">
        <w:rPr>
          <w:rFonts w:cstheme="minorHAnsi"/>
          <w:sz w:val="24"/>
        </w:rPr>
        <w:t>cholangiopancreatography</w:t>
      </w:r>
      <w:proofErr w:type="spellEnd"/>
      <w:r w:rsidRPr="00051F9F">
        <w:rPr>
          <w:rFonts w:cstheme="minorHAnsi"/>
          <w:sz w:val="24"/>
        </w:rPr>
        <w:t xml:space="preserve"> (ERCP). </w:t>
      </w:r>
    </w:p>
    <w:p w14:paraId="027D03D6" w14:textId="77777777" w:rsidR="007D6230" w:rsidRPr="00051F9F" w:rsidRDefault="007D6230" w:rsidP="000E53EF">
      <w:pPr>
        <w:spacing w:after="120"/>
        <w:rPr>
          <w:sz w:val="24"/>
        </w:rPr>
      </w:pPr>
      <w:proofErr w:type="spellStart"/>
      <w:r w:rsidRPr="00051F9F">
        <w:rPr>
          <w:sz w:val="24"/>
        </w:rPr>
        <w:t>Biliary</w:t>
      </w:r>
      <w:proofErr w:type="spellEnd"/>
      <w:r w:rsidRPr="00051F9F">
        <w:rPr>
          <w:sz w:val="24"/>
        </w:rPr>
        <w:t xml:space="preserve"> </w:t>
      </w:r>
      <w:proofErr w:type="spellStart"/>
      <w:r w:rsidRPr="00051F9F">
        <w:rPr>
          <w:sz w:val="24"/>
        </w:rPr>
        <w:t>cannulation</w:t>
      </w:r>
      <w:proofErr w:type="spellEnd"/>
      <w:r w:rsidRPr="00051F9F">
        <w:rPr>
          <w:sz w:val="24"/>
        </w:rPr>
        <w:t xml:space="preserve"> can </w:t>
      </w:r>
      <w:proofErr w:type="spellStart"/>
      <w:r w:rsidRPr="00051F9F">
        <w:rPr>
          <w:sz w:val="24"/>
        </w:rPr>
        <w:t>be</w:t>
      </w:r>
      <w:proofErr w:type="spellEnd"/>
      <w:r w:rsidRPr="00051F9F">
        <w:rPr>
          <w:sz w:val="24"/>
        </w:rPr>
        <w:t xml:space="preserve"> </w:t>
      </w:r>
      <w:proofErr w:type="spellStart"/>
      <w:r w:rsidRPr="00051F9F">
        <w:rPr>
          <w:sz w:val="24"/>
        </w:rPr>
        <w:t>difficult</w:t>
      </w:r>
      <w:proofErr w:type="spellEnd"/>
      <w:r w:rsidRPr="00051F9F">
        <w:rPr>
          <w:sz w:val="24"/>
        </w:rPr>
        <w:t xml:space="preserve"> or </w:t>
      </w:r>
      <w:proofErr w:type="spellStart"/>
      <w:r w:rsidRPr="00051F9F">
        <w:rPr>
          <w:sz w:val="24"/>
        </w:rPr>
        <w:t>even</w:t>
      </w:r>
      <w:proofErr w:type="spellEnd"/>
      <w:r w:rsidRPr="00051F9F">
        <w:rPr>
          <w:sz w:val="24"/>
        </w:rPr>
        <w:t xml:space="preserve"> impossible to </w:t>
      </w:r>
      <w:proofErr w:type="spellStart"/>
      <w:r w:rsidRPr="00051F9F">
        <w:rPr>
          <w:sz w:val="24"/>
        </w:rPr>
        <w:t>achieve</w:t>
      </w:r>
      <w:proofErr w:type="spellEnd"/>
      <w:r w:rsidRPr="00051F9F">
        <w:rPr>
          <w:sz w:val="24"/>
        </w:rPr>
        <w:t xml:space="preserve">, </w:t>
      </w:r>
      <w:proofErr w:type="spellStart"/>
      <w:r w:rsidRPr="00051F9F">
        <w:rPr>
          <w:sz w:val="24"/>
        </w:rPr>
        <w:t>leading</w:t>
      </w:r>
      <w:proofErr w:type="spellEnd"/>
      <w:r w:rsidRPr="00051F9F">
        <w:rPr>
          <w:sz w:val="24"/>
        </w:rPr>
        <w:t xml:space="preserve"> to </w:t>
      </w:r>
      <w:proofErr w:type="spellStart"/>
      <w:r w:rsidRPr="00051F9F">
        <w:rPr>
          <w:sz w:val="24"/>
        </w:rPr>
        <w:t>repeated</w:t>
      </w:r>
      <w:proofErr w:type="spellEnd"/>
      <w:r w:rsidRPr="00051F9F">
        <w:rPr>
          <w:sz w:val="24"/>
        </w:rPr>
        <w:t xml:space="preserve"> </w:t>
      </w:r>
      <w:proofErr w:type="spellStart"/>
      <w:r w:rsidRPr="00051F9F">
        <w:rPr>
          <w:sz w:val="24"/>
        </w:rPr>
        <w:t>procedures</w:t>
      </w:r>
      <w:proofErr w:type="spellEnd"/>
      <w:r w:rsidRPr="00051F9F">
        <w:rPr>
          <w:sz w:val="24"/>
        </w:rPr>
        <w:t xml:space="preserve"> due to </w:t>
      </w:r>
      <w:proofErr w:type="spellStart"/>
      <w:r w:rsidRPr="00051F9F">
        <w:rPr>
          <w:sz w:val="24"/>
        </w:rPr>
        <w:t>factors</w:t>
      </w:r>
      <w:proofErr w:type="spellEnd"/>
      <w:r w:rsidRPr="00051F9F">
        <w:rPr>
          <w:sz w:val="24"/>
        </w:rPr>
        <w:t xml:space="preserve"> </w:t>
      </w:r>
      <w:proofErr w:type="spellStart"/>
      <w:r w:rsidRPr="00051F9F">
        <w:rPr>
          <w:sz w:val="24"/>
        </w:rPr>
        <w:t>related</w:t>
      </w:r>
      <w:proofErr w:type="spellEnd"/>
      <w:r w:rsidRPr="00051F9F">
        <w:rPr>
          <w:sz w:val="24"/>
        </w:rPr>
        <w:t xml:space="preserve"> </w:t>
      </w:r>
      <w:proofErr w:type="spellStart"/>
      <w:r w:rsidRPr="00051F9F">
        <w:rPr>
          <w:sz w:val="24"/>
        </w:rPr>
        <w:t>either</w:t>
      </w:r>
      <w:proofErr w:type="spellEnd"/>
      <w:r w:rsidRPr="00051F9F">
        <w:rPr>
          <w:sz w:val="24"/>
        </w:rPr>
        <w:t xml:space="preserve"> to the </w:t>
      </w:r>
      <w:proofErr w:type="spellStart"/>
      <w:r w:rsidRPr="00051F9F">
        <w:rPr>
          <w:sz w:val="24"/>
        </w:rPr>
        <w:t>anatomy</w:t>
      </w:r>
      <w:proofErr w:type="spellEnd"/>
      <w:r w:rsidRPr="00051F9F">
        <w:rPr>
          <w:sz w:val="24"/>
        </w:rPr>
        <w:t xml:space="preserve"> of the </w:t>
      </w:r>
      <w:proofErr w:type="spellStart"/>
      <w:r w:rsidRPr="00051F9F">
        <w:rPr>
          <w:sz w:val="24"/>
        </w:rPr>
        <w:t>biliary</w:t>
      </w:r>
      <w:proofErr w:type="spellEnd"/>
      <w:r w:rsidRPr="00051F9F">
        <w:rPr>
          <w:sz w:val="24"/>
        </w:rPr>
        <w:t xml:space="preserve"> system </w:t>
      </w:r>
      <w:r w:rsidRPr="00051F9F">
        <w:rPr>
          <w:b/>
          <w:sz w:val="24"/>
        </w:rPr>
        <w:t>[1],</w:t>
      </w:r>
      <w:r w:rsidRPr="00051F9F">
        <w:rPr>
          <w:sz w:val="24"/>
        </w:rPr>
        <w:t xml:space="preserve"> the </w:t>
      </w:r>
      <w:proofErr w:type="spellStart"/>
      <w:r w:rsidRPr="00051F9F">
        <w:rPr>
          <w:sz w:val="24"/>
        </w:rPr>
        <w:t>presence</w:t>
      </w:r>
      <w:proofErr w:type="spellEnd"/>
      <w:r w:rsidRPr="00051F9F">
        <w:rPr>
          <w:sz w:val="24"/>
        </w:rPr>
        <w:t xml:space="preserve"> of bile </w:t>
      </w:r>
      <w:proofErr w:type="spellStart"/>
      <w:r w:rsidRPr="00051F9F">
        <w:rPr>
          <w:sz w:val="24"/>
        </w:rPr>
        <w:t>duct</w:t>
      </w:r>
      <w:proofErr w:type="spellEnd"/>
      <w:r w:rsidRPr="00051F9F">
        <w:rPr>
          <w:sz w:val="24"/>
        </w:rPr>
        <w:t xml:space="preserve"> stones </w:t>
      </w:r>
      <w:r w:rsidRPr="00051F9F">
        <w:rPr>
          <w:b/>
          <w:sz w:val="24"/>
        </w:rPr>
        <w:t>[2],</w:t>
      </w:r>
      <w:r w:rsidRPr="00051F9F">
        <w:rPr>
          <w:sz w:val="24"/>
        </w:rPr>
        <w:t xml:space="preserve"> or tumoral infiltration of the </w:t>
      </w:r>
      <w:proofErr w:type="spellStart"/>
      <w:r w:rsidRPr="00051F9F">
        <w:rPr>
          <w:sz w:val="24"/>
        </w:rPr>
        <w:t>papilla</w:t>
      </w:r>
      <w:proofErr w:type="spellEnd"/>
      <w:r w:rsidRPr="00051F9F">
        <w:rPr>
          <w:sz w:val="24"/>
        </w:rPr>
        <w:t>.</w:t>
      </w:r>
    </w:p>
    <w:p w14:paraId="1108E3DD" w14:textId="77777777" w:rsidR="007D6230" w:rsidRPr="00051F9F" w:rsidRDefault="007D6230" w:rsidP="000E53EF">
      <w:pPr>
        <w:spacing w:after="120"/>
        <w:rPr>
          <w:sz w:val="24"/>
        </w:rPr>
      </w:pPr>
      <w:proofErr w:type="spellStart"/>
      <w:r w:rsidRPr="00051F9F">
        <w:rPr>
          <w:sz w:val="24"/>
        </w:rPr>
        <w:t>Understanding</w:t>
      </w:r>
      <w:proofErr w:type="spellEnd"/>
      <w:r w:rsidRPr="00051F9F">
        <w:rPr>
          <w:sz w:val="24"/>
        </w:rPr>
        <w:t xml:space="preserve"> the </w:t>
      </w:r>
      <w:proofErr w:type="spellStart"/>
      <w:r w:rsidRPr="00051F9F">
        <w:rPr>
          <w:sz w:val="24"/>
        </w:rPr>
        <w:t>predictive</w:t>
      </w:r>
      <w:proofErr w:type="spellEnd"/>
      <w:r w:rsidRPr="00051F9F">
        <w:rPr>
          <w:sz w:val="24"/>
        </w:rPr>
        <w:t xml:space="preserve"> </w:t>
      </w:r>
      <w:proofErr w:type="spellStart"/>
      <w:r w:rsidRPr="00051F9F">
        <w:rPr>
          <w:sz w:val="24"/>
        </w:rPr>
        <w:t>factors</w:t>
      </w:r>
      <w:proofErr w:type="spellEnd"/>
      <w:r w:rsidRPr="00051F9F">
        <w:rPr>
          <w:sz w:val="24"/>
        </w:rPr>
        <w:t xml:space="preserve"> of </w:t>
      </w:r>
      <w:proofErr w:type="spellStart"/>
      <w:r w:rsidRPr="00051F9F">
        <w:rPr>
          <w:sz w:val="24"/>
        </w:rPr>
        <w:t>biliary</w:t>
      </w:r>
      <w:proofErr w:type="spellEnd"/>
      <w:r w:rsidRPr="00051F9F">
        <w:rPr>
          <w:sz w:val="24"/>
        </w:rPr>
        <w:t xml:space="preserve"> </w:t>
      </w:r>
      <w:proofErr w:type="spellStart"/>
      <w:r w:rsidRPr="00051F9F">
        <w:rPr>
          <w:sz w:val="24"/>
        </w:rPr>
        <w:t>cannulation</w:t>
      </w:r>
      <w:proofErr w:type="spellEnd"/>
      <w:r w:rsidRPr="00051F9F">
        <w:rPr>
          <w:sz w:val="24"/>
        </w:rPr>
        <w:t xml:space="preserve"> </w:t>
      </w:r>
      <w:proofErr w:type="spellStart"/>
      <w:r w:rsidRPr="00051F9F">
        <w:rPr>
          <w:sz w:val="24"/>
        </w:rPr>
        <w:t>failure</w:t>
      </w:r>
      <w:proofErr w:type="spellEnd"/>
      <w:r w:rsidRPr="00051F9F">
        <w:rPr>
          <w:sz w:val="24"/>
        </w:rPr>
        <w:t xml:space="preserve"> </w:t>
      </w:r>
      <w:proofErr w:type="spellStart"/>
      <w:r w:rsidRPr="00051F9F">
        <w:rPr>
          <w:sz w:val="24"/>
        </w:rPr>
        <w:t>could</w:t>
      </w:r>
      <w:proofErr w:type="spellEnd"/>
      <w:r w:rsidRPr="00051F9F">
        <w:rPr>
          <w:sz w:val="24"/>
        </w:rPr>
        <w:t xml:space="preserve"> </w:t>
      </w:r>
      <w:proofErr w:type="spellStart"/>
      <w:r w:rsidRPr="00051F9F">
        <w:rPr>
          <w:sz w:val="24"/>
        </w:rPr>
        <w:t>provide</w:t>
      </w:r>
      <w:proofErr w:type="spellEnd"/>
      <w:r w:rsidRPr="00051F9F">
        <w:rPr>
          <w:sz w:val="24"/>
        </w:rPr>
        <w:t xml:space="preserve"> </w:t>
      </w:r>
      <w:proofErr w:type="spellStart"/>
      <w:r w:rsidRPr="00051F9F">
        <w:rPr>
          <w:sz w:val="24"/>
        </w:rPr>
        <w:t>endoscopists</w:t>
      </w:r>
      <w:proofErr w:type="spellEnd"/>
      <w:r w:rsidRPr="00051F9F">
        <w:rPr>
          <w:sz w:val="24"/>
        </w:rPr>
        <w:t xml:space="preserve"> </w:t>
      </w:r>
      <w:proofErr w:type="spellStart"/>
      <w:r w:rsidRPr="00051F9F">
        <w:rPr>
          <w:sz w:val="24"/>
        </w:rPr>
        <w:t>with</w:t>
      </w:r>
      <w:proofErr w:type="spellEnd"/>
      <w:r w:rsidRPr="00051F9F">
        <w:rPr>
          <w:sz w:val="24"/>
        </w:rPr>
        <w:t xml:space="preserve"> the </w:t>
      </w:r>
      <w:proofErr w:type="spellStart"/>
      <w:r w:rsidRPr="00051F9F">
        <w:rPr>
          <w:sz w:val="24"/>
        </w:rPr>
        <w:t>opportunity</w:t>
      </w:r>
      <w:proofErr w:type="spellEnd"/>
      <w:r w:rsidRPr="00051F9F">
        <w:rPr>
          <w:sz w:val="24"/>
        </w:rPr>
        <w:t xml:space="preserve"> to </w:t>
      </w:r>
      <w:proofErr w:type="spellStart"/>
      <w:r w:rsidRPr="00051F9F">
        <w:rPr>
          <w:sz w:val="24"/>
        </w:rPr>
        <w:t>consider</w:t>
      </w:r>
      <w:proofErr w:type="spellEnd"/>
      <w:r w:rsidRPr="00051F9F">
        <w:rPr>
          <w:sz w:val="24"/>
        </w:rPr>
        <w:t xml:space="preserve"> alternative management </w:t>
      </w:r>
      <w:proofErr w:type="spellStart"/>
      <w:r w:rsidRPr="00051F9F">
        <w:rPr>
          <w:sz w:val="24"/>
        </w:rPr>
        <w:t>strategies</w:t>
      </w:r>
      <w:proofErr w:type="spellEnd"/>
      <w:r w:rsidRPr="00051F9F">
        <w:rPr>
          <w:sz w:val="24"/>
        </w:rPr>
        <w:t xml:space="preserve">, </w:t>
      </w:r>
      <w:proofErr w:type="spellStart"/>
      <w:r w:rsidRPr="00051F9F">
        <w:rPr>
          <w:sz w:val="24"/>
        </w:rPr>
        <w:t>such</w:t>
      </w:r>
      <w:proofErr w:type="spellEnd"/>
      <w:r w:rsidRPr="00051F9F">
        <w:rPr>
          <w:sz w:val="24"/>
        </w:rPr>
        <w:t xml:space="preserve"> as </w:t>
      </w:r>
      <w:proofErr w:type="spellStart"/>
      <w:r w:rsidRPr="00051F9F">
        <w:rPr>
          <w:sz w:val="24"/>
        </w:rPr>
        <w:t>laparoscopic</w:t>
      </w:r>
      <w:proofErr w:type="spellEnd"/>
      <w:r w:rsidRPr="00051F9F">
        <w:rPr>
          <w:sz w:val="24"/>
        </w:rPr>
        <w:t xml:space="preserve"> </w:t>
      </w:r>
      <w:proofErr w:type="spellStart"/>
      <w:r w:rsidRPr="00051F9F">
        <w:rPr>
          <w:sz w:val="24"/>
        </w:rPr>
        <w:t>cholecystectomy</w:t>
      </w:r>
      <w:proofErr w:type="spellEnd"/>
      <w:r w:rsidRPr="00051F9F">
        <w:rPr>
          <w:sz w:val="24"/>
        </w:rPr>
        <w:t xml:space="preserve"> </w:t>
      </w:r>
      <w:proofErr w:type="spellStart"/>
      <w:r w:rsidRPr="00051F9F">
        <w:rPr>
          <w:sz w:val="24"/>
        </w:rPr>
        <w:t>combined</w:t>
      </w:r>
      <w:proofErr w:type="spellEnd"/>
      <w:r w:rsidRPr="00051F9F">
        <w:rPr>
          <w:sz w:val="24"/>
        </w:rPr>
        <w:t xml:space="preserve"> </w:t>
      </w:r>
      <w:proofErr w:type="spellStart"/>
      <w:r w:rsidRPr="00051F9F">
        <w:rPr>
          <w:sz w:val="24"/>
        </w:rPr>
        <w:t>with</w:t>
      </w:r>
      <w:proofErr w:type="spellEnd"/>
      <w:r w:rsidRPr="00051F9F">
        <w:rPr>
          <w:sz w:val="24"/>
        </w:rPr>
        <w:t xml:space="preserve"> </w:t>
      </w:r>
      <w:proofErr w:type="spellStart"/>
      <w:r w:rsidRPr="00051F9F">
        <w:rPr>
          <w:sz w:val="24"/>
        </w:rPr>
        <w:t>intraoperative</w:t>
      </w:r>
      <w:proofErr w:type="spellEnd"/>
      <w:r w:rsidRPr="00051F9F">
        <w:rPr>
          <w:sz w:val="24"/>
        </w:rPr>
        <w:t xml:space="preserve"> bile </w:t>
      </w:r>
      <w:proofErr w:type="spellStart"/>
      <w:r w:rsidRPr="00051F9F">
        <w:rPr>
          <w:sz w:val="24"/>
        </w:rPr>
        <w:t>duct</w:t>
      </w:r>
      <w:proofErr w:type="spellEnd"/>
      <w:r w:rsidRPr="00051F9F">
        <w:rPr>
          <w:sz w:val="24"/>
        </w:rPr>
        <w:t xml:space="preserve"> clearance.</w:t>
      </w:r>
    </w:p>
    <w:p w14:paraId="1D1A54D4" w14:textId="77777777" w:rsidR="0029159F" w:rsidRDefault="0029159F" w:rsidP="000E53EF">
      <w:pPr>
        <w:spacing w:after="120"/>
        <w:rPr>
          <w:rFonts w:cstheme="minorHAnsi"/>
        </w:rPr>
      </w:pPr>
      <w:r w:rsidRPr="00051F9F">
        <w:rPr>
          <w:rFonts w:cstheme="minorHAnsi"/>
          <w:sz w:val="24"/>
        </w:rPr>
        <w:t xml:space="preserve">The objective of </w:t>
      </w:r>
      <w:proofErr w:type="spellStart"/>
      <w:r w:rsidRPr="00051F9F">
        <w:rPr>
          <w:rFonts w:cstheme="minorHAnsi"/>
          <w:sz w:val="24"/>
        </w:rPr>
        <w:t>our</w:t>
      </w:r>
      <w:proofErr w:type="spellEnd"/>
      <w:r w:rsidRPr="00051F9F">
        <w:rPr>
          <w:rFonts w:cstheme="minorHAnsi"/>
          <w:sz w:val="24"/>
        </w:rPr>
        <w:t xml:space="preserve"> </w:t>
      </w:r>
      <w:proofErr w:type="spellStart"/>
      <w:r w:rsidRPr="00051F9F">
        <w:rPr>
          <w:rFonts w:cstheme="minorHAnsi"/>
          <w:sz w:val="24"/>
        </w:rPr>
        <w:t>study</w:t>
      </w:r>
      <w:proofErr w:type="spellEnd"/>
      <w:r w:rsidRPr="00051F9F">
        <w:rPr>
          <w:rFonts w:cstheme="minorHAnsi"/>
          <w:sz w:val="24"/>
        </w:rPr>
        <w:t xml:space="preserve"> </w:t>
      </w:r>
      <w:proofErr w:type="spellStart"/>
      <w:r w:rsidRPr="00051F9F">
        <w:rPr>
          <w:rFonts w:cstheme="minorHAnsi"/>
          <w:sz w:val="24"/>
        </w:rPr>
        <w:t>is</w:t>
      </w:r>
      <w:proofErr w:type="spellEnd"/>
      <w:r w:rsidRPr="00051F9F">
        <w:rPr>
          <w:rFonts w:cstheme="minorHAnsi"/>
          <w:sz w:val="24"/>
        </w:rPr>
        <w:t xml:space="preserve"> to </w:t>
      </w:r>
      <w:proofErr w:type="spellStart"/>
      <w:r w:rsidRPr="00051F9F">
        <w:rPr>
          <w:rFonts w:cstheme="minorHAnsi"/>
          <w:sz w:val="24"/>
        </w:rPr>
        <w:t>analyze</w:t>
      </w:r>
      <w:proofErr w:type="spellEnd"/>
      <w:r w:rsidRPr="00051F9F">
        <w:rPr>
          <w:rFonts w:cstheme="minorHAnsi"/>
          <w:sz w:val="24"/>
        </w:rPr>
        <w:t xml:space="preserve"> the </w:t>
      </w:r>
      <w:proofErr w:type="spellStart"/>
      <w:r w:rsidRPr="00051F9F">
        <w:rPr>
          <w:rFonts w:cstheme="minorHAnsi"/>
          <w:sz w:val="24"/>
        </w:rPr>
        <w:t>predictive</w:t>
      </w:r>
      <w:proofErr w:type="spellEnd"/>
      <w:r w:rsidRPr="00051F9F">
        <w:rPr>
          <w:rFonts w:cstheme="minorHAnsi"/>
          <w:sz w:val="24"/>
        </w:rPr>
        <w:t xml:space="preserve"> </w:t>
      </w:r>
      <w:proofErr w:type="spellStart"/>
      <w:r w:rsidRPr="00051F9F">
        <w:rPr>
          <w:rFonts w:cstheme="minorHAnsi"/>
          <w:sz w:val="24"/>
        </w:rPr>
        <w:t>factors</w:t>
      </w:r>
      <w:proofErr w:type="spellEnd"/>
      <w:r w:rsidRPr="00051F9F">
        <w:rPr>
          <w:rFonts w:cstheme="minorHAnsi"/>
          <w:sz w:val="24"/>
        </w:rPr>
        <w:t xml:space="preserve"> of </w:t>
      </w:r>
      <w:proofErr w:type="spellStart"/>
      <w:r w:rsidRPr="00051F9F">
        <w:rPr>
          <w:rFonts w:cstheme="minorHAnsi"/>
          <w:sz w:val="24"/>
        </w:rPr>
        <w:t>biliary</w:t>
      </w:r>
      <w:proofErr w:type="spellEnd"/>
      <w:r w:rsidRPr="00051F9F">
        <w:rPr>
          <w:rFonts w:cstheme="minorHAnsi"/>
          <w:sz w:val="24"/>
        </w:rPr>
        <w:t xml:space="preserve"> </w:t>
      </w:r>
      <w:proofErr w:type="spellStart"/>
      <w:r w:rsidRPr="00051F9F">
        <w:rPr>
          <w:rFonts w:cstheme="minorHAnsi"/>
          <w:sz w:val="24"/>
        </w:rPr>
        <w:t>cannulation</w:t>
      </w:r>
      <w:proofErr w:type="spellEnd"/>
      <w:r w:rsidRPr="00051F9F">
        <w:rPr>
          <w:rFonts w:cstheme="minorHAnsi"/>
          <w:sz w:val="24"/>
        </w:rPr>
        <w:t xml:space="preserve"> </w:t>
      </w:r>
      <w:proofErr w:type="spellStart"/>
      <w:r w:rsidRPr="00051F9F">
        <w:rPr>
          <w:rFonts w:cstheme="minorHAnsi"/>
          <w:sz w:val="24"/>
        </w:rPr>
        <w:t>failure</w:t>
      </w:r>
      <w:proofErr w:type="spellEnd"/>
      <w:r w:rsidRPr="00051F9F">
        <w:rPr>
          <w:rFonts w:cstheme="minorHAnsi"/>
          <w:sz w:val="24"/>
        </w:rPr>
        <w:t>.</w:t>
      </w:r>
    </w:p>
    <w:p w14:paraId="163514B2" w14:textId="77777777" w:rsidR="007D6230" w:rsidRPr="007D6230" w:rsidRDefault="007D6230" w:rsidP="000E53EF">
      <w:pPr>
        <w:spacing w:after="120"/>
        <w:rPr>
          <w:rFonts w:cstheme="minorHAnsi"/>
        </w:rPr>
      </w:pPr>
    </w:p>
    <w:p w14:paraId="0D67B5AD" w14:textId="77777777" w:rsidR="003328F6" w:rsidRDefault="0029159F" w:rsidP="003328F6">
      <w:pPr>
        <w:pStyle w:val="NormalWeb"/>
        <w:rPr>
          <w:rFonts w:asciiTheme="minorHAnsi" w:hAnsiTheme="minorHAnsi" w:cstheme="minorHAnsi"/>
          <w:b/>
          <w:bCs/>
          <w:sz w:val="28"/>
        </w:rPr>
      </w:pPr>
      <w:r w:rsidRPr="000E53EF">
        <w:rPr>
          <w:rStyle w:val="Strong"/>
          <w:rFonts w:asciiTheme="minorHAnsi" w:hAnsiTheme="minorHAnsi" w:cstheme="minorHAnsi"/>
          <w:sz w:val="28"/>
        </w:rPr>
        <w:lastRenderedPageBreak/>
        <w:t xml:space="preserve">Materials and </w:t>
      </w:r>
      <w:proofErr w:type="gramStart"/>
      <w:r w:rsidRPr="000E53EF">
        <w:rPr>
          <w:rStyle w:val="Strong"/>
          <w:rFonts w:asciiTheme="minorHAnsi" w:hAnsiTheme="minorHAnsi" w:cstheme="minorHAnsi"/>
          <w:sz w:val="28"/>
        </w:rPr>
        <w:t>Methods:</w:t>
      </w:r>
      <w:proofErr w:type="gramEnd"/>
      <w:r w:rsidRPr="0029159F">
        <w:rPr>
          <w:rFonts w:asciiTheme="minorHAnsi" w:hAnsiTheme="minorHAnsi" w:cstheme="minorHAnsi"/>
        </w:rPr>
        <w:br/>
      </w:r>
      <w:r w:rsidRPr="00D237CE">
        <w:rPr>
          <w:rFonts w:asciiTheme="minorHAnsi" w:hAnsiTheme="minorHAnsi" w:cstheme="minorHAnsi"/>
        </w:rPr>
        <w:t xml:space="preserve">This </w:t>
      </w:r>
      <w:proofErr w:type="spellStart"/>
      <w:r w:rsidRPr="00D237CE">
        <w:rPr>
          <w:rFonts w:asciiTheme="minorHAnsi" w:hAnsiTheme="minorHAnsi" w:cstheme="minorHAnsi"/>
        </w:rPr>
        <w:t>is</w:t>
      </w:r>
      <w:proofErr w:type="spellEnd"/>
      <w:r w:rsidRPr="00D237CE">
        <w:rPr>
          <w:rFonts w:asciiTheme="minorHAnsi" w:hAnsiTheme="minorHAnsi" w:cstheme="minorHAnsi"/>
        </w:rPr>
        <w:t xml:space="preserve"> a </w:t>
      </w:r>
      <w:proofErr w:type="spellStart"/>
      <w:r w:rsidRPr="00D237CE">
        <w:rPr>
          <w:rFonts w:asciiTheme="minorHAnsi" w:hAnsiTheme="minorHAnsi" w:cstheme="minorHAnsi"/>
        </w:rPr>
        <w:t>retrospective</w:t>
      </w:r>
      <w:proofErr w:type="spellEnd"/>
      <w:r w:rsidRPr="00D237CE">
        <w:rPr>
          <w:rFonts w:asciiTheme="minorHAnsi" w:hAnsiTheme="minorHAnsi" w:cstheme="minorHAnsi"/>
        </w:rPr>
        <w:t xml:space="preserve">, descriptive, and </w:t>
      </w:r>
      <w:proofErr w:type="spellStart"/>
      <w:r w:rsidRPr="00D237CE">
        <w:rPr>
          <w:rFonts w:asciiTheme="minorHAnsi" w:hAnsiTheme="minorHAnsi" w:cstheme="minorHAnsi"/>
        </w:rPr>
        <w:t>analytical</w:t>
      </w:r>
      <w:proofErr w:type="spellEnd"/>
      <w:r w:rsidRPr="00D237CE">
        <w:rPr>
          <w:rFonts w:asciiTheme="minorHAnsi" w:hAnsiTheme="minorHAnsi" w:cstheme="minorHAnsi"/>
        </w:rPr>
        <w:t xml:space="preserve"> </w:t>
      </w:r>
      <w:proofErr w:type="spellStart"/>
      <w:r w:rsidRPr="00D237CE">
        <w:rPr>
          <w:rFonts w:asciiTheme="minorHAnsi" w:hAnsiTheme="minorHAnsi" w:cstheme="minorHAnsi"/>
        </w:rPr>
        <w:t>study</w:t>
      </w:r>
      <w:proofErr w:type="spellEnd"/>
      <w:r w:rsidRPr="00D237CE">
        <w:rPr>
          <w:rFonts w:asciiTheme="minorHAnsi" w:hAnsiTheme="minorHAnsi" w:cstheme="minorHAnsi"/>
        </w:rPr>
        <w:t xml:space="preserve"> </w:t>
      </w:r>
      <w:proofErr w:type="spellStart"/>
      <w:r w:rsidRPr="00D237CE">
        <w:rPr>
          <w:rFonts w:asciiTheme="minorHAnsi" w:hAnsiTheme="minorHAnsi" w:cstheme="minorHAnsi"/>
        </w:rPr>
        <w:t>conducted</w:t>
      </w:r>
      <w:proofErr w:type="spellEnd"/>
      <w:r w:rsidRPr="00D237CE">
        <w:rPr>
          <w:rFonts w:asciiTheme="minorHAnsi" w:hAnsiTheme="minorHAnsi" w:cstheme="minorHAnsi"/>
        </w:rPr>
        <w:t xml:space="preserve"> in the </w:t>
      </w:r>
      <w:proofErr w:type="spellStart"/>
      <w:r w:rsidRPr="00D237CE">
        <w:rPr>
          <w:rFonts w:asciiTheme="minorHAnsi" w:hAnsiTheme="minorHAnsi" w:cstheme="minorHAnsi"/>
        </w:rPr>
        <w:t>Hepato-Gastroenterology</w:t>
      </w:r>
      <w:proofErr w:type="spellEnd"/>
      <w:r w:rsidRPr="00D237CE">
        <w:rPr>
          <w:rFonts w:asciiTheme="minorHAnsi" w:hAnsiTheme="minorHAnsi" w:cstheme="minorHAnsi"/>
        </w:rPr>
        <w:t xml:space="preserve"> </w:t>
      </w:r>
      <w:proofErr w:type="spellStart"/>
      <w:r w:rsidRPr="00D237CE">
        <w:rPr>
          <w:rFonts w:asciiTheme="minorHAnsi" w:hAnsiTheme="minorHAnsi" w:cstheme="minorHAnsi"/>
        </w:rPr>
        <w:t>Department</w:t>
      </w:r>
      <w:proofErr w:type="spellEnd"/>
      <w:r w:rsidRPr="00D237CE">
        <w:rPr>
          <w:rFonts w:asciiTheme="minorHAnsi" w:hAnsiTheme="minorHAnsi" w:cstheme="minorHAnsi"/>
        </w:rPr>
        <w:t xml:space="preserve"> of Ibn Rochd </w:t>
      </w:r>
      <w:proofErr w:type="spellStart"/>
      <w:r w:rsidRPr="00D237CE">
        <w:rPr>
          <w:rFonts w:asciiTheme="minorHAnsi" w:hAnsiTheme="minorHAnsi" w:cstheme="minorHAnsi"/>
        </w:rPr>
        <w:t>University</w:t>
      </w:r>
      <w:proofErr w:type="spellEnd"/>
      <w:r w:rsidRPr="00D237CE">
        <w:rPr>
          <w:rFonts w:asciiTheme="minorHAnsi" w:hAnsiTheme="minorHAnsi" w:cstheme="minorHAnsi"/>
        </w:rPr>
        <w:t xml:space="preserve"> Hospital in Casablanca over an 8-year </w:t>
      </w:r>
      <w:proofErr w:type="spellStart"/>
      <w:r w:rsidRPr="00D237CE">
        <w:rPr>
          <w:rFonts w:asciiTheme="minorHAnsi" w:hAnsiTheme="minorHAnsi" w:cstheme="minorHAnsi"/>
        </w:rPr>
        <w:t>period</w:t>
      </w:r>
      <w:proofErr w:type="spellEnd"/>
      <w:r w:rsidRPr="00D237CE">
        <w:rPr>
          <w:rFonts w:asciiTheme="minorHAnsi" w:hAnsiTheme="minorHAnsi" w:cstheme="minorHAnsi"/>
        </w:rPr>
        <w:t xml:space="preserve"> (</w:t>
      </w:r>
      <w:proofErr w:type="spellStart"/>
      <w:r w:rsidRPr="00D237CE">
        <w:rPr>
          <w:rFonts w:asciiTheme="minorHAnsi" w:hAnsiTheme="minorHAnsi" w:cstheme="minorHAnsi"/>
        </w:rPr>
        <w:t>January</w:t>
      </w:r>
      <w:proofErr w:type="spellEnd"/>
      <w:r w:rsidRPr="00D237CE">
        <w:rPr>
          <w:rFonts w:asciiTheme="minorHAnsi" w:hAnsiTheme="minorHAnsi" w:cstheme="minorHAnsi"/>
        </w:rPr>
        <w:t xml:space="preserve"> 2017 – </w:t>
      </w:r>
      <w:proofErr w:type="spellStart"/>
      <w:r w:rsidRPr="00D237CE">
        <w:rPr>
          <w:rFonts w:asciiTheme="minorHAnsi" w:hAnsiTheme="minorHAnsi" w:cstheme="minorHAnsi"/>
        </w:rPr>
        <w:t>January</w:t>
      </w:r>
      <w:proofErr w:type="spellEnd"/>
      <w:r w:rsidRPr="00D237CE">
        <w:rPr>
          <w:rFonts w:asciiTheme="minorHAnsi" w:hAnsiTheme="minorHAnsi" w:cstheme="minorHAnsi"/>
        </w:rPr>
        <w:t xml:space="preserve"> 2024).</w:t>
      </w:r>
    </w:p>
    <w:p w14:paraId="5EB16C7C" w14:textId="77777777" w:rsidR="003328F6" w:rsidRDefault="007D6230" w:rsidP="003328F6">
      <w:pPr>
        <w:pStyle w:val="NormalWeb"/>
        <w:rPr>
          <w:rFonts w:asciiTheme="minorHAnsi" w:hAnsiTheme="minorHAnsi" w:cstheme="minorHAnsi"/>
          <w:b/>
          <w:bCs/>
          <w:sz w:val="28"/>
        </w:rPr>
      </w:pPr>
      <w:r w:rsidRPr="00D237CE">
        <w:rPr>
          <w:rFonts w:asciiTheme="minorHAnsi" w:hAnsiTheme="minorHAnsi" w:cstheme="minorHAnsi"/>
        </w:rPr>
        <w:t xml:space="preserve">The initial </w:t>
      </w:r>
      <w:proofErr w:type="spellStart"/>
      <w:r w:rsidRPr="00D237CE">
        <w:rPr>
          <w:rFonts w:asciiTheme="minorHAnsi" w:hAnsiTheme="minorHAnsi" w:cstheme="minorHAnsi"/>
        </w:rPr>
        <w:t>diagnosis</w:t>
      </w:r>
      <w:proofErr w:type="spellEnd"/>
      <w:r w:rsidRPr="00D237CE">
        <w:rPr>
          <w:rFonts w:asciiTheme="minorHAnsi" w:hAnsiTheme="minorHAnsi" w:cstheme="minorHAnsi"/>
        </w:rPr>
        <w:t xml:space="preserve"> of a </w:t>
      </w:r>
      <w:proofErr w:type="spellStart"/>
      <w:r w:rsidRPr="00D237CE">
        <w:rPr>
          <w:rFonts w:asciiTheme="minorHAnsi" w:hAnsiTheme="minorHAnsi" w:cstheme="minorHAnsi"/>
        </w:rPr>
        <w:t>biliary</w:t>
      </w:r>
      <w:proofErr w:type="spellEnd"/>
      <w:r w:rsidRPr="00D237CE">
        <w:rPr>
          <w:rFonts w:asciiTheme="minorHAnsi" w:hAnsiTheme="minorHAnsi" w:cstheme="minorHAnsi"/>
        </w:rPr>
        <w:t xml:space="preserve"> tract obstruction </w:t>
      </w:r>
      <w:proofErr w:type="spellStart"/>
      <w:r w:rsidRPr="00D237CE">
        <w:rPr>
          <w:rFonts w:asciiTheme="minorHAnsi" w:hAnsiTheme="minorHAnsi" w:cstheme="minorHAnsi"/>
        </w:rPr>
        <w:t>was</w:t>
      </w:r>
      <w:proofErr w:type="spellEnd"/>
      <w:r w:rsidRPr="00D237CE">
        <w:rPr>
          <w:rFonts w:asciiTheme="minorHAnsi" w:hAnsiTheme="minorHAnsi" w:cstheme="minorHAnsi"/>
        </w:rPr>
        <w:t xml:space="preserve"> </w:t>
      </w:r>
      <w:proofErr w:type="spellStart"/>
      <w:r w:rsidRPr="00D237CE">
        <w:rPr>
          <w:rFonts w:asciiTheme="minorHAnsi" w:hAnsiTheme="minorHAnsi" w:cstheme="minorHAnsi"/>
        </w:rPr>
        <w:t>based</w:t>
      </w:r>
      <w:proofErr w:type="spellEnd"/>
      <w:r w:rsidRPr="00D237CE">
        <w:rPr>
          <w:rFonts w:asciiTheme="minorHAnsi" w:hAnsiTheme="minorHAnsi" w:cstheme="minorHAnsi"/>
        </w:rPr>
        <w:t xml:space="preserve"> on </w:t>
      </w:r>
      <w:proofErr w:type="spellStart"/>
      <w:r w:rsidRPr="00D237CE">
        <w:rPr>
          <w:rFonts w:asciiTheme="minorHAnsi" w:hAnsiTheme="minorHAnsi" w:cstheme="minorHAnsi"/>
        </w:rPr>
        <w:t>clinical</w:t>
      </w:r>
      <w:proofErr w:type="spellEnd"/>
      <w:r w:rsidRPr="00D237CE">
        <w:rPr>
          <w:rFonts w:asciiTheme="minorHAnsi" w:hAnsiTheme="minorHAnsi" w:cstheme="minorHAnsi"/>
        </w:rPr>
        <w:t xml:space="preserve"> and </w:t>
      </w:r>
      <w:proofErr w:type="spellStart"/>
      <w:r w:rsidRPr="00D237CE">
        <w:rPr>
          <w:rFonts w:asciiTheme="minorHAnsi" w:hAnsiTheme="minorHAnsi" w:cstheme="minorHAnsi"/>
        </w:rPr>
        <w:t>biological</w:t>
      </w:r>
      <w:proofErr w:type="spellEnd"/>
      <w:r w:rsidRPr="00D237CE">
        <w:rPr>
          <w:rFonts w:asciiTheme="minorHAnsi" w:hAnsiTheme="minorHAnsi" w:cstheme="minorHAnsi"/>
        </w:rPr>
        <w:t xml:space="preserve"> </w:t>
      </w:r>
      <w:proofErr w:type="spellStart"/>
      <w:r w:rsidRPr="00D237CE">
        <w:rPr>
          <w:rFonts w:asciiTheme="minorHAnsi" w:hAnsiTheme="minorHAnsi" w:cstheme="minorHAnsi"/>
        </w:rPr>
        <w:t>findings</w:t>
      </w:r>
      <w:proofErr w:type="spellEnd"/>
      <w:r w:rsidRPr="00D237CE">
        <w:rPr>
          <w:rFonts w:asciiTheme="minorHAnsi" w:hAnsiTheme="minorHAnsi" w:cstheme="minorHAnsi"/>
        </w:rPr>
        <w:t xml:space="preserve">, </w:t>
      </w:r>
      <w:proofErr w:type="spellStart"/>
      <w:r w:rsidRPr="00D237CE">
        <w:rPr>
          <w:rFonts w:asciiTheme="minorHAnsi" w:hAnsiTheme="minorHAnsi" w:cstheme="minorHAnsi"/>
        </w:rPr>
        <w:t>such</w:t>
      </w:r>
      <w:proofErr w:type="spellEnd"/>
      <w:r w:rsidRPr="00D237CE">
        <w:rPr>
          <w:rFonts w:asciiTheme="minorHAnsi" w:hAnsiTheme="minorHAnsi" w:cstheme="minorHAnsi"/>
        </w:rPr>
        <w:t xml:space="preserve"> as the </w:t>
      </w:r>
      <w:proofErr w:type="spellStart"/>
      <w:r w:rsidRPr="00D237CE">
        <w:rPr>
          <w:rFonts w:asciiTheme="minorHAnsi" w:hAnsiTheme="minorHAnsi" w:cstheme="minorHAnsi"/>
        </w:rPr>
        <w:t>presence</w:t>
      </w:r>
      <w:proofErr w:type="spellEnd"/>
      <w:r w:rsidRPr="00D237CE">
        <w:rPr>
          <w:rFonts w:asciiTheme="minorHAnsi" w:hAnsiTheme="minorHAnsi" w:cstheme="minorHAnsi"/>
        </w:rPr>
        <w:t xml:space="preserve"> of </w:t>
      </w:r>
      <w:proofErr w:type="spellStart"/>
      <w:r w:rsidRPr="00D237CE">
        <w:rPr>
          <w:rFonts w:asciiTheme="minorHAnsi" w:hAnsiTheme="minorHAnsi" w:cstheme="minorHAnsi"/>
        </w:rPr>
        <w:t>jaundice</w:t>
      </w:r>
      <w:proofErr w:type="spellEnd"/>
      <w:r w:rsidRPr="00D237CE">
        <w:rPr>
          <w:rFonts w:asciiTheme="minorHAnsi" w:hAnsiTheme="minorHAnsi" w:cstheme="minorHAnsi"/>
        </w:rPr>
        <w:t xml:space="preserve">, right </w:t>
      </w:r>
      <w:proofErr w:type="spellStart"/>
      <w:r w:rsidRPr="00D237CE">
        <w:rPr>
          <w:rFonts w:asciiTheme="minorHAnsi" w:hAnsiTheme="minorHAnsi" w:cstheme="minorHAnsi"/>
        </w:rPr>
        <w:t>upper</w:t>
      </w:r>
      <w:proofErr w:type="spellEnd"/>
      <w:r w:rsidRPr="00D237CE">
        <w:rPr>
          <w:rFonts w:asciiTheme="minorHAnsi" w:hAnsiTheme="minorHAnsi" w:cstheme="minorHAnsi"/>
        </w:rPr>
        <w:t xml:space="preserve"> quadrant pain, </w:t>
      </w:r>
      <w:proofErr w:type="spellStart"/>
      <w:r w:rsidRPr="00D237CE">
        <w:rPr>
          <w:rFonts w:asciiTheme="minorHAnsi" w:hAnsiTheme="minorHAnsi" w:cstheme="minorHAnsi"/>
        </w:rPr>
        <w:t>fever</w:t>
      </w:r>
      <w:proofErr w:type="spellEnd"/>
      <w:r w:rsidRPr="00D237CE">
        <w:rPr>
          <w:rFonts w:asciiTheme="minorHAnsi" w:hAnsiTheme="minorHAnsi" w:cstheme="minorHAnsi"/>
        </w:rPr>
        <w:t xml:space="preserve">, </w:t>
      </w:r>
      <w:proofErr w:type="spellStart"/>
      <w:r w:rsidRPr="00D237CE">
        <w:rPr>
          <w:rFonts w:asciiTheme="minorHAnsi" w:hAnsiTheme="minorHAnsi" w:cstheme="minorHAnsi"/>
        </w:rPr>
        <w:t>elevated</w:t>
      </w:r>
      <w:proofErr w:type="spellEnd"/>
      <w:r w:rsidRPr="00D237CE">
        <w:rPr>
          <w:rFonts w:asciiTheme="minorHAnsi" w:hAnsiTheme="minorHAnsi" w:cstheme="minorHAnsi"/>
        </w:rPr>
        <w:t xml:space="preserve"> </w:t>
      </w:r>
      <w:proofErr w:type="spellStart"/>
      <w:r w:rsidRPr="00D237CE">
        <w:rPr>
          <w:rFonts w:asciiTheme="minorHAnsi" w:hAnsiTheme="minorHAnsi" w:cstheme="minorHAnsi"/>
        </w:rPr>
        <w:t>liver</w:t>
      </w:r>
      <w:proofErr w:type="spellEnd"/>
      <w:r w:rsidRPr="00D237CE">
        <w:rPr>
          <w:rFonts w:asciiTheme="minorHAnsi" w:hAnsiTheme="minorHAnsi" w:cstheme="minorHAnsi"/>
        </w:rPr>
        <w:t xml:space="preserve"> enzymes (</w:t>
      </w:r>
      <w:proofErr w:type="spellStart"/>
      <w:r w:rsidRPr="00D237CE">
        <w:rPr>
          <w:rFonts w:asciiTheme="minorHAnsi" w:hAnsiTheme="minorHAnsi" w:cstheme="minorHAnsi"/>
        </w:rPr>
        <w:t>cytolysis</w:t>
      </w:r>
      <w:proofErr w:type="spellEnd"/>
      <w:r w:rsidRPr="00D237CE">
        <w:rPr>
          <w:rFonts w:asciiTheme="minorHAnsi" w:hAnsiTheme="minorHAnsi" w:cstheme="minorHAnsi"/>
        </w:rPr>
        <w:t xml:space="preserve">), and a </w:t>
      </w:r>
      <w:proofErr w:type="spellStart"/>
      <w:r w:rsidRPr="00D237CE">
        <w:rPr>
          <w:rFonts w:asciiTheme="minorHAnsi" w:hAnsiTheme="minorHAnsi" w:cstheme="minorHAnsi"/>
        </w:rPr>
        <w:t>biological</w:t>
      </w:r>
      <w:proofErr w:type="spellEnd"/>
      <w:r w:rsidRPr="00D237CE">
        <w:rPr>
          <w:rFonts w:asciiTheme="minorHAnsi" w:hAnsiTheme="minorHAnsi" w:cstheme="minorHAnsi"/>
        </w:rPr>
        <w:t xml:space="preserve"> </w:t>
      </w:r>
      <w:proofErr w:type="spellStart"/>
      <w:r w:rsidRPr="00D237CE">
        <w:rPr>
          <w:rFonts w:asciiTheme="minorHAnsi" w:hAnsiTheme="minorHAnsi" w:cstheme="minorHAnsi"/>
        </w:rPr>
        <w:t>cholestasis</w:t>
      </w:r>
      <w:proofErr w:type="spellEnd"/>
      <w:r w:rsidRPr="00D237CE">
        <w:rPr>
          <w:rFonts w:asciiTheme="minorHAnsi" w:hAnsiTheme="minorHAnsi" w:cstheme="minorHAnsi"/>
        </w:rPr>
        <w:t xml:space="preserve"> syndrome </w:t>
      </w:r>
      <w:proofErr w:type="spellStart"/>
      <w:r w:rsidRPr="00D237CE">
        <w:rPr>
          <w:rFonts w:asciiTheme="minorHAnsi" w:hAnsiTheme="minorHAnsi" w:cstheme="minorHAnsi"/>
        </w:rPr>
        <w:t>with</w:t>
      </w:r>
      <w:proofErr w:type="spellEnd"/>
      <w:r w:rsidRPr="00D237CE">
        <w:rPr>
          <w:rFonts w:asciiTheme="minorHAnsi" w:hAnsiTheme="minorHAnsi" w:cstheme="minorHAnsi"/>
        </w:rPr>
        <w:t xml:space="preserve"> or </w:t>
      </w:r>
      <w:proofErr w:type="spellStart"/>
      <w:r w:rsidRPr="00D237CE">
        <w:rPr>
          <w:rFonts w:asciiTheme="minorHAnsi" w:hAnsiTheme="minorHAnsi" w:cstheme="minorHAnsi"/>
        </w:rPr>
        <w:t>without</w:t>
      </w:r>
      <w:proofErr w:type="spellEnd"/>
      <w:r w:rsidRPr="00D237CE">
        <w:rPr>
          <w:rFonts w:asciiTheme="minorHAnsi" w:hAnsiTheme="minorHAnsi" w:cstheme="minorHAnsi"/>
        </w:rPr>
        <w:t xml:space="preserve"> </w:t>
      </w:r>
      <w:proofErr w:type="spellStart"/>
      <w:r w:rsidRPr="00D237CE">
        <w:rPr>
          <w:rFonts w:asciiTheme="minorHAnsi" w:hAnsiTheme="minorHAnsi" w:cstheme="minorHAnsi"/>
        </w:rPr>
        <w:t>jaundice</w:t>
      </w:r>
      <w:proofErr w:type="spellEnd"/>
      <w:r w:rsidRPr="00D237CE">
        <w:rPr>
          <w:rFonts w:asciiTheme="minorHAnsi" w:hAnsiTheme="minorHAnsi" w:cstheme="minorHAnsi"/>
        </w:rPr>
        <w:t xml:space="preserve">. </w:t>
      </w:r>
    </w:p>
    <w:p w14:paraId="579BCB8E" w14:textId="77777777" w:rsidR="003328F6" w:rsidRDefault="007D6230" w:rsidP="003328F6">
      <w:pPr>
        <w:pStyle w:val="NormalWeb"/>
        <w:rPr>
          <w:rFonts w:asciiTheme="minorHAnsi" w:hAnsiTheme="minorHAnsi" w:cstheme="minorHAnsi"/>
        </w:rPr>
      </w:pPr>
      <w:proofErr w:type="spellStart"/>
      <w:r w:rsidRPr="00D237CE">
        <w:rPr>
          <w:rFonts w:asciiTheme="minorHAnsi" w:hAnsiTheme="minorHAnsi" w:cstheme="minorHAnsi"/>
        </w:rPr>
        <w:t>Radiologically</w:t>
      </w:r>
      <w:proofErr w:type="spellEnd"/>
      <w:r w:rsidRPr="00D237CE">
        <w:rPr>
          <w:rFonts w:asciiTheme="minorHAnsi" w:hAnsiTheme="minorHAnsi" w:cstheme="minorHAnsi"/>
        </w:rPr>
        <w:t xml:space="preserve">, all patients </w:t>
      </w:r>
      <w:proofErr w:type="spellStart"/>
      <w:r w:rsidRPr="00D237CE">
        <w:rPr>
          <w:rFonts w:asciiTheme="minorHAnsi" w:hAnsiTheme="minorHAnsi" w:cstheme="minorHAnsi"/>
        </w:rPr>
        <w:t>underwent</w:t>
      </w:r>
      <w:proofErr w:type="spellEnd"/>
      <w:r w:rsidRPr="00D237CE">
        <w:rPr>
          <w:rFonts w:asciiTheme="minorHAnsi" w:hAnsiTheme="minorHAnsi" w:cstheme="minorHAnsi"/>
        </w:rPr>
        <w:t xml:space="preserve"> abdominal </w:t>
      </w:r>
      <w:proofErr w:type="spellStart"/>
      <w:r w:rsidRPr="00D237CE">
        <w:rPr>
          <w:rFonts w:asciiTheme="minorHAnsi" w:hAnsiTheme="minorHAnsi" w:cstheme="minorHAnsi"/>
        </w:rPr>
        <w:t>imaging</w:t>
      </w:r>
      <w:proofErr w:type="spellEnd"/>
      <w:r w:rsidRPr="00D237CE">
        <w:rPr>
          <w:rFonts w:asciiTheme="minorHAnsi" w:hAnsiTheme="minorHAnsi" w:cstheme="minorHAnsi"/>
        </w:rPr>
        <w:t xml:space="preserve"> — </w:t>
      </w:r>
      <w:proofErr w:type="spellStart"/>
      <w:r w:rsidRPr="00D237CE">
        <w:rPr>
          <w:rFonts w:asciiTheme="minorHAnsi" w:hAnsiTheme="minorHAnsi" w:cstheme="minorHAnsi"/>
        </w:rPr>
        <w:t>either</w:t>
      </w:r>
      <w:proofErr w:type="spellEnd"/>
      <w:r w:rsidRPr="00D237CE">
        <w:rPr>
          <w:rFonts w:asciiTheme="minorHAnsi" w:hAnsiTheme="minorHAnsi" w:cstheme="minorHAnsi"/>
        </w:rPr>
        <w:t xml:space="preserve"> </w:t>
      </w:r>
      <w:proofErr w:type="spellStart"/>
      <w:r w:rsidRPr="00D237CE">
        <w:rPr>
          <w:rFonts w:asciiTheme="minorHAnsi" w:hAnsiTheme="minorHAnsi" w:cstheme="minorHAnsi"/>
        </w:rPr>
        <w:t>computed</w:t>
      </w:r>
      <w:proofErr w:type="spellEnd"/>
      <w:r w:rsidRPr="00D237CE">
        <w:rPr>
          <w:rFonts w:asciiTheme="minorHAnsi" w:hAnsiTheme="minorHAnsi" w:cstheme="minorHAnsi"/>
        </w:rPr>
        <w:t xml:space="preserve"> </w:t>
      </w:r>
      <w:proofErr w:type="spellStart"/>
      <w:r w:rsidRPr="00D237CE">
        <w:rPr>
          <w:rFonts w:asciiTheme="minorHAnsi" w:hAnsiTheme="minorHAnsi" w:cstheme="minorHAnsi"/>
        </w:rPr>
        <w:t>tomography</w:t>
      </w:r>
      <w:proofErr w:type="spellEnd"/>
      <w:r w:rsidRPr="00D237CE">
        <w:rPr>
          <w:rFonts w:asciiTheme="minorHAnsi" w:hAnsiTheme="minorHAnsi" w:cstheme="minorHAnsi"/>
        </w:rPr>
        <w:t xml:space="preserve"> (CT) or </w:t>
      </w:r>
      <w:proofErr w:type="spellStart"/>
      <w:r w:rsidRPr="00D237CE">
        <w:rPr>
          <w:rFonts w:asciiTheme="minorHAnsi" w:hAnsiTheme="minorHAnsi" w:cstheme="minorHAnsi"/>
        </w:rPr>
        <w:t>magnetic</w:t>
      </w:r>
      <w:proofErr w:type="spellEnd"/>
      <w:r w:rsidRPr="00D237CE">
        <w:rPr>
          <w:rFonts w:asciiTheme="minorHAnsi" w:hAnsiTheme="minorHAnsi" w:cstheme="minorHAnsi"/>
        </w:rPr>
        <w:t xml:space="preserve"> </w:t>
      </w:r>
      <w:proofErr w:type="spellStart"/>
      <w:r w:rsidRPr="00D237CE">
        <w:rPr>
          <w:rFonts w:asciiTheme="minorHAnsi" w:hAnsiTheme="minorHAnsi" w:cstheme="minorHAnsi"/>
        </w:rPr>
        <w:t>resonance</w:t>
      </w:r>
      <w:proofErr w:type="spellEnd"/>
      <w:r w:rsidRPr="00D237CE">
        <w:rPr>
          <w:rFonts w:asciiTheme="minorHAnsi" w:hAnsiTheme="minorHAnsi" w:cstheme="minorHAnsi"/>
        </w:rPr>
        <w:t xml:space="preserve"> </w:t>
      </w:r>
      <w:proofErr w:type="spellStart"/>
      <w:r w:rsidRPr="00D237CE">
        <w:rPr>
          <w:rFonts w:asciiTheme="minorHAnsi" w:hAnsiTheme="minorHAnsi" w:cstheme="minorHAnsi"/>
        </w:rPr>
        <w:t>imaging</w:t>
      </w:r>
      <w:proofErr w:type="spellEnd"/>
      <w:r w:rsidRPr="00D237CE">
        <w:rPr>
          <w:rFonts w:asciiTheme="minorHAnsi" w:hAnsiTheme="minorHAnsi" w:cstheme="minorHAnsi"/>
        </w:rPr>
        <w:t xml:space="preserve"> (MRI), </w:t>
      </w:r>
      <w:proofErr w:type="spellStart"/>
      <w:r w:rsidRPr="00D237CE">
        <w:rPr>
          <w:rFonts w:asciiTheme="minorHAnsi" w:hAnsiTheme="minorHAnsi" w:cstheme="minorHAnsi"/>
        </w:rPr>
        <w:t>specifically</w:t>
      </w:r>
      <w:proofErr w:type="spellEnd"/>
      <w:r w:rsidRPr="00D237CE">
        <w:rPr>
          <w:rFonts w:asciiTheme="minorHAnsi" w:hAnsiTheme="minorHAnsi" w:cstheme="minorHAnsi"/>
        </w:rPr>
        <w:t xml:space="preserve"> </w:t>
      </w:r>
      <w:proofErr w:type="spellStart"/>
      <w:r w:rsidRPr="00D237CE">
        <w:rPr>
          <w:rFonts w:asciiTheme="minorHAnsi" w:hAnsiTheme="minorHAnsi" w:cstheme="minorHAnsi"/>
        </w:rPr>
        <w:t>magnetic</w:t>
      </w:r>
      <w:proofErr w:type="spellEnd"/>
      <w:r w:rsidRPr="00D237CE">
        <w:rPr>
          <w:rFonts w:asciiTheme="minorHAnsi" w:hAnsiTheme="minorHAnsi" w:cstheme="minorHAnsi"/>
        </w:rPr>
        <w:t xml:space="preserve"> </w:t>
      </w:r>
      <w:proofErr w:type="spellStart"/>
      <w:r w:rsidRPr="00D237CE">
        <w:rPr>
          <w:rFonts w:asciiTheme="minorHAnsi" w:hAnsiTheme="minorHAnsi" w:cstheme="minorHAnsi"/>
        </w:rPr>
        <w:t>resonance</w:t>
      </w:r>
      <w:proofErr w:type="spellEnd"/>
      <w:r w:rsidRPr="00D237CE">
        <w:rPr>
          <w:rFonts w:asciiTheme="minorHAnsi" w:hAnsiTheme="minorHAnsi" w:cstheme="minorHAnsi"/>
        </w:rPr>
        <w:t xml:space="preserve"> </w:t>
      </w:r>
      <w:proofErr w:type="spellStart"/>
      <w:r w:rsidRPr="00D237CE">
        <w:rPr>
          <w:rFonts w:asciiTheme="minorHAnsi" w:hAnsiTheme="minorHAnsi" w:cstheme="minorHAnsi"/>
        </w:rPr>
        <w:t>cholangiopancreatography</w:t>
      </w:r>
      <w:proofErr w:type="spellEnd"/>
      <w:r w:rsidRPr="00D237CE">
        <w:rPr>
          <w:rFonts w:asciiTheme="minorHAnsi" w:hAnsiTheme="minorHAnsi" w:cstheme="minorHAnsi"/>
        </w:rPr>
        <w:t xml:space="preserve"> (MRCP), </w:t>
      </w:r>
      <w:proofErr w:type="spellStart"/>
      <w:r w:rsidRPr="00D237CE">
        <w:rPr>
          <w:rFonts w:asciiTheme="minorHAnsi" w:hAnsiTheme="minorHAnsi" w:cstheme="minorHAnsi"/>
        </w:rPr>
        <w:t>prior</w:t>
      </w:r>
      <w:proofErr w:type="spellEnd"/>
      <w:r w:rsidRPr="00D237CE">
        <w:rPr>
          <w:rFonts w:asciiTheme="minorHAnsi" w:hAnsiTheme="minorHAnsi" w:cstheme="minorHAnsi"/>
        </w:rPr>
        <w:t xml:space="preserve"> to </w:t>
      </w:r>
      <w:proofErr w:type="spellStart"/>
      <w:r w:rsidRPr="00D237CE">
        <w:rPr>
          <w:rFonts w:asciiTheme="minorHAnsi" w:hAnsiTheme="minorHAnsi" w:cstheme="minorHAnsi"/>
        </w:rPr>
        <w:t>undergoing</w:t>
      </w:r>
      <w:proofErr w:type="spellEnd"/>
      <w:r w:rsidRPr="00D237CE">
        <w:rPr>
          <w:rFonts w:asciiTheme="minorHAnsi" w:hAnsiTheme="minorHAnsi" w:cstheme="minorHAnsi"/>
        </w:rPr>
        <w:t xml:space="preserve"> ERCP.</w:t>
      </w:r>
    </w:p>
    <w:p w14:paraId="0EDCDFC1" w14:textId="77777777" w:rsidR="003328F6" w:rsidRDefault="0029159F" w:rsidP="003328F6">
      <w:pPr>
        <w:pStyle w:val="NormalWeb"/>
        <w:rPr>
          <w:rFonts w:asciiTheme="minorHAnsi" w:hAnsiTheme="minorHAnsi" w:cstheme="minorHAnsi"/>
          <w:b/>
          <w:bCs/>
          <w:sz w:val="28"/>
        </w:rPr>
      </w:pPr>
      <w:r w:rsidRPr="00D237CE">
        <w:rPr>
          <w:rFonts w:asciiTheme="minorHAnsi" w:hAnsiTheme="minorHAnsi" w:cstheme="minorHAnsi"/>
        </w:rPr>
        <w:t xml:space="preserve">All patients </w:t>
      </w:r>
      <w:proofErr w:type="spellStart"/>
      <w:r w:rsidRPr="00D237CE">
        <w:rPr>
          <w:rFonts w:asciiTheme="minorHAnsi" w:hAnsiTheme="minorHAnsi" w:cstheme="minorHAnsi"/>
        </w:rPr>
        <w:t>who</w:t>
      </w:r>
      <w:proofErr w:type="spellEnd"/>
      <w:r w:rsidRPr="00D237CE">
        <w:rPr>
          <w:rFonts w:asciiTheme="minorHAnsi" w:hAnsiTheme="minorHAnsi" w:cstheme="minorHAnsi"/>
        </w:rPr>
        <w:t xml:space="preserve"> </w:t>
      </w:r>
      <w:proofErr w:type="spellStart"/>
      <w:r w:rsidRPr="00D237CE">
        <w:rPr>
          <w:rFonts w:asciiTheme="minorHAnsi" w:hAnsiTheme="minorHAnsi" w:cstheme="minorHAnsi"/>
        </w:rPr>
        <w:t>underwent</w:t>
      </w:r>
      <w:proofErr w:type="spellEnd"/>
      <w:r w:rsidRPr="00D237CE">
        <w:rPr>
          <w:rFonts w:asciiTheme="minorHAnsi" w:hAnsiTheme="minorHAnsi" w:cstheme="minorHAnsi"/>
        </w:rPr>
        <w:t xml:space="preserve"> an ERCP </w:t>
      </w:r>
      <w:proofErr w:type="spellStart"/>
      <w:r w:rsidRPr="00D237CE">
        <w:rPr>
          <w:rFonts w:asciiTheme="minorHAnsi" w:hAnsiTheme="minorHAnsi" w:cstheme="minorHAnsi"/>
        </w:rPr>
        <w:t>procedure</w:t>
      </w:r>
      <w:proofErr w:type="spellEnd"/>
      <w:r w:rsidRPr="00D237CE">
        <w:rPr>
          <w:rFonts w:asciiTheme="minorHAnsi" w:hAnsiTheme="minorHAnsi" w:cstheme="minorHAnsi"/>
        </w:rPr>
        <w:t xml:space="preserve"> </w:t>
      </w:r>
      <w:proofErr w:type="spellStart"/>
      <w:r w:rsidRPr="00D237CE">
        <w:rPr>
          <w:rFonts w:asciiTheme="minorHAnsi" w:hAnsiTheme="minorHAnsi" w:cstheme="minorHAnsi"/>
        </w:rPr>
        <w:t>during</w:t>
      </w:r>
      <w:proofErr w:type="spellEnd"/>
      <w:r w:rsidRPr="00D237CE">
        <w:rPr>
          <w:rFonts w:asciiTheme="minorHAnsi" w:hAnsiTheme="minorHAnsi" w:cstheme="minorHAnsi"/>
        </w:rPr>
        <w:t xml:space="preserve"> </w:t>
      </w:r>
      <w:proofErr w:type="spellStart"/>
      <w:r w:rsidRPr="00D237CE">
        <w:rPr>
          <w:rFonts w:asciiTheme="minorHAnsi" w:hAnsiTheme="minorHAnsi" w:cstheme="minorHAnsi"/>
        </w:rPr>
        <w:t>which</w:t>
      </w:r>
      <w:proofErr w:type="spellEnd"/>
      <w:r w:rsidRPr="00D237CE">
        <w:rPr>
          <w:rFonts w:asciiTheme="minorHAnsi" w:hAnsiTheme="minorHAnsi" w:cstheme="minorHAnsi"/>
        </w:rPr>
        <w:t xml:space="preserve"> </w:t>
      </w:r>
      <w:proofErr w:type="spellStart"/>
      <w:r w:rsidRPr="00D237CE">
        <w:rPr>
          <w:rFonts w:asciiTheme="minorHAnsi" w:hAnsiTheme="minorHAnsi" w:cstheme="minorHAnsi"/>
        </w:rPr>
        <w:t>biliary</w:t>
      </w:r>
      <w:proofErr w:type="spellEnd"/>
      <w:r w:rsidRPr="00D237CE">
        <w:rPr>
          <w:rFonts w:asciiTheme="minorHAnsi" w:hAnsiTheme="minorHAnsi" w:cstheme="minorHAnsi"/>
        </w:rPr>
        <w:t xml:space="preserve"> </w:t>
      </w:r>
      <w:proofErr w:type="spellStart"/>
      <w:r w:rsidRPr="00D237CE">
        <w:rPr>
          <w:rFonts w:asciiTheme="minorHAnsi" w:hAnsiTheme="minorHAnsi" w:cstheme="minorHAnsi"/>
        </w:rPr>
        <w:t>cannulation</w:t>
      </w:r>
      <w:proofErr w:type="spellEnd"/>
      <w:r w:rsidRPr="00D237CE">
        <w:rPr>
          <w:rFonts w:asciiTheme="minorHAnsi" w:hAnsiTheme="minorHAnsi" w:cstheme="minorHAnsi"/>
        </w:rPr>
        <w:t xml:space="preserve"> </w:t>
      </w:r>
      <w:proofErr w:type="spellStart"/>
      <w:r w:rsidRPr="00D237CE">
        <w:rPr>
          <w:rFonts w:asciiTheme="minorHAnsi" w:hAnsiTheme="minorHAnsi" w:cstheme="minorHAnsi"/>
        </w:rPr>
        <w:t>was</w:t>
      </w:r>
      <w:proofErr w:type="spellEnd"/>
      <w:r w:rsidRPr="00D237CE">
        <w:rPr>
          <w:rFonts w:asciiTheme="minorHAnsi" w:hAnsiTheme="minorHAnsi" w:cstheme="minorHAnsi"/>
        </w:rPr>
        <w:t xml:space="preserve"> </w:t>
      </w:r>
      <w:proofErr w:type="spellStart"/>
      <w:r w:rsidRPr="00D237CE">
        <w:rPr>
          <w:rFonts w:asciiTheme="minorHAnsi" w:hAnsiTheme="minorHAnsi" w:cstheme="minorHAnsi"/>
        </w:rPr>
        <w:t>documented</w:t>
      </w:r>
      <w:proofErr w:type="spellEnd"/>
      <w:r w:rsidRPr="00D237CE">
        <w:rPr>
          <w:rFonts w:asciiTheme="minorHAnsi" w:hAnsiTheme="minorHAnsi" w:cstheme="minorHAnsi"/>
        </w:rPr>
        <w:t xml:space="preserve"> as </w:t>
      </w:r>
      <w:proofErr w:type="spellStart"/>
      <w:r w:rsidRPr="00D237CE">
        <w:rPr>
          <w:rFonts w:asciiTheme="minorHAnsi" w:hAnsiTheme="minorHAnsi" w:cstheme="minorHAnsi"/>
        </w:rPr>
        <w:t>failed</w:t>
      </w:r>
      <w:proofErr w:type="spellEnd"/>
      <w:r w:rsidRPr="00D237CE">
        <w:rPr>
          <w:rFonts w:asciiTheme="minorHAnsi" w:hAnsiTheme="minorHAnsi" w:cstheme="minorHAnsi"/>
        </w:rPr>
        <w:t xml:space="preserve"> </w:t>
      </w:r>
      <w:proofErr w:type="spellStart"/>
      <w:r w:rsidRPr="00D237CE">
        <w:rPr>
          <w:rFonts w:asciiTheme="minorHAnsi" w:hAnsiTheme="minorHAnsi" w:cstheme="minorHAnsi"/>
        </w:rPr>
        <w:t>were</w:t>
      </w:r>
      <w:proofErr w:type="spellEnd"/>
      <w:r w:rsidRPr="00D237CE">
        <w:rPr>
          <w:rFonts w:asciiTheme="minorHAnsi" w:hAnsiTheme="minorHAnsi" w:cstheme="minorHAnsi"/>
        </w:rPr>
        <w:t xml:space="preserve"> </w:t>
      </w:r>
      <w:proofErr w:type="spellStart"/>
      <w:r w:rsidRPr="00D237CE">
        <w:rPr>
          <w:rFonts w:asciiTheme="minorHAnsi" w:hAnsiTheme="minorHAnsi" w:cstheme="minorHAnsi"/>
        </w:rPr>
        <w:t>included</w:t>
      </w:r>
      <w:proofErr w:type="spellEnd"/>
      <w:r w:rsidRPr="00D237CE">
        <w:rPr>
          <w:rFonts w:asciiTheme="minorHAnsi" w:hAnsiTheme="minorHAnsi" w:cstheme="minorHAnsi"/>
        </w:rPr>
        <w:t>.</w:t>
      </w:r>
    </w:p>
    <w:p w14:paraId="4A80A86F" w14:textId="77777777" w:rsidR="007D6230" w:rsidRPr="003328F6" w:rsidRDefault="007D6230" w:rsidP="003328F6">
      <w:pPr>
        <w:pStyle w:val="NormalWeb"/>
        <w:rPr>
          <w:rFonts w:asciiTheme="minorHAnsi" w:hAnsiTheme="minorHAnsi" w:cstheme="minorHAnsi"/>
          <w:b/>
          <w:bCs/>
          <w:sz w:val="28"/>
        </w:rPr>
      </w:pPr>
      <w:r w:rsidRPr="00D237CE">
        <w:rPr>
          <w:rFonts w:asciiTheme="minorHAnsi" w:hAnsiTheme="minorHAnsi" w:cstheme="minorHAnsi"/>
        </w:rPr>
        <w:t xml:space="preserve">All patients </w:t>
      </w:r>
      <w:proofErr w:type="spellStart"/>
      <w:r w:rsidRPr="00D237CE">
        <w:rPr>
          <w:rFonts w:asciiTheme="minorHAnsi" w:hAnsiTheme="minorHAnsi" w:cstheme="minorHAnsi"/>
        </w:rPr>
        <w:t>with</w:t>
      </w:r>
      <w:proofErr w:type="spellEnd"/>
      <w:r w:rsidRPr="00D237CE">
        <w:rPr>
          <w:rFonts w:asciiTheme="minorHAnsi" w:hAnsiTheme="minorHAnsi" w:cstheme="minorHAnsi"/>
        </w:rPr>
        <w:t xml:space="preserve"> a </w:t>
      </w:r>
      <w:proofErr w:type="spellStart"/>
      <w:r w:rsidRPr="00D237CE">
        <w:rPr>
          <w:rFonts w:asciiTheme="minorHAnsi" w:hAnsiTheme="minorHAnsi" w:cstheme="minorHAnsi"/>
        </w:rPr>
        <w:t>history</w:t>
      </w:r>
      <w:proofErr w:type="spellEnd"/>
      <w:r w:rsidRPr="00D237CE">
        <w:rPr>
          <w:rFonts w:asciiTheme="minorHAnsi" w:hAnsiTheme="minorHAnsi" w:cstheme="minorHAnsi"/>
        </w:rPr>
        <w:t xml:space="preserve"> of </w:t>
      </w:r>
      <w:proofErr w:type="spellStart"/>
      <w:r w:rsidRPr="00D237CE">
        <w:rPr>
          <w:rFonts w:asciiTheme="minorHAnsi" w:hAnsiTheme="minorHAnsi" w:cstheme="minorHAnsi"/>
        </w:rPr>
        <w:t>complex</w:t>
      </w:r>
      <w:proofErr w:type="spellEnd"/>
      <w:r w:rsidRPr="00D237CE">
        <w:rPr>
          <w:rFonts w:asciiTheme="minorHAnsi" w:hAnsiTheme="minorHAnsi" w:cstheme="minorHAnsi"/>
        </w:rPr>
        <w:t xml:space="preserve"> gastrointestinal </w:t>
      </w:r>
      <w:proofErr w:type="spellStart"/>
      <w:r w:rsidRPr="00D237CE">
        <w:rPr>
          <w:rFonts w:asciiTheme="minorHAnsi" w:hAnsiTheme="minorHAnsi" w:cstheme="minorHAnsi"/>
        </w:rPr>
        <w:t>surgeries</w:t>
      </w:r>
      <w:proofErr w:type="spellEnd"/>
      <w:r w:rsidRPr="00D237CE">
        <w:rPr>
          <w:rFonts w:asciiTheme="minorHAnsi" w:hAnsiTheme="minorHAnsi" w:cstheme="minorHAnsi"/>
        </w:rPr>
        <w:t xml:space="preserve"> </w:t>
      </w:r>
      <w:proofErr w:type="spellStart"/>
      <w:r w:rsidRPr="00D237CE">
        <w:rPr>
          <w:rFonts w:asciiTheme="minorHAnsi" w:hAnsiTheme="minorHAnsi" w:cstheme="minorHAnsi"/>
        </w:rPr>
        <w:t>that</w:t>
      </w:r>
      <w:proofErr w:type="spellEnd"/>
      <w:r w:rsidRPr="00D237CE">
        <w:rPr>
          <w:rFonts w:asciiTheme="minorHAnsi" w:hAnsiTheme="minorHAnsi" w:cstheme="minorHAnsi"/>
        </w:rPr>
        <w:t xml:space="preserve"> </w:t>
      </w:r>
      <w:proofErr w:type="spellStart"/>
      <w:r w:rsidRPr="00D237CE">
        <w:rPr>
          <w:rFonts w:asciiTheme="minorHAnsi" w:hAnsiTheme="minorHAnsi" w:cstheme="minorHAnsi"/>
        </w:rPr>
        <w:t>could</w:t>
      </w:r>
      <w:proofErr w:type="spellEnd"/>
      <w:r w:rsidRPr="00D237CE">
        <w:rPr>
          <w:rFonts w:asciiTheme="minorHAnsi" w:hAnsiTheme="minorHAnsi" w:cstheme="minorHAnsi"/>
        </w:rPr>
        <w:t xml:space="preserve"> </w:t>
      </w:r>
      <w:proofErr w:type="spellStart"/>
      <w:r w:rsidRPr="00D237CE">
        <w:rPr>
          <w:rFonts w:asciiTheme="minorHAnsi" w:hAnsiTheme="minorHAnsi" w:cstheme="minorHAnsi"/>
        </w:rPr>
        <w:t>make</w:t>
      </w:r>
      <w:proofErr w:type="spellEnd"/>
      <w:r w:rsidRPr="00D237CE">
        <w:rPr>
          <w:rFonts w:asciiTheme="minorHAnsi" w:hAnsiTheme="minorHAnsi" w:cstheme="minorHAnsi"/>
        </w:rPr>
        <w:t xml:space="preserve"> </w:t>
      </w:r>
      <w:proofErr w:type="spellStart"/>
      <w:r w:rsidRPr="00D237CE">
        <w:rPr>
          <w:rFonts w:asciiTheme="minorHAnsi" w:hAnsiTheme="minorHAnsi" w:cstheme="minorHAnsi"/>
        </w:rPr>
        <w:t>access</w:t>
      </w:r>
      <w:proofErr w:type="spellEnd"/>
      <w:r w:rsidRPr="00D237CE">
        <w:rPr>
          <w:rFonts w:asciiTheme="minorHAnsi" w:hAnsiTheme="minorHAnsi" w:cstheme="minorHAnsi"/>
        </w:rPr>
        <w:t xml:space="preserve"> to the </w:t>
      </w:r>
      <w:proofErr w:type="spellStart"/>
      <w:r w:rsidRPr="00D237CE">
        <w:rPr>
          <w:rFonts w:asciiTheme="minorHAnsi" w:hAnsiTheme="minorHAnsi" w:cstheme="minorHAnsi"/>
        </w:rPr>
        <w:t>papilla</w:t>
      </w:r>
      <w:proofErr w:type="spellEnd"/>
      <w:r w:rsidRPr="00D237CE">
        <w:rPr>
          <w:rFonts w:asciiTheme="minorHAnsi" w:hAnsiTheme="minorHAnsi" w:cstheme="minorHAnsi"/>
        </w:rPr>
        <w:t xml:space="preserve"> </w:t>
      </w:r>
      <w:proofErr w:type="spellStart"/>
      <w:r w:rsidRPr="00D237CE">
        <w:rPr>
          <w:rFonts w:asciiTheme="minorHAnsi" w:hAnsiTheme="minorHAnsi" w:cstheme="minorHAnsi"/>
        </w:rPr>
        <w:t>difficult</w:t>
      </w:r>
      <w:proofErr w:type="spellEnd"/>
      <w:r w:rsidRPr="00D237CE">
        <w:rPr>
          <w:rFonts w:asciiTheme="minorHAnsi" w:hAnsiTheme="minorHAnsi" w:cstheme="minorHAnsi"/>
        </w:rPr>
        <w:t xml:space="preserve"> </w:t>
      </w:r>
      <w:proofErr w:type="spellStart"/>
      <w:r w:rsidRPr="00D237CE">
        <w:rPr>
          <w:rFonts w:asciiTheme="minorHAnsi" w:hAnsiTheme="minorHAnsi" w:cstheme="minorHAnsi"/>
        </w:rPr>
        <w:t>were</w:t>
      </w:r>
      <w:proofErr w:type="spellEnd"/>
      <w:r w:rsidRPr="00D237CE">
        <w:rPr>
          <w:rFonts w:asciiTheme="minorHAnsi" w:hAnsiTheme="minorHAnsi" w:cstheme="minorHAnsi"/>
        </w:rPr>
        <w:t xml:space="preserve"> </w:t>
      </w:r>
      <w:proofErr w:type="spellStart"/>
      <w:r w:rsidRPr="00D237CE">
        <w:rPr>
          <w:rFonts w:asciiTheme="minorHAnsi" w:hAnsiTheme="minorHAnsi" w:cstheme="minorHAnsi"/>
        </w:rPr>
        <w:t>excluded</w:t>
      </w:r>
      <w:proofErr w:type="spellEnd"/>
      <w:r w:rsidRPr="00D237CE">
        <w:rPr>
          <w:rFonts w:asciiTheme="minorHAnsi" w:hAnsiTheme="minorHAnsi" w:cstheme="minorHAnsi"/>
        </w:rPr>
        <w:t xml:space="preserve"> </w:t>
      </w:r>
      <w:proofErr w:type="spellStart"/>
      <w:r w:rsidRPr="00D237CE">
        <w:rPr>
          <w:rFonts w:asciiTheme="minorHAnsi" w:hAnsiTheme="minorHAnsi" w:cstheme="minorHAnsi"/>
        </w:rPr>
        <w:t>from</w:t>
      </w:r>
      <w:proofErr w:type="spellEnd"/>
      <w:r w:rsidRPr="00D237CE">
        <w:rPr>
          <w:rFonts w:asciiTheme="minorHAnsi" w:hAnsiTheme="minorHAnsi" w:cstheme="minorHAnsi"/>
        </w:rPr>
        <w:t xml:space="preserve"> the </w:t>
      </w:r>
      <w:proofErr w:type="spellStart"/>
      <w:r w:rsidRPr="00D237CE">
        <w:rPr>
          <w:rFonts w:asciiTheme="minorHAnsi" w:hAnsiTheme="minorHAnsi" w:cstheme="minorHAnsi"/>
        </w:rPr>
        <w:t>study</w:t>
      </w:r>
      <w:proofErr w:type="spellEnd"/>
      <w:r w:rsidRPr="00D237CE">
        <w:rPr>
          <w:rFonts w:asciiTheme="minorHAnsi" w:hAnsiTheme="minorHAnsi" w:cstheme="minorHAnsi"/>
        </w:rPr>
        <w:t>.</w:t>
      </w:r>
    </w:p>
    <w:p w14:paraId="44CA8271" w14:textId="77777777" w:rsidR="007D6230" w:rsidRPr="00D237CE" w:rsidRDefault="0029159F" w:rsidP="003328F6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 w:rsidRPr="00D237CE">
        <w:rPr>
          <w:rFonts w:asciiTheme="minorHAnsi" w:hAnsiTheme="minorHAnsi" w:cstheme="minorHAnsi"/>
        </w:rPr>
        <w:t>We</w:t>
      </w:r>
      <w:proofErr w:type="spellEnd"/>
      <w:r w:rsidRPr="00D237CE">
        <w:rPr>
          <w:rFonts w:asciiTheme="minorHAnsi" w:hAnsiTheme="minorHAnsi" w:cstheme="minorHAnsi"/>
        </w:rPr>
        <w:t xml:space="preserve"> </w:t>
      </w:r>
      <w:proofErr w:type="spellStart"/>
      <w:r w:rsidRPr="00D237CE">
        <w:rPr>
          <w:rFonts w:asciiTheme="minorHAnsi" w:hAnsiTheme="minorHAnsi" w:cstheme="minorHAnsi"/>
        </w:rPr>
        <w:t>analyzed</w:t>
      </w:r>
      <w:proofErr w:type="spellEnd"/>
      <w:r w:rsidRPr="00D237CE">
        <w:rPr>
          <w:rFonts w:asciiTheme="minorHAnsi" w:hAnsiTheme="minorHAnsi" w:cstheme="minorHAnsi"/>
        </w:rPr>
        <w:t xml:space="preserve"> the patients’ </w:t>
      </w:r>
      <w:proofErr w:type="spellStart"/>
      <w:r w:rsidRPr="00D237CE">
        <w:rPr>
          <w:rFonts w:asciiTheme="minorHAnsi" w:hAnsiTheme="minorHAnsi" w:cstheme="minorHAnsi"/>
        </w:rPr>
        <w:t>epidemiological</w:t>
      </w:r>
      <w:proofErr w:type="spellEnd"/>
      <w:r w:rsidRPr="00D237CE">
        <w:rPr>
          <w:rFonts w:asciiTheme="minorHAnsi" w:hAnsiTheme="minorHAnsi" w:cstheme="minorHAnsi"/>
        </w:rPr>
        <w:t xml:space="preserve"> data, the </w:t>
      </w:r>
      <w:proofErr w:type="spellStart"/>
      <w:r w:rsidRPr="00D237CE">
        <w:rPr>
          <w:rFonts w:asciiTheme="minorHAnsi" w:hAnsiTheme="minorHAnsi" w:cstheme="minorHAnsi"/>
        </w:rPr>
        <w:t>factors</w:t>
      </w:r>
      <w:proofErr w:type="spellEnd"/>
      <w:r w:rsidRPr="00D237CE">
        <w:rPr>
          <w:rFonts w:asciiTheme="minorHAnsi" w:hAnsiTheme="minorHAnsi" w:cstheme="minorHAnsi"/>
        </w:rPr>
        <w:t xml:space="preserve"> </w:t>
      </w:r>
      <w:proofErr w:type="spellStart"/>
      <w:r w:rsidRPr="00D237CE">
        <w:rPr>
          <w:rFonts w:asciiTheme="minorHAnsi" w:hAnsiTheme="minorHAnsi" w:cstheme="minorHAnsi"/>
        </w:rPr>
        <w:t>implicated</w:t>
      </w:r>
      <w:proofErr w:type="spellEnd"/>
      <w:r w:rsidRPr="00D237CE">
        <w:rPr>
          <w:rFonts w:asciiTheme="minorHAnsi" w:hAnsiTheme="minorHAnsi" w:cstheme="minorHAnsi"/>
        </w:rPr>
        <w:t xml:space="preserve"> in </w:t>
      </w:r>
      <w:proofErr w:type="spellStart"/>
      <w:r w:rsidRPr="00D237CE">
        <w:rPr>
          <w:rFonts w:asciiTheme="minorHAnsi" w:hAnsiTheme="minorHAnsi" w:cstheme="minorHAnsi"/>
        </w:rPr>
        <w:t>cannulation</w:t>
      </w:r>
      <w:proofErr w:type="spellEnd"/>
      <w:r w:rsidRPr="00D237CE">
        <w:rPr>
          <w:rFonts w:asciiTheme="minorHAnsi" w:hAnsiTheme="minorHAnsi" w:cstheme="minorHAnsi"/>
        </w:rPr>
        <w:t xml:space="preserve"> </w:t>
      </w:r>
      <w:proofErr w:type="spellStart"/>
      <w:r w:rsidRPr="00D237CE">
        <w:rPr>
          <w:rFonts w:asciiTheme="minorHAnsi" w:hAnsiTheme="minorHAnsi" w:cstheme="minorHAnsi"/>
        </w:rPr>
        <w:t>failure</w:t>
      </w:r>
      <w:proofErr w:type="spellEnd"/>
      <w:r w:rsidRPr="00D237CE">
        <w:rPr>
          <w:rFonts w:asciiTheme="minorHAnsi" w:hAnsiTheme="minorHAnsi" w:cstheme="minorHAnsi"/>
        </w:rPr>
        <w:t xml:space="preserve">, and the </w:t>
      </w:r>
      <w:proofErr w:type="spellStart"/>
      <w:r w:rsidRPr="00D237CE">
        <w:rPr>
          <w:rFonts w:asciiTheme="minorHAnsi" w:hAnsiTheme="minorHAnsi" w:cstheme="minorHAnsi"/>
        </w:rPr>
        <w:t>various</w:t>
      </w:r>
      <w:proofErr w:type="spellEnd"/>
      <w:r w:rsidRPr="00D237CE">
        <w:rPr>
          <w:rFonts w:asciiTheme="minorHAnsi" w:hAnsiTheme="minorHAnsi" w:cstheme="minorHAnsi"/>
        </w:rPr>
        <w:t xml:space="preserve"> </w:t>
      </w:r>
      <w:proofErr w:type="spellStart"/>
      <w:r w:rsidRPr="00D237CE">
        <w:rPr>
          <w:rFonts w:asciiTheme="minorHAnsi" w:hAnsiTheme="minorHAnsi" w:cstheme="minorHAnsi"/>
        </w:rPr>
        <w:t>therapeutic</w:t>
      </w:r>
      <w:proofErr w:type="spellEnd"/>
      <w:r w:rsidRPr="00D237CE">
        <w:rPr>
          <w:rFonts w:asciiTheme="minorHAnsi" w:hAnsiTheme="minorHAnsi" w:cstheme="minorHAnsi"/>
        </w:rPr>
        <w:t xml:space="preserve"> alternatives </w:t>
      </w:r>
      <w:proofErr w:type="spellStart"/>
      <w:r w:rsidRPr="00D237CE">
        <w:rPr>
          <w:rFonts w:asciiTheme="minorHAnsi" w:hAnsiTheme="minorHAnsi" w:cstheme="minorHAnsi"/>
        </w:rPr>
        <w:t>considered</w:t>
      </w:r>
      <w:proofErr w:type="spellEnd"/>
      <w:r w:rsidRPr="00D237CE">
        <w:rPr>
          <w:rFonts w:asciiTheme="minorHAnsi" w:hAnsiTheme="minorHAnsi" w:cstheme="minorHAnsi"/>
        </w:rPr>
        <w:t xml:space="preserve">. </w:t>
      </w:r>
    </w:p>
    <w:p w14:paraId="27FAF3E8" w14:textId="77777777" w:rsidR="003328F6" w:rsidRDefault="007D6230" w:rsidP="003328F6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D237CE">
        <w:rPr>
          <w:rFonts w:asciiTheme="minorHAnsi" w:hAnsiTheme="minorHAnsi" w:cstheme="minorHAnsi"/>
        </w:rPr>
        <w:t xml:space="preserve">Descriptive </w:t>
      </w:r>
      <w:proofErr w:type="spellStart"/>
      <w:r w:rsidRPr="00D237CE">
        <w:rPr>
          <w:rFonts w:asciiTheme="minorHAnsi" w:hAnsiTheme="minorHAnsi" w:cstheme="minorHAnsi"/>
        </w:rPr>
        <w:t>statistics</w:t>
      </w:r>
      <w:proofErr w:type="spellEnd"/>
      <w:r w:rsidRPr="00D237CE">
        <w:rPr>
          <w:rFonts w:asciiTheme="minorHAnsi" w:hAnsiTheme="minorHAnsi" w:cstheme="minorHAnsi"/>
        </w:rPr>
        <w:t xml:space="preserve"> </w:t>
      </w:r>
      <w:proofErr w:type="spellStart"/>
      <w:r w:rsidRPr="00D237CE">
        <w:rPr>
          <w:rFonts w:asciiTheme="minorHAnsi" w:hAnsiTheme="minorHAnsi" w:cstheme="minorHAnsi"/>
        </w:rPr>
        <w:t>were</w:t>
      </w:r>
      <w:proofErr w:type="spellEnd"/>
      <w:r w:rsidRPr="00D237CE">
        <w:rPr>
          <w:rFonts w:asciiTheme="minorHAnsi" w:hAnsiTheme="minorHAnsi" w:cstheme="minorHAnsi"/>
        </w:rPr>
        <w:t xml:space="preserve"> </w:t>
      </w:r>
      <w:proofErr w:type="spellStart"/>
      <w:r w:rsidRPr="00D237CE">
        <w:rPr>
          <w:rFonts w:asciiTheme="minorHAnsi" w:hAnsiTheme="minorHAnsi" w:cstheme="minorHAnsi"/>
        </w:rPr>
        <w:t>calculated</w:t>
      </w:r>
      <w:proofErr w:type="spellEnd"/>
      <w:r w:rsidRPr="00D237CE">
        <w:rPr>
          <w:rFonts w:asciiTheme="minorHAnsi" w:hAnsiTheme="minorHAnsi" w:cstheme="minorHAnsi"/>
        </w:rPr>
        <w:t xml:space="preserve"> for </w:t>
      </w:r>
      <w:proofErr w:type="spellStart"/>
      <w:r w:rsidRPr="00D237CE">
        <w:rPr>
          <w:rFonts w:asciiTheme="minorHAnsi" w:hAnsiTheme="minorHAnsi" w:cstheme="minorHAnsi"/>
        </w:rPr>
        <w:t>continuous</w:t>
      </w:r>
      <w:proofErr w:type="spellEnd"/>
      <w:r w:rsidRPr="00D237CE">
        <w:rPr>
          <w:rFonts w:asciiTheme="minorHAnsi" w:hAnsiTheme="minorHAnsi" w:cstheme="minorHAnsi"/>
        </w:rPr>
        <w:t xml:space="preserve"> variables, </w:t>
      </w:r>
      <w:proofErr w:type="spellStart"/>
      <w:r w:rsidRPr="00D237CE">
        <w:rPr>
          <w:rFonts w:asciiTheme="minorHAnsi" w:hAnsiTheme="minorHAnsi" w:cstheme="minorHAnsi"/>
        </w:rPr>
        <w:t>including</w:t>
      </w:r>
      <w:proofErr w:type="spellEnd"/>
      <w:r w:rsidRPr="00D237CE">
        <w:rPr>
          <w:rFonts w:asciiTheme="minorHAnsi" w:hAnsiTheme="minorHAnsi" w:cstheme="minorHAnsi"/>
        </w:rPr>
        <w:t xml:space="preserve"> </w:t>
      </w:r>
      <w:proofErr w:type="spellStart"/>
      <w:r w:rsidRPr="00D237CE">
        <w:rPr>
          <w:rFonts w:asciiTheme="minorHAnsi" w:hAnsiTheme="minorHAnsi" w:cstheme="minorHAnsi"/>
        </w:rPr>
        <w:t>means</w:t>
      </w:r>
      <w:proofErr w:type="spellEnd"/>
      <w:r w:rsidRPr="00D237CE">
        <w:rPr>
          <w:rFonts w:asciiTheme="minorHAnsi" w:hAnsiTheme="minorHAnsi" w:cstheme="minorHAnsi"/>
        </w:rPr>
        <w:t xml:space="preserve">, standard </w:t>
      </w:r>
      <w:proofErr w:type="spellStart"/>
      <w:r w:rsidRPr="00D237CE">
        <w:rPr>
          <w:rFonts w:asciiTheme="minorHAnsi" w:hAnsiTheme="minorHAnsi" w:cstheme="minorHAnsi"/>
        </w:rPr>
        <w:t>deviations</w:t>
      </w:r>
      <w:proofErr w:type="spellEnd"/>
      <w:r w:rsidRPr="00D237CE">
        <w:rPr>
          <w:rFonts w:asciiTheme="minorHAnsi" w:hAnsiTheme="minorHAnsi" w:cstheme="minorHAnsi"/>
        </w:rPr>
        <w:t xml:space="preserve">, minimum and </w:t>
      </w:r>
      <w:proofErr w:type="gramStart"/>
      <w:r w:rsidRPr="00D237CE">
        <w:rPr>
          <w:rFonts w:asciiTheme="minorHAnsi" w:hAnsiTheme="minorHAnsi" w:cstheme="minorHAnsi"/>
        </w:rPr>
        <w:t>maximum values</w:t>
      </w:r>
      <w:proofErr w:type="gramEnd"/>
      <w:r w:rsidRPr="00D237CE">
        <w:rPr>
          <w:rFonts w:asciiTheme="minorHAnsi" w:hAnsiTheme="minorHAnsi" w:cstheme="minorHAnsi"/>
        </w:rPr>
        <w:t xml:space="preserve">, as </w:t>
      </w:r>
      <w:proofErr w:type="spellStart"/>
      <w:r w:rsidRPr="00D237CE">
        <w:rPr>
          <w:rFonts w:asciiTheme="minorHAnsi" w:hAnsiTheme="minorHAnsi" w:cstheme="minorHAnsi"/>
        </w:rPr>
        <w:t>well</w:t>
      </w:r>
      <w:proofErr w:type="spellEnd"/>
      <w:r w:rsidRPr="00D237CE">
        <w:rPr>
          <w:rFonts w:asciiTheme="minorHAnsi" w:hAnsiTheme="minorHAnsi" w:cstheme="minorHAnsi"/>
        </w:rPr>
        <w:t xml:space="preserve"> as 95% confidence </w:t>
      </w:r>
      <w:proofErr w:type="spellStart"/>
      <w:r w:rsidRPr="00D237CE">
        <w:rPr>
          <w:rFonts w:asciiTheme="minorHAnsi" w:hAnsiTheme="minorHAnsi" w:cstheme="minorHAnsi"/>
        </w:rPr>
        <w:t>intervals</w:t>
      </w:r>
      <w:proofErr w:type="spellEnd"/>
      <w:r w:rsidRPr="00D237CE">
        <w:rPr>
          <w:rFonts w:asciiTheme="minorHAnsi" w:hAnsiTheme="minorHAnsi" w:cstheme="minorHAnsi"/>
        </w:rPr>
        <w:t xml:space="preserve"> (</w:t>
      </w:r>
      <w:proofErr w:type="spellStart"/>
      <w:r w:rsidRPr="00D237CE">
        <w:rPr>
          <w:rFonts w:asciiTheme="minorHAnsi" w:hAnsiTheme="minorHAnsi" w:cstheme="minorHAnsi"/>
        </w:rPr>
        <w:t>CIs</w:t>
      </w:r>
      <w:proofErr w:type="spellEnd"/>
      <w:r w:rsidRPr="00D237CE">
        <w:rPr>
          <w:rFonts w:asciiTheme="minorHAnsi" w:hAnsiTheme="minorHAnsi" w:cstheme="minorHAnsi"/>
        </w:rPr>
        <w:t xml:space="preserve">). </w:t>
      </w:r>
    </w:p>
    <w:p w14:paraId="616BD05D" w14:textId="77777777" w:rsidR="003328F6" w:rsidRDefault="003328F6" w:rsidP="003328F6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00256BC3" w14:textId="77777777" w:rsidR="0029159F" w:rsidRDefault="007D6230" w:rsidP="003328F6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 w:rsidRPr="00D237CE">
        <w:rPr>
          <w:rFonts w:asciiTheme="minorHAnsi" w:hAnsiTheme="minorHAnsi" w:cstheme="minorHAnsi"/>
        </w:rPr>
        <w:t>Frequencies</w:t>
      </w:r>
      <w:proofErr w:type="spellEnd"/>
      <w:r w:rsidRPr="00D237CE">
        <w:rPr>
          <w:rFonts w:asciiTheme="minorHAnsi" w:hAnsiTheme="minorHAnsi" w:cstheme="minorHAnsi"/>
        </w:rPr>
        <w:t xml:space="preserve"> </w:t>
      </w:r>
      <w:proofErr w:type="spellStart"/>
      <w:r w:rsidRPr="00D237CE">
        <w:rPr>
          <w:rFonts w:asciiTheme="minorHAnsi" w:hAnsiTheme="minorHAnsi" w:cstheme="minorHAnsi"/>
        </w:rPr>
        <w:t>were</w:t>
      </w:r>
      <w:proofErr w:type="spellEnd"/>
      <w:r w:rsidRPr="00D237CE">
        <w:rPr>
          <w:rFonts w:asciiTheme="minorHAnsi" w:hAnsiTheme="minorHAnsi" w:cstheme="minorHAnsi"/>
        </w:rPr>
        <w:t xml:space="preserve"> </w:t>
      </w:r>
      <w:proofErr w:type="spellStart"/>
      <w:r w:rsidRPr="00D237CE">
        <w:rPr>
          <w:rFonts w:asciiTheme="minorHAnsi" w:hAnsiTheme="minorHAnsi" w:cstheme="minorHAnsi"/>
        </w:rPr>
        <w:t>calculated</w:t>
      </w:r>
      <w:proofErr w:type="spellEnd"/>
      <w:r w:rsidRPr="00D237CE">
        <w:rPr>
          <w:rFonts w:asciiTheme="minorHAnsi" w:hAnsiTheme="minorHAnsi" w:cstheme="minorHAnsi"/>
        </w:rPr>
        <w:t xml:space="preserve"> for </w:t>
      </w:r>
      <w:proofErr w:type="spellStart"/>
      <w:r w:rsidRPr="00D237CE">
        <w:rPr>
          <w:rFonts w:asciiTheme="minorHAnsi" w:hAnsiTheme="minorHAnsi" w:cstheme="minorHAnsi"/>
        </w:rPr>
        <w:t>categorical</w:t>
      </w:r>
      <w:proofErr w:type="spellEnd"/>
      <w:r w:rsidRPr="00D237CE">
        <w:rPr>
          <w:rFonts w:asciiTheme="minorHAnsi" w:hAnsiTheme="minorHAnsi" w:cstheme="minorHAnsi"/>
        </w:rPr>
        <w:t xml:space="preserve"> variables. </w:t>
      </w:r>
      <w:proofErr w:type="spellStart"/>
      <w:r w:rsidRPr="00D237CE">
        <w:rPr>
          <w:rFonts w:asciiTheme="minorHAnsi" w:hAnsiTheme="minorHAnsi" w:cstheme="minorHAnsi"/>
        </w:rPr>
        <w:t>When</w:t>
      </w:r>
      <w:proofErr w:type="spellEnd"/>
      <w:r w:rsidRPr="00D237CE">
        <w:rPr>
          <w:rFonts w:asciiTheme="minorHAnsi" w:hAnsiTheme="minorHAnsi" w:cstheme="minorHAnsi"/>
        </w:rPr>
        <w:t xml:space="preserve"> </w:t>
      </w:r>
      <w:proofErr w:type="spellStart"/>
      <w:r w:rsidRPr="00D237CE">
        <w:rPr>
          <w:rFonts w:asciiTheme="minorHAnsi" w:hAnsiTheme="minorHAnsi" w:cstheme="minorHAnsi"/>
        </w:rPr>
        <w:t>hypothesis</w:t>
      </w:r>
      <w:proofErr w:type="spellEnd"/>
      <w:r w:rsidRPr="00D237CE">
        <w:rPr>
          <w:rFonts w:asciiTheme="minorHAnsi" w:hAnsiTheme="minorHAnsi" w:cstheme="minorHAnsi"/>
        </w:rPr>
        <w:t xml:space="preserve"> </w:t>
      </w:r>
      <w:proofErr w:type="spellStart"/>
      <w:r w:rsidRPr="00D237CE">
        <w:rPr>
          <w:rFonts w:asciiTheme="minorHAnsi" w:hAnsiTheme="minorHAnsi" w:cstheme="minorHAnsi"/>
        </w:rPr>
        <w:t>testing</w:t>
      </w:r>
      <w:proofErr w:type="spellEnd"/>
      <w:r w:rsidRPr="00D237CE">
        <w:rPr>
          <w:rFonts w:asciiTheme="minorHAnsi" w:hAnsiTheme="minorHAnsi" w:cstheme="minorHAnsi"/>
        </w:rPr>
        <w:t xml:space="preserve"> </w:t>
      </w:r>
      <w:proofErr w:type="spellStart"/>
      <w:r w:rsidRPr="00D237CE">
        <w:rPr>
          <w:rFonts w:asciiTheme="minorHAnsi" w:hAnsiTheme="minorHAnsi" w:cstheme="minorHAnsi"/>
        </w:rPr>
        <w:t>was</w:t>
      </w:r>
      <w:proofErr w:type="spellEnd"/>
      <w:r w:rsidRPr="00D237CE">
        <w:rPr>
          <w:rFonts w:asciiTheme="minorHAnsi" w:hAnsiTheme="minorHAnsi" w:cstheme="minorHAnsi"/>
        </w:rPr>
        <w:t xml:space="preserve"> </w:t>
      </w:r>
      <w:proofErr w:type="spellStart"/>
      <w:r w:rsidRPr="00D237CE">
        <w:rPr>
          <w:rFonts w:asciiTheme="minorHAnsi" w:hAnsiTheme="minorHAnsi" w:cstheme="minorHAnsi"/>
        </w:rPr>
        <w:t>performed</w:t>
      </w:r>
      <w:proofErr w:type="spellEnd"/>
      <w:r w:rsidRPr="00D237CE">
        <w:rPr>
          <w:rFonts w:asciiTheme="minorHAnsi" w:hAnsiTheme="minorHAnsi" w:cstheme="minorHAnsi"/>
        </w:rPr>
        <w:t xml:space="preserve">, </w:t>
      </w:r>
      <w:proofErr w:type="spellStart"/>
      <w:r w:rsidRPr="00D237CE">
        <w:rPr>
          <w:rFonts w:asciiTheme="minorHAnsi" w:hAnsiTheme="minorHAnsi" w:cstheme="minorHAnsi"/>
        </w:rPr>
        <w:t>Pearson’s</w:t>
      </w:r>
      <w:proofErr w:type="spellEnd"/>
      <w:r w:rsidRPr="00D237CE">
        <w:rPr>
          <w:rFonts w:asciiTheme="minorHAnsi" w:hAnsiTheme="minorHAnsi" w:cstheme="minorHAnsi"/>
        </w:rPr>
        <w:t xml:space="preserve"> Chi-square test and, </w:t>
      </w:r>
      <w:proofErr w:type="spellStart"/>
      <w:r w:rsidRPr="00D237CE">
        <w:rPr>
          <w:rFonts w:asciiTheme="minorHAnsi" w:hAnsiTheme="minorHAnsi" w:cstheme="minorHAnsi"/>
        </w:rPr>
        <w:t>when</w:t>
      </w:r>
      <w:proofErr w:type="spellEnd"/>
      <w:r w:rsidRPr="00D237CE">
        <w:rPr>
          <w:rFonts w:asciiTheme="minorHAnsi" w:hAnsiTheme="minorHAnsi" w:cstheme="minorHAnsi"/>
        </w:rPr>
        <w:t xml:space="preserve"> </w:t>
      </w:r>
      <w:proofErr w:type="spellStart"/>
      <w:r w:rsidRPr="00D237CE">
        <w:rPr>
          <w:rFonts w:asciiTheme="minorHAnsi" w:hAnsiTheme="minorHAnsi" w:cstheme="minorHAnsi"/>
        </w:rPr>
        <w:t>appropriate</w:t>
      </w:r>
      <w:proofErr w:type="spellEnd"/>
      <w:r w:rsidRPr="00D237CE">
        <w:rPr>
          <w:rFonts w:asciiTheme="minorHAnsi" w:hAnsiTheme="minorHAnsi" w:cstheme="minorHAnsi"/>
        </w:rPr>
        <w:t xml:space="preserve">, </w:t>
      </w:r>
      <w:proofErr w:type="spellStart"/>
      <w:r w:rsidRPr="00D237CE">
        <w:rPr>
          <w:rFonts w:asciiTheme="minorHAnsi" w:hAnsiTheme="minorHAnsi" w:cstheme="minorHAnsi"/>
        </w:rPr>
        <w:t>Fisher’s</w:t>
      </w:r>
      <w:proofErr w:type="spellEnd"/>
      <w:r w:rsidRPr="00D237CE">
        <w:rPr>
          <w:rFonts w:asciiTheme="minorHAnsi" w:hAnsiTheme="minorHAnsi" w:cstheme="minorHAnsi"/>
        </w:rPr>
        <w:t xml:space="preserve"> exact test </w:t>
      </w:r>
      <w:proofErr w:type="spellStart"/>
      <w:r w:rsidRPr="00D237CE">
        <w:rPr>
          <w:rFonts w:asciiTheme="minorHAnsi" w:hAnsiTheme="minorHAnsi" w:cstheme="minorHAnsi"/>
        </w:rPr>
        <w:t>were</w:t>
      </w:r>
      <w:proofErr w:type="spellEnd"/>
      <w:r w:rsidRPr="00D237CE">
        <w:rPr>
          <w:rFonts w:asciiTheme="minorHAnsi" w:hAnsiTheme="minorHAnsi" w:cstheme="minorHAnsi"/>
        </w:rPr>
        <w:t xml:space="preserve"> </w:t>
      </w:r>
      <w:proofErr w:type="spellStart"/>
      <w:r w:rsidRPr="00051F9F">
        <w:rPr>
          <w:rFonts w:asciiTheme="minorHAnsi" w:hAnsiTheme="minorHAnsi" w:cstheme="minorHAnsi"/>
        </w:rPr>
        <w:t>applied</w:t>
      </w:r>
      <w:proofErr w:type="spellEnd"/>
      <w:r w:rsidRPr="00051F9F">
        <w:rPr>
          <w:rFonts w:asciiTheme="minorHAnsi" w:hAnsiTheme="minorHAnsi" w:cstheme="minorHAnsi"/>
        </w:rPr>
        <w:t xml:space="preserve"> </w:t>
      </w:r>
      <w:r w:rsidR="00F9635C" w:rsidRPr="00051F9F">
        <w:rPr>
          <w:rFonts w:asciiTheme="minorHAnsi" w:hAnsiTheme="minorHAnsi" w:cstheme="minorHAnsi"/>
          <w:b/>
        </w:rPr>
        <w:t>[3</w:t>
      </w:r>
      <w:r w:rsidRPr="00051F9F">
        <w:rPr>
          <w:rFonts w:asciiTheme="minorHAnsi" w:hAnsiTheme="minorHAnsi" w:cstheme="minorHAnsi"/>
          <w:b/>
        </w:rPr>
        <w:t>].</w:t>
      </w:r>
    </w:p>
    <w:p w14:paraId="36A3C180" w14:textId="77777777" w:rsidR="003328F6" w:rsidRDefault="003328F6" w:rsidP="003328F6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4343250A" w14:textId="77777777" w:rsidR="007D6230" w:rsidRDefault="007D6230" w:rsidP="003328F6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 w:rsidRPr="00D237CE">
        <w:rPr>
          <w:rFonts w:asciiTheme="minorHAnsi" w:hAnsiTheme="minorHAnsi" w:cstheme="minorHAnsi"/>
        </w:rPr>
        <w:t>Statistical</w:t>
      </w:r>
      <w:proofErr w:type="spellEnd"/>
      <w:r w:rsidRPr="00D237CE">
        <w:rPr>
          <w:rFonts w:asciiTheme="minorHAnsi" w:hAnsiTheme="minorHAnsi" w:cstheme="minorHAnsi"/>
        </w:rPr>
        <w:t xml:space="preserve"> </w:t>
      </w:r>
      <w:proofErr w:type="spellStart"/>
      <w:r w:rsidRPr="00D237CE">
        <w:rPr>
          <w:rFonts w:asciiTheme="minorHAnsi" w:hAnsiTheme="minorHAnsi" w:cstheme="minorHAnsi"/>
        </w:rPr>
        <w:t>analysis</w:t>
      </w:r>
      <w:proofErr w:type="spellEnd"/>
      <w:r w:rsidRPr="00D237CE">
        <w:rPr>
          <w:rFonts w:asciiTheme="minorHAnsi" w:hAnsiTheme="minorHAnsi" w:cstheme="minorHAnsi"/>
        </w:rPr>
        <w:t xml:space="preserve"> </w:t>
      </w:r>
      <w:proofErr w:type="spellStart"/>
      <w:r w:rsidRPr="00D237CE">
        <w:rPr>
          <w:rFonts w:asciiTheme="minorHAnsi" w:hAnsiTheme="minorHAnsi" w:cstheme="minorHAnsi"/>
        </w:rPr>
        <w:t>was</w:t>
      </w:r>
      <w:proofErr w:type="spellEnd"/>
      <w:r w:rsidRPr="00D237CE">
        <w:rPr>
          <w:rFonts w:asciiTheme="minorHAnsi" w:hAnsiTheme="minorHAnsi" w:cstheme="minorHAnsi"/>
        </w:rPr>
        <w:t xml:space="preserve"> </w:t>
      </w:r>
      <w:proofErr w:type="spellStart"/>
      <w:r w:rsidRPr="00D237CE">
        <w:rPr>
          <w:rFonts w:asciiTheme="minorHAnsi" w:hAnsiTheme="minorHAnsi" w:cstheme="minorHAnsi"/>
        </w:rPr>
        <w:t>performed</w:t>
      </w:r>
      <w:proofErr w:type="spellEnd"/>
      <w:r w:rsidRPr="00D237CE">
        <w:rPr>
          <w:rFonts w:asciiTheme="minorHAnsi" w:hAnsiTheme="minorHAnsi" w:cstheme="minorHAnsi"/>
        </w:rPr>
        <w:t xml:space="preserve"> </w:t>
      </w:r>
      <w:proofErr w:type="spellStart"/>
      <w:r w:rsidRPr="00D237CE">
        <w:rPr>
          <w:rFonts w:asciiTheme="minorHAnsi" w:hAnsiTheme="minorHAnsi" w:cstheme="minorHAnsi"/>
        </w:rPr>
        <w:t>using</w:t>
      </w:r>
      <w:proofErr w:type="spellEnd"/>
      <w:r w:rsidRPr="00D237CE">
        <w:rPr>
          <w:rFonts w:asciiTheme="minorHAnsi" w:hAnsiTheme="minorHAnsi" w:cstheme="minorHAnsi"/>
        </w:rPr>
        <w:t xml:space="preserve"> </w:t>
      </w:r>
      <w:proofErr w:type="spellStart"/>
      <w:r w:rsidRPr="00D237CE">
        <w:rPr>
          <w:rFonts w:asciiTheme="minorHAnsi" w:hAnsiTheme="minorHAnsi" w:cstheme="minorHAnsi"/>
        </w:rPr>
        <w:t>Jamovi</w:t>
      </w:r>
      <w:proofErr w:type="spellEnd"/>
      <w:r w:rsidRPr="00D237CE">
        <w:rPr>
          <w:rFonts w:asciiTheme="minorHAnsi" w:hAnsiTheme="minorHAnsi" w:cstheme="minorHAnsi"/>
        </w:rPr>
        <w:t xml:space="preserve"> software, </w:t>
      </w:r>
      <w:proofErr w:type="spellStart"/>
      <w:r w:rsidRPr="00D237CE">
        <w:rPr>
          <w:rFonts w:asciiTheme="minorHAnsi" w:hAnsiTheme="minorHAnsi" w:cstheme="minorHAnsi"/>
        </w:rPr>
        <w:t>which</w:t>
      </w:r>
      <w:proofErr w:type="spellEnd"/>
      <w:r w:rsidRPr="00D237CE">
        <w:rPr>
          <w:rFonts w:asciiTheme="minorHAnsi" w:hAnsiTheme="minorHAnsi" w:cstheme="minorHAnsi"/>
        </w:rPr>
        <w:t xml:space="preserve"> </w:t>
      </w:r>
      <w:proofErr w:type="spellStart"/>
      <w:r w:rsidRPr="00D237CE">
        <w:rPr>
          <w:rFonts w:asciiTheme="minorHAnsi" w:hAnsiTheme="minorHAnsi" w:cstheme="minorHAnsi"/>
        </w:rPr>
        <w:t>utilizes</w:t>
      </w:r>
      <w:proofErr w:type="spellEnd"/>
      <w:r w:rsidRPr="00D237CE">
        <w:rPr>
          <w:rFonts w:asciiTheme="minorHAnsi" w:hAnsiTheme="minorHAnsi" w:cstheme="minorHAnsi"/>
        </w:rPr>
        <w:t xml:space="preserve"> the R </w:t>
      </w:r>
      <w:proofErr w:type="spellStart"/>
      <w:r w:rsidRPr="00D237CE">
        <w:rPr>
          <w:rFonts w:asciiTheme="minorHAnsi" w:hAnsiTheme="minorHAnsi" w:cstheme="minorHAnsi"/>
        </w:rPr>
        <w:t>statistical</w:t>
      </w:r>
      <w:proofErr w:type="spellEnd"/>
      <w:r w:rsidRPr="00D237CE">
        <w:rPr>
          <w:rFonts w:asciiTheme="minorHAnsi" w:hAnsiTheme="minorHAnsi" w:cstheme="minorHAnsi"/>
        </w:rPr>
        <w:t xml:space="preserve"> </w:t>
      </w:r>
      <w:proofErr w:type="spellStart"/>
      <w:r w:rsidRPr="00D237CE">
        <w:rPr>
          <w:rFonts w:asciiTheme="minorHAnsi" w:hAnsiTheme="minorHAnsi" w:cstheme="minorHAnsi"/>
        </w:rPr>
        <w:t>language</w:t>
      </w:r>
      <w:proofErr w:type="spellEnd"/>
      <w:r w:rsidRPr="00D237CE">
        <w:rPr>
          <w:rFonts w:asciiTheme="minorHAnsi" w:hAnsiTheme="minorHAnsi" w:cstheme="minorHAnsi"/>
        </w:rPr>
        <w:t xml:space="preserve"> </w:t>
      </w:r>
      <w:r w:rsidR="00F9635C" w:rsidRPr="00051F9F">
        <w:rPr>
          <w:rFonts w:asciiTheme="minorHAnsi" w:hAnsiTheme="minorHAnsi" w:cstheme="minorHAnsi"/>
          <w:b/>
        </w:rPr>
        <w:t>[4</w:t>
      </w:r>
      <w:r w:rsidRPr="00051F9F">
        <w:rPr>
          <w:rFonts w:asciiTheme="minorHAnsi" w:hAnsiTheme="minorHAnsi" w:cstheme="minorHAnsi"/>
          <w:b/>
        </w:rPr>
        <w:t>].</w:t>
      </w:r>
      <w:r w:rsidRPr="00D237CE">
        <w:rPr>
          <w:rFonts w:asciiTheme="minorHAnsi" w:hAnsiTheme="minorHAnsi" w:cstheme="minorHAnsi"/>
        </w:rPr>
        <w:t xml:space="preserve"> A </w:t>
      </w:r>
      <w:proofErr w:type="spellStart"/>
      <w:r w:rsidRPr="00D237CE">
        <w:rPr>
          <w:rFonts w:asciiTheme="minorHAnsi" w:hAnsiTheme="minorHAnsi" w:cstheme="minorHAnsi"/>
        </w:rPr>
        <w:t>statistical</w:t>
      </w:r>
      <w:proofErr w:type="spellEnd"/>
      <w:r w:rsidRPr="00D237CE">
        <w:rPr>
          <w:rFonts w:asciiTheme="minorHAnsi" w:hAnsiTheme="minorHAnsi" w:cstheme="minorHAnsi"/>
        </w:rPr>
        <w:t xml:space="preserve"> </w:t>
      </w:r>
      <w:proofErr w:type="spellStart"/>
      <w:r w:rsidRPr="00D237CE">
        <w:rPr>
          <w:rFonts w:asciiTheme="minorHAnsi" w:hAnsiTheme="minorHAnsi" w:cstheme="minorHAnsi"/>
        </w:rPr>
        <w:t>significance</w:t>
      </w:r>
      <w:proofErr w:type="spellEnd"/>
      <w:r w:rsidRPr="00D237CE">
        <w:rPr>
          <w:rFonts w:asciiTheme="minorHAnsi" w:hAnsiTheme="minorHAnsi" w:cstheme="minorHAnsi"/>
        </w:rPr>
        <w:t xml:space="preserve"> </w:t>
      </w:r>
      <w:proofErr w:type="spellStart"/>
      <w:r w:rsidRPr="00D237CE">
        <w:rPr>
          <w:rFonts w:asciiTheme="minorHAnsi" w:hAnsiTheme="minorHAnsi" w:cstheme="minorHAnsi"/>
        </w:rPr>
        <w:t>threshold</w:t>
      </w:r>
      <w:proofErr w:type="spellEnd"/>
      <w:r w:rsidRPr="00D237CE">
        <w:rPr>
          <w:rFonts w:asciiTheme="minorHAnsi" w:hAnsiTheme="minorHAnsi" w:cstheme="minorHAnsi"/>
        </w:rPr>
        <w:t xml:space="preserve"> of P = 0.05 </w:t>
      </w:r>
      <w:proofErr w:type="spellStart"/>
      <w:r w:rsidRPr="00D237CE">
        <w:rPr>
          <w:rFonts w:asciiTheme="minorHAnsi" w:hAnsiTheme="minorHAnsi" w:cstheme="minorHAnsi"/>
        </w:rPr>
        <w:t>was</w:t>
      </w:r>
      <w:proofErr w:type="spellEnd"/>
      <w:r w:rsidRPr="00D237CE">
        <w:rPr>
          <w:rFonts w:asciiTheme="minorHAnsi" w:hAnsiTheme="minorHAnsi" w:cstheme="minorHAnsi"/>
        </w:rPr>
        <w:t xml:space="preserve"> </w:t>
      </w:r>
      <w:proofErr w:type="spellStart"/>
      <w:r w:rsidRPr="00D237CE">
        <w:rPr>
          <w:rFonts w:asciiTheme="minorHAnsi" w:hAnsiTheme="minorHAnsi" w:cstheme="minorHAnsi"/>
        </w:rPr>
        <w:t>adopted</w:t>
      </w:r>
      <w:proofErr w:type="spellEnd"/>
      <w:r w:rsidRPr="00D237CE">
        <w:rPr>
          <w:rFonts w:asciiTheme="minorHAnsi" w:hAnsiTheme="minorHAnsi" w:cstheme="minorHAnsi"/>
        </w:rPr>
        <w:t>.</w:t>
      </w:r>
    </w:p>
    <w:p w14:paraId="01F0DB2F" w14:textId="77777777" w:rsidR="003328F6" w:rsidRPr="00D237CE" w:rsidRDefault="003328F6" w:rsidP="007D6230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101558CB" w14:textId="77777777" w:rsidR="003328F6" w:rsidRDefault="0029159F" w:rsidP="00152369">
      <w:pPr>
        <w:pStyle w:val="NormalWeb"/>
        <w:spacing w:before="0" w:beforeAutospacing="0" w:after="0" w:afterAutospacing="0" w:line="276" w:lineRule="auto"/>
        <w:rPr>
          <w:rStyle w:val="Strong"/>
          <w:rFonts w:asciiTheme="minorHAnsi" w:hAnsiTheme="minorHAnsi" w:cstheme="minorHAnsi"/>
          <w:sz w:val="28"/>
        </w:rPr>
      </w:pPr>
      <w:proofErr w:type="spellStart"/>
      <w:proofErr w:type="gramStart"/>
      <w:r w:rsidRPr="000E53EF">
        <w:rPr>
          <w:rStyle w:val="Strong"/>
          <w:rFonts w:asciiTheme="minorHAnsi" w:hAnsiTheme="minorHAnsi" w:cstheme="minorHAnsi"/>
          <w:sz w:val="28"/>
        </w:rPr>
        <w:t>Results</w:t>
      </w:r>
      <w:proofErr w:type="spellEnd"/>
      <w:r w:rsidRPr="000E53EF">
        <w:rPr>
          <w:rStyle w:val="Strong"/>
          <w:rFonts w:asciiTheme="minorHAnsi" w:hAnsiTheme="minorHAnsi" w:cstheme="minorHAnsi"/>
          <w:sz w:val="28"/>
        </w:rPr>
        <w:t>:</w:t>
      </w:r>
      <w:proofErr w:type="gramEnd"/>
    </w:p>
    <w:p w14:paraId="1DFC1880" w14:textId="77777777" w:rsidR="003328F6" w:rsidRPr="00051F9F" w:rsidRDefault="0029159F" w:rsidP="00152369">
      <w:pPr>
        <w:rPr>
          <w:sz w:val="24"/>
        </w:rPr>
      </w:pPr>
      <w:r w:rsidRPr="00051F9F">
        <w:rPr>
          <w:sz w:val="24"/>
        </w:rPr>
        <w:t xml:space="preserve">A total of 407 </w:t>
      </w:r>
      <w:proofErr w:type="spellStart"/>
      <w:r w:rsidRPr="00051F9F">
        <w:rPr>
          <w:sz w:val="24"/>
        </w:rPr>
        <w:t>therapeutic</w:t>
      </w:r>
      <w:proofErr w:type="spellEnd"/>
      <w:r w:rsidRPr="00051F9F">
        <w:rPr>
          <w:sz w:val="24"/>
        </w:rPr>
        <w:t xml:space="preserve"> ERCP sessions </w:t>
      </w:r>
      <w:proofErr w:type="spellStart"/>
      <w:r w:rsidRPr="00051F9F">
        <w:rPr>
          <w:sz w:val="24"/>
        </w:rPr>
        <w:t>were</w:t>
      </w:r>
      <w:proofErr w:type="spellEnd"/>
      <w:r w:rsidRPr="00051F9F">
        <w:rPr>
          <w:sz w:val="24"/>
        </w:rPr>
        <w:t xml:space="preserve"> </w:t>
      </w:r>
      <w:proofErr w:type="spellStart"/>
      <w:r w:rsidRPr="00051F9F">
        <w:rPr>
          <w:sz w:val="24"/>
        </w:rPr>
        <w:t>performed</w:t>
      </w:r>
      <w:proofErr w:type="spellEnd"/>
      <w:r w:rsidRPr="00051F9F">
        <w:rPr>
          <w:sz w:val="24"/>
        </w:rPr>
        <w:t xml:space="preserve"> </w:t>
      </w:r>
      <w:proofErr w:type="spellStart"/>
      <w:r w:rsidRPr="00051F9F">
        <w:rPr>
          <w:sz w:val="24"/>
        </w:rPr>
        <w:t>during</w:t>
      </w:r>
      <w:proofErr w:type="spellEnd"/>
      <w:r w:rsidRPr="00051F9F">
        <w:rPr>
          <w:sz w:val="24"/>
        </w:rPr>
        <w:t xml:space="preserve"> the </w:t>
      </w:r>
      <w:proofErr w:type="spellStart"/>
      <w:r w:rsidRPr="00051F9F">
        <w:rPr>
          <w:sz w:val="24"/>
        </w:rPr>
        <w:t>study</w:t>
      </w:r>
      <w:proofErr w:type="spellEnd"/>
      <w:r w:rsidRPr="00051F9F">
        <w:rPr>
          <w:sz w:val="24"/>
        </w:rPr>
        <w:t xml:space="preserve"> </w:t>
      </w:r>
      <w:proofErr w:type="spellStart"/>
      <w:r w:rsidRPr="00051F9F">
        <w:rPr>
          <w:sz w:val="24"/>
        </w:rPr>
        <w:t>period</w:t>
      </w:r>
      <w:proofErr w:type="spellEnd"/>
      <w:r w:rsidRPr="00051F9F">
        <w:rPr>
          <w:sz w:val="24"/>
        </w:rPr>
        <w:t>.</w:t>
      </w:r>
      <w:r w:rsidRPr="00051F9F">
        <w:rPr>
          <w:sz w:val="24"/>
        </w:rPr>
        <w:br/>
      </w:r>
      <w:proofErr w:type="spellStart"/>
      <w:r w:rsidRPr="00051F9F">
        <w:rPr>
          <w:sz w:val="24"/>
        </w:rPr>
        <w:t>Biliary</w:t>
      </w:r>
      <w:proofErr w:type="spellEnd"/>
      <w:r w:rsidRPr="00051F9F">
        <w:rPr>
          <w:sz w:val="24"/>
        </w:rPr>
        <w:t xml:space="preserve"> </w:t>
      </w:r>
      <w:proofErr w:type="spellStart"/>
      <w:r w:rsidRPr="00051F9F">
        <w:rPr>
          <w:sz w:val="24"/>
        </w:rPr>
        <w:t>cannulation</w:t>
      </w:r>
      <w:proofErr w:type="spellEnd"/>
      <w:r w:rsidRPr="00051F9F">
        <w:rPr>
          <w:sz w:val="24"/>
        </w:rPr>
        <w:t xml:space="preserve"> </w:t>
      </w:r>
      <w:proofErr w:type="spellStart"/>
      <w:r w:rsidRPr="00051F9F">
        <w:rPr>
          <w:sz w:val="24"/>
        </w:rPr>
        <w:t>failure</w:t>
      </w:r>
      <w:proofErr w:type="spellEnd"/>
      <w:r w:rsidRPr="00051F9F">
        <w:rPr>
          <w:sz w:val="24"/>
        </w:rPr>
        <w:t xml:space="preserve"> </w:t>
      </w:r>
      <w:proofErr w:type="spellStart"/>
      <w:r w:rsidRPr="00051F9F">
        <w:rPr>
          <w:sz w:val="24"/>
        </w:rPr>
        <w:t>was</w:t>
      </w:r>
      <w:proofErr w:type="spellEnd"/>
      <w:r w:rsidRPr="00051F9F">
        <w:rPr>
          <w:sz w:val="24"/>
        </w:rPr>
        <w:t xml:space="preserve"> </w:t>
      </w:r>
      <w:proofErr w:type="spellStart"/>
      <w:r w:rsidRPr="00051F9F">
        <w:rPr>
          <w:sz w:val="24"/>
        </w:rPr>
        <w:t>reported</w:t>
      </w:r>
      <w:proofErr w:type="spellEnd"/>
      <w:r w:rsidRPr="00051F9F">
        <w:rPr>
          <w:sz w:val="24"/>
        </w:rPr>
        <w:t xml:space="preserve"> </w:t>
      </w:r>
      <w:proofErr w:type="spellStart"/>
      <w:r w:rsidRPr="00051F9F">
        <w:rPr>
          <w:sz w:val="24"/>
        </w:rPr>
        <w:t>in</w:t>
      </w:r>
      <w:proofErr w:type="spellEnd"/>
      <w:r w:rsidRPr="00051F9F">
        <w:rPr>
          <w:sz w:val="24"/>
        </w:rPr>
        <w:t xml:space="preserve"> 30 patients, </w:t>
      </w:r>
      <w:proofErr w:type="spellStart"/>
      <w:r w:rsidRPr="00051F9F">
        <w:rPr>
          <w:sz w:val="24"/>
        </w:rPr>
        <w:t>representing</w:t>
      </w:r>
      <w:proofErr w:type="spellEnd"/>
      <w:r w:rsidRPr="00051F9F">
        <w:rPr>
          <w:sz w:val="24"/>
        </w:rPr>
        <w:t xml:space="preserve"> 7%.</w:t>
      </w:r>
    </w:p>
    <w:p w14:paraId="6B44AC2E" w14:textId="3A3AA168" w:rsidR="003328F6" w:rsidRPr="00051F9F" w:rsidRDefault="003328F6" w:rsidP="00051F9F">
      <w:pPr>
        <w:rPr>
          <w:sz w:val="24"/>
        </w:rPr>
      </w:pPr>
      <w:r w:rsidRPr="00051F9F">
        <w:rPr>
          <w:sz w:val="24"/>
        </w:rPr>
        <w:t xml:space="preserve">The </w:t>
      </w:r>
      <w:proofErr w:type="spellStart"/>
      <w:r w:rsidRPr="00051F9F">
        <w:rPr>
          <w:sz w:val="24"/>
        </w:rPr>
        <w:t>mean</w:t>
      </w:r>
      <w:proofErr w:type="spellEnd"/>
      <w:r w:rsidRPr="00051F9F">
        <w:rPr>
          <w:sz w:val="24"/>
        </w:rPr>
        <w:t xml:space="preserve"> </w:t>
      </w:r>
      <w:proofErr w:type="spellStart"/>
      <w:r w:rsidRPr="00051F9F">
        <w:rPr>
          <w:sz w:val="24"/>
        </w:rPr>
        <w:t>age</w:t>
      </w:r>
      <w:proofErr w:type="spellEnd"/>
      <w:r w:rsidRPr="00051F9F">
        <w:rPr>
          <w:sz w:val="24"/>
        </w:rPr>
        <w:t xml:space="preserve"> of patients </w:t>
      </w:r>
      <w:proofErr w:type="spellStart"/>
      <w:r w:rsidRPr="00051F9F">
        <w:rPr>
          <w:sz w:val="24"/>
        </w:rPr>
        <w:t>who</w:t>
      </w:r>
      <w:proofErr w:type="spellEnd"/>
      <w:r w:rsidRPr="00051F9F">
        <w:rPr>
          <w:sz w:val="24"/>
        </w:rPr>
        <w:t xml:space="preserve"> </w:t>
      </w:r>
      <w:proofErr w:type="spellStart"/>
      <w:r w:rsidRPr="00051F9F">
        <w:rPr>
          <w:sz w:val="24"/>
        </w:rPr>
        <w:t>experienced</w:t>
      </w:r>
      <w:proofErr w:type="spellEnd"/>
      <w:r w:rsidRPr="00051F9F">
        <w:rPr>
          <w:sz w:val="24"/>
        </w:rPr>
        <w:t xml:space="preserve"> </w:t>
      </w:r>
      <w:proofErr w:type="spellStart"/>
      <w:r w:rsidRPr="00051F9F">
        <w:rPr>
          <w:sz w:val="24"/>
        </w:rPr>
        <w:t>biliary</w:t>
      </w:r>
      <w:proofErr w:type="spellEnd"/>
      <w:r w:rsidRPr="00051F9F">
        <w:rPr>
          <w:sz w:val="24"/>
        </w:rPr>
        <w:t xml:space="preserve"> </w:t>
      </w:r>
      <w:proofErr w:type="spellStart"/>
      <w:r w:rsidRPr="00051F9F">
        <w:rPr>
          <w:sz w:val="24"/>
        </w:rPr>
        <w:t>cannulation</w:t>
      </w:r>
      <w:proofErr w:type="spellEnd"/>
      <w:r w:rsidRPr="00051F9F">
        <w:rPr>
          <w:sz w:val="24"/>
        </w:rPr>
        <w:t xml:space="preserve"> </w:t>
      </w:r>
      <w:proofErr w:type="spellStart"/>
      <w:r w:rsidRPr="00051F9F">
        <w:rPr>
          <w:sz w:val="24"/>
        </w:rPr>
        <w:t>failure</w:t>
      </w:r>
      <w:proofErr w:type="spellEnd"/>
      <w:r w:rsidRPr="00051F9F">
        <w:rPr>
          <w:sz w:val="24"/>
        </w:rPr>
        <w:t xml:space="preserve"> </w:t>
      </w:r>
      <w:proofErr w:type="spellStart"/>
      <w:r w:rsidRPr="00051F9F">
        <w:rPr>
          <w:sz w:val="24"/>
        </w:rPr>
        <w:t>was</w:t>
      </w:r>
      <w:proofErr w:type="spellEnd"/>
      <w:r w:rsidRPr="00051F9F">
        <w:rPr>
          <w:sz w:val="24"/>
        </w:rPr>
        <w:t xml:space="preserve"> 58.5 ± 18.8 </w:t>
      </w:r>
      <w:proofErr w:type="spellStart"/>
      <w:r w:rsidRPr="00051F9F">
        <w:rPr>
          <w:sz w:val="24"/>
        </w:rPr>
        <w:t>years</w:t>
      </w:r>
      <w:proofErr w:type="spellEnd"/>
      <w:r w:rsidRPr="00051F9F">
        <w:rPr>
          <w:sz w:val="24"/>
        </w:rPr>
        <w:t xml:space="preserve">, </w:t>
      </w:r>
      <w:proofErr w:type="spellStart"/>
      <w:r w:rsidRPr="00051F9F">
        <w:rPr>
          <w:sz w:val="24"/>
        </w:rPr>
        <w:t>with</w:t>
      </w:r>
      <w:proofErr w:type="spellEnd"/>
      <w:r w:rsidRPr="00051F9F">
        <w:rPr>
          <w:sz w:val="24"/>
        </w:rPr>
        <w:t xml:space="preserve"> a </w:t>
      </w:r>
      <w:proofErr w:type="spellStart"/>
      <w:r w:rsidRPr="00051F9F">
        <w:rPr>
          <w:sz w:val="24"/>
        </w:rPr>
        <w:t>female</w:t>
      </w:r>
      <w:proofErr w:type="spellEnd"/>
      <w:r w:rsidRPr="00051F9F">
        <w:rPr>
          <w:sz w:val="24"/>
        </w:rPr>
        <w:t xml:space="preserve"> </w:t>
      </w:r>
      <w:proofErr w:type="spellStart"/>
      <w:r w:rsidRPr="00051F9F">
        <w:rPr>
          <w:sz w:val="24"/>
        </w:rPr>
        <w:t>predominance</w:t>
      </w:r>
      <w:proofErr w:type="spellEnd"/>
      <w:r w:rsidRPr="00051F9F">
        <w:rPr>
          <w:sz w:val="24"/>
        </w:rPr>
        <w:t xml:space="preserve"> of 63% (n = 19), </w:t>
      </w:r>
      <w:proofErr w:type="spellStart"/>
      <w:r w:rsidRPr="00051F9F">
        <w:rPr>
          <w:sz w:val="24"/>
        </w:rPr>
        <w:t>corresponding</w:t>
      </w:r>
      <w:proofErr w:type="spellEnd"/>
      <w:r w:rsidRPr="00051F9F">
        <w:rPr>
          <w:sz w:val="24"/>
        </w:rPr>
        <w:t xml:space="preserve"> to a male-to-</w:t>
      </w:r>
      <w:proofErr w:type="spellStart"/>
      <w:r w:rsidRPr="00051F9F">
        <w:rPr>
          <w:sz w:val="24"/>
        </w:rPr>
        <w:t>female</w:t>
      </w:r>
      <w:proofErr w:type="spellEnd"/>
      <w:r w:rsidRPr="00051F9F">
        <w:rPr>
          <w:sz w:val="24"/>
        </w:rPr>
        <w:t xml:space="preserve"> </w:t>
      </w:r>
      <w:proofErr w:type="spellStart"/>
      <w:r w:rsidRPr="00051F9F">
        <w:rPr>
          <w:sz w:val="24"/>
        </w:rPr>
        <w:t>sex</w:t>
      </w:r>
      <w:proofErr w:type="spellEnd"/>
      <w:r w:rsidRPr="00051F9F">
        <w:rPr>
          <w:sz w:val="24"/>
        </w:rPr>
        <w:t xml:space="preserve"> ratio of 0.6 (Figure </w:t>
      </w:r>
      <w:r w:rsidR="00210B12">
        <w:rPr>
          <w:sz w:val="24"/>
        </w:rPr>
        <w:t>2</w:t>
      </w:r>
      <w:proofErr w:type="gramStart"/>
      <w:r w:rsidRPr="00051F9F">
        <w:rPr>
          <w:sz w:val="24"/>
        </w:rPr>
        <w:t>).</w:t>
      </w:r>
      <w:proofErr w:type="spellStart"/>
      <w:r w:rsidRPr="00051F9F">
        <w:rPr>
          <w:sz w:val="24"/>
        </w:rPr>
        <w:t>Among</w:t>
      </w:r>
      <w:proofErr w:type="spellEnd"/>
      <w:proofErr w:type="gramEnd"/>
      <w:r w:rsidRPr="00051F9F">
        <w:rPr>
          <w:sz w:val="24"/>
        </w:rPr>
        <w:t xml:space="preserve"> the patients, 76% (n = 23) </w:t>
      </w:r>
      <w:proofErr w:type="spellStart"/>
      <w:r w:rsidRPr="00051F9F">
        <w:rPr>
          <w:sz w:val="24"/>
        </w:rPr>
        <w:t>had</w:t>
      </w:r>
      <w:proofErr w:type="spellEnd"/>
      <w:r w:rsidRPr="00051F9F">
        <w:rPr>
          <w:sz w:val="24"/>
        </w:rPr>
        <w:t xml:space="preserve"> no </w:t>
      </w:r>
      <w:proofErr w:type="spellStart"/>
      <w:r w:rsidRPr="00051F9F">
        <w:rPr>
          <w:sz w:val="24"/>
        </w:rPr>
        <w:t>prior</w:t>
      </w:r>
      <w:proofErr w:type="spellEnd"/>
      <w:r w:rsidRPr="00051F9F">
        <w:rPr>
          <w:sz w:val="24"/>
        </w:rPr>
        <w:t xml:space="preserve"> </w:t>
      </w:r>
      <w:proofErr w:type="spellStart"/>
      <w:r w:rsidRPr="00051F9F">
        <w:rPr>
          <w:sz w:val="24"/>
        </w:rPr>
        <w:t>medical</w:t>
      </w:r>
      <w:proofErr w:type="spellEnd"/>
      <w:r w:rsidRPr="00051F9F">
        <w:rPr>
          <w:sz w:val="24"/>
        </w:rPr>
        <w:t xml:space="preserve"> </w:t>
      </w:r>
      <w:proofErr w:type="spellStart"/>
      <w:r w:rsidRPr="00051F9F">
        <w:rPr>
          <w:sz w:val="24"/>
        </w:rPr>
        <w:t>history</w:t>
      </w:r>
      <w:proofErr w:type="spellEnd"/>
      <w:r w:rsidRPr="00051F9F">
        <w:rPr>
          <w:sz w:val="24"/>
        </w:rPr>
        <w:t xml:space="preserve">. </w:t>
      </w:r>
    </w:p>
    <w:p w14:paraId="448E5E11" w14:textId="4AD5D895" w:rsidR="003328F6" w:rsidRPr="00051F9F" w:rsidRDefault="003328F6" w:rsidP="00051F9F">
      <w:pPr>
        <w:rPr>
          <w:sz w:val="24"/>
        </w:rPr>
      </w:pPr>
      <w:r w:rsidRPr="00051F9F">
        <w:rPr>
          <w:sz w:val="24"/>
        </w:rPr>
        <w:t xml:space="preserve">A </w:t>
      </w:r>
      <w:proofErr w:type="spellStart"/>
      <w:r w:rsidRPr="00051F9F">
        <w:rPr>
          <w:sz w:val="24"/>
        </w:rPr>
        <w:t>history</w:t>
      </w:r>
      <w:proofErr w:type="spellEnd"/>
      <w:r w:rsidRPr="00051F9F">
        <w:rPr>
          <w:sz w:val="24"/>
        </w:rPr>
        <w:t xml:space="preserve"> of </w:t>
      </w:r>
      <w:proofErr w:type="spellStart"/>
      <w:r w:rsidRPr="00051F9F">
        <w:rPr>
          <w:sz w:val="24"/>
        </w:rPr>
        <w:t>cholecystectomy</w:t>
      </w:r>
      <w:proofErr w:type="spellEnd"/>
      <w:r w:rsidRPr="00051F9F">
        <w:rPr>
          <w:sz w:val="24"/>
        </w:rPr>
        <w:t xml:space="preserve"> </w:t>
      </w:r>
      <w:proofErr w:type="spellStart"/>
      <w:r w:rsidRPr="00051F9F">
        <w:rPr>
          <w:sz w:val="24"/>
        </w:rPr>
        <w:t>was</w:t>
      </w:r>
      <w:proofErr w:type="spellEnd"/>
      <w:r w:rsidRPr="00051F9F">
        <w:rPr>
          <w:sz w:val="24"/>
        </w:rPr>
        <w:t xml:space="preserve"> </w:t>
      </w:r>
      <w:proofErr w:type="spellStart"/>
      <w:r w:rsidRPr="00051F9F">
        <w:rPr>
          <w:sz w:val="24"/>
        </w:rPr>
        <w:t>reported</w:t>
      </w:r>
      <w:proofErr w:type="spellEnd"/>
      <w:r w:rsidRPr="00051F9F">
        <w:rPr>
          <w:sz w:val="24"/>
        </w:rPr>
        <w:t xml:space="preserve"> </w:t>
      </w:r>
      <w:proofErr w:type="spellStart"/>
      <w:r w:rsidRPr="00051F9F">
        <w:rPr>
          <w:sz w:val="24"/>
        </w:rPr>
        <w:t>in</w:t>
      </w:r>
      <w:proofErr w:type="spellEnd"/>
      <w:r w:rsidRPr="00051F9F">
        <w:rPr>
          <w:sz w:val="24"/>
        </w:rPr>
        <w:t xml:space="preserve"> 13% of cases (n = 4), 6% (n = 2) </w:t>
      </w:r>
      <w:proofErr w:type="spellStart"/>
      <w:r w:rsidRPr="00051F9F">
        <w:rPr>
          <w:sz w:val="24"/>
        </w:rPr>
        <w:t>had</w:t>
      </w:r>
      <w:proofErr w:type="spellEnd"/>
      <w:r w:rsidRPr="00051F9F">
        <w:rPr>
          <w:sz w:val="24"/>
        </w:rPr>
        <w:t xml:space="preserve"> a </w:t>
      </w:r>
      <w:proofErr w:type="spellStart"/>
      <w:r w:rsidRPr="00051F9F">
        <w:rPr>
          <w:sz w:val="24"/>
        </w:rPr>
        <w:t>history</w:t>
      </w:r>
      <w:proofErr w:type="spellEnd"/>
      <w:r w:rsidRPr="00051F9F">
        <w:rPr>
          <w:sz w:val="24"/>
        </w:rPr>
        <w:t xml:space="preserve"> of </w:t>
      </w:r>
      <w:proofErr w:type="spellStart"/>
      <w:r w:rsidRPr="00051F9F">
        <w:rPr>
          <w:sz w:val="24"/>
        </w:rPr>
        <w:t>lithiasic</w:t>
      </w:r>
      <w:proofErr w:type="spellEnd"/>
      <w:r w:rsidRPr="00051F9F">
        <w:rPr>
          <w:sz w:val="24"/>
        </w:rPr>
        <w:t xml:space="preserve"> </w:t>
      </w:r>
      <w:proofErr w:type="spellStart"/>
      <w:r w:rsidRPr="00051F9F">
        <w:rPr>
          <w:sz w:val="24"/>
        </w:rPr>
        <w:t>pancreatitis</w:t>
      </w:r>
      <w:proofErr w:type="spellEnd"/>
      <w:r w:rsidRPr="00051F9F">
        <w:rPr>
          <w:sz w:val="24"/>
        </w:rPr>
        <w:t xml:space="preserve">, and </w:t>
      </w:r>
      <w:proofErr w:type="spellStart"/>
      <w:r w:rsidRPr="00051F9F">
        <w:rPr>
          <w:sz w:val="24"/>
        </w:rPr>
        <w:t>alcohol</w:t>
      </w:r>
      <w:proofErr w:type="spellEnd"/>
      <w:r w:rsidRPr="00051F9F">
        <w:rPr>
          <w:sz w:val="24"/>
        </w:rPr>
        <w:t xml:space="preserve"> and </w:t>
      </w:r>
      <w:proofErr w:type="spellStart"/>
      <w:r w:rsidRPr="00051F9F">
        <w:rPr>
          <w:sz w:val="24"/>
        </w:rPr>
        <w:t>tobacco</w:t>
      </w:r>
      <w:proofErr w:type="spellEnd"/>
      <w:r w:rsidRPr="00051F9F">
        <w:rPr>
          <w:sz w:val="24"/>
        </w:rPr>
        <w:t xml:space="preserve"> use </w:t>
      </w:r>
      <w:proofErr w:type="spellStart"/>
      <w:r w:rsidRPr="00051F9F">
        <w:rPr>
          <w:sz w:val="24"/>
        </w:rPr>
        <w:t>was</w:t>
      </w:r>
      <w:proofErr w:type="spellEnd"/>
      <w:r w:rsidRPr="00051F9F">
        <w:rPr>
          <w:sz w:val="24"/>
        </w:rPr>
        <w:t xml:space="preserve"> </w:t>
      </w:r>
      <w:proofErr w:type="spellStart"/>
      <w:r w:rsidRPr="00051F9F">
        <w:rPr>
          <w:sz w:val="24"/>
        </w:rPr>
        <w:t>reported</w:t>
      </w:r>
      <w:proofErr w:type="spellEnd"/>
      <w:r w:rsidRPr="00051F9F">
        <w:rPr>
          <w:sz w:val="24"/>
        </w:rPr>
        <w:t xml:space="preserve"> </w:t>
      </w:r>
      <w:proofErr w:type="spellStart"/>
      <w:r w:rsidRPr="00051F9F">
        <w:rPr>
          <w:sz w:val="24"/>
        </w:rPr>
        <w:t>in</w:t>
      </w:r>
      <w:proofErr w:type="spellEnd"/>
      <w:r w:rsidRPr="00051F9F">
        <w:rPr>
          <w:sz w:val="24"/>
        </w:rPr>
        <w:t xml:space="preserve"> 3% (n = 1) (Figure </w:t>
      </w:r>
      <w:r w:rsidR="00210B12">
        <w:rPr>
          <w:sz w:val="24"/>
        </w:rPr>
        <w:t>1</w:t>
      </w:r>
      <w:r w:rsidRPr="00051F9F">
        <w:rPr>
          <w:sz w:val="24"/>
        </w:rPr>
        <w:t>).</w:t>
      </w:r>
      <w:proofErr w:type="spellStart"/>
      <w:r w:rsidRPr="00051F9F">
        <w:rPr>
          <w:sz w:val="24"/>
        </w:rPr>
        <w:t>Among</w:t>
      </w:r>
      <w:proofErr w:type="spellEnd"/>
      <w:r w:rsidRPr="00051F9F">
        <w:rPr>
          <w:sz w:val="24"/>
        </w:rPr>
        <w:t xml:space="preserve"> the 30 patients, the indication for ERCP </w:t>
      </w:r>
      <w:proofErr w:type="spellStart"/>
      <w:r w:rsidRPr="00051F9F">
        <w:rPr>
          <w:sz w:val="24"/>
        </w:rPr>
        <w:t>was</w:t>
      </w:r>
      <w:proofErr w:type="spellEnd"/>
      <w:r w:rsidRPr="00051F9F">
        <w:rPr>
          <w:sz w:val="24"/>
        </w:rPr>
        <w:t xml:space="preserve"> </w:t>
      </w:r>
      <w:proofErr w:type="spellStart"/>
      <w:r w:rsidRPr="00051F9F">
        <w:rPr>
          <w:sz w:val="24"/>
        </w:rPr>
        <w:t>common</w:t>
      </w:r>
      <w:proofErr w:type="spellEnd"/>
      <w:r w:rsidRPr="00051F9F">
        <w:rPr>
          <w:sz w:val="24"/>
        </w:rPr>
        <w:t xml:space="preserve"> bile </w:t>
      </w:r>
      <w:proofErr w:type="spellStart"/>
      <w:r w:rsidRPr="00051F9F">
        <w:rPr>
          <w:sz w:val="24"/>
        </w:rPr>
        <w:t>duct</w:t>
      </w:r>
      <w:proofErr w:type="spellEnd"/>
      <w:r w:rsidRPr="00051F9F">
        <w:rPr>
          <w:sz w:val="24"/>
        </w:rPr>
        <w:t xml:space="preserve"> (CBD) stones </w:t>
      </w:r>
      <w:proofErr w:type="spellStart"/>
      <w:r w:rsidRPr="00051F9F">
        <w:rPr>
          <w:sz w:val="24"/>
        </w:rPr>
        <w:t>in</w:t>
      </w:r>
      <w:proofErr w:type="spellEnd"/>
      <w:r w:rsidRPr="00051F9F">
        <w:rPr>
          <w:sz w:val="24"/>
        </w:rPr>
        <w:t xml:space="preserve"> 70% of cases (n = 21), </w:t>
      </w:r>
      <w:proofErr w:type="spellStart"/>
      <w:r w:rsidRPr="00051F9F">
        <w:rPr>
          <w:sz w:val="24"/>
        </w:rPr>
        <w:t>angiocholitis</w:t>
      </w:r>
      <w:proofErr w:type="spellEnd"/>
      <w:r w:rsidRPr="00051F9F">
        <w:rPr>
          <w:sz w:val="24"/>
        </w:rPr>
        <w:t xml:space="preserve"> </w:t>
      </w:r>
      <w:proofErr w:type="spellStart"/>
      <w:r w:rsidRPr="00051F9F">
        <w:rPr>
          <w:sz w:val="24"/>
        </w:rPr>
        <w:t>in</w:t>
      </w:r>
      <w:proofErr w:type="spellEnd"/>
      <w:r w:rsidRPr="00051F9F">
        <w:rPr>
          <w:sz w:val="24"/>
        </w:rPr>
        <w:t xml:space="preserve"> 13% (n = 4), acute </w:t>
      </w:r>
      <w:proofErr w:type="spellStart"/>
      <w:r w:rsidRPr="00051F9F">
        <w:rPr>
          <w:sz w:val="24"/>
        </w:rPr>
        <w:t>lithiasic</w:t>
      </w:r>
      <w:proofErr w:type="spellEnd"/>
      <w:r w:rsidRPr="00051F9F">
        <w:rPr>
          <w:sz w:val="24"/>
        </w:rPr>
        <w:t xml:space="preserve"> </w:t>
      </w:r>
      <w:proofErr w:type="spellStart"/>
      <w:r w:rsidRPr="00051F9F">
        <w:rPr>
          <w:sz w:val="24"/>
        </w:rPr>
        <w:t>pancreatitis</w:t>
      </w:r>
      <w:proofErr w:type="spellEnd"/>
      <w:r w:rsidRPr="00051F9F">
        <w:rPr>
          <w:sz w:val="24"/>
        </w:rPr>
        <w:t xml:space="preserve"> </w:t>
      </w:r>
      <w:proofErr w:type="spellStart"/>
      <w:r w:rsidRPr="00051F9F">
        <w:rPr>
          <w:sz w:val="24"/>
        </w:rPr>
        <w:t>in</w:t>
      </w:r>
      <w:proofErr w:type="spellEnd"/>
      <w:r w:rsidRPr="00051F9F">
        <w:rPr>
          <w:sz w:val="24"/>
        </w:rPr>
        <w:t xml:space="preserve"> 13% (n = 4), and distal </w:t>
      </w:r>
      <w:proofErr w:type="spellStart"/>
      <w:r w:rsidRPr="00051F9F">
        <w:rPr>
          <w:sz w:val="24"/>
        </w:rPr>
        <w:t>choledochal</w:t>
      </w:r>
      <w:proofErr w:type="spellEnd"/>
      <w:r w:rsidRPr="00051F9F">
        <w:rPr>
          <w:sz w:val="24"/>
        </w:rPr>
        <w:t xml:space="preserve"> </w:t>
      </w:r>
      <w:proofErr w:type="spellStart"/>
      <w:r w:rsidRPr="00051F9F">
        <w:rPr>
          <w:sz w:val="24"/>
        </w:rPr>
        <w:t>stricture</w:t>
      </w:r>
      <w:proofErr w:type="spellEnd"/>
      <w:r w:rsidRPr="00051F9F">
        <w:rPr>
          <w:sz w:val="24"/>
        </w:rPr>
        <w:t xml:space="preserve"> </w:t>
      </w:r>
      <w:proofErr w:type="spellStart"/>
      <w:r w:rsidRPr="00051F9F">
        <w:rPr>
          <w:sz w:val="24"/>
        </w:rPr>
        <w:t>in</w:t>
      </w:r>
      <w:proofErr w:type="spellEnd"/>
      <w:r w:rsidRPr="00051F9F">
        <w:rPr>
          <w:sz w:val="24"/>
        </w:rPr>
        <w:t xml:space="preserve"> 4% (n = 1).</w:t>
      </w:r>
    </w:p>
    <w:p w14:paraId="24BB87AC" w14:textId="77777777" w:rsidR="0029159F" w:rsidRPr="00F00B2E" w:rsidRDefault="0029159F" w:rsidP="003328F6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proofErr w:type="spellStart"/>
      <w:r w:rsidRPr="00F00B2E">
        <w:rPr>
          <w:rFonts w:asciiTheme="minorHAnsi" w:hAnsiTheme="minorHAnsi" w:cstheme="minorHAnsi"/>
        </w:rPr>
        <w:lastRenderedPageBreak/>
        <w:t>Significant</w:t>
      </w:r>
      <w:proofErr w:type="spellEnd"/>
      <w:r w:rsidRPr="00F00B2E">
        <w:rPr>
          <w:rFonts w:asciiTheme="minorHAnsi" w:hAnsiTheme="minorHAnsi" w:cstheme="minorHAnsi"/>
        </w:rPr>
        <w:t xml:space="preserve"> </w:t>
      </w:r>
      <w:proofErr w:type="spellStart"/>
      <w:r w:rsidRPr="00F00B2E">
        <w:rPr>
          <w:rFonts w:asciiTheme="minorHAnsi" w:hAnsiTheme="minorHAnsi" w:cstheme="minorHAnsi"/>
        </w:rPr>
        <w:t>factors</w:t>
      </w:r>
      <w:proofErr w:type="spellEnd"/>
      <w:r w:rsidRPr="00F00B2E">
        <w:rPr>
          <w:rFonts w:asciiTheme="minorHAnsi" w:hAnsiTheme="minorHAnsi" w:cstheme="minorHAnsi"/>
        </w:rPr>
        <w:t xml:space="preserve"> </w:t>
      </w:r>
      <w:proofErr w:type="spellStart"/>
      <w:r w:rsidRPr="00F00B2E">
        <w:rPr>
          <w:rFonts w:asciiTheme="minorHAnsi" w:hAnsiTheme="minorHAnsi" w:cstheme="minorHAnsi"/>
        </w:rPr>
        <w:t>associated</w:t>
      </w:r>
      <w:proofErr w:type="spellEnd"/>
      <w:r w:rsidRPr="00F00B2E">
        <w:rPr>
          <w:rFonts w:asciiTheme="minorHAnsi" w:hAnsiTheme="minorHAnsi" w:cstheme="minorHAnsi"/>
        </w:rPr>
        <w:t xml:space="preserve"> </w:t>
      </w:r>
      <w:proofErr w:type="spellStart"/>
      <w:r w:rsidRPr="00F00B2E">
        <w:rPr>
          <w:rFonts w:asciiTheme="minorHAnsi" w:hAnsiTheme="minorHAnsi" w:cstheme="minorHAnsi"/>
        </w:rPr>
        <w:t>with</w:t>
      </w:r>
      <w:proofErr w:type="spellEnd"/>
      <w:r w:rsidRPr="00F00B2E">
        <w:rPr>
          <w:rFonts w:asciiTheme="minorHAnsi" w:hAnsiTheme="minorHAnsi" w:cstheme="minorHAnsi"/>
        </w:rPr>
        <w:t xml:space="preserve"> </w:t>
      </w:r>
      <w:proofErr w:type="spellStart"/>
      <w:r w:rsidRPr="00F00B2E">
        <w:rPr>
          <w:rFonts w:asciiTheme="minorHAnsi" w:hAnsiTheme="minorHAnsi" w:cstheme="minorHAnsi"/>
        </w:rPr>
        <w:t>biliary</w:t>
      </w:r>
      <w:proofErr w:type="spellEnd"/>
      <w:r w:rsidRPr="00F00B2E">
        <w:rPr>
          <w:rFonts w:asciiTheme="minorHAnsi" w:hAnsiTheme="minorHAnsi" w:cstheme="minorHAnsi"/>
        </w:rPr>
        <w:t xml:space="preserve"> </w:t>
      </w:r>
      <w:proofErr w:type="spellStart"/>
      <w:r w:rsidRPr="00F00B2E">
        <w:rPr>
          <w:rFonts w:asciiTheme="minorHAnsi" w:hAnsiTheme="minorHAnsi" w:cstheme="minorHAnsi"/>
        </w:rPr>
        <w:t>cannulation</w:t>
      </w:r>
      <w:proofErr w:type="spellEnd"/>
      <w:r w:rsidRPr="00F00B2E">
        <w:rPr>
          <w:rFonts w:asciiTheme="minorHAnsi" w:hAnsiTheme="minorHAnsi" w:cstheme="minorHAnsi"/>
        </w:rPr>
        <w:t xml:space="preserve"> </w:t>
      </w:r>
      <w:proofErr w:type="spellStart"/>
      <w:r w:rsidRPr="00F00B2E">
        <w:rPr>
          <w:rFonts w:asciiTheme="minorHAnsi" w:hAnsiTheme="minorHAnsi" w:cstheme="minorHAnsi"/>
        </w:rPr>
        <w:t>failure</w:t>
      </w:r>
      <w:proofErr w:type="spellEnd"/>
      <w:r w:rsidRPr="00F00B2E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F00B2E">
        <w:rPr>
          <w:rFonts w:asciiTheme="minorHAnsi" w:hAnsiTheme="minorHAnsi" w:cstheme="minorHAnsi"/>
        </w:rPr>
        <w:t>were</w:t>
      </w:r>
      <w:proofErr w:type="spellEnd"/>
      <w:r w:rsidRPr="00F00B2E">
        <w:rPr>
          <w:rFonts w:asciiTheme="minorHAnsi" w:hAnsiTheme="minorHAnsi" w:cstheme="minorHAnsi"/>
        </w:rPr>
        <w:t>:</w:t>
      </w:r>
      <w:proofErr w:type="gramEnd"/>
      <w:r w:rsidRPr="00F00B2E">
        <w:rPr>
          <w:rFonts w:asciiTheme="minorHAnsi" w:hAnsiTheme="minorHAnsi" w:cstheme="minorHAnsi"/>
        </w:rPr>
        <w:t xml:space="preserve"> </w:t>
      </w:r>
      <w:proofErr w:type="spellStart"/>
      <w:r w:rsidRPr="00F00B2E">
        <w:rPr>
          <w:rFonts w:asciiTheme="minorHAnsi" w:hAnsiTheme="minorHAnsi" w:cstheme="minorHAnsi"/>
        </w:rPr>
        <w:t>impacted</w:t>
      </w:r>
      <w:proofErr w:type="spellEnd"/>
      <w:r w:rsidRPr="00F00B2E">
        <w:rPr>
          <w:rFonts w:asciiTheme="minorHAnsi" w:hAnsiTheme="minorHAnsi" w:cstheme="minorHAnsi"/>
        </w:rPr>
        <w:t xml:space="preserve"> stone in the distal </w:t>
      </w:r>
      <w:proofErr w:type="spellStart"/>
      <w:r w:rsidRPr="00F00B2E">
        <w:rPr>
          <w:rFonts w:asciiTheme="minorHAnsi" w:hAnsiTheme="minorHAnsi" w:cstheme="minorHAnsi"/>
        </w:rPr>
        <w:t>common</w:t>
      </w:r>
      <w:proofErr w:type="spellEnd"/>
      <w:r w:rsidRPr="00F00B2E">
        <w:rPr>
          <w:rFonts w:asciiTheme="minorHAnsi" w:hAnsiTheme="minorHAnsi" w:cstheme="minorHAnsi"/>
        </w:rPr>
        <w:t xml:space="preserve"> bile </w:t>
      </w:r>
      <w:proofErr w:type="spellStart"/>
      <w:r w:rsidRPr="00F00B2E">
        <w:rPr>
          <w:rFonts w:asciiTheme="minorHAnsi" w:hAnsiTheme="minorHAnsi" w:cstheme="minorHAnsi"/>
        </w:rPr>
        <w:t>duct</w:t>
      </w:r>
      <w:proofErr w:type="spellEnd"/>
      <w:r w:rsidRPr="00F00B2E">
        <w:rPr>
          <w:rFonts w:asciiTheme="minorHAnsi" w:hAnsiTheme="minorHAnsi" w:cstheme="minorHAnsi"/>
        </w:rPr>
        <w:t xml:space="preserve"> (p&lt;0.001), type I </w:t>
      </w:r>
      <w:proofErr w:type="spellStart"/>
      <w:r w:rsidRPr="00F00B2E">
        <w:rPr>
          <w:rFonts w:asciiTheme="minorHAnsi" w:hAnsiTheme="minorHAnsi" w:cstheme="minorHAnsi"/>
        </w:rPr>
        <w:t>duodenal</w:t>
      </w:r>
      <w:proofErr w:type="spellEnd"/>
      <w:r w:rsidRPr="00F00B2E">
        <w:rPr>
          <w:rFonts w:asciiTheme="minorHAnsi" w:hAnsiTheme="minorHAnsi" w:cstheme="minorHAnsi"/>
        </w:rPr>
        <w:t xml:space="preserve"> </w:t>
      </w:r>
      <w:proofErr w:type="spellStart"/>
      <w:r w:rsidRPr="00F00B2E">
        <w:rPr>
          <w:rFonts w:asciiTheme="minorHAnsi" w:hAnsiTheme="minorHAnsi" w:cstheme="minorHAnsi"/>
        </w:rPr>
        <w:t>papilla</w:t>
      </w:r>
      <w:proofErr w:type="spellEnd"/>
      <w:r w:rsidRPr="00F00B2E">
        <w:rPr>
          <w:rFonts w:asciiTheme="minorHAnsi" w:hAnsiTheme="minorHAnsi" w:cstheme="minorHAnsi"/>
        </w:rPr>
        <w:t xml:space="preserve"> </w:t>
      </w:r>
      <w:proofErr w:type="spellStart"/>
      <w:r w:rsidRPr="00F00B2E">
        <w:rPr>
          <w:rFonts w:asciiTheme="minorHAnsi" w:hAnsiTheme="minorHAnsi" w:cstheme="minorHAnsi"/>
        </w:rPr>
        <w:t>morphology</w:t>
      </w:r>
      <w:proofErr w:type="spellEnd"/>
      <w:r w:rsidRPr="00F00B2E">
        <w:rPr>
          <w:rFonts w:asciiTheme="minorHAnsi" w:hAnsiTheme="minorHAnsi" w:cstheme="minorHAnsi"/>
        </w:rPr>
        <w:t xml:space="preserve"> </w:t>
      </w:r>
      <w:proofErr w:type="spellStart"/>
      <w:r w:rsidRPr="00F00B2E">
        <w:rPr>
          <w:rFonts w:asciiTheme="minorHAnsi" w:hAnsiTheme="minorHAnsi" w:cstheme="minorHAnsi"/>
        </w:rPr>
        <w:t>according</w:t>
      </w:r>
      <w:proofErr w:type="spellEnd"/>
      <w:r w:rsidRPr="00F00B2E">
        <w:rPr>
          <w:rFonts w:asciiTheme="minorHAnsi" w:hAnsiTheme="minorHAnsi" w:cstheme="minorHAnsi"/>
        </w:rPr>
        <w:t xml:space="preserve"> to the Novel classification (p&lt;0.001), </w:t>
      </w:r>
      <w:proofErr w:type="spellStart"/>
      <w:r w:rsidRPr="00F00B2E">
        <w:rPr>
          <w:rFonts w:asciiTheme="minorHAnsi" w:hAnsiTheme="minorHAnsi" w:cstheme="minorHAnsi"/>
        </w:rPr>
        <w:t>intradiverticular</w:t>
      </w:r>
      <w:proofErr w:type="spellEnd"/>
      <w:r w:rsidRPr="00F00B2E">
        <w:rPr>
          <w:rFonts w:asciiTheme="minorHAnsi" w:hAnsiTheme="minorHAnsi" w:cstheme="minorHAnsi"/>
        </w:rPr>
        <w:t xml:space="preserve"> </w:t>
      </w:r>
      <w:proofErr w:type="spellStart"/>
      <w:r w:rsidRPr="00F00B2E">
        <w:rPr>
          <w:rFonts w:asciiTheme="minorHAnsi" w:hAnsiTheme="minorHAnsi" w:cstheme="minorHAnsi"/>
        </w:rPr>
        <w:t>papilla</w:t>
      </w:r>
      <w:proofErr w:type="spellEnd"/>
      <w:r w:rsidRPr="00F00B2E">
        <w:rPr>
          <w:rFonts w:asciiTheme="minorHAnsi" w:hAnsiTheme="minorHAnsi" w:cstheme="minorHAnsi"/>
        </w:rPr>
        <w:t xml:space="preserve"> (p&lt;0.001), and </w:t>
      </w:r>
      <w:proofErr w:type="spellStart"/>
      <w:r w:rsidRPr="00F00B2E">
        <w:rPr>
          <w:rFonts w:asciiTheme="minorHAnsi" w:hAnsiTheme="minorHAnsi" w:cstheme="minorHAnsi"/>
        </w:rPr>
        <w:t>papilla</w:t>
      </w:r>
      <w:proofErr w:type="spellEnd"/>
      <w:r w:rsidRPr="00F00B2E">
        <w:rPr>
          <w:rFonts w:asciiTheme="minorHAnsi" w:hAnsiTheme="minorHAnsi" w:cstheme="minorHAnsi"/>
        </w:rPr>
        <w:t xml:space="preserve"> </w:t>
      </w:r>
      <w:proofErr w:type="spellStart"/>
      <w:r w:rsidRPr="00F00B2E">
        <w:rPr>
          <w:rFonts w:asciiTheme="minorHAnsi" w:hAnsiTheme="minorHAnsi" w:cstheme="minorHAnsi"/>
        </w:rPr>
        <w:t>infiltrated</w:t>
      </w:r>
      <w:proofErr w:type="spellEnd"/>
      <w:r w:rsidRPr="00F00B2E">
        <w:rPr>
          <w:rFonts w:asciiTheme="minorHAnsi" w:hAnsiTheme="minorHAnsi" w:cstheme="minorHAnsi"/>
        </w:rPr>
        <w:t xml:space="preserve"> by a tumoral </w:t>
      </w:r>
      <w:proofErr w:type="spellStart"/>
      <w:r w:rsidRPr="00F00B2E">
        <w:rPr>
          <w:rFonts w:asciiTheme="minorHAnsi" w:hAnsiTheme="minorHAnsi" w:cstheme="minorHAnsi"/>
        </w:rPr>
        <w:t>lesion</w:t>
      </w:r>
      <w:proofErr w:type="spellEnd"/>
      <w:r w:rsidRPr="00F00B2E">
        <w:rPr>
          <w:rFonts w:asciiTheme="minorHAnsi" w:hAnsiTheme="minorHAnsi" w:cstheme="minorHAnsi"/>
        </w:rPr>
        <w:t xml:space="preserve"> (p&lt;0.001) (Table 1).</w:t>
      </w:r>
      <w:r w:rsidR="003328F6">
        <w:rPr>
          <w:rFonts w:asciiTheme="minorHAnsi" w:hAnsiTheme="minorHAnsi" w:cstheme="minorHAnsi"/>
        </w:rPr>
        <w:t xml:space="preserve"> </w:t>
      </w:r>
      <w:proofErr w:type="spellStart"/>
      <w:r w:rsidRPr="00F00B2E">
        <w:rPr>
          <w:rFonts w:asciiTheme="minorHAnsi" w:hAnsiTheme="minorHAnsi" w:cstheme="minorHAnsi"/>
        </w:rPr>
        <w:t>Conversely</w:t>
      </w:r>
      <w:proofErr w:type="spellEnd"/>
      <w:r w:rsidRPr="00F00B2E">
        <w:rPr>
          <w:rFonts w:asciiTheme="minorHAnsi" w:hAnsiTheme="minorHAnsi" w:cstheme="minorHAnsi"/>
        </w:rPr>
        <w:t xml:space="preserve">, </w:t>
      </w:r>
      <w:proofErr w:type="spellStart"/>
      <w:r w:rsidRPr="00F00B2E">
        <w:rPr>
          <w:rFonts w:asciiTheme="minorHAnsi" w:hAnsiTheme="minorHAnsi" w:cstheme="minorHAnsi"/>
        </w:rPr>
        <w:t>age</w:t>
      </w:r>
      <w:proofErr w:type="spellEnd"/>
      <w:r w:rsidRPr="00F00B2E">
        <w:rPr>
          <w:rFonts w:asciiTheme="minorHAnsi" w:hAnsiTheme="minorHAnsi" w:cstheme="minorHAnsi"/>
        </w:rPr>
        <w:t xml:space="preserve"> (p=0.472), </w:t>
      </w:r>
      <w:proofErr w:type="spellStart"/>
      <w:r w:rsidRPr="00F00B2E">
        <w:rPr>
          <w:rFonts w:asciiTheme="minorHAnsi" w:hAnsiTheme="minorHAnsi" w:cstheme="minorHAnsi"/>
        </w:rPr>
        <w:t>sex</w:t>
      </w:r>
      <w:proofErr w:type="spellEnd"/>
      <w:r w:rsidRPr="00F00B2E">
        <w:rPr>
          <w:rFonts w:asciiTheme="minorHAnsi" w:hAnsiTheme="minorHAnsi" w:cstheme="minorHAnsi"/>
        </w:rPr>
        <w:t xml:space="preserve"> (p=0.639), and indication for ERCP (p=0.479) </w:t>
      </w:r>
      <w:proofErr w:type="spellStart"/>
      <w:r w:rsidRPr="00F00B2E">
        <w:rPr>
          <w:rFonts w:asciiTheme="minorHAnsi" w:hAnsiTheme="minorHAnsi" w:cstheme="minorHAnsi"/>
        </w:rPr>
        <w:t>were</w:t>
      </w:r>
      <w:proofErr w:type="spellEnd"/>
      <w:r w:rsidRPr="00F00B2E">
        <w:rPr>
          <w:rFonts w:asciiTheme="minorHAnsi" w:hAnsiTheme="minorHAnsi" w:cstheme="minorHAnsi"/>
        </w:rPr>
        <w:t xml:space="preserve"> not </w:t>
      </w:r>
      <w:proofErr w:type="spellStart"/>
      <w:r w:rsidRPr="00F00B2E">
        <w:rPr>
          <w:rFonts w:asciiTheme="minorHAnsi" w:hAnsiTheme="minorHAnsi" w:cstheme="minorHAnsi"/>
        </w:rPr>
        <w:t>significantly</w:t>
      </w:r>
      <w:proofErr w:type="spellEnd"/>
      <w:r w:rsidRPr="00F00B2E">
        <w:rPr>
          <w:rFonts w:asciiTheme="minorHAnsi" w:hAnsiTheme="minorHAnsi" w:cstheme="minorHAnsi"/>
        </w:rPr>
        <w:t xml:space="preserve"> </w:t>
      </w:r>
      <w:proofErr w:type="spellStart"/>
      <w:r w:rsidRPr="00F00B2E">
        <w:rPr>
          <w:rFonts w:asciiTheme="minorHAnsi" w:hAnsiTheme="minorHAnsi" w:cstheme="minorHAnsi"/>
        </w:rPr>
        <w:t>associated</w:t>
      </w:r>
      <w:proofErr w:type="spellEnd"/>
      <w:r w:rsidRPr="00F00B2E">
        <w:rPr>
          <w:rFonts w:asciiTheme="minorHAnsi" w:hAnsiTheme="minorHAnsi" w:cstheme="minorHAnsi"/>
        </w:rPr>
        <w:t xml:space="preserve"> </w:t>
      </w:r>
      <w:proofErr w:type="spellStart"/>
      <w:r w:rsidRPr="00F00B2E">
        <w:rPr>
          <w:rFonts w:asciiTheme="minorHAnsi" w:hAnsiTheme="minorHAnsi" w:cstheme="minorHAnsi"/>
        </w:rPr>
        <w:t>with</w:t>
      </w:r>
      <w:proofErr w:type="spellEnd"/>
      <w:r w:rsidRPr="00F00B2E">
        <w:rPr>
          <w:rFonts w:asciiTheme="minorHAnsi" w:hAnsiTheme="minorHAnsi" w:cstheme="minorHAnsi"/>
        </w:rPr>
        <w:t xml:space="preserve"> </w:t>
      </w:r>
      <w:proofErr w:type="spellStart"/>
      <w:r w:rsidRPr="00F00B2E">
        <w:rPr>
          <w:rFonts w:asciiTheme="minorHAnsi" w:hAnsiTheme="minorHAnsi" w:cstheme="minorHAnsi"/>
        </w:rPr>
        <w:t>cannulation</w:t>
      </w:r>
      <w:proofErr w:type="spellEnd"/>
      <w:r w:rsidRPr="00F00B2E">
        <w:rPr>
          <w:rFonts w:asciiTheme="minorHAnsi" w:hAnsiTheme="minorHAnsi" w:cstheme="minorHAnsi"/>
        </w:rPr>
        <w:t xml:space="preserve"> </w:t>
      </w:r>
      <w:proofErr w:type="spellStart"/>
      <w:r w:rsidRPr="00F00B2E">
        <w:rPr>
          <w:rFonts w:asciiTheme="minorHAnsi" w:hAnsiTheme="minorHAnsi" w:cstheme="minorHAnsi"/>
        </w:rPr>
        <w:t>failure</w:t>
      </w:r>
      <w:proofErr w:type="spellEnd"/>
      <w:r w:rsidRPr="00F00B2E">
        <w:rPr>
          <w:rFonts w:asciiTheme="minorHAnsi" w:hAnsiTheme="minorHAnsi" w:cstheme="minorHAnsi"/>
        </w:rPr>
        <w:t xml:space="preserve"> (Table 1).</w:t>
      </w:r>
    </w:p>
    <w:p w14:paraId="49508EA0" w14:textId="77777777" w:rsidR="0029159F" w:rsidRDefault="0029159F" w:rsidP="0029159F">
      <w:pPr>
        <w:pStyle w:val="NormalWeb"/>
        <w:rPr>
          <w:rFonts w:asciiTheme="minorHAnsi" w:hAnsiTheme="minorHAnsi" w:cstheme="minorHAnsi"/>
        </w:rPr>
      </w:pPr>
      <w:r w:rsidRPr="00F00B2E">
        <w:rPr>
          <w:rFonts w:asciiTheme="minorHAnsi" w:hAnsiTheme="minorHAnsi" w:cstheme="minorHAnsi"/>
        </w:rPr>
        <w:t xml:space="preserve">As </w:t>
      </w:r>
      <w:proofErr w:type="spellStart"/>
      <w:r w:rsidRPr="00F00B2E">
        <w:rPr>
          <w:rFonts w:asciiTheme="minorHAnsi" w:hAnsiTheme="minorHAnsi" w:cstheme="minorHAnsi"/>
        </w:rPr>
        <w:t>therapeutic</w:t>
      </w:r>
      <w:proofErr w:type="spellEnd"/>
      <w:r w:rsidRPr="00F00B2E">
        <w:rPr>
          <w:rFonts w:asciiTheme="minorHAnsi" w:hAnsiTheme="minorHAnsi" w:cstheme="minorHAnsi"/>
        </w:rPr>
        <w:t xml:space="preserve"> alternatives, </w:t>
      </w:r>
      <w:proofErr w:type="spellStart"/>
      <w:r w:rsidRPr="00F00B2E">
        <w:rPr>
          <w:rFonts w:asciiTheme="minorHAnsi" w:hAnsiTheme="minorHAnsi" w:cstheme="minorHAnsi"/>
        </w:rPr>
        <w:t>surgical</w:t>
      </w:r>
      <w:proofErr w:type="spellEnd"/>
      <w:r w:rsidRPr="00F00B2E">
        <w:rPr>
          <w:rFonts w:asciiTheme="minorHAnsi" w:hAnsiTheme="minorHAnsi" w:cstheme="minorHAnsi"/>
        </w:rPr>
        <w:t xml:space="preserve"> bypass </w:t>
      </w:r>
      <w:proofErr w:type="spellStart"/>
      <w:r w:rsidRPr="00F00B2E">
        <w:rPr>
          <w:rFonts w:asciiTheme="minorHAnsi" w:hAnsiTheme="minorHAnsi" w:cstheme="minorHAnsi"/>
        </w:rPr>
        <w:t>was</w:t>
      </w:r>
      <w:proofErr w:type="spellEnd"/>
      <w:r w:rsidRPr="00F00B2E">
        <w:rPr>
          <w:rFonts w:asciiTheme="minorHAnsi" w:hAnsiTheme="minorHAnsi" w:cstheme="minorHAnsi"/>
        </w:rPr>
        <w:t xml:space="preserve"> </w:t>
      </w:r>
      <w:proofErr w:type="spellStart"/>
      <w:r w:rsidRPr="00F00B2E">
        <w:rPr>
          <w:rFonts w:asciiTheme="minorHAnsi" w:hAnsiTheme="minorHAnsi" w:cstheme="minorHAnsi"/>
        </w:rPr>
        <w:t>indicated</w:t>
      </w:r>
      <w:proofErr w:type="spellEnd"/>
      <w:r w:rsidRPr="00F00B2E">
        <w:rPr>
          <w:rFonts w:asciiTheme="minorHAnsi" w:hAnsiTheme="minorHAnsi" w:cstheme="minorHAnsi"/>
        </w:rPr>
        <w:t xml:space="preserve"> in the </w:t>
      </w:r>
      <w:proofErr w:type="spellStart"/>
      <w:r w:rsidRPr="00F00B2E">
        <w:rPr>
          <w:rFonts w:asciiTheme="minorHAnsi" w:hAnsiTheme="minorHAnsi" w:cstheme="minorHAnsi"/>
        </w:rPr>
        <w:t>majority</w:t>
      </w:r>
      <w:proofErr w:type="spellEnd"/>
      <w:r w:rsidRPr="00F00B2E">
        <w:rPr>
          <w:rFonts w:asciiTheme="minorHAnsi" w:hAnsiTheme="minorHAnsi" w:cstheme="minorHAnsi"/>
        </w:rPr>
        <w:t xml:space="preserve"> of patients (67%, n=20), </w:t>
      </w:r>
      <w:proofErr w:type="spellStart"/>
      <w:r w:rsidRPr="00F00B2E">
        <w:rPr>
          <w:rFonts w:asciiTheme="minorHAnsi" w:hAnsiTheme="minorHAnsi" w:cstheme="minorHAnsi"/>
        </w:rPr>
        <w:t>sphincterotomy</w:t>
      </w:r>
      <w:proofErr w:type="spellEnd"/>
      <w:r w:rsidRPr="00F00B2E">
        <w:rPr>
          <w:rFonts w:asciiTheme="minorHAnsi" w:hAnsiTheme="minorHAnsi" w:cstheme="minorHAnsi"/>
        </w:rPr>
        <w:t xml:space="preserve"> </w:t>
      </w:r>
      <w:proofErr w:type="spellStart"/>
      <w:r w:rsidRPr="00F00B2E">
        <w:rPr>
          <w:rFonts w:asciiTheme="minorHAnsi" w:hAnsiTheme="minorHAnsi" w:cstheme="minorHAnsi"/>
        </w:rPr>
        <w:t>alone</w:t>
      </w:r>
      <w:proofErr w:type="spellEnd"/>
      <w:r w:rsidRPr="00F00B2E">
        <w:rPr>
          <w:rFonts w:asciiTheme="minorHAnsi" w:hAnsiTheme="minorHAnsi" w:cstheme="minorHAnsi"/>
        </w:rPr>
        <w:t xml:space="preserve"> </w:t>
      </w:r>
      <w:proofErr w:type="spellStart"/>
      <w:r w:rsidRPr="00F00B2E">
        <w:rPr>
          <w:rFonts w:asciiTheme="minorHAnsi" w:hAnsiTheme="minorHAnsi" w:cstheme="minorHAnsi"/>
        </w:rPr>
        <w:t>in</w:t>
      </w:r>
      <w:proofErr w:type="spellEnd"/>
      <w:r w:rsidRPr="00F00B2E">
        <w:rPr>
          <w:rFonts w:asciiTheme="minorHAnsi" w:hAnsiTheme="minorHAnsi" w:cstheme="minorHAnsi"/>
        </w:rPr>
        <w:t xml:space="preserve"> 25% (n=6), </w:t>
      </w:r>
      <w:proofErr w:type="spellStart"/>
      <w:r w:rsidRPr="00F00B2E">
        <w:rPr>
          <w:rFonts w:asciiTheme="minorHAnsi" w:hAnsiTheme="minorHAnsi" w:cstheme="minorHAnsi"/>
        </w:rPr>
        <w:t>septotomy</w:t>
      </w:r>
      <w:proofErr w:type="spellEnd"/>
      <w:r w:rsidRPr="00F00B2E">
        <w:rPr>
          <w:rFonts w:asciiTheme="minorHAnsi" w:hAnsiTheme="minorHAnsi" w:cstheme="minorHAnsi"/>
        </w:rPr>
        <w:t xml:space="preserve"> </w:t>
      </w:r>
      <w:proofErr w:type="spellStart"/>
      <w:r w:rsidRPr="00F00B2E">
        <w:rPr>
          <w:rFonts w:asciiTheme="minorHAnsi" w:hAnsiTheme="minorHAnsi" w:cstheme="minorHAnsi"/>
        </w:rPr>
        <w:t>in</w:t>
      </w:r>
      <w:proofErr w:type="spellEnd"/>
      <w:r w:rsidRPr="00F00B2E">
        <w:rPr>
          <w:rFonts w:asciiTheme="minorHAnsi" w:hAnsiTheme="minorHAnsi" w:cstheme="minorHAnsi"/>
        </w:rPr>
        <w:t xml:space="preserve"> 12.5% (n=3), and </w:t>
      </w:r>
      <w:proofErr w:type="spellStart"/>
      <w:r w:rsidRPr="00F00B2E">
        <w:rPr>
          <w:rFonts w:asciiTheme="minorHAnsi" w:hAnsiTheme="minorHAnsi" w:cstheme="minorHAnsi"/>
        </w:rPr>
        <w:t>precut</w:t>
      </w:r>
      <w:proofErr w:type="spellEnd"/>
      <w:r w:rsidRPr="00F00B2E">
        <w:rPr>
          <w:rFonts w:asciiTheme="minorHAnsi" w:hAnsiTheme="minorHAnsi" w:cstheme="minorHAnsi"/>
        </w:rPr>
        <w:t xml:space="preserve"> </w:t>
      </w:r>
      <w:proofErr w:type="spellStart"/>
      <w:r w:rsidRPr="00F00B2E">
        <w:rPr>
          <w:rFonts w:asciiTheme="minorHAnsi" w:hAnsiTheme="minorHAnsi" w:cstheme="minorHAnsi"/>
        </w:rPr>
        <w:t>sphincterotomy</w:t>
      </w:r>
      <w:proofErr w:type="spellEnd"/>
      <w:r w:rsidRPr="00F00B2E">
        <w:rPr>
          <w:rFonts w:asciiTheme="minorHAnsi" w:hAnsiTheme="minorHAnsi" w:cstheme="minorHAnsi"/>
        </w:rPr>
        <w:t xml:space="preserve"> </w:t>
      </w:r>
      <w:proofErr w:type="spellStart"/>
      <w:r w:rsidRPr="00F00B2E">
        <w:rPr>
          <w:rFonts w:asciiTheme="minorHAnsi" w:hAnsiTheme="minorHAnsi" w:cstheme="minorHAnsi"/>
        </w:rPr>
        <w:t>in</w:t>
      </w:r>
      <w:proofErr w:type="spellEnd"/>
      <w:r w:rsidRPr="00F00B2E">
        <w:rPr>
          <w:rFonts w:asciiTheme="minorHAnsi" w:hAnsiTheme="minorHAnsi" w:cstheme="minorHAnsi"/>
        </w:rPr>
        <w:t xml:space="preserve"> 4.2% (n=1).</w:t>
      </w:r>
    </w:p>
    <w:p w14:paraId="53D70F0A" w14:textId="77777777" w:rsidR="00A5639B" w:rsidRDefault="00A5639B" w:rsidP="0029159F">
      <w:pPr>
        <w:pStyle w:val="NormalWeb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3"/>
        <w:gridCol w:w="4613"/>
      </w:tblGrid>
      <w:tr w:rsidR="00F00B2E" w14:paraId="74D66E8F" w14:textId="77777777" w:rsidTr="00FE39BB">
        <w:trPr>
          <w:trHeight w:val="278"/>
        </w:trPr>
        <w:tc>
          <w:tcPr>
            <w:tcW w:w="4613" w:type="dxa"/>
          </w:tcPr>
          <w:p w14:paraId="327C725B" w14:textId="77777777" w:rsidR="00F00B2E" w:rsidRPr="00F00B2E" w:rsidRDefault="00F00B2E" w:rsidP="00FE39BB">
            <w:pPr>
              <w:ind w:right="-57"/>
              <w:rPr>
                <w:rFonts w:cstheme="minorHAnsi"/>
                <w:b/>
                <w:szCs w:val="20"/>
              </w:rPr>
            </w:pPr>
            <w:proofErr w:type="spellStart"/>
            <w:r w:rsidRPr="00F00B2E">
              <w:rPr>
                <w:b/>
              </w:rPr>
              <w:t>Predictive</w:t>
            </w:r>
            <w:proofErr w:type="spellEnd"/>
            <w:r w:rsidRPr="00F00B2E">
              <w:rPr>
                <w:b/>
              </w:rPr>
              <w:t xml:space="preserve"> </w:t>
            </w:r>
            <w:proofErr w:type="spellStart"/>
            <w:r w:rsidRPr="00F00B2E">
              <w:rPr>
                <w:b/>
              </w:rPr>
              <w:t>Factors</w:t>
            </w:r>
            <w:proofErr w:type="spellEnd"/>
            <w:r w:rsidRPr="00F00B2E">
              <w:rPr>
                <w:b/>
              </w:rPr>
              <w:t xml:space="preserve"> of </w:t>
            </w:r>
            <w:proofErr w:type="spellStart"/>
            <w:r w:rsidRPr="00F00B2E">
              <w:rPr>
                <w:b/>
              </w:rPr>
              <w:t>Biliary</w:t>
            </w:r>
            <w:proofErr w:type="spellEnd"/>
            <w:r w:rsidRPr="00F00B2E">
              <w:rPr>
                <w:b/>
              </w:rPr>
              <w:t xml:space="preserve"> </w:t>
            </w:r>
            <w:proofErr w:type="spellStart"/>
            <w:r w:rsidRPr="00F00B2E">
              <w:rPr>
                <w:b/>
              </w:rPr>
              <w:t>Cannulation</w:t>
            </w:r>
            <w:proofErr w:type="spellEnd"/>
            <w:r w:rsidRPr="00F00B2E">
              <w:rPr>
                <w:b/>
              </w:rPr>
              <w:t xml:space="preserve"> Failure</w:t>
            </w:r>
          </w:p>
        </w:tc>
        <w:tc>
          <w:tcPr>
            <w:tcW w:w="4613" w:type="dxa"/>
          </w:tcPr>
          <w:p w14:paraId="6B3BEBEA" w14:textId="77777777" w:rsidR="00F00B2E" w:rsidRPr="004552A7" w:rsidRDefault="00F00B2E" w:rsidP="00FE39BB">
            <w:pPr>
              <w:ind w:right="-57"/>
              <w:rPr>
                <w:rFonts w:cstheme="minorHAnsi"/>
                <w:b/>
                <w:szCs w:val="20"/>
              </w:rPr>
            </w:pPr>
            <w:r w:rsidRPr="004552A7">
              <w:rPr>
                <w:b/>
              </w:rPr>
              <w:t xml:space="preserve">                                    </w:t>
            </w:r>
            <w:r>
              <w:rPr>
                <w:b/>
              </w:rPr>
              <w:t xml:space="preserve">                                     </w:t>
            </w:r>
            <w:proofErr w:type="gramStart"/>
            <w:r w:rsidRPr="004552A7">
              <w:rPr>
                <w:b/>
              </w:rPr>
              <w:t>p</w:t>
            </w:r>
            <w:proofErr w:type="gramEnd"/>
            <w:r w:rsidRPr="004552A7">
              <w:rPr>
                <w:b/>
              </w:rPr>
              <w:t>-value</w:t>
            </w:r>
          </w:p>
        </w:tc>
      </w:tr>
      <w:tr w:rsidR="00F00B2E" w14:paraId="504401F4" w14:textId="77777777" w:rsidTr="00FE39BB">
        <w:trPr>
          <w:trHeight w:val="236"/>
        </w:trPr>
        <w:tc>
          <w:tcPr>
            <w:tcW w:w="4613" w:type="dxa"/>
          </w:tcPr>
          <w:p w14:paraId="615C5C35" w14:textId="77777777" w:rsidR="00F00B2E" w:rsidRDefault="00F00B2E" w:rsidP="00FE39BB">
            <w:pPr>
              <w:ind w:right="-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676ACA">
              <w:rPr>
                <w:rFonts w:cstheme="minorHAnsi"/>
                <w:b/>
                <w:sz w:val="20"/>
                <w:szCs w:val="20"/>
              </w:rPr>
              <w:t>Age</w:t>
            </w:r>
            <w:r>
              <w:rPr>
                <w:rFonts w:cstheme="minorHAnsi"/>
                <w:b/>
                <w:sz w:val="20"/>
                <w:szCs w:val="20"/>
              </w:rPr>
              <w:t xml:space="preserve"> (</w:t>
            </w:r>
            <w:r w:rsidRPr="006F32C7">
              <w:rPr>
                <w:rFonts w:cstheme="minorHAnsi"/>
                <w:sz w:val="20"/>
                <w:szCs w:val="20"/>
              </w:rPr>
              <w:t>58.5 ans +/- 18.8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4613" w:type="dxa"/>
          </w:tcPr>
          <w:p w14:paraId="2F4A4BA0" w14:textId="77777777" w:rsidR="00F00B2E" w:rsidRDefault="00F00B2E" w:rsidP="00FE39BB">
            <w:pPr>
              <w:ind w:right="-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</w:t>
            </w:r>
            <w:r w:rsidRPr="006F32C7">
              <w:rPr>
                <w:rFonts w:cstheme="minorHAnsi"/>
                <w:sz w:val="20"/>
                <w:szCs w:val="20"/>
              </w:rPr>
              <w:t>0.472</w:t>
            </w:r>
          </w:p>
        </w:tc>
      </w:tr>
      <w:tr w:rsidR="00F00B2E" w14:paraId="5F3C7465" w14:textId="77777777" w:rsidTr="00FE39BB">
        <w:trPr>
          <w:trHeight w:val="250"/>
        </w:trPr>
        <w:tc>
          <w:tcPr>
            <w:tcW w:w="4613" w:type="dxa"/>
          </w:tcPr>
          <w:p w14:paraId="5C0BDCC2" w14:textId="77777777" w:rsidR="00F00B2E" w:rsidRDefault="00F00B2E" w:rsidP="00FE39BB">
            <w:pPr>
              <w:ind w:right="-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proofErr w:type="spellStart"/>
            <w:r w:rsidRPr="00676ACA">
              <w:rPr>
                <w:rFonts w:cstheme="minorHAnsi"/>
                <w:b/>
                <w:sz w:val="20"/>
                <w:szCs w:val="20"/>
              </w:rPr>
              <w:t>S</w:t>
            </w:r>
            <w:r>
              <w:rPr>
                <w:rFonts w:cstheme="minorHAnsi"/>
                <w:b/>
                <w:sz w:val="20"/>
                <w:szCs w:val="20"/>
              </w:rPr>
              <w:t>ex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(</w:t>
            </w:r>
            <w:r w:rsidRPr="006F32C7">
              <w:rPr>
                <w:rFonts w:cstheme="minorHAnsi"/>
                <w:sz w:val="20"/>
                <w:szCs w:val="20"/>
              </w:rPr>
              <w:t>ratio (H/F) de 0.6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4613" w:type="dxa"/>
          </w:tcPr>
          <w:p w14:paraId="4E20E6A0" w14:textId="77777777" w:rsidR="00F00B2E" w:rsidRDefault="00F00B2E" w:rsidP="00FE39BB">
            <w:pPr>
              <w:ind w:right="-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</w:t>
            </w:r>
            <w:r w:rsidRPr="006F32C7">
              <w:rPr>
                <w:rFonts w:cstheme="minorHAnsi"/>
                <w:sz w:val="20"/>
                <w:szCs w:val="20"/>
              </w:rPr>
              <w:t>0.639</w:t>
            </w:r>
          </w:p>
        </w:tc>
      </w:tr>
      <w:tr w:rsidR="00F00B2E" w14:paraId="26D09B08" w14:textId="77777777" w:rsidTr="00FE39BB">
        <w:trPr>
          <w:trHeight w:val="250"/>
        </w:trPr>
        <w:tc>
          <w:tcPr>
            <w:tcW w:w="4613" w:type="dxa"/>
          </w:tcPr>
          <w:p w14:paraId="2D4A3297" w14:textId="77777777" w:rsidR="00F00B2E" w:rsidRPr="00F00B2E" w:rsidRDefault="00F00B2E" w:rsidP="00F00B2E">
            <w:pPr>
              <w:pStyle w:val="NormalWeb"/>
              <w:rPr>
                <w:sz w:val="22"/>
              </w:rPr>
            </w:pPr>
            <w:r w:rsidRPr="00F00B2E">
              <w:rPr>
                <w:rStyle w:val="Strong"/>
                <w:sz w:val="22"/>
              </w:rPr>
              <w:t xml:space="preserve">Indication for </w:t>
            </w:r>
            <w:proofErr w:type="gramStart"/>
            <w:r w:rsidRPr="00F00B2E">
              <w:rPr>
                <w:rStyle w:val="Strong"/>
                <w:sz w:val="22"/>
              </w:rPr>
              <w:t>ERCP:</w:t>
            </w:r>
            <w:proofErr w:type="gramEnd"/>
          </w:p>
          <w:p w14:paraId="128393EA" w14:textId="77777777" w:rsidR="00F00B2E" w:rsidRPr="00F00B2E" w:rsidRDefault="00F00B2E" w:rsidP="00F00B2E">
            <w:pPr>
              <w:pStyle w:val="NormalWeb"/>
              <w:numPr>
                <w:ilvl w:val="0"/>
                <w:numId w:val="1"/>
              </w:numPr>
              <w:rPr>
                <w:sz w:val="22"/>
              </w:rPr>
            </w:pPr>
            <w:proofErr w:type="spellStart"/>
            <w:r w:rsidRPr="00F00B2E">
              <w:rPr>
                <w:sz w:val="22"/>
              </w:rPr>
              <w:t>Choledocholithiasis</w:t>
            </w:r>
            <w:proofErr w:type="spellEnd"/>
            <w:r w:rsidRPr="00F00B2E">
              <w:rPr>
                <w:sz w:val="22"/>
              </w:rPr>
              <w:t xml:space="preserve"> (n=21)</w:t>
            </w:r>
          </w:p>
          <w:p w14:paraId="5CCE2F4E" w14:textId="77777777" w:rsidR="00F00B2E" w:rsidRPr="00F00B2E" w:rsidRDefault="00F00B2E" w:rsidP="00F00B2E">
            <w:pPr>
              <w:pStyle w:val="NormalWeb"/>
              <w:numPr>
                <w:ilvl w:val="0"/>
                <w:numId w:val="1"/>
              </w:numPr>
              <w:rPr>
                <w:sz w:val="22"/>
              </w:rPr>
            </w:pPr>
            <w:proofErr w:type="spellStart"/>
            <w:r w:rsidRPr="00F00B2E">
              <w:rPr>
                <w:sz w:val="22"/>
              </w:rPr>
              <w:t>Cholangitis</w:t>
            </w:r>
            <w:proofErr w:type="spellEnd"/>
            <w:r w:rsidRPr="00F00B2E">
              <w:rPr>
                <w:sz w:val="22"/>
              </w:rPr>
              <w:t xml:space="preserve"> (n=4)</w:t>
            </w:r>
          </w:p>
          <w:p w14:paraId="6CF99F1F" w14:textId="77777777" w:rsidR="00F00B2E" w:rsidRPr="00F00B2E" w:rsidRDefault="00F00B2E" w:rsidP="00F00B2E">
            <w:pPr>
              <w:pStyle w:val="NormalWeb"/>
              <w:numPr>
                <w:ilvl w:val="0"/>
                <w:numId w:val="1"/>
              </w:numPr>
              <w:rPr>
                <w:sz w:val="22"/>
              </w:rPr>
            </w:pPr>
            <w:proofErr w:type="spellStart"/>
            <w:r w:rsidRPr="00F00B2E">
              <w:rPr>
                <w:sz w:val="22"/>
              </w:rPr>
              <w:t>Biliary</w:t>
            </w:r>
            <w:proofErr w:type="spellEnd"/>
            <w:r w:rsidRPr="00F00B2E">
              <w:rPr>
                <w:sz w:val="22"/>
              </w:rPr>
              <w:t xml:space="preserve"> </w:t>
            </w:r>
            <w:proofErr w:type="spellStart"/>
            <w:r w:rsidRPr="00F00B2E">
              <w:rPr>
                <w:sz w:val="22"/>
              </w:rPr>
              <w:t>pancreatitis</w:t>
            </w:r>
            <w:proofErr w:type="spellEnd"/>
            <w:r w:rsidRPr="00F00B2E">
              <w:rPr>
                <w:sz w:val="22"/>
              </w:rPr>
              <w:t xml:space="preserve"> (n=4)</w:t>
            </w:r>
          </w:p>
          <w:p w14:paraId="3F5A55A8" w14:textId="77777777" w:rsidR="00F00B2E" w:rsidRPr="00F00B2E" w:rsidRDefault="00F00B2E" w:rsidP="00F00B2E">
            <w:pPr>
              <w:pStyle w:val="NormalWeb"/>
              <w:numPr>
                <w:ilvl w:val="0"/>
                <w:numId w:val="1"/>
              </w:numPr>
              <w:rPr>
                <w:sz w:val="22"/>
              </w:rPr>
            </w:pPr>
            <w:r w:rsidRPr="00F00B2E">
              <w:rPr>
                <w:sz w:val="22"/>
              </w:rPr>
              <w:t xml:space="preserve">Distal </w:t>
            </w:r>
            <w:proofErr w:type="spellStart"/>
            <w:r w:rsidRPr="00F00B2E">
              <w:rPr>
                <w:sz w:val="22"/>
              </w:rPr>
              <w:t>common</w:t>
            </w:r>
            <w:proofErr w:type="spellEnd"/>
            <w:r w:rsidRPr="00F00B2E">
              <w:rPr>
                <w:sz w:val="22"/>
              </w:rPr>
              <w:t xml:space="preserve"> bile </w:t>
            </w:r>
            <w:proofErr w:type="spellStart"/>
            <w:r w:rsidRPr="00F00B2E">
              <w:rPr>
                <w:sz w:val="22"/>
              </w:rPr>
              <w:t>duct</w:t>
            </w:r>
            <w:proofErr w:type="spellEnd"/>
            <w:r w:rsidRPr="00F00B2E">
              <w:rPr>
                <w:sz w:val="22"/>
              </w:rPr>
              <w:t xml:space="preserve"> </w:t>
            </w:r>
            <w:proofErr w:type="spellStart"/>
            <w:r w:rsidRPr="00F00B2E">
              <w:rPr>
                <w:sz w:val="22"/>
              </w:rPr>
              <w:t>stricture</w:t>
            </w:r>
            <w:proofErr w:type="spellEnd"/>
            <w:r w:rsidRPr="00F00B2E">
              <w:rPr>
                <w:sz w:val="22"/>
              </w:rPr>
              <w:t xml:space="preserve"> (n=1)</w:t>
            </w:r>
          </w:p>
          <w:p w14:paraId="0794EF5E" w14:textId="77777777" w:rsidR="00F00B2E" w:rsidRDefault="00F00B2E" w:rsidP="00FE39BB">
            <w:pPr>
              <w:ind w:right="-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3" w:type="dxa"/>
          </w:tcPr>
          <w:p w14:paraId="77AF9ABF" w14:textId="77777777" w:rsidR="00F00B2E" w:rsidRDefault="00F00B2E" w:rsidP="00FE39BB">
            <w:pPr>
              <w:ind w:right="-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</w:t>
            </w:r>
            <w:r w:rsidRPr="006F32C7">
              <w:rPr>
                <w:rFonts w:cstheme="minorHAnsi"/>
                <w:sz w:val="20"/>
                <w:szCs w:val="20"/>
              </w:rPr>
              <w:t>0.479</w:t>
            </w:r>
          </w:p>
        </w:tc>
      </w:tr>
      <w:tr w:rsidR="00F00B2E" w14:paraId="2B48EEFD" w14:textId="77777777" w:rsidTr="00FE39BB">
        <w:trPr>
          <w:trHeight w:val="250"/>
        </w:trPr>
        <w:tc>
          <w:tcPr>
            <w:tcW w:w="4613" w:type="dxa"/>
          </w:tcPr>
          <w:p w14:paraId="2BD84F4F" w14:textId="77777777" w:rsidR="00F00B2E" w:rsidRPr="00F00B2E" w:rsidRDefault="00F00B2E" w:rsidP="00FE39BB">
            <w:pPr>
              <w:ind w:right="-57"/>
              <w:rPr>
                <w:rFonts w:cstheme="minorHAnsi"/>
                <w:b/>
                <w:sz w:val="20"/>
                <w:szCs w:val="20"/>
              </w:rPr>
            </w:pPr>
            <w:r w:rsidRPr="00F00B2E">
              <w:rPr>
                <w:b/>
              </w:rPr>
              <w:t>-</w:t>
            </w:r>
            <w:proofErr w:type="spellStart"/>
            <w:r w:rsidRPr="00F00B2E">
              <w:rPr>
                <w:b/>
              </w:rPr>
              <w:t>Impacted</w:t>
            </w:r>
            <w:proofErr w:type="spellEnd"/>
            <w:r w:rsidRPr="00F00B2E">
              <w:rPr>
                <w:b/>
              </w:rPr>
              <w:t xml:space="preserve"> stone in the distal </w:t>
            </w:r>
            <w:proofErr w:type="spellStart"/>
            <w:r w:rsidRPr="00F00B2E">
              <w:rPr>
                <w:b/>
              </w:rPr>
              <w:t>common</w:t>
            </w:r>
            <w:proofErr w:type="spellEnd"/>
            <w:r w:rsidRPr="00F00B2E">
              <w:rPr>
                <w:b/>
              </w:rPr>
              <w:t xml:space="preserve"> bile </w:t>
            </w:r>
            <w:proofErr w:type="spellStart"/>
            <w:r w:rsidRPr="00F00B2E">
              <w:rPr>
                <w:b/>
              </w:rPr>
              <w:t>duct</w:t>
            </w:r>
            <w:proofErr w:type="spellEnd"/>
            <w:r w:rsidRPr="00F00B2E">
              <w:rPr>
                <w:b/>
              </w:rPr>
              <w:t xml:space="preserve"> (n=8)</w:t>
            </w:r>
          </w:p>
        </w:tc>
        <w:tc>
          <w:tcPr>
            <w:tcW w:w="4613" w:type="dxa"/>
          </w:tcPr>
          <w:p w14:paraId="24675587" w14:textId="77777777" w:rsidR="00F00B2E" w:rsidRDefault="00F00B2E" w:rsidP="00FE39BB">
            <w:pPr>
              <w:ind w:right="-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 xml:space="preserve">                                                                            </w:t>
            </w:r>
            <w:r w:rsidRPr="006F32C7">
              <w:rPr>
                <w:rFonts w:cstheme="minorHAnsi"/>
              </w:rPr>
              <w:t>&lt;0.001</w:t>
            </w:r>
          </w:p>
        </w:tc>
      </w:tr>
      <w:tr w:rsidR="00F00B2E" w14:paraId="408BC65C" w14:textId="77777777" w:rsidTr="00FE39BB">
        <w:trPr>
          <w:trHeight w:val="236"/>
        </w:trPr>
        <w:tc>
          <w:tcPr>
            <w:tcW w:w="4613" w:type="dxa"/>
          </w:tcPr>
          <w:p w14:paraId="28053CAC" w14:textId="77777777" w:rsidR="00F00B2E" w:rsidRPr="00F00B2E" w:rsidRDefault="00F00B2E" w:rsidP="00FE39BB">
            <w:pPr>
              <w:ind w:right="-57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</w:rPr>
              <w:t>-</w:t>
            </w:r>
            <w:r w:rsidRPr="00F00B2E">
              <w:rPr>
                <w:b/>
              </w:rPr>
              <w:t xml:space="preserve">Type I </w:t>
            </w:r>
            <w:proofErr w:type="spellStart"/>
            <w:r w:rsidRPr="00F00B2E">
              <w:rPr>
                <w:b/>
              </w:rPr>
              <w:t>duodenal</w:t>
            </w:r>
            <w:proofErr w:type="spellEnd"/>
            <w:r w:rsidRPr="00F00B2E">
              <w:rPr>
                <w:b/>
              </w:rPr>
              <w:t xml:space="preserve"> </w:t>
            </w:r>
            <w:proofErr w:type="spellStart"/>
            <w:r w:rsidRPr="00F00B2E">
              <w:rPr>
                <w:b/>
              </w:rPr>
              <w:t>papilla</w:t>
            </w:r>
            <w:proofErr w:type="spellEnd"/>
            <w:r w:rsidRPr="00F00B2E">
              <w:rPr>
                <w:b/>
              </w:rPr>
              <w:t xml:space="preserve"> </w:t>
            </w:r>
            <w:proofErr w:type="spellStart"/>
            <w:r w:rsidRPr="00F00B2E">
              <w:rPr>
                <w:b/>
              </w:rPr>
              <w:t>morphology</w:t>
            </w:r>
            <w:proofErr w:type="spellEnd"/>
            <w:r w:rsidRPr="00F00B2E">
              <w:rPr>
                <w:b/>
              </w:rPr>
              <w:t xml:space="preserve"> </w:t>
            </w:r>
            <w:proofErr w:type="spellStart"/>
            <w:r w:rsidRPr="00F00B2E">
              <w:rPr>
                <w:b/>
              </w:rPr>
              <w:t>according</w:t>
            </w:r>
            <w:proofErr w:type="spellEnd"/>
            <w:r w:rsidRPr="00F00B2E">
              <w:rPr>
                <w:b/>
              </w:rPr>
              <w:t xml:space="preserve"> to the Novel classification (n=5)</w:t>
            </w:r>
          </w:p>
        </w:tc>
        <w:tc>
          <w:tcPr>
            <w:tcW w:w="4613" w:type="dxa"/>
          </w:tcPr>
          <w:p w14:paraId="6BF56760" w14:textId="77777777" w:rsidR="00F00B2E" w:rsidRDefault="00F00B2E" w:rsidP="00FE39BB">
            <w:pPr>
              <w:ind w:right="-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 xml:space="preserve">                                                                           </w:t>
            </w:r>
            <w:r w:rsidRPr="006F32C7">
              <w:rPr>
                <w:rFonts w:cstheme="minorHAnsi"/>
              </w:rPr>
              <w:t>&lt;0.001</w:t>
            </w:r>
          </w:p>
        </w:tc>
      </w:tr>
      <w:tr w:rsidR="00F00B2E" w14:paraId="48AF9D1B" w14:textId="77777777" w:rsidTr="00FE39BB">
        <w:trPr>
          <w:trHeight w:val="250"/>
        </w:trPr>
        <w:tc>
          <w:tcPr>
            <w:tcW w:w="4613" w:type="dxa"/>
          </w:tcPr>
          <w:p w14:paraId="4D459442" w14:textId="77777777" w:rsidR="00F00B2E" w:rsidRPr="00F00B2E" w:rsidRDefault="00F00B2E" w:rsidP="00FE39BB">
            <w:pPr>
              <w:ind w:right="-57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</w:rPr>
              <w:t>-</w:t>
            </w:r>
            <w:proofErr w:type="spellStart"/>
            <w:r w:rsidRPr="00F00B2E">
              <w:rPr>
                <w:b/>
              </w:rPr>
              <w:t>Intradiverticular</w:t>
            </w:r>
            <w:proofErr w:type="spellEnd"/>
            <w:r w:rsidRPr="00F00B2E">
              <w:rPr>
                <w:b/>
              </w:rPr>
              <w:t xml:space="preserve"> </w:t>
            </w:r>
            <w:proofErr w:type="spellStart"/>
            <w:r w:rsidRPr="00F00B2E">
              <w:rPr>
                <w:b/>
              </w:rPr>
              <w:t>papilla</w:t>
            </w:r>
            <w:proofErr w:type="spellEnd"/>
            <w:r w:rsidRPr="00F00B2E">
              <w:rPr>
                <w:b/>
              </w:rPr>
              <w:t xml:space="preserve"> (n=5)</w:t>
            </w:r>
          </w:p>
        </w:tc>
        <w:tc>
          <w:tcPr>
            <w:tcW w:w="4613" w:type="dxa"/>
          </w:tcPr>
          <w:p w14:paraId="015583D8" w14:textId="77777777" w:rsidR="00F00B2E" w:rsidRDefault="00F00B2E" w:rsidP="00FE39BB">
            <w:pPr>
              <w:ind w:right="-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 xml:space="preserve">                                                                           </w:t>
            </w:r>
            <w:r w:rsidRPr="006F32C7">
              <w:rPr>
                <w:rFonts w:cstheme="minorHAnsi"/>
              </w:rPr>
              <w:t>&lt;0.001</w:t>
            </w:r>
          </w:p>
        </w:tc>
      </w:tr>
      <w:tr w:rsidR="00F00B2E" w14:paraId="4E938D9F" w14:textId="77777777" w:rsidTr="00FE39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9226" w:type="dxa"/>
            <w:gridSpan w:val="2"/>
          </w:tcPr>
          <w:p w14:paraId="142AF206" w14:textId="77777777" w:rsidR="00F00B2E" w:rsidRDefault="00DC2014" w:rsidP="00FE39BB">
            <w:pPr>
              <w:ind w:right="-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noProof/>
                <w:sz w:val="20"/>
                <w:szCs w:val="20"/>
              </w:rPr>
              <w:pict w14:anchorId="418149BA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226.55pt;margin-top:.9pt;width:0;height:11.55pt;z-index:251660288;mso-position-horizontal-relative:text;mso-position-vertical-relative:text" o:connectortype="straight"/>
              </w:pict>
            </w:r>
            <w:r>
              <w:rPr>
                <w:rFonts w:cstheme="minorHAnsi"/>
                <w:b/>
                <w:noProof/>
                <w:sz w:val="20"/>
                <w:szCs w:val="20"/>
              </w:rPr>
              <w:pict w14:anchorId="17F637BF">
                <v:shape id="_x0000_s1027" type="#_x0000_t32" style="position:absolute;margin-left:225.85pt;margin-top:11.05pt;width:0;height:0;z-index:251661312;mso-position-horizontal-relative:text;mso-position-vertical-relative:text" o:connectortype="straight"/>
              </w:pict>
            </w:r>
            <w:r w:rsidR="00F00B2E" w:rsidRPr="00F00B2E">
              <w:rPr>
                <w:rFonts w:cstheme="minorHAnsi"/>
                <w:b/>
                <w:sz w:val="20"/>
                <w:szCs w:val="20"/>
              </w:rPr>
              <w:t xml:space="preserve"> -</w:t>
            </w:r>
            <w:r w:rsidR="00F00B2E" w:rsidRPr="00F00B2E">
              <w:rPr>
                <w:b/>
              </w:rPr>
              <w:t xml:space="preserve"> </w:t>
            </w:r>
            <w:proofErr w:type="spellStart"/>
            <w:r w:rsidR="00F00B2E" w:rsidRPr="00F00B2E">
              <w:rPr>
                <w:b/>
              </w:rPr>
              <w:t>Papilla</w:t>
            </w:r>
            <w:proofErr w:type="spellEnd"/>
            <w:r w:rsidR="00F00B2E" w:rsidRPr="00F00B2E">
              <w:rPr>
                <w:b/>
              </w:rPr>
              <w:t xml:space="preserve"> </w:t>
            </w:r>
            <w:proofErr w:type="spellStart"/>
            <w:r w:rsidR="00F00B2E" w:rsidRPr="00F00B2E">
              <w:rPr>
                <w:b/>
              </w:rPr>
              <w:t>infiltrated</w:t>
            </w:r>
            <w:proofErr w:type="spellEnd"/>
            <w:r w:rsidR="00F00B2E" w:rsidRPr="00F00B2E">
              <w:rPr>
                <w:b/>
              </w:rPr>
              <w:t xml:space="preserve"> by a tumoral </w:t>
            </w:r>
            <w:proofErr w:type="spellStart"/>
            <w:r w:rsidR="00F00B2E" w:rsidRPr="00F00B2E">
              <w:rPr>
                <w:b/>
              </w:rPr>
              <w:t>lesion</w:t>
            </w:r>
            <w:proofErr w:type="spellEnd"/>
            <w:r w:rsidR="00F00B2E" w:rsidRPr="00F00B2E">
              <w:rPr>
                <w:b/>
              </w:rPr>
              <w:t xml:space="preserve"> (n=12)                                                      </w:t>
            </w:r>
            <w:r w:rsidR="00F00B2E">
              <w:rPr>
                <w:b/>
              </w:rPr>
              <w:t xml:space="preserve">                              </w:t>
            </w:r>
            <w:r w:rsidR="00F00B2E" w:rsidRPr="00F00B2E">
              <w:rPr>
                <w:b/>
              </w:rPr>
              <w:t xml:space="preserve"> </w:t>
            </w:r>
            <w:r w:rsidR="00F00B2E" w:rsidRPr="006F32C7">
              <w:rPr>
                <w:rFonts w:cstheme="minorHAnsi"/>
              </w:rPr>
              <w:t>&lt;0.001</w:t>
            </w:r>
            <w:r w:rsidR="00F00B2E"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</w:t>
            </w:r>
          </w:p>
        </w:tc>
      </w:tr>
    </w:tbl>
    <w:p w14:paraId="0DACE482" w14:textId="77777777" w:rsidR="00F00B2E" w:rsidRDefault="00F00B2E" w:rsidP="0029159F">
      <w:pPr>
        <w:pStyle w:val="NormalWeb"/>
        <w:rPr>
          <w:b/>
        </w:rPr>
      </w:pPr>
      <w:r w:rsidRPr="00F00B2E">
        <w:rPr>
          <w:b/>
        </w:rPr>
        <w:t xml:space="preserve">Table </w:t>
      </w:r>
      <w:proofErr w:type="gramStart"/>
      <w:r w:rsidRPr="00F00B2E">
        <w:rPr>
          <w:b/>
        </w:rPr>
        <w:t>1:</w:t>
      </w:r>
      <w:proofErr w:type="gramEnd"/>
      <w:r w:rsidRPr="00F00B2E">
        <w:rPr>
          <w:b/>
        </w:rPr>
        <w:t xml:space="preserve"> </w:t>
      </w:r>
      <w:proofErr w:type="spellStart"/>
      <w:r w:rsidRPr="00F00B2E">
        <w:rPr>
          <w:b/>
        </w:rPr>
        <w:t>Predictive</w:t>
      </w:r>
      <w:proofErr w:type="spellEnd"/>
      <w:r w:rsidRPr="00F00B2E">
        <w:rPr>
          <w:b/>
        </w:rPr>
        <w:t xml:space="preserve"> </w:t>
      </w:r>
      <w:proofErr w:type="spellStart"/>
      <w:r w:rsidRPr="00F00B2E">
        <w:rPr>
          <w:b/>
        </w:rPr>
        <w:t>Factors</w:t>
      </w:r>
      <w:proofErr w:type="spellEnd"/>
      <w:r w:rsidRPr="00F00B2E">
        <w:rPr>
          <w:b/>
        </w:rPr>
        <w:t xml:space="preserve"> of </w:t>
      </w:r>
      <w:proofErr w:type="spellStart"/>
      <w:r w:rsidRPr="00F00B2E">
        <w:rPr>
          <w:b/>
        </w:rPr>
        <w:t>Biliary</w:t>
      </w:r>
      <w:proofErr w:type="spellEnd"/>
      <w:r w:rsidRPr="00F00B2E">
        <w:rPr>
          <w:b/>
        </w:rPr>
        <w:t xml:space="preserve"> </w:t>
      </w:r>
      <w:proofErr w:type="spellStart"/>
      <w:r w:rsidRPr="00F00B2E">
        <w:rPr>
          <w:b/>
        </w:rPr>
        <w:t>Cannulation</w:t>
      </w:r>
      <w:proofErr w:type="spellEnd"/>
      <w:r w:rsidRPr="00F00B2E">
        <w:rPr>
          <w:b/>
        </w:rPr>
        <w:t xml:space="preserve"> Failure</w:t>
      </w:r>
    </w:p>
    <w:p w14:paraId="3CC6F73D" w14:textId="77777777" w:rsidR="00CE5199" w:rsidRDefault="00CE5199" w:rsidP="0029159F">
      <w:pPr>
        <w:pStyle w:val="NormalWeb"/>
        <w:rPr>
          <w:b/>
        </w:rPr>
      </w:pPr>
    </w:p>
    <w:p w14:paraId="3807B8DA" w14:textId="77777777" w:rsidR="00CE5199" w:rsidRDefault="00DC2014" w:rsidP="0029159F">
      <w:pPr>
        <w:pStyle w:val="NormalWeb"/>
        <w:rPr>
          <w:b/>
        </w:rPr>
      </w:pPr>
      <w:r>
        <w:rPr>
          <w:b/>
          <w:noProof/>
          <w:lang w:eastAsia="en-US"/>
        </w:rPr>
        <w:pict w14:anchorId="5BC54ACA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.35pt;margin-top:176pt;width:405.85pt;height:21.4pt;z-index:251663360;mso-width-relative:margin;mso-height-relative:margin" stroked="f">
            <v:textbox>
              <w:txbxContent>
                <w:p w14:paraId="6F36687D" w14:textId="6AA56B02" w:rsidR="00CE5199" w:rsidRPr="00CE5199" w:rsidRDefault="00CE5199" w:rsidP="00CE5199">
                  <w:pPr>
                    <w:spacing w:line="240" w:lineRule="auto"/>
                    <w:ind w:right="-57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CE5199">
                    <w:rPr>
                      <w:rFonts w:cstheme="minorHAnsi"/>
                      <w:b/>
                      <w:sz w:val="20"/>
                      <w:szCs w:val="20"/>
                    </w:rPr>
                    <w:t xml:space="preserve">Figure </w:t>
                  </w:r>
                  <w:r w:rsidR="00210B12">
                    <w:rPr>
                      <w:rFonts w:cstheme="minorHAnsi"/>
                      <w:b/>
                      <w:sz w:val="20"/>
                      <w:szCs w:val="20"/>
                    </w:rPr>
                    <w:t>1</w:t>
                  </w:r>
                  <w:r w:rsidRPr="00CE5199">
                    <w:rPr>
                      <w:rFonts w:cstheme="minorHAnsi"/>
                      <w:b/>
                      <w:sz w:val="20"/>
                      <w:szCs w:val="20"/>
                    </w:rPr>
                    <w:t xml:space="preserve"> : </w:t>
                  </w:r>
                  <w:proofErr w:type="spellStart"/>
                  <w:r w:rsidRPr="00CE5199">
                    <w:rPr>
                      <w:rFonts w:cstheme="minorHAnsi"/>
                      <w:b/>
                      <w:sz w:val="20"/>
                      <w:szCs w:val="20"/>
                    </w:rPr>
                    <w:t>medical</w:t>
                  </w:r>
                  <w:proofErr w:type="spellEnd"/>
                  <w:r w:rsidRPr="00CE5199">
                    <w:rPr>
                      <w:rFonts w:cstheme="minorHAnsi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210B12" w:rsidRPr="00CE5199">
                    <w:rPr>
                      <w:rFonts w:cstheme="minorHAnsi"/>
                      <w:b/>
                      <w:sz w:val="20"/>
                      <w:szCs w:val="20"/>
                    </w:rPr>
                    <w:t>histor</w:t>
                  </w:r>
                  <w:r w:rsidR="00210B12">
                    <w:rPr>
                      <w:rFonts w:cstheme="minorHAnsi"/>
                      <w:b/>
                      <w:sz w:val="20"/>
                      <w:szCs w:val="20"/>
                    </w:rPr>
                    <w:t>y</w:t>
                  </w:r>
                  <w:proofErr w:type="spellEnd"/>
                  <w:r w:rsidRPr="00CE5199">
                    <w:rPr>
                      <w:rFonts w:cstheme="minorHAnsi"/>
                      <w:b/>
                      <w:sz w:val="20"/>
                      <w:szCs w:val="20"/>
                    </w:rPr>
                    <w:t xml:space="preserve">                                                                               figure </w:t>
                  </w:r>
                  <w:r w:rsidR="00210B12">
                    <w:rPr>
                      <w:rFonts w:cstheme="minorHAnsi"/>
                      <w:b/>
                      <w:sz w:val="20"/>
                      <w:szCs w:val="20"/>
                    </w:rPr>
                    <w:t>2</w:t>
                  </w:r>
                  <w:r w:rsidRPr="00CE5199">
                    <w:rPr>
                      <w:rFonts w:cstheme="minorHAnsi"/>
                      <w:b/>
                      <w:sz w:val="20"/>
                      <w:szCs w:val="20"/>
                    </w:rPr>
                    <w:t xml:space="preserve"> : </w:t>
                  </w:r>
                  <w:proofErr w:type="spellStart"/>
                  <w:r w:rsidRPr="00CE5199">
                    <w:rPr>
                      <w:rFonts w:cstheme="minorHAnsi"/>
                      <w:b/>
                      <w:sz w:val="20"/>
                      <w:szCs w:val="20"/>
                    </w:rPr>
                    <w:t>sex</w:t>
                  </w:r>
                  <w:proofErr w:type="spellEnd"/>
                </w:p>
                <w:p w14:paraId="155381D1" w14:textId="77777777" w:rsidR="00CE5199" w:rsidRDefault="00CE5199"/>
              </w:txbxContent>
            </v:textbox>
          </v:shape>
        </w:pict>
      </w:r>
      <w:r w:rsidR="00CE5199" w:rsidRPr="00CE5199">
        <w:rPr>
          <w:b/>
          <w:noProof/>
        </w:rPr>
        <w:drawing>
          <wp:inline distT="0" distB="0" distL="0" distR="0" wp14:anchorId="3AD30E43" wp14:editId="4DD6E2E0">
            <wp:extent cx="3034251" cy="2099145"/>
            <wp:effectExtent l="19050" t="0" r="13749" b="0"/>
            <wp:docPr id="10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CE5199" w:rsidRPr="00CE5199">
        <w:rPr>
          <w:b/>
          <w:noProof/>
        </w:rPr>
        <w:drawing>
          <wp:inline distT="0" distB="0" distL="0" distR="0" wp14:anchorId="47CA909A" wp14:editId="411A4CFF">
            <wp:extent cx="2617939" cy="2099145"/>
            <wp:effectExtent l="19050" t="0" r="10961" b="0"/>
            <wp:docPr id="11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B4B46EF" w14:textId="77777777" w:rsidR="003328F6" w:rsidRDefault="00CE5199" w:rsidP="0029159F">
      <w:pPr>
        <w:pStyle w:val="NormalWeb"/>
        <w:rPr>
          <w:rFonts w:asciiTheme="minorHAnsi" w:hAnsiTheme="minorHAnsi" w:cstheme="minorHAnsi"/>
          <w:b/>
        </w:rPr>
      </w:pPr>
      <w:r w:rsidRPr="00CE5199">
        <w:rPr>
          <w:rFonts w:asciiTheme="minorHAnsi" w:hAnsiTheme="minorHAnsi" w:cstheme="minorHAnsi"/>
          <w:b/>
          <w:noProof/>
        </w:rPr>
        <w:lastRenderedPageBreak/>
        <w:drawing>
          <wp:inline distT="0" distB="0" distL="0" distR="0" wp14:anchorId="29089F71" wp14:editId="4AD96C7F">
            <wp:extent cx="5523795" cy="2280355"/>
            <wp:effectExtent l="19050" t="0" r="19755" b="5645"/>
            <wp:docPr id="5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1ECFA18" w14:textId="77777777" w:rsidR="00CE5199" w:rsidRPr="00CE5199" w:rsidRDefault="00CE5199" w:rsidP="00CE5199">
      <w:pPr>
        <w:spacing w:line="240" w:lineRule="auto"/>
        <w:ind w:right="-57"/>
        <w:rPr>
          <w:rFonts w:cstheme="minorHAnsi"/>
          <w:b/>
          <w:sz w:val="20"/>
          <w:szCs w:val="20"/>
        </w:rPr>
      </w:pPr>
      <w:r w:rsidRPr="00CE5199">
        <w:rPr>
          <w:rFonts w:cstheme="minorHAnsi"/>
          <w:b/>
          <w:sz w:val="20"/>
          <w:szCs w:val="20"/>
        </w:rPr>
        <w:t>Figure 3 : indication of ERCP</w:t>
      </w:r>
    </w:p>
    <w:p w14:paraId="6B433831" w14:textId="77777777" w:rsidR="00CE5199" w:rsidRDefault="002E1953" w:rsidP="000E53EF">
      <w:pPr>
        <w:pStyle w:val="NormalWeb"/>
        <w:spacing w:after="120" w:afterAutospacing="0"/>
        <w:rPr>
          <w:rStyle w:val="Strong"/>
          <w:rFonts w:asciiTheme="minorHAnsi" w:hAnsiTheme="minorHAnsi" w:cstheme="minorHAnsi"/>
          <w:sz w:val="28"/>
        </w:rPr>
      </w:pPr>
      <w:proofErr w:type="gramStart"/>
      <w:r w:rsidRPr="000E53EF">
        <w:rPr>
          <w:rStyle w:val="Strong"/>
          <w:rFonts w:asciiTheme="minorHAnsi" w:hAnsiTheme="minorHAnsi" w:cstheme="minorHAnsi"/>
          <w:sz w:val="28"/>
        </w:rPr>
        <w:t>Discussion:</w:t>
      </w:r>
      <w:proofErr w:type="gramEnd"/>
    </w:p>
    <w:p w14:paraId="0CCFA8F7" w14:textId="77777777" w:rsidR="00CE5199" w:rsidRPr="00051F9F" w:rsidRDefault="00CE5199" w:rsidP="00CE519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 w:rsidRPr="00051F9F">
        <w:rPr>
          <w:rFonts w:asciiTheme="minorHAnsi" w:hAnsiTheme="minorHAnsi" w:cstheme="minorHAnsi"/>
        </w:rPr>
        <w:t>Interventional</w:t>
      </w:r>
      <w:proofErr w:type="spellEnd"/>
      <w:r w:rsidRPr="00051F9F">
        <w:rPr>
          <w:rFonts w:asciiTheme="minorHAnsi" w:hAnsiTheme="minorHAnsi" w:cstheme="minorHAnsi"/>
        </w:rPr>
        <w:t xml:space="preserve"> </w:t>
      </w:r>
      <w:proofErr w:type="spellStart"/>
      <w:r w:rsidRPr="00051F9F">
        <w:rPr>
          <w:rFonts w:asciiTheme="minorHAnsi" w:hAnsiTheme="minorHAnsi" w:cstheme="minorHAnsi"/>
        </w:rPr>
        <w:t>endoscopy</w:t>
      </w:r>
      <w:proofErr w:type="spellEnd"/>
      <w:r w:rsidRPr="00051F9F">
        <w:rPr>
          <w:rFonts w:asciiTheme="minorHAnsi" w:hAnsiTheme="minorHAnsi" w:cstheme="minorHAnsi"/>
        </w:rPr>
        <w:t xml:space="preserve"> has </w:t>
      </w:r>
      <w:proofErr w:type="spellStart"/>
      <w:r w:rsidRPr="00051F9F">
        <w:rPr>
          <w:rFonts w:asciiTheme="minorHAnsi" w:hAnsiTheme="minorHAnsi" w:cstheme="minorHAnsi"/>
        </w:rPr>
        <w:t>revolutionized</w:t>
      </w:r>
      <w:proofErr w:type="spellEnd"/>
      <w:r w:rsidRPr="00051F9F">
        <w:rPr>
          <w:rFonts w:asciiTheme="minorHAnsi" w:hAnsiTheme="minorHAnsi" w:cstheme="minorHAnsi"/>
        </w:rPr>
        <w:t xml:space="preserve"> the management of </w:t>
      </w:r>
      <w:proofErr w:type="spellStart"/>
      <w:r w:rsidRPr="00051F9F">
        <w:rPr>
          <w:rFonts w:asciiTheme="minorHAnsi" w:hAnsiTheme="minorHAnsi" w:cstheme="minorHAnsi"/>
        </w:rPr>
        <w:t>biliary</w:t>
      </w:r>
      <w:proofErr w:type="spellEnd"/>
      <w:r w:rsidRPr="00051F9F">
        <w:rPr>
          <w:rFonts w:asciiTheme="minorHAnsi" w:hAnsiTheme="minorHAnsi" w:cstheme="minorHAnsi"/>
        </w:rPr>
        <w:t xml:space="preserve"> tract </w:t>
      </w:r>
      <w:proofErr w:type="spellStart"/>
      <w:r w:rsidRPr="00051F9F">
        <w:rPr>
          <w:rFonts w:asciiTheme="minorHAnsi" w:hAnsiTheme="minorHAnsi" w:cstheme="minorHAnsi"/>
        </w:rPr>
        <w:t>diseases</w:t>
      </w:r>
      <w:proofErr w:type="spellEnd"/>
      <w:r w:rsidRPr="00051F9F">
        <w:rPr>
          <w:rFonts w:asciiTheme="minorHAnsi" w:hAnsiTheme="minorHAnsi" w:cstheme="minorHAnsi"/>
        </w:rPr>
        <w:t xml:space="preserve"> by </w:t>
      </w:r>
      <w:proofErr w:type="spellStart"/>
      <w:r w:rsidRPr="00051F9F">
        <w:rPr>
          <w:rFonts w:asciiTheme="minorHAnsi" w:hAnsiTheme="minorHAnsi" w:cstheme="minorHAnsi"/>
        </w:rPr>
        <w:t>reducing</w:t>
      </w:r>
      <w:proofErr w:type="spellEnd"/>
      <w:r w:rsidRPr="00051F9F">
        <w:rPr>
          <w:rFonts w:asciiTheme="minorHAnsi" w:hAnsiTheme="minorHAnsi" w:cstheme="minorHAnsi"/>
        </w:rPr>
        <w:t xml:space="preserve"> the </w:t>
      </w:r>
      <w:proofErr w:type="spellStart"/>
      <w:r w:rsidRPr="00051F9F">
        <w:rPr>
          <w:rFonts w:asciiTheme="minorHAnsi" w:hAnsiTheme="minorHAnsi" w:cstheme="minorHAnsi"/>
        </w:rPr>
        <w:t>risk</w:t>
      </w:r>
      <w:proofErr w:type="spellEnd"/>
      <w:r w:rsidRPr="00051F9F">
        <w:rPr>
          <w:rFonts w:asciiTheme="minorHAnsi" w:hAnsiTheme="minorHAnsi" w:cstheme="minorHAnsi"/>
        </w:rPr>
        <w:t xml:space="preserve"> of complications and </w:t>
      </w:r>
      <w:proofErr w:type="spellStart"/>
      <w:r w:rsidRPr="00051F9F">
        <w:rPr>
          <w:rFonts w:asciiTheme="minorHAnsi" w:hAnsiTheme="minorHAnsi" w:cstheme="minorHAnsi"/>
        </w:rPr>
        <w:t>shortening</w:t>
      </w:r>
      <w:proofErr w:type="spellEnd"/>
      <w:r w:rsidRPr="00051F9F">
        <w:rPr>
          <w:rFonts w:asciiTheme="minorHAnsi" w:hAnsiTheme="minorHAnsi" w:cstheme="minorHAnsi"/>
        </w:rPr>
        <w:t xml:space="preserve"> </w:t>
      </w:r>
      <w:proofErr w:type="spellStart"/>
      <w:r w:rsidRPr="00051F9F">
        <w:rPr>
          <w:rFonts w:asciiTheme="minorHAnsi" w:hAnsiTheme="minorHAnsi" w:cstheme="minorHAnsi"/>
        </w:rPr>
        <w:t>hospital</w:t>
      </w:r>
      <w:proofErr w:type="spellEnd"/>
      <w:r w:rsidRPr="00051F9F">
        <w:rPr>
          <w:rFonts w:asciiTheme="minorHAnsi" w:hAnsiTheme="minorHAnsi" w:cstheme="minorHAnsi"/>
        </w:rPr>
        <w:t xml:space="preserve"> </w:t>
      </w:r>
      <w:proofErr w:type="spellStart"/>
      <w:r w:rsidRPr="00051F9F">
        <w:rPr>
          <w:rFonts w:asciiTheme="minorHAnsi" w:hAnsiTheme="minorHAnsi" w:cstheme="minorHAnsi"/>
        </w:rPr>
        <w:t>stays</w:t>
      </w:r>
      <w:proofErr w:type="spellEnd"/>
      <w:r w:rsidRPr="00051F9F">
        <w:rPr>
          <w:rFonts w:asciiTheme="minorHAnsi" w:hAnsiTheme="minorHAnsi" w:cstheme="minorHAnsi"/>
        </w:rPr>
        <w:t xml:space="preserve">. </w:t>
      </w:r>
      <w:proofErr w:type="spellStart"/>
      <w:r w:rsidRPr="00051F9F">
        <w:rPr>
          <w:rFonts w:asciiTheme="minorHAnsi" w:hAnsiTheme="minorHAnsi" w:cstheme="minorHAnsi"/>
        </w:rPr>
        <w:t>However</w:t>
      </w:r>
      <w:proofErr w:type="spellEnd"/>
      <w:r w:rsidRPr="00051F9F">
        <w:rPr>
          <w:rFonts w:asciiTheme="minorHAnsi" w:hAnsiTheme="minorHAnsi" w:cstheme="minorHAnsi"/>
        </w:rPr>
        <w:t xml:space="preserve">, </w:t>
      </w:r>
      <w:proofErr w:type="spellStart"/>
      <w:r w:rsidRPr="00051F9F">
        <w:rPr>
          <w:rFonts w:asciiTheme="minorHAnsi" w:hAnsiTheme="minorHAnsi" w:cstheme="minorHAnsi"/>
        </w:rPr>
        <w:t>perioperative</w:t>
      </w:r>
      <w:proofErr w:type="spellEnd"/>
      <w:r w:rsidRPr="00051F9F">
        <w:rPr>
          <w:rFonts w:asciiTheme="minorHAnsi" w:hAnsiTheme="minorHAnsi" w:cstheme="minorHAnsi"/>
        </w:rPr>
        <w:t xml:space="preserve"> </w:t>
      </w:r>
      <w:proofErr w:type="spellStart"/>
      <w:r w:rsidRPr="00051F9F">
        <w:rPr>
          <w:rFonts w:asciiTheme="minorHAnsi" w:hAnsiTheme="minorHAnsi" w:cstheme="minorHAnsi"/>
        </w:rPr>
        <w:t>risks</w:t>
      </w:r>
      <w:proofErr w:type="spellEnd"/>
      <w:r w:rsidRPr="00051F9F">
        <w:rPr>
          <w:rFonts w:asciiTheme="minorHAnsi" w:hAnsiTheme="minorHAnsi" w:cstheme="minorHAnsi"/>
        </w:rPr>
        <w:t xml:space="preserve"> have been </w:t>
      </w:r>
      <w:proofErr w:type="spellStart"/>
      <w:r w:rsidRPr="00051F9F">
        <w:rPr>
          <w:rFonts w:asciiTheme="minorHAnsi" w:hAnsiTheme="minorHAnsi" w:cstheme="minorHAnsi"/>
        </w:rPr>
        <w:t>reported</w:t>
      </w:r>
      <w:proofErr w:type="spellEnd"/>
      <w:r w:rsidRPr="00051F9F">
        <w:rPr>
          <w:rFonts w:asciiTheme="minorHAnsi" w:hAnsiTheme="minorHAnsi" w:cstheme="minorHAnsi"/>
        </w:rPr>
        <w:t xml:space="preserve">, </w:t>
      </w:r>
      <w:proofErr w:type="spellStart"/>
      <w:r w:rsidRPr="00051F9F">
        <w:rPr>
          <w:rFonts w:asciiTheme="minorHAnsi" w:hAnsiTheme="minorHAnsi" w:cstheme="minorHAnsi"/>
        </w:rPr>
        <w:t>including</w:t>
      </w:r>
      <w:proofErr w:type="spellEnd"/>
      <w:r w:rsidRPr="00051F9F">
        <w:rPr>
          <w:rFonts w:asciiTheme="minorHAnsi" w:hAnsiTheme="minorHAnsi" w:cstheme="minorHAnsi"/>
        </w:rPr>
        <w:t xml:space="preserve"> perforations, </w:t>
      </w:r>
      <w:proofErr w:type="spellStart"/>
      <w:r w:rsidRPr="00051F9F">
        <w:rPr>
          <w:rFonts w:asciiTheme="minorHAnsi" w:hAnsiTheme="minorHAnsi" w:cstheme="minorHAnsi"/>
        </w:rPr>
        <w:t>hemorrhages</w:t>
      </w:r>
      <w:proofErr w:type="spellEnd"/>
      <w:r w:rsidRPr="00051F9F">
        <w:rPr>
          <w:rFonts w:asciiTheme="minorHAnsi" w:hAnsiTheme="minorHAnsi" w:cstheme="minorHAnsi"/>
        </w:rPr>
        <w:t xml:space="preserve">, post-ERCP acute </w:t>
      </w:r>
      <w:proofErr w:type="spellStart"/>
      <w:r w:rsidRPr="00051F9F">
        <w:rPr>
          <w:rFonts w:asciiTheme="minorHAnsi" w:hAnsiTheme="minorHAnsi" w:cstheme="minorHAnsi"/>
        </w:rPr>
        <w:t>pancreatitis</w:t>
      </w:r>
      <w:proofErr w:type="spellEnd"/>
      <w:r w:rsidRPr="00051F9F">
        <w:rPr>
          <w:rFonts w:asciiTheme="minorHAnsi" w:hAnsiTheme="minorHAnsi" w:cstheme="minorHAnsi"/>
        </w:rPr>
        <w:t xml:space="preserve">, and </w:t>
      </w:r>
      <w:proofErr w:type="spellStart"/>
      <w:r w:rsidRPr="00051F9F">
        <w:rPr>
          <w:rFonts w:asciiTheme="minorHAnsi" w:hAnsiTheme="minorHAnsi" w:cstheme="minorHAnsi"/>
        </w:rPr>
        <w:t>notably</w:t>
      </w:r>
      <w:proofErr w:type="spellEnd"/>
      <w:r w:rsidRPr="00051F9F">
        <w:rPr>
          <w:rFonts w:asciiTheme="minorHAnsi" w:hAnsiTheme="minorHAnsi" w:cstheme="minorHAnsi"/>
        </w:rPr>
        <w:t xml:space="preserve">, </w:t>
      </w:r>
      <w:proofErr w:type="spellStart"/>
      <w:r w:rsidRPr="00051F9F">
        <w:rPr>
          <w:rFonts w:asciiTheme="minorHAnsi" w:hAnsiTheme="minorHAnsi" w:cstheme="minorHAnsi"/>
        </w:rPr>
        <w:t>failure</w:t>
      </w:r>
      <w:proofErr w:type="spellEnd"/>
      <w:r w:rsidRPr="00051F9F">
        <w:rPr>
          <w:rFonts w:asciiTheme="minorHAnsi" w:hAnsiTheme="minorHAnsi" w:cstheme="minorHAnsi"/>
        </w:rPr>
        <w:t xml:space="preserve"> of </w:t>
      </w:r>
      <w:proofErr w:type="spellStart"/>
      <w:r w:rsidRPr="00051F9F">
        <w:rPr>
          <w:rFonts w:asciiTheme="minorHAnsi" w:hAnsiTheme="minorHAnsi" w:cstheme="minorHAnsi"/>
        </w:rPr>
        <w:t>biliary</w:t>
      </w:r>
      <w:proofErr w:type="spellEnd"/>
      <w:r w:rsidRPr="00051F9F">
        <w:rPr>
          <w:rFonts w:asciiTheme="minorHAnsi" w:hAnsiTheme="minorHAnsi" w:cstheme="minorHAnsi"/>
        </w:rPr>
        <w:t xml:space="preserve"> </w:t>
      </w:r>
      <w:proofErr w:type="spellStart"/>
      <w:r w:rsidRPr="00051F9F">
        <w:rPr>
          <w:rFonts w:asciiTheme="minorHAnsi" w:hAnsiTheme="minorHAnsi" w:cstheme="minorHAnsi"/>
        </w:rPr>
        <w:t>cannulation</w:t>
      </w:r>
      <w:proofErr w:type="spellEnd"/>
      <w:r w:rsidRPr="00051F9F">
        <w:rPr>
          <w:rFonts w:asciiTheme="minorHAnsi" w:hAnsiTheme="minorHAnsi" w:cstheme="minorHAnsi"/>
        </w:rPr>
        <w:t xml:space="preserve"> </w:t>
      </w:r>
      <w:proofErr w:type="spellStart"/>
      <w:r w:rsidRPr="00051F9F">
        <w:rPr>
          <w:rFonts w:asciiTheme="minorHAnsi" w:hAnsiTheme="minorHAnsi" w:cstheme="minorHAnsi"/>
        </w:rPr>
        <w:t>during</w:t>
      </w:r>
      <w:proofErr w:type="spellEnd"/>
      <w:r w:rsidRPr="00051F9F">
        <w:rPr>
          <w:rFonts w:asciiTheme="minorHAnsi" w:hAnsiTheme="minorHAnsi" w:cstheme="minorHAnsi"/>
        </w:rPr>
        <w:t xml:space="preserve"> the </w:t>
      </w:r>
      <w:proofErr w:type="spellStart"/>
      <w:r w:rsidRPr="00051F9F">
        <w:rPr>
          <w:rFonts w:asciiTheme="minorHAnsi" w:hAnsiTheme="minorHAnsi" w:cstheme="minorHAnsi"/>
        </w:rPr>
        <w:t>procedure</w:t>
      </w:r>
      <w:proofErr w:type="spellEnd"/>
      <w:r w:rsidRPr="00051F9F">
        <w:rPr>
          <w:rFonts w:asciiTheme="minorHAnsi" w:hAnsiTheme="minorHAnsi" w:cstheme="minorHAnsi"/>
        </w:rPr>
        <w:t>.</w:t>
      </w:r>
    </w:p>
    <w:p w14:paraId="1591B445" w14:textId="77777777" w:rsidR="00CE5199" w:rsidRPr="00051F9F" w:rsidRDefault="00CE5199" w:rsidP="00CE519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11BD78CF" w14:textId="77777777" w:rsidR="009C2279" w:rsidRPr="00051F9F" w:rsidRDefault="00CE5199" w:rsidP="00CE519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 w:rsidRPr="00051F9F">
        <w:rPr>
          <w:rFonts w:asciiTheme="minorHAnsi" w:hAnsiTheme="minorHAnsi" w:cstheme="minorHAnsi"/>
        </w:rPr>
        <w:t>According</w:t>
      </w:r>
      <w:proofErr w:type="spellEnd"/>
      <w:r w:rsidRPr="00051F9F">
        <w:rPr>
          <w:rFonts w:asciiTheme="minorHAnsi" w:hAnsiTheme="minorHAnsi" w:cstheme="minorHAnsi"/>
        </w:rPr>
        <w:t xml:space="preserve"> to the </w:t>
      </w:r>
      <w:proofErr w:type="spellStart"/>
      <w:r w:rsidRPr="00051F9F">
        <w:rPr>
          <w:rFonts w:asciiTheme="minorHAnsi" w:hAnsiTheme="minorHAnsi" w:cstheme="minorHAnsi"/>
        </w:rPr>
        <w:t>European</w:t>
      </w:r>
      <w:proofErr w:type="spellEnd"/>
      <w:r w:rsidRPr="00051F9F">
        <w:rPr>
          <w:rFonts w:asciiTheme="minorHAnsi" w:hAnsiTheme="minorHAnsi" w:cstheme="minorHAnsi"/>
        </w:rPr>
        <w:t xml:space="preserve"> Society of Gastrointestinal </w:t>
      </w:r>
      <w:proofErr w:type="spellStart"/>
      <w:r w:rsidRPr="00051F9F">
        <w:rPr>
          <w:rFonts w:asciiTheme="minorHAnsi" w:hAnsiTheme="minorHAnsi" w:cstheme="minorHAnsi"/>
        </w:rPr>
        <w:t>Endoscopy</w:t>
      </w:r>
      <w:proofErr w:type="spellEnd"/>
      <w:r w:rsidRPr="00051F9F">
        <w:rPr>
          <w:rFonts w:asciiTheme="minorHAnsi" w:hAnsiTheme="minorHAnsi" w:cstheme="minorHAnsi"/>
        </w:rPr>
        <w:t xml:space="preserve"> (ESGE), </w:t>
      </w:r>
      <w:proofErr w:type="spellStart"/>
      <w:r w:rsidRPr="00051F9F">
        <w:rPr>
          <w:rFonts w:asciiTheme="minorHAnsi" w:hAnsiTheme="minorHAnsi" w:cstheme="minorHAnsi"/>
        </w:rPr>
        <w:t>failure</w:t>
      </w:r>
      <w:proofErr w:type="spellEnd"/>
      <w:r w:rsidRPr="00051F9F">
        <w:rPr>
          <w:rFonts w:asciiTheme="minorHAnsi" w:hAnsiTheme="minorHAnsi" w:cstheme="minorHAnsi"/>
        </w:rPr>
        <w:t xml:space="preserve"> of </w:t>
      </w:r>
      <w:proofErr w:type="spellStart"/>
      <w:r w:rsidRPr="00051F9F">
        <w:rPr>
          <w:rFonts w:asciiTheme="minorHAnsi" w:hAnsiTheme="minorHAnsi" w:cstheme="minorHAnsi"/>
        </w:rPr>
        <w:t>biliary</w:t>
      </w:r>
      <w:proofErr w:type="spellEnd"/>
      <w:r w:rsidRPr="00051F9F">
        <w:rPr>
          <w:rFonts w:asciiTheme="minorHAnsi" w:hAnsiTheme="minorHAnsi" w:cstheme="minorHAnsi"/>
        </w:rPr>
        <w:t xml:space="preserve"> </w:t>
      </w:r>
      <w:proofErr w:type="spellStart"/>
      <w:r w:rsidRPr="00051F9F">
        <w:rPr>
          <w:rFonts w:asciiTheme="minorHAnsi" w:hAnsiTheme="minorHAnsi" w:cstheme="minorHAnsi"/>
        </w:rPr>
        <w:t>cannulation</w:t>
      </w:r>
      <w:proofErr w:type="spellEnd"/>
      <w:r w:rsidRPr="00051F9F">
        <w:rPr>
          <w:rFonts w:asciiTheme="minorHAnsi" w:hAnsiTheme="minorHAnsi" w:cstheme="minorHAnsi"/>
        </w:rPr>
        <w:t xml:space="preserve"> </w:t>
      </w:r>
      <w:proofErr w:type="spellStart"/>
      <w:r w:rsidRPr="00051F9F">
        <w:rPr>
          <w:rFonts w:asciiTheme="minorHAnsi" w:hAnsiTheme="minorHAnsi" w:cstheme="minorHAnsi"/>
        </w:rPr>
        <w:t>is</w:t>
      </w:r>
      <w:proofErr w:type="spellEnd"/>
      <w:r w:rsidRPr="00051F9F">
        <w:rPr>
          <w:rFonts w:asciiTheme="minorHAnsi" w:hAnsiTheme="minorHAnsi" w:cstheme="minorHAnsi"/>
        </w:rPr>
        <w:t xml:space="preserve"> a notable complication, </w:t>
      </w:r>
      <w:proofErr w:type="spellStart"/>
      <w:r w:rsidRPr="00051F9F">
        <w:rPr>
          <w:rFonts w:asciiTheme="minorHAnsi" w:hAnsiTheme="minorHAnsi" w:cstheme="minorHAnsi"/>
        </w:rPr>
        <w:t>occurring</w:t>
      </w:r>
      <w:proofErr w:type="spellEnd"/>
      <w:r w:rsidRPr="00051F9F">
        <w:rPr>
          <w:rFonts w:asciiTheme="minorHAnsi" w:hAnsiTheme="minorHAnsi" w:cstheme="minorHAnsi"/>
        </w:rPr>
        <w:t xml:space="preserve"> in </w:t>
      </w:r>
      <w:proofErr w:type="spellStart"/>
      <w:r w:rsidRPr="00051F9F">
        <w:rPr>
          <w:rFonts w:asciiTheme="minorHAnsi" w:hAnsiTheme="minorHAnsi" w:cstheme="minorHAnsi"/>
        </w:rPr>
        <w:t>approximately</w:t>
      </w:r>
      <w:proofErr w:type="spellEnd"/>
      <w:r w:rsidRPr="00051F9F">
        <w:rPr>
          <w:rFonts w:asciiTheme="minorHAnsi" w:hAnsiTheme="minorHAnsi" w:cstheme="minorHAnsi"/>
        </w:rPr>
        <w:t xml:space="preserve"> 5 to 20% of </w:t>
      </w:r>
      <w:proofErr w:type="spellStart"/>
      <w:r w:rsidRPr="00051F9F">
        <w:rPr>
          <w:rFonts w:asciiTheme="minorHAnsi" w:hAnsiTheme="minorHAnsi" w:cstheme="minorHAnsi"/>
        </w:rPr>
        <w:t>procedures</w:t>
      </w:r>
      <w:proofErr w:type="spellEnd"/>
      <w:r w:rsidRPr="00051F9F">
        <w:rPr>
          <w:rFonts w:asciiTheme="minorHAnsi" w:hAnsiTheme="minorHAnsi" w:cstheme="minorHAnsi"/>
        </w:rPr>
        <w:t xml:space="preserve">, </w:t>
      </w:r>
      <w:proofErr w:type="spellStart"/>
      <w:r w:rsidRPr="00051F9F">
        <w:rPr>
          <w:rFonts w:asciiTheme="minorHAnsi" w:hAnsiTheme="minorHAnsi" w:cstheme="minorHAnsi"/>
        </w:rPr>
        <w:t>even</w:t>
      </w:r>
      <w:proofErr w:type="spellEnd"/>
      <w:r w:rsidRPr="00051F9F">
        <w:rPr>
          <w:rFonts w:asciiTheme="minorHAnsi" w:hAnsiTheme="minorHAnsi" w:cstheme="minorHAnsi"/>
        </w:rPr>
        <w:t xml:space="preserve"> in </w:t>
      </w:r>
      <w:proofErr w:type="spellStart"/>
      <w:r w:rsidRPr="00051F9F">
        <w:rPr>
          <w:rFonts w:asciiTheme="minorHAnsi" w:hAnsiTheme="minorHAnsi" w:cstheme="minorHAnsi"/>
        </w:rPr>
        <w:t>specialized</w:t>
      </w:r>
      <w:proofErr w:type="spellEnd"/>
      <w:r w:rsidRPr="00051F9F">
        <w:rPr>
          <w:rFonts w:asciiTheme="minorHAnsi" w:hAnsiTheme="minorHAnsi" w:cstheme="minorHAnsi"/>
        </w:rPr>
        <w:t xml:space="preserve"> centers</w:t>
      </w:r>
      <w:r w:rsidR="009C2279" w:rsidRPr="00051F9F">
        <w:rPr>
          <w:rFonts w:asciiTheme="minorHAnsi" w:hAnsiTheme="minorHAnsi" w:cstheme="minorHAnsi"/>
        </w:rPr>
        <w:t xml:space="preserve"> </w:t>
      </w:r>
      <w:r w:rsidR="009C2279" w:rsidRPr="00051F9F">
        <w:rPr>
          <w:rFonts w:asciiTheme="minorHAnsi" w:hAnsiTheme="minorHAnsi" w:cstheme="minorHAnsi"/>
          <w:b/>
        </w:rPr>
        <w:t>[5].</w:t>
      </w:r>
    </w:p>
    <w:p w14:paraId="2CD06A74" w14:textId="77777777" w:rsidR="00CE5199" w:rsidRPr="00051F9F" w:rsidRDefault="00CE5199" w:rsidP="00CE519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 w:rsidRPr="00051F9F">
        <w:rPr>
          <w:rFonts w:asciiTheme="minorHAnsi" w:hAnsiTheme="minorHAnsi" w:cstheme="minorHAnsi"/>
        </w:rPr>
        <w:t>Compared</w:t>
      </w:r>
      <w:proofErr w:type="spellEnd"/>
      <w:r w:rsidRPr="00051F9F">
        <w:rPr>
          <w:rFonts w:asciiTheme="minorHAnsi" w:hAnsiTheme="minorHAnsi" w:cstheme="minorHAnsi"/>
        </w:rPr>
        <w:t xml:space="preserve"> to </w:t>
      </w:r>
      <w:proofErr w:type="spellStart"/>
      <w:r w:rsidRPr="00051F9F">
        <w:rPr>
          <w:rFonts w:asciiTheme="minorHAnsi" w:hAnsiTheme="minorHAnsi" w:cstheme="minorHAnsi"/>
        </w:rPr>
        <w:t>our</w:t>
      </w:r>
      <w:proofErr w:type="spellEnd"/>
      <w:r w:rsidRPr="00051F9F">
        <w:rPr>
          <w:rFonts w:asciiTheme="minorHAnsi" w:hAnsiTheme="minorHAnsi" w:cstheme="minorHAnsi"/>
        </w:rPr>
        <w:t xml:space="preserve"> </w:t>
      </w:r>
      <w:proofErr w:type="spellStart"/>
      <w:r w:rsidRPr="00051F9F">
        <w:rPr>
          <w:rFonts w:asciiTheme="minorHAnsi" w:hAnsiTheme="minorHAnsi" w:cstheme="minorHAnsi"/>
        </w:rPr>
        <w:t>study</w:t>
      </w:r>
      <w:proofErr w:type="spellEnd"/>
      <w:r w:rsidRPr="00051F9F">
        <w:rPr>
          <w:rFonts w:asciiTheme="minorHAnsi" w:hAnsiTheme="minorHAnsi" w:cstheme="minorHAnsi"/>
        </w:rPr>
        <w:t xml:space="preserve">, the </w:t>
      </w:r>
      <w:proofErr w:type="spellStart"/>
      <w:r w:rsidRPr="00051F9F">
        <w:rPr>
          <w:rFonts w:asciiTheme="minorHAnsi" w:hAnsiTheme="minorHAnsi" w:cstheme="minorHAnsi"/>
        </w:rPr>
        <w:t>biliary</w:t>
      </w:r>
      <w:proofErr w:type="spellEnd"/>
      <w:r w:rsidRPr="00051F9F">
        <w:rPr>
          <w:rFonts w:asciiTheme="minorHAnsi" w:hAnsiTheme="minorHAnsi" w:cstheme="minorHAnsi"/>
        </w:rPr>
        <w:t xml:space="preserve"> </w:t>
      </w:r>
      <w:proofErr w:type="spellStart"/>
      <w:r w:rsidRPr="00051F9F">
        <w:rPr>
          <w:rFonts w:asciiTheme="minorHAnsi" w:hAnsiTheme="minorHAnsi" w:cstheme="minorHAnsi"/>
        </w:rPr>
        <w:t>cannulation</w:t>
      </w:r>
      <w:proofErr w:type="spellEnd"/>
      <w:r w:rsidRPr="00051F9F">
        <w:rPr>
          <w:rFonts w:asciiTheme="minorHAnsi" w:hAnsiTheme="minorHAnsi" w:cstheme="minorHAnsi"/>
        </w:rPr>
        <w:t xml:space="preserve"> </w:t>
      </w:r>
      <w:proofErr w:type="spellStart"/>
      <w:r w:rsidRPr="00051F9F">
        <w:rPr>
          <w:rFonts w:asciiTheme="minorHAnsi" w:hAnsiTheme="minorHAnsi" w:cstheme="minorHAnsi"/>
        </w:rPr>
        <w:t>failure</w:t>
      </w:r>
      <w:proofErr w:type="spellEnd"/>
      <w:r w:rsidRPr="00051F9F">
        <w:rPr>
          <w:rFonts w:asciiTheme="minorHAnsi" w:hAnsiTheme="minorHAnsi" w:cstheme="minorHAnsi"/>
        </w:rPr>
        <w:t xml:space="preserve"> rate </w:t>
      </w:r>
      <w:proofErr w:type="spellStart"/>
      <w:r w:rsidRPr="00051F9F">
        <w:rPr>
          <w:rFonts w:asciiTheme="minorHAnsi" w:hAnsiTheme="minorHAnsi" w:cstheme="minorHAnsi"/>
        </w:rPr>
        <w:t>was</w:t>
      </w:r>
      <w:proofErr w:type="spellEnd"/>
      <w:r w:rsidRPr="00051F9F">
        <w:rPr>
          <w:rFonts w:asciiTheme="minorHAnsi" w:hAnsiTheme="minorHAnsi" w:cstheme="minorHAnsi"/>
        </w:rPr>
        <w:t xml:space="preserve"> 7%, </w:t>
      </w:r>
      <w:proofErr w:type="spellStart"/>
      <w:r w:rsidRPr="00051F9F">
        <w:rPr>
          <w:rFonts w:asciiTheme="minorHAnsi" w:hAnsiTheme="minorHAnsi" w:cstheme="minorHAnsi"/>
        </w:rPr>
        <w:t>which</w:t>
      </w:r>
      <w:proofErr w:type="spellEnd"/>
      <w:r w:rsidRPr="00051F9F">
        <w:rPr>
          <w:rFonts w:asciiTheme="minorHAnsi" w:hAnsiTheme="minorHAnsi" w:cstheme="minorHAnsi"/>
        </w:rPr>
        <w:t xml:space="preserve"> </w:t>
      </w:r>
      <w:proofErr w:type="spellStart"/>
      <w:r w:rsidRPr="00051F9F">
        <w:rPr>
          <w:rFonts w:asciiTheme="minorHAnsi" w:hAnsiTheme="minorHAnsi" w:cstheme="minorHAnsi"/>
        </w:rPr>
        <w:t>is</w:t>
      </w:r>
      <w:proofErr w:type="spellEnd"/>
      <w:r w:rsidRPr="00051F9F">
        <w:rPr>
          <w:rFonts w:asciiTheme="minorHAnsi" w:hAnsiTheme="minorHAnsi" w:cstheme="minorHAnsi"/>
        </w:rPr>
        <w:t xml:space="preserve"> consistent </w:t>
      </w:r>
      <w:proofErr w:type="spellStart"/>
      <w:r w:rsidRPr="00051F9F">
        <w:rPr>
          <w:rFonts w:asciiTheme="minorHAnsi" w:hAnsiTheme="minorHAnsi" w:cstheme="minorHAnsi"/>
        </w:rPr>
        <w:t>with</w:t>
      </w:r>
      <w:proofErr w:type="spellEnd"/>
      <w:r w:rsidRPr="00051F9F">
        <w:rPr>
          <w:rFonts w:asciiTheme="minorHAnsi" w:hAnsiTheme="minorHAnsi" w:cstheme="minorHAnsi"/>
        </w:rPr>
        <w:t xml:space="preserve"> data </w:t>
      </w:r>
      <w:proofErr w:type="spellStart"/>
      <w:r w:rsidRPr="00051F9F">
        <w:rPr>
          <w:rFonts w:asciiTheme="minorHAnsi" w:hAnsiTheme="minorHAnsi" w:cstheme="minorHAnsi"/>
        </w:rPr>
        <w:t>reported</w:t>
      </w:r>
      <w:proofErr w:type="spellEnd"/>
      <w:r w:rsidRPr="00051F9F">
        <w:rPr>
          <w:rFonts w:asciiTheme="minorHAnsi" w:hAnsiTheme="minorHAnsi" w:cstheme="minorHAnsi"/>
        </w:rPr>
        <w:t xml:space="preserve"> in the </w:t>
      </w:r>
      <w:proofErr w:type="spellStart"/>
      <w:r w:rsidRPr="00051F9F">
        <w:rPr>
          <w:rFonts w:asciiTheme="minorHAnsi" w:hAnsiTheme="minorHAnsi" w:cstheme="minorHAnsi"/>
        </w:rPr>
        <w:t>literature</w:t>
      </w:r>
      <w:proofErr w:type="spellEnd"/>
      <w:r w:rsidRPr="00051F9F">
        <w:rPr>
          <w:rFonts w:asciiTheme="minorHAnsi" w:hAnsiTheme="minorHAnsi" w:cstheme="minorHAnsi"/>
        </w:rPr>
        <w:t>.</w:t>
      </w:r>
    </w:p>
    <w:p w14:paraId="5290A208" w14:textId="77777777" w:rsidR="00CE5199" w:rsidRPr="00051F9F" w:rsidRDefault="00CE5199" w:rsidP="00CE519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051F9F">
        <w:rPr>
          <w:rFonts w:asciiTheme="minorHAnsi" w:hAnsiTheme="minorHAnsi" w:cstheme="minorHAnsi"/>
        </w:rPr>
        <w:br/>
        <w:t xml:space="preserve">In a prospective </w:t>
      </w:r>
      <w:proofErr w:type="spellStart"/>
      <w:r w:rsidRPr="00051F9F">
        <w:rPr>
          <w:rFonts w:asciiTheme="minorHAnsi" w:hAnsiTheme="minorHAnsi" w:cstheme="minorHAnsi"/>
        </w:rPr>
        <w:t>multicenter</w:t>
      </w:r>
      <w:proofErr w:type="spellEnd"/>
      <w:r w:rsidRPr="00051F9F">
        <w:rPr>
          <w:rFonts w:asciiTheme="minorHAnsi" w:hAnsiTheme="minorHAnsi" w:cstheme="minorHAnsi"/>
        </w:rPr>
        <w:t xml:space="preserve"> </w:t>
      </w:r>
      <w:proofErr w:type="spellStart"/>
      <w:r w:rsidRPr="00051F9F">
        <w:rPr>
          <w:rFonts w:asciiTheme="minorHAnsi" w:hAnsiTheme="minorHAnsi" w:cstheme="minorHAnsi"/>
        </w:rPr>
        <w:t>study</w:t>
      </w:r>
      <w:proofErr w:type="spellEnd"/>
      <w:r w:rsidRPr="00051F9F">
        <w:rPr>
          <w:rFonts w:asciiTheme="minorHAnsi" w:hAnsiTheme="minorHAnsi" w:cstheme="minorHAnsi"/>
        </w:rPr>
        <w:t xml:space="preserve"> </w:t>
      </w:r>
      <w:proofErr w:type="spellStart"/>
      <w:r w:rsidRPr="00051F9F">
        <w:rPr>
          <w:rFonts w:asciiTheme="minorHAnsi" w:hAnsiTheme="minorHAnsi" w:cstheme="minorHAnsi"/>
        </w:rPr>
        <w:t>conducted</w:t>
      </w:r>
      <w:proofErr w:type="spellEnd"/>
      <w:r w:rsidRPr="00051F9F">
        <w:rPr>
          <w:rFonts w:asciiTheme="minorHAnsi" w:hAnsiTheme="minorHAnsi" w:cstheme="minorHAnsi"/>
        </w:rPr>
        <w:t xml:space="preserve"> in the United States, the </w:t>
      </w:r>
      <w:proofErr w:type="spellStart"/>
      <w:r w:rsidRPr="00051F9F">
        <w:rPr>
          <w:rFonts w:asciiTheme="minorHAnsi" w:hAnsiTheme="minorHAnsi" w:cstheme="minorHAnsi"/>
        </w:rPr>
        <w:t>failure</w:t>
      </w:r>
      <w:proofErr w:type="spellEnd"/>
      <w:r w:rsidRPr="00051F9F">
        <w:rPr>
          <w:rFonts w:asciiTheme="minorHAnsi" w:hAnsiTheme="minorHAnsi" w:cstheme="minorHAnsi"/>
        </w:rPr>
        <w:t xml:space="preserve"> rate </w:t>
      </w:r>
      <w:proofErr w:type="spellStart"/>
      <w:r w:rsidRPr="00051F9F">
        <w:rPr>
          <w:rFonts w:asciiTheme="minorHAnsi" w:hAnsiTheme="minorHAnsi" w:cstheme="minorHAnsi"/>
        </w:rPr>
        <w:t>was</w:t>
      </w:r>
      <w:proofErr w:type="spellEnd"/>
      <w:r w:rsidRPr="00051F9F">
        <w:rPr>
          <w:rFonts w:asciiTheme="minorHAnsi" w:hAnsiTheme="minorHAnsi" w:cstheme="minorHAnsi"/>
        </w:rPr>
        <w:t xml:space="preserve"> 19.5%</w:t>
      </w:r>
      <w:r w:rsidR="009C2279" w:rsidRPr="00051F9F">
        <w:rPr>
          <w:rFonts w:asciiTheme="minorHAnsi" w:hAnsiTheme="minorHAnsi" w:cstheme="minorHAnsi"/>
        </w:rPr>
        <w:t xml:space="preserve"> </w:t>
      </w:r>
      <w:r w:rsidR="009C2279" w:rsidRPr="00051F9F">
        <w:rPr>
          <w:rFonts w:asciiTheme="minorHAnsi" w:hAnsiTheme="minorHAnsi" w:cstheme="minorHAnsi"/>
          <w:b/>
        </w:rPr>
        <w:t>[6]</w:t>
      </w:r>
      <w:r w:rsidRPr="00051F9F">
        <w:rPr>
          <w:rFonts w:asciiTheme="minorHAnsi" w:hAnsiTheme="minorHAnsi" w:cstheme="minorHAnsi"/>
        </w:rPr>
        <w:t>.</w:t>
      </w:r>
    </w:p>
    <w:p w14:paraId="11A4E819" w14:textId="77777777" w:rsidR="002E1953" w:rsidRPr="00051F9F" w:rsidRDefault="002E1953" w:rsidP="00CE519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051F9F">
        <w:rPr>
          <w:rFonts w:asciiTheme="minorHAnsi" w:hAnsiTheme="minorHAnsi" w:cstheme="minorHAnsi"/>
        </w:rPr>
        <w:br/>
      </w:r>
      <w:proofErr w:type="spellStart"/>
      <w:r w:rsidRPr="00051F9F">
        <w:rPr>
          <w:rFonts w:asciiTheme="minorHAnsi" w:hAnsiTheme="minorHAnsi" w:cstheme="minorHAnsi"/>
        </w:rPr>
        <w:t>According</w:t>
      </w:r>
      <w:proofErr w:type="spellEnd"/>
      <w:r w:rsidRPr="00051F9F">
        <w:rPr>
          <w:rFonts w:asciiTheme="minorHAnsi" w:hAnsiTheme="minorHAnsi" w:cstheme="minorHAnsi"/>
        </w:rPr>
        <w:t xml:space="preserve"> to the </w:t>
      </w:r>
      <w:proofErr w:type="spellStart"/>
      <w:r w:rsidRPr="00051F9F">
        <w:rPr>
          <w:rFonts w:asciiTheme="minorHAnsi" w:hAnsiTheme="minorHAnsi" w:cstheme="minorHAnsi"/>
        </w:rPr>
        <w:t>literature</w:t>
      </w:r>
      <w:proofErr w:type="spellEnd"/>
      <w:r w:rsidRPr="00051F9F">
        <w:rPr>
          <w:rFonts w:asciiTheme="minorHAnsi" w:hAnsiTheme="minorHAnsi" w:cstheme="minorHAnsi"/>
        </w:rPr>
        <w:t xml:space="preserve">, </w:t>
      </w:r>
      <w:proofErr w:type="spellStart"/>
      <w:r w:rsidRPr="00051F9F">
        <w:rPr>
          <w:rFonts w:asciiTheme="minorHAnsi" w:hAnsiTheme="minorHAnsi" w:cstheme="minorHAnsi"/>
        </w:rPr>
        <w:t>several</w:t>
      </w:r>
      <w:proofErr w:type="spellEnd"/>
      <w:r w:rsidRPr="00051F9F">
        <w:rPr>
          <w:rFonts w:asciiTheme="minorHAnsi" w:hAnsiTheme="minorHAnsi" w:cstheme="minorHAnsi"/>
        </w:rPr>
        <w:t xml:space="preserve"> </w:t>
      </w:r>
      <w:proofErr w:type="spellStart"/>
      <w:r w:rsidRPr="00051F9F">
        <w:rPr>
          <w:rFonts w:asciiTheme="minorHAnsi" w:hAnsiTheme="minorHAnsi" w:cstheme="minorHAnsi"/>
        </w:rPr>
        <w:t>factors</w:t>
      </w:r>
      <w:proofErr w:type="spellEnd"/>
      <w:r w:rsidRPr="00051F9F">
        <w:rPr>
          <w:rFonts w:asciiTheme="minorHAnsi" w:hAnsiTheme="minorHAnsi" w:cstheme="minorHAnsi"/>
        </w:rPr>
        <w:t xml:space="preserve"> are </w:t>
      </w:r>
      <w:proofErr w:type="spellStart"/>
      <w:r w:rsidRPr="00051F9F">
        <w:rPr>
          <w:rFonts w:asciiTheme="minorHAnsi" w:hAnsiTheme="minorHAnsi" w:cstheme="minorHAnsi"/>
        </w:rPr>
        <w:t>significantly</w:t>
      </w:r>
      <w:proofErr w:type="spellEnd"/>
      <w:r w:rsidRPr="00051F9F">
        <w:rPr>
          <w:rFonts w:asciiTheme="minorHAnsi" w:hAnsiTheme="minorHAnsi" w:cstheme="minorHAnsi"/>
        </w:rPr>
        <w:t xml:space="preserve"> </w:t>
      </w:r>
      <w:proofErr w:type="spellStart"/>
      <w:r w:rsidRPr="00051F9F">
        <w:rPr>
          <w:rFonts w:asciiTheme="minorHAnsi" w:hAnsiTheme="minorHAnsi" w:cstheme="minorHAnsi"/>
        </w:rPr>
        <w:t>associated</w:t>
      </w:r>
      <w:proofErr w:type="spellEnd"/>
      <w:r w:rsidRPr="00051F9F">
        <w:rPr>
          <w:rFonts w:asciiTheme="minorHAnsi" w:hAnsiTheme="minorHAnsi" w:cstheme="minorHAnsi"/>
        </w:rPr>
        <w:t xml:space="preserve"> </w:t>
      </w:r>
      <w:proofErr w:type="spellStart"/>
      <w:r w:rsidRPr="00051F9F">
        <w:rPr>
          <w:rFonts w:asciiTheme="minorHAnsi" w:hAnsiTheme="minorHAnsi" w:cstheme="minorHAnsi"/>
        </w:rPr>
        <w:t>with</w:t>
      </w:r>
      <w:proofErr w:type="spellEnd"/>
      <w:r w:rsidRPr="00051F9F">
        <w:rPr>
          <w:rFonts w:asciiTheme="minorHAnsi" w:hAnsiTheme="minorHAnsi" w:cstheme="minorHAnsi"/>
        </w:rPr>
        <w:t xml:space="preserve"> </w:t>
      </w:r>
      <w:proofErr w:type="spellStart"/>
      <w:r w:rsidRPr="00051F9F">
        <w:rPr>
          <w:rFonts w:asciiTheme="minorHAnsi" w:hAnsiTheme="minorHAnsi" w:cstheme="minorHAnsi"/>
        </w:rPr>
        <w:t>biliary</w:t>
      </w:r>
      <w:proofErr w:type="spellEnd"/>
      <w:r w:rsidRPr="00051F9F">
        <w:rPr>
          <w:rFonts w:asciiTheme="minorHAnsi" w:hAnsiTheme="minorHAnsi" w:cstheme="minorHAnsi"/>
        </w:rPr>
        <w:t xml:space="preserve"> </w:t>
      </w:r>
      <w:proofErr w:type="spellStart"/>
      <w:r w:rsidRPr="00051F9F">
        <w:rPr>
          <w:rFonts w:asciiTheme="minorHAnsi" w:hAnsiTheme="minorHAnsi" w:cstheme="minorHAnsi"/>
        </w:rPr>
        <w:t>cannulation</w:t>
      </w:r>
      <w:proofErr w:type="spellEnd"/>
      <w:r w:rsidRPr="00051F9F">
        <w:rPr>
          <w:rFonts w:asciiTheme="minorHAnsi" w:hAnsiTheme="minorHAnsi" w:cstheme="minorHAnsi"/>
        </w:rPr>
        <w:t xml:space="preserve"> </w:t>
      </w:r>
      <w:proofErr w:type="spellStart"/>
      <w:r w:rsidRPr="00051F9F">
        <w:rPr>
          <w:rFonts w:asciiTheme="minorHAnsi" w:hAnsiTheme="minorHAnsi" w:cstheme="minorHAnsi"/>
        </w:rPr>
        <w:t>failure</w:t>
      </w:r>
      <w:proofErr w:type="spellEnd"/>
      <w:r w:rsidRPr="00051F9F">
        <w:rPr>
          <w:rFonts w:asciiTheme="minorHAnsi" w:hAnsiTheme="minorHAnsi" w:cstheme="minorHAnsi"/>
        </w:rPr>
        <w:t xml:space="preserve">. </w:t>
      </w:r>
      <w:proofErr w:type="spellStart"/>
      <w:r w:rsidRPr="00051F9F">
        <w:rPr>
          <w:rFonts w:asciiTheme="minorHAnsi" w:hAnsiTheme="minorHAnsi" w:cstheme="minorHAnsi"/>
        </w:rPr>
        <w:t>These</w:t>
      </w:r>
      <w:proofErr w:type="spellEnd"/>
      <w:r w:rsidRPr="00051F9F">
        <w:rPr>
          <w:rFonts w:asciiTheme="minorHAnsi" w:hAnsiTheme="minorHAnsi" w:cstheme="minorHAnsi"/>
        </w:rPr>
        <w:t xml:space="preserve"> </w:t>
      </w:r>
      <w:proofErr w:type="spellStart"/>
      <w:r w:rsidRPr="00051F9F">
        <w:rPr>
          <w:rFonts w:asciiTheme="minorHAnsi" w:hAnsiTheme="minorHAnsi" w:cstheme="minorHAnsi"/>
        </w:rPr>
        <w:t>include</w:t>
      </w:r>
      <w:proofErr w:type="spellEnd"/>
      <w:r w:rsidRPr="00051F9F">
        <w:rPr>
          <w:rFonts w:asciiTheme="minorHAnsi" w:hAnsiTheme="minorHAnsi" w:cstheme="minorHAnsi"/>
        </w:rPr>
        <w:t xml:space="preserve"> a </w:t>
      </w:r>
      <w:proofErr w:type="spellStart"/>
      <w:r w:rsidRPr="00051F9F">
        <w:rPr>
          <w:rFonts w:asciiTheme="minorHAnsi" w:hAnsiTheme="minorHAnsi" w:cstheme="minorHAnsi"/>
        </w:rPr>
        <w:t>small-sized</w:t>
      </w:r>
      <w:proofErr w:type="spellEnd"/>
      <w:r w:rsidRPr="00051F9F">
        <w:rPr>
          <w:rFonts w:asciiTheme="minorHAnsi" w:hAnsiTheme="minorHAnsi" w:cstheme="minorHAnsi"/>
        </w:rPr>
        <w:t xml:space="preserve"> </w:t>
      </w:r>
      <w:proofErr w:type="spellStart"/>
      <w:r w:rsidRPr="00051F9F">
        <w:rPr>
          <w:rFonts w:asciiTheme="minorHAnsi" w:hAnsiTheme="minorHAnsi" w:cstheme="minorHAnsi"/>
        </w:rPr>
        <w:t>papilla</w:t>
      </w:r>
      <w:proofErr w:type="spellEnd"/>
      <w:r w:rsidRPr="00051F9F">
        <w:rPr>
          <w:rFonts w:asciiTheme="minorHAnsi" w:hAnsiTheme="minorHAnsi" w:cstheme="minorHAnsi"/>
        </w:rPr>
        <w:t xml:space="preserve">, </w:t>
      </w:r>
      <w:proofErr w:type="spellStart"/>
      <w:r w:rsidRPr="00051F9F">
        <w:rPr>
          <w:rFonts w:asciiTheme="minorHAnsi" w:hAnsiTheme="minorHAnsi" w:cstheme="minorHAnsi"/>
        </w:rPr>
        <w:t>dysfunction</w:t>
      </w:r>
      <w:proofErr w:type="spellEnd"/>
      <w:r w:rsidRPr="00051F9F">
        <w:rPr>
          <w:rFonts w:asciiTheme="minorHAnsi" w:hAnsiTheme="minorHAnsi" w:cstheme="minorHAnsi"/>
        </w:rPr>
        <w:t xml:space="preserve"> of the sphincter of Oddi, an intra- or para-</w:t>
      </w:r>
      <w:proofErr w:type="spellStart"/>
      <w:r w:rsidRPr="00051F9F">
        <w:rPr>
          <w:rFonts w:asciiTheme="minorHAnsi" w:hAnsiTheme="minorHAnsi" w:cstheme="minorHAnsi"/>
        </w:rPr>
        <w:t>diverticular</w:t>
      </w:r>
      <w:proofErr w:type="spellEnd"/>
      <w:r w:rsidRPr="00051F9F">
        <w:rPr>
          <w:rFonts w:asciiTheme="minorHAnsi" w:hAnsiTheme="minorHAnsi" w:cstheme="minorHAnsi"/>
        </w:rPr>
        <w:t xml:space="preserve"> </w:t>
      </w:r>
      <w:proofErr w:type="spellStart"/>
      <w:r w:rsidRPr="00051F9F">
        <w:rPr>
          <w:rFonts w:asciiTheme="minorHAnsi" w:hAnsiTheme="minorHAnsi" w:cstheme="minorHAnsi"/>
        </w:rPr>
        <w:t>papilla</w:t>
      </w:r>
      <w:proofErr w:type="spellEnd"/>
      <w:r w:rsidRPr="00051F9F">
        <w:rPr>
          <w:rFonts w:asciiTheme="minorHAnsi" w:hAnsiTheme="minorHAnsi" w:cstheme="minorHAnsi"/>
        </w:rPr>
        <w:t xml:space="preserve">, a </w:t>
      </w:r>
      <w:proofErr w:type="spellStart"/>
      <w:r w:rsidRPr="00051F9F">
        <w:rPr>
          <w:rFonts w:asciiTheme="minorHAnsi" w:hAnsiTheme="minorHAnsi" w:cstheme="minorHAnsi"/>
        </w:rPr>
        <w:t>tortuous</w:t>
      </w:r>
      <w:proofErr w:type="spellEnd"/>
      <w:r w:rsidRPr="00051F9F">
        <w:rPr>
          <w:rFonts w:asciiTheme="minorHAnsi" w:hAnsiTheme="minorHAnsi" w:cstheme="minorHAnsi"/>
        </w:rPr>
        <w:t xml:space="preserve"> </w:t>
      </w:r>
      <w:proofErr w:type="spellStart"/>
      <w:r w:rsidRPr="00051F9F">
        <w:rPr>
          <w:rFonts w:asciiTheme="minorHAnsi" w:hAnsiTheme="minorHAnsi" w:cstheme="minorHAnsi"/>
        </w:rPr>
        <w:t>papilla</w:t>
      </w:r>
      <w:proofErr w:type="spellEnd"/>
      <w:r w:rsidRPr="00051F9F">
        <w:rPr>
          <w:rFonts w:asciiTheme="minorHAnsi" w:hAnsiTheme="minorHAnsi" w:cstheme="minorHAnsi"/>
        </w:rPr>
        <w:t xml:space="preserve">, </w:t>
      </w:r>
      <w:proofErr w:type="spellStart"/>
      <w:r w:rsidRPr="00051F9F">
        <w:rPr>
          <w:rFonts w:asciiTheme="minorHAnsi" w:hAnsiTheme="minorHAnsi" w:cstheme="minorHAnsi"/>
        </w:rPr>
        <w:t>malignant</w:t>
      </w:r>
      <w:proofErr w:type="spellEnd"/>
      <w:r w:rsidRPr="00051F9F">
        <w:rPr>
          <w:rFonts w:asciiTheme="minorHAnsi" w:hAnsiTheme="minorHAnsi" w:cstheme="minorHAnsi"/>
        </w:rPr>
        <w:t xml:space="preserve"> </w:t>
      </w:r>
      <w:proofErr w:type="spellStart"/>
      <w:r w:rsidRPr="00051F9F">
        <w:rPr>
          <w:rFonts w:asciiTheme="minorHAnsi" w:hAnsiTheme="minorHAnsi" w:cstheme="minorHAnsi"/>
        </w:rPr>
        <w:t>tumor</w:t>
      </w:r>
      <w:proofErr w:type="spellEnd"/>
      <w:r w:rsidRPr="00051F9F">
        <w:rPr>
          <w:rFonts w:asciiTheme="minorHAnsi" w:hAnsiTheme="minorHAnsi" w:cstheme="minorHAnsi"/>
        </w:rPr>
        <w:t xml:space="preserve"> infiltration of the </w:t>
      </w:r>
      <w:proofErr w:type="spellStart"/>
      <w:r w:rsidRPr="00051F9F">
        <w:rPr>
          <w:rFonts w:asciiTheme="minorHAnsi" w:hAnsiTheme="minorHAnsi" w:cstheme="minorHAnsi"/>
        </w:rPr>
        <w:t>duodenum</w:t>
      </w:r>
      <w:proofErr w:type="spellEnd"/>
      <w:r w:rsidRPr="00051F9F">
        <w:rPr>
          <w:rFonts w:asciiTheme="minorHAnsi" w:hAnsiTheme="minorHAnsi" w:cstheme="minorHAnsi"/>
        </w:rPr>
        <w:t xml:space="preserve"> or </w:t>
      </w:r>
      <w:proofErr w:type="spellStart"/>
      <w:r w:rsidRPr="00051F9F">
        <w:rPr>
          <w:rFonts w:asciiTheme="minorHAnsi" w:hAnsiTheme="minorHAnsi" w:cstheme="minorHAnsi"/>
        </w:rPr>
        <w:t>papilla</w:t>
      </w:r>
      <w:proofErr w:type="spellEnd"/>
      <w:r w:rsidRPr="00051F9F">
        <w:rPr>
          <w:rFonts w:asciiTheme="minorHAnsi" w:hAnsiTheme="minorHAnsi" w:cstheme="minorHAnsi"/>
        </w:rPr>
        <w:t xml:space="preserve">, as </w:t>
      </w:r>
      <w:proofErr w:type="spellStart"/>
      <w:r w:rsidRPr="00051F9F">
        <w:rPr>
          <w:rFonts w:asciiTheme="minorHAnsi" w:hAnsiTheme="minorHAnsi" w:cstheme="minorHAnsi"/>
        </w:rPr>
        <w:t>well</w:t>
      </w:r>
      <w:proofErr w:type="spellEnd"/>
      <w:r w:rsidRPr="00051F9F">
        <w:rPr>
          <w:rFonts w:asciiTheme="minorHAnsi" w:hAnsiTheme="minorHAnsi" w:cstheme="minorHAnsi"/>
        </w:rPr>
        <w:t xml:space="preserve"> as the </w:t>
      </w:r>
      <w:proofErr w:type="spellStart"/>
      <w:r w:rsidRPr="00051F9F">
        <w:rPr>
          <w:rFonts w:asciiTheme="minorHAnsi" w:hAnsiTheme="minorHAnsi" w:cstheme="minorHAnsi"/>
        </w:rPr>
        <w:t>presence</w:t>
      </w:r>
      <w:proofErr w:type="spellEnd"/>
      <w:r w:rsidRPr="00051F9F">
        <w:rPr>
          <w:rFonts w:asciiTheme="minorHAnsi" w:hAnsiTheme="minorHAnsi" w:cstheme="minorHAnsi"/>
        </w:rPr>
        <w:t xml:space="preserve"> of </w:t>
      </w:r>
      <w:proofErr w:type="spellStart"/>
      <w:r w:rsidRPr="00051F9F">
        <w:rPr>
          <w:rFonts w:asciiTheme="minorHAnsi" w:hAnsiTheme="minorHAnsi" w:cstheme="minorHAnsi"/>
        </w:rPr>
        <w:t>edema</w:t>
      </w:r>
      <w:proofErr w:type="spellEnd"/>
      <w:r w:rsidRPr="00051F9F">
        <w:rPr>
          <w:rFonts w:asciiTheme="minorHAnsi" w:hAnsiTheme="minorHAnsi" w:cstheme="minorHAnsi"/>
        </w:rPr>
        <w:t xml:space="preserve"> or </w:t>
      </w:r>
      <w:proofErr w:type="spellStart"/>
      <w:r w:rsidRPr="00051F9F">
        <w:rPr>
          <w:rFonts w:asciiTheme="minorHAnsi" w:hAnsiTheme="minorHAnsi" w:cstheme="minorHAnsi"/>
        </w:rPr>
        <w:t>distortion</w:t>
      </w:r>
      <w:proofErr w:type="spellEnd"/>
      <w:r w:rsidRPr="00051F9F">
        <w:rPr>
          <w:rFonts w:asciiTheme="minorHAnsi" w:hAnsiTheme="minorHAnsi" w:cstheme="minorHAnsi"/>
        </w:rPr>
        <w:t xml:space="preserve"> of the </w:t>
      </w:r>
      <w:proofErr w:type="spellStart"/>
      <w:r w:rsidRPr="00051F9F">
        <w:rPr>
          <w:rFonts w:asciiTheme="minorHAnsi" w:hAnsiTheme="minorHAnsi" w:cstheme="minorHAnsi"/>
        </w:rPr>
        <w:t>duodenum</w:t>
      </w:r>
      <w:proofErr w:type="spellEnd"/>
      <w:r w:rsidRPr="00051F9F">
        <w:rPr>
          <w:rFonts w:asciiTheme="minorHAnsi" w:hAnsiTheme="minorHAnsi" w:cstheme="minorHAnsi"/>
        </w:rPr>
        <w:t xml:space="preserve"> </w:t>
      </w:r>
      <w:proofErr w:type="spellStart"/>
      <w:r w:rsidRPr="00051F9F">
        <w:rPr>
          <w:rFonts w:asciiTheme="minorHAnsi" w:hAnsiTheme="minorHAnsi" w:cstheme="minorHAnsi"/>
        </w:rPr>
        <w:t>caused</w:t>
      </w:r>
      <w:proofErr w:type="spellEnd"/>
      <w:r w:rsidRPr="00051F9F">
        <w:rPr>
          <w:rFonts w:asciiTheme="minorHAnsi" w:hAnsiTheme="minorHAnsi" w:cstheme="minorHAnsi"/>
        </w:rPr>
        <w:t xml:space="preserve"> by acute </w:t>
      </w:r>
      <w:proofErr w:type="spellStart"/>
      <w:r w:rsidRPr="00051F9F">
        <w:rPr>
          <w:rFonts w:asciiTheme="minorHAnsi" w:hAnsiTheme="minorHAnsi" w:cstheme="minorHAnsi"/>
        </w:rPr>
        <w:t>pancreatitis</w:t>
      </w:r>
      <w:proofErr w:type="spellEnd"/>
      <w:r w:rsidRPr="00051F9F">
        <w:rPr>
          <w:rFonts w:asciiTheme="minorHAnsi" w:hAnsiTheme="minorHAnsi" w:cstheme="minorHAnsi"/>
        </w:rPr>
        <w:t xml:space="preserve"> </w:t>
      </w:r>
      <w:r w:rsidR="009C2279" w:rsidRPr="00051F9F">
        <w:rPr>
          <w:rFonts w:asciiTheme="minorHAnsi" w:hAnsiTheme="minorHAnsi" w:cstheme="minorHAnsi"/>
          <w:b/>
        </w:rPr>
        <w:t>[7-10</w:t>
      </w:r>
      <w:r w:rsidRPr="00051F9F">
        <w:rPr>
          <w:rFonts w:asciiTheme="minorHAnsi" w:hAnsiTheme="minorHAnsi" w:cstheme="minorHAnsi"/>
          <w:b/>
        </w:rPr>
        <w:t>].</w:t>
      </w:r>
    </w:p>
    <w:p w14:paraId="7E68BCBA" w14:textId="77777777" w:rsidR="00CE5199" w:rsidRPr="00051F9F" w:rsidRDefault="00CE5199" w:rsidP="00CE519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131D2DE0" w14:textId="77777777" w:rsidR="002E1953" w:rsidRPr="00051F9F" w:rsidRDefault="002E1953" w:rsidP="00CE519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 w:rsidRPr="00051F9F">
        <w:rPr>
          <w:rFonts w:asciiTheme="minorHAnsi" w:hAnsiTheme="minorHAnsi" w:cstheme="minorHAnsi"/>
        </w:rPr>
        <w:t>Other</w:t>
      </w:r>
      <w:proofErr w:type="spellEnd"/>
      <w:r w:rsidRPr="00051F9F">
        <w:rPr>
          <w:rFonts w:asciiTheme="minorHAnsi" w:hAnsiTheme="minorHAnsi" w:cstheme="minorHAnsi"/>
        </w:rPr>
        <w:t xml:space="preserve"> </w:t>
      </w:r>
      <w:proofErr w:type="spellStart"/>
      <w:r w:rsidRPr="00051F9F">
        <w:rPr>
          <w:rFonts w:asciiTheme="minorHAnsi" w:hAnsiTheme="minorHAnsi" w:cstheme="minorHAnsi"/>
        </w:rPr>
        <w:t>factors</w:t>
      </w:r>
      <w:proofErr w:type="spellEnd"/>
      <w:r w:rsidRPr="00051F9F">
        <w:rPr>
          <w:rFonts w:asciiTheme="minorHAnsi" w:hAnsiTheme="minorHAnsi" w:cstheme="minorHAnsi"/>
        </w:rPr>
        <w:t xml:space="preserve"> </w:t>
      </w:r>
      <w:proofErr w:type="spellStart"/>
      <w:r w:rsidRPr="00051F9F">
        <w:rPr>
          <w:rFonts w:asciiTheme="minorHAnsi" w:hAnsiTheme="minorHAnsi" w:cstheme="minorHAnsi"/>
        </w:rPr>
        <w:t>identified</w:t>
      </w:r>
      <w:proofErr w:type="spellEnd"/>
      <w:r w:rsidRPr="00051F9F">
        <w:rPr>
          <w:rFonts w:asciiTheme="minorHAnsi" w:hAnsiTheme="minorHAnsi" w:cstheme="minorHAnsi"/>
        </w:rPr>
        <w:t xml:space="preserve"> as </w:t>
      </w:r>
      <w:proofErr w:type="spellStart"/>
      <w:r w:rsidRPr="00051F9F">
        <w:rPr>
          <w:rFonts w:asciiTheme="minorHAnsi" w:hAnsiTheme="minorHAnsi" w:cstheme="minorHAnsi"/>
        </w:rPr>
        <w:t>potentially</w:t>
      </w:r>
      <w:proofErr w:type="spellEnd"/>
      <w:r w:rsidRPr="00051F9F">
        <w:rPr>
          <w:rFonts w:asciiTheme="minorHAnsi" w:hAnsiTheme="minorHAnsi" w:cstheme="minorHAnsi"/>
        </w:rPr>
        <w:t xml:space="preserve"> </w:t>
      </w:r>
      <w:proofErr w:type="spellStart"/>
      <w:r w:rsidRPr="00051F9F">
        <w:rPr>
          <w:rFonts w:asciiTheme="minorHAnsi" w:hAnsiTheme="minorHAnsi" w:cstheme="minorHAnsi"/>
        </w:rPr>
        <w:t>compromising</w:t>
      </w:r>
      <w:proofErr w:type="spellEnd"/>
      <w:r w:rsidRPr="00051F9F">
        <w:rPr>
          <w:rFonts w:asciiTheme="minorHAnsi" w:hAnsiTheme="minorHAnsi" w:cstheme="minorHAnsi"/>
        </w:rPr>
        <w:t xml:space="preserve"> </w:t>
      </w:r>
      <w:proofErr w:type="spellStart"/>
      <w:r w:rsidRPr="00051F9F">
        <w:rPr>
          <w:rFonts w:asciiTheme="minorHAnsi" w:hAnsiTheme="minorHAnsi" w:cstheme="minorHAnsi"/>
        </w:rPr>
        <w:t>biliary</w:t>
      </w:r>
      <w:proofErr w:type="spellEnd"/>
      <w:r w:rsidRPr="00051F9F">
        <w:rPr>
          <w:rFonts w:asciiTheme="minorHAnsi" w:hAnsiTheme="minorHAnsi" w:cstheme="minorHAnsi"/>
        </w:rPr>
        <w:t xml:space="preserve"> </w:t>
      </w:r>
      <w:proofErr w:type="spellStart"/>
      <w:r w:rsidRPr="00051F9F">
        <w:rPr>
          <w:rFonts w:asciiTheme="minorHAnsi" w:hAnsiTheme="minorHAnsi" w:cstheme="minorHAnsi"/>
        </w:rPr>
        <w:t>cannulation</w:t>
      </w:r>
      <w:proofErr w:type="spellEnd"/>
      <w:r w:rsidRPr="00051F9F">
        <w:rPr>
          <w:rFonts w:asciiTheme="minorHAnsi" w:hAnsiTheme="minorHAnsi" w:cstheme="minorHAnsi"/>
        </w:rPr>
        <w:t xml:space="preserve"> </w:t>
      </w:r>
      <w:proofErr w:type="spellStart"/>
      <w:r w:rsidRPr="00051F9F">
        <w:rPr>
          <w:rFonts w:asciiTheme="minorHAnsi" w:hAnsiTheme="minorHAnsi" w:cstheme="minorHAnsi"/>
        </w:rPr>
        <w:t>success</w:t>
      </w:r>
      <w:proofErr w:type="spellEnd"/>
      <w:r w:rsidRPr="00051F9F">
        <w:rPr>
          <w:rFonts w:asciiTheme="minorHAnsi" w:hAnsiTheme="minorHAnsi" w:cstheme="minorHAnsi"/>
        </w:rPr>
        <w:t xml:space="preserve"> </w:t>
      </w:r>
      <w:proofErr w:type="spellStart"/>
      <w:r w:rsidRPr="00051F9F">
        <w:rPr>
          <w:rFonts w:asciiTheme="minorHAnsi" w:hAnsiTheme="minorHAnsi" w:cstheme="minorHAnsi"/>
        </w:rPr>
        <w:t>include</w:t>
      </w:r>
      <w:proofErr w:type="spellEnd"/>
      <w:r w:rsidRPr="00051F9F">
        <w:rPr>
          <w:rFonts w:asciiTheme="minorHAnsi" w:hAnsiTheme="minorHAnsi" w:cstheme="minorHAnsi"/>
        </w:rPr>
        <w:t xml:space="preserve"> a </w:t>
      </w:r>
      <w:proofErr w:type="spellStart"/>
      <w:r w:rsidRPr="00051F9F">
        <w:rPr>
          <w:rFonts w:asciiTheme="minorHAnsi" w:hAnsiTheme="minorHAnsi" w:cstheme="minorHAnsi"/>
        </w:rPr>
        <w:t>history</w:t>
      </w:r>
      <w:proofErr w:type="spellEnd"/>
      <w:r w:rsidRPr="00051F9F">
        <w:rPr>
          <w:rFonts w:asciiTheme="minorHAnsi" w:hAnsiTheme="minorHAnsi" w:cstheme="minorHAnsi"/>
        </w:rPr>
        <w:t xml:space="preserve"> of </w:t>
      </w:r>
      <w:proofErr w:type="spellStart"/>
      <w:r w:rsidRPr="00051F9F">
        <w:rPr>
          <w:rFonts w:asciiTheme="minorHAnsi" w:hAnsiTheme="minorHAnsi" w:cstheme="minorHAnsi"/>
        </w:rPr>
        <w:t>Billroth</w:t>
      </w:r>
      <w:proofErr w:type="spellEnd"/>
      <w:r w:rsidRPr="00051F9F">
        <w:rPr>
          <w:rFonts w:asciiTheme="minorHAnsi" w:hAnsiTheme="minorHAnsi" w:cstheme="minorHAnsi"/>
        </w:rPr>
        <w:t xml:space="preserve"> II </w:t>
      </w:r>
      <w:proofErr w:type="spellStart"/>
      <w:r w:rsidRPr="00051F9F">
        <w:rPr>
          <w:rFonts w:asciiTheme="minorHAnsi" w:hAnsiTheme="minorHAnsi" w:cstheme="minorHAnsi"/>
        </w:rPr>
        <w:t>gastric</w:t>
      </w:r>
      <w:proofErr w:type="spellEnd"/>
      <w:r w:rsidRPr="00051F9F">
        <w:rPr>
          <w:rFonts w:asciiTheme="minorHAnsi" w:hAnsiTheme="minorHAnsi" w:cstheme="minorHAnsi"/>
        </w:rPr>
        <w:t xml:space="preserve"> </w:t>
      </w:r>
      <w:proofErr w:type="spellStart"/>
      <w:r w:rsidRPr="00051F9F">
        <w:rPr>
          <w:rFonts w:asciiTheme="minorHAnsi" w:hAnsiTheme="minorHAnsi" w:cstheme="minorHAnsi"/>
        </w:rPr>
        <w:t>surgery</w:t>
      </w:r>
      <w:proofErr w:type="spellEnd"/>
      <w:r w:rsidRPr="00051F9F">
        <w:rPr>
          <w:rFonts w:asciiTheme="minorHAnsi" w:hAnsiTheme="minorHAnsi" w:cstheme="minorHAnsi"/>
        </w:rPr>
        <w:t xml:space="preserve">, an </w:t>
      </w:r>
      <w:proofErr w:type="spellStart"/>
      <w:r w:rsidRPr="00051F9F">
        <w:rPr>
          <w:rFonts w:asciiTheme="minorHAnsi" w:hAnsiTheme="minorHAnsi" w:cstheme="minorHAnsi"/>
        </w:rPr>
        <w:t>initially</w:t>
      </w:r>
      <w:proofErr w:type="spellEnd"/>
      <w:r w:rsidRPr="00051F9F">
        <w:rPr>
          <w:rFonts w:asciiTheme="minorHAnsi" w:hAnsiTheme="minorHAnsi" w:cstheme="minorHAnsi"/>
        </w:rPr>
        <w:t xml:space="preserve"> </w:t>
      </w:r>
      <w:proofErr w:type="spellStart"/>
      <w:r w:rsidRPr="00051F9F">
        <w:rPr>
          <w:rFonts w:asciiTheme="minorHAnsi" w:hAnsiTheme="minorHAnsi" w:cstheme="minorHAnsi"/>
        </w:rPr>
        <w:t>elevated</w:t>
      </w:r>
      <w:proofErr w:type="spellEnd"/>
      <w:r w:rsidRPr="00051F9F">
        <w:rPr>
          <w:rFonts w:asciiTheme="minorHAnsi" w:hAnsiTheme="minorHAnsi" w:cstheme="minorHAnsi"/>
        </w:rPr>
        <w:t xml:space="preserve"> </w:t>
      </w:r>
      <w:proofErr w:type="spellStart"/>
      <w:r w:rsidRPr="00051F9F">
        <w:rPr>
          <w:rFonts w:asciiTheme="minorHAnsi" w:hAnsiTheme="minorHAnsi" w:cstheme="minorHAnsi"/>
        </w:rPr>
        <w:t>bilirubin</w:t>
      </w:r>
      <w:proofErr w:type="spellEnd"/>
      <w:r w:rsidRPr="00051F9F">
        <w:rPr>
          <w:rFonts w:asciiTheme="minorHAnsi" w:hAnsiTheme="minorHAnsi" w:cstheme="minorHAnsi"/>
        </w:rPr>
        <w:t xml:space="preserve"> </w:t>
      </w:r>
      <w:proofErr w:type="spellStart"/>
      <w:r w:rsidRPr="00051F9F">
        <w:rPr>
          <w:rFonts w:asciiTheme="minorHAnsi" w:hAnsiTheme="minorHAnsi" w:cstheme="minorHAnsi"/>
        </w:rPr>
        <w:t>level</w:t>
      </w:r>
      <w:proofErr w:type="spellEnd"/>
      <w:r w:rsidRPr="00051F9F">
        <w:rPr>
          <w:rFonts w:asciiTheme="minorHAnsi" w:hAnsiTheme="minorHAnsi" w:cstheme="minorHAnsi"/>
        </w:rPr>
        <w:t xml:space="preserve">, an INR ≥ 1.5, and </w:t>
      </w:r>
      <w:proofErr w:type="spellStart"/>
      <w:r w:rsidRPr="00051F9F">
        <w:rPr>
          <w:rFonts w:asciiTheme="minorHAnsi" w:hAnsiTheme="minorHAnsi" w:cstheme="minorHAnsi"/>
        </w:rPr>
        <w:t>atypical</w:t>
      </w:r>
      <w:proofErr w:type="spellEnd"/>
      <w:r w:rsidRPr="00051F9F">
        <w:rPr>
          <w:rFonts w:asciiTheme="minorHAnsi" w:hAnsiTheme="minorHAnsi" w:cstheme="minorHAnsi"/>
        </w:rPr>
        <w:t xml:space="preserve"> </w:t>
      </w:r>
      <w:proofErr w:type="spellStart"/>
      <w:r w:rsidRPr="00051F9F">
        <w:rPr>
          <w:rFonts w:asciiTheme="minorHAnsi" w:hAnsiTheme="minorHAnsi" w:cstheme="minorHAnsi"/>
        </w:rPr>
        <w:t>biliary</w:t>
      </w:r>
      <w:proofErr w:type="spellEnd"/>
      <w:r w:rsidRPr="00051F9F">
        <w:rPr>
          <w:rFonts w:asciiTheme="minorHAnsi" w:hAnsiTheme="minorHAnsi" w:cstheme="minorHAnsi"/>
        </w:rPr>
        <w:t xml:space="preserve"> </w:t>
      </w:r>
      <w:proofErr w:type="spellStart"/>
      <w:r w:rsidRPr="00051F9F">
        <w:rPr>
          <w:rFonts w:asciiTheme="minorHAnsi" w:hAnsiTheme="minorHAnsi" w:cstheme="minorHAnsi"/>
        </w:rPr>
        <w:t>strictures</w:t>
      </w:r>
      <w:proofErr w:type="spellEnd"/>
      <w:r w:rsidRPr="00051F9F">
        <w:rPr>
          <w:rFonts w:asciiTheme="minorHAnsi" w:hAnsiTheme="minorHAnsi" w:cstheme="minorHAnsi"/>
        </w:rPr>
        <w:t xml:space="preserve"> (multifocal or </w:t>
      </w:r>
      <w:proofErr w:type="spellStart"/>
      <w:r w:rsidRPr="00051F9F">
        <w:rPr>
          <w:rFonts w:asciiTheme="minorHAnsi" w:hAnsiTheme="minorHAnsi" w:cstheme="minorHAnsi"/>
        </w:rPr>
        <w:t>located</w:t>
      </w:r>
      <w:proofErr w:type="spellEnd"/>
      <w:r w:rsidRPr="00051F9F">
        <w:rPr>
          <w:rFonts w:asciiTheme="minorHAnsi" w:hAnsiTheme="minorHAnsi" w:cstheme="minorHAnsi"/>
        </w:rPr>
        <w:t xml:space="preserve"> </w:t>
      </w:r>
      <w:proofErr w:type="spellStart"/>
      <w:r w:rsidRPr="00051F9F">
        <w:rPr>
          <w:rFonts w:asciiTheme="minorHAnsi" w:hAnsiTheme="minorHAnsi" w:cstheme="minorHAnsi"/>
        </w:rPr>
        <w:t>outside</w:t>
      </w:r>
      <w:proofErr w:type="spellEnd"/>
      <w:r w:rsidRPr="00051F9F">
        <w:rPr>
          <w:rFonts w:asciiTheme="minorHAnsi" w:hAnsiTheme="minorHAnsi" w:cstheme="minorHAnsi"/>
        </w:rPr>
        <w:t xml:space="preserve"> the main bile </w:t>
      </w:r>
      <w:proofErr w:type="spellStart"/>
      <w:r w:rsidRPr="00051F9F">
        <w:rPr>
          <w:rFonts w:asciiTheme="minorHAnsi" w:hAnsiTheme="minorHAnsi" w:cstheme="minorHAnsi"/>
        </w:rPr>
        <w:t>duct</w:t>
      </w:r>
      <w:proofErr w:type="spellEnd"/>
      <w:r w:rsidRPr="00051F9F">
        <w:rPr>
          <w:rFonts w:asciiTheme="minorHAnsi" w:hAnsiTheme="minorHAnsi" w:cstheme="minorHAnsi"/>
        </w:rPr>
        <w:t xml:space="preserve">) </w:t>
      </w:r>
      <w:r w:rsidR="009C2279" w:rsidRPr="00051F9F">
        <w:rPr>
          <w:rFonts w:asciiTheme="minorHAnsi" w:hAnsiTheme="minorHAnsi" w:cstheme="minorHAnsi"/>
          <w:b/>
        </w:rPr>
        <w:t>[11, 12</w:t>
      </w:r>
      <w:r w:rsidRPr="00051F9F">
        <w:rPr>
          <w:rFonts w:asciiTheme="minorHAnsi" w:hAnsiTheme="minorHAnsi" w:cstheme="minorHAnsi"/>
          <w:b/>
        </w:rPr>
        <w:t>].</w:t>
      </w:r>
    </w:p>
    <w:p w14:paraId="6175990E" w14:textId="7B47DE47" w:rsidR="002E1953" w:rsidRPr="00051F9F" w:rsidRDefault="002E1953" w:rsidP="000E53EF">
      <w:pPr>
        <w:pStyle w:val="NormalWeb"/>
        <w:spacing w:after="120" w:afterAutospacing="0"/>
        <w:rPr>
          <w:rFonts w:asciiTheme="minorHAnsi" w:hAnsiTheme="minorHAnsi" w:cstheme="minorHAnsi"/>
        </w:rPr>
      </w:pPr>
      <w:r w:rsidRPr="00051F9F">
        <w:rPr>
          <w:rFonts w:asciiTheme="minorHAnsi" w:hAnsiTheme="minorHAnsi" w:cstheme="minorHAnsi"/>
        </w:rPr>
        <w:t xml:space="preserve">The </w:t>
      </w:r>
      <w:proofErr w:type="spellStart"/>
      <w:r w:rsidRPr="00051F9F">
        <w:rPr>
          <w:rFonts w:asciiTheme="minorHAnsi" w:hAnsiTheme="minorHAnsi" w:cstheme="minorHAnsi"/>
        </w:rPr>
        <w:t>papilla</w:t>
      </w:r>
      <w:proofErr w:type="spellEnd"/>
      <w:r w:rsidRPr="00051F9F">
        <w:rPr>
          <w:rFonts w:asciiTheme="minorHAnsi" w:hAnsiTheme="minorHAnsi" w:cstheme="minorHAnsi"/>
        </w:rPr>
        <w:t xml:space="preserve"> </w:t>
      </w:r>
      <w:proofErr w:type="spellStart"/>
      <w:r w:rsidRPr="00051F9F">
        <w:rPr>
          <w:rFonts w:asciiTheme="minorHAnsi" w:hAnsiTheme="minorHAnsi" w:cstheme="minorHAnsi"/>
        </w:rPr>
        <w:t>morphology</w:t>
      </w:r>
      <w:proofErr w:type="spellEnd"/>
      <w:r w:rsidRPr="00051F9F">
        <w:rPr>
          <w:rFonts w:asciiTheme="minorHAnsi" w:hAnsiTheme="minorHAnsi" w:cstheme="minorHAnsi"/>
        </w:rPr>
        <w:t xml:space="preserve"> has been </w:t>
      </w:r>
      <w:proofErr w:type="spellStart"/>
      <w:r w:rsidRPr="00051F9F">
        <w:rPr>
          <w:rFonts w:asciiTheme="minorHAnsi" w:hAnsiTheme="minorHAnsi" w:cstheme="minorHAnsi"/>
        </w:rPr>
        <w:t>classified</w:t>
      </w:r>
      <w:proofErr w:type="spellEnd"/>
      <w:r w:rsidRPr="00051F9F">
        <w:rPr>
          <w:rFonts w:asciiTheme="minorHAnsi" w:hAnsiTheme="minorHAnsi" w:cstheme="minorHAnsi"/>
        </w:rPr>
        <w:t xml:space="preserve"> </w:t>
      </w:r>
      <w:proofErr w:type="spellStart"/>
      <w:r w:rsidRPr="00051F9F">
        <w:rPr>
          <w:rFonts w:asciiTheme="minorHAnsi" w:hAnsiTheme="minorHAnsi" w:cstheme="minorHAnsi"/>
        </w:rPr>
        <w:t>into</w:t>
      </w:r>
      <w:proofErr w:type="spellEnd"/>
      <w:r w:rsidRPr="00051F9F">
        <w:rPr>
          <w:rFonts w:asciiTheme="minorHAnsi" w:hAnsiTheme="minorHAnsi" w:cstheme="minorHAnsi"/>
        </w:rPr>
        <w:t xml:space="preserve"> </w:t>
      </w:r>
      <w:proofErr w:type="spellStart"/>
      <w:r w:rsidRPr="00051F9F">
        <w:rPr>
          <w:rFonts w:asciiTheme="minorHAnsi" w:hAnsiTheme="minorHAnsi" w:cstheme="minorHAnsi"/>
        </w:rPr>
        <w:t>seven</w:t>
      </w:r>
      <w:proofErr w:type="spellEnd"/>
      <w:r w:rsidRPr="00051F9F">
        <w:rPr>
          <w:rFonts w:asciiTheme="minorHAnsi" w:hAnsiTheme="minorHAnsi" w:cstheme="minorHAnsi"/>
        </w:rPr>
        <w:t xml:space="preserve"> types </w:t>
      </w:r>
      <w:proofErr w:type="spellStart"/>
      <w:r w:rsidRPr="00051F9F">
        <w:rPr>
          <w:rFonts w:asciiTheme="minorHAnsi" w:hAnsiTheme="minorHAnsi" w:cstheme="minorHAnsi"/>
        </w:rPr>
        <w:t>according</w:t>
      </w:r>
      <w:proofErr w:type="spellEnd"/>
      <w:r w:rsidRPr="00051F9F">
        <w:rPr>
          <w:rFonts w:asciiTheme="minorHAnsi" w:hAnsiTheme="minorHAnsi" w:cstheme="minorHAnsi"/>
        </w:rPr>
        <w:t xml:space="preserve"> to the Novel classification (Figure </w:t>
      </w:r>
      <w:r w:rsidR="00210B12">
        <w:rPr>
          <w:rFonts w:asciiTheme="minorHAnsi" w:hAnsiTheme="minorHAnsi" w:cstheme="minorHAnsi"/>
        </w:rPr>
        <w:t>2</w:t>
      </w:r>
      <w:r w:rsidRPr="00051F9F">
        <w:rPr>
          <w:rFonts w:asciiTheme="minorHAnsi" w:hAnsiTheme="minorHAnsi" w:cstheme="minorHAnsi"/>
        </w:rPr>
        <w:t xml:space="preserve">): type I, flat type </w:t>
      </w:r>
      <w:proofErr w:type="spellStart"/>
      <w:r w:rsidRPr="00051F9F">
        <w:rPr>
          <w:rFonts w:asciiTheme="minorHAnsi" w:hAnsiTheme="minorHAnsi" w:cstheme="minorHAnsi"/>
        </w:rPr>
        <w:t>without</w:t>
      </w:r>
      <w:proofErr w:type="spellEnd"/>
      <w:r w:rsidRPr="00051F9F">
        <w:rPr>
          <w:rFonts w:asciiTheme="minorHAnsi" w:hAnsiTheme="minorHAnsi" w:cstheme="minorHAnsi"/>
        </w:rPr>
        <w:t xml:space="preserve"> oral protrusion; type IIA, </w:t>
      </w:r>
      <w:proofErr w:type="spellStart"/>
      <w:r w:rsidRPr="00051F9F">
        <w:rPr>
          <w:rFonts w:asciiTheme="minorHAnsi" w:hAnsiTheme="minorHAnsi" w:cstheme="minorHAnsi"/>
        </w:rPr>
        <w:t>tubular</w:t>
      </w:r>
      <w:proofErr w:type="spellEnd"/>
      <w:r w:rsidRPr="00051F9F">
        <w:rPr>
          <w:rFonts w:asciiTheme="minorHAnsi" w:hAnsiTheme="minorHAnsi" w:cstheme="minorHAnsi"/>
        </w:rPr>
        <w:t xml:space="preserve"> non-</w:t>
      </w:r>
      <w:proofErr w:type="spellStart"/>
      <w:r w:rsidRPr="00051F9F">
        <w:rPr>
          <w:rFonts w:asciiTheme="minorHAnsi" w:hAnsiTheme="minorHAnsi" w:cstheme="minorHAnsi"/>
        </w:rPr>
        <w:t>pleated</w:t>
      </w:r>
      <w:proofErr w:type="spellEnd"/>
      <w:r w:rsidRPr="00051F9F">
        <w:rPr>
          <w:rFonts w:asciiTheme="minorHAnsi" w:hAnsiTheme="minorHAnsi" w:cstheme="minorHAnsi"/>
        </w:rPr>
        <w:t xml:space="preserve"> </w:t>
      </w:r>
      <w:proofErr w:type="spellStart"/>
      <w:r w:rsidRPr="00051F9F">
        <w:rPr>
          <w:rFonts w:asciiTheme="minorHAnsi" w:hAnsiTheme="minorHAnsi" w:cstheme="minorHAnsi"/>
        </w:rPr>
        <w:t>prominent</w:t>
      </w:r>
      <w:proofErr w:type="spellEnd"/>
      <w:r w:rsidRPr="00051F9F">
        <w:rPr>
          <w:rFonts w:asciiTheme="minorHAnsi" w:hAnsiTheme="minorHAnsi" w:cstheme="minorHAnsi"/>
        </w:rPr>
        <w:t xml:space="preserve"> type </w:t>
      </w:r>
      <w:proofErr w:type="spellStart"/>
      <w:r w:rsidRPr="00051F9F">
        <w:rPr>
          <w:rFonts w:asciiTheme="minorHAnsi" w:hAnsiTheme="minorHAnsi" w:cstheme="minorHAnsi"/>
        </w:rPr>
        <w:t>with</w:t>
      </w:r>
      <w:proofErr w:type="spellEnd"/>
      <w:r w:rsidRPr="00051F9F">
        <w:rPr>
          <w:rFonts w:asciiTheme="minorHAnsi" w:hAnsiTheme="minorHAnsi" w:cstheme="minorHAnsi"/>
        </w:rPr>
        <w:t xml:space="preserve"> oral protrusion and </w:t>
      </w:r>
      <w:proofErr w:type="spellStart"/>
      <w:r w:rsidRPr="00051F9F">
        <w:rPr>
          <w:rFonts w:asciiTheme="minorHAnsi" w:hAnsiTheme="minorHAnsi" w:cstheme="minorHAnsi"/>
        </w:rPr>
        <w:t>fewer</w:t>
      </w:r>
      <w:proofErr w:type="spellEnd"/>
      <w:r w:rsidRPr="00051F9F">
        <w:rPr>
          <w:rFonts w:asciiTheme="minorHAnsi" w:hAnsiTheme="minorHAnsi" w:cstheme="minorHAnsi"/>
        </w:rPr>
        <w:t xml:space="preserve"> </w:t>
      </w:r>
      <w:proofErr w:type="spellStart"/>
      <w:r w:rsidRPr="00051F9F">
        <w:rPr>
          <w:rFonts w:asciiTheme="minorHAnsi" w:hAnsiTheme="minorHAnsi" w:cstheme="minorHAnsi"/>
        </w:rPr>
        <w:t>than</w:t>
      </w:r>
      <w:proofErr w:type="spellEnd"/>
      <w:r w:rsidRPr="00051F9F">
        <w:rPr>
          <w:rFonts w:asciiTheme="minorHAnsi" w:hAnsiTheme="minorHAnsi" w:cstheme="minorHAnsi"/>
        </w:rPr>
        <w:t xml:space="preserve"> one transverse </w:t>
      </w:r>
      <w:proofErr w:type="spellStart"/>
      <w:r w:rsidRPr="00051F9F">
        <w:rPr>
          <w:rFonts w:asciiTheme="minorHAnsi" w:hAnsiTheme="minorHAnsi" w:cstheme="minorHAnsi"/>
        </w:rPr>
        <w:t>fold</w:t>
      </w:r>
      <w:proofErr w:type="spellEnd"/>
      <w:r w:rsidRPr="00051F9F">
        <w:rPr>
          <w:rFonts w:asciiTheme="minorHAnsi" w:hAnsiTheme="minorHAnsi" w:cstheme="minorHAnsi"/>
        </w:rPr>
        <w:t xml:space="preserve"> on the protrusion; type IIB, </w:t>
      </w:r>
      <w:proofErr w:type="spellStart"/>
      <w:r w:rsidRPr="00051F9F">
        <w:rPr>
          <w:rFonts w:asciiTheme="minorHAnsi" w:hAnsiTheme="minorHAnsi" w:cstheme="minorHAnsi"/>
        </w:rPr>
        <w:t>pleated</w:t>
      </w:r>
      <w:proofErr w:type="spellEnd"/>
      <w:r w:rsidRPr="00051F9F">
        <w:rPr>
          <w:rFonts w:asciiTheme="minorHAnsi" w:hAnsiTheme="minorHAnsi" w:cstheme="minorHAnsi"/>
        </w:rPr>
        <w:t xml:space="preserve"> </w:t>
      </w:r>
      <w:proofErr w:type="spellStart"/>
      <w:r w:rsidRPr="00051F9F">
        <w:rPr>
          <w:rFonts w:asciiTheme="minorHAnsi" w:hAnsiTheme="minorHAnsi" w:cstheme="minorHAnsi"/>
        </w:rPr>
        <w:t>tubular</w:t>
      </w:r>
      <w:proofErr w:type="spellEnd"/>
      <w:r w:rsidRPr="00051F9F">
        <w:rPr>
          <w:rFonts w:asciiTheme="minorHAnsi" w:hAnsiTheme="minorHAnsi" w:cstheme="minorHAnsi"/>
        </w:rPr>
        <w:t xml:space="preserve"> </w:t>
      </w:r>
      <w:proofErr w:type="spellStart"/>
      <w:r w:rsidRPr="00051F9F">
        <w:rPr>
          <w:rFonts w:asciiTheme="minorHAnsi" w:hAnsiTheme="minorHAnsi" w:cstheme="minorHAnsi"/>
        </w:rPr>
        <w:t>prominent</w:t>
      </w:r>
      <w:proofErr w:type="spellEnd"/>
      <w:r w:rsidRPr="00051F9F">
        <w:rPr>
          <w:rFonts w:asciiTheme="minorHAnsi" w:hAnsiTheme="minorHAnsi" w:cstheme="minorHAnsi"/>
        </w:rPr>
        <w:t xml:space="preserve"> type </w:t>
      </w:r>
      <w:proofErr w:type="spellStart"/>
      <w:r w:rsidRPr="00051F9F">
        <w:rPr>
          <w:rFonts w:asciiTheme="minorHAnsi" w:hAnsiTheme="minorHAnsi" w:cstheme="minorHAnsi"/>
        </w:rPr>
        <w:t>with</w:t>
      </w:r>
      <w:proofErr w:type="spellEnd"/>
      <w:r w:rsidRPr="00051F9F">
        <w:rPr>
          <w:rFonts w:asciiTheme="minorHAnsi" w:hAnsiTheme="minorHAnsi" w:cstheme="minorHAnsi"/>
        </w:rPr>
        <w:t xml:space="preserve"> oral protrusion and more </w:t>
      </w:r>
      <w:proofErr w:type="spellStart"/>
      <w:r w:rsidRPr="00051F9F">
        <w:rPr>
          <w:rFonts w:asciiTheme="minorHAnsi" w:hAnsiTheme="minorHAnsi" w:cstheme="minorHAnsi"/>
        </w:rPr>
        <w:t>than</w:t>
      </w:r>
      <w:proofErr w:type="spellEnd"/>
      <w:r w:rsidRPr="00051F9F">
        <w:rPr>
          <w:rFonts w:asciiTheme="minorHAnsi" w:hAnsiTheme="minorHAnsi" w:cstheme="minorHAnsi"/>
        </w:rPr>
        <w:t xml:space="preserve"> </w:t>
      </w:r>
      <w:proofErr w:type="spellStart"/>
      <w:r w:rsidRPr="00051F9F">
        <w:rPr>
          <w:rFonts w:asciiTheme="minorHAnsi" w:hAnsiTheme="minorHAnsi" w:cstheme="minorHAnsi"/>
        </w:rPr>
        <w:t>two</w:t>
      </w:r>
      <w:proofErr w:type="spellEnd"/>
      <w:r w:rsidRPr="00051F9F">
        <w:rPr>
          <w:rFonts w:asciiTheme="minorHAnsi" w:hAnsiTheme="minorHAnsi" w:cstheme="minorHAnsi"/>
        </w:rPr>
        <w:t xml:space="preserve"> transverse </w:t>
      </w:r>
      <w:proofErr w:type="spellStart"/>
      <w:r w:rsidRPr="00051F9F">
        <w:rPr>
          <w:rFonts w:asciiTheme="minorHAnsi" w:hAnsiTheme="minorHAnsi" w:cstheme="minorHAnsi"/>
        </w:rPr>
        <w:t>folds</w:t>
      </w:r>
      <w:proofErr w:type="spellEnd"/>
      <w:r w:rsidRPr="00051F9F">
        <w:rPr>
          <w:rFonts w:asciiTheme="minorHAnsi" w:hAnsiTheme="minorHAnsi" w:cstheme="minorHAnsi"/>
        </w:rPr>
        <w:t xml:space="preserve"> on the protrusion; type IIC, </w:t>
      </w:r>
      <w:proofErr w:type="spellStart"/>
      <w:r w:rsidRPr="00051F9F">
        <w:rPr>
          <w:rFonts w:asciiTheme="minorHAnsi" w:hAnsiTheme="minorHAnsi" w:cstheme="minorHAnsi"/>
        </w:rPr>
        <w:t>prominent</w:t>
      </w:r>
      <w:proofErr w:type="spellEnd"/>
      <w:r w:rsidRPr="00051F9F">
        <w:rPr>
          <w:rFonts w:asciiTheme="minorHAnsi" w:hAnsiTheme="minorHAnsi" w:cstheme="minorHAnsi"/>
        </w:rPr>
        <w:t xml:space="preserve"> </w:t>
      </w:r>
      <w:proofErr w:type="spellStart"/>
      <w:r w:rsidRPr="00051F9F">
        <w:rPr>
          <w:rFonts w:asciiTheme="minorHAnsi" w:hAnsiTheme="minorHAnsi" w:cstheme="minorHAnsi"/>
        </w:rPr>
        <w:t>bulging</w:t>
      </w:r>
      <w:proofErr w:type="spellEnd"/>
      <w:r w:rsidRPr="00051F9F">
        <w:rPr>
          <w:rFonts w:asciiTheme="minorHAnsi" w:hAnsiTheme="minorHAnsi" w:cstheme="minorHAnsi"/>
        </w:rPr>
        <w:t xml:space="preserve"> type </w:t>
      </w:r>
      <w:proofErr w:type="spellStart"/>
      <w:r w:rsidRPr="00051F9F">
        <w:rPr>
          <w:rFonts w:asciiTheme="minorHAnsi" w:hAnsiTheme="minorHAnsi" w:cstheme="minorHAnsi"/>
        </w:rPr>
        <w:t>with</w:t>
      </w:r>
      <w:proofErr w:type="spellEnd"/>
      <w:r w:rsidRPr="00051F9F">
        <w:rPr>
          <w:rFonts w:asciiTheme="minorHAnsi" w:hAnsiTheme="minorHAnsi" w:cstheme="minorHAnsi"/>
        </w:rPr>
        <w:t xml:space="preserve"> a </w:t>
      </w:r>
      <w:proofErr w:type="spellStart"/>
      <w:r w:rsidRPr="00051F9F">
        <w:rPr>
          <w:rFonts w:asciiTheme="minorHAnsi" w:hAnsiTheme="minorHAnsi" w:cstheme="minorHAnsi"/>
        </w:rPr>
        <w:t>widened</w:t>
      </w:r>
      <w:proofErr w:type="spellEnd"/>
      <w:r w:rsidRPr="00051F9F">
        <w:rPr>
          <w:rFonts w:asciiTheme="minorHAnsi" w:hAnsiTheme="minorHAnsi" w:cstheme="minorHAnsi"/>
        </w:rPr>
        <w:t xml:space="preserve"> and </w:t>
      </w:r>
      <w:proofErr w:type="spellStart"/>
      <w:r w:rsidRPr="00051F9F">
        <w:rPr>
          <w:rFonts w:asciiTheme="minorHAnsi" w:hAnsiTheme="minorHAnsi" w:cstheme="minorHAnsi"/>
        </w:rPr>
        <w:t>bulging</w:t>
      </w:r>
      <w:proofErr w:type="spellEnd"/>
      <w:r w:rsidRPr="00051F9F">
        <w:rPr>
          <w:rFonts w:asciiTheme="minorHAnsi" w:hAnsiTheme="minorHAnsi" w:cstheme="minorHAnsi"/>
        </w:rPr>
        <w:t xml:space="preserve"> oral protrusion; type IIIA, </w:t>
      </w:r>
      <w:proofErr w:type="spellStart"/>
      <w:r w:rsidRPr="00051F9F">
        <w:rPr>
          <w:rFonts w:asciiTheme="minorHAnsi" w:hAnsiTheme="minorHAnsi" w:cstheme="minorHAnsi"/>
        </w:rPr>
        <w:t>diverticular-intradiverticular</w:t>
      </w:r>
      <w:proofErr w:type="spellEnd"/>
      <w:r w:rsidRPr="00051F9F">
        <w:rPr>
          <w:rFonts w:asciiTheme="minorHAnsi" w:hAnsiTheme="minorHAnsi" w:cstheme="minorHAnsi"/>
        </w:rPr>
        <w:t xml:space="preserve"> type </w:t>
      </w:r>
      <w:proofErr w:type="spellStart"/>
      <w:r w:rsidRPr="00051F9F">
        <w:rPr>
          <w:rFonts w:asciiTheme="minorHAnsi" w:hAnsiTheme="minorHAnsi" w:cstheme="minorHAnsi"/>
        </w:rPr>
        <w:t>with</w:t>
      </w:r>
      <w:proofErr w:type="spellEnd"/>
      <w:r w:rsidRPr="00051F9F">
        <w:rPr>
          <w:rFonts w:asciiTheme="minorHAnsi" w:hAnsiTheme="minorHAnsi" w:cstheme="minorHAnsi"/>
        </w:rPr>
        <w:t xml:space="preserve"> the </w:t>
      </w:r>
      <w:proofErr w:type="spellStart"/>
      <w:r w:rsidRPr="00051F9F">
        <w:rPr>
          <w:rFonts w:asciiTheme="minorHAnsi" w:hAnsiTheme="minorHAnsi" w:cstheme="minorHAnsi"/>
        </w:rPr>
        <w:t>papillary</w:t>
      </w:r>
      <w:proofErr w:type="spellEnd"/>
      <w:r w:rsidRPr="00051F9F">
        <w:rPr>
          <w:rFonts w:asciiTheme="minorHAnsi" w:hAnsiTheme="minorHAnsi" w:cstheme="minorHAnsi"/>
        </w:rPr>
        <w:t xml:space="preserve"> orifice </w:t>
      </w:r>
      <w:proofErr w:type="spellStart"/>
      <w:r w:rsidRPr="00051F9F">
        <w:rPr>
          <w:rFonts w:asciiTheme="minorHAnsi" w:hAnsiTheme="minorHAnsi" w:cstheme="minorHAnsi"/>
        </w:rPr>
        <w:t>located</w:t>
      </w:r>
      <w:proofErr w:type="spellEnd"/>
      <w:r w:rsidRPr="00051F9F">
        <w:rPr>
          <w:rFonts w:asciiTheme="minorHAnsi" w:hAnsiTheme="minorHAnsi" w:cstheme="minorHAnsi"/>
        </w:rPr>
        <w:t xml:space="preserve"> </w:t>
      </w:r>
      <w:proofErr w:type="spellStart"/>
      <w:r w:rsidRPr="00051F9F">
        <w:rPr>
          <w:rFonts w:asciiTheme="minorHAnsi" w:hAnsiTheme="minorHAnsi" w:cstheme="minorHAnsi"/>
        </w:rPr>
        <w:t>inside</w:t>
      </w:r>
      <w:proofErr w:type="spellEnd"/>
      <w:r w:rsidRPr="00051F9F">
        <w:rPr>
          <w:rFonts w:asciiTheme="minorHAnsi" w:hAnsiTheme="minorHAnsi" w:cstheme="minorHAnsi"/>
        </w:rPr>
        <w:t xml:space="preserve"> the </w:t>
      </w:r>
      <w:proofErr w:type="spellStart"/>
      <w:r w:rsidRPr="00051F9F">
        <w:rPr>
          <w:rFonts w:asciiTheme="minorHAnsi" w:hAnsiTheme="minorHAnsi" w:cstheme="minorHAnsi"/>
        </w:rPr>
        <w:t>diverticulum</w:t>
      </w:r>
      <w:proofErr w:type="spellEnd"/>
      <w:r w:rsidRPr="00051F9F">
        <w:rPr>
          <w:rFonts w:asciiTheme="minorHAnsi" w:hAnsiTheme="minorHAnsi" w:cstheme="minorHAnsi"/>
        </w:rPr>
        <w:t xml:space="preserve">; type IIIB, </w:t>
      </w:r>
      <w:proofErr w:type="spellStart"/>
      <w:r w:rsidRPr="00051F9F">
        <w:rPr>
          <w:rFonts w:asciiTheme="minorHAnsi" w:hAnsiTheme="minorHAnsi" w:cstheme="minorHAnsi"/>
        </w:rPr>
        <w:t>diverticular</w:t>
      </w:r>
      <w:proofErr w:type="spellEnd"/>
      <w:r w:rsidRPr="00051F9F">
        <w:rPr>
          <w:rFonts w:asciiTheme="minorHAnsi" w:hAnsiTheme="minorHAnsi" w:cstheme="minorHAnsi"/>
        </w:rPr>
        <w:t xml:space="preserve">-border </w:t>
      </w:r>
      <w:proofErr w:type="spellStart"/>
      <w:r w:rsidRPr="00051F9F">
        <w:rPr>
          <w:rFonts w:asciiTheme="minorHAnsi" w:hAnsiTheme="minorHAnsi" w:cstheme="minorHAnsi"/>
        </w:rPr>
        <w:t>diverticular</w:t>
      </w:r>
      <w:proofErr w:type="spellEnd"/>
      <w:r w:rsidRPr="00051F9F">
        <w:rPr>
          <w:rFonts w:asciiTheme="minorHAnsi" w:hAnsiTheme="minorHAnsi" w:cstheme="minorHAnsi"/>
        </w:rPr>
        <w:t xml:space="preserve"> type </w:t>
      </w:r>
      <w:proofErr w:type="spellStart"/>
      <w:r w:rsidRPr="00051F9F">
        <w:rPr>
          <w:rFonts w:asciiTheme="minorHAnsi" w:hAnsiTheme="minorHAnsi" w:cstheme="minorHAnsi"/>
        </w:rPr>
        <w:t>with</w:t>
      </w:r>
      <w:proofErr w:type="spellEnd"/>
      <w:r w:rsidRPr="00051F9F">
        <w:rPr>
          <w:rFonts w:asciiTheme="minorHAnsi" w:hAnsiTheme="minorHAnsi" w:cstheme="minorHAnsi"/>
        </w:rPr>
        <w:t xml:space="preserve"> the </w:t>
      </w:r>
      <w:proofErr w:type="spellStart"/>
      <w:r w:rsidRPr="00051F9F">
        <w:rPr>
          <w:rFonts w:asciiTheme="minorHAnsi" w:hAnsiTheme="minorHAnsi" w:cstheme="minorHAnsi"/>
        </w:rPr>
        <w:lastRenderedPageBreak/>
        <w:t>papillary</w:t>
      </w:r>
      <w:proofErr w:type="spellEnd"/>
      <w:r w:rsidRPr="00051F9F">
        <w:rPr>
          <w:rFonts w:asciiTheme="minorHAnsi" w:hAnsiTheme="minorHAnsi" w:cstheme="minorHAnsi"/>
        </w:rPr>
        <w:t xml:space="preserve"> orifice </w:t>
      </w:r>
      <w:proofErr w:type="spellStart"/>
      <w:r w:rsidRPr="00051F9F">
        <w:rPr>
          <w:rFonts w:asciiTheme="minorHAnsi" w:hAnsiTheme="minorHAnsi" w:cstheme="minorHAnsi"/>
        </w:rPr>
        <w:t>less</w:t>
      </w:r>
      <w:proofErr w:type="spellEnd"/>
      <w:r w:rsidRPr="00051F9F">
        <w:rPr>
          <w:rFonts w:asciiTheme="minorHAnsi" w:hAnsiTheme="minorHAnsi" w:cstheme="minorHAnsi"/>
        </w:rPr>
        <w:t xml:space="preserve"> </w:t>
      </w:r>
      <w:proofErr w:type="spellStart"/>
      <w:r w:rsidRPr="00051F9F">
        <w:rPr>
          <w:rFonts w:asciiTheme="minorHAnsi" w:hAnsiTheme="minorHAnsi" w:cstheme="minorHAnsi"/>
        </w:rPr>
        <w:t>than</w:t>
      </w:r>
      <w:proofErr w:type="spellEnd"/>
      <w:r w:rsidRPr="00051F9F">
        <w:rPr>
          <w:rFonts w:asciiTheme="minorHAnsi" w:hAnsiTheme="minorHAnsi" w:cstheme="minorHAnsi"/>
        </w:rPr>
        <w:t xml:space="preserve"> 2 cm </w:t>
      </w:r>
      <w:proofErr w:type="spellStart"/>
      <w:r w:rsidRPr="00051F9F">
        <w:rPr>
          <w:rFonts w:asciiTheme="minorHAnsi" w:hAnsiTheme="minorHAnsi" w:cstheme="minorHAnsi"/>
        </w:rPr>
        <w:t>from</w:t>
      </w:r>
      <w:proofErr w:type="spellEnd"/>
      <w:r w:rsidRPr="00051F9F">
        <w:rPr>
          <w:rFonts w:asciiTheme="minorHAnsi" w:hAnsiTheme="minorHAnsi" w:cstheme="minorHAnsi"/>
        </w:rPr>
        <w:t xml:space="preserve"> the </w:t>
      </w:r>
      <w:proofErr w:type="spellStart"/>
      <w:r w:rsidRPr="00051F9F">
        <w:rPr>
          <w:rFonts w:asciiTheme="minorHAnsi" w:hAnsiTheme="minorHAnsi" w:cstheme="minorHAnsi"/>
        </w:rPr>
        <w:t>diverticular</w:t>
      </w:r>
      <w:proofErr w:type="spellEnd"/>
      <w:r w:rsidRPr="00051F9F">
        <w:rPr>
          <w:rFonts w:asciiTheme="minorHAnsi" w:hAnsiTheme="minorHAnsi" w:cstheme="minorHAnsi"/>
        </w:rPr>
        <w:t xml:space="preserve"> </w:t>
      </w:r>
      <w:proofErr w:type="spellStart"/>
      <w:r w:rsidRPr="00051F9F">
        <w:rPr>
          <w:rFonts w:asciiTheme="minorHAnsi" w:hAnsiTheme="minorHAnsi" w:cstheme="minorHAnsi"/>
        </w:rPr>
        <w:t>edge</w:t>
      </w:r>
      <w:proofErr w:type="spellEnd"/>
      <w:r w:rsidRPr="00051F9F">
        <w:rPr>
          <w:rFonts w:asciiTheme="minorHAnsi" w:hAnsiTheme="minorHAnsi" w:cstheme="minorHAnsi"/>
        </w:rPr>
        <w:t xml:space="preserve">; and type IV, </w:t>
      </w:r>
      <w:proofErr w:type="spellStart"/>
      <w:r w:rsidRPr="00051F9F">
        <w:rPr>
          <w:rFonts w:asciiTheme="minorHAnsi" w:hAnsiTheme="minorHAnsi" w:cstheme="minorHAnsi"/>
        </w:rPr>
        <w:t>unclassified</w:t>
      </w:r>
      <w:proofErr w:type="spellEnd"/>
      <w:r w:rsidRPr="00051F9F">
        <w:rPr>
          <w:rFonts w:asciiTheme="minorHAnsi" w:hAnsiTheme="minorHAnsi" w:cstheme="minorHAnsi"/>
        </w:rPr>
        <w:t xml:space="preserve"> </w:t>
      </w:r>
      <w:proofErr w:type="spellStart"/>
      <w:r w:rsidRPr="00051F9F">
        <w:rPr>
          <w:rFonts w:asciiTheme="minorHAnsi" w:hAnsiTheme="minorHAnsi" w:cstheme="minorHAnsi"/>
        </w:rPr>
        <w:t>papilla</w:t>
      </w:r>
      <w:proofErr w:type="spellEnd"/>
      <w:r w:rsidRPr="00051F9F">
        <w:rPr>
          <w:rFonts w:asciiTheme="minorHAnsi" w:hAnsiTheme="minorHAnsi" w:cstheme="minorHAnsi"/>
        </w:rPr>
        <w:t xml:space="preserve"> </w:t>
      </w:r>
      <w:proofErr w:type="spellStart"/>
      <w:r w:rsidRPr="00051F9F">
        <w:rPr>
          <w:rFonts w:asciiTheme="minorHAnsi" w:hAnsiTheme="minorHAnsi" w:cstheme="minorHAnsi"/>
        </w:rPr>
        <w:t>without</w:t>
      </w:r>
      <w:proofErr w:type="spellEnd"/>
      <w:r w:rsidRPr="00051F9F">
        <w:rPr>
          <w:rFonts w:asciiTheme="minorHAnsi" w:hAnsiTheme="minorHAnsi" w:cstheme="minorHAnsi"/>
        </w:rPr>
        <w:t xml:space="preserve"> </w:t>
      </w:r>
      <w:proofErr w:type="spellStart"/>
      <w:r w:rsidRPr="00051F9F">
        <w:rPr>
          <w:rFonts w:asciiTheme="minorHAnsi" w:hAnsiTheme="minorHAnsi" w:cstheme="minorHAnsi"/>
        </w:rPr>
        <w:t>morphology</w:t>
      </w:r>
      <w:proofErr w:type="spellEnd"/>
      <w:r w:rsidRPr="00051F9F">
        <w:rPr>
          <w:rFonts w:asciiTheme="minorHAnsi" w:hAnsiTheme="minorHAnsi" w:cstheme="minorHAnsi"/>
        </w:rPr>
        <w:t xml:space="preserve"> </w:t>
      </w:r>
      <w:proofErr w:type="spellStart"/>
      <w:r w:rsidRPr="00051F9F">
        <w:rPr>
          <w:rFonts w:asciiTheme="minorHAnsi" w:hAnsiTheme="minorHAnsi" w:cstheme="minorHAnsi"/>
        </w:rPr>
        <w:t>fitting</w:t>
      </w:r>
      <w:proofErr w:type="spellEnd"/>
      <w:r w:rsidRPr="00051F9F">
        <w:rPr>
          <w:rFonts w:asciiTheme="minorHAnsi" w:hAnsiTheme="minorHAnsi" w:cstheme="minorHAnsi"/>
        </w:rPr>
        <w:t xml:space="preserve"> the </w:t>
      </w:r>
      <w:proofErr w:type="spellStart"/>
      <w:r w:rsidRPr="00051F9F">
        <w:rPr>
          <w:rFonts w:asciiTheme="minorHAnsi" w:hAnsiTheme="minorHAnsi" w:cstheme="minorHAnsi"/>
        </w:rPr>
        <w:t>other</w:t>
      </w:r>
      <w:proofErr w:type="spellEnd"/>
      <w:r w:rsidRPr="00051F9F">
        <w:rPr>
          <w:rFonts w:asciiTheme="minorHAnsi" w:hAnsiTheme="minorHAnsi" w:cstheme="minorHAnsi"/>
        </w:rPr>
        <w:t xml:space="preserve"> </w:t>
      </w:r>
      <w:proofErr w:type="spellStart"/>
      <w:r w:rsidRPr="00051F9F">
        <w:rPr>
          <w:rFonts w:asciiTheme="minorHAnsi" w:hAnsiTheme="minorHAnsi" w:cstheme="minorHAnsi"/>
        </w:rPr>
        <w:t>categories</w:t>
      </w:r>
      <w:proofErr w:type="spellEnd"/>
      <w:r w:rsidRPr="00051F9F">
        <w:rPr>
          <w:rFonts w:asciiTheme="minorHAnsi" w:hAnsiTheme="minorHAnsi" w:cstheme="minorHAnsi"/>
        </w:rPr>
        <w:t>.</w:t>
      </w:r>
    </w:p>
    <w:p w14:paraId="777D8E24" w14:textId="77777777" w:rsidR="002E1953" w:rsidRPr="00051F9F" w:rsidRDefault="002E1953" w:rsidP="000E53EF">
      <w:pPr>
        <w:pStyle w:val="NormalWeb"/>
        <w:spacing w:after="120" w:afterAutospacing="0"/>
        <w:rPr>
          <w:rFonts w:asciiTheme="minorHAnsi" w:hAnsiTheme="minorHAnsi" w:cstheme="minorHAnsi"/>
        </w:rPr>
      </w:pPr>
      <w:r w:rsidRPr="00051F9F">
        <w:rPr>
          <w:rFonts w:asciiTheme="minorHAnsi" w:hAnsiTheme="minorHAnsi" w:cstheme="minorHAnsi"/>
        </w:rPr>
        <w:t xml:space="preserve">It has been </w:t>
      </w:r>
      <w:proofErr w:type="spellStart"/>
      <w:r w:rsidRPr="00051F9F">
        <w:rPr>
          <w:rFonts w:asciiTheme="minorHAnsi" w:hAnsiTheme="minorHAnsi" w:cstheme="minorHAnsi"/>
        </w:rPr>
        <w:t>demonstrated</w:t>
      </w:r>
      <w:proofErr w:type="spellEnd"/>
      <w:r w:rsidRPr="00051F9F">
        <w:rPr>
          <w:rFonts w:asciiTheme="minorHAnsi" w:hAnsiTheme="minorHAnsi" w:cstheme="minorHAnsi"/>
        </w:rPr>
        <w:t xml:space="preserve"> </w:t>
      </w:r>
      <w:proofErr w:type="spellStart"/>
      <w:r w:rsidRPr="00051F9F">
        <w:rPr>
          <w:rFonts w:asciiTheme="minorHAnsi" w:hAnsiTheme="minorHAnsi" w:cstheme="minorHAnsi"/>
        </w:rPr>
        <w:t>that</w:t>
      </w:r>
      <w:proofErr w:type="spellEnd"/>
      <w:r w:rsidRPr="00051F9F">
        <w:rPr>
          <w:rFonts w:asciiTheme="minorHAnsi" w:hAnsiTheme="minorHAnsi" w:cstheme="minorHAnsi"/>
        </w:rPr>
        <w:t xml:space="preserve"> types I and II are </w:t>
      </w:r>
      <w:proofErr w:type="spellStart"/>
      <w:r w:rsidRPr="00051F9F">
        <w:rPr>
          <w:rFonts w:asciiTheme="minorHAnsi" w:hAnsiTheme="minorHAnsi" w:cstheme="minorHAnsi"/>
        </w:rPr>
        <w:t>significantly</w:t>
      </w:r>
      <w:proofErr w:type="spellEnd"/>
      <w:r w:rsidRPr="00051F9F">
        <w:rPr>
          <w:rFonts w:asciiTheme="minorHAnsi" w:hAnsiTheme="minorHAnsi" w:cstheme="minorHAnsi"/>
        </w:rPr>
        <w:t xml:space="preserve"> </w:t>
      </w:r>
      <w:proofErr w:type="spellStart"/>
      <w:r w:rsidRPr="00051F9F">
        <w:rPr>
          <w:rFonts w:asciiTheme="minorHAnsi" w:hAnsiTheme="minorHAnsi" w:cstheme="minorHAnsi"/>
        </w:rPr>
        <w:t>associated</w:t>
      </w:r>
      <w:proofErr w:type="spellEnd"/>
      <w:r w:rsidRPr="00051F9F">
        <w:rPr>
          <w:rFonts w:asciiTheme="minorHAnsi" w:hAnsiTheme="minorHAnsi" w:cstheme="minorHAnsi"/>
        </w:rPr>
        <w:t xml:space="preserve"> </w:t>
      </w:r>
      <w:proofErr w:type="spellStart"/>
      <w:r w:rsidRPr="00051F9F">
        <w:rPr>
          <w:rFonts w:asciiTheme="minorHAnsi" w:hAnsiTheme="minorHAnsi" w:cstheme="minorHAnsi"/>
        </w:rPr>
        <w:t>with</w:t>
      </w:r>
      <w:proofErr w:type="spellEnd"/>
      <w:r w:rsidRPr="00051F9F">
        <w:rPr>
          <w:rFonts w:asciiTheme="minorHAnsi" w:hAnsiTheme="minorHAnsi" w:cstheme="minorHAnsi"/>
        </w:rPr>
        <w:t xml:space="preserve"> </w:t>
      </w:r>
      <w:proofErr w:type="spellStart"/>
      <w:r w:rsidRPr="00051F9F">
        <w:rPr>
          <w:rFonts w:asciiTheme="minorHAnsi" w:hAnsiTheme="minorHAnsi" w:cstheme="minorHAnsi"/>
        </w:rPr>
        <w:t>biliary</w:t>
      </w:r>
      <w:proofErr w:type="spellEnd"/>
      <w:r w:rsidRPr="00051F9F">
        <w:rPr>
          <w:rFonts w:asciiTheme="minorHAnsi" w:hAnsiTheme="minorHAnsi" w:cstheme="minorHAnsi"/>
        </w:rPr>
        <w:t xml:space="preserve"> </w:t>
      </w:r>
      <w:proofErr w:type="spellStart"/>
      <w:r w:rsidRPr="00051F9F">
        <w:rPr>
          <w:rFonts w:asciiTheme="minorHAnsi" w:hAnsiTheme="minorHAnsi" w:cstheme="minorHAnsi"/>
        </w:rPr>
        <w:t>cannulation</w:t>
      </w:r>
      <w:proofErr w:type="spellEnd"/>
      <w:r w:rsidRPr="00051F9F">
        <w:rPr>
          <w:rFonts w:asciiTheme="minorHAnsi" w:hAnsiTheme="minorHAnsi" w:cstheme="minorHAnsi"/>
        </w:rPr>
        <w:t xml:space="preserve"> </w:t>
      </w:r>
      <w:proofErr w:type="spellStart"/>
      <w:r w:rsidRPr="00051F9F">
        <w:rPr>
          <w:rFonts w:asciiTheme="minorHAnsi" w:hAnsiTheme="minorHAnsi" w:cstheme="minorHAnsi"/>
        </w:rPr>
        <w:t>failure</w:t>
      </w:r>
      <w:proofErr w:type="spellEnd"/>
      <w:r w:rsidRPr="00051F9F">
        <w:rPr>
          <w:rFonts w:asciiTheme="minorHAnsi" w:hAnsiTheme="minorHAnsi" w:cstheme="minorHAnsi"/>
        </w:rPr>
        <w:t xml:space="preserve"> </w:t>
      </w:r>
      <w:proofErr w:type="spellStart"/>
      <w:r w:rsidRPr="00051F9F">
        <w:rPr>
          <w:rFonts w:asciiTheme="minorHAnsi" w:hAnsiTheme="minorHAnsi" w:cstheme="minorHAnsi"/>
        </w:rPr>
        <w:t>according</w:t>
      </w:r>
      <w:proofErr w:type="spellEnd"/>
      <w:r w:rsidRPr="00051F9F">
        <w:rPr>
          <w:rFonts w:asciiTheme="minorHAnsi" w:hAnsiTheme="minorHAnsi" w:cstheme="minorHAnsi"/>
        </w:rPr>
        <w:t xml:space="preserve"> to prospective </w:t>
      </w:r>
      <w:proofErr w:type="spellStart"/>
      <w:r w:rsidRPr="00051F9F">
        <w:rPr>
          <w:rFonts w:asciiTheme="minorHAnsi" w:hAnsiTheme="minorHAnsi" w:cstheme="minorHAnsi"/>
        </w:rPr>
        <w:t>multicenter</w:t>
      </w:r>
      <w:proofErr w:type="spellEnd"/>
      <w:r w:rsidRPr="00051F9F">
        <w:rPr>
          <w:rFonts w:asciiTheme="minorHAnsi" w:hAnsiTheme="minorHAnsi" w:cstheme="minorHAnsi"/>
        </w:rPr>
        <w:t xml:space="preserve"> </w:t>
      </w:r>
      <w:proofErr w:type="spellStart"/>
      <w:r w:rsidRPr="00051F9F">
        <w:rPr>
          <w:rFonts w:asciiTheme="minorHAnsi" w:hAnsiTheme="minorHAnsi" w:cstheme="minorHAnsi"/>
        </w:rPr>
        <w:t>studies</w:t>
      </w:r>
      <w:proofErr w:type="spellEnd"/>
      <w:r w:rsidRPr="00051F9F">
        <w:rPr>
          <w:rFonts w:asciiTheme="minorHAnsi" w:hAnsiTheme="minorHAnsi" w:cstheme="minorHAnsi"/>
        </w:rPr>
        <w:t xml:space="preserve"> </w:t>
      </w:r>
      <w:proofErr w:type="spellStart"/>
      <w:r w:rsidRPr="00051F9F">
        <w:rPr>
          <w:rFonts w:asciiTheme="minorHAnsi" w:hAnsiTheme="minorHAnsi" w:cstheme="minorHAnsi"/>
        </w:rPr>
        <w:t>conducted</w:t>
      </w:r>
      <w:proofErr w:type="spellEnd"/>
      <w:r w:rsidRPr="00051F9F">
        <w:rPr>
          <w:rFonts w:asciiTheme="minorHAnsi" w:hAnsiTheme="minorHAnsi" w:cstheme="minorHAnsi"/>
        </w:rPr>
        <w:t xml:space="preserve"> in </w:t>
      </w:r>
      <w:proofErr w:type="spellStart"/>
      <w:r w:rsidRPr="00051F9F">
        <w:rPr>
          <w:rFonts w:asciiTheme="minorHAnsi" w:hAnsiTheme="minorHAnsi" w:cstheme="minorHAnsi"/>
        </w:rPr>
        <w:t>Scandinavia</w:t>
      </w:r>
      <w:proofErr w:type="spellEnd"/>
      <w:r w:rsidRPr="00051F9F">
        <w:rPr>
          <w:rFonts w:asciiTheme="minorHAnsi" w:hAnsiTheme="minorHAnsi" w:cstheme="minorHAnsi"/>
        </w:rPr>
        <w:t xml:space="preserve">, </w:t>
      </w:r>
      <w:proofErr w:type="spellStart"/>
      <w:r w:rsidRPr="00051F9F">
        <w:rPr>
          <w:rFonts w:asciiTheme="minorHAnsi" w:hAnsiTheme="minorHAnsi" w:cstheme="minorHAnsi"/>
        </w:rPr>
        <w:t>which</w:t>
      </w:r>
      <w:proofErr w:type="spellEnd"/>
      <w:r w:rsidRPr="00051F9F">
        <w:rPr>
          <w:rFonts w:asciiTheme="minorHAnsi" w:hAnsiTheme="minorHAnsi" w:cstheme="minorHAnsi"/>
        </w:rPr>
        <w:t xml:space="preserve"> </w:t>
      </w:r>
      <w:proofErr w:type="spellStart"/>
      <w:r w:rsidRPr="00051F9F">
        <w:rPr>
          <w:rFonts w:asciiTheme="minorHAnsi" w:hAnsiTheme="minorHAnsi" w:cstheme="minorHAnsi"/>
        </w:rPr>
        <w:t>align</w:t>
      </w:r>
      <w:proofErr w:type="spellEnd"/>
      <w:r w:rsidRPr="00051F9F">
        <w:rPr>
          <w:rFonts w:asciiTheme="minorHAnsi" w:hAnsiTheme="minorHAnsi" w:cstheme="minorHAnsi"/>
        </w:rPr>
        <w:t xml:space="preserve"> </w:t>
      </w:r>
      <w:proofErr w:type="spellStart"/>
      <w:r w:rsidRPr="00051F9F">
        <w:rPr>
          <w:rFonts w:asciiTheme="minorHAnsi" w:hAnsiTheme="minorHAnsi" w:cstheme="minorHAnsi"/>
        </w:rPr>
        <w:t>with</w:t>
      </w:r>
      <w:proofErr w:type="spellEnd"/>
      <w:r w:rsidRPr="00051F9F">
        <w:rPr>
          <w:rFonts w:asciiTheme="minorHAnsi" w:hAnsiTheme="minorHAnsi" w:cstheme="minorHAnsi"/>
        </w:rPr>
        <w:t xml:space="preserve"> the </w:t>
      </w:r>
      <w:proofErr w:type="spellStart"/>
      <w:r w:rsidRPr="00051F9F">
        <w:rPr>
          <w:rFonts w:asciiTheme="minorHAnsi" w:hAnsiTheme="minorHAnsi" w:cstheme="minorHAnsi"/>
        </w:rPr>
        <w:t>findings</w:t>
      </w:r>
      <w:proofErr w:type="spellEnd"/>
      <w:r w:rsidRPr="00051F9F">
        <w:rPr>
          <w:rFonts w:asciiTheme="minorHAnsi" w:hAnsiTheme="minorHAnsi" w:cstheme="minorHAnsi"/>
        </w:rPr>
        <w:t xml:space="preserve"> of </w:t>
      </w:r>
      <w:proofErr w:type="spellStart"/>
      <w:r w:rsidRPr="00051F9F">
        <w:rPr>
          <w:rFonts w:asciiTheme="minorHAnsi" w:hAnsiTheme="minorHAnsi" w:cstheme="minorHAnsi"/>
        </w:rPr>
        <w:t>our</w:t>
      </w:r>
      <w:proofErr w:type="spellEnd"/>
      <w:r w:rsidRPr="00051F9F">
        <w:rPr>
          <w:rFonts w:asciiTheme="minorHAnsi" w:hAnsiTheme="minorHAnsi" w:cstheme="minorHAnsi"/>
        </w:rPr>
        <w:t xml:space="preserve"> </w:t>
      </w:r>
      <w:proofErr w:type="spellStart"/>
      <w:r w:rsidRPr="00051F9F">
        <w:rPr>
          <w:rFonts w:asciiTheme="minorHAnsi" w:hAnsiTheme="minorHAnsi" w:cstheme="minorHAnsi"/>
        </w:rPr>
        <w:t>study</w:t>
      </w:r>
      <w:proofErr w:type="spellEnd"/>
      <w:r w:rsidRPr="00051F9F">
        <w:rPr>
          <w:rFonts w:asciiTheme="minorHAnsi" w:hAnsiTheme="minorHAnsi" w:cstheme="minorHAnsi"/>
        </w:rPr>
        <w:t xml:space="preserve"> </w:t>
      </w:r>
      <w:r w:rsidR="00EF54C5" w:rsidRPr="00051F9F">
        <w:rPr>
          <w:rFonts w:asciiTheme="minorHAnsi" w:hAnsiTheme="minorHAnsi" w:cstheme="minorHAnsi"/>
          <w:b/>
        </w:rPr>
        <w:t>[13, 14</w:t>
      </w:r>
      <w:r w:rsidRPr="00051F9F">
        <w:rPr>
          <w:rFonts w:asciiTheme="minorHAnsi" w:hAnsiTheme="minorHAnsi" w:cstheme="minorHAnsi"/>
          <w:b/>
        </w:rPr>
        <w:t>].</w:t>
      </w:r>
    </w:p>
    <w:p w14:paraId="26C2F60A" w14:textId="77777777" w:rsidR="002E1953" w:rsidRPr="00051F9F" w:rsidRDefault="002E1953" w:rsidP="000E53EF">
      <w:pPr>
        <w:pStyle w:val="NormalWeb"/>
        <w:spacing w:after="120" w:afterAutospacing="0"/>
        <w:rPr>
          <w:rFonts w:asciiTheme="minorHAnsi" w:hAnsiTheme="minorHAnsi" w:cstheme="minorHAnsi"/>
        </w:rPr>
      </w:pPr>
      <w:r w:rsidRPr="00051F9F">
        <w:rPr>
          <w:rFonts w:asciiTheme="minorHAnsi" w:hAnsiTheme="minorHAnsi" w:cstheme="minorHAnsi"/>
        </w:rPr>
        <w:t xml:space="preserve">In </w:t>
      </w:r>
      <w:proofErr w:type="spellStart"/>
      <w:r w:rsidRPr="00051F9F">
        <w:rPr>
          <w:rFonts w:asciiTheme="minorHAnsi" w:hAnsiTheme="minorHAnsi" w:cstheme="minorHAnsi"/>
        </w:rPr>
        <w:t>our</w:t>
      </w:r>
      <w:proofErr w:type="spellEnd"/>
      <w:r w:rsidRPr="00051F9F">
        <w:rPr>
          <w:rFonts w:asciiTheme="minorHAnsi" w:hAnsiTheme="minorHAnsi" w:cstheme="minorHAnsi"/>
        </w:rPr>
        <w:t xml:space="preserve"> </w:t>
      </w:r>
      <w:proofErr w:type="spellStart"/>
      <w:r w:rsidRPr="00051F9F">
        <w:rPr>
          <w:rFonts w:asciiTheme="minorHAnsi" w:hAnsiTheme="minorHAnsi" w:cstheme="minorHAnsi"/>
        </w:rPr>
        <w:t>study</w:t>
      </w:r>
      <w:proofErr w:type="spellEnd"/>
      <w:r w:rsidRPr="00051F9F">
        <w:rPr>
          <w:rFonts w:asciiTheme="minorHAnsi" w:hAnsiTheme="minorHAnsi" w:cstheme="minorHAnsi"/>
        </w:rPr>
        <w:t xml:space="preserve">, </w:t>
      </w:r>
      <w:proofErr w:type="spellStart"/>
      <w:r w:rsidRPr="00051F9F">
        <w:rPr>
          <w:rFonts w:asciiTheme="minorHAnsi" w:hAnsiTheme="minorHAnsi" w:cstheme="minorHAnsi"/>
        </w:rPr>
        <w:t>other</w:t>
      </w:r>
      <w:proofErr w:type="spellEnd"/>
      <w:r w:rsidRPr="00051F9F">
        <w:rPr>
          <w:rFonts w:asciiTheme="minorHAnsi" w:hAnsiTheme="minorHAnsi" w:cstheme="minorHAnsi"/>
        </w:rPr>
        <w:t xml:space="preserve"> </w:t>
      </w:r>
      <w:proofErr w:type="spellStart"/>
      <w:r w:rsidRPr="00051F9F">
        <w:rPr>
          <w:rFonts w:asciiTheme="minorHAnsi" w:hAnsiTheme="minorHAnsi" w:cstheme="minorHAnsi"/>
        </w:rPr>
        <w:t>factors</w:t>
      </w:r>
      <w:proofErr w:type="spellEnd"/>
      <w:r w:rsidRPr="00051F9F">
        <w:rPr>
          <w:rFonts w:asciiTheme="minorHAnsi" w:hAnsiTheme="minorHAnsi" w:cstheme="minorHAnsi"/>
        </w:rPr>
        <w:t xml:space="preserve"> </w:t>
      </w:r>
      <w:proofErr w:type="spellStart"/>
      <w:r w:rsidRPr="00051F9F">
        <w:rPr>
          <w:rFonts w:asciiTheme="minorHAnsi" w:hAnsiTheme="minorHAnsi" w:cstheme="minorHAnsi"/>
        </w:rPr>
        <w:t>significantly</w:t>
      </w:r>
      <w:proofErr w:type="spellEnd"/>
      <w:r w:rsidRPr="00051F9F">
        <w:rPr>
          <w:rFonts w:asciiTheme="minorHAnsi" w:hAnsiTheme="minorHAnsi" w:cstheme="minorHAnsi"/>
        </w:rPr>
        <w:t xml:space="preserve"> </w:t>
      </w:r>
      <w:proofErr w:type="spellStart"/>
      <w:r w:rsidRPr="00051F9F">
        <w:rPr>
          <w:rFonts w:asciiTheme="minorHAnsi" w:hAnsiTheme="minorHAnsi" w:cstheme="minorHAnsi"/>
        </w:rPr>
        <w:t>associated</w:t>
      </w:r>
      <w:proofErr w:type="spellEnd"/>
      <w:r w:rsidRPr="00051F9F">
        <w:rPr>
          <w:rFonts w:asciiTheme="minorHAnsi" w:hAnsiTheme="minorHAnsi" w:cstheme="minorHAnsi"/>
        </w:rPr>
        <w:t xml:space="preserve"> </w:t>
      </w:r>
      <w:proofErr w:type="spellStart"/>
      <w:r w:rsidRPr="00051F9F">
        <w:rPr>
          <w:rFonts w:asciiTheme="minorHAnsi" w:hAnsiTheme="minorHAnsi" w:cstheme="minorHAnsi"/>
        </w:rPr>
        <w:t>with</w:t>
      </w:r>
      <w:proofErr w:type="spellEnd"/>
      <w:r w:rsidRPr="00051F9F">
        <w:rPr>
          <w:rFonts w:asciiTheme="minorHAnsi" w:hAnsiTheme="minorHAnsi" w:cstheme="minorHAnsi"/>
        </w:rPr>
        <w:t xml:space="preserve"> </w:t>
      </w:r>
      <w:proofErr w:type="spellStart"/>
      <w:r w:rsidRPr="00051F9F">
        <w:rPr>
          <w:rFonts w:asciiTheme="minorHAnsi" w:hAnsiTheme="minorHAnsi" w:cstheme="minorHAnsi"/>
        </w:rPr>
        <w:t>cannulation</w:t>
      </w:r>
      <w:proofErr w:type="spellEnd"/>
      <w:r w:rsidRPr="00051F9F">
        <w:rPr>
          <w:rFonts w:asciiTheme="minorHAnsi" w:hAnsiTheme="minorHAnsi" w:cstheme="minorHAnsi"/>
        </w:rPr>
        <w:t xml:space="preserve"> </w:t>
      </w:r>
      <w:proofErr w:type="spellStart"/>
      <w:r w:rsidRPr="00051F9F">
        <w:rPr>
          <w:rFonts w:asciiTheme="minorHAnsi" w:hAnsiTheme="minorHAnsi" w:cstheme="minorHAnsi"/>
        </w:rPr>
        <w:t>failure</w:t>
      </w:r>
      <w:proofErr w:type="spellEnd"/>
      <w:r w:rsidRPr="00051F9F">
        <w:rPr>
          <w:rFonts w:asciiTheme="minorHAnsi" w:hAnsiTheme="minorHAnsi" w:cstheme="minorHAnsi"/>
        </w:rPr>
        <w:t xml:space="preserve"> </w:t>
      </w:r>
      <w:proofErr w:type="spellStart"/>
      <w:r w:rsidRPr="00051F9F">
        <w:rPr>
          <w:rFonts w:asciiTheme="minorHAnsi" w:hAnsiTheme="minorHAnsi" w:cstheme="minorHAnsi"/>
        </w:rPr>
        <w:t>included</w:t>
      </w:r>
      <w:proofErr w:type="spellEnd"/>
      <w:r w:rsidRPr="00051F9F">
        <w:rPr>
          <w:rFonts w:asciiTheme="minorHAnsi" w:hAnsiTheme="minorHAnsi" w:cstheme="minorHAnsi"/>
        </w:rPr>
        <w:t xml:space="preserve"> </w:t>
      </w:r>
      <w:proofErr w:type="spellStart"/>
      <w:r w:rsidRPr="00051F9F">
        <w:rPr>
          <w:rFonts w:asciiTheme="minorHAnsi" w:hAnsiTheme="minorHAnsi" w:cstheme="minorHAnsi"/>
        </w:rPr>
        <w:t>impacted</w:t>
      </w:r>
      <w:proofErr w:type="spellEnd"/>
      <w:r w:rsidRPr="00051F9F">
        <w:rPr>
          <w:rFonts w:asciiTheme="minorHAnsi" w:hAnsiTheme="minorHAnsi" w:cstheme="minorHAnsi"/>
        </w:rPr>
        <w:t xml:space="preserve"> stones in the distal </w:t>
      </w:r>
      <w:proofErr w:type="spellStart"/>
      <w:r w:rsidRPr="00051F9F">
        <w:rPr>
          <w:rFonts w:asciiTheme="minorHAnsi" w:hAnsiTheme="minorHAnsi" w:cstheme="minorHAnsi"/>
        </w:rPr>
        <w:t>common</w:t>
      </w:r>
      <w:proofErr w:type="spellEnd"/>
      <w:r w:rsidRPr="00051F9F">
        <w:rPr>
          <w:rFonts w:asciiTheme="minorHAnsi" w:hAnsiTheme="minorHAnsi" w:cstheme="minorHAnsi"/>
        </w:rPr>
        <w:t xml:space="preserve"> bile </w:t>
      </w:r>
      <w:proofErr w:type="spellStart"/>
      <w:r w:rsidRPr="00051F9F">
        <w:rPr>
          <w:rFonts w:asciiTheme="minorHAnsi" w:hAnsiTheme="minorHAnsi" w:cstheme="minorHAnsi"/>
        </w:rPr>
        <w:t>duct</w:t>
      </w:r>
      <w:proofErr w:type="spellEnd"/>
      <w:r w:rsidRPr="00051F9F">
        <w:rPr>
          <w:rFonts w:asciiTheme="minorHAnsi" w:hAnsiTheme="minorHAnsi" w:cstheme="minorHAnsi"/>
        </w:rPr>
        <w:t xml:space="preserve"> (p&lt;0.001) and </w:t>
      </w:r>
      <w:proofErr w:type="spellStart"/>
      <w:r w:rsidRPr="00051F9F">
        <w:rPr>
          <w:rFonts w:asciiTheme="minorHAnsi" w:hAnsiTheme="minorHAnsi" w:cstheme="minorHAnsi"/>
        </w:rPr>
        <w:t>intradiverticular</w:t>
      </w:r>
      <w:proofErr w:type="spellEnd"/>
      <w:r w:rsidRPr="00051F9F">
        <w:rPr>
          <w:rFonts w:asciiTheme="minorHAnsi" w:hAnsiTheme="minorHAnsi" w:cstheme="minorHAnsi"/>
        </w:rPr>
        <w:t xml:space="preserve"> </w:t>
      </w:r>
      <w:proofErr w:type="spellStart"/>
      <w:r w:rsidRPr="00051F9F">
        <w:rPr>
          <w:rFonts w:asciiTheme="minorHAnsi" w:hAnsiTheme="minorHAnsi" w:cstheme="minorHAnsi"/>
        </w:rPr>
        <w:t>papilla</w:t>
      </w:r>
      <w:proofErr w:type="spellEnd"/>
      <w:r w:rsidRPr="00051F9F">
        <w:rPr>
          <w:rFonts w:asciiTheme="minorHAnsi" w:hAnsiTheme="minorHAnsi" w:cstheme="minorHAnsi"/>
        </w:rPr>
        <w:t xml:space="preserve"> (p&lt;0.001), consistent </w:t>
      </w:r>
      <w:proofErr w:type="spellStart"/>
      <w:r w:rsidRPr="00051F9F">
        <w:rPr>
          <w:rFonts w:asciiTheme="minorHAnsi" w:hAnsiTheme="minorHAnsi" w:cstheme="minorHAnsi"/>
        </w:rPr>
        <w:t>with</w:t>
      </w:r>
      <w:proofErr w:type="spellEnd"/>
      <w:r w:rsidRPr="00051F9F">
        <w:rPr>
          <w:rFonts w:asciiTheme="minorHAnsi" w:hAnsiTheme="minorHAnsi" w:cstheme="minorHAnsi"/>
        </w:rPr>
        <w:t xml:space="preserve"> </w:t>
      </w:r>
      <w:proofErr w:type="spellStart"/>
      <w:r w:rsidRPr="00051F9F">
        <w:rPr>
          <w:rFonts w:asciiTheme="minorHAnsi" w:hAnsiTheme="minorHAnsi" w:cstheme="minorHAnsi"/>
        </w:rPr>
        <w:t>results</w:t>
      </w:r>
      <w:proofErr w:type="spellEnd"/>
      <w:r w:rsidRPr="00051F9F">
        <w:rPr>
          <w:rFonts w:asciiTheme="minorHAnsi" w:hAnsiTheme="minorHAnsi" w:cstheme="minorHAnsi"/>
        </w:rPr>
        <w:t xml:space="preserve"> </w:t>
      </w:r>
      <w:proofErr w:type="spellStart"/>
      <w:r w:rsidRPr="00051F9F">
        <w:rPr>
          <w:rFonts w:asciiTheme="minorHAnsi" w:hAnsiTheme="minorHAnsi" w:cstheme="minorHAnsi"/>
        </w:rPr>
        <w:t>reported</w:t>
      </w:r>
      <w:proofErr w:type="spellEnd"/>
      <w:r w:rsidRPr="00051F9F">
        <w:rPr>
          <w:rFonts w:asciiTheme="minorHAnsi" w:hAnsiTheme="minorHAnsi" w:cstheme="minorHAnsi"/>
        </w:rPr>
        <w:t xml:space="preserve"> in the </w:t>
      </w:r>
      <w:proofErr w:type="spellStart"/>
      <w:r w:rsidRPr="00051F9F">
        <w:rPr>
          <w:rFonts w:asciiTheme="minorHAnsi" w:hAnsiTheme="minorHAnsi" w:cstheme="minorHAnsi"/>
        </w:rPr>
        <w:t>literature</w:t>
      </w:r>
      <w:proofErr w:type="spellEnd"/>
      <w:r w:rsidRPr="00051F9F">
        <w:rPr>
          <w:rFonts w:asciiTheme="minorHAnsi" w:hAnsiTheme="minorHAnsi" w:cstheme="minorHAnsi"/>
        </w:rPr>
        <w:t xml:space="preserve"> </w:t>
      </w:r>
      <w:r w:rsidRPr="00051F9F">
        <w:rPr>
          <w:rFonts w:asciiTheme="minorHAnsi" w:hAnsiTheme="minorHAnsi" w:cstheme="minorHAnsi"/>
          <w:b/>
        </w:rPr>
        <w:t>[</w:t>
      </w:r>
      <w:r w:rsidR="00EF54C5" w:rsidRPr="00051F9F">
        <w:rPr>
          <w:rFonts w:asciiTheme="minorHAnsi" w:hAnsiTheme="minorHAnsi" w:cstheme="minorHAnsi"/>
          <w:b/>
        </w:rPr>
        <w:t>15-18</w:t>
      </w:r>
      <w:r w:rsidRPr="00051F9F">
        <w:rPr>
          <w:rFonts w:asciiTheme="minorHAnsi" w:hAnsiTheme="minorHAnsi" w:cstheme="minorHAnsi"/>
          <w:b/>
        </w:rPr>
        <w:t>].</w:t>
      </w:r>
    </w:p>
    <w:p w14:paraId="206593F5" w14:textId="77777777" w:rsidR="002E1953" w:rsidRPr="00051F9F" w:rsidRDefault="002E1953" w:rsidP="000E53EF">
      <w:pPr>
        <w:pStyle w:val="NormalWeb"/>
        <w:spacing w:after="120" w:afterAutospacing="0"/>
        <w:rPr>
          <w:rFonts w:asciiTheme="minorHAnsi" w:hAnsiTheme="minorHAnsi" w:cstheme="minorHAnsi"/>
          <w:b/>
        </w:rPr>
      </w:pPr>
      <w:proofErr w:type="spellStart"/>
      <w:r w:rsidRPr="00051F9F">
        <w:rPr>
          <w:rFonts w:asciiTheme="minorHAnsi" w:hAnsiTheme="minorHAnsi" w:cstheme="minorHAnsi"/>
        </w:rPr>
        <w:t>However</w:t>
      </w:r>
      <w:proofErr w:type="spellEnd"/>
      <w:r w:rsidRPr="00051F9F">
        <w:rPr>
          <w:rFonts w:asciiTheme="minorHAnsi" w:hAnsiTheme="minorHAnsi" w:cstheme="minorHAnsi"/>
        </w:rPr>
        <w:t xml:space="preserve">, a </w:t>
      </w:r>
      <w:proofErr w:type="spellStart"/>
      <w:r w:rsidRPr="00051F9F">
        <w:rPr>
          <w:rFonts w:asciiTheme="minorHAnsi" w:hAnsiTheme="minorHAnsi" w:cstheme="minorHAnsi"/>
        </w:rPr>
        <w:t>concentric</w:t>
      </w:r>
      <w:proofErr w:type="spellEnd"/>
      <w:r w:rsidRPr="00051F9F">
        <w:rPr>
          <w:rFonts w:asciiTheme="minorHAnsi" w:hAnsiTheme="minorHAnsi" w:cstheme="minorHAnsi"/>
        </w:rPr>
        <w:t xml:space="preserve"> </w:t>
      </w:r>
      <w:proofErr w:type="spellStart"/>
      <w:r w:rsidRPr="00051F9F">
        <w:rPr>
          <w:rFonts w:asciiTheme="minorHAnsi" w:hAnsiTheme="minorHAnsi" w:cstheme="minorHAnsi"/>
        </w:rPr>
        <w:t>study</w:t>
      </w:r>
      <w:proofErr w:type="spellEnd"/>
      <w:r w:rsidRPr="00051F9F">
        <w:rPr>
          <w:rFonts w:asciiTheme="minorHAnsi" w:hAnsiTheme="minorHAnsi" w:cstheme="minorHAnsi"/>
        </w:rPr>
        <w:t xml:space="preserve"> </w:t>
      </w:r>
      <w:proofErr w:type="spellStart"/>
      <w:r w:rsidRPr="00051F9F">
        <w:rPr>
          <w:rFonts w:asciiTheme="minorHAnsi" w:hAnsiTheme="minorHAnsi" w:cstheme="minorHAnsi"/>
        </w:rPr>
        <w:t>conducted</w:t>
      </w:r>
      <w:proofErr w:type="spellEnd"/>
      <w:r w:rsidRPr="00051F9F">
        <w:rPr>
          <w:rFonts w:asciiTheme="minorHAnsi" w:hAnsiTheme="minorHAnsi" w:cstheme="minorHAnsi"/>
        </w:rPr>
        <w:t xml:space="preserve"> in </w:t>
      </w:r>
      <w:proofErr w:type="spellStart"/>
      <w:r w:rsidRPr="00051F9F">
        <w:rPr>
          <w:rFonts w:asciiTheme="minorHAnsi" w:hAnsiTheme="minorHAnsi" w:cstheme="minorHAnsi"/>
        </w:rPr>
        <w:t>Greece</w:t>
      </w:r>
      <w:proofErr w:type="spellEnd"/>
      <w:r w:rsidRPr="00051F9F">
        <w:rPr>
          <w:rFonts w:asciiTheme="minorHAnsi" w:hAnsiTheme="minorHAnsi" w:cstheme="minorHAnsi"/>
        </w:rPr>
        <w:t xml:space="preserve"> </w:t>
      </w:r>
      <w:proofErr w:type="spellStart"/>
      <w:r w:rsidRPr="00051F9F">
        <w:rPr>
          <w:rFonts w:asciiTheme="minorHAnsi" w:hAnsiTheme="minorHAnsi" w:cstheme="minorHAnsi"/>
        </w:rPr>
        <w:t>identified</w:t>
      </w:r>
      <w:proofErr w:type="spellEnd"/>
      <w:r w:rsidRPr="00051F9F">
        <w:rPr>
          <w:rFonts w:asciiTheme="minorHAnsi" w:hAnsiTheme="minorHAnsi" w:cstheme="minorHAnsi"/>
        </w:rPr>
        <w:t xml:space="preserve"> </w:t>
      </w:r>
      <w:proofErr w:type="spellStart"/>
      <w:r w:rsidRPr="00051F9F">
        <w:rPr>
          <w:rFonts w:asciiTheme="minorHAnsi" w:hAnsiTheme="minorHAnsi" w:cstheme="minorHAnsi"/>
        </w:rPr>
        <w:t>advanced</w:t>
      </w:r>
      <w:proofErr w:type="spellEnd"/>
      <w:r w:rsidRPr="00051F9F">
        <w:rPr>
          <w:rFonts w:asciiTheme="minorHAnsi" w:hAnsiTheme="minorHAnsi" w:cstheme="minorHAnsi"/>
        </w:rPr>
        <w:t xml:space="preserve"> </w:t>
      </w:r>
      <w:proofErr w:type="spellStart"/>
      <w:r w:rsidRPr="00051F9F">
        <w:rPr>
          <w:rFonts w:asciiTheme="minorHAnsi" w:hAnsiTheme="minorHAnsi" w:cstheme="minorHAnsi"/>
        </w:rPr>
        <w:t>age</w:t>
      </w:r>
      <w:proofErr w:type="spellEnd"/>
      <w:r w:rsidRPr="00051F9F">
        <w:rPr>
          <w:rFonts w:asciiTheme="minorHAnsi" w:hAnsiTheme="minorHAnsi" w:cstheme="minorHAnsi"/>
        </w:rPr>
        <w:t xml:space="preserve"> as a </w:t>
      </w:r>
      <w:proofErr w:type="spellStart"/>
      <w:r w:rsidRPr="00051F9F">
        <w:rPr>
          <w:rFonts w:asciiTheme="minorHAnsi" w:hAnsiTheme="minorHAnsi" w:cstheme="minorHAnsi"/>
        </w:rPr>
        <w:t>risk</w:t>
      </w:r>
      <w:proofErr w:type="spellEnd"/>
      <w:r w:rsidRPr="00051F9F">
        <w:rPr>
          <w:rFonts w:asciiTheme="minorHAnsi" w:hAnsiTheme="minorHAnsi" w:cstheme="minorHAnsi"/>
        </w:rPr>
        <w:t xml:space="preserve"> factor for </w:t>
      </w:r>
      <w:proofErr w:type="spellStart"/>
      <w:r w:rsidRPr="00051F9F">
        <w:rPr>
          <w:rFonts w:asciiTheme="minorHAnsi" w:hAnsiTheme="minorHAnsi" w:cstheme="minorHAnsi"/>
        </w:rPr>
        <w:t>failure</w:t>
      </w:r>
      <w:proofErr w:type="spellEnd"/>
      <w:r w:rsidRPr="00051F9F">
        <w:rPr>
          <w:rFonts w:asciiTheme="minorHAnsi" w:hAnsiTheme="minorHAnsi" w:cstheme="minorHAnsi"/>
        </w:rPr>
        <w:t xml:space="preserve">, </w:t>
      </w:r>
      <w:proofErr w:type="spellStart"/>
      <w:r w:rsidRPr="00051F9F">
        <w:rPr>
          <w:rFonts w:asciiTheme="minorHAnsi" w:hAnsiTheme="minorHAnsi" w:cstheme="minorHAnsi"/>
        </w:rPr>
        <w:t>which</w:t>
      </w:r>
      <w:proofErr w:type="spellEnd"/>
      <w:r w:rsidRPr="00051F9F">
        <w:rPr>
          <w:rFonts w:asciiTheme="minorHAnsi" w:hAnsiTheme="minorHAnsi" w:cstheme="minorHAnsi"/>
        </w:rPr>
        <w:t xml:space="preserve"> </w:t>
      </w:r>
      <w:proofErr w:type="spellStart"/>
      <w:r w:rsidRPr="00051F9F">
        <w:rPr>
          <w:rFonts w:asciiTheme="minorHAnsi" w:hAnsiTheme="minorHAnsi" w:cstheme="minorHAnsi"/>
        </w:rPr>
        <w:t>does</w:t>
      </w:r>
      <w:proofErr w:type="spellEnd"/>
      <w:r w:rsidRPr="00051F9F">
        <w:rPr>
          <w:rFonts w:asciiTheme="minorHAnsi" w:hAnsiTheme="minorHAnsi" w:cstheme="minorHAnsi"/>
        </w:rPr>
        <w:t xml:space="preserve"> not correspond to </w:t>
      </w:r>
      <w:proofErr w:type="spellStart"/>
      <w:r w:rsidRPr="00051F9F">
        <w:rPr>
          <w:rFonts w:asciiTheme="minorHAnsi" w:hAnsiTheme="minorHAnsi" w:cstheme="minorHAnsi"/>
        </w:rPr>
        <w:t>our</w:t>
      </w:r>
      <w:proofErr w:type="spellEnd"/>
      <w:r w:rsidRPr="00051F9F">
        <w:rPr>
          <w:rFonts w:asciiTheme="minorHAnsi" w:hAnsiTheme="minorHAnsi" w:cstheme="minorHAnsi"/>
        </w:rPr>
        <w:t xml:space="preserve"> </w:t>
      </w:r>
      <w:proofErr w:type="spellStart"/>
      <w:r w:rsidRPr="00051F9F">
        <w:rPr>
          <w:rFonts w:asciiTheme="minorHAnsi" w:hAnsiTheme="minorHAnsi" w:cstheme="minorHAnsi"/>
        </w:rPr>
        <w:t>findings</w:t>
      </w:r>
      <w:proofErr w:type="spellEnd"/>
      <w:r w:rsidRPr="00051F9F">
        <w:rPr>
          <w:rFonts w:asciiTheme="minorHAnsi" w:hAnsiTheme="minorHAnsi" w:cstheme="minorHAnsi"/>
        </w:rPr>
        <w:t xml:space="preserve"> </w:t>
      </w:r>
      <w:r w:rsidR="00EF54C5" w:rsidRPr="00051F9F">
        <w:rPr>
          <w:rFonts w:asciiTheme="minorHAnsi" w:hAnsiTheme="minorHAnsi" w:cstheme="minorHAnsi"/>
          <w:b/>
        </w:rPr>
        <w:t>[19</w:t>
      </w:r>
      <w:r w:rsidRPr="00051F9F">
        <w:rPr>
          <w:rFonts w:asciiTheme="minorHAnsi" w:hAnsiTheme="minorHAnsi" w:cstheme="minorHAnsi"/>
          <w:b/>
        </w:rPr>
        <w:t>]</w:t>
      </w:r>
      <w:r w:rsidR="006C19C1" w:rsidRPr="00051F9F">
        <w:rPr>
          <w:rFonts w:asciiTheme="minorHAnsi" w:hAnsiTheme="minorHAnsi" w:cstheme="minorHAnsi"/>
          <w:b/>
        </w:rPr>
        <w:t>.</w:t>
      </w:r>
    </w:p>
    <w:p w14:paraId="73E9EBED" w14:textId="77777777" w:rsidR="006C19C1" w:rsidRPr="00051F9F" w:rsidRDefault="006C19C1" w:rsidP="006C19C1">
      <w:pPr>
        <w:pStyle w:val="NormalWeb"/>
        <w:rPr>
          <w:rFonts w:asciiTheme="minorHAnsi" w:hAnsiTheme="minorHAnsi" w:cstheme="minorHAnsi"/>
        </w:rPr>
      </w:pPr>
      <w:r w:rsidRPr="00051F9F">
        <w:rPr>
          <w:rFonts w:asciiTheme="minorHAnsi" w:hAnsiTheme="minorHAnsi" w:cstheme="minorHAnsi"/>
        </w:rPr>
        <w:t xml:space="preserve">In addition to the </w:t>
      </w:r>
      <w:proofErr w:type="spellStart"/>
      <w:r w:rsidRPr="00051F9F">
        <w:rPr>
          <w:rFonts w:asciiTheme="minorHAnsi" w:hAnsiTheme="minorHAnsi" w:cstheme="minorHAnsi"/>
        </w:rPr>
        <w:t>factors</w:t>
      </w:r>
      <w:proofErr w:type="spellEnd"/>
      <w:r w:rsidRPr="00051F9F">
        <w:rPr>
          <w:rFonts w:asciiTheme="minorHAnsi" w:hAnsiTheme="minorHAnsi" w:cstheme="minorHAnsi"/>
        </w:rPr>
        <w:t xml:space="preserve"> </w:t>
      </w:r>
      <w:proofErr w:type="spellStart"/>
      <w:r w:rsidRPr="00051F9F">
        <w:rPr>
          <w:rFonts w:asciiTheme="minorHAnsi" w:hAnsiTheme="minorHAnsi" w:cstheme="minorHAnsi"/>
        </w:rPr>
        <w:t>mentioned</w:t>
      </w:r>
      <w:proofErr w:type="spellEnd"/>
      <w:r w:rsidRPr="00051F9F">
        <w:rPr>
          <w:rFonts w:asciiTheme="minorHAnsi" w:hAnsiTheme="minorHAnsi" w:cstheme="minorHAnsi"/>
        </w:rPr>
        <w:t xml:space="preserve"> </w:t>
      </w:r>
      <w:proofErr w:type="spellStart"/>
      <w:r w:rsidRPr="00051F9F">
        <w:rPr>
          <w:rFonts w:asciiTheme="minorHAnsi" w:hAnsiTheme="minorHAnsi" w:cstheme="minorHAnsi"/>
        </w:rPr>
        <w:t>above</w:t>
      </w:r>
      <w:proofErr w:type="spellEnd"/>
      <w:r w:rsidRPr="00051F9F">
        <w:rPr>
          <w:rFonts w:asciiTheme="minorHAnsi" w:hAnsiTheme="minorHAnsi" w:cstheme="minorHAnsi"/>
        </w:rPr>
        <w:t xml:space="preserve">, the </w:t>
      </w:r>
      <w:proofErr w:type="spellStart"/>
      <w:r w:rsidRPr="00051F9F">
        <w:rPr>
          <w:rFonts w:asciiTheme="minorHAnsi" w:hAnsiTheme="minorHAnsi" w:cstheme="minorHAnsi"/>
        </w:rPr>
        <w:t>experience</w:t>
      </w:r>
      <w:proofErr w:type="spellEnd"/>
      <w:r w:rsidRPr="00051F9F">
        <w:rPr>
          <w:rFonts w:asciiTheme="minorHAnsi" w:hAnsiTheme="minorHAnsi" w:cstheme="minorHAnsi"/>
        </w:rPr>
        <w:t xml:space="preserve"> of the </w:t>
      </w:r>
      <w:proofErr w:type="spellStart"/>
      <w:r w:rsidRPr="00051F9F">
        <w:rPr>
          <w:rFonts w:asciiTheme="minorHAnsi" w:hAnsiTheme="minorHAnsi" w:cstheme="minorHAnsi"/>
        </w:rPr>
        <w:t>endoscopist</w:t>
      </w:r>
      <w:proofErr w:type="spellEnd"/>
      <w:r w:rsidRPr="00051F9F">
        <w:rPr>
          <w:rFonts w:asciiTheme="minorHAnsi" w:hAnsiTheme="minorHAnsi" w:cstheme="minorHAnsi"/>
        </w:rPr>
        <w:t xml:space="preserve"> or </w:t>
      </w:r>
      <w:proofErr w:type="spellStart"/>
      <w:r w:rsidRPr="00051F9F">
        <w:rPr>
          <w:rFonts w:asciiTheme="minorHAnsi" w:hAnsiTheme="minorHAnsi" w:cstheme="minorHAnsi"/>
        </w:rPr>
        <w:t>operator</w:t>
      </w:r>
      <w:proofErr w:type="spellEnd"/>
      <w:r w:rsidRPr="00051F9F">
        <w:rPr>
          <w:rFonts w:asciiTheme="minorHAnsi" w:hAnsiTheme="minorHAnsi" w:cstheme="minorHAnsi"/>
        </w:rPr>
        <w:t xml:space="preserve"> </w:t>
      </w:r>
      <w:proofErr w:type="spellStart"/>
      <w:r w:rsidRPr="00051F9F">
        <w:rPr>
          <w:rFonts w:asciiTheme="minorHAnsi" w:hAnsiTheme="minorHAnsi" w:cstheme="minorHAnsi"/>
        </w:rPr>
        <w:t>was</w:t>
      </w:r>
      <w:proofErr w:type="spellEnd"/>
      <w:r w:rsidRPr="00051F9F">
        <w:rPr>
          <w:rFonts w:asciiTheme="minorHAnsi" w:hAnsiTheme="minorHAnsi" w:cstheme="minorHAnsi"/>
        </w:rPr>
        <w:t xml:space="preserve"> </w:t>
      </w:r>
      <w:proofErr w:type="spellStart"/>
      <w:r w:rsidRPr="00051F9F">
        <w:rPr>
          <w:rFonts w:asciiTheme="minorHAnsi" w:hAnsiTheme="minorHAnsi" w:cstheme="minorHAnsi"/>
        </w:rPr>
        <w:t>significantly</w:t>
      </w:r>
      <w:proofErr w:type="spellEnd"/>
      <w:r w:rsidRPr="00051F9F">
        <w:rPr>
          <w:rFonts w:asciiTheme="minorHAnsi" w:hAnsiTheme="minorHAnsi" w:cstheme="minorHAnsi"/>
        </w:rPr>
        <w:t xml:space="preserve"> </w:t>
      </w:r>
      <w:proofErr w:type="spellStart"/>
      <w:r w:rsidRPr="00051F9F">
        <w:rPr>
          <w:rFonts w:asciiTheme="minorHAnsi" w:hAnsiTheme="minorHAnsi" w:cstheme="minorHAnsi"/>
        </w:rPr>
        <w:t>associated</w:t>
      </w:r>
      <w:proofErr w:type="spellEnd"/>
      <w:r w:rsidRPr="00051F9F">
        <w:rPr>
          <w:rFonts w:asciiTheme="minorHAnsi" w:hAnsiTheme="minorHAnsi" w:cstheme="minorHAnsi"/>
        </w:rPr>
        <w:t xml:space="preserve"> </w:t>
      </w:r>
      <w:proofErr w:type="spellStart"/>
      <w:r w:rsidRPr="00051F9F">
        <w:rPr>
          <w:rFonts w:asciiTheme="minorHAnsi" w:hAnsiTheme="minorHAnsi" w:cstheme="minorHAnsi"/>
        </w:rPr>
        <w:t>with</w:t>
      </w:r>
      <w:proofErr w:type="spellEnd"/>
      <w:r w:rsidRPr="00051F9F">
        <w:rPr>
          <w:rFonts w:asciiTheme="minorHAnsi" w:hAnsiTheme="minorHAnsi" w:cstheme="minorHAnsi"/>
        </w:rPr>
        <w:t xml:space="preserve"> </w:t>
      </w:r>
      <w:proofErr w:type="spellStart"/>
      <w:r w:rsidRPr="00051F9F">
        <w:rPr>
          <w:rFonts w:asciiTheme="minorHAnsi" w:hAnsiTheme="minorHAnsi" w:cstheme="minorHAnsi"/>
        </w:rPr>
        <w:t>cannulation</w:t>
      </w:r>
      <w:proofErr w:type="spellEnd"/>
      <w:r w:rsidRPr="00051F9F">
        <w:rPr>
          <w:rFonts w:asciiTheme="minorHAnsi" w:hAnsiTheme="minorHAnsi" w:cstheme="minorHAnsi"/>
        </w:rPr>
        <w:t xml:space="preserve"> </w:t>
      </w:r>
      <w:proofErr w:type="spellStart"/>
      <w:r w:rsidRPr="00051F9F">
        <w:rPr>
          <w:rFonts w:asciiTheme="minorHAnsi" w:hAnsiTheme="minorHAnsi" w:cstheme="minorHAnsi"/>
        </w:rPr>
        <w:t>failure</w:t>
      </w:r>
      <w:proofErr w:type="spellEnd"/>
      <w:r w:rsidRPr="00051F9F">
        <w:rPr>
          <w:rFonts w:asciiTheme="minorHAnsi" w:hAnsiTheme="minorHAnsi" w:cstheme="minorHAnsi"/>
        </w:rPr>
        <w:t xml:space="preserve">, </w:t>
      </w:r>
      <w:proofErr w:type="spellStart"/>
      <w:r w:rsidRPr="00051F9F">
        <w:rPr>
          <w:rFonts w:asciiTheme="minorHAnsi" w:hAnsiTheme="minorHAnsi" w:cstheme="minorHAnsi"/>
        </w:rPr>
        <w:t>according</w:t>
      </w:r>
      <w:proofErr w:type="spellEnd"/>
      <w:r w:rsidRPr="00051F9F">
        <w:rPr>
          <w:rFonts w:asciiTheme="minorHAnsi" w:hAnsiTheme="minorHAnsi" w:cstheme="minorHAnsi"/>
        </w:rPr>
        <w:t xml:space="preserve"> to a </w:t>
      </w:r>
      <w:proofErr w:type="spellStart"/>
      <w:r w:rsidRPr="00051F9F">
        <w:rPr>
          <w:rFonts w:asciiTheme="minorHAnsi" w:hAnsiTheme="minorHAnsi" w:cstheme="minorHAnsi"/>
        </w:rPr>
        <w:t>study</w:t>
      </w:r>
      <w:proofErr w:type="spellEnd"/>
      <w:r w:rsidRPr="00051F9F">
        <w:rPr>
          <w:rFonts w:asciiTheme="minorHAnsi" w:hAnsiTheme="minorHAnsi" w:cstheme="minorHAnsi"/>
        </w:rPr>
        <w:t xml:space="preserve"> </w:t>
      </w:r>
      <w:proofErr w:type="spellStart"/>
      <w:r w:rsidRPr="00051F9F">
        <w:rPr>
          <w:rFonts w:asciiTheme="minorHAnsi" w:hAnsiTheme="minorHAnsi" w:cstheme="minorHAnsi"/>
        </w:rPr>
        <w:t>conducted</w:t>
      </w:r>
      <w:proofErr w:type="spellEnd"/>
      <w:r w:rsidRPr="00051F9F">
        <w:rPr>
          <w:rFonts w:asciiTheme="minorHAnsi" w:hAnsiTheme="minorHAnsi" w:cstheme="minorHAnsi"/>
        </w:rPr>
        <w:t xml:space="preserve"> in Japan </w:t>
      </w:r>
      <w:proofErr w:type="spellStart"/>
      <w:r w:rsidRPr="00051F9F">
        <w:rPr>
          <w:rFonts w:asciiTheme="minorHAnsi" w:hAnsiTheme="minorHAnsi" w:cstheme="minorHAnsi"/>
        </w:rPr>
        <w:t>in</w:t>
      </w:r>
      <w:proofErr w:type="spellEnd"/>
      <w:r w:rsidRPr="00051F9F">
        <w:rPr>
          <w:rFonts w:asciiTheme="minorHAnsi" w:hAnsiTheme="minorHAnsi" w:cstheme="minorHAnsi"/>
        </w:rPr>
        <w:t xml:space="preserve"> 2022</w:t>
      </w:r>
      <w:r w:rsidR="00EF54C5" w:rsidRPr="00051F9F">
        <w:rPr>
          <w:rFonts w:asciiTheme="minorHAnsi" w:hAnsiTheme="minorHAnsi" w:cstheme="minorHAnsi"/>
        </w:rPr>
        <w:t xml:space="preserve"> </w:t>
      </w:r>
      <w:r w:rsidR="00EF54C5" w:rsidRPr="00051F9F">
        <w:rPr>
          <w:rFonts w:asciiTheme="minorHAnsi" w:hAnsiTheme="minorHAnsi" w:cstheme="minorHAnsi"/>
          <w:b/>
        </w:rPr>
        <w:t>[20].</w:t>
      </w:r>
      <w:r w:rsidRPr="00051F9F">
        <w:rPr>
          <w:rFonts w:asciiTheme="minorHAnsi" w:hAnsiTheme="minorHAnsi" w:cstheme="minorHAnsi"/>
        </w:rPr>
        <w:t xml:space="preserve">  </w:t>
      </w:r>
    </w:p>
    <w:p w14:paraId="700CDFB3" w14:textId="77777777" w:rsidR="006C19C1" w:rsidRPr="00051F9F" w:rsidRDefault="006C19C1" w:rsidP="006C19C1">
      <w:pPr>
        <w:spacing w:line="240" w:lineRule="auto"/>
        <w:ind w:right="-57"/>
        <w:rPr>
          <w:sz w:val="24"/>
          <w:szCs w:val="24"/>
        </w:rPr>
      </w:pPr>
      <w:proofErr w:type="spellStart"/>
      <w:r w:rsidRPr="00051F9F">
        <w:rPr>
          <w:sz w:val="24"/>
          <w:szCs w:val="24"/>
        </w:rPr>
        <w:t>In</w:t>
      </w:r>
      <w:proofErr w:type="spellEnd"/>
      <w:r w:rsidRPr="00051F9F">
        <w:rPr>
          <w:sz w:val="24"/>
          <w:szCs w:val="24"/>
        </w:rPr>
        <w:t xml:space="preserve"> 2024, a </w:t>
      </w:r>
      <w:proofErr w:type="spellStart"/>
      <w:r w:rsidRPr="00051F9F">
        <w:rPr>
          <w:sz w:val="24"/>
          <w:szCs w:val="24"/>
        </w:rPr>
        <w:t>study</w:t>
      </w:r>
      <w:proofErr w:type="spellEnd"/>
      <w:r w:rsidRPr="00051F9F">
        <w:rPr>
          <w:sz w:val="24"/>
          <w:szCs w:val="24"/>
        </w:rPr>
        <w:t xml:space="preserve"> </w:t>
      </w:r>
      <w:proofErr w:type="spellStart"/>
      <w:r w:rsidRPr="00051F9F">
        <w:rPr>
          <w:sz w:val="24"/>
          <w:szCs w:val="24"/>
        </w:rPr>
        <w:t>conducted</w:t>
      </w:r>
      <w:proofErr w:type="spellEnd"/>
      <w:r w:rsidRPr="00051F9F">
        <w:rPr>
          <w:sz w:val="24"/>
          <w:szCs w:val="24"/>
        </w:rPr>
        <w:t xml:space="preserve"> in </w:t>
      </w:r>
      <w:proofErr w:type="spellStart"/>
      <w:r w:rsidRPr="00051F9F">
        <w:rPr>
          <w:sz w:val="24"/>
          <w:szCs w:val="24"/>
        </w:rPr>
        <w:t>Sweden</w:t>
      </w:r>
      <w:proofErr w:type="spellEnd"/>
      <w:r w:rsidRPr="00051F9F">
        <w:rPr>
          <w:sz w:val="24"/>
          <w:szCs w:val="24"/>
        </w:rPr>
        <w:t xml:space="preserve"> </w:t>
      </w:r>
      <w:proofErr w:type="spellStart"/>
      <w:r w:rsidRPr="00051F9F">
        <w:rPr>
          <w:sz w:val="24"/>
          <w:szCs w:val="24"/>
        </w:rPr>
        <w:t>comparing</w:t>
      </w:r>
      <w:proofErr w:type="spellEnd"/>
      <w:r w:rsidRPr="00051F9F">
        <w:rPr>
          <w:sz w:val="24"/>
          <w:szCs w:val="24"/>
        </w:rPr>
        <w:t xml:space="preserve"> the </w:t>
      </w:r>
      <w:proofErr w:type="spellStart"/>
      <w:r w:rsidRPr="00051F9F">
        <w:rPr>
          <w:sz w:val="24"/>
          <w:szCs w:val="24"/>
        </w:rPr>
        <w:t>precut</w:t>
      </w:r>
      <w:proofErr w:type="spellEnd"/>
      <w:r w:rsidRPr="00051F9F">
        <w:rPr>
          <w:sz w:val="24"/>
          <w:szCs w:val="24"/>
        </w:rPr>
        <w:t xml:space="preserve"> technique </w:t>
      </w:r>
      <w:proofErr w:type="spellStart"/>
      <w:r w:rsidRPr="00051F9F">
        <w:rPr>
          <w:sz w:val="24"/>
          <w:szCs w:val="24"/>
        </w:rPr>
        <w:t>using</w:t>
      </w:r>
      <w:proofErr w:type="spellEnd"/>
      <w:r w:rsidRPr="00051F9F">
        <w:rPr>
          <w:sz w:val="24"/>
          <w:szCs w:val="24"/>
        </w:rPr>
        <w:t xml:space="preserve"> a </w:t>
      </w:r>
      <w:proofErr w:type="spellStart"/>
      <w:r w:rsidRPr="00051F9F">
        <w:rPr>
          <w:sz w:val="24"/>
          <w:szCs w:val="24"/>
        </w:rPr>
        <w:t>needle-knife</w:t>
      </w:r>
      <w:proofErr w:type="spellEnd"/>
      <w:r w:rsidRPr="00051F9F">
        <w:rPr>
          <w:sz w:val="24"/>
          <w:szCs w:val="24"/>
        </w:rPr>
        <w:t xml:space="preserve"> versus </w:t>
      </w:r>
      <w:proofErr w:type="spellStart"/>
      <w:r w:rsidRPr="00051F9F">
        <w:rPr>
          <w:sz w:val="24"/>
          <w:szCs w:val="24"/>
        </w:rPr>
        <w:t>transpancreatic</w:t>
      </w:r>
      <w:proofErr w:type="spellEnd"/>
      <w:r w:rsidRPr="00051F9F">
        <w:rPr>
          <w:sz w:val="24"/>
          <w:szCs w:val="24"/>
        </w:rPr>
        <w:t xml:space="preserve"> </w:t>
      </w:r>
      <w:proofErr w:type="spellStart"/>
      <w:r w:rsidRPr="00051F9F">
        <w:rPr>
          <w:sz w:val="24"/>
          <w:szCs w:val="24"/>
        </w:rPr>
        <w:t>sphincterotomy</w:t>
      </w:r>
      <w:proofErr w:type="spellEnd"/>
      <w:r w:rsidRPr="00051F9F">
        <w:rPr>
          <w:sz w:val="24"/>
          <w:szCs w:val="24"/>
        </w:rPr>
        <w:t xml:space="preserve"> for </w:t>
      </w:r>
      <w:proofErr w:type="spellStart"/>
      <w:r w:rsidRPr="00051F9F">
        <w:rPr>
          <w:sz w:val="24"/>
          <w:szCs w:val="24"/>
        </w:rPr>
        <w:t>difficult</w:t>
      </w:r>
      <w:proofErr w:type="spellEnd"/>
      <w:r w:rsidRPr="00051F9F">
        <w:rPr>
          <w:sz w:val="24"/>
          <w:szCs w:val="24"/>
        </w:rPr>
        <w:t xml:space="preserve"> </w:t>
      </w:r>
      <w:proofErr w:type="spellStart"/>
      <w:r w:rsidRPr="00051F9F">
        <w:rPr>
          <w:sz w:val="24"/>
          <w:szCs w:val="24"/>
        </w:rPr>
        <w:t>biliary</w:t>
      </w:r>
      <w:proofErr w:type="spellEnd"/>
      <w:r w:rsidRPr="00051F9F">
        <w:rPr>
          <w:sz w:val="24"/>
          <w:szCs w:val="24"/>
        </w:rPr>
        <w:t xml:space="preserve"> </w:t>
      </w:r>
      <w:proofErr w:type="spellStart"/>
      <w:r w:rsidRPr="00051F9F">
        <w:rPr>
          <w:sz w:val="24"/>
          <w:szCs w:val="24"/>
        </w:rPr>
        <w:t>cannulation</w:t>
      </w:r>
      <w:proofErr w:type="spellEnd"/>
      <w:r w:rsidRPr="00051F9F">
        <w:rPr>
          <w:sz w:val="24"/>
          <w:szCs w:val="24"/>
        </w:rPr>
        <w:t xml:space="preserve"> </w:t>
      </w:r>
      <w:proofErr w:type="spellStart"/>
      <w:r w:rsidRPr="00051F9F">
        <w:rPr>
          <w:sz w:val="24"/>
          <w:szCs w:val="24"/>
        </w:rPr>
        <w:t>demonstrated</w:t>
      </w:r>
      <w:proofErr w:type="spellEnd"/>
      <w:r w:rsidRPr="00051F9F">
        <w:rPr>
          <w:sz w:val="24"/>
          <w:szCs w:val="24"/>
        </w:rPr>
        <w:t xml:space="preserve"> </w:t>
      </w:r>
      <w:proofErr w:type="spellStart"/>
      <w:r w:rsidRPr="00051F9F">
        <w:rPr>
          <w:sz w:val="24"/>
          <w:szCs w:val="24"/>
        </w:rPr>
        <w:t>greater</w:t>
      </w:r>
      <w:proofErr w:type="spellEnd"/>
      <w:r w:rsidRPr="00051F9F">
        <w:rPr>
          <w:sz w:val="24"/>
          <w:szCs w:val="24"/>
        </w:rPr>
        <w:t xml:space="preserve"> </w:t>
      </w:r>
      <w:proofErr w:type="spellStart"/>
      <w:r w:rsidRPr="00051F9F">
        <w:rPr>
          <w:sz w:val="24"/>
          <w:szCs w:val="24"/>
        </w:rPr>
        <w:t>success</w:t>
      </w:r>
      <w:proofErr w:type="spellEnd"/>
      <w:r w:rsidRPr="00051F9F">
        <w:rPr>
          <w:sz w:val="24"/>
          <w:szCs w:val="24"/>
        </w:rPr>
        <w:t xml:space="preserve"> </w:t>
      </w:r>
      <w:proofErr w:type="spellStart"/>
      <w:r w:rsidRPr="00051F9F">
        <w:rPr>
          <w:sz w:val="24"/>
          <w:szCs w:val="24"/>
        </w:rPr>
        <w:t>with</w:t>
      </w:r>
      <w:proofErr w:type="spellEnd"/>
      <w:r w:rsidRPr="00051F9F">
        <w:rPr>
          <w:sz w:val="24"/>
          <w:szCs w:val="24"/>
        </w:rPr>
        <w:t xml:space="preserve"> </w:t>
      </w:r>
      <w:proofErr w:type="spellStart"/>
      <w:r w:rsidRPr="00051F9F">
        <w:rPr>
          <w:sz w:val="24"/>
          <w:szCs w:val="24"/>
        </w:rPr>
        <w:t>transpancreatic</w:t>
      </w:r>
      <w:proofErr w:type="spellEnd"/>
      <w:r w:rsidRPr="00051F9F">
        <w:rPr>
          <w:sz w:val="24"/>
          <w:szCs w:val="24"/>
        </w:rPr>
        <w:t xml:space="preserve"> </w:t>
      </w:r>
      <w:proofErr w:type="spellStart"/>
      <w:r w:rsidRPr="00051F9F">
        <w:rPr>
          <w:sz w:val="24"/>
          <w:szCs w:val="24"/>
        </w:rPr>
        <w:t>sphincterotomy</w:t>
      </w:r>
      <w:proofErr w:type="spellEnd"/>
      <w:r w:rsidRPr="00051F9F">
        <w:rPr>
          <w:sz w:val="24"/>
          <w:szCs w:val="24"/>
        </w:rPr>
        <w:t xml:space="preserve">, but </w:t>
      </w:r>
      <w:proofErr w:type="spellStart"/>
      <w:r w:rsidRPr="00051F9F">
        <w:rPr>
          <w:sz w:val="24"/>
          <w:szCs w:val="24"/>
        </w:rPr>
        <w:t>with</w:t>
      </w:r>
      <w:proofErr w:type="spellEnd"/>
      <w:r w:rsidRPr="00051F9F">
        <w:rPr>
          <w:sz w:val="24"/>
          <w:szCs w:val="24"/>
        </w:rPr>
        <w:t xml:space="preserve"> </w:t>
      </w:r>
      <w:proofErr w:type="spellStart"/>
      <w:r w:rsidRPr="00051F9F">
        <w:rPr>
          <w:sz w:val="24"/>
          <w:szCs w:val="24"/>
        </w:rPr>
        <w:t>higher</w:t>
      </w:r>
      <w:proofErr w:type="spellEnd"/>
      <w:r w:rsidRPr="00051F9F">
        <w:rPr>
          <w:sz w:val="24"/>
          <w:szCs w:val="24"/>
        </w:rPr>
        <w:t xml:space="preserve"> rates of adverse </w:t>
      </w:r>
      <w:proofErr w:type="spellStart"/>
      <w:r w:rsidRPr="00051F9F">
        <w:rPr>
          <w:sz w:val="24"/>
          <w:szCs w:val="24"/>
        </w:rPr>
        <w:t>events</w:t>
      </w:r>
      <w:proofErr w:type="spellEnd"/>
      <w:r w:rsidRPr="00051F9F">
        <w:rPr>
          <w:sz w:val="24"/>
          <w:szCs w:val="24"/>
        </w:rPr>
        <w:t xml:space="preserve"> </w:t>
      </w:r>
      <w:proofErr w:type="spellStart"/>
      <w:r w:rsidRPr="00051F9F">
        <w:rPr>
          <w:sz w:val="24"/>
          <w:szCs w:val="24"/>
        </w:rPr>
        <w:t>such</w:t>
      </w:r>
      <w:proofErr w:type="spellEnd"/>
      <w:r w:rsidRPr="00051F9F">
        <w:rPr>
          <w:sz w:val="24"/>
          <w:szCs w:val="24"/>
        </w:rPr>
        <w:t xml:space="preserve"> as </w:t>
      </w:r>
      <w:proofErr w:type="spellStart"/>
      <w:r w:rsidRPr="00051F9F">
        <w:rPr>
          <w:sz w:val="24"/>
          <w:szCs w:val="24"/>
        </w:rPr>
        <w:t>pancreatitis</w:t>
      </w:r>
      <w:proofErr w:type="spellEnd"/>
      <w:r w:rsidRPr="00051F9F">
        <w:rPr>
          <w:sz w:val="24"/>
          <w:szCs w:val="24"/>
        </w:rPr>
        <w:t xml:space="preserve"> and perforation </w:t>
      </w:r>
      <w:r w:rsidR="00EF54C5" w:rsidRPr="00051F9F">
        <w:rPr>
          <w:rFonts w:cstheme="minorHAnsi"/>
          <w:b/>
          <w:sz w:val="24"/>
          <w:szCs w:val="24"/>
        </w:rPr>
        <w:t>[21].</w:t>
      </w:r>
    </w:p>
    <w:p w14:paraId="38EED8EE" w14:textId="77777777" w:rsidR="006C19C1" w:rsidRPr="00051F9F" w:rsidRDefault="006C19C1" w:rsidP="006C19C1">
      <w:pPr>
        <w:spacing w:line="240" w:lineRule="auto"/>
        <w:ind w:right="-57"/>
        <w:rPr>
          <w:sz w:val="24"/>
          <w:szCs w:val="24"/>
        </w:rPr>
      </w:pPr>
      <w:proofErr w:type="spellStart"/>
      <w:r w:rsidRPr="00051F9F">
        <w:rPr>
          <w:sz w:val="24"/>
          <w:szCs w:val="24"/>
        </w:rPr>
        <w:t>Performing</w:t>
      </w:r>
      <w:proofErr w:type="spellEnd"/>
      <w:r w:rsidRPr="00051F9F">
        <w:rPr>
          <w:sz w:val="24"/>
          <w:szCs w:val="24"/>
        </w:rPr>
        <w:t xml:space="preserve"> a second ERCP </w:t>
      </w:r>
      <w:proofErr w:type="spellStart"/>
      <w:r w:rsidRPr="00051F9F">
        <w:rPr>
          <w:sz w:val="24"/>
          <w:szCs w:val="24"/>
        </w:rPr>
        <w:t>after</w:t>
      </w:r>
      <w:proofErr w:type="spellEnd"/>
      <w:r w:rsidRPr="00051F9F">
        <w:rPr>
          <w:sz w:val="24"/>
          <w:szCs w:val="24"/>
        </w:rPr>
        <w:t xml:space="preserve"> initial </w:t>
      </w:r>
      <w:proofErr w:type="spellStart"/>
      <w:r w:rsidRPr="00051F9F">
        <w:rPr>
          <w:sz w:val="24"/>
          <w:szCs w:val="24"/>
        </w:rPr>
        <w:t>biliary</w:t>
      </w:r>
      <w:proofErr w:type="spellEnd"/>
      <w:r w:rsidRPr="00051F9F">
        <w:rPr>
          <w:sz w:val="24"/>
          <w:szCs w:val="24"/>
        </w:rPr>
        <w:t xml:space="preserve"> </w:t>
      </w:r>
      <w:proofErr w:type="spellStart"/>
      <w:r w:rsidRPr="00051F9F">
        <w:rPr>
          <w:sz w:val="24"/>
          <w:szCs w:val="24"/>
        </w:rPr>
        <w:t>cannulation</w:t>
      </w:r>
      <w:proofErr w:type="spellEnd"/>
      <w:r w:rsidRPr="00051F9F">
        <w:rPr>
          <w:sz w:val="24"/>
          <w:szCs w:val="24"/>
        </w:rPr>
        <w:t xml:space="preserve"> </w:t>
      </w:r>
      <w:proofErr w:type="spellStart"/>
      <w:r w:rsidRPr="00051F9F">
        <w:rPr>
          <w:sz w:val="24"/>
          <w:szCs w:val="24"/>
        </w:rPr>
        <w:t>failure</w:t>
      </w:r>
      <w:proofErr w:type="spellEnd"/>
      <w:r w:rsidRPr="00051F9F">
        <w:rPr>
          <w:sz w:val="24"/>
          <w:szCs w:val="24"/>
        </w:rPr>
        <w:t xml:space="preserve"> has been </w:t>
      </w:r>
      <w:proofErr w:type="spellStart"/>
      <w:r w:rsidRPr="00051F9F">
        <w:rPr>
          <w:sz w:val="24"/>
          <w:szCs w:val="24"/>
        </w:rPr>
        <w:t>considered</w:t>
      </w:r>
      <w:proofErr w:type="spellEnd"/>
      <w:r w:rsidRPr="00051F9F">
        <w:rPr>
          <w:sz w:val="24"/>
          <w:szCs w:val="24"/>
        </w:rPr>
        <w:t xml:space="preserve"> a </w:t>
      </w:r>
      <w:proofErr w:type="spellStart"/>
      <w:r w:rsidRPr="00051F9F">
        <w:rPr>
          <w:sz w:val="24"/>
          <w:szCs w:val="24"/>
        </w:rPr>
        <w:t>therapeutic</w:t>
      </w:r>
      <w:proofErr w:type="spellEnd"/>
      <w:r w:rsidRPr="00051F9F">
        <w:rPr>
          <w:sz w:val="24"/>
          <w:szCs w:val="24"/>
        </w:rPr>
        <w:t xml:space="preserve"> option, </w:t>
      </w:r>
      <w:proofErr w:type="spellStart"/>
      <w:r w:rsidRPr="00051F9F">
        <w:rPr>
          <w:sz w:val="24"/>
          <w:szCs w:val="24"/>
        </w:rPr>
        <w:t>with</w:t>
      </w:r>
      <w:proofErr w:type="spellEnd"/>
      <w:r w:rsidRPr="00051F9F">
        <w:rPr>
          <w:sz w:val="24"/>
          <w:szCs w:val="24"/>
        </w:rPr>
        <w:t xml:space="preserve"> a </w:t>
      </w:r>
      <w:proofErr w:type="spellStart"/>
      <w:r w:rsidRPr="00051F9F">
        <w:rPr>
          <w:sz w:val="24"/>
          <w:szCs w:val="24"/>
        </w:rPr>
        <w:t>success</w:t>
      </w:r>
      <w:proofErr w:type="spellEnd"/>
      <w:r w:rsidRPr="00051F9F">
        <w:rPr>
          <w:sz w:val="24"/>
          <w:szCs w:val="24"/>
        </w:rPr>
        <w:t xml:space="preserve"> rate of </w:t>
      </w:r>
      <w:proofErr w:type="spellStart"/>
      <w:r w:rsidRPr="00051F9F">
        <w:rPr>
          <w:sz w:val="24"/>
          <w:szCs w:val="24"/>
        </w:rPr>
        <w:t>approximately</w:t>
      </w:r>
      <w:proofErr w:type="spellEnd"/>
      <w:r w:rsidRPr="00051F9F">
        <w:rPr>
          <w:sz w:val="24"/>
          <w:szCs w:val="24"/>
        </w:rPr>
        <w:t xml:space="preserve"> 83.9%, </w:t>
      </w:r>
      <w:proofErr w:type="spellStart"/>
      <w:r w:rsidRPr="00051F9F">
        <w:rPr>
          <w:sz w:val="24"/>
          <w:szCs w:val="24"/>
        </w:rPr>
        <w:t>according</w:t>
      </w:r>
      <w:proofErr w:type="spellEnd"/>
      <w:r w:rsidRPr="00051F9F">
        <w:rPr>
          <w:sz w:val="24"/>
          <w:szCs w:val="24"/>
        </w:rPr>
        <w:t xml:space="preserve"> to a </w:t>
      </w:r>
      <w:proofErr w:type="spellStart"/>
      <w:r w:rsidRPr="00051F9F">
        <w:rPr>
          <w:sz w:val="24"/>
          <w:szCs w:val="24"/>
        </w:rPr>
        <w:t>study</w:t>
      </w:r>
      <w:proofErr w:type="spellEnd"/>
      <w:r w:rsidRPr="00051F9F">
        <w:rPr>
          <w:sz w:val="24"/>
          <w:szCs w:val="24"/>
        </w:rPr>
        <w:t xml:space="preserve"> </w:t>
      </w:r>
      <w:proofErr w:type="spellStart"/>
      <w:r w:rsidRPr="00051F9F">
        <w:rPr>
          <w:sz w:val="24"/>
          <w:szCs w:val="24"/>
        </w:rPr>
        <w:t>conducted</w:t>
      </w:r>
      <w:proofErr w:type="spellEnd"/>
      <w:r w:rsidRPr="00051F9F">
        <w:rPr>
          <w:sz w:val="24"/>
          <w:szCs w:val="24"/>
        </w:rPr>
        <w:t xml:space="preserve"> in China </w:t>
      </w:r>
      <w:proofErr w:type="spellStart"/>
      <w:r w:rsidRPr="00051F9F">
        <w:rPr>
          <w:sz w:val="24"/>
          <w:szCs w:val="24"/>
        </w:rPr>
        <w:t>in</w:t>
      </w:r>
      <w:proofErr w:type="spellEnd"/>
      <w:r w:rsidRPr="00051F9F">
        <w:rPr>
          <w:sz w:val="24"/>
          <w:szCs w:val="24"/>
        </w:rPr>
        <w:t xml:space="preserve"> 2022</w:t>
      </w:r>
      <w:r w:rsidR="00EF54C5" w:rsidRPr="00051F9F">
        <w:rPr>
          <w:sz w:val="24"/>
          <w:szCs w:val="24"/>
        </w:rPr>
        <w:t xml:space="preserve"> </w:t>
      </w:r>
      <w:r w:rsidR="00EF54C5" w:rsidRPr="00051F9F">
        <w:rPr>
          <w:rFonts w:cstheme="minorHAnsi"/>
          <w:b/>
          <w:sz w:val="24"/>
          <w:szCs w:val="24"/>
        </w:rPr>
        <w:t>[22].</w:t>
      </w:r>
    </w:p>
    <w:p w14:paraId="3E04E286" w14:textId="77777777" w:rsidR="002E1953" w:rsidRPr="00051F9F" w:rsidRDefault="006C19C1" w:rsidP="00EF54C5">
      <w:pPr>
        <w:spacing w:line="240" w:lineRule="auto"/>
        <w:ind w:right="-57"/>
        <w:rPr>
          <w:sz w:val="24"/>
          <w:szCs w:val="24"/>
        </w:rPr>
      </w:pPr>
      <w:r w:rsidRPr="00051F9F">
        <w:rPr>
          <w:sz w:val="24"/>
          <w:szCs w:val="24"/>
        </w:rPr>
        <w:t xml:space="preserve">In </w:t>
      </w:r>
      <w:proofErr w:type="spellStart"/>
      <w:r w:rsidRPr="00051F9F">
        <w:rPr>
          <w:sz w:val="24"/>
          <w:szCs w:val="24"/>
        </w:rPr>
        <w:t>our</w:t>
      </w:r>
      <w:proofErr w:type="spellEnd"/>
      <w:r w:rsidRPr="00051F9F">
        <w:rPr>
          <w:sz w:val="24"/>
          <w:szCs w:val="24"/>
        </w:rPr>
        <w:t xml:space="preserve"> </w:t>
      </w:r>
      <w:proofErr w:type="spellStart"/>
      <w:r w:rsidRPr="00051F9F">
        <w:rPr>
          <w:sz w:val="24"/>
          <w:szCs w:val="24"/>
        </w:rPr>
        <w:t>study</w:t>
      </w:r>
      <w:proofErr w:type="spellEnd"/>
      <w:r w:rsidRPr="00051F9F">
        <w:rPr>
          <w:sz w:val="24"/>
          <w:szCs w:val="24"/>
        </w:rPr>
        <w:t xml:space="preserve">, as </w:t>
      </w:r>
      <w:proofErr w:type="spellStart"/>
      <w:r w:rsidRPr="00051F9F">
        <w:rPr>
          <w:sz w:val="24"/>
          <w:szCs w:val="24"/>
        </w:rPr>
        <w:t>therapeutic</w:t>
      </w:r>
      <w:proofErr w:type="spellEnd"/>
      <w:r w:rsidRPr="00051F9F">
        <w:rPr>
          <w:sz w:val="24"/>
          <w:szCs w:val="24"/>
        </w:rPr>
        <w:t xml:space="preserve"> alternatives, the </w:t>
      </w:r>
      <w:proofErr w:type="spellStart"/>
      <w:r w:rsidRPr="00051F9F">
        <w:rPr>
          <w:sz w:val="24"/>
          <w:szCs w:val="24"/>
        </w:rPr>
        <w:t>majority</w:t>
      </w:r>
      <w:proofErr w:type="spellEnd"/>
      <w:r w:rsidRPr="00051F9F">
        <w:rPr>
          <w:sz w:val="24"/>
          <w:szCs w:val="24"/>
        </w:rPr>
        <w:t xml:space="preserve"> of patients </w:t>
      </w:r>
      <w:proofErr w:type="spellStart"/>
      <w:r w:rsidRPr="00051F9F">
        <w:rPr>
          <w:sz w:val="24"/>
          <w:szCs w:val="24"/>
        </w:rPr>
        <w:t>underwent</w:t>
      </w:r>
      <w:proofErr w:type="spellEnd"/>
      <w:r w:rsidRPr="00051F9F">
        <w:rPr>
          <w:sz w:val="24"/>
          <w:szCs w:val="24"/>
        </w:rPr>
        <w:t xml:space="preserve"> </w:t>
      </w:r>
      <w:proofErr w:type="spellStart"/>
      <w:r w:rsidRPr="00051F9F">
        <w:rPr>
          <w:sz w:val="24"/>
          <w:szCs w:val="24"/>
        </w:rPr>
        <w:t>surgical</w:t>
      </w:r>
      <w:proofErr w:type="spellEnd"/>
      <w:r w:rsidRPr="00051F9F">
        <w:rPr>
          <w:sz w:val="24"/>
          <w:szCs w:val="24"/>
        </w:rPr>
        <w:t xml:space="preserve"> bypass and </w:t>
      </w:r>
      <w:proofErr w:type="spellStart"/>
      <w:r w:rsidRPr="00051F9F">
        <w:rPr>
          <w:sz w:val="24"/>
          <w:szCs w:val="24"/>
        </w:rPr>
        <w:t>radiological</w:t>
      </w:r>
      <w:proofErr w:type="spellEnd"/>
      <w:r w:rsidRPr="00051F9F">
        <w:rPr>
          <w:sz w:val="24"/>
          <w:szCs w:val="24"/>
        </w:rPr>
        <w:t xml:space="preserve"> drainage.</w:t>
      </w:r>
    </w:p>
    <w:p w14:paraId="5C731422" w14:textId="77777777" w:rsidR="0029159F" w:rsidRPr="00F00B2E" w:rsidRDefault="002E1953" w:rsidP="002E1953">
      <w:pPr>
        <w:pStyle w:val="NormalWeb"/>
        <w:rPr>
          <w:rFonts w:asciiTheme="minorHAnsi" w:hAnsiTheme="minorHAnsi" w:cstheme="minorHAnsi"/>
        </w:rPr>
      </w:pPr>
      <w:r w:rsidRPr="002E1953">
        <w:rPr>
          <w:rFonts w:asciiTheme="minorHAnsi" w:hAnsiTheme="minorHAnsi" w:cstheme="minorHAnsi"/>
          <w:noProof/>
        </w:rPr>
        <w:drawing>
          <wp:inline distT="0" distB="0" distL="0" distR="0" wp14:anchorId="122411B1" wp14:editId="0CC766B4">
            <wp:extent cx="2658752" cy="1468800"/>
            <wp:effectExtent l="19050" t="0" r="8248" b="0"/>
            <wp:docPr id="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858" cy="1471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E53EF" w:rsidRPr="000E53EF">
        <w:rPr>
          <w:rFonts w:asciiTheme="minorHAnsi" w:hAnsiTheme="minorHAnsi" w:cstheme="minorHAnsi"/>
          <w:noProof/>
        </w:rPr>
        <w:drawing>
          <wp:inline distT="0" distB="0" distL="0" distR="0" wp14:anchorId="58BBD218" wp14:editId="3877C03B">
            <wp:extent cx="2609850" cy="1452260"/>
            <wp:effectExtent l="19050" t="0" r="0" b="0"/>
            <wp:docPr id="4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357" cy="1458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D833F1" w14:textId="77777777" w:rsidR="0029159F" w:rsidRDefault="00DC2014" w:rsidP="002E1953">
      <w:pPr>
        <w:spacing w:line="240" w:lineRule="auto"/>
        <w:rPr>
          <w:rFonts w:cstheme="minorHAnsi"/>
          <w:b/>
          <w:sz w:val="24"/>
        </w:rPr>
      </w:pPr>
      <w:r>
        <w:rPr>
          <w:b/>
          <w:noProof/>
          <w:lang w:eastAsia="en-US"/>
        </w:rPr>
        <w:pict w14:anchorId="65166548">
          <v:shape id="_x0000_s1029" type="#_x0000_t202" style="position:absolute;margin-left:.35pt;margin-top:121.7pt;width:283.45pt;height:25.5pt;z-index:251665408;mso-width-relative:margin;mso-height-relative:margin" stroked="f">
            <v:textbox>
              <w:txbxContent>
                <w:p w14:paraId="291DBEA4" w14:textId="5C03096B" w:rsidR="00EF54C5" w:rsidRDefault="00EF54C5" w:rsidP="00EF54C5">
                  <w:pPr>
                    <w:spacing w:line="240" w:lineRule="auto"/>
                    <w:rPr>
                      <w:b/>
                    </w:rPr>
                  </w:pPr>
                  <w:r w:rsidRPr="000E53EF">
                    <w:rPr>
                      <w:b/>
                    </w:rPr>
                    <w:t xml:space="preserve">Figure </w:t>
                  </w:r>
                  <w:proofErr w:type="gramStart"/>
                  <w:r w:rsidR="00A5639B">
                    <w:rPr>
                      <w:b/>
                    </w:rPr>
                    <w:t>4</w:t>
                  </w:r>
                  <w:r w:rsidRPr="000E53EF">
                    <w:rPr>
                      <w:b/>
                    </w:rPr>
                    <w:t>:</w:t>
                  </w:r>
                  <w:proofErr w:type="gramEnd"/>
                  <w:r w:rsidRPr="000E53EF">
                    <w:rPr>
                      <w:b/>
                    </w:rPr>
                    <w:t xml:space="preserve"> Novel Classification of the </w:t>
                  </w:r>
                  <w:proofErr w:type="spellStart"/>
                  <w:r w:rsidRPr="000E53EF">
                    <w:rPr>
                      <w:b/>
                    </w:rPr>
                    <w:t>Duodenal</w:t>
                  </w:r>
                  <w:proofErr w:type="spellEnd"/>
                  <w:r w:rsidRPr="000E53EF">
                    <w:rPr>
                      <w:b/>
                    </w:rPr>
                    <w:t xml:space="preserve"> </w:t>
                  </w:r>
                  <w:proofErr w:type="spellStart"/>
                  <w:r w:rsidRPr="000E53EF">
                    <w:rPr>
                      <w:b/>
                    </w:rPr>
                    <w:t>Papilla</w:t>
                  </w:r>
                  <w:proofErr w:type="spellEnd"/>
                  <w:r w:rsidRPr="000E53EF">
                    <w:rPr>
                      <w:b/>
                    </w:rPr>
                    <w:t>.</w:t>
                  </w:r>
                </w:p>
                <w:p w14:paraId="75275AB0" w14:textId="77777777" w:rsidR="00EF54C5" w:rsidRDefault="00EF54C5"/>
              </w:txbxContent>
            </v:textbox>
          </v:shape>
        </w:pict>
      </w:r>
      <w:r w:rsidR="000E53EF" w:rsidRPr="000E53EF">
        <w:rPr>
          <w:rFonts w:cstheme="minorHAnsi"/>
          <w:b/>
          <w:noProof/>
          <w:sz w:val="24"/>
        </w:rPr>
        <w:drawing>
          <wp:inline distT="0" distB="0" distL="0" distR="0" wp14:anchorId="273870CC" wp14:editId="3B4BFC54">
            <wp:extent cx="2679082" cy="1466445"/>
            <wp:effectExtent l="19050" t="0" r="6968" b="0"/>
            <wp:docPr id="3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243" cy="1467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E1953" w:rsidRPr="002E1953">
        <w:rPr>
          <w:rFonts w:cstheme="minorHAnsi"/>
          <w:b/>
          <w:noProof/>
          <w:sz w:val="24"/>
        </w:rPr>
        <w:drawing>
          <wp:inline distT="0" distB="0" distL="0" distR="0" wp14:anchorId="6D1C0186" wp14:editId="667357CE">
            <wp:extent cx="2714625" cy="688080"/>
            <wp:effectExtent l="19050" t="0" r="9525" b="0"/>
            <wp:docPr id="12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066" cy="688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4D8B5B" w14:textId="77777777" w:rsidR="000E53EF" w:rsidRDefault="000E53EF" w:rsidP="002E1953">
      <w:pPr>
        <w:spacing w:line="240" w:lineRule="auto"/>
        <w:rPr>
          <w:b/>
        </w:rPr>
      </w:pPr>
    </w:p>
    <w:p w14:paraId="43E7DDA0" w14:textId="77777777" w:rsidR="000E53EF" w:rsidRDefault="000E53EF" w:rsidP="000E53EF">
      <w:pPr>
        <w:spacing w:after="0" w:line="360" w:lineRule="auto"/>
        <w:rPr>
          <w:sz w:val="24"/>
        </w:rPr>
      </w:pPr>
      <w:proofErr w:type="gramStart"/>
      <w:r w:rsidRPr="00051F9F">
        <w:rPr>
          <w:rStyle w:val="Strong"/>
          <w:sz w:val="28"/>
        </w:rPr>
        <w:lastRenderedPageBreak/>
        <w:t>Conclusion:</w:t>
      </w:r>
      <w:proofErr w:type="gramEnd"/>
      <w:r>
        <w:br/>
      </w:r>
      <w:r w:rsidRPr="00051F9F">
        <w:rPr>
          <w:sz w:val="24"/>
        </w:rPr>
        <w:t xml:space="preserve">The position and </w:t>
      </w:r>
      <w:proofErr w:type="spellStart"/>
      <w:r w:rsidRPr="00051F9F">
        <w:rPr>
          <w:sz w:val="24"/>
        </w:rPr>
        <w:t>morphology</w:t>
      </w:r>
      <w:proofErr w:type="spellEnd"/>
      <w:r w:rsidRPr="00051F9F">
        <w:rPr>
          <w:sz w:val="24"/>
        </w:rPr>
        <w:t xml:space="preserve"> of the </w:t>
      </w:r>
      <w:proofErr w:type="spellStart"/>
      <w:r w:rsidRPr="00051F9F">
        <w:rPr>
          <w:sz w:val="24"/>
        </w:rPr>
        <w:t>duodenal</w:t>
      </w:r>
      <w:proofErr w:type="spellEnd"/>
      <w:r w:rsidRPr="00051F9F">
        <w:rPr>
          <w:sz w:val="24"/>
        </w:rPr>
        <w:t xml:space="preserve"> </w:t>
      </w:r>
      <w:proofErr w:type="spellStart"/>
      <w:r w:rsidRPr="00051F9F">
        <w:rPr>
          <w:sz w:val="24"/>
        </w:rPr>
        <w:t>papilla</w:t>
      </w:r>
      <w:proofErr w:type="spellEnd"/>
      <w:r w:rsidRPr="00051F9F">
        <w:rPr>
          <w:sz w:val="24"/>
        </w:rPr>
        <w:t xml:space="preserve">, as </w:t>
      </w:r>
      <w:proofErr w:type="spellStart"/>
      <w:r w:rsidRPr="00051F9F">
        <w:rPr>
          <w:sz w:val="24"/>
        </w:rPr>
        <w:t>well</w:t>
      </w:r>
      <w:proofErr w:type="spellEnd"/>
      <w:r w:rsidRPr="00051F9F">
        <w:rPr>
          <w:sz w:val="24"/>
        </w:rPr>
        <w:t xml:space="preserve"> as the </w:t>
      </w:r>
      <w:proofErr w:type="spellStart"/>
      <w:r w:rsidRPr="00051F9F">
        <w:rPr>
          <w:sz w:val="24"/>
        </w:rPr>
        <w:t>presence</w:t>
      </w:r>
      <w:proofErr w:type="spellEnd"/>
      <w:r w:rsidRPr="00051F9F">
        <w:rPr>
          <w:sz w:val="24"/>
        </w:rPr>
        <w:t xml:space="preserve"> of an </w:t>
      </w:r>
      <w:proofErr w:type="spellStart"/>
      <w:r w:rsidRPr="00051F9F">
        <w:rPr>
          <w:sz w:val="24"/>
        </w:rPr>
        <w:t>impacted</w:t>
      </w:r>
      <w:proofErr w:type="spellEnd"/>
      <w:r w:rsidRPr="00051F9F">
        <w:rPr>
          <w:sz w:val="24"/>
        </w:rPr>
        <w:t xml:space="preserve"> stone in the distal </w:t>
      </w:r>
      <w:proofErr w:type="spellStart"/>
      <w:r w:rsidRPr="00051F9F">
        <w:rPr>
          <w:sz w:val="24"/>
        </w:rPr>
        <w:t>common</w:t>
      </w:r>
      <w:proofErr w:type="spellEnd"/>
      <w:r w:rsidRPr="00051F9F">
        <w:rPr>
          <w:sz w:val="24"/>
        </w:rPr>
        <w:t xml:space="preserve"> bile </w:t>
      </w:r>
      <w:proofErr w:type="spellStart"/>
      <w:r w:rsidRPr="00051F9F">
        <w:rPr>
          <w:sz w:val="24"/>
        </w:rPr>
        <w:t>duct</w:t>
      </w:r>
      <w:proofErr w:type="spellEnd"/>
      <w:r w:rsidRPr="00051F9F">
        <w:rPr>
          <w:sz w:val="24"/>
        </w:rPr>
        <w:t xml:space="preserve">, </w:t>
      </w:r>
      <w:proofErr w:type="spellStart"/>
      <w:r w:rsidRPr="00051F9F">
        <w:rPr>
          <w:sz w:val="24"/>
        </w:rPr>
        <w:t>determine</w:t>
      </w:r>
      <w:proofErr w:type="spellEnd"/>
      <w:r w:rsidRPr="00051F9F">
        <w:rPr>
          <w:sz w:val="24"/>
        </w:rPr>
        <w:t xml:space="preserve"> the </w:t>
      </w:r>
      <w:proofErr w:type="spellStart"/>
      <w:r w:rsidRPr="00051F9F">
        <w:rPr>
          <w:sz w:val="24"/>
        </w:rPr>
        <w:t>risk</w:t>
      </w:r>
      <w:proofErr w:type="spellEnd"/>
      <w:r w:rsidRPr="00051F9F">
        <w:rPr>
          <w:sz w:val="24"/>
        </w:rPr>
        <w:t xml:space="preserve"> of </w:t>
      </w:r>
      <w:proofErr w:type="spellStart"/>
      <w:r w:rsidRPr="00051F9F">
        <w:rPr>
          <w:sz w:val="24"/>
        </w:rPr>
        <w:t>biliary</w:t>
      </w:r>
      <w:proofErr w:type="spellEnd"/>
      <w:r w:rsidRPr="00051F9F">
        <w:rPr>
          <w:sz w:val="24"/>
        </w:rPr>
        <w:t xml:space="preserve"> </w:t>
      </w:r>
      <w:proofErr w:type="spellStart"/>
      <w:r w:rsidRPr="00051F9F">
        <w:rPr>
          <w:sz w:val="24"/>
        </w:rPr>
        <w:t>cannulation</w:t>
      </w:r>
      <w:proofErr w:type="spellEnd"/>
      <w:r w:rsidRPr="00051F9F">
        <w:rPr>
          <w:sz w:val="24"/>
        </w:rPr>
        <w:t xml:space="preserve"> </w:t>
      </w:r>
      <w:proofErr w:type="spellStart"/>
      <w:r w:rsidRPr="00051F9F">
        <w:rPr>
          <w:sz w:val="24"/>
        </w:rPr>
        <w:t>failure</w:t>
      </w:r>
      <w:proofErr w:type="spellEnd"/>
      <w:r w:rsidRPr="00051F9F">
        <w:rPr>
          <w:sz w:val="24"/>
        </w:rPr>
        <w:t>.</w:t>
      </w:r>
      <w:r w:rsidRPr="00051F9F">
        <w:rPr>
          <w:sz w:val="24"/>
        </w:rPr>
        <w:br/>
        <w:t xml:space="preserve">The use of </w:t>
      </w:r>
      <w:proofErr w:type="spellStart"/>
      <w:r w:rsidRPr="00051F9F">
        <w:rPr>
          <w:sz w:val="24"/>
        </w:rPr>
        <w:t>sphincterotomy</w:t>
      </w:r>
      <w:proofErr w:type="spellEnd"/>
      <w:r w:rsidRPr="00051F9F">
        <w:rPr>
          <w:sz w:val="24"/>
        </w:rPr>
        <w:t xml:space="preserve"> </w:t>
      </w:r>
      <w:proofErr w:type="spellStart"/>
      <w:r w:rsidRPr="00051F9F">
        <w:rPr>
          <w:sz w:val="24"/>
        </w:rPr>
        <w:t>alone</w:t>
      </w:r>
      <w:proofErr w:type="spellEnd"/>
      <w:r w:rsidRPr="00051F9F">
        <w:rPr>
          <w:sz w:val="24"/>
        </w:rPr>
        <w:t xml:space="preserve">, </w:t>
      </w:r>
      <w:proofErr w:type="spellStart"/>
      <w:r w:rsidRPr="00051F9F">
        <w:rPr>
          <w:sz w:val="24"/>
        </w:rPr>
        <w:t>septotomy</w:t>
      </w:r>
      <w:proofErr w:type="spellEnd"/>
      <w:r w:rsidRPr="00051F9F">
        <w:rPr>
          <w:sz w:val="24"/>
        </w:rPr>
        <w:t xml:space="preserve">, and </w:t>
      </w:r>
      <w:proofErr w:type="spellStart"/>
      <w:r w:rsidRPr="00051F9F">
        <w:rPr>
          <w:sz w:val="24"/>
        </w:rPr>
        <w:t>precut</w:t>
      </w:r>
      <w:proofErr w:type="spellEnd"/>
      <w:r w:rsidRPr="00051F9F">
        <w:rPr>
          <w:sz w:val="24"/>
        </w:rPr>
        <w:t xml:space="preserve"> </w:t>
      </w:r>
      <w:proofErr w:type="spellStart"/>
      <w:r w:rsidRPr="00051F9F">
        <w:rPr>
          <w:sz w:val="24"/>
        </w:rPr>
        <w:t>sphincterotomy</w:t>
      </w:r>
      <w:proofErr w:type="spellEnd"/>
      <w:r w:rsidRPr="00051F9F">
        <w:rPr>
          <w:sz w:val="24"/>
        </w:rPr>
        <w:t xml:space="preserve"> can help </w:t>
      </w:r>
      <w:proofErr w:type="spellStart"/>
      <w:r w:rsidRPr="00051F9F">
        <w:rPr>
          <w:sz w:val="24"/>
        </w:rPr>
        <w:t>reduce</w:t>
      </w:r>
      <w:proofErr w:type="spellEnd"/>
      <w:r w:rsidRPr="00051F9F">
        <w:rPr>
          <w:sz w:val="24"/>
        </w:rPr>
        <w:t xml:space="preserve"> </w:t>
      </w:r>
      <w:proofErr w:type="spellStart"/>
      <w:r w:rsidRPr="00051F9F">
        <w:rPr>
          <w:sz w:val="24"/>
        </w:rPr>
        <w:t>this</w:t>
      </w:r>
      <w:proofErr w:type="spellEnd"/>
      <w:r w:rsidRPr="00051F9F">
        <w:rPr>
          <w:sz w:val="24"/>
        </w:rPr>
        <w:t xml:space="preserve"> </w:t>
      </w:r>
      <w:proofErr w:type="spellStart"/>
      <w:r w:rsidRPr="00051F9F">
        <w:rPr>
          <w:sz w:val="24"/>
        </w:rPr>
        <w:t>risk</w:t>
      </w:r>
      <w:proofErr w:type="spellEnd"/>
      <w:r w:rsidRPr="00051F9F">
        <w:rPr>
          <w:sz w:val="24"/>
        </w:rPr>
        <w:t>.</w:t>
      </w:r>
    </w:p>
    <w:p w14:paraId="312E2C7A" w14:textId="77777777" w:rsidR="000E53EF" w:rsidRDefault="000E53EF" w:rsidP="000E53EF">
      <w:pPr>
        <w:spacing w:after="0" w:line="360" w:lineRule="auto"/>
      </w:pPr>
    </w:p>
    <w:p w14:paraId="536D06A2" w14:textId="77777777" w:rsidR="00EF54C5" w:rsidRPr="00EF54C5" w:rsidRDefault="00EF54C5" w:rsidP="00EF54C5">
      <w:pPr>
        <w:rPr>
          <w:b/>
        </w:rPr>
      </w:pPr>
      <w:r w:rsidRPr="00EF54C5">
        <w:rPr>
          <w:b/>
        </w:rPr>
        <w:t>Reference :</w:t>
      </w:r>
    </w:p>
    <w:p w14:paraId="33CBD56C" w14:textId="77777777" w:rsidR="00E43E52" w:rsidRPr="00E43E52" w:rsidRDefault="00E43E52" w:rsidP="00E43E52">
      <w:pPr>
        <w:spacing w:line="240" w:lineRule="auto"/>
        <w:ind w:right="-57"/>
        <w:rPr>
          <w:rFonts w:cstheme="minorHAnsi"/>
        </w:rPr>
      </w:pPr>
      <w:r w:rsidRPr="00E43E52">
        <w:rPr>
          <w:rFonts w:cstheme="minorHAnsi"/>
        </w:rPr>
        <w:t xml:space="preserve">1. Cheng CL, </w:t>
      </w:r>
      <w:proofErr w:type="spellStart"/>
      <w:r w:rsidRPr="00E43E52">
        <w:rPr>
          <w:rFonts w:cstheme="minorHAnsi"/>
        </w:rPr>
        <w:t>Tsou</w:t>
      </w:r>
      <w:proofErr w:type="spellEnd"/>
      <w:r w:rsidRPr="00E43E52">
        <w:rPr>
          <w:rFonts w:cstheme="minorHAnsi"/>
        </w:rPr>
        <w:t xml:space="preserve"> YK, Lin CH, Tang JH, Hung CF, Sung KF, et al. </w:t>
      </w:r>
      <w:proofErr w:type="spellStart"/>
      <w:r w:rsidRPr="00E43E52">
        <w:rPr>
          <w:rFonts w:cstheme="minorHAnsi"/>
        </w:rPr>
        <w:t>Poorly</w:t>
      </w:r>
      <w:proofErr w:type="spellEnd"/>
      <w:r w:rsidRPr="00E43E52">
        <w:rPr>
          <w:rFonts w:cstheme="minorHAnsi"/>
        </w:rPr>
        <w:t xml:space="preserve"> </w:t>
      </w:r>
      <w:proofErr w:type="spellStart"/>
      <w:r w:rsidRPr="00E43E52">
        <w:rPr>
          <w:rFonts w:cstheme="minorHAnsi"/>
        </w:rPr>
        <w:t>expandable</w:t>
      </w:r>
      <w:proofErr w:type="spellEnd"/>
      <w:r w:rsidRPr="00E43E52">
        <w:rPr>
          <w:rFonts w:cstheme="minorHAnsi"/>
        </w:rPr>
        <w:t xml:space="preserve"> </w:t>
      </w:r>
      <w:proofErr w:type="spellStart"/>
      <w:r w:rsidRPr="00E43E52">
        <w:rPr>
          <w:rFonts w:cstheme="minorHAnsi"/>
        </w:rPr>
        <w:t>common</w:t>
      </w:r>
      <w:proofErr w:type="spellEnd"/>
      <w:r w:rsidRPr="00E43E52">
        <w:rPr>
          <w:rFonts w:cstheme="minorHAnsi"/>
        </w:rPr>
        <w:t xml:space="preserve"> bile </w:t>
      </w:r>
      <w:proofErr w:type="spellStart"/>
      <w:r w:rsidRPr="00E43E52">
        <w:rPr>
          <w:rFonts w:cstheme="minorHAnsi"/>
        </w:rPr>
        <w:t>duct</w:t>
      </w:r>
      <w:proofErr w:type="spellEnd"/>
      <w:r w:rsidRPr="00E43E52">
        <w:rPr>
          <w:rFonts w:cstheme="minorHAnsi"/>
        </w:rPr>
        <w:t xml:space="preserve"> </w:t>
      </w:r>
      <w:proofErr w:type="spellStart"/>
      <w:r w:rsidRPr="00E43E52">
        <w:rPr>
          <w:rFonts w:cstheme="minorHAnsi"/>
        </w:rPr>
        <w:t>with</w:t>
      </w:r>
      <w:proofErr w:type="spellEnd"/>
      <w:r w:rsidRPr="00E43E52">
        <w:rPr>
          <w:rFonts w:cstheme="minorHAnsi"/>
        </w:rPr>
        <w:t xml:space="preserve"> stones on </w:t>
      </w:r>
      <w:proofErr w:type="spellStart"/>
      <w:r w:rsidRPr="00E43E52">
        <w:rPr>
          <w:rFonts w:cstheme="minorHAnsi"/>
        </w:rPr>
        <w:t>endoscopic</w:t>
      </w:r>
      <w:proofErr w:type="spellEnd"/>
      <w:r w:rsidRPr="00E43E52">
        <w:rPr>
          <w:rFonts w:cstheme="minorHAnsi"/>
        </w:rPr>
        <w:t xml:space="preserve"> </w:t>
      </w:r>
      <w:proofErr w:type="spellStart"/>
      <w:r w:rsidRPr="00E43E52">
        <w:rPr>
          <w:rFonts w:cstheme="minorHAnsi"/>
        </w:rPr>
        <w:t>retrograde</w:t>
      </w:r>
      <w:proofErr w:type="spellEnd"/>
      <w:r w:rsidRPr="00E43E52">
        <w:rPr>
          <w:rFonts w:cstheme="minorHAnsi"/>
        </w:rPr>
        <w:t xml:space="preserve"> </w:t>
      </w:r>
      <w:proofErr w:type="spellStart"/>
      <w:r w:rsidRPr="00E43E52">
        <w:rPr>
          <w:rFonts w:cstheme="minorHAnsi"/>
        </w:rPr>
        <w:t>cholangiography</w:t>
      </w:r>
      <w:proofErr w:type="spellEnd"/>
      <w:r w:rsidRPr="00E43E52">
        <w:rPr>
          <w:rFonts w:cstheme="minorHAnsi"/>
        </w:rPr>
        <w:t xml:space="preserve">. World J </w:t>
      </w:r>
      <w:proofErr w:type="spellStart"/>
      <w:r w:rsidRPr="00E43E52">
        <w:rPr>
          <w:rFonts w:cstheme="minorHAnsi"/>
        </w:rPr>
        <w:t>Gastroenterol</w:t>
      </w:r>
      <w:proofErr w:type="spellEnd"/>
      <w:r w:rsidRPr="00E43E52">
        <w:rPr>
          <w:rFonts w:cstheme="minorHAnsi"/>
        </w:rPr>
        <w:t xml:space="preserve"> </w:t>
      </w:r>
      <w:proofErr w:type="gramStart"/>
      <w:r w:rsidRPr="00E43E52">
        <w:rPr>
          <w:rFonts w:cstheme="minorHAnsi"/>
        </w:rPr>
        <w:t>2012;</w:t>
      </w:r>
      <w:proofErr w:type="gramEnd"/>
      <w:r w:rsidRPr="00E43E52">
        <w:rPr>
          <w:rFonts w:cstheme="minorHAnsi"/>
        </w:rPr>
        <w:t>18:2396 401.</w:t>
      </w:r>
    </w:p>
    <w:p w14:paraId="2DC7510C" w14:textId="77777777" w:rsidR="00E43E52" w:rsidRPr="00E43E52" w:rsidRDefault="00E43E52" w:rsidP="00E43E52">
      <w:pPr>
        <w:spacing w:line="240" w:lineRule="auto"/>
        <w:ind w:right="-57"/>
        <w:rPr>
          <w:rFonts w:cstheme="minorHAnsi"/>
        </w:rPr>
      </w:pPr>
      <w:r w:rsidRPr="00E43E52">
        <w:rPr>
          <w:rFonts w:cstheme="minorHAnsi"/>
        </w:rPr>
        <w:t xml:space="preserve">2. </w:t>
      </w:r>
      <w:proofErr w:type="spellStart"/>
      <w:r w:rsidRPr="00E43E52">
        <w:rPr>
          <w:rFonts w:cstheme="minorHAnsi"/>
        </w:rPr>
        <w:t>Aljebreen</w:t>
      </w:r>
      <w:proofErr w:type="spellEnd"/>
      <w:r w:rsidRPr="00E43E52">
        <w:rPr>
          <w:rFonts w:cstheme="minorHAnsi"/>
        </w:rPr>
        <w:t xml:space="preserve"> AM, </w:t>
      </w:r>
      <w:proofErr w:type="spellStart"/>
      <w:r w:rsidRPr="00E43E52">
        <w:rPr>
          <w:rFonts w:cstheme="minorHAnsi"/>
        </w:rPr>
        <w:t>Alharbi</w:t>
      </w:r>
      <w:proofErr w:type="spellEnd"/>
      <w:r w:rsidRPr="00E43E52">
        <w:rPr>
          <w:rFonts w:cstheme="minorHAnsi"/>
        </w:rPr>
        <w:t xml:space="preserve"> OR, Azzam N, </w:t>
      </w:r>
      <w:proofErr w:type="spellStart"/>
      <w:r w:rsidRPr="00E43E52">
        <w:rPr>
          <w:rFonts w:cstheme="minorHAnsi"/>
        </w:rPr>
        <w:t>Almadi</w:t>
      </w:r>
      <w:proofErr w:type="spellEnd"/>
      <w:r w:rsidRPr="00E43E52">
        <w:rPr>
          <w:rFonts w:cstheme="minorHAnsi"/>
        </w:rPr>
        <w:t xml:space="preserve"> MA. </w:t>
      </w:r>
      <w:proofErr w:type="spellStart"/>
      <w:r w:rsidRPr="00E43E52">
        <w:rPr>
          <w:rFonts w:cstheme="minorHAnsi"/>
        </w:rPr>
        <w:t>Efficacy</w:t>
      </w:r>
      <w:proofErr w:type="spellEnd"/>
      <w:r w:rsidRPr="00E43E52">
        <w:rPr>
          <w:rFonts w:cstheme="minorHAnsi"/>
        </w:rPr>
        <w:t xml:space="preserve"> of </w:t>
      </w:r>
      <w:proofErr w:type="spellStart"/>
      <w:r w:rsidRPr="00E43E52">
        <w:rPr>
          <w:rFonts w:cstheme="minorHAnsi"/>
        </w:rPr>
        <w:t>spyglass</w:t>
      </w:r>
      <w:proofErr w:type="spellEnd"/>
      <w:r w:rsidRPr="00E43E52">
        <w:rPr>
          <w:rFonts w:cstheme="minorHAnsi"/>
        </w:rPr>
        <w:t xml:space="preserve"> </w:t>
      </w:r>
      <w:proofErr w:type="spellStart"/>
      <w:r w:rsidRPr="00E43E52">
        <w:rPr>
          <w:rFonts w:cstheme="minorHAnsi"/>
        </w:rPr>
        <w:t>guided</w:t>
      </w:r>
      <w:proofErr w:type="spellEnd"/>
      <w:r w:rsidRPr="00E43E52">
        <w:rPr>
          <w:rFonts w:cstheme="minorHAnsi"/>
        </w:rPr>
        <w:t xml:space="preserve"> </w:t>
      </w:r>
      <w:proofErr w:type="spellStart"/>
      <w:r w:rsidRPr="00E43E52">
        <w:rPr>
          <w:rFonts w:cstheme="minorHAnsi"/>
        </w:rPr>
        <w:t>electrohydraulic</w:t>
      </w:r>
      <w:proofErr w:type="spellEnd"/>
      <w:r w:rsidRPr="00E43E52">
        <w:rPr>
          <w:rFonts w:cstheme="minorHAnsi"/>
        </w:rPr>
        <w:t xml:space="preserve"> </w:t>
      </w:r>
      <w:proofErr w:type="spellStart"/>
      <w:r w:rsidRPr="00E43E52">
        <w:rPr>
          <w:rFonts w:cstheme="minorHAnsi"/>
        </w:rPr>
        <w:t>lithotripsy</w:t>
      </w:r>
      <w:proofErr w:type="spellEnd"/>
      <w:r w:rsidRPr="00E43E52">
        <w:rPr>
          <w:rFonts w:cstheme="minorHAnsi"/>
        </w:rPr>
        <w:t xml:space="preserve"> in </w:t>
      </w:r>
      <w:proofErr w:type="spellStart"/>
      <w:r w:rsidRPr="00E43E52">
        <w:rPr>
          <w:rFonts w:cstheme="minorHAnsi"/>
        </w:rPr>
        <w:t>difficult</w:t>
      </w:r>
      <w:proofErr w:type="spellEnd"/>
      <w:r w:rsidRPr="00E43E52">
        <w:rPr>
          <w:rFonts w:cstheme="minorHAnsi"/>
        </w:rPr>
        <w:t xml:space="preserve"> bile </w:t>
      </w:r>
      <w:proofErr w:type="spellStart"/>
      <w:r w:rsidRPr="00E43E52">
        <w:rPr>
          <w:rFonts w:cstheme="minorHAnsi"/>
        </w:rPr>
        <w:t>duct</w:t>
      </w:r>
      <w:proofErr w:type="spellEnd"/>
      <w:r w:rsidRPr="00E43E52">
        <w:rPr>
          <w:rFonts w:cstheme="minorHAnsi"/>
        </w:rPr>
        <w:t xml:space="preserve"> stones. </w:t>
      </w:r>
      <w:proofErr w:type="spellStart"/>
      <w:r w:rsidRPr="00E43E52">
        <w:rPr>
          <w:rFonts w:cstheme="minorHAnsi"/>
        </w:rPr>
        <w:t>Saudi</w:t>
      </w:r>
      <w:proofErr w:type="spellEnd"/>
      <w:r w:rsidRPr="00E43E52">
        <w:rPr>
          <w:rFonts w:cstheme="minorHAnsi"/>
        </w:rPr>
        <w:t xml:space="preserve"> J </w:t>
      </w:r>
      <w:proofErr w:type="spellStart"/>
      <w:r w:rsidRPr="00E43E52">
        <w:rPr>
          <w:rFonts w:cstheme="minorHAnsi"/>
        </w:rPr>
        <w:t>Gastroenterol</w:t>
      </w:r>
      <w:proofErr w:type="spellEnd"/>
      <w:r w:rsidRPr="00E43E52">
        <w:rPr>
          <w:rFonts w:cstheme="minorHAnsi"/>
        </w:rPr>
        <w:t xml:space="preserve"> </w:t>
      </w:r>
      <w:proofErr w:type="gramStart"/>
      <w:r w:rsidRPr="00E43E52">
        <w:rPr>
          <w:rFonts w:cstheme="minorHAnsi"/>
        </w:rPr>
        <w:t>2014;</w:t>
      </w:r>
      <w:proofErr w:type="gramEnd"/>
      <w:r w:rsidRPr="00E43E52">
        <w:rPr>
          <w:rFonts w:cstheme="minorHAnsi"/>
        </w:rPr>
        <w:t>20:366 70.</w:t>
      </w:r>
    </w:p>
    <w:p w14:paraId="527D17C5" w14:textId="77777777" w:rsidR="00E43E52" w:rsidRPr="00E43E52" w:rsidRDefault="00E43E52" w:rsidP="00E43E52">
      <w:pPr>
        <w:spacing w:line="240" w:lineRule="auto"/>
        <w:ind w:right="-57"/>
        <w:rPr>
          <w:rFonts w:cstheme="minorHAnsi"/>
        </w:rPr>
      </w:pPr>
      <w:r w:rsidRPr="00E43E52">
        <w:rPr>
          <w:rFonts w:cstheme="minorHAnsi"/>
        </w:rPr>
        <w:t xml:space="preserve">3. </w:t>
      </w:r>
      <w:proofErr w:type="spellStart"/>
      <w:r w:rsidRPr="00E43E52">
        <w:rPr>
          <w:rFonts w:cstheme="minorHAnsi"/>
        </w:rPr>
        <w:t>Warnes</w:t>
      </w:r>
      <w:proofErr w:type="spellEnd"/>
      <w:r w:rsidRPr="00E43E52">
        <w:rPr>
          <w:rFonts w:cstheme="minorHAnsi"/>
        </w:rPr>
        <w:t xml:space="preserve"> GR, </w:t>
      </w:r>
      <w:proofErr w:type="spellStart"/>
      <w:r w:rsidRPr="00E43E52">
        <w:rPr>
          <w:rFonts w:cstheme="minorHAnsi"/>
        </w:rPr>
        <w:t>Bolker</w:t>
      </w:r>
      <w:proofErr w:type="spellEnd"/>
      <w:r w:rsidRPr="00E43E52">
        <w:rPr>
          <w:rFonts w:cstheme="minorHAnsi"/>
        </w:rPr>
        <w:t xml:space="preserve"> B, </w:t>
      </w:r>
      <w:proofErr w:type="spellStart"/>
      <w:r w:rsidRPr="00E43E52">
        <w:rPr>
          <w:rFonts w:cstheme="minorHAnsi"/>
        </w:rPr>
        <w:t>Lumley</w:t>
      </w:r>
      <w:proofErr w:type="spellEnd"/>
      <w:r w:rsidRPr="00E43E52">
        <w:rPr>
          <w:rFonts w:cstheme="minorHAnsi"/>
        </w:rPr>
        <w:t xml:space="preserve"> T, Johnson RC. Contributions </w:t>
      </w:r>
      <w:proofErr w:type="spellStart"/>
      <w:r w:rsidRPr="00E43E52">
        <w:rPr>
          <w:rFonts w:cstheme="minorHAnsi"/>
        </w:rPr>
        <w:t>from</w:t>
      </w:r>
      <w:proofErr w:type="spellEnd"/>
      <w:r w:rsidRPr="00E43E52">
        <w:rPr>
          <w:rFonts w:cstheme="minorHAnsi"/>
        </w:rPr>
        <w:t xml:space="preserve"> Randall C. Johnson are copyright. SAIC Frederick, Inc. </w:t>
      </w:r>
      <w:proofErr w:type="spellStart"/>
      <w:r w:rsidRPr="00E43E52">
        <w:rPr>
          <w:rFonts w:cstheme="minorHAnsi"/>
        </w:rPr>
        <w:t>Funded</w:t>
      </w:r>
      <w:proofErr w:type="spellEnd"/>
      <w:r w:rsidRPr="00E43E52">
        <w:rPr>
          <w:rFonts w:cstheme="minorHAnsi"/>
        </w:rPr>
        <w:t xml:space="preserve"> by the </w:t>
      </w:r>
      <w:proofErr w:type="spellStart"/>
      <w:r w:rsidRPr="00E43E52">
        <w:rPr>
          <w:rFonts w:cstheme="minorHAnsi"/>
        </w:rPr>
        <w:t>Intramural</w:t>
      </w:r>
      <w:proofErr w:type="spellEnd"/>
      <w:r w:rsidRPr="00E43E52">
        <w:rPr>
          <w:rFonts w:cstheme="minorHAnsi"/>
        </w:rPr>
        <w:t xml:space="preserve"> </w:t>
      </w:r>
      <w:proofErr w:type="spellStart"/>
      <w:r w:rsidRPr="00E43E52">
        <w:rPr>
          <w:rFonts w:cstheme="minorHAnsi"/>
        </w:rPr>
        <w:t>Research</w:t>
      </w:r>
      <w:proofErr w:type="spellEnd"/>
      <w:r w:rsidRPr="00E43E52">
        <w:rPr>
          <w:rFonts w:cstheme="minorHAnsi"/>
        </w:rPr>
        <w:t xml:space="preserve"> Program, of the NIH, National Cancer Institute and Center for Cancer </w:t>
      </w:r>
      <w:proofErr w:type="spellStart"/>
      <w:r w:rsidRPr="00E43E52">
        <w:rPr>
          <w:rFonts w:cstheme="minorHAnsi"/>
        </w:rPr>
        <w:t>Research</w:t>
      </w:r>
      <w:proofErr w:type="spellEnd"/>
      <w:r w:rsidRPr="00E43E52">
        <w:rPr>
          <w:rFonts w:cstheme="minorHAnsi"/>
        </w:rPr>
        <w:t xml:space="preserve"> </w:t>
      </w:r>
      <w:proofErr w:type="spellStart"/>
      <w:r w:rsidRPr="00E43E52">
        <w:rPr>
          <w:rFonts w:cstheme="minorHAnsi"/>
        </w:rPr>
        <w:t>under</w:t>
      </w:r>
      <w:proofErr w:type="spellEnd"/>
      <w:r w:rsidRPr="00E43E52">
        <w:rPr>
          <w:rFonts w:cstheme="minorHAnsi"/>
        </w:rPr>
        <w:t xml:space="preserve"> NCI </w:t>
      </w:r>
      <w:proofErr w:type="spellStart"/>
      <w:r w:rsidRPr="00E43E52">
        <w:rPr>
          <w:rFonts w:cstheme="minorHAnsi"/>
        </w:rPr>
        <w:t>Contract</w:t>
      </w:r>
      <w:proofErr w:type="spellEnd"/>
      <w:r w:rsidRPr="00E43E52">
        <w:rPr>
          <w:rFonts w:cstheme="minorHAnsi"/>
        </w:rPr>
        <w:t xml:space="preserve"> NO1 CO 12400. (2015). </w:t>
      </w:r>
      <w:proofErr w:type="spellStart"/>
      <w:proofErr w:type="gramStart"/>
      <w:r w:rsidRPr="00E43E52">
        <w:rPr>
          <w:rFonts w:cstheme="minorHAnsi"/>
        </w:rPr>
        <w:t>gmodels</w:t>
      </w:r>
      <w:proofErr w:type="spellEnd"/>
      <w:r w:rsidRPr="00E43E52">
        <w:rPr>
          <w:rFonts w:cstheme="minorHAnsi"/>
        </w:rPr>
        <w:t>:</w:t>
      </w:r>
      <w:proofErr w:type="gramEnd"/>
      <w:r w:rsidRPr="00E43E52">
        <w:rPr>
          <w:rFonts w:cstheme="minorHAnsi"/>
        </w:rPr>
        <w:t xml:space="preserve"> </w:t>
      </w:r>
      <w:proofErr w:type="spellStart"/>
      <w:r w:rsidRPr="00E43E52">
        <w:rPr>
          <w:rFonts w:cstheme="minorHAnsi"/>
        </w:rPr>
        <w:t>Various</w:t>
      </w:r>
      <w:proofErr w:type="spellEnd"/>
      <w:r w:rsidRPr="00E43E52">
        <w:rPr>
          <w:rFonts w:cstheme="minorHAnsi"/>
        </w:rPr>
        <w:t xml:space="preserve"> R </w:t>
      </w:r>
      <w:proofErr w:type="spellStart"/>
      <w:r w:rsidRPr="00E43E52">
        <w:rPr>
          <w:rFonts w:cstheme="minorHAnsi"/>
        </w:rPr>
        <w:t>Programming</w:t>
      </w:r>
      <w:proofErr w:type="spellEnd"/>
      <w:r w:rsidRPr="00E43E52">
        <w:rPr>
          <w:rFonts w:cstheme="minorHAnsi"/>
        </w:rPr>
        <w:t xml:space="preserve"> Tools for Model </w:t>
      </w:r>
      <w:proofErr w:type="spellStart"/>
      <w:r w:rsidRPr="00E43E52">
        <w:rPr>
          <w:rFonts w:cstheme="minorHAnsi"/>
        </w:rPr>
        <w:t>Fitting</w:t>
      </w:r>
      <w:proofErr w:type="spellEnd"/>
      <w:r w:rsidRPr="00E43E52">
        <w:rPr>
          <w:rFonts w:cstheme="minorHAnsi"/>
        </w:rPr>
        <w:t xml:space="preserve">. R package version 2.16.2. </w:t>
      </w:r>
      <w:proofErr w:type="spellStart"/>
      <w:r w:rsidRPr="00E43E52">
        <w:rPr>
          <w:rFonts w:cstheme="minorHAnsi"/>
        </w:rPr>
        <w:t>Available</w:t>
      </w:r>
      <w:proofErr w:type="spellEnd"/>
      <w:r w:rsidRPr="00E43E52">
        <w:rPr>
          <w:rFonts w:cstheme="minorHAnsi"/>
        </w:rPr>
        <w:t xml:space="preserve"> </w:t>
      </w:r>
      <w:proofErr w:type="spellStart"/>
      <w:proofErr w:type="gramStart"/>
      <w:r w:rsidRPr="00E43E52">
        <w:rPr>
          <w:rFonts w:cstheme="minorHAnsi"/>
        </w:rPr>
        <w:t>from</w:t>
      </w:r>
      <w:proofErr w:type="spellEnd"/>
      <w:r w:rsidRPr="00E43E52">
        <w:rPr>
          <w:rFonts w:cstheme="minorHAnsi"/>
        </w:rPr>
        <w:t>:</w:t>
      </w:r>
      <w:proofErr w:type="gramEnd"/>
      <w:r w:rsidRPr="00E43E52">
        <w:rPr>
          <w:rFonts w:cstheme="minorHAnsi"/>
        </w:rPr>
        <w:t xml:space="preserve"> https://CRAN.R project.org/package=</w:t>
      </w:r>
      <w:proofErr w:type="spellStart"/>
      <w:r w:rsidRPr="00E43E52">
        <w:rPr>
          <w:rFonts w:cstheme="minorHAnsi"/>
        </w:rPr>
        <w:t>gmodels</w:t>
      </w:r>
      <w:proofErr w:type="spellEnd"/>
      <w:r w:rsidRPr="00E43E52">
        <w:rPr>
          <w:rFonts w:cstheme="minorHAnsi"/>
        </w:rPr>
        <w:t xml:space="preserve">. [Last </w:t>
      </w:r>
      <w:proofErr w:type="spellStart"/>
      <w:r w:rsidRPr="00E43E52">
        <w:rPr>
          <w:rFonts w:cstheme="minorHAnsi"/>
        </w:rPr>
        <w:t>accessed</w:t>
      </w:r>
      <w:proofErr w:type="spellEnd"/>
      <w:r w:rsidRPr="00E43E52">
        <w:rPr>
          <w:rFonts w:cstheme="minorHAnsi"/>
        </w:rPr>
        <w:t xml:space="preserve"> on 2018 </w:t>
      </w:r>
      <w:proofErr w:type="spellStart"/>
      <w:r w:rsidRPr="00E43E52">
        <w:rPr>
          <w:rFonts w:cstheme="minorHAnsi"/>
        </w:rPr>
        <w:t>Jul</w:t>
      </w:r>
      <w:proofErr w:type="spellEnd"/>
      <w:r w:rsidRPr="00E43E52">
        <w:rPr>
          <w:rFonts w:cstheme="minorHAnsi"/>
        </w:rPr>
        <w:t xml:space="preserve"> 02].</w:t>
      </w:r>
    </w:p>
    <w:p w14:paraId="2405B550" w14:textId="77777777" w:rsidR="00E43E52" w:rsidRPr="00E43E52" w:rsidRDefault="00E43E52" w:rsidP="00E43E52">
      <w:pPr>
        <w:spacing w:line="240" w:lineRule="auto"/>
        <w:ind w:right="-57"/>
        <w:rPr>
          <w:rFonts w:cstheme="minorHAnsi"/>
        </w:rPr>
      </w:pPr>
      <w:r w:rsidRPr="00E43E52">
        <w:rPr>
          <w:rFonts w:cstheme="minorHAnsi"/>
        </w:rPr>
        <w:t xml:space="preserve">4. R </w:t>
      </w:r>
      <w:proofErr w:type="spellStart"/>
      <w:r w:rsidRPr="00E43E52">
        <w:rPr>
          <w:rFonts w:cstheme="minorHAnsi"/>
        </w:rPr>
        <w:t>Core</w:t>
      </w:r>
      <w:proofErr w:type="spellEnd"/>
      <w:r w:rsidRPr="00E43E52">
        <w:rPr>
          <w:rFonts w:cstheme="minorHAnsi"/>
        </w:rPr>
        <w:t xml:space="preserve"> Team. </w:t>
      </w:r>
      <w:proofErr w:type="gramStart"/>
      <w:r w:rsidRPr="00E43E52">
        <w:rPr>
          <w:rFonts w:cstheme="minorHAnsi"/>
        </w:rPr>
        <w:t>A:</w:t>
      </w:r>
      <w:proofErr w:type="gramEnd"/>
      <w:r w:rsidRPr="00E43E52">
        <w:rPr>
          <w:rFonts w:cstheme="minorHAnsi"/>
        </w:rPr>
        <w:t xml:space="preserve"> A </w:t>
      </w:r>
      <w:proofErr w:type="spellStart"/>
      <w:r w:rsidRPr="00E43E52">
        <w:rPr>
          <w:rFonts w:cstheme="minorHAnsi"/>
        </w:rPr>
        <w:t>language</w:t>
      </w:r>
      <w:proofErr w:type="spellEnd"/>
      <w:r w:rsidRPr="00E43E52">
        <w:rPr>
          <w:rFonts w:cstheme="minorHAnsi"/>
        </w:rPr>
        <w:t xml:space="preserve"> and </w:t>
      </w:r>
      <w:proofErr w:type="spellStart"/>
      <w:r w:rsidRPr="00E43E52">
        <w:rPr>
          <w:rFonts w:cstheme="minorHAnsi"/>
        </w:rPr>
        <w:t>environment</w:t>
      </w:r>
      <w:proofErr w:type="spellEnd"/>
      <w:r w:rsidRPr="00E43E52">
        <w:rPr>
          <w:rFonts w:cstheme="minorHAnsi"/>
        </w:rPr>
        <w:t xml:space="preserve"> for </w:t>
      </w:r>
      <w:proofErr w:type="spellStart"/>
      <w:r w:rsidRPr="00E43E52">
        <w:rPr>
          <w:rFonts w:cstheme="minorHAnsi"/>
        </w:rPr>
        <w:t>statistical</w:t>
      </w:r>
      <w:proofErr w:type="spellEnd"/>
      <w:r w:rsidRPr="00E43E52">
        <w:rPr>
          <w:rFonts w:cstheme="minorHAnsi"/>
        </w:rPr>
        <w:t xml:space="preserve"> </w:t>
      </w:r>
      <w:proofErr w:type="spellStart"/>
      <w:r w:rsidRPr="00E43E52">
        <w:rPr>
          <w:rFonts w:cstheme="minorHAnsi"/>
        </w:rPr>
        <w:t>computing</w:t>
      </w:r>
      <w:proofErr w:type="spellEnd"/>
      <w:r w:rsidRPr="00E43E52">
        <w:rPr>
          <w:rFonts w:cstheme="minorHAnsi"/>
        </w:rPr>
        <w:t xml:space="preserve">. Vienna, </w:t>
      </w:r>
      <w:proofErr w:type="spellStart"/>
      <w:proofErr w:type="gramStart"/>
      <w:r w:rsidRPr="00E43E52">
        <w:rPr>
          <w:rFonts w:cstheme="minorHAnsi"/>
        </w:rPr>
        <w:t>Austria</w:t>
      </w:r>
      <w:proofErr w:type="spellEnd"/>
      <w:r w:rsidRPr="00E43E52">
        <w:rPr>
          <w:rFonts w:cstheme="minorHAnsi"/>
        </w:rPr>
        <w:t>:</w:t>
      </w:r>
      <w:proofErr w:type="gramEnd"/>
      <w:r w:rsidRPr="00E43E52">
        <w:rPr>
          <w:rFonts w:cstheme="minorHAnsi"/>
        </w:rPr>
        <w:t xml:space="preserve"> R </w:t>
      </w:r>
      <w:proofErr w:type="spellStart"/>
      <w:r w:rsidRPr="00E43E52">
        <w:rPr>
          <w:rFonts w:cstheme="minorHAnsi"/>
        </w:rPr>
        <w:t>Foundation</w:t>
      </w:r>
      <w:proofErr w:type="spellEnd"/>
      <w:r w:rsidRPr="00E43E52">
        <w:rPr>
          <w:rFonts w:cstheme="minorHAnsi"/>
        </w:rPr>
        <w:t xml:space="preserve"> for </w:t>
      </w:r>
      <w:proofErr w:type="spellStart"/>
      <w:r w:rsidRPr="00E43E52">
        <w:rPr>
          <w:rFonts w:cstheme="minorHAnsi"/>
        </w:rPr>
        <w:t>Statistical</w:t>
      </w:r>
      <w:proofErr w:type="spellEnd"/>
      <w:r w:rsidRPr="00E43E52">
        <w:rPr>
          <w:rFonts w:cstheme="minorHAnsi"/>
        </w:rPr>
        <w:t xml:space="preserve"> </w:t>
      </w:r>
      <w:proofErr w:type="spellStart"/>
      <w:r w:rsidRPr="00E43E52">
        <w:rPr>
          <w:rFonts w:cstheme="minorHAnsi"/>
        </w:rPr>
        <w:t>Computing</w:t>
      </w:r>
      <w:proofErr w:type="spellEnd"/>
      <w:r w:rsidRPr="00E43E52">
        <w:rPr>
          <w:rFonts w:cstheme="minorHAnsi"/>
        </w:rPr>
        <w:t xml:space="preserve">; 2017. </w:t>
      </w:r>
      <w:proofErr w:type="spellStart"/>
      <w:r w:rsidRPr="00E43E52">
        <w:rPr>
          <w:rFonts w:cstheme="minorHAnsi"/>
        </w:rPr>
        <w:t>Available</w:t>
      </w:r>
      <w:proofErr w:type="spellEnd"/>
      <w:r w:rsidRPr="00E43E52">
        <w:rPr>
          <w:rFonts w:cstheme="minorHAnsi"/>
        </w:rPr>
        <w:t xml:space="preserve"> </w:t>
      </w:r>
      <w:proofErr w:type="spellStart"/>
      <w:proofErr w:type="gramStart"/>
      <w:r w:rsidRPr="00E43E52">
        <w:rPr>
          <w:rFonts w:cstheme="minorHAnsi"/>
        </w:rPr>
        <w:t>from</w:t>
      </w:r>
      <w:proofErr w:type="spellEnd"/>
      <w:r w:rsidRPr="00E43E52">
        <w:rPr>
          <w:rFonts w:cstheme="minorHAnsi"/>
        </w:rPr>
        <w:t>:</w:t>
      </w:r>
      <w:proofErr w:type="gramEnd"/>
      <w:r w:rsidRPr="00E43E52">
        <w:rPr>
          <w:rFonts w:cstheme="minorHAnsi"/>
        </w:rPr>
        <w:t xml:space="preserve"> https://www.R project.org/. [Last </w:t>
      </w:r>
      <w:proofErr w:type="spellStart"/>
      <w:r w:rsidRPr="00E43E52">
        <w:rPr>
          <w:rFonts w:cstheme="minorHAnsi"/>
        </w:rPr>
        <w:t>accessed</w:t>
      </w:r>
      <w:proofErr w:type="spellEnd"/>
      <w:r w:rsidRPr="00E43E52">
        <w:rPr>
          <w:rFonts w:cstheme="minorHAnsi"/>
        </w:rPr>
        <w:t xml:space="preserve"> on 2018 </w:t>
      </w:r>
      <w:proofErr w:type="spellStart"/>
      <w:r w:rsidRPr="00E43E52">
        <w:rPr>
          <w:rFonts w:cstheme="minorHAnsi"/>
        </w:rPr>
        <w:t>Jul</w:t>
      </w:r>
      <w:proofErr w:type="spellEnd"/>
      <w:r w:rsidRPr="00E43E52">
        <w:rPr>
          <w:rFonts w:cstheme="minorHAnsi"/>
        </w:rPr>
        <w:t xml:space="preserve"> 02].</w:t>
      </w:r>
    </w:p>
    <w:p w14:paraId="0A098240" w14:textId="77777777" w:rsidR="00E43E52" w:rsidRPr="00E43E52" w:rsidRDefault="00E43E52" w:rsidP="00E43E52">
      <w:pPr>
        <w:spacing w:line="240" w:lineRule="auto"/>
        <w:ind w:right="-57"/>
        <w:rPr>
          <w:rFonts w:cstheme="minorHAnsi"/>
        </w:rPr>
      </w:pPr>
      <w:r w:rsidRPr="00E43E52">
        <w:rPr>
          <w:rFonts w:cstheme="minorHAnsi"/>
        </w:rPr>
        <w:t xml:space="preserve">5. </w:t>
      </w:r>
      <w:proofErr w:type="spellStart"/>
      <w:r w:rsidRPr="00E43E52">
        <w:rPr>
          <w:rFonts w:cstheme="minorHAnsi"/>
        </w:rPr>
        <w:t>Testoni</w:t>
      </w:r>
      <w:proofErr w:type="spellEnd"/>
      <w:r w:rsidRPr="00E43E52">
        <w:rPr>
          <w:rFonts w:cstheme="minorHAnsi"/>
        </w:rPr>
        <w:t xml:space="preserve"> PA, Mariani A, </w:t>
      </w:r>
      <w:proofErr w:type="spellStart"/>
      <w:r w:rsidRPr="00E43E52">
        <w:rPr>
          <w:rFonts w:cstheme="minorHAnsi"/>
        </w:rPr>
        <w:t>Aabakken</w:t>
      </w:r>
      <w:proofErr w:type="spellEnd"/>
      <w:r w:rsidRPr="00E43E52">
        <w:rPr>
          <w:rFonts w:cstheme="minorHAnsi"/>
        </w:rPr>
        <w:t xml:space="preserve"> L, et al. </w:t>
      </w:r>
      <w:proofErr w:type="spellStart"/>
      <w:r w:rsidRPr="00E43E52">
        <w:rPr>
          <w:rFonts w:cstheme="minorHAnsi"/>
        </w:rPr>
        <w:t>Papillary</w:t>
      </w:r>
      <w:proofErr w:type="spellEnd"/>
      <w:r w:rsidRPr="00E43E52">
        <w:rPr>
          <w:rFonts w:cstheme="minorHAnsi"/>
        </w:rPr>
        <w:t xml:space="preserve"> </w:t>
      </w:r>
      <w:proofErr w:type="spellStart"/>
      <w:r w:rsidRPr="00E43E52">
        <w:rPr>
          <w:rFonts w:cstheme="minorHAnsi"/>
        </w:rPr>
        <w:t>cannulation</w:t>
      </w:r>
      <w:proofErr w:type="spellEnd"/>
      <w:r w:rsidRPr="00E43E52">
        <w:rPr>
          <w:rFonts w:cstheme="minorHAnsi"/>
        </w:rPr>
        <w:t xml:space="preserve"> and </w:t>
      </w:r>
      <w:proofErr w:type="spellStart"/>
      <w:r w:rsidRPr="00E43E52">
        <w:rPr>
          <w:rFonts w:cstheme="minorHAnsi"/>
        </w:rPr>
        <w:t>sphincterotomy</w:t>
      </w:r>
      <w:proofErr w:type="spellEnd"/>
      <w:r w:rsidRPr="00E43E52">
        <w:rPr>
          <w:rFonts w:cstheme="minorHAnsi"/>
        </w:rPr>
        <w:t xml:space="preserve"> techniques at </w:t>
      </w:r>
      <w:proofErr w:type="gramStart"/>
      <w:r w:rsidRPr="00E43E52">
        <w:rPr>
          <w:rFonts w:cstheme="minorHAnsi"/>
        </w:rPr>
        <w:t>ERCP:</w:t>
      </w:r>
      <w:proofErr w:type="gramEnd"/>
      <w:r w:rsidRPr="00E43E52">
        <w:rPr>
          <w:rFonts w:cstheme="minorHAnsi"/>
        </w:rPr>
        <w:t xml:space="preserve"> </w:t>
      </w:r>
      <w:proofErr w:type="spellStart"/>
      <w:r w:rsidRPr="00E43E52">
        <w:rPr>
          <w:rFonts w:cstheme="minorHAnsi"/>
        </w:rPr>
        <w:t>European</w:t>
      </w:r>
      <w:proofErr w:type="spellEnd"/>
      <w:r w:rsidRPr="00E43E52">
        <w:rPr>
          <w:rFonts w:cstheme="minorHAnsi"/>
        </w:rPr>
        <w:t xml:space="preserve"> Society of Gastrointestinal </w:t>
      </w:r>
      <w:proofErr w:type="spellStart"/>
      <w:r w:rsidRPr="00E43E52">
        <w:rPr>
          <w:rFonts w:cstheme="minorHAnsi"/>
        </w:rPr>
        <w:t>Endoscopy</w:t>
      </w:r>
      <w:proofErr w:type="spellEnd"/>
      <w:r w:rsidRPr="00E43E52">
        <w:rPr>
          <w:rFonts w:cstheme="minorHAnsi"/>
        </w:rPr>
        <w:t xml:space="preserve"> (ESGE) </w:t>
      </w:r>
      <w:proofErr w:type="spellStart"/>
      <w:r w:rsidRPr="00E43E52">
        <w:rPr>
          <w:rFonts w:cstheme="minorHAnsi"/>
        </w:rPr>
        <w:t>Clinical</w:t>
      </w:r>
      <w:proofErr w:type="spellEnd"/>
      <w:r w:rsidRPr="00E43E52">
        <w:rPr>
          <w:rFonts w:cstheme="minorHAnsi"/>
        </w:rPr>
        <w:t xml:space="preserve"> Guideline. </w:t>
      </w:r>
      <w:proofErr w:type="spellStart"/>
      <w:r w:rsidRPr="00E43E52">
        <w:rPr>
          <w:rFonts w:cstheme="minorHAnsi"/>
        </w:rPr>
        <w:t>Endoscopy</w:t>
      </w:r>
      <w:proofErr w:type="spellEnd"/>
      <w:r w:rsidRPr="00E43E52">
        <w:rPr>
          <w:rFonts w:cstheme="minorHAnsi"/>
        </w:rPr>
        <w:t xml:space="preserve">. </w:t>
      </w:r>
      <w:proofErr w:type="gramStart"/>
      <w:r w:rsidRPr="00E43E52">
        <w:rPr>
          <w:rFonts w:cstheme="minorHAnsi"/>
        </w:rPr>
        <w:t>2016;</w:t>
      </w:r>
      <w:proofErr w:type="gramEnd"/>
      <w:r w:rsidRPr="00E43E52">
        <w:rPr>
          <w:rFonts w:cstheme="minorHAnsi"/>
        </w:rPr>
        <w:t xml:space="preserve">48(7):657-683. </w:t>
      </w:r>
      <w:proofErr w:type="gramStart"/>
      <w:r w:rsidRPr="00E43E52">
        <w:rPr>
          <w:rFonts w:cstheme="minorHAnsi"/>
        </w:rPr>
        <w:t>doi:</w:t>
      </w:r>
      <w:proofErr w:type="gramEnd"/>
      <w:r w:rsidRPr="00E43E52">
        <w:rPr>
          <w:rFonts w:cstheme="minorHAnsi"/>
        </w:rPr>
        <w:t>10.1055/s-0042-100456.</w:t>
      </w:r>
    </w:p>
    <w:p w14:paraId="275DD1D8" w14:textId="77777777" w:rsidR="00E43E52" w:rsidRPr="00E43E52" w:rsidRDefault="00E43E52" w:rsidP="00E43E52">
      <w:pPr>
        <w:spacing w:line="240" w:lineRule="auto"/>
        <w:ind w:right="-57"/>
        <w:rPr>
          <w:rFonts w:cstheme="minorHAnsi"/>
        </w:rPr>
      </w:pPr>
      <w:r w:rsidRPr="00E43E52">
        <w:rPr>
          <w:rFonts w:cstheme="minorHAnsi"/>
        </w:rPr>
        <w:t xml:space="preserve">6. </w:t>
      </w:r>
      <w:proofErr w:type="spellStart"/>
      <w:r w:rsidRPr="00E43E52">
        <w:rPr>
          <w:rFonts w:cstheme="minorHAnsi"/>
        </w:rPr>
        <w:t>Failed</w:t>
      </w:r>
      <w:proofErr w:type="spellEnd"/>
      <w:r w:rsidRPr="00E43E52">
        <w:rPr>
          <w:rFonts w:cstheme="minorHAnsi"/>
        </w:rPr>
        <w:t xml:space="preserve"> </w:t>
      </w:r>
      <w:proofErr w:type="spellStart"/>
      <w:r w:rsidRPr="00E43E52">
        <w:rPr>
          <w:rFonts w:cstheme="minorHAnsi"/>
        </w:rPr>
        <w:t>biliary</w:t>
      </w:r>
      <w:proofErr w:type="spellEnd"/>
      <w:r w:rsidRPr="00E43E52">
        <w:rPr>
          <w:rFonts w:cstheme="minorHAnsi"/>
        </w:rPr>
        <w:t xml:space="preserve"> </w:t>
      </w:r>
      <w:proofErr w:type="gramStart"/>
      <w:r w:rsidRPr="00E43E52">
        <w:rPr>
          <w:rFonts w:cstheme="minorHAnsi"/>
        </w:rPr>
        <w:t>ERCP:</w:t>
      </w:r>
      <w:proofErr w:type="gramEnd"/>
      <w:r w:rsidRPr="00E43E52">
        <w:rPr>
          <w:rFonts w:cstheme="minorHAnsi"/>
        </w:rPr>
        <w:t xml:space="preserve"> A Prospective </w:t>
      </w:r>
      <w:proofErr w:type="spellStart"/>
      <w:r w:rsidRPr="00E43E52">
        <w:rPr>
          <w:rFonts w:cstheme="minorHAnsi"/>
        </w:rPr>
        <w:t>Multicenter</w:t>
      </w:r>
      <w:proofErr w:type="spellEnd"/>
      <w:r w:rsidRPr="00E43E52">
        <w:rPr>
          <w:rFonts w:cstheme="minorHAnsi"/>
        </w:rPr>
        <w:t xml:space="preserve"> </w:t>
      </w:r>
      <w:proofErr w:type="spellStart"/>
      <w:r w:rsidRPr="00E43E52">
        <w:rPr>
          <w:rFonts w:cstheme="minorHAnsi"/>
        </w:rPr>
        <w:t>Study</w:t>
      </w:r>
      <w:proofErr w:type="spellEnd"/>
      <w:r w:rsidRPr="00E43E52">
        <w:rPr>
          <w:rFonts w:cstheme="minorHAnsi"/>
        </w:rPr>
        <w:t xml:space="preserve"> of Risk </w:t>
      </w:r>
      <w:proofErr w:type="spellStart"/>
      <w:r w:rsidRPr="00E43E52">
        <w:rPr>
          <w:rFonts w:cstheme="minorHAnsi"/>
        </w:rPr>
        <w:t>Factors</w:t>
      </w:r>
      <w:proofErr w:type="spellEnd"/>
      <w:r w:rsidRPr="00E43E52">
        <w:rPr>
          <w:rFonts w:cstheme="minorHAnsi"/>
        </w:rPr>
        <w:t xml:space="preserve">, Complications, and Resource </w:t>
      </w:r>
      <w:proofErr w:type="spellStart"/>
      <w:r w:rsidRPr="00E43E52">
        <w:rPr>
          <w:rFonts w:cstheme="minorHAnsi"/>
        </w:rPr>
        <w:t>Utilization</w:t>
      </w:r>
      <w:proofErr w:type="spellEnd"/>
      <w:r w:rsidRPr="00E43E52">
        <w:rPr>
          <w:rFonts w:cstheme="minorHAnsi"/>
        </w:rPr>
        <w:t xml:space="preserve">. Gastrointestinal </w:t>
      </w:r>
      <w:proofErr w:type="spellStart"/>
      <w:r w:rsidRPr="00E43E52">
        <w:rPr>
          <w:rFonts w:cstheme="minorHAnsi"/>
        </w:rPr>
        <w:t>Endoscopy</w:t>
      </w:r>
      <w:proofErr w:type="spellEnd"/>
      <w:r w:rsidRPr="00E43E52">
        <w:rPr>
          <w:rFonts w:cstheme="minorHAnsi"/>
        </w:rPr>
        <w:t xml:space="preserve">. </w:t>
      </w:r>
      <w:proofErr w:type="gramStart"/>
      <w:r w:rsidRPr="00E43E52">
        <w:rPr>
          <w:rFonts w:cstheme="minorHAnsi"/>
        </w:rPr>
        <w:t>2004;</w:t>
      </w:r>
      <w:proofErr w:type="gramEnd"/>
      <w:r w:rsidRPr="00E43E52">
        <w:rPr>
          <w:rFonts w:cstheme="minorHAnsi"/>
        </w:rPr>
        <w:t>60(6):1035-1041.</w:t>
      </w:r>
    </w:p>
    <w:p w14:paraId="55482083" w14:textId="77777777" w:rsidR="00E43E52" w:rsidRPr="00E43E52" w:rsidRDefault="00E43E52" w:rsidP="00E43E52">
      <w:pPr>
        <w:spacing w:line="240" w:lineRule="auto"/>
        <w:ind w:right="-57"/>
        <w:rPr>
          <w:rFonts w:cstheme="minorHAnsi"/>
        </w:rPr>
      </w:pPr>
      <w:r w:rsidRPr="00E43E52">
        <w:rPr>
          <w:rFonts w:cstheme="minorHAnsi"/>
        </w:rPr>
        <w:t xml:space="preserve">7. Bakman, Y.G., Freeman, M.L. </w:t>
      </w:r>
      <w:proofErr w:type="spellStart"/>
      <w:r w:rsidRPr="00E43E52">
        <w:rPr>
          <w:rFonts w:cstheme="minorHAnsi"/>
        </w:rPr>
        <w:t>Difficult</w:t>
      </w:r>
      <w:proofErr w:type="spellEnd"/>
      <w:r w:rsidRPr="00E43E52">
        <w:rPr>
          <w:rFonts w:cstheme="minorHAnsi"/>
        </w:rPr>
        <w:t xml:space="preserve"> </w:t>
      </w:r>
      <w:proofErr w:type="spellStart"/>
      <w:r w:rsidRPr="00E43E52">
        <w:rPr>
          <w:rFonts w:cstheme="minorHAnsi"/>
        </w:rPr>
        <w:t>biliary</w:t>
      </w:r>
      <w:proofErr w:type="spellEnd"/>
      <w:r w:rsidRPr="00E43E52">
        <w:rPr>
          <w:rFonts w:cstheme="minorHAnsi"/>
        </w:rPr>
        <w:t xml:space="preserve"> </w:t>
      </w:r>
      <w:proofErr w:type="spellStart"/>
      <w:r w:rsidRPr="00E43E52">
        <w:rPr>
          <w:rFonts w:cstheme="minorHAnsi"/>
        </w:rPr>
        <w:t>access</w:t>
      </w:r>
      <w:proofErr w:type="spellEnd"/>
      <w:r w:rsidRPr="00E43E52">
        <w:rPr>
          <w:rFonts w:cstheme="minorHAnsi"/>
        </w:rPr>
        <w:t xml:space="preserve"> at ERCP. </w:t>
      </w:r>
      <w:proofErr w:type="spellStart"/>
      <w:r w:rsidRPr="00E43E52">
        <w:rPr>
          <w:rFonts w:cstheme="minorHAnsi"/>
        </w:rPr>
        <w:t>Gastrointest</w:t>
      </w:r>
      <w:proofErr w:type="spellEnd"/>
      <w:r w:rsidRPr="00E43E52">
        <w:rPr>
          <w:rFonts w:cstheme="minorHAnsi"/>
        </w:rPr>
        <w:t xml:space="preserve">. </w:t>
      </w:r>
      <w:proofErr w:type="spellStart"/>
      <w:r w:rsidRPr="00E43E52">
        <w:rPr>
          <w:rFonts w:cstheme="minorHAnsi"/>
        </w:rPr>
        <w:t>Endosc</w:t>
      </w:r>
      <w:proofErr w:type="spellEnd"/>
      <w:r w:rsidRPr="00E43E52">
        <w:rPr>
          <w:rFonts w:cstheme="minorHAnsi"/>
        </w:rPr>
        <w:t xml:space="preserve">. Clin. N Am. </w:t>
      </w:r>
      <w:proofErr w:type="gramStart"/>
      <w:r w:rsidRPr="00E43E52">
        <w:rPr>
          <w:rFonts w:cstheme="minorHAnsi"/>
        </w:rPr>
        <w:t>2013;</w:t>
      </w:r>
      <w:proofErr w:type="gramEnd"/>
      <w:r w:rsidRPr="00E43E52">
        <w:rPr>
          <w:rFonts w:cstheme="minorHAnsi"/>
        </w:rPr>
        <w:t xml:space="preserve">23(2):219–236. </w:t>
      </w:r>
      <w:proofErr w:type="gramStart"/>
      <w:r w:rsidRPr="00E43E52">
        <w:rPr>
          <w:rFonts w:cstheme="minorHAnsi"/>
        </w:rPr>
        <w:t>DOI:</w:t>
      </w:r>
      <w:proofErr w:type="gramEnd"/>
      <w:r w:rsidRPr="00E43E52">
        <w:rPr>
          <w:rFonts w:cstheme="minorHAnsi"/>
        </w:rPr>
        <w:t xml:space="preserve"> 10.1016/j.giec.2012.12.012.</w:t>
      </w:r>
    </w:p>
    <w:p w14:paraId="4B1421A6" w14:textId="77777777" w:rsidR="00E43E52" w:rsidRPr="00E43E52" w:rsidRDefault="00E43E52" w:rsidP="00E43E52">
      <w:pPr>
        <w:spacing w:line="240" w:lineRule="auto"/>
        <w:ind w:right="-57"/>
        <w:rPr>
          <w:rFonts w:cstheme="minorHAnsi"/>
        </w:rPr>
      </w:pPr>
      <w:r w:rsidRPr="00E43E52">
        <w:rPr>
          <w:rFonts w:cstheme="minorHAnsi"/>
        </w:rPr>
        <w:t xml:space="preserve">8. </w:t>
      </w:r>
      <w:proofErr w:type="spellStart"/>
      <w:r w:rsidRPr="00E43E52">
        <w:rPr>
          <w:rFonts w:cstheme="minorHAnsi"/>
        </w:rPr>
        <w:t>Rajnakova</w:t>
      </w:r>
      <w:proofErr w:type="spellEnd"/>
      <w:r w:rsidRPr="00E43E52">
        <w:rPr>
          <w:rFonts w:cstheme="minorHAnsi"/>
        </w:rPr>
        <w:t xml:space="preserve"> A., Goh P.M., </w:t>
      </w:r>
      <w:proofErr w:type="spellStart"/>
      <w:r w:rsidRPr="00E43E52">
        <w:rPr>
          <w:rFonts w:cstheme="minorHAnsi"/>
        </w:rPr>
        <w:t>Ngoi</w:t>
      </w:r>
      <w:proofErr w:type="spellEnd"/>
      <w:r w:rsidRPr="00E43E52">
        <w:rPr>
          <w:rFonts w:cstheme="minorHAnsi"/>
        </w:rPr>
        <w:t xml:space="preserve"> S.S., Lim S.G. ERCP in patients </w:t>
      </w:r>
      <w:proofErr w:type="spellStart"/>
      <w:r w:rsidRPr="00E43E52">
        <w:rPr>
          <w:rFonts w:cstheme="minorHAnsi"/>
        </w:rPr>
        <w:t>with</w:t>
      </w:r>
      <w:proofErr w:type="spellEnd"/>
      <w:r w:rsidRPr="00E43E52">
        <w:rPr>
          <w:rFonts w:cstheme="minorHAnsi"/>
        </w:rPr>
        <w:t xml:space="preserve"> </w:t>
      </w:r>
      <w:proofErr w:type="spellStart"/>
      <w:r w:rsidRPr="00E43E52">
        <w:rPr>
          <w:rFonts w:cstheme="minorHAnsi"/>
        </w:rPr>
        <w:t>periampullary</w:t>
      </w:r>
      <w:proofErr w:type="spellEnd"/>
      <w:r w:rsidRPr="00E43E52">
        <w:rPr>
          <w:rFonts w:cstheme="minorHAnsi"/>
        </w:rPr>
        <w:t xml:space="preserve"> </w:t>
      </w:r>
      <w:proofErr w:type="spellStart"/>
      <w:r w:rsidRPr="00E43E52">
        <w:rPr>
          <w:rFonts w:cstheme="minorHAnsi"/>
        </w:rPr>
        <w:t>diverticulum</w:t>
      </w:r>
      <w:proofErr w:type="spellEnd"/>
      <w:r w:rsidRPr="00E43E52">
        <w:rPr>
          <w:rFonts w:cstheme="minorHAnsi"/>
        </w:rPr>
        <w:t xml:space="preserve">. </w:t>
      </w:r>
      <w:proofErr w:type="spellStart"/>
      <w:r w:rsidRPr="00E43E52">
        <w:rPr>
          <w:rFonts w:cstheme="minorHAnsi"/>
        </w:rPr>
        <w:t>Hepato-gastroenterology</w:t>
      </w:r>
      <w:proofErr w:type="spellEnd"/>
      <w:r w:rsidRPr="00E43E52">
        <w:rPr>
          <w:rFonts w:cstheme="minorHAnsi"/>
        </w:rPr>
        <w:t xml:space="preserve">. </w:t>
      </w:r>
      <w:proofErr w:type="gramStart"/>
      <w:r w:rsidRPr="00E43E52">
        <w:rPr>
          <w:rFonts w:cstheme="minorHAnsi"/>
        </w:rPr>
        <w:t>2003;</w:t>
      </w:r>
      <w:proofErr w:type="gramEnd"/>
      <w:r w:rsidRPr="00E43E52">
        <w:rPr>
          <w:rFonts w:cstheme="minorHAnsi"/>
        </w:rPr>
        <w:t xml:space="preserve"> 50(51):625–628.</w:t>
      </w:r>
    </w:p>
    <w:p w14:paraId="5E5BB1E6" w14:textId="77777777" w:rsidR="00E43E52" w:rsidRPr="00E43E52" w:rsidRDefault="00E43E52" w:rsidP="00E43E52">
      <w:pPr>
        <w:spacing w:line="240" w:lineRule="auto"/>
        <w:ind w:right="-57"/>
        <w:rPr>
          <w:rFonts w:cstheme="minorHAnsi"/>
        </w:rPr>
      </w:pPr>
      <w:r w:rsidRPr="00E43E52">
        <w:rPr>
          <w:rFonts w:cstheme="minorHAnsi"/>
        </w:rPr>
        <w:t xml:space="preserve">9. Baillie, J. </w:t>
      </w:r>
      <w:proofErr w:type="spellStart"/>
      <w:r w:rsidRPr="00E43E52">
        <w:rPr>
          <w:rFonts w:cstheme="minorHAnsi"/>
        </w:rPr>
        <w:t>Difficult</w:t>
      </w:r>
      <w:proofErr w:type="spellEnd"/>
      <w:r w:rsidRPr="00E43E52">
        <w:rPr>
          <w:rFonts w:cstheme="minorHAnsi"/>
        </w:rPr>
        <w:t xml:space="preserve"> </w:t>
      </w:r>
      <w:proofErr w:type="spellStart"/>
      <w:r w:rsidRPr="00E43E52">
        <w:rPr>
          <w:rFonts w:cstheme="minorHAnsi"/>
        </w:rPr>
        <w:t>biliary</w:t>
      </w:r>
      <w:proofErr w:type="spellEnd"/>
      <w:r w:rsidRPr="00E43E52">
        <w:rPr>
          <w:rFonts w:cstheme="minorHAnsi"/>
        </w:rPr>
        <w:t xml:space="preserve"> </w:t>
      </w:r>
      <w:proofErr w:type="spellStart"/>
      <w:r w:rsidRPr="00E43E52">
        <w:rPr>
          <w:rFonts w:cstheme="minorHAnsi"/>
        </w:rPr>
        <w:t>access</w:t>
      </w:r>
      <w:proofErr w:type="spellEnd"/>
      <w:r w:rsidRPr="00E43E52">
        <w:rPr>
          <w:rFonts w:cstheme="minorHAnsi"/>
        </w:rPr>
        <w:t xml:space="preserve"> for ERCP. </w:t>
      </w:r>
      <w:proofErr w:type="spellStart"/>
      <w:r w:rsidRPr="00E43E52">
        <w:rPr>
          <w:rFonts w:cstheme="minorHAnsi"/>
        </w:rPr>
        <w:t>Curr</w:t>
      </w:r>
      <w:proofErr w:type="spellEnd"/>
      <w:r w:rsidRPr="00E43E52">
        <w:rPr>
          <w:rFonts w:cstheme="minorHAnsi"/>
        </w:rPr>
        <w:t xml:space="preserve">. </w:t>
      </w:r>
      <w:proofErr w:type="spellStart"/>
      <w:r w:rsidRPr="00E43E52">
        <w:rPr>
          <w:rFonts w:cstheme="minorHAnsi"/>
        </w:rPr>
        <w:t>Gastroenterol</w:t>
      </w:r>
      <w:proofErr w:type="spellEnd"/>
      <w:r w:rsidRPr="00E43E52">
        <w:rPr>
          <w:rFonts w:cstheme="minorHAnsi"/>
        </w:rPr>
        <w:t xml:space="preserve">. Rep. </w:t>
      </w:r>
      <w:proofErr w:type="gramStart"/>
      <w:r w:rsidRPr="00E43E52">
        <w:rPr>
          <w:rFonts w:cstheme="minorHAnsi"/>
        </w:rPr>
        <w:t>2012;</w:t>
      </w:r>
      <w:proofErr w:type="gramEnd"/>
      <w:r w:rsidRPr="00E43E52">
        <w:rPr>
          <w:rFonts w:cstheme="minorHAnsi"/>
        </w:rPr>
        <w:t xml:space="preserve">14(6):542–547. </w:t>
      </w:r>
      <w:proofErr w:type="gramStart"/>
      <w:r w:rsidRPr="00E43E52">
        <w:rPr>
          <w:rFonts w:cstheme="minorHAnsi"/>
        </w:rPr>
        <w:t>DOI:</w:t>
      </w:r>
      <w:proofErr w:type="gramEnd"/>
      <w:r w:rsidRPr="00E43E52">
        <w:rPr>
          <w:rFonts w:cstheme="minorHAnsi"/>
        </w:rPr>
        <w:t xml:space="preserve"> 10.1007/S11894-012-0297-X.].</w:t>
      </w:r>
    </w:p>
    <w:p w14:paraId="7EC4A12A" w14:textId="77777777" w:rsidR="00E43E52" w:rsidRPr="00E43E52" w:rsidRDefault="00E43E52" w:rsidP="00E43E52">
      <w:pPr>
        <w:spacing w:line="240" w:lineRule="auto"/>
        <w:ind w:right="-57"/>
        <w:rPr>
          <w:rFonts w:cstheme="minorHAnsi"/>
        </w:rPr>
      </w:pPr>
      <w:r w:rsidRPr="00E43E52">
        <w:rPr>
          <w:rFonts w:cstheme="minorHAnsi"/>
        </w:rPr>
        <w:t xml:space="preserve">10. Saito H, </w:t>
      </w:r>
      <w:proofErr w:type="spellStart"/>
      <w:r w:rsidRPr="00E43E52">
        <w:rPr>
          <w:rFonts w:cstheme="minorHAnsi"/>
        </w:rPr>
        <w:t>Kadono</w:t>
      </w:r>
      <w:proofErr w:type="spellEnd"/>
      <w:r w:rsidRPr="00E43E52">
        <w:rPr>
          <w:rFonts w:cstheme="minorHAnsi"/>
        </w:rPr>
        <w:t xml:space="preserve"> Y, </w:t>
      </w:r>
      <w:proofErr w:type="spellStart"/>
      <w:r w:rsidRPr="00E43E52">
        <w:rPr>
          <w:rFonts w:cstheme="minorHAnsi"/>
        </w:rPr>
        <w:t>Shono</w:t>
      </w:r>
      <w:proofErr w:type="spellEnd"/>
      <w:r w:rsidRPr="00E43E52">
        <w:rPr>
          <w:rFonts w:cstheme="minorHAnsi"/>
        </w:rPr>
        <w:t xml:space="preserve"> T, </w:t>
      </w:r>
      <w:proofErr w:type="spellStart"/>
      <w:r w:rsidRPr="00E43E52">
        <w:rPr>
          <w:rFonts w:cstheme="minorHAnsi"/>
        </w:rPr>
        <w:t>Kamikawa</w:t>
      </w:r>
      <w:proofErr w:type="spellEnd"/>
      <w:r w:rsidRPr="00E43E52">
        <w:rPr>
          <w:rFonts w:cstheme="minorHAnsi"/>
        </w:rPr>
        <w:t xml:space="preserve"> K, </w:t>
      </w:r>
      <w:proofErr w:type="spellStart"/>
      <w:r w:rsidRPr="00E43E52">
        <w:rPr>
          <w:rFonts w:cstheme="minorHAnsi"/>
        </w:rPr>
        <w:t>Urata</w:t>
      </w:r>
      <w:proofErr w:type="spellEnd"/>
      <w:r w:rsidRPr="00E43E52">
        <w:rPr>
          <w:rFonts w:cstheme="minorHAnsi"/>
        </w:rPr>
        <w:t xml:space="preserve"> A, </w:t>
      </w:r>
      <w:proofErr w:type="spellStart"/>
      <w:r w:rsidRPr="00E43E52">
        <w:rPr>
          <w:rFonts w:cstheme="minorHAnsi"/>
        </w:rPr>
        <w:t>Nasu</w:t>
      </w:r>
      <w:proofErr w:type="spellEnd"/>
      <w:r w:rsidRPr="00E43E52">
        <w:rPr>
          <w:rFonts w:cstheme="minorHAnsi"/>
        </w:rPr>
        <w:t xml:space="preserve"> J, </w:t>
      </w:r>
      <w:proofErr w:type="spellStart"/>
      <w:r w:rsidRPr="00E43E52">
        <w:rPr>
          <w:rFonts w:cstheme="minorHAnsi"/>
        </w:rPr>
        <w:t>Imamura</w:t>
      </w:r>
      <w:proofErr w:type="spellEnd"/>
      <w:r w:rsidRPr="00E43E52">
        <w:rPr>
          <w:rFonts w:cstheme="minorHAnsi"/>
        </w:rPr>
        <w:t xml:space="preserve"> H, Matsushita I, </w:t>
      </w:r>
      <w:proofErr w:type="spellStart"/>
      <w:r w:rsidRPr="00E43E52">
        <w:rPr>
          <w:rFonts w:cstheme="minorHAnsi"/>
        </w:rPr>
        <w:t>Kakuma</w:t>
      </w:r>
      <w:proofErr w:type="spellEnd"/>
      <w:r w:rsidRPr="00E43E52">
        <w:rPr>
          <w:rFonts w:cstheme="minorHAnsi"/>
        </w:rPr>
        <w:t xml:space="preserve"> T, </w:t>
      </w:r>
      <w:proofErr w:type="spellStart"/>
      <w:r w:rsidRPr="00E43E52">
        <w:rPr>
          <w:rFonts w:cstheme="minorHAnsi"/>
        </w:rPr>
        <w:t>Tada</w:t>
      </w:r>
      <w:proofErr w:type="spellEnd"/>
      <w:r w:rsidRPr="00E43E52">
        <w:rPr>
          <w:rFonts w:cstheme="minorHAnsi"/>
        </w:rPr>
        <w:t xml:space="preserve"> S. </w:t>
      </w:r>
      <w:proofErr w:type="spellStart"/>
      <w:r w:rsidRPr="00E43E52">
        <w:rPr>
          <w:rFonts w:cstheme="minorHAnsi"/>
        </w:rPr>
        <w:t>Factors</w:t>
      </w:r>
      <w:proofErr w:type="spellEnd"/>
      <w:r w:rsidRPr="00E43E52">
        <w:rPr>
          <w:rFonts w:cstheme="minorHAnsi"/>
        </w:rPr>
        <w:t xml:space="preserve"> </w:t>
      </w:r>
      <w:proofErr w:type="spellStart"/>
      <w:r w:rsidRPr="00E43E52">
        <w:rPr>
          <w:rFonts w:cstheme="minorHAnsi"/>
        </w:rPr>
        <w:t>Predicting</w:t>
      </w:r>
      <w:proofErr w:type="spellEnd"/>
      <w:r w:rsidRPr="00E43E52">
        <w:rPr>
          <w:rFonts w:cstheme="minorHAnsi"/>
        </w:rPr>
        <w:t xml:space="preserve"> </w:t>
      </w:r>
      <w:proofErr w:type="spellStart"/>
      <w:r w:rsidRPr="00E43E52">
        <w:rPr>
          <w:rFonts w:cstheme="minorHAnsi"/>
        </w:rPr>
        <w:t>Difficult</w:t>
      </w:r>
      <w:proofErr w:type="spellEnd"/>
      <w:r w:rsidRPr="00E43E52">
        <w:rPr>
          <w:rFonts w:cstheme="minorHAnsi"/>
        </w:rPr>
        <w:t xml:space="preserve"> </w:t>
      </w:r>
      <w:proofErr w:type="spellStart"/>
      <w:r w:rsidRPr="00E43E52">
        <w:rPr>
          <w:rFonts w:cstheme="minorHAnsi"/>
        </w:rPr>
        <w:t>Biliary</w:t>
      </w:r>
      <w:proofErr w:type="spellEnd"/>
      <w:r w:rsidRPr="00E43E52">
        <w:rPr>
          <w:rFonts w:cstheme="minorHAnsi"/>
        </w:rPr>
        <w:t xml:space="preserve"> </w:t>
      </w:r>
      <w:proofErr w:type="spellStart"/>
      <w:r w:rsidRPr="00E43E52">
        <w:rPr>
          <w:rFonts w:cstheme="minorHAnsi"/>
        </w:rPr>
        <w:t>Cannulation</w:t>
      </w:r>
      <w:proofErr w:type="spellEnd"/>
      <w:r w:rsidRPr="00E43E52">
        <w:rPr>
          <w:rFonts w:cstheme="minorHAnsi"/>
        </w:rPr>
        <w:t xml:space="preserve"> </w:t>
      </w:r>
      <w:proofErr w:type="spellStart"/>
      <w:r w:rsidRPr="00E43E52">
        <w:rPr>
          <w:rFonts w:cstheme="minorHAnsi"/>
        </w:rPr>
        <w:t>During</w:t>
      </w:r>
      <w:proofErr w:type="spellEnd"/>
      <w:r w:rsidRPr="00E43E52">
        <w:rPr>
          <w:rFonts w:cstheme="minorHAnsi"/>
        </w:rPr>
        <w:t xml:space="preserve"> </w:t>
      </w:r>
      <w:proofErr w:type="spellStart"/>
      <w:r w:rsidRPr="00E43E52">
        <w:rPr>
          <w:rFonts w:cstheme="minorHAnsi"/>
        </w:rPr>
        <w:t>Endoscopic</w:t>
      </w:r>
      <w:proofErr w:type="spellEnd"/>
      <w:r w:rsidRPr="00E43E52">
        <w:rPr>
          <w:rFonts w:cstheme="minorHAnsi"/>
        </w:rPr>
        <w:t xml:space="preserve"> </w:t>
      </w:r>
      <w:proofErr w:type="spellStart"/>
      <w:r w:rsidRPr="00E43E52">
        <w:rPr>
          <w:rFonts w:cstheme="minorHAnsi"/>
        </w:rPr>
        <w:t>Retrograde</w:t>
      </w:r>
      <w:proofErr w:type="spellEnd"/>
      <w:r w:rsidRPr="00E43E52">
        <w:rPr>
          <w:rFonts w:cstheme="minorHAnsi"/>
        </w:rPr>
        <w:t xml:space="preserve"> </w:t>
      </w:r>
      <w:proofErr w:type="spellStart"/>
      <w:r w:rsidRPr="00E43E52">
        <w:rPr>
          <w:rFonts w:cstheme="minorHAnsi"/>
        </w:rPr>
        <w:t>Cholangiopancreatography</w:t>
      </w:r>
      <w:proofErr w:type="spellEnd"/>
      <w:r w:rsidRPr="00E43E52">
        <w:rPr>
          <w:rFonts w:cstheme="minorHAnsi"/>
        </w:rPr>
        <w:t xml:space="preserve"> for Common Bile </w:t>
      </w:r>
      <w:proofErr w:type="spellStart"/>
      <w:r w:rsidRPr="00E43E52">
        <w:rPr>
          <w:rFonts w:cstheme="minorHAnsi"/>
        </w:rPr>
        <w:t>Duct</w:t>
      </w:r>
      <w:proofErr w:type="spellEnd"/>
      <w:r w:rsidRPr="00E43E52">
        <w:rPr>
          <w:rFonts w:cstheme="minorHAnsi"/>
        </w:rPr>
        <w:t xml:space="preserve"> Stones. </w:t>
      </w:r>
      <w:proofErr w:type="spellStart"/>
      <w:r w:rsidRPr="00E43E52">
        <w:rPr>
          <w:rFonts w:cstheme="minorHAnsi"/>
        </w:rPr>
        <w:t>Clinical</w:t>
      </w:r>
      <w:proofErr w:type="spellEnd"/>
      <w:r w:rsidRPr="00E43E52">
        <w:rPr>
          <w:rFonts w:cstheme="minorHAnsi"/>
        </w:rPr>
        <w:t xml:space="preserve"> </w:t>
      </w:r>
      <w:proofErr w:type="spellStart"/>
      <w:r w:rsidRPr="00E43E52">
        <w:rPr>
          <w:rFonts w:cstheme="minorHAnsi"/>
        </w:rPr>
        <w:t>Endoscopy</w:t>
      </w:r>
      <w:proofErr w:type="spellEnd"/>
      <w:r w:rsidRPr="00E43E52">
        <w:rPr>
          <w:rFonts w:cstheme="minorHAnsi"/>
        </w:rPr>
        <w:t xml:space="preserve">. </w:t>
      </w:r>
      <w:proofErr w:type="gramStart"/>
      <w:r w:rsidRPr="00E43E52">
        <w:rPr>
          <w:rFonts w:cstheme="minorHAnsi"/>
        </w:rPr>
        <w:t>2022;</w:t>
      </w:r>
      <w:proofErr w:type="gramEnd"/>
      <w:r w:rsidRPr="00E43E52">
        <w:rPr>
          <w:rFonts w:cstheme="minorHAnsi"/>
        </w:rPr>
        <w:t>55(2):263–269.</w:t>
      </w:r>
    </w:p>
    <w:p w14:paraId="2F0CB2F2" w14:textId="77777777" w:rsidR="00E43E52" w:rsidRDefault="00E43E52" w:rsidP="00E43E52">
      <w:pPr>
        <w:spacing w:line="240" w:lineRule="auto"/>
        <w:ind w:right="-57"/>
        <w:rPr>
          <w:rFonts w:cstheme="minorHAnsi"/>
        </w:rPr>
      </w:pPr>
      <w:r w:rsidRPr="00E43E52">
        <w:rPr>
          <w:rFonts w:cstheme="minorHAnsi"/>
        </w:rPr>
        <w:t xml:space="preserve">11. </w:t>
      </w:r>
      <w:proofErr w:type="spellStart"/>
      <w:r w:rsidRPr="00E43E52">
        <w:rPr>
          <w:rFonts w:cstheme="minorHAnsi"/>
        </w:rPr>
        <w:t>Dumonceau</w:t>
      </w:r>
      <w:proofErr w:type="spellEnd"/>
      <w:r w:rsidRPr="00E43E52">
        <w:rPr>
          <w:rFonts w:cstheme="minorHAnsi"/>
        </w:rPr>
        <w:t xml:space="preserve"> JM, </w:t>
      </w:r>
      <w:proofErr w:type="spellStart"/>
      <w:r w:rsidRPr="00E43E52">
        <w:rPr>
          <w:rFonts w:cstheme="minorHAnsi"/>
        </w:rPr>
        <w:t>Tringali</w:t>
      </w:r>
      <w:proofErr w:type="spellEnd"/>
      <w:r w:rsidRPr="00E43E52">
        <w:rPr>
          <w:rFonts w:cstheme="minorHAnsi"/>
        </w:rPr>
        <w:t xml:space="preserve"> A, </w:t>
      </w:r>
      <w:proofErr w:type="spellStart"/>
      <w:r w:rsidRPr="00E43E52">
        <w:rPr>
          <w:rFonts w:cstheme="minorHAnsi"/>
        </w:rPr>
        <w:t>Blero</w:t>
      </w:r>
      <w:proofErr w:type="spellEnd"/>
      <w:r w:rsidRPr="00E43E52">
        <w:rPr>
          <w:rFonts w:cstheme="minorHAnsi"/>
        </w:rPr>
        <w:t xml:space="preserve"> D, et al. </w:t>
      </w:r>
      <w:proofErr w:type="spellStart"/>
      <w:r w:rsidRPr="00E43E52">
        <w:rPr>
          <w:rFonts w:cstheme="minorHAnsi"/>
        </w:rPr>
        <w:t>Biliary</w:t>
      </w:r>
      <w:proofErr w:type="spellEnd"/>
      <w:r w:rsidRPr="00E43E52">
        <w:rPr>
          <w:rFonts w:cstheme="minorHAnsi"/>
        </w:rPr>
        <w:t xml:space="preserve"> </w:t>
      </w:r>
      <w:proofErr w:type="spellStart"/>
      <w:proofErr w:type="gramStart"/>
      <w:r w:rsidRPr="00E43E52">
        <w:rPr>
          <w:rFonts w:cstheme="minorHAnsi"/>
        </w:rPr>
        <w:t>stenting</w:t>
      </w:r>
      <w:proofErr w:type="spellEnd"/>
      <w:r w:rsidRPr="00E43E52">
        <w:rPr>
          <w:rFonts w:cstheme="minorHAnsi"/>
        </w:rPr>
        <w:t>:</w:t>
      </w:r>
      <w:proofErr w:type="gramEnd"/>
      <w:r w:rsidRPr="00E43E52">
        <w:rPr>
          <w:rFonts w:cstheme="minorHAnsi"/>
        </w:rPr>
        <w:t xml:space="preserve"> indications, </w:t>
      </w:r>
      <w:proofErr w:type="spellStart"/>
      <w:r w:rsidRPr="00E43E52">
        <w:rPr>
          <w:rFonts w:cstheme="minorHAnsi"/>
        </w:rPr>
        <w:t>choice</w:t>
      </w:r>
      <w:proofErr w:type="spellEnd"/>
      <w:r w:rsidRPr="00E43E52">
        <w:rPr>
          <w:rFonts w:cstheme="minorHAnsi"/>
        </w:rPr>
        <w:t xml:space="preserve"> of stents and </w:t>
      </w:r>
      <w:proofErr w:type="spellStart"/>
      <w:r w:rsidRPr="00E43E52">
        <w:rPr>
          <w:rFonts w:cstheme="minorHAnsi"/>
        </w:rPr>
        <w:t>results</w:t>
      </w:r>
      <w:proofErr w:type="spellEnd"/>
      <w:r w:rsidRPr="00E43E52">
        <w:rPr>
          <w:rFonts w:cstheme="minorHAnsi"/>
        </w:rPr>
        <w:t xml:space="preserve">: </w:t>
      </w:r>
      <w:proofErr w:type="spellStart"/>
      <w:r w:rsidRPr="00E43E52">
        <w:rPr>
          <w:rFonts w:cstheme="minorHAnsi"/>
        </w:rPr>
        <w:t>European</w:t>
      </w:r>
      <w:proofErr w:type="spellEnd"/>
      <w:r w:rsidRPr="00E43E52">
        <w:rPr>
          <w:rFonts w:cstheme="minorHAnsi"/>
        </w:rPr>
        <w:t xml:space="preserve"> Society of </w:t>
      </w:r>
      <w:proofErr w:type="spellStart"/>
      <w:r w:rsidRPr="00E43E52">
        <w:rPr>
          <w:rFonts w:cstheme="minorHAnsi"/>
        </w:rPr>
        <w:t>GastrointestinalEndoscopy</w:t>
      </w:r>
      <w:proofErr w:type="spellEnd"/>
      <w:r w:rsidRPr="00E43E52">
        <w:rPr>
          <w:rFonts w:cstheme="minorHAnsi"/>
        </w:rPr>
        <w:t xml:space="preserve"> (ESGE) </w:t>
      </w:r>
      <w:proofErr w:type="spellStart"/>
      <w:r w:rsidRPr="00E43E52">
        <w:rPr>
          <w:rFonts w:cstheme="minorHAnsi"/>
        </w:rPr>
        <w:t>clinical</w:t>
      </w:r>
      <w:proofErr w:type="spellEnd"/>
      <w:r w:rsidRPr="00E43E52">
        <w:rPr>
          <w:rFonts w:cstheme="minorHAnsi"/>
        </w:rPr>
        <w:t xml:space="preserve"> guideline. </w:t>
      </w:r>
      <w:proofErr w:type="spellStart"/>
      <w:r w:rsidRPr="00E43E52">
        <w:rPr>
          <w:rFonts w:cstheme="minorHAnsi"/>
        </w:rPr>
        <w:t>Endoscopy</w:t>
      </w:r>
      <w:proofErr w:type="spellEnd"/>
      <w:r w:rsidRPr="00E43E52">
        <w:rPr>
          <w:rFonts w:cstheme="minorHAnsi"/>
        </w:rPr>
        <w:t xml:space="preserve">. </w:t>
      </w:r>
      <w:proofErr w:type="gramStart"/>
      <w:r w:rsidRPr="00E43E52">
        <w:rPr>
          <w:rFonts w:cstheme="minorHAnsi"/>
        </w:rPr>
        <w:t>2012;</w:t>
      </w:r>
      <w:proofErr w:type="gramEnd"/>
      <w:r w:rsidRPr="00E43E52">
        <w:rPr>
          <w:rFonts w:cstheme="minorHAnsi"/>
        </w:rPr>
        <w:t xml:space="preserve"> 44:277-98.</w:t>
      </w:r>
    </w:p>
    <w:p w14:paraId="54A44B63" w14:textId="77777777" w:rsidR="00E43E52" w:rsidRPr="00E43E52" w:rsidRDefault="00E43E52" w:rsidP="00E43E52">
      <w:pPr>
        <w:spacing w:line="240" w:lineRule="auto"/>
        <w:ind w:right="-57"/>
        <w:rPr>
          <w:rFonts w:cstheme="minorHAnsi"/>
          <w:color w:val="1B1B1B"/>
          <w:shd w:val="clear" w:color="auto" w:fill="FFFFFF"/>
        </w:rPr>
      </w:pPr>
      <w:r w:rsidRPr="00E43E52">
        <w:rPr>
          <w:rFonts w:cstheme="minorHAnsi"/>
          <w:color w:val="1B1B1B"/>
          <w:shd w:val="clear" w:color="auto" w:fill="FFFFFF"/>
        </w:rPr>
        <w:t xml:space="preserve">12. Rey JF, Dumas R, Canard JM, et al.,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Recommendation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of the French Society of Digestive </w:t>
      </w:r>
      <w:proofErr w:type="spellStart"/>
      <w:proofErr w:type="gramStart"/>
      <w:r w:rsidRPr="00E43E52">
        <w:rPr>
          <w:rFonts w:cstheme="minorHAnsi"/>
          <w:color w:val="1B1B1B"/>
          <w:shd w:val="clear" w:color="auto" w:fill="FFFFFF"/>
        </w:rPr>
        <w:t>Endoscopy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>:</w:t>
      </w:r>
      <w:proofErr w:type="gramEnd"/>
      <w:r w:rsidRPr="00E43E52">
        <w:rPr>
          <w:rFonts w:cstheme="minorHAnsi"/>
          <w:color w:val="1B1B1B"/>
          <w:shd w:val="clear" w:color="auto" w:fill="FFFFFF"/>
        </w:rPr>
        <w:t xml:space="preserve">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Biliary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Prostheses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.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Endoscopy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. </w:t>
      </w:r>
      <w:proofErr w:type="gramStart"/>
      <w:r w:rsidRPr="00E43E52">
        <w:rPr>
          <w:rFonts w:cstheme="minorHAnsi"/>
          <w:color w:val="1B1B1B"/>
          <w:shd w:val="clear" w:color="auto" w:fill="FFFFFF"/>
        </w:rPr>
        <w:t>2002;</w:t>
      </w:r>
      <w:proofErr w:type="gramEnd"/>
      <w:r w:rsidRPr="00E43E52">
        <w:rPr>
          <w:rFonts w:cstheme="minorHAnsi"/>
          <w:color w:val="1B1B1B"/>
          <w:shd w:val="clear" w:color="auto" w:fill="FFFFFF"/>
        </w:rPr>
        <w:t xml:space="preserve"> 34: 181–185.</w:t>
      </w:r>
    </w:p>
    <w:p w14:paraId="3DECE643" w14:textId="77777777" w:rsidR="00E43E52" w:rsidRPr="00E43E52" w:rsidRDefault="00E43E52" w:rsidP="00E43E52">
      <w:pPr>
        <w:spacing w:line="240" w:lineRule="auto"/>
        <w:ind w:right="-57"/>
        <w:rPr>
          <w:rFonts w:cstheme="minorHAnsi"/>
          <w:color w:val="1B1B1B"/>
          <w:shd w:val="clear" w:color="auto" w:fill="FFFFFF"/>
        </w:rPr>
      </w:pPr>
      <w:r w:rsidRPr="00E43E52">
        <w:rPr>
          <w:rFonts w:cstheme="minorHAnsi"/>
          <w:color w:val="1B1B1B"/>
          <w:shd w:val="clear" w:color="auto" w:fill="FFFFFF"/>
        </w:rPr>
        <w:lastRenderedPageBreak/>
        <w:t xml:space="preserve">13.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Haraldsson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E.,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Lundell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L.,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Swahn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F.,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Enochsson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L.,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Löhr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J.,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Arnelo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U.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Endoscopic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classification of the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papilla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of Vater.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Results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of an inter- and intra-observer agreement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study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. Unit.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Eur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.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Gastroenterol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. J. </w:t>
      </w:r>
      <w:proofErr w:type="gramStart"/>
      <w:r w:rsidRPr="00E43E52">
        <w:rPr>
          <w:rFonts w:cstheme="minorHAnsi"/>
          <w:color w:val="1B1B1B"/>
          <w:shd w:val="clear" w:color="auto" w:fill="FFFFFF"/>
        </w:rPr>
        <w:t>2017;</w:t>
      </w:r>
      <w:proofErr w:type="gramEnd"/>
      <w:r w:rsidRPr="00E43E52">
        <w:rPr>
          <w:rFonts w:cstheme="minorHAnsi"/>
          <w:color w:val="1B1B1B"/>
          <w:shd w:val="clear" w:color="auto" w:fill="FFFFFF"/>
        </w:rPr>
        <w:t xml:space="preserve"> 5(4):504–510. </w:t>
      </w:r>
      <w:proofErr w:type="gramStart"/>
      <w:r w:rsidRPr="00E43E52">
        <w:rPr>
          <w:rFonts w:cstheme="minorHAnsi"/>
          <w:color w:val="1B1B1B"/>
          <w:shd w:val="clear" w:color="auto" w:fill="FFFFFF"/>
        </w:rPr>
        <w:t>DOI:</w:t>
      </w:r>
      <w:proofErr w:type="gramEnd"/>
      <w:r w:rsidRPr="00E43E52">
        <w:rPr>
          <w:rFonts w:cstheme="minorHAnsi"/>
          <w:color w:val="1B1B1B"/>
          <w:shd w:val="clear" w:color="auto" w:fill="FFFFFF"/>
        </w:rPr>
        <w:t xml:space="preserve"> 10.1177/2050640616674837].</w:t>
      </w:r>
    </w:p>
    <w:p w14:paraId="444A7540" w14:textId="77777777" w:rsidR="00E43E52" w:rsidRPr="00E43E52" w:rsidRDefault="00E43E52" w:rsidP="00E43E52">
      <w:pPr>
        <w:spacing w:line="240" w:lineRule="auto"/>
        <w:ind w:right="-57"/>
        <w:rPr>
          <w:rFonts w:cstheme="minorHAnsi"/>
          <w:color w:val="1B1B1B"/>
          <w:shd w:val="clear" w:color="auto" w:fill="FFFFFF"/>
        </w:rPr>
      </w:pPr>
      <w:r w:rsidRPr="00E43E52">
        <w:rPr>
          <w:rFonts w:cstheme="minorHAnsi"/>
          <w:color w:val="1B1B1B"/>
          <w:shd w:val="clear" w:color="auto" w:fill="FFFFFF"/>
        </w:rPr>
        <w:t xml:space="preserve">14.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Haraldsson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E.,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Kylänpää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L.,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Grönroos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J.M.,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Saarela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A., Toth E.,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Qvigstad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G.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Macroscopic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appearance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of the major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duodenal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papilla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influences bile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duct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</w:t>
      </w:r>
      <w:proofErr w:type="spellStart"/>
      <w:proofErr w:type="gramStart"/>
      <w:r w:rsidRPr="00E43E52">
        <w:rPr>
          <w:rFonts w:cstheme="minorHAnsi"/>
          <w:color w:val="1B1B1B"/>
          <w:shd w:val="clear" w:color="auto" w:fill="FFFFFF"/>
        </w:rPr>
        <w:t>cannulation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>:</w:t>
      </w:r>
      <w:proofErr w:type="gramEnd"/>
      <w:r w:rsidRPr="00E43E52">
        <w:rPr>
          <w:rFonts w:cstheme="minorHAnsi"/>
          <w:color w:val="1B1B1B"/>
          <w:shd w:val="clear" w:color="auto" w:fill="FFFFFF"/>
        </w:rPr>
        <w:t xml:space="preserve">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a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prospective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multicenter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study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by the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Scandinavian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Association for Gastrointestinal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Endoscopy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for ERCP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Study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Group.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Gastrointest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.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Endosc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. </w:t>
      </w:r>
      <w:proofErr w:type="gramStart"/>
      <w:r w:rsidRPr="00E43E52">
        <w:rPr>
          <w:rFonts w:cstheme="minorHAnsi"/>
          <w:color w:val="1B1B1B"/>
          <w:shd w:val="clear" w:color="auto" w:fill="FFFFFF"/>
        </w:rPr>
        <w:t>2019;</w:t>
      </w:r>
      <w:proofErr w:type="gramEnd"/>
      <w:r w:rsidRPr="00E43E52">
        <w:rPr>
          <w:rFonts w:cstheme="minorHAnsi"/>
          <w:color w:val="1B1B1B"/>
          <w:shd w:val="clear" w:color="auto" w:fill="FFFFFF"/>
        </w:rPr>
        <w:t xml:space="preserve">90(6):957–963. </w:t>
      </w:r>
      <w:proofErr w:type="gramStart"/>
      <w:r w:rsidRPr="00E43E52">
        <w:rPr>
          <w:rFonts w:cstheme="minorHAnsi"/>
          <w:color w:val="1B1B1B"/>
          <w:shd w:val="clear" w:color="auto" w:fill="FFFFFF"/>
        </w:rPr>
        <w:t>DOI:</w:t>
      </w:r>
      <w:proofErr w:type="gramEnd"/>
      <w:r w:rsidRPr="00E43E52">
        <w:rPr>
          <w:rFonts w:cstheme="minorHAnsi"/>
          <w:color w:val="1B1B1B"/>
          <w:shd w:val="clear" w:color="auto" w:fill="FFFFFF"/>
        </w:rPr>
        <w:t xml:space="preserve"> 10.1016/j.gie.2019.07.014.].</w:t>
      </w:r>
    </w:p>
    <w:p w14:paraId="7780FB14" w14:textId="77777777" w:rsidR="00E43E52" w:rsidRPr="00E43E52" w:rsidRDefault="00E43E52" w:rsidP="00E43E52">
      <w:pPr>
        <w:spacing w:line="240" w:lineRule="auto"/>
        <w:ind w:right="-57"/>
        <w:rPr>
          <w:rFonts w:cstheme="minorHAnsi"/>
          <w:color w:val="1B1B1B"/>
          <w:shd w:val="clear" w:color="auto" w:fill="FFFFFF"/>
        </w:rPr>
      </w:pPr>
      <w:r w:rsidRPr="00E43E52">
        <w:rPr>
          <w:rFonts w:cstheme="minorHAnsi"/>
          <w:color w:val="1B1B1B"/>
          <w:shd w:val="clear" w:color="auto" w:fill="FFFFFF"/>
        </w:rPr>
        <w:t xml:space="preserve">15.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Almadi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M.,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Eltayeb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M.,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Thaniah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S.,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Alrashed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F.,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Aljebreen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M.,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Alharbi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O.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Predictors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of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failure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of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endoscopic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retrograde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cholangiography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in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gallstone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removal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during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the initial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procedure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.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Saudi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J.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Gastroenterol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. </w:t>
      </w:r>
      <w:proofErr w:type="gramStart"/>
      <w:r w:rsidRPr="00E43E52">
        <w:rPr>
          <w:rFonts w:cstheme="minorHAnsi"/>
          <w:color w:val="1B1B1B"/>
          <w:shd w:val="clear" w:color="auto" w:fill="FFFFFF"/>
        </w:rPr>
        <w:t>2019;</w:t>
      </w:r>
      <w:proofErr w:type="gramEnd"/>
      <w:r w:rsidRPr="00E43E52">
        <w:rPr>
          <w:rFonts w:cstheme="minorHAnsi"/>
          <w:color w:val="1B1B1B"/>
          <w:shd w:val="clear" w:color="auto" w:fill="FFFFFF"/>
        </w:rPr>
        <w:t xml:space="preserve"> 25(2):132. </w:t>
      </w:r>
      <w:proofErr w:type="gramStart"/>
      <w:r w:rsidRPr="00E43E52">
        <w:rPr>
          <w:rFonts w:cstheme="minorHAnsi"/>
          <w:color w:val="1B1B1B"/>
          <w:shd w:val="clear" w:color="auto" w:fill="FFFFFF"/>
        </w:rPr>
        <w:t>DOI:</w:t>
      </w:r>
      <w:proofErr w:type="gramEnd"/>
      <w:r w:rsidRPr="00E43E52">
        <w:rPr>
          <w:rFonts w:cstheme="minorHAnsi"/>
          <w:color w:val="1B1B1B"/>
          <w:shd w:val="clear" w:color="auto" w:fill="FFFFFF"/>
        </w:rPr>
        <w:t xml:space="preserve"> 10.4103/SJG. SJG_304_18.</w:t>
      </w:r>
    </w:p>
    <w:p w14:paraId="2A2D1E83" w14:textId="77777777" w:rsidR="00E43E52" w:rsidRPr="00E43E52" w:rsidRDefault="00E43E52" w:rsidP="00E43E52">
      <w:pPr>
        <w:spacing w:line="240" w:lineRule="auto"/>
        <w:ind w:right="-57"/>
        <w:rPr>
          <w:rFonts w:cstheme="minorHAnsi"/>
          <w:color w:val="1B1B1B"/>
          <w:shd w:val="clear" w:color="auto" w:fill="FFFFFF"/>
        </w:rPr>
      </w:pPr>
      <w:r w:rsidRPr="00E43E52">
        <w:rPr>
          <w:rFonts w:cstheme="minorHAnsi"/>
          <w:color w:val="1B1B1B"/>
          <w:shd w:val="clear" w:color="auto" w:fill="FFFFFF"/>
        </w:rPr>
        <w:t xml:space="preserve">16. Üsküdar O.,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Parlak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E.,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Dışıbeyaz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S.,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Köksal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A.S.,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Cıçek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B.,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Kılıç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Z.M.Y. Main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predictors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of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difficult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bile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duct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stones. Turk. J.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Gastroenterol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. </w:t>
      </w:r>
      <w:proofErr w:type="gramStart"/>
      <w:r w:rsidRPr="00E43E52">
        <w:rPr>
          <w:rFonts w:cstheme="minorHAnsi"/>
          <w:color w:val="1B1B1B"/>
          <w:shd w:val="clear" w:color="auto" w:fill="FFFFFF"/>
        </w:rPr>
        <w:t>2013;</w:t>
      </w:r>
      <w:proofErr w:type="gramEnd"/>
      <w:r w:rsidRPr="00E43E52">
        <w:rPr>
          <w:rFonts w:cstheme="minorHAnsi"/>
          <w:color w:val="1B1B1B"/>
          <w:shd w:val="clear" w:color="auto" w:fill="FFFFFF"/>
        </w:rPr>
        <w:t xml:space="preserve"> 24(5):423–429. </w:t>
      </w:r>
      <w:proofErr w:type="gramStart"/>
      <w:r w:rsidRPr="00E43E52">
        <w:rPr>
          <w:rFonts w:cstheme="minorHAnsi"/>
          <w:color w:val="1B1B1B"/>
          <w:shd w:val="clear" w:color="auto" w:fill="FFFFFF"/>
        </w:rPr>
        <w:t>DOI:</w:t>
      </w:r>
      <w:proofErr w:type="gramEnd"/>
      <w:r w:rsidRPr="00E43E52">
        <w:rPr>
          <w:rFonts w:cstheme="minorHAnsi"/>
          <w:color w:val="1B1B1B"/>
          <w:shd w:val="clear" w:color="auto" w:fill="FFFFFF"/>
        </w:rPr>
        <w:t xml:space="preserve"> 10.4318/TJG.2013.0511.</w:t>
      </w:r>
    </w:p>
    <w:p w14:paraId="1FF83EF7" w14:textId="77777777" w:rsidR="00E43E52" w:rsidRPr="00E43E52" w:rsidRDefault="00E43E52" w:rsidP="00E43E52">
      <w:pPr>
        <w:spacing w:line="240" w:lineRule="auto"/>
        <w:ind w:right="-57"/>
        <w:rPr>
          <w:rFonts w:cstheme="minorHAnsi"/>
          <w:color w:val="1B1B1B"/>
          <w:shd w:val="clear" w:color="auto" w:fill="FFFFFF"/>
        </w:rPr>
      </w:pPr>
      <w:r w:rsidRPr="00E43E52">
        <w:rPr>
          <w:rFonts w:cstheme="minorHAnsi"/>
          <w:color w:val="1B1B1B"/>
          <w:shd w:val="clear" w:color="auto" w:fill="FFFFFF"/>
        </w:rPr>
        <w:t xml:space="preserve">17. Kim H.J., Choi H.S., Park J.H., Park D.I., Cho Y.K., Sohn C.I.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Factors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influencing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the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technical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difficulty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of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endoscopic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gallstone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removal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.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Gastrointest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.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Endosc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. </w:t>
      </w:r>
      <w:proofErr w:type="gramStart"/>
      <w:r w:rsidRPr="00E43E52">
        <w:rPr>
          <w:rFonts w:cstheme="minorHAnsi"/>
          <w:color w:val="1B1B1B"/>
          <w:shd w:val="clear" w:color="auto" w:fill="FFFFFF"/>
        </w:rPr>
        <w:t>2007;</w:t>
      </w:r>
      <w:proofErr w:type="gramEnd"/>
      <w:r w:rsidRPr="00E43E52">
        <w:rPr>
          <w:rFonts w:cstheme="minorHAnsi"/>
          <w:color w:val="1B1B1B"/>
          <w:shd w:val="clear" w:color="auto" w:fill="FFFFFF"/>
        </w:rPr>
        <w:t xml:space="preserve"> 66(6):1154–1160. </w:t>
      </w:r>
      <w:proofErr w:type="gramStart"/>
      <w:r w:rsidRPr="00E43E52">
        <w:rPr>
          <w:rFonts w:cstheme="minorHAnsi"/>
          <w:color w:val="1B1B1B"/>
          <w:shd w:val="clear" w:color="auto" w:fill="FFFFFF"/>
        </w:rPr>
        <w:t>DOI:</w:t>
      </w:r>
      <w:proofErr w:type="gramEnd"/>
      <w:r w:rsidRPr="00E43E52">
        <w:rPr>
          <w:rFonts w:cstheme="minorHAnsi"/>
          <w:color w:val="1B1B1B"/>
          <w:shd w:val="clear" w:color="auto" w:fill="FFFFFF"/>
        </w:rPr>
        <w:t xml:space="preserve"> 10.1016/j.gie.2007.04.033.</w:t>
      </w:r>
    </w:p>
    <w:p w14:paraId="11944620" w14:textId="77777777" w:rsidR="00E43E52" w:rsidRPr="00E43E52" w:rsidRDefault="00E43E52" w:rsidP="00E43E52">
      <w:pPr>
        <w:spacing w:line="240" w:lineRule="auto"/>
        <w:ind w:right="-57"/>
        <w:rPr>
          <w:rFonts w:cstheme="minorHAnsi"/>
          <w:color w:val="1B1B1B"/>
          <w:shd w:val="clear" w:color="auto" w:fill="FFFFFF"/>
        </w:rPr>
      </w:pPr>
      <w:r w:rsidRPr="00E43E52">
        <w:rPr>
          <w:rFonts w:cstheme="minorHAnsi"/>
          <w:color w:val="1B1B1B"/>
          <w:shd w:val="clear" w:color="auto" w:fill="FFFFFF"/>
        </w:rPr>
        <w:t xml:space="preserve">18.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Ramírez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García, J.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Factors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associated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with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treatment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failure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in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gallstone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removal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by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endoscopic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retrograde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colangiopancreatography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, ERCP.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Rev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.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Gastroenterol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.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Peru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. </w:t>
      </w:r>
      <w:proofErr w:type="gramStart"/>
      <w:r w:rsidRPr="00E43E52">
        <w:rPr>
          <w:rFonts w:cstheme="minorHAnsi"/>
          <w:color w:val="1B1B1B"/>
          <w:shd w:val="clear" w:color="auto" w:fill="FFFFFF"/>
        </w:rPr>
        <w:t>2011;</w:t>
      </w:r>
      <w:proofErr w:type="gramEnd"/>
      <w:r w:rsidRPr="00E43E52">
        <w:rPr>
          <w:rFonts w:cstheme="minorHAnsi"/>
          <w:color w:val="1B1B1B"/>
          <w:shd w:val="clear" w:color="auto" w:fill="FFFFFF"/>
        </w:rPr>
        <w:t xml:space="preserve"> 31(4):330–334.</w:t>
      </w:r>
    </w:p>
    <w:p w14:paraId="0052FC8A" w14:textId="77777777" w:rsidR="00E43E52" w:rsidRPr="00E43E52" w:rsidRDefault="00E43E52" w:rsidP="00E43E52">
      <w:pPr>
        <w:spacing w:line="240" w:lineRule="auto"/>
        <w:ind w:right="-57"/>
        <w:rPr>
          <w:rFonts w:cstheme="minorHAnsi"/>
          <w:color w:val="1B1B1B"/>
          <w:shd w:val="clear" w:color="auto" w:fill="FFFFFF"/>
        </w:rPr>
      </w:pPr>
      <w:r w:rsidRPr="00E43E52">
        <w:rPr>
          <w:rFonts w:cstheme="minorHAnsi"/>
          <w:color w:val="1B1B1B"/>
          <w:shd w:val="clear" w:color="auto" w:fill="FFFFFF"/>
        </w:rPr>
        <w:t xml:space="preserve">19.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Christoforidis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E.,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Vasiliadis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K.,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Tsalis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K.,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Patridas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D.,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Blouhos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K.,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Pramateftakis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M.G.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Factors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significantly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contributing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to the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failure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of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conventional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endoscopic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stone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removal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in patients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with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“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difficult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” </w:t>
      </w:r>
      <w:proofErr w:type="spellStart"/>
      <w:proofErr w:type="gramStart"/>
      <w:r w:rsidRPr="00E43E52">
        <w:rPr>
          <w:rFonts w:cstheme="minorHAnsi"/>
          <w:color w:val="1B1B1B"/>
          <w:shd w:val="clear" w:color="auto" w:fill="FFFFFF"/>
        </w:rPr>
        <w:t>choledocholithiasis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>:</w:t>
      </w:r>
      <w:proofErr w:type="gramEnd"/>
      <w:r w:rsidRPr="00E43E52">
        <w:rPr>
          <w:rFonts w:cstheme="minorHAnsi"/>
          <w:color w:val="1B1B1B"/>
          <w:shd w:val="clear" w:color="auto" w:fill="FFFFFF"/>
        </w:rPr>
        <w:t xml:space="preserve">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a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single-center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experience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.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Diagn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.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Ther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.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Endosc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. </w:t>
      </w:r>
      <w:proofErr w:type="gramStart"/>
      <w:r w:rsidRPr="00E43E52">
        <w:rPr>
          <w:rFonts w:cstheme="minorHAnsi"/>
          <w:color w:val="1B1B1B"/>
          <w:shd w:val="clear" w:color="auto" w:fill="FFFFFF"/>
        </w:rPr>
        <w:t>2014;</w:t>
      </w:r>
      <w:proofErr w:type="gramEnd"/>
      <w:r w:rsidRPr="00E43E52">
        <w:rPr>
          <w:rFonts w:cstheme="minorHAnsi"/>
          <w:color w:val="1B1B1B"/>
          <w:shd w:val="clear" w:color="auto" w:fill="FFFFFF"/>
        </w:rPr>
        <w:t xml:space="preserve"> 2014:1–7. </w:t>
      </w:r>
      <w:proofErr w:type="gramStart"/>
      <w:r w:rsidRPr="00E43E52">
        <w:rPr>
          <w:rFonts w:cstheme="minorHAnsi"/>
          <w:color w:val="1B1B1B"/>
          <w:shd w:val="clear" w:color="auto" w:fill="FFFFFF"/>
        </w:rPr>
        <w:t>DOI:</w:t>
      </w:r>
      <w:proofErr w:type="gramEnd"/>
      <w:r w:rsidRPr="00E43E52">
        <w:rPr>
          <w:rFonts w:cstheme="minorHAnsi"/>
          <w:color w:val="1B1B1B"/>
          <w:shd w:val="clear" w:color="auto" w:fill="FFFFFF"/>
        </w:rPr>
        <w:t xml:space="preserve"> 10.1155/2014/861689.</w:t>
      </w:r>
    </w:p>
    <w:p w14:paraId="0AAEF57B" w14:textId="77777777" w:rsidR="00E43E52" w:rsidRPr="00E43E52" w:rsidRDefault="00E43E52" w:rsidP="00E43E52">
      <w:pPr>
        <w:spacing w:line="240" w:lineRule="auto"/>
        <w:ind w:right="-57"/>
        <w:rPr>
          <w:rFonts w:cstheme="minorHAnsi"/>
          <w:color w:val="1B1B1B"/>
          <w:shd w:val="clear" w:color="auto" w:fill="FFFFFF"/>
        </w:rPr>
      </w:pPr>
      <w:r w:rsidRPr="00E43E52">
        <w:rPr>
          <w:rFonts w:cstheme="minorHAnsi"/>
          <w:color w:val="1B1B1B"/>
          <w:shd w:val="clear" w:color="auto" w:fill="FFFFFF"/>
        </w:rPr>
        <w:t xml:space="preserve">20. Saito H,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Kadono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Y,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Shono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T,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Kamikawa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K,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Urata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A,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Nasu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J,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Imamura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H, Matsushita I,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Kakuma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T,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Tada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S.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Factors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Predicting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Difficult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Biliary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Cannulation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during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Endoscopic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Retrograde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Cholangiopancreatography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for Common Bile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Duct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Stones.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Clinical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Endoscopy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>.</w:t>
      </w:r>
    </w:p>
    <w:p w14:paraId="750C1DC3" w14:textId="77777777" w:rsidR="00E43E52" w:rsidRPr="00E43E52" w:rsidRDefault="00E43E52" w:rsidP="00E43E52">
      <w:pPr>
        <w:spacing w:line="240" w:lineRule="auto"/>
        <w:ind w:right="-57"/>
        <w:rPr>
          <w:rFonts w:cstheme="minorHAnsi"/>
          <w:color w:val="1B1B1B"/>
          <w:shd w:val="clear" w:color="auto" w:fill="FFFFFF"/>
        </w:rPr>
      </w:pPr>
      <w:r w:rsidRPr="00E43E52">
        <w:rPr>
          <w:rFonts w:cstheme="minorHAnsi"/>
          <w:color w:val="1B1B1B"/>
          <w:shd w:val="clear" w:color="auto" w:fill="FFFFFF"/>
        </w:rPr>
        <w:t xml:space="preserve">21.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Difficult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cannulation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during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endoscopic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retrograde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cholangiopancreatography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—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needle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knife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precut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versus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transpancreatic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sphincterotomy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on the basis of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successful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cannulation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and adverse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events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.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Surgical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Endoscopy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. 2024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Dec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</w:t>
      </w:r>
      <w:proofErr w:type="gramStart"/>
      <w:r w:rsidRPr="00E43E52">
        <w:rPr>
          <w:rFonts w:cstheme="minorHAnsi"/>
          <w:color w:val="1B1B1B"/>
          <w:shd w:val="clear" w:color="auto" w:fill="FFFFFF"/>
        </w:rPr>
        <w:t>29;</w:t>
      </w:r>
      <w:proofErr w:type="gramEnd"/>
      <w:r w:rsidRPr="00E43E52">
        <w:rPr>
          <w:rFonts w:cstheme="minorHAnsi"/>
          <w:color w:val="1B1B1B"/>
          <w:shd w:val="clear" w:color="auto" w:fill="FFFFFF"/>
        </w:rPr>
        <w:t>39(2):1200 1206.</w:t>
      </w:r>
    </w:p>
    <w:p w14:paraId="00CFDDEC" w14:textId="6CDEC541" w:rsidR="000E53EF" w:rsidRDefault="00E43E52" w:rsidP="00E43E52">
      <w:pPr>
        <w:spacing w:line="240" w:lineRule="auto"/>
        <w:ind w:right="-57"/>
        <w:rPr>
          <w:rFonts w:cstheme="minorHAnsi"/>
          <w:color w:val="1B1B1B"/>
          <w:shd w:val="clear" w:color="auto" w:fill="FFFFFF"/>
        </w:rPr>
      </w:pPr>
      <w:r w:rsidRPr="00E43E52">
        <w:rPr>
          <w:rFonts w:cstheme="minorHAnsi"/>
          <w:color w:val="1B1B1B"/>
          <w:shd w:val="clear" w:color="auto" w:fill="FFFFFF"/>
        </w:rPr>
        <w:t xml:space="preserve">22. Second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endoscopic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retrograde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cholangiopancreatography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after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failure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of initial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biliary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</w:t>
      </w:r>
      <w:proofErr w:type="spellStart"/>
      <w:proofErr w:type="gramStart"/>
      <w:r w:rsidRPr="00E43E52">
        <w:rPr>
          <w:rFonts w:cstheme="minorHAnsi"/>
          <w:color w:val="1B1B1B"/>
          <w:shd w:val="clear" w:color="auto" w:fill="FFFFFF"/>
        </w:rPr>
        <w:t>cannulation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>:</w:t>
      </w:r>
      <w:proofErr w:type="gramEnd"/>
      <w:r w:rsidRPr="00E43E52">
        <w:rPr>
          <w:rFonts w:cstheme="minorHAnsi"/>
          <w:color w:val="1B1B1B"/>
          <w:shd w:val="clear" w:color="auto" w:fill="FFFFFF"/>
        </w:rPr>
        <w:t xml:space="preserve"> A single institution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retrospective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experience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.”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Translational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Medicine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 xml:space="preserve"> </w:t>
      </w:r>
      <w:proofErr w:type="spellStart"/>
      <w:r w:rsidRPr="00E43E52">
        <w:rPr>
          <w:rFonts w:cstheme="minorHAnsi"/>
          <w:color w:val="1B1B1B"/>
          <w:shd w:val="clear" w:color="auto" w:fill="FFFFFF"/>
        </w:rPr>
        <w:t>Studies</w:t>
      </w:r>
      <w:proofErr w:type="spellEnd"/>
      <w:r w:rsidRPr="00E43E52">
        <w:rPr>
          <w:rFonts w:cstheme="minorHAnsi"/>
          <w:color w:val="1B1B1B"/>
          <w:shd w:val="clear" w:color="auto" w:fill="FFFFFF"/>
        </w:rPr>
        <w:t>. 2022.</w:t>
      </w:r>
    </w:p>
    <w:p w14:paraId="3B41AE70" w14:textId="77777777" w:rsidR="00E43E52" w:rsidRPr="000E53EF" w:rsidRDefault="00E43E52" w:rsidP="00E43E52">
      <w:pPr>
        <w:spacing w:line="240" w:lineRule="auto"/>
        <w:ind w:right="-57"/>
        <w:rPr>
          <w:rFonts w:cstheme="minorHAnsi"/>
          <w:b/>
          <w:sz w:val="28"/>
        </w:rPr>
      </w:pPr>
    </w:p>
    <w:sectPr w:rsidR="00E43E52" w:rsidRPr="000E53EF" w:rsidSect="004824D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C890D0" w14:textId="77777777" w:rsidR="00DC2014" w:rsidRDefault="00DC2014" w:rsidP="007D56CC">
      <w:pPr>
        <w:spacing w:after="0" w:line="240" w:lineRule="auto"/>
      </w:pPr>
      <w:r>
        <w:separator/>
      </w:r>
    </w:p>
  </w:endnote>
  <w:endnote w:type="continuationSeparator" w:id="0">
    <w:p w14:paraId="781AE1B7" w14:textId="77777777" w:rsidR="00DC2014" w:rsidRDefault="00DC2014" w:rsidP="007D5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AE533" w14:textId="77777777" w:rsidR="007D56CC" w:rsidRDefault="007D56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BE282" w14:textId="77777777" w:rsidR="007D56CC" w:rsidRDefault="007D56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F7971" w14:textId="77777777" w:rsidR="007D56CC" w:rsidRDefault="007D56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FB4C84" w14:textId="77777777" w:rsidR="00DC2014" w:rsidRDefault="00DC2014" w:rsidP="007D56CC">
      <w:pPr>
        <w:spacing w:after="0" w:line="240" w:lineRule="auto"/>
      </w:pPr>
      <w:r>
        <w:separator/>
      </w:r>
    </w:p>
  </w:footnote>
  <w:footnote w:type="continuationSeparator" w:id="0">
    <w:p w14:paraId="5682C8DD" w14:textId="77777777" w:rsidR="00DC2014" w:rsidRDefault="00DC2014" w:rsidP="007D5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9E3925" w14:textId="76A45839" w:rsidR="007D56CC" w:rsidRDefault="007D56CC">
    <w:pPr>
      <w:pStyle w:val="Header"/>
    </w:pPr>
    <w:r>
      <w:rPr>
        <w:noProof/>
      </w:rPr>
      <w:pict w14:anchorId="33704F7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708391" o:spid="_x0000_s2050" type="#_x0000_t136" style="position:absolute;margin-left:0;margin-top:0;width:538.55pt;height:100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CCCA6" w14:textId="2F298852" w:rsidR="007D56CC" w:rsidRDefault="007D56CC">
    <w:pPr>
      <w:pStyle w:val="Header"/>
    </w:pPr>
    <w:r>
      <w:rPr>
        <w:noProof/>
      </w:rPr>
      <w:pict w14:anchorId="4D50C88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708392" o:spid="_x0000_s2051" type="#_x0000_t136" style="position:absolute;margin-left:0;margin-top:0;width:538.55pt;height:100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9FE8F" w14:textId="081ED259" w:rsidR="007D56CC" w:rsidRDefault="007D56CC">
    <w:pPr>
      <w:pStyle w:val="Header"/>
    </w:pPr>
    <w:r>
      <w:rPr>
        <w:noProof/>
      </w:rPr>
      <w:pict w14:anchorId="7927D4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708390" o:spid="_x0000_s2049" type="#_x0000_t136" style="position:absolute;margin-left:0;margin-top:0;width:538.55pt;height:100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709B6"/>
    <w:multiLevelType w:val="hybridMultilevel"/>
    <w:tmpl w:val="84E81AA6"/>
    <w:lvl w:ilvl="0" w:tplc="563CB62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9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56C87"/>
    <w:multiLevelType w:val="multilevel"/>
    <w:tmpl w:val="78A6F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159F"/>
    <w:rsid w:val="00051F9F"/>
    <w:rsid w:val="00093E89"/>
    <w:rsid w:val="000E53EF"/>
    <w:rsid w:val="0010522C"/>
    <w:rsid w:val="00152369"/>
    <w:rsid w:val="00210B12"/>
    <w:rsid w:val="0025641A"/>
    <w:rsid w:val="00273344"/>
    <w:rsid w:val="0029159F"/>
    <w:rsid w:val="002D1F3B"/>
    <w:rsid w:val="002E1953"/>
    <w:rsid w:val="00302172"/>
    <w:rsid w:val="00313C9E"/>
    <w:rsid w:val="00323A60"/>
    <w:rsid w:val="003328F6"/>
    <w:rsid w:val="003944CB"/>
    <w:rsid w:val="004272DA"/>
    <w:rsid w:val="004824DF"/>
    <w:rsid w:val="00546EDC"/>
    <w:rsid w:val="005D6686"/>
    <w:rsid w:val="006C19C1"/>
    <w:rsid w:val="00726AF0"/>
    <w:rsid w:val="007B3D44"/>
    <w:rsid w:val="007D56CC"/>
    <w:rsid w:val="007D6230"/>
    <w:rsid w:val="008224C2"/>
    <w:rsid w:val="008935C0"/>
    <w:rsid w:val="008A416B"/>
    <w:rsid w:val="008D6A4D"/>
    <w:rsid w:val="009C2279"/>
    <w:rsid w:val="009C6B36"/>
    <w:rsid w:val="00A5639B"/>
    <w:rsid w:val="00B34E08"/>
    <w:rsid w:val="00BB6DB0"/>
    <w:rsid w:val="00BE3D3B"/>
    <w:rsid w:val="00C24070"/>
    <w:rsid w:val="00C447E3"/>
    <w:rsid w:val="00CE5199"/>
    <w:rsid w:val="00D237CE"/>
    <w:rsid w:val="00DC2014"/>
    <w:rsid w:val="00E15BA4"/>
    <w:rsid w:val="00E43E52"/>
    <w:rsid w:val="00E4766D"/>
    <w:rsid w:val="00ED387F"/>
    <w:rsid w:val="00EF54C5"/>
    <w:rsid w:val="00F00B2E"/>
    <w:rsid w:val="00F20358"/>
    <w:rsid w:val="00F9635C"/>
    <w:rsid w:val="00FE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  <w14:docId w14:val="6DAEA644"/>
  <w15:docId w15:val="{396146DD-0AFB-4D7B-851A-72EF09086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24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1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9159F"/>
    <w:rPr>
      <w:b/>
      <w:bCs/>
    </w:rPr>
  </w:style>
  <w:style w:type="table" w:styleId="TableGrid">
    <w:name w:val="Table Grid"/>
    <w:basedOn w:val="TableNormal"/>
    <w:uiPriority w:val="59"/>
    <w:rsid w:val="00F00B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1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953"/>
    <w:rPr>
      <w:rFonts w:ascii="Tahoma" w:hAnsi="Tahoma" w:cs="Tahoma"/>
      <w:sz w:val="16"/>
      <w:szCs w:val="16"/>
    </w:rPr>
  </w:style>
  <w:style w:type="character" w:styleId="HTMLCite">
    <w:name w:val="HTML Cite"/>
    <w:basedOn w:val="DefaultParagraphFont"/>
    <w:uiPriority w:val="99"/>
    <w:semiHidden/>
    <w:unhideWhenUsed/>
    <w:rsid w:val="000E53EF"/>
    <w:rPr>
      <w:i/>
      <w:iCs/>
    </w:rPr>
  </w:style>
  <w:style w:type="paragraph" w:styleId="ListParagraph">
    <w:name w:val="List Paragraph"/>
    <w:basedOn w:val="Normal"/>
    <w:uiPriority w:val="34"/>
    <w:qFormat/>
    <w:rsid w:val="000E53EF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E5199"/>
    <w:rPr>
      <w:i/>
      <w:iCs/>
    </w:rPr>
  </w:style>
  <w:style w:type="character" w:styleId="Hyperlink">
    <w:name w:val="Hyperlink"/>
    <w:basedOn w:val="DefaultParagraphFont"/>
    <w:uiPriority w:val="99"/>
    <w:unhideWhenUsed/>
    <w:rsid w:val="00C447E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47E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D5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6CC"/>
  </w:style>
  <w:style w:type="paragraph" w:styleId="Footer">
    <w:name w:val="footer"/>
    <w:basedOn w:val="Normal"/>
    <w:link w:val="FooterChar"/>
    <w:uiPriority w:val="99"/>
    <w:unhideWhenUsed/>
    <w:rsid w:val="007D5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image" Target="media/image4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chart" Target="charts/chart1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echec%20KT%20cpre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echec%20KT%20cpre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echec%20KT%20cpr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medical history</a:t>
            </a:r>
          </a:p>
        </c:rich>
      </c:tx>
      <c:layout>
        <c:manualLayout>
          <c:xMode val="edge"/>
          <c:yMode val="edge"/>
          <c:x val="7.2540472096738237E-2"/>
          <c:y val="8.4701152135750538E-2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Feuil1!$D$91:$D$95</c:f>
              <c:strCache>
                <c:ptCount val="5"/>
                <c:pt idx="0">
                  <c:v>medical history </c:v>
                </c:pt>
                <c:pt idx="1">
                  <c:v>no medical historu</c:v>
                </c:pt>
                <c:pt idx="2">
                  <c:v>cholecystectomy</c:v>
                </c:pt>
                <c:pt idx="3">
                  <c:v>somking and alcohol</c:v>
                </c:pt>
                <c:pt idx="4">
                  <c:v>Acute gallstone pancreatitis</c:v>
                </c:pt>
              </c:strCache>
            </c:strRef>
          </c:cat>
          <c:val>
            <c:numRef>
              <c:f>Feuil1!$E$91:$E$95</c:f>
              <c:numCache>
                <c:formatCode>General</c:formatCode>
                <c:ptCount val="5"/>
                <c:pt idx="1">
                  <c:v>23</c:v>
                </c:pt>
                <c:pt idx="2">
                  <c:v>4</c:v>
                </c:pt>
                <c:pt idx="3">
                  <c:v>1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96C-4C28-ADB5-9B880E0655CE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</c:plotArea>
    <c:legend>
      <c:legendPos val="r"/>
      <c:layout>
        <c:manualLayout>
          <c:xMode val="edge"/>
          <c:yMode val="edge"/>
          <c:x val="0.57964749785037595"/>
          <c:y val="0.20653075418801464"/>
          <c:w val="0.39523922048637355"/>
          <c:h val="0.73002293791043493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sex</a:t>
            </a:r>
          </a:p>
        </c:rich>
      </c:tx>
      <c:layout>
        <c:manualLayout>
          <c:xMode val="edge"/>
          <c:yMode val="edge"/>
          <c:x val="0.13580033759380949"/>
          <c:y val="6.0500822954107504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4279442721927441"/>
          <c:y val="0.14311992018077779"/>
          <c:w val="0.60740720085532929"/>
          <c:h val="0.85688007981922221"/>
        </c:manualLayout>
      </c:layout>
      <c:pieChart>
        <c:varyColors val="1"/>
        <c:ser>
          <c:idx val="0"/>
          <c:order val="0"/>
          <c:tx>
            <c:strRef>
              <c:f>Feuil1!$E$68</c:f>
              <c:strCache>
                <c:ptCount val="1"/>
                <c:pt idx="0">
                  <c:v>effectif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600"/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Feuil1!$D$69:$D$70</c:f>
              <c:strCache>
                <c:ptCount val="2"/>
                <c:pt idx="0">
                  <c:v>men</c:v>
                </c:pt>
                <c:pt idx="1">
                  <c:v>woman</c:v>
                </c:pt>
              </c:strCache>
            </c:strRef>
          </c:cat>
          <c:val>
            <c:numRef>
              <c:f>Feuil1!$E$69:$E$70</c:f>
              <c:numCache>
                <c:formatCode>General</c:formatCode>
                <c:ptCount val="2"/>
                <c:pt idx="0">
                  <c:v>11</c:v>
                </c:pt>
                <c:pt idx="1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F6D-41AB-A1A9-1E2B1C4FD89A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layout>
        <c:manualLayout>
          <c:xMode val="edge"/>
          <c:yMode val="edge"/>
          <c:x val="2.2698771820122615E-2"/>
          <c:y val="0.15658314957903574"/>
          <c:w val="0.41127390668766556"/>
          <c:h val="0.1307842739731020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fr-FR" sz="1200"/>
              <a:t>INDICATION OF ERCP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34365966447254931"/>
          <c:w val="1"/>
          <c:h val="0.58368807158442582"/>
        </c:manualLayout>
      </c:layout>
      <c:pie3DChart>
        <c:varyColors val="1"/>
        <c:ser>
          <c:idx val="0"/>
          <c:order val="0"/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Feuil1!$D$116:$D$119</c:f>
              <c:strCache>
                <c:ptCount val="4"/>
                <c:pt idx="0">
                  <c:v>Common bile duct stones</c:v>
                </c:pt>
                <c:pt idx="1">
                  <c:v>Cholangitis</c:v>
                </c:pt>
                <c:pt idx="2">
                  <c:v>Acute gallstone pancreatitis</c:v>
                </c:pt>
                <c:pt idx="3">
                  <c:v>Distal common bile duct stricture</c:v>
                </c:pt>
              </c:strCache>
            </c:strRef>
          </c:cat>
          <c:val>
            <c:numRef>
              <c:f>Feuil1!$E$116:$E$119</c:f>
              <c:numCache>
                <c:formatCode>General</c:formatCode>
                <c:ptCount val="4"/>
                <c:pt idx="0">
                  <c:v>21</c:v>
                </c:pt>
                <c:pt idx="1">
                  <c:v>4</c:v>
                </c:pt>
                <c:pt idx="2">
                  <c:v>4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31E-4477-81F8-6BEE8FCC6EA2}"/>
            </c:ext>
          </c:extLst>
        </c:ser>
        <c:ser>
          <c:idx val="1"/>
          <c:order val="1"/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Feuil1!$D$116:$D$119</c:f>
              <c:strCache>
                <c:ptCount val="4"/>
                <c:pt idx="0">
                  <c:v>Common bile duct stones</c:v>
                </c:pt>
                <c:pt idx="1">
                  <c:v>Cholangitis</c:v>
                </c:pt>
                <c:pt idx="2">
                  <c:v>Acute gallstone pancreatitis</c:v>
                </c:pt>
                <c:pt idx="3">
                  <c:v>Distal common bile duct stricture</c:v>
                </c:pt>
              </c:strCache>
            </c:strRef>
          </c:cat>
          <c:val>
            <c:numRef>
              <c:f>Feuil1!$F$116:$F$119</c:f>
              <c:numCache>
                <c:formatCode>0%</c:formatCode>
                <c:ptCount val="4"/>
                <c:pt idx="0">
                  <c:v>0.70000000000000007</c:v>
                </c:pt>
                <c:pt idx="1">
                  <c:v>0.13</c:v>
                </c:pt>
                <c:pt idx="2">
                  <c:v>0.13</c:v>
                </c:pt>
                <c:pt idx="3">
                  <c:v>4.0000000000000008E-2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31E-4477-81F8-6BEE8FCC6EA2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</c:plotArea>
    <c:legend>
      <c:legendPos val="t"/>
      <c:overlay val="0"/>
      <c:txPr>
        <a:bodyPr/>
        <a:lstStyle/>
        <a:p>
          <a:pPr>
            <a:defRPr sz="800"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7</Pages>
  <Words>2353</Words>
  <Characters>13415</Characters>
  <Application>Microsoft Office Word</Application>
  <DocSecurity>0</DocSecurity>
  <Lines>111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SDI 1180</cp:lastModifiedBy>
  <cp:revision>56</cp:revision>
  <dcterms:created xsi:type="dcterms:W3CDTF">2025-07-23T19:33:00Z</dcterms:created>
  <dcterms:modified xsi:type="dcterms:W3CDTF">2025-10-09T11:56:00Z</dcterms:modified>
</cp:coreProperties>
</file>