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588" w:rsidRDefault="00A61B3F">
      <w:pPr>
        <w:pStyle w:val="Heading1"/>
        <w:keepNext w:val="0"/>
        <w:keepLines w:val="0"/>
        <w:spacing w:before="480" w:line="239" w:lineRule="auto"/>
      </w:pPr>
      <w:bookmarkStart w:id="0" w:name="_muyprjddvkxu" w:colFirst="0" w:colLast="0"/>
      <w:bookmarkEnd w:id="0"/>
      <w:r>
        <w:rPr>
          <w:rFonts w:ascii="Times New Roman" w:eastAsia="Times New Roman" w:hAnsi="Times New Roman" w:cs="Times New Roman"/>
          <w:b/>
          <w:sz w:val="46"/>
          <w:szCs w:val="46"/>
        </w:rPr>
        <w:t>Malignant hypertension induced thrombotic microangiopathy: A case report</w:t>
      </w:r>
    </w:p>
    <w:p w:rsidR="00D07588" w:rsidRDefault="00D07588">
      <w:bookmarkStart w:id="1" w:name="_plo41r1n8xnl" w:colFirst="0" w:colLast="0"/>
      <w:bookmarkEnd w:id="1"/>
    </w:p>
    <w:p w:rsidR="000D4AD3" w:rsidRDefault="000D4AD3"/>
    <w:p w:rsidR="000D4AD3" w:rsidRDefault="000D4AD3"/>
    <w:p w:rsidR="000D4AD3" w:rsidRDefault="000D4AD3"/>
    <w:p w:rsidR="000D4AD3" w:rsidRDefault="000D4AD3"/>
    <w:p w:rsidR="000D4AD3" w:rsidRDefault="000D4AD3">
      <w:bookmarkStart w:id="2" w:name="_GoBack"/>
      <w:bookmarkEnd w:id="2"/>
    </w:p>
    <w:p w:rsidR="00D07588" w:rsidRDefault="00A61B3F">
      <w:pPr>
        <w:spacing w:before="240" w:after="240"/>
        <w:rPr>
          <w:rFonts w:ascii="Times New Roman" w:eastAsia="Times New Roman" w:hAnsi="Times New Roman" w:cs="Times New Roman"/>
        </w:rPr>
      </w:pPr>
      <w:r>
        <w:rPr>
          <w:rFonts w:ascii="Times New Roman" w:eastAsia="Times New Roman" w:hAnsi="Times New Roman" w:cs="Times New Roman"/>
          <w:b/>
          <w:sz w:val="24"/>
          <w:szCs w:val="24"/>
        </w:rPr>
        <w:t>Abstract</w:t>
      </w:r>
      <w:r>
        <w:rPr>
          <w:rFonts w:ascii="Times New Roman" w:eastAsia="Times New Roman" w:hAnsi="Times New Roman" w:cs="Times New Roman"/>
          <w:b/>
        </w:rPr>
        <w:br/>
      </w:r>
      <w:r>
        <w:rPr>
          <w:rFonts w:ascii="Times New Roman" w:eastAsia="Times New Roman" w:hAnsi="Times New Roman" w:cs="Times New Roman"/>
        </w:rPr>
        <w:t>Malignant hypertension (MH) is a medical emergency characterized by severe blood pressure elevation and end-organ damage. We present the case of a 34-year-old male with MH leading to microangiopathic hemolytic anemia (MAHA) and acute kidney injury (AKI), a rare and life-threatening combination. The patient exhibited severe hypertensive retinopathy, thrombocytopenia, and hemolysis, complicated by renal dysfunction. Diagnosis was confirmed through clinical, laboratory, and imaging findings. Multidisciplinary management, including antihypertensive therapy and supportive care, was crucial in stabilizing the patient. This case underscores the importance of early recognition and a coordinated approach to managing MH and its complications to prevent irreversible outcomes.</w:t>
      </w:r>
    </w:p>
    <w:p w:rsidR="007157EF" w:rsidRDefault="008E5D7B">
      <w:pPr>
        <w:spacing w:before="240" w:after="240"/>
        <w:rPr>
          <w:rFonts w:ascii="Times New Roman" w:eastAsia="Times New Roman" w:hAnsi="Times New Roman" w:cs="Times New Roman"/>
        </w:rPr>
      </w:pPr>
      <w:r>
        <w:rPr>
          <w:rFonts w:ascii="Times New Roman" w:eastAsia="Times New Roman" w:hAnsi="Times New Roman" w:cs="Times New Roman"/>
        </w:rPr>
        <w:t>Keywords: hemolytic anemia, hypertension, acute kidney injury, microangiopathic hemolytic anemia</w:t>
      </w:r>
    </w:p>
    <w:p w:rsidR="007157EF" w:rsidRDefault="007157EF">
      <w:pPr>
        <w:spacing w:before="240" w:after="240"/>
        <w:rPr>
          <w:rFonts w:ascii="Times New Roman" w:eastAsia="Times New Roman" w:hAnsi="Times New Roman" w:cs="Times New Roman"/>
          <w:b/>
          <w:sz w:val="28"/>
        </w:rPr>
      </w:pPr>
      <w:r w:rsidRPr="007157EF">
        <w:rPr>
          <w:rFonts w:ascii="Times New Roman" w:eastAsia="Times New Roman" w:hAnsi="Times New Roman" w:cs="Times New Roman"/>
          <w:b/>
          <w:sz w:val="28"/>
        </w:rPr>
        <w:t xml:space="preserve">Introduction </w:t>
      </w:r>
    </w:p>
    <w:p w:rsidR="007157EF" w:rsidRPr="008E5D7B" w:rsidRDefault="008E5D7B" w:rsidP="008E5D7B">
      <w:pPr>
        <w:jc w:val="both"/>
        <w:rPr>
          <w:rFonts w:ascii="Times New Roman" w:eastAsia="Times New Roman" w:hAnsi="Times New Roman" w:cs="Times New Roman"/>
        </w:rPr>
      </w:pPr>
      <w:r w:rsidRPr="008E5D7B">
        <w:rPr>
          <w:rFonts w:ascii="Cambria" w:hAnsi="Cambria"/>
          <w:color w:val="1B1B1B"/>
          <w:szCs w:val="28"/>
          <w:shd w:val="clear" w:color="auto" w:fill="FFFFFF"/>
        </w:rPr>
        <w:t>Malignant hypertension can cause thrombotic microangiopathy (TMA) and the overall presentation may mimic thrombotic thrombocytopenic purpura (TTP). This presents a dilemma of whether or not to initiate plasma exchange. Hypertensive urgencies may affect as many as 1% of all hypertensive patients and account for 3% of all emergency room visits, and a quarter of all medical emergencies. Given its high incidence, malignant hypertension, although uncommonly associated with TMA, is an important etiology. In malignant hypertension, the autoregulatory mechanism fails, resulting in damage to the vascular wall. Disruption of the vascular endothelium causes plasma constituents (</w:t>
      </w:r>
      <w:proofErr w:type="spellStart"/>
      <w:r w:rsidRPr="008E5D7B">
        <w:rPr>
          <w:color w:val="222222"/>
          <w:sz w:val="20"/>
          <w:szCs w:val="20"/>
          <w:shd w:val="clear" w:color="auto" w:fill="FFFFFF"/>
        </w:rPr>
        <w:t>Allinovi</w:t>
      </w:r>
      <w:proofErr w:type="spellEnd"/>
      <w:r w:rsidRPr="008E5D7B">
        <w:rPr>
          <w:color w:val="222222"/>
          <w:sz w:val="20"/>
          <w:szCs w:val="20"/>
          <w:shd w:val="clear" w:color="auto" w:fill="FFFFFF"/>
        </w:rPr>
        <w:t xml:space="preserve"> et al., 2025; Ikeda et al., 2024</w:t>
      </w:r>
      <w:r w:rsidRPr="008E5D7B">
        <w:rPr>
          <w:rFonts w:ascii="Cambria" w:hAnsi="Cambria"/>
          <w:color w:val="1B1B1B"/>
          <w:szCs w:val="28"/>
          <w:shd w:val="clear" w:color="auto" w:fill="FFFFFF"/>
        </w:rPr>
        <w:t xml:space="preserve">). </w:t>
      </w:r>
      <w:r w:rsidRPr="008E5D7B">
        <w:rPr>
          <w:rFonts w:ascii="Georgia" w:hAnsi="Georgia"/>
          <w:color w:val="1F1F1F"/>
        </w:rPr>
        <w:t>In clinical practice, it is often a diagnostic challenge to differentiate hypertension-associated TMA from complement-mediated disease. This is particularly the case in patients presenting without profound hemolysis and/or thrombocytopenia. If one refrains from a complete diagnostic work-up, including a comprehensive search for complement abnormalities, a subset of patients may progress to end-stage renal disease without receiving optimal treatment. Moreover, the correct diagnosis is of utmost importance to adopt suitable prophylactic measures prior to </w:t>
      </w:r>
      <w:hyperlink r:id="rId7" w:tooltip="Learn more about kidney transplantation from ScienceDirect's AI-generated Topic Pages" w:history="1">
        <w:r w:rsidRPr="008E5D7B">
          <w:rPr>
            <w:rStyle w:val="Hyperlink"/>
            <w:rFonts w:ascii="Georgia" w:hAnsi="Georgia"/>
            <w:color w:val="1F1F1F"/>
            <w:u w:val="none"/>
          </w:rPr>
          <w:t>kidney transplantation</w:t>
        </w:r>
      </w:hyperlink>
      <w:r>
        <w:t xml:space="preserve"> (</w:t>
      </w:r>
      <w:r>
        <w:rPr>
          <w:color w:val="222222"/>
          <w:sz w:val="20"/>
          <w:szCs w:val="20"/>
          <w:shd w:val="clear" w:color="auto" w:fill="FFFFFF"/>
        </w:rPr>
        <w:t>Timmermans et al., 2017</w:t>
      </w:r>
      <w:r>
        <w:t>)</w:t>
      </w:r>
      <w:r w:rsidRPr="008E5D7B">
        <w:rPr>
          <w:rFonts w:ascii="Georgia" w:hAnsi="Georgia"/>
          <w:color w:val="1F1F1F"/>
        </w:rPr>
        <w:t>.</w:t>
      </w:r>
    </w:p>
    <w:p w:rsidR="007157EF" w:rsidRPr="007157EF" w:rsidRDefault="007157EF">
      <w:pPr>
        <w:spacing w:before="240" w:after="240"/>
        <w:rPr>
          <w:rFonts w:ascii="Times New Roman" w:eastAsia="Times New Roman" w:hAnsi="Times New Roman" w:cs="Times New Roman"/>
          <w:b/>
          <w:sz w:val="28"/>
        </w:rPr>
      </w:pPr>
    </w:p>
    <w:p w:rsidR="00D07588" w:rsidRDefault="00A61B3F">
      <w:pPr>
        <w:pStyle w:val="Heading2"/>
        <w:keepNext w:val="0"/>
        <w:keepLines w:val="0"/>
        <w:spacing w:after="80"/>
        <w:rPr>
          <w:rFonts w:ascii="Times New Roman" w:eastAsia="Times New Roman" w:hAnsi="Times New Roman" w:cs="Times New Roman"/>
          <w:b/>
          <w:sz w:val="34"/>
          <w:szCs w:val="34"/>
        </w:rPr>
      </w:pPr>
      <w:bookmarkStart w:id="3" w:name="_rfj53lda51g" w:colFirst="0" w:colLast="0"/>
      <w:bookmarkEnd w:id="3"/>
      <w:r>
        <w:rPr>
          <w:rFonts w:ascii="Times New Roman" w:eastAsia="Times New Roman" w:hAnsi="Times New Roman" w:cs="Times New Roman"/>
          <w:b/>
          <w:sz w:val="34"/>
          <w:szCs w:val="34"/>
        </w:rPr>
        <w:lastRenderedPageBreak/>
        <w:t>Case Presentation</w:t>
      </w:r>
    </w:p>
    <w:p w:rsidR="00D07588" w:rsidRDefault="00A61B3F">
      <w:pPr>
        <w:spacing w:before="240" w:after="240"/>
        <w:rPr>
          <w:rFonts w:ascii="Times New Roman" w:eastAsia="Times New Roman" w:hAnsi="Times New Roman" w:cs="Times New Roman"/>
        </w:rPr>
      </w:pPr>
      <w:r>
        <w:rPr>
          <w:rFonts w:ascii="Times New Roman" w:eastAsia="Times New Roman" w:hAnsi="Times New Roman" w:cs="Times New Roman"/>
        </w:rPr>
        <w:t>A 34-year-old male, known hypertensive but non-compliant with medications for one year, presented to the emergency department with a two-day history of worsening dyspnea, cough, hemoptysis, severe headache, chest pain, and blurred vision. On admission, his blood pressure was 230/162 mmHg. Initial workup revealed significant end-organ damage.</w:t>
      </w:r>
    </w:p>
    <w:p w:rsidR="00D07588" w:rsidRDefault="00A61B3F">
      <w:pPr>
        <w:spacing w:before="240" w:after="240"/>
        <w:rPr>
          <w:rFonts w:ascii="Times New Roman" w:eastAsia="Times New Roman" w:hAnsi="Times New Roman" w:cs="Times New Roman"/>
        </w:rPr>
      </w:pPr>
      <w:r>
        <w:rPr>
          <w:rFonts w:ascii="Times New Roman" w:eastAsia="Times New Roman" w:hAnsi="Times New Roman" w:cs="Times New Roman"/>
        </w:rPr>
        <w:t>Troponin T was elevated at 183 ng/L. ACS protocol was initiated with IV urapidil 12.5 mg stat, and the patient was shifted to ICU due to hypoxia (</w:t>
      </w:r>
      <w:proofErr w:type="spellStart"/>
      <w:r>
        <w:rPr>
          <w:rFonts w:ascii="Times New Roman" w:eastAsia="Times New Roman" w:hAnsi="Times New Roman" w:cs="Times New Roman"/>
        </w:rPr>
        <w:t>SpO</w:t>
      </w:r>
      <w:proofErr w:type="spellEnd"/>
      <w:r>
        <w:rPr>
          <w:rFonts w:ascii="Times New Roman" w:eastAsia="Times New Roman" w:hAnsi="Times New Roman" w:cs="Times New Roman"/>
        </w:rPr>
        <w:t>₂ 92% requiring oxygen).</w:t>
      </w:r>
    </w:p>
    <w:p w:rsidR="00D07588" w:rsidRDefault="00A61B3F">
      <w:pPr>
        <w:spacing w:before="240" w:after="240"/>
        <w:rPr>
          <w:rFonts w:ascii="Times New Roman" w:eastAsia="Times New Roman" w:hAnsi="Times New Roman" w:cs="Times New Roman"/>
          <w:b/>
        </w:rPr>
      </w:pPr>
      <w:r>
        <w:rPr>
          <w:rFonts w:ascii="Times New Roman" w:eastAsia="Times New Roman" w:hAnsi="Times New Roman" w:cs="Times New Roman"/>
          <w:b/>
        </w:rPr>
        <w:t>Clinical Findings:</w:t>
      </w:r>
    </w:p>
    <w:p w:rsidR="00D07588" w:rsidRDefault="00A61B3F">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rPr>
        <w:t xml:space="preserve">BP: 230/162 mmHg, Pulse: 91 bpm, RR: 21/min, </w:t>
      </w:r>
      <w:proofErr w:type="spellStart"/>
      <w:r>
        <w:rPr>
          <w:rFonts w:ascii="Times New Roman" w:eastAsia="Times New Roman" w:hAnsi="Times New Roman" w:cs="Times New Roman"/>
        </w:rPr>
        <w:t>SpO</w:t>
      </w:r>
      <w:proofErr w:type="spellEnd"/>
      <w:r>
        <w:rPr>
          <w:rFonts w:ascii="Times New Roman" w:eastAsia="Times New Roman" w:hAnsi="Times New Roman" w:cs="Times New Roman"/>
        </w:rPr>
        <w:t>₂: 92% (room air)</w:t>
      </w:r>
    </w:p>
    <w:p w:rsidR="00D07588" w:rsidRDefault="00A61B3F">
      <w:pPr>
        <w:numPr>
          <w:ilvl w:val="0"/>
          <w:numId w:val="3"/>
        </w:numPr>
        <w:spacing w:after="240"/>
        <w:rPr>
          <w:rFonts w:ascii="Times New Roman" w:eastAsia="Times New Roman" w:hAnsi="Times New Roman" w:cs="Times New Roman"/>
        </w:rPr>
      </w:pPr>
      <w:r>
        <w:rPr>
          <w:rFonts w:ascii="Times New Roman" w:eastAsia="Times New Roman" w:hAnsi="Times New Roman" w:cs="Times New Roman"/>
        </w:rPr>
        <w:t>ECG: Severe LVH with ST changes; Echocardiography: LVH (21 mm), left atrial dilation, diastolic dysfunction, mild pericardial effusion, EF 50%.</w:t>
      </w:r>
    </w:p>
    <w:p w:rsidR="00D07588" w:rsidRDefault="00D07588">
      <w:pPr>
        <w:spacing w:before="240" w:after="240"/>
        <w:rPr>
          <w:rFonts w:ascii="Times New Roman" w:eastAsia="Times New Roman" w:hAnsi="Times New Roman" w:cs="Times New Roman"/>
        </w:rPr>
      </w:pPr>
    </w:p>
    <w:p w:rsidR="00D07588" w:rsidRDefault="00D07588">
      <w:pPr>
        <w:spacing w:before="240" w:after="240"/>
        <w:rPr>
          <w:rFonts w:ascii="Times New Roman" w:eastAsia="Times New Roman" w:hAnsi="Times New Roman" w:cs="Times New Roman"/>
        </w:rPr>
      </w:pPr>
    </w:p>
    <w:p w:rsidR="00D07588" w:rsidRDefault="00A61B3F">
      <w:pPr>
        <w:spacing w:before="240" w:after="240"/>
        <w:rPr>
          <w:rFonts w:ascii="Times New Roman" w:eastAsia="Times New Roman" w:hAnsi="Times New Roman" w:cs="Times New Roman"/>
          <w:b/>
        </w:rPr>
      </w:pPr>
      <w:r>
        <w:rPr>
          <w:rFonts w:ascii="Times New Roman" w:eastAsia="Times New Roman" w:hAnsi="Times New Roman" w:cs="Times New Roman"/>
          <w:b/>
        </w:rPr>
        <w:t>Laboratory Investigations:</w:t>
      </w:r>
    </w:p>
    <w:tbl>
      <w:tblPr>
        <w:tblStyle w:val="a"/>
        <w:tblW w:w="5475" w:type="dxa"/>
        <w:tblInd w:w="15" w:type="dxa"/>
        <w:tblLayout w:type="fixed"/>
        <w:tblLook w:val="0600" w:firstRow="0" w:lastRow="0" w:firstColumn="0" w:lastColumn="0" w:noHBand="1" w:noVBand="1"/>
      </w:tblPr>
      <w:tblGrid>
        <w:gridCol w:w="2520"/>
        <w:gridCol w:w="990"/>
        <w:gridCol w:w="1965"/>
      </w:tblGrid>
      <w:tr w:rsidR="00D07588">
        <w:trPr>
          <w:trHeight w:val="500"/>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jc w:val="center"/>
              <w:rPr>
                <w:rFonts w:ascii="Times New Roman" w:eastAsia="Times New Roman" w:hAnsi="Times New Roman" w:cs="Times New Roman"/>
              </w:rPr>
            </w:pPr>
            <w:r>
              <w:rPr>
                <w:rFonts w:ascii="Times New Roman" w:eastAsia="Times New Roman" w:hAnsi="Times New Roman" w:cs="Times New Roman"/>
                <w:b/>
              </w:rPr>
              <w:t>Test</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jc w:val="center"/>
              <w:rPr>
                <w:rFonts w:ascii="Times New Roman" w:eastAsia="Times New Roman" w:hAnsi="Times New Roman" w:cs="Times New Roman"/>
              </w:rPr>
            </w:pPr>
            <w:r>
              <w:rPr>
                <w:rFonts w:ascii="Times New Roman" w:eastAsia="Times New Roman" w:hAnsi="Times New Roman" w:cs="Times New Roman"/>
                <w:b/>
              </w:rPr>
              <w:t>Value</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jc w:val="center"/>
              <w:rPr>
                <w:rFonts w:ascii="Times New Roman" w:eastAsia="Times New Roman" w:hAnsi="Times New Roman" w:cs="Times New Roman"/>
              </w:rPr>
            </w:pPr>
            <w:r>
              <w:rPr>
                <w:rFonts w:ascii="Times New Roman" w:eastAsia="Times New Roman" w:hAnsi="Times New Roman" w:cs="Times New Roman"/>
                <w:b/>
              </w:rPr>
              <w:t>Reference Range</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Creatinine (mg/dL)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6.21↑</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0.6–1.2</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Urea (mg/dL)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131.5↑</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7–20</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eGFR (mL/min/1.73m²)</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10.4↓</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&gt;90</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Sodium (mmol/L)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128.9↓</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135–145</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Potassium (mmol/L)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3.1↓</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3.5–5.0</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Chloride (mmol/L)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93↓</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98–107</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LDH (U/L)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715↑</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140–280</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Platelets (×10³/</w:t>
            </w:r>
            <w:proofErr w:type="spellStart"/>
            <w:r>
              <w:rPr>
                <w:rFonts w:ascii="Times New Roman" w:eastAsia="Times New Roman" w:hAnsi="Times New Roman" w:cs="Times New Roman"/>
              </w:rPr>
              <w:t>μL</w:t>
            </w:r>
            <w:proofErr w:type="spellEnd"/>
            <w:r>
              <w:rPr>
                <w:rFonts w:ascii="Times New Roman" w:eastAsia="Times New Roman" w:hAnsi="Times New Roman" w:cs="Times New Roman"/>
              </w:rPr>
              <w:t>)</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72↓</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150–450</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lastRenderedPageBreak/>
              <w:t>Hemoglobin (g/dL)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11↓</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13.8–17.2</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Ferritin (ng/mL)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1001↑</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24–336</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Reticulocyte (%)</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4.21↑</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0.5–2.5</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D-Dimer (ng/mL)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2451↑</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&lt;500</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Troponin-T (ng/L)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183↑</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&lt;14</w:t>
            </w:r>
          </w:p>
        </w:tc>
      </w:tr>
      <w:tr w:rsidR="00D07588">
        <w:trPr>
          <w:trHeight w:val="515"/>
        </w:trPr>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proofErr w:type="spellStart"/>
            <w:r>
              <w:rPr>
                <w:rFonts w:ascii="Times New Roman" w:eastAsia="Times New Roman" w:hAnsi="Times New Roman" w:cs="Times New Roman"/>
              </w:rPr>
              <w:t>proBNP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/mL)</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Cardo" w:eastAsia="Cardo" w:hAnsi="Cardo" w:cs="Cardo"/>
              </w:rPr>
              <w:t>&gt;9000↑</w:t>
            </w:r>
          </w:p>
        </w:tc>
        <w:tc>
          <w:tcPr>
            <w:tcW w:w="1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07588" w:rsidRDefault="00A61B3F">
            <w:pPr>
              <w:rPr>
                <w:rFonts w:ascii="Times New Roman" w:eastAsia="Times New Roman" w:hAnsi="Times New Roman" w:cs="Times New Roman"/>
              </w:rPr>
            </w:pPr>
            <w:r>
              <w:rPr>
                <w:rFonts w:ascii="Times New Roman" w:eastAsia="Times New Roman" w:hAnsi="Times New Roman" w:cs="Times New Roman"/>
              </w:rPr>
              <w:t>&lt;125</w:t>
            </w:r>
          </w:p>
        </w:tc>
      </w:tr>
    </w:tbl>
    <w:p w:rsidR="00D07588" w:rsidRDefault="00A61B3F">
      <w:pPr>
        <w:spacing w:before="240" w:after="240"/>
        <w:rPr>
          <w:rFonts w:ascii="Times New Roman" w:eastAsia="Times New Roman" w:hAnsi="Times New Roman" w:cs="Times New Roman"/>
          <w:b/>
        </w:rPr>
      </w:pPr>
      <w:r>
        <w:rPr>
          <w:rFonts w:ascii="Times New Roman" w:eastAsia="Times New Roman" w:hAnsi="Times New Roman" w:cs="Times New Roman"/>
          <w:b/>
        </w:rPr>
        <w:t>Management:</w:t>
      </w:r>
    </w:p>
    <w:p w:rsidR="00D07588" w:rsidRDefault="00A61B3F">
      <w:pPr>
        <w:numPr>
          <w:ilvl w:val="0"/>
          <w:numId w:val="2"/>
        </w:numPr>
        <w:spacing w:before="240"/>
        <w:rPr>
          <w:rFonts w:ascii="Times New Roman" w:eastAsia="Times New Roman" w:hAnsi="Times New Roman" w:cs="Times New Roman"/>
        </w:rPr>
      </w:pPr>
      <w:r>
        <w:rPr>
          <w:rFonts w:ascii="Times New Roman" w:eastAsia="Times New Roman" w:hAnsi="Times New Roman" w:cs="Times New Roman"/>
        </w:rPr>
        <w:t>IV urapidil 12.5 mg stat followed by infusion.</w:t>
      </w:r>
    </w:p>
    <w:p w:rsidR="00D07588" w:rsidRDefault="00A61B3F">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Oral antihypertensives: </w:t>
      </w:r>
      <w:proofErr w:type="spellStart"/>
      <w:r>
        <w:rPr>
          <w:rFonts w:ascii="Times New Roman" w:eastAsia="Times New Roman" w:hAnsi="Times New Roman" w:cs="Times New Roman"/>
        </w:rPr>
        <w:t>moxonidine</w:t>
      </w:r>
      <w:proofErr w:type="spellEnd"/>
      <w:r>
        <w:rPr>
          <w:rFonts w:ascii="Times New Roman" w:eastAsia="Times New Roman" w:hAnsi="Times New Roman" w:cs="Times New Roman"/>
        </w:rPr>
        <w:t>, amlodipine, doxazosin.</w:t>
      </w:r>
    </w:p>
    <w:p w:rsidR="00D07588" w:rsidRDefault="00A61B3F">
      <w:pPr>
        <w:numPr>
          <w:ilvl w:val="0"/>
          <w:numId w:val="2"/>
        </w:numPr>
        <w:spacing w:after="240"/>
        <w:rPr>
          <w:rFonts w:ascii="Times New Roman" w:eastAsia="Times New Roman" w:hAnsi="Times New Roman" w:cs="Times New Roman"/>
        </w:rPr>
      </w:pPr>
      <w:r>
        <w:rPr>
          <w:rFonts w:ascii="Times New Roman" w:eastAsia="Times New Roman" w:hAnsi="Times New Roman" w:cs="Times New Roman"/>
        </w:rPr>
        <w:t>ICU admission with fluid restriction and renal-friendly diet.</w:t>
      </w:r>
    </w:p>
    <w:p w:rsidR="00D07588" w:rsidRDefault="00A61B3F">
      <w:pPr>
        <w:spacing w:before="240" w:after="240"/>
        <w:rPr>
          <w:rFonts w:ascii="Times New Roman" w:eastAsia="Times New Roman" w:hAnsi="Times New Roman" w:cs="Times New Roman"/>
          <w:b/>
        </w:rPr>
      </w:pPr>
      <w:r>
        <w:rPr>
          <w:rFonts w:ascii="Times New Roman" w:eastAsia="Times New Roman" w:hAnsi="Times New Roman" w:cs="Times New Roman"/>
          <w:b/>
        </w:rPr>
        <w:t>Nephrology Evaluation:</w:t>
      </w:r>
    </w:p>
    <w:p w:rsidR="00D07588" w:rsidRDefault="00A61B3F">
      <w:pPr>
        <w:numPr>
          <w:ilvl w:val="0"/>
          <w:numId w:val="5"/>
        </w:numPr>
        <w:spacing w:before="240"/>
        <w:rPr>
          <w:rFonts w:ascii="Times New Roman" w:eastAsia="Times New Roman" w:hAnsi="Times New Roman" w:cs="Times New Roman"/>
        </w:rPr>
      </w:pPr>
      <w:r>
        <w:rPr>
          <w:rFonts w:ascii="Times New Roman" w:eastAsia="Times New Roman" w:hAnsi="Times New Roman" w:cs="Times New Roman"/>
        </w:rPr>
        <w:t>Urinalysis: 2+ blood, 3+ urobilinogen, 20–25 RBCs, microalbumin 2768.9 mg/dL, protein-creatinine ratio 4259.8 mg/g.</w:t>
      </w:r>
    </w:p>
    <w:p w:rsidR="00D07588" w:rsidRDefault="00A61B3F">
      <w:pPr>
        <w:numPr>
          <w:ilvl w:val="0"/>
          <w:numId w:val="5"/>
        </w:numPr>
        <w:rPr>
          <w:rFonts w:ascii="Times New Roman" w:eastAsia="Times New Roman" w:hAnsi="Times New Roman" w:cs="Times New Roman"/>
        </w:rPr>
      </w:pPr>
      <w:r>
        <w:rPr>
          <w:rFonts w:ascii="Times New Roman" w:eastAsia="Times New Roman" w:hAnsi="Times New Roman" w:cs="Times New Roman"/>
        </w:rPr>
        <w:t>ANA speckled positive, C3/C4 normal.</w:t>
      </w:r>
    </w:p>
    <w:p w:rsidR="00D07588" w:rsidRDefault="00A61B3F">
      <w:pPr>
        <w:numPr>
          <w:ilvl w:val="0"/>
          <w:numId w:val="5"/>
        </w:numPr>
        <w:rPr>
          <w:rFonts w:ascii="Times New Roman" w:eastAsia="Times New Roman" w:hAnsi="Times New Roman" w:cs="Times New Roman"/>
        </w:rPr>
      </w:pPr>
      <w:r>
        <w:rPr>
          <w:rFonts w:ascii="Times New Roman" w:eastAsia="Times New Roman" w:hAnsi="Times New Roman" w:cs="Times New Roman"/>
        </w:rPr>
        <w:t>USG KUB: Bilaterally reduced renal size, increased echogenicity, loss of cortico-medullary differentiation.</w:t>
      </w:r>
    </w:p>
    <w:p w:rsidR="00D07588" w:rsidRDefault="00A61B3F">
      <w:pPr>
        <w:numPr>
          <w:ilvl w:val="0"/>
          <w:numId w:val="5"/>
        </w:numPr>
        <w:spacing w:after="240"/>
        <w:rPr>
          <w:rFonts w:ascii="Times New Roman" w:eastAsia="Times New Roman" w:hAnsi="Times New Roman" w:cs="Times New Roman"/>
        </w:rPr>
      </w:pPr>
      <w:r>
        <w:rPr>
          <w:rFonts w:ascii="Times New Roman" w:eastAsia="Times New Roman" w:hAnsi="Times New Roman" w:cs="Times New Roman"/>
        </w:rPr>
        <w:t>Diagnosis: AKI secondary to MH.</w:t>
      </w:r>
    </w:p>
    <w:p w:rsidR="00D07588" w:rsidRDefault="00A61B3F">
      <w:pPr>
        <w:spacing w:before="240" w:after="240"/>
        <w:rPr>
          <w:rFonts w:ascii="Times New Roman" w:eastAsia="Times New Roman" w:hAnsi="Times New Roman" w:cs="Times New Roman"/>
          <w:b/>
        </w:rPr>
      </w:pPr>
      <w:r>
        <w:rPr>
          <w:rFonts w:ascii="Times New Roman" w:eastAsia="Times New Roman" w:hAnsi="Times New Roman" w:cs="Times New Roman"/>
          <w:b/>
        </w:rPr>
        <w:t>Ophthalmology Evaluation:</w:t>
      </w:r>
    </w:p>
    <w:p w:rsidR="00D07588" w:rsidRDefault="00A61B3F">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rPr>
        <w:t>Grade IV hypertensive retinopathy with macular edema, cotton wool spots, flame-shaped hemorrhages, macular star formation. (</w:t>
      </w:r>
      <w:r>
        <w:rPr>
          <w:rFonts w:ascii="Times New Roman" w:eastAsia="Times New Roman" w:hAnsi="Times New Roman" w:cs="Times New Roman"/>
          <w:b/>
        </w:rPr>
        <w:t>Figure 1</w:t>
      </w:r>
      <w:r>
        <w:rPr>
          <w:rFonts w:ascii="Times New Roman" w:eastAsia="Times New Roman" w:hAnsi="Times New Roman" w:cs="Times New Roman"/>
        </w:rPr>
        <w:t>).</w:t>
      </w:r>
    </w:p>
    <w:p w:rsidR="00D07588" w:rsidRDefault="00A61B3F">
      <w:pPr>
        <w:numPr>
          <w:ilvl w:val="0"/>
          <w:numId w:val="1"/>
        </w:numPr>
        <w:spacing w:after="240"/>
        <w:rPr>
          <w:rFonts w:ascii="Times New Roman" w:eastAsia="Times New Roman" w:hAnsi="Times New Roman" w:cs="Times New Roman"/>
        </w:rPr>
      </w:pPr>
      <w:r>
        <w:rPr>
          <w:rFonts w:ascii="Times New Roman" w:eastAsia="Times New Roman" w:hAnsi="Times New Roman" w:cs="Times New Roman"/>
        </w:rPr>
        <w:t xml:space="preserve">Topical </w:t>
      </w:r>
      <w:proofErr w:type="spellStart"/>
      <w:r>
        <w:rPr>
          <w:rFonts w:ascii="Times New Roman" w:eastAsia="Times New Roman" w:hAnsi="Times New Roman" w:cs="Times New Roman"/>
        </w:rPr>
        <w:t>Bromfenac</w:t>
      </w:r>
      <w:proofErr w:type="spellEnd"/>
      <w:r>
        <w:rPr>
          <w:rFonts w:ascii="Times New Roman" w:eastAsia="Times New Roman" w:hAnsi="Times New Roman" w:cs="Times New Roman"/>
        </w:rPr>
        <w:t xml:space="preserve"> initiated, blood pressure control emphasized.</w:t>
      </w:r>
    </w:p>
    <w:p w:rsidR="00D07588" w:rsidRDefault="00A61B3F">
      <w:pPr>
        <w:spacing w:before="240" w:after="240"/>
        <w:rPr>
          <w:rFonts w:ascii="Times New Roman" w:eastAsia="Times New Roman" w:hAnsi="Times New Roman" w:cs="Times New Roman"/>
          <w:b/>
        </w:rPr>
      </w:pPr>
      <w:r>
        <w:rPr>
          <w:rFonts w:ascii="Times New Roman" w:eastAsia="Times New Roman" w:hAnsi="Times New Roman" w:cs="Times New Roman"/>
          <w:b/>
        </w:rPr>
        <w:t>Hematology Workup:</w:t>
      </w:r>
    </w:p>
    <w:p w:rsidR="00D07588" w:rsidRDefault="00A61B3F">
      <w:pPr>
        <w:numPr>
          <w:ilvl w:val="0"/>
          <w:numId w:val="4"/>
        </w:numPr>
        <w:spacing w:before="240"/>
        <w:rPr>
          <w:rFonts w:ascii="Times New Roman" w:eastAsia="Times New Roman" w:hAnsi="Times New Roman" w:cs="Times New Roman"/>
        </w:rPr>
      </w:pPr>
      <w:r>
        <w:rPr>
          <w:rFonts w:ascii="Times New Roman" w:eastAsia="Times New Roman" w:hAnsi="Times New Roman" w:cs="Times New Roman"/>
        </w:rPr>
        <w:t xml:space="preserve">Peripheral smear: Normocytic normochromic RBCs, schistocytes &gt;1%, </w:t>
      </w:r>
      <w:proofErr w:type="spellStart"/>
      <w:r>
        <w:rPr>
          <w:rFonts w:ascii="Times New Roman" w:eastAsia="Times New Roman" w:hAnsi="Times New Roman" w:cs="Times New Roman"/>
        </w:rPr>
        <w:t>microspherocytes</w:t>
      </w:r>
      <w:proofErr w:type="spellEnd"/>
      <w:r>
        <w:rPr>
          <w:rFonts w:ascii="Times New Roman" w:eastAsia="Times New Roman" w:hAnsi="Times New Roman" w:cs="Times New Roman"/>
        </w:rPr>
        <w:t>, polychromatic cells. (</w:t>
      </w:r>
      <w:r>
        <w:rPr>
          <w:rFonts w:ascii="Times New Roman" w:eastAsia="Times New Roman" w:hAnsi="Times New Roman" w:cs="Times New Roman"/>
          <w:b/>
        </w:rPr>
        <w:t>Figure 2</w:t>
      </w:r>
      <w:r>
        <w:rPr>
          <w:rFonts w:ascii="Times New Roman" w:eastAsia="Times New Roman" w:hAnsi="Times New Roman" w:cs="Times New Roman"/>
        </w:rPr>
        <w:t>)</w:t>
      </w:r>
    </w:p>
    <w:p w:rsidR="00D07588" w:rsidRDefault="00A61B3F">
      <w:pPr>
        <w:numPr>
          <w:ilvl w:val="0"/>
          <w:numId w:val="4"/>
        </w:numPr>
        <w:rPr>
          <w:rFonts w:ascii="Times New Roman" w:eastAsia="Times New Roman" w:hAnsi="Times New Roman" w:cs="Times New Roman"/>
        </w:rPr>
      </w:pPr>
      <w:r>
        <w:rPr>
          <w:rFonts w:ascii="Times New Roman" w:eastAsia="Times New Roman" w:hAnsi="Times New Roman" w:cs="Times New Roman"/>
        </w:rPr>
        <w:t>Platelets: 80 ×10³/</w:t>
      </w:r>
      <w:proofErr w:type="spellStart"/>
      <w:r>
        <w:rPr>
          <w:rFonts w:ascii="Times New Roman" w:eastAsia="Times New Roman" w:hAnsi="Times New Roman" w:cs="Times New Roman"/>
        </w:rPr>
        <w:t>μL</w:t>
      </w:r>
      <w:proofErr w:type="spellEnd"/>
      <w:r>
        <w:rPr>
          <w:rFonts w:ascii="Times New Roman" w:eastAsia="Times New Roman" w:hAnsi="Times New Roman" w:cs="Times New Roman"/>
        </w:rPr>
        <w:t>.</w:t>
      </w:r>
    </w:p>
    <w:p w:rsidR="00D07588" w:rsidRDefault="00A61B3F">
      <w:pPr>
        <w:numPr>
          <w:ilvl w:val="0"/>
          <w:numId w:val="4"/>
        </w:numPr>
        <w:spacing w:after="240"/>
        <w:rPr>
          <w:rFonts w:ascii="Times New Roman" w:eastAsia="Times New Roman" w:hAnsi="Times New Roman" w:cs="Times New Roman"/>
        </w:rPr>
      </w:pPr>
      <w:r>
        <w:rPr>
          <w:rFonts w:ascii="Times New Roman" w:eastAsia="Times New Roman" w:hAnsi="Times New Roman" w:cs="Times New Roman"/>
        </w:rPr>
        <w:t>Diagnosis: MAHA secondary to malignant hypertension.</w:t>
      </w:r>
    </w:p>
    <w:p w:rsidR="00D07588" w:rsidRDefault="00A61B3F">
      <w:pPr>
        <w:spacing w:before="240" w:after="240"/>
        <w:rPr>
          <w:rFonts w:ascii="Times New Roman" w:eastAsia="Times New Roman" w:hAnsi="Times New Roman" w:cs="Times New Roman"/>
        </w:rPr>
      </w:pPr>
      <w:r>
        <w:rPr>
          <w:noProof/>
        </w:rPr>
        <w:lastRenderedPageBreak/>
        <w:drawing>
          <wp:anchor distT="114300" distB="114300" distL="114300" distR="114300" simplePos="0" relativeHeight="251658240" behindDoc="0" locked="0" layoutInCell="1" hidden="0" allowOverlap="1">
            <wp:simplePos x="0" y="0"/>
            <wp:positionH relativeFrom="column">
              <wp:posOffset>3200400</wp:posOffset>
            </wp:positionH>
            <wp:positionV relativeFrom="paragraph">
              <wp:posOffset>114300</wp:posOffset>
            </wp:positionV>
            <wp:extent cx="2238375" cy="2390775"/>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15415" b="6472"/>
                    <a:stretch>
                      <a:fillRect/>
                    </a:stretch>
                  </pic:blipFill>
                  <pic:spPr>
                    <a:xfrm>
                      <a:off x="0" y="0"/>
                      <a:ext cx="2238375" cy="239077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114300</wp:posOffset>
            </wp:positionH>
            <wp:positionV relativeFrom="paragraph">
              <wp:posOffset>114300</wp:posOffset>
            </wp:positionV>
            <wp:extent cx="2486025" cy="2390775"/>
            <wp:effectExtent l="0" t="0" r="0" b="0"/>
            <wp:wrapSquare wrapText="bothSides" distT="114300" distB="11430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r="5090"/>
                    <a:stretch>
                      <a:fillRect/>
                    </a:stretch>
                  </pic:blipFill>
                  <pic:spPr>
                    <a:xfrm>
                      <a:off x="0" y="0"/>
                      <a:ext cx="2486025" cy="2390775"/>
                    </a:xfrm>
                    <a:prstGeom prst="rect">
                      <a:avLst/>
                    </a:prstGeom>
                    <a:ln/>
                  </pic:spPr>
                </pic:pic>
              </a:graphicData>
            </a:graphic>
          </wp:anchor>
        </w:drawing>
      </w:r>
    </w:p>
    <w:p w:rsidR="00D07588" w:rsidRDefault="00D07588">
      <w:pPr>
        <w:spacing w:before="240" w:after="240"/>
        <w:rPr>
          <w:rFonts w:ascii="Times New Roman" w:eastAsia="Times New Roman" w:hAnsi="Times New Roman" w:cs="Times New Roman"/>
          <w:b/>
        </w:rPr>
      </w:pPr>
    </w:p>
    <w:p w:rsidR="00D07588" w:rsidRDefault="00D07588">
      <w:pPr>
        <w:spacing w:before="240" w:after="240"/>
        <w:rPr>
          <w:rFonts w:ascii="Times New Roman" w:eastAsia="Times New Roman" w:hAnsi="Times New Roman" w:cs="Times New Roman"/>
          <w:b/>
        </w:rPr>
      </w:pPr>
    </w:p>
    <w:p w:rsidR="00D07588" w:rsidRDefault="00D07588">
      <w:pPr>
        <w:spacing w:before="240" w:after="240"/>
        <w:rPr>
          <w:rFonts w:ascii="Times New Roman" w:eastAsia="Times New Roman" w:hAnsi="Times New Roman" w:cs="Times New Roman"/>
          <w:b/>
        </w:rPr>
      </w:pPr>
    </w:p>
    <w:p w:rsidR="00D07588" w:rsidRDefault="00D07588">
      <w:pPr>
        <w:spacing w:before="240" w:after="240"/>
        <w:rPr>
          <w:rFonts w:ascii="Times New Roman" w:eastAsia="Times New Roman" w:hAnsi="Times New Roman" w:cs="Times New Roman"/>
          <w:b/>
        </w:rPr>
      </w:pPr>
    </w:p>
    <w:p w:rsidR="00D07588" w:rsidRDefault="00D07588">
      <w:pPr>
        <w:spacing w:before="240" w:after="240"/>
        <w:rPr>
          <w:rFonts w:ascii="Times New Roman" w:eastAsia="Times New Roman" w:hAnsi="Times New Roman" w:cs="Times New Roman"/>
          <w:b/>
        </w:rPr>
      </w:pPr>
    </w:p>
    <w:p w:rsidR="00D07588" w:rsidRDefault="005A6589">
      <w:pPr>
        <w:spacing w:before="240" w:after="240"/>
        <w:rPr>
          <w:rFonts w:ascii="Times New Roman" w:eastAsia="Times New Roman" w:hAnsi="Times New Roman" w:cs="Times New Roman"/>
          <w:b/>
        </w:rPr>
      </w:pPr>
      <w:r>
        <w:rPr>
          <w:noProof/>
        </w:rPr>
        <mc:AlternateContent>
          <mc:Choice Requires="wps">
            <w:drawing>
              <wp:anchor distT="114300" distB="114300" distL="114300" distR="114300" simplePos="0" relativeHeight="251660288" behindDoc="0" locked="0" layoutInCell="1" hidden="0" allowOverlap="1">
                <wp:simplePos x="0" y="0"/>
                <wp:positionH relativeFrom="column">
                  <wp:posOffset>14605</wp:posOffset>
                </wp:positionH>
                <wp:positionV relativeFrom="paragraph">
                  <wp:posOffset>478155</wp:posOffset>
                </wp:positionV>
                <wp:extent cx="2823210" cy="548640"/>
                <wp:effectExtent l="0" t="0" r="0" b="0"/>
                <wp:wrapSquare wrapText="bothSides" distT="114300" distB="114300" distL="114300" distR="114300"/>
                <wp:docPr id="2" name="Rectangle 2"/>
                <wp:cNvGraphicFramePr/>
                <a:graphic xmlns:a="http://schemas.openxmlformats.org/drawingml/2006/main">
                  <a:graphicData uri="http://schemas.microsoft.com/office/word/2010/wordprocessingShape">
                    <wps:wsp>
                      <wps:cNvSpPr/>
                      <wps:spPr>
                        <a:xfrm>
                          <a:off x="0" y="0"/>
                          <a:ext cx="2823210" cy="548640"/>
                        </a:xfrm>
                        <a:prstGeom prst="rect">
                          <a:avLst/>
                        </a:prstGeom>
                        <a:noFill/>
                        <a:ln>
                          <a:noFill/>
                        </a:ln>
                      </wps:spPr>
                      <wps:txbx>
                        <w:txbxContent>
                          <w:p w:rsidR="00D07588" w:rsidRDefault="00A61B3F">
                            <w:pPr>
                              <w:spacing w:line="240" w:lineRule="auto"/>
                              <w:textDirection w:val="btLr"/>
                            </w:pPr>
                            <w:r>
                              <w:rPr>
                                <w:rFonts w:ascii="Times New Roman" w:eastAsia="Times New Roman" w:hAnsi="Times New Roman" w:cs="Times New Roman"/>
                                <w:color w:val="000000"/>
                              </w:rPr>
                              <w:t>Figure 1</w:t>
                            </w:r>
                            <w:r w:rsidR="002371CE">
                              <w:rPr>
                                <w:rFonts w:ascii="Times New Roman" w:eastAsia="Times New Roman" w:hAnsi="Times New Roman" w:cs="Times New Roman"/>
                                <w:color w:val="000000"/>
                              </w:rPr>
                              <w:t xml:space="preserve">. </w:t>
                            </w:r>
                            <w:r w:rsidR="005A6589">
                              <w:rPr>
                                <w:rFonts w:ascii="Times New Roman" w:eastAsia="Times New Roman" w:hAnsi="Times New Roman" w:cs="Times New Roman"/>
                              </w:rPr>
                              <w:t>Grade IV hypertensive retinopathy with macular edema</w:t>
                            </w:r>
                          </w:p>
                          <w:p w:rsidR="00D07588" w:rsidRDefault="00D07588">
                            <w:pPr>
                              <w:spacing w:line="240" w:lineRule="auto"/>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15pt;margin-top:37.65pt;width:222.3pt;height:43.2pt;z-index:25166028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" filled="f" stroked="f">
                <v:textbox inset="2.53958mm,2.53958mm,2.53958mm,2.53958mm">
                  <w:txbxContent>
                    <w:p w:rsidR="00D07588" w:rsidRDefault="00A61B3F">
                      <w:pPr>
                        <w:spacing w:line="240" w:lineRule="auto"/>
                        <w:textDirection w:val="btLr"/>
                      </w:pPr>
                      <w:r>
                        <w:rPr>
                          <w:rFonts w:ascii="Times New Roman" w:eastAsia="Times New Roman" w:hAnsi="Times New Roman" w:cs="Times New Roman"/>
                          <w:color w:val="000000"/>
                        </w:rPr>
                        <w:t>Figure 1</w:t>
                      </w:r>
                      <w:r w:rsidR="002371CE">
                        <w:rPr>
                          <w:rFonts w:ascii="Times New Roman" w:eastAsia="Times New Roman" w:hAnsi="Times New Roman" w:cs="Times New Roman"/>
                          <w:color w:val="000000"/>
                        </w:rPr>
                        <w:t xml:space="preserve">. </w:t>
                      </w:r>
                      <w:r w:rsidR="005A6589">
                        <w:rPr>
                          <w:rFonts w:ascii="Times New Roman" w:eastAsia="Times New Roman" w:hAnsi="Times New Roman" w:cs="Times New Roman"/>
                        </w:rPr>
                        <w:t>Grade IV hypertensive retinopathy with macular edema</w:t>
                      </w:r>
                    </w:p>
                    <w:p w:rsidR="00D07588" w:rsidRDefault="00D07588">
                      <w:pPr>
                        <w:spacing w:line="240" w:lineRule="auto"/>
                        <w:textDirection w:val="btLr"/>
                      </w:pPr>
                    </w:p>
                  </w:txbxContent>
                </v:textbox>
                <w10:wrap type="square"/>
              </v:rect>
            </w:pict>
          </mc:Fallback>
        </mc:AlternateContent>
      </w:r>
      <w:r>
        <w:rPr>
          <w:noProof/>
        </w:rPr>
        <mc:AlternateContent>
          <mc:Choice Requires="wps">
            <w:drawing>
              <wp:anchor distT="114300" distB="114300" distL="114300" distR="114300" simplePos="0" relativeHeight="251661312" behindDoc="0" locked="0" layoutInCell="1" hidden="0" allowOverlap="1">
                <wp:simplePos x="0" y="0"/>
                <wp:positionH relativeFrom="margin">
                  <wp:align>right</wp:align>
                </wp:positionH>
                <wp:positionV relativeFrom="paragraph">
                  <wp:posOffset>478155</wp:posOffset>
                </wp:positionV>
                <wp:extent cx="2750185" cy="415925"/>
                <wp:effectExtent l="0" t="0" r="0" b="0"/>
                <wp:wrapTopAndBottom distT="114300" distB="114300"/>
                <wp:docPr id="1" name="Rectangle 1"/>
                <wp:cNvGraphicFramePr/>
                <a:graphic xmlns:a="http://schemas.openxmlformats.org/drawingml/2006/main">
                  <a:graphicData uri="http://schemas.microsoft.com/office/word/2010/wordprocessingShape">
                    <wps:wsp>
                      <wps:cNvSpPr/>
                      <wps:spPr>
                        <a:xfrm>
                          <a:off x="0" y="0"/>
                          <a:ext cx="2750185" cy="415925"/>
                        </a:xfrm>
                        <a:prstGeom prst="rect">
                          <a:avLst/>
                        </a:prstGeom>
                        <a:noFill/>
                        <a:ln>
                          <a:noFill/>
                        </a:ln>
                      </wps:spPr>
                      <wps:txbx>
                        <w:txbxContent>
                          <w:p w:rsidR="00D07588" w:rsidRDefault="00A61B3F">
                            <w:pPr>
                              <w:spacing w:line="240" w:lineRule="auto"/>
                              <w:textDirection w:val="btLr"/>
                            </w:pPr>
                            <w:r>
                              <w:rPr>
                                <w:rFonts w:ascii="Times New Roman" w:eastAsia="Times New Roman" w:hAnsi="Times New Roman" w:cs="Times New Roman"/>
                                <w:color w:val="000000"/>
                              </w:rPr>
                              <w:t>Figure 2</w:t>
                            </w:r>
                            <w:r w:rsidR="002371CE">
                              <w:rPr>
                                <w:rFonts w:ascii="Times New Roman" w:eastAsia="Times New Roman" w:hAnsi="Times New Roman" w:cs="Times New Roman"/>
                                <w:color w:val="000000"/>
                              </w:rPr>
                              <w:t xml:space="preserve">. </w:t>
                            </w:r>
                            <w:r w:rsidR="005A6589">
                              <w:rPr>
                                <w:rFonts w:ascii="Times New Roman" w:eastAsia="Times New Roman" w:hAnsi="Times New Roman" w:cs="Times New Roman"/>
                              </w:rPr>
                              <w:t>Normocytic normochromic RBCs</w:t>
                            </w:r>
                          </w:p>
                          <w:p w:rsidR="00D07588" w:rsidRDefault="00D07588">
                            <w:pPr>
                              <w:spacing w:line="240" w:lineRule="auto"/>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165.35pt;margin-top:37.65pt;width:216.55pt;height:32.75pt;z-index:251661312;visibility:visible;mso-wrap-style:square;mso-width-percent:0;mso-height-percent:0;mso-wrap-distance-left:9pt;mso-wrap-distance-top:9pt;mso-wrap-distance-right:9pt;mso-wrap-distance-bottom:9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" filled="f" stroked="f">
                <v:textbox inset="2.53958mm,2.53958mm,2.53958mm,2.53958mm">
                  <w:txbxContent>
                    <w:p w:rsidR="00D07588" w:rsidRDefault="00A61B3F">
                      <w:pPr>
                        <w:spacing w:line="240" w:lineRule="auto"/>
                        <w:textDirection w:val="btLr"/>
                      </w:pPr>
                      <w:r>
                        <w:rPr>
                          <w:rFonts w:ascii="Times New Roman" w:eastAsia="Times New Roman" w:hAnsi="Times New Roman" w:cs="Times New Roman"/>
                          <w:color w:val="000000"/>
                        </w:rPr>
                        <w:t>Figure 2</w:t>
                      </w:r>
                      <w:r w:rsidR="002371CE">
                        <w:rPr>
                          <w:rFonts w:ascii="Times New Roman" w:eastAsia="Times New Roman" w:hAnsi="Times New Roman" w:cs="Times New Roman"/>
                          <w:color w:val="000000"/>
                        </w:rPr>
                        <w:t xml:space="preserve">. </w:t>
                      </w:r>
                      <w:r w:rsidR="005A6589">
                        <w:rPr>
                          <w:rFonts w:ascii="Times New Roman" w:eastAsia="Times New Roman" w:hAnsi="Times New Roman" w:cs="Times New Roman"/>
                        </w:rPr>
                        <w:t>Normocytic normochromic RBCs</w:t>
                      </w:r>
                    </w:p>
                    <w:p w:rsidR="00D07588" w:rsidRDefault="00D07588">
                      <w:pPr>
                        <w:spacing w:line="240" w:lineRule="auto"/>
                        <w:textDirection w:val="btLr"/>
                      </w:pPr>
                    </w:p>
                  </w:txbxContent>
                </v:textbox>
                <w10:wrap type="topAndBottom" anchorx="margin"/>
              </v:rect>
            </w:pict>
          </mc:Fallback>
        </mc:AlternateContent>
      </w:r>
    </w:p>
    <w:p w:rsidR="00D07588" w:rsidRDefault="00A61B3F">
      <w:pPr>
        <w:spacing w:before="240" w:after="240"/>
        <w:rPr>
          <w:rFonts w:ascii="Times New Roman" w:eastAsia="Times New Roman" w:hAnsi="Times New Roman" w:cs="Times New Roman"/>
        </w:rPr>
      </w:pPr>
      <w:r>
        <w:rPr>
          <w:rFonts w:ascii="Times New Roman" w:eastAsia="Times New Roman" w:hAnsi="Times New Roman" w:cs="Times New Roman"/>
          <w:b/>
        </w:rPr>
        <w:t>Outcome:</w:t>
      </w:r>
      <w:r>
        <w:rPr>
          <w:rFonts w:ascii="Times New Roman" w:eastAsia="Times New Roman" w:hAnsi="Times New Roman" w:cs="Times New Roman"/>
          <w:b/>
        </w:rPr>
        <w:br/>
      </w:r>
      <w:r>
        <w:rPr>
          <w:rFonts w:ascii="Times New Roman" w:eastAsia="Times New Roman" w:hAnsi="Times New Roman" w:cs="Times New Roman"/>
        </w:rPr>
        <w:t>After 7 days, BP stabilized at 151/99 mmHg, creatinine 6.94 mg/dL, eGFR 9.1 mL/min/1.73m², platelets normalized to 163 ×10³/</w:t>
      </w:r>
      <w:proofErr w:type="spellStart"/>
      <w:r>
        <w:rPr>
          <w:rFonts w:ascii="Times New Roman" w:eastAsia="Times New Roman" w:hAnsi="Times New Roman" w:cs="Times New Roman"/>
        </w:rPr>
        <w:t>μL</w:t>
      </w:r>
      <w:proofErr w:type="spellEnd"/>
      <w:r>
        <w:rPr>
          <w:rFonts w:ascii="Times New Roman" w:eastAsia="Times New Roman" w:hAnsi="Times New Roman" w:cs="Times New Roman"/>
        </w:rPr>
        <w:t>, LDH decreased to 594 U/L. Symptoms improved, and the patient was discharged on oral antihypertensives with follow-up.</w:t>
      </w:r>
    </w:p>
    <w:p w:rsidR="00D07588" w:rsidRDefault="00A61B3F">
      <w:pPr>
        <w:pStyle w:val="Heading3"/>
        <w:keepNext w:val="0"/>
        <w:keepLines w:val="0"/>
        <w:spacing w:before="280"/>
        <w:rPr>
          <w:rFonts w:ascii="Times New Roman" w:eastAsia="Times New Roman" w:hAnsi="Times New Roman" w:cs="Times New Roman"/>
          <w:b/>
          <w:color w:val="000000"/>
          <w:sz w:val="26"/>
          <w:szCs w:val="26"/>
        </w:rPr>
      </w:pPr>
      <w:bookmarkStart w:id="4" w:name="_mp1q5be1204" w:colFirst="0" w:colLast="0"/>
      <w:bookmarkEnd w:id="4"/>
      <w:r>
        <w:rPr>
          <w:rFonts w:ascii="Times New Roman" w:eastAsia="Times New Roman" w:hAnsi="Times New Roman" w:cs="Times New Roman"/>
          <w:b/>
          <w:color w:val="000000"/>
          <w:sz w:val="26"/>
          <w:szCs w:val="26"/>
        </w:rPr>
        <w:t>Discussion</w:t>
      </w:r>
    </w:p>
    <w:p w:rsidR="00D07588" w:rsidRDefault="00A61B3F">
      <w:pPr>
        <w:spacing w:before="240" w:after="240"/>
        <w:rPr>
          <w:rFonts w:ascii="Times New Roman" w:eastAsia="Times New Roman" w:hAnsi="Times New Roman" w:cs="Times New Roman"/>
        </w:rPr>
      </w:pPr>
      <w:r>
        <w:rPr>
          <w:rFonts w:ascii="Times New Roman" w:eastAsia="Times New Roman" w:hAnsi="Times New Roman" w:cs="Times New Roman"/>
        </w:rPr>
        <w:t>This case highlights a classic presentation of thrombotic microangiopathy (TMA) secondary to MH</w:t>
      </w:r>
      <w:r>
        <w:rPr>
          <w:rFonts w:ascii="Gungsuh" w:eastAsia="Gungsuh" w:hAnsi="Gungsuh" w:cs="Gungsuh"/>
        </w:rPr>
        <w:t xml:space="preserve">, defined by systolic BP ≥180 mmHg and diastolic ≥120 </w:t>
      </w:r>
      <w:proofErr w:type="gramStart"/>
      <w:r>
        <w:rPr>
          <w:rFonts w:ascii="Gungsuh" w:eastAsia="Gungsuh" w:hAnsi="Gungsuh" w:cs="Gungsuh"/>
        </w:rPr>
        <w:t>mmHg.¹</w:t>
      </w:r>
      <w:proofErr w:type="gramEnd"/>
      <w:r>
        <w:rPr>
          <w:rFonts w:ascii="Gungsuh" w:eastAsia="Gungsuh" w:hAnsi="Gungsuh" w:cs="Gungsuh"/>
        </w:rPr>
        <w:t xml:space="preserve"> TMA is characterized by thrombocytopenia, MAHA, and organ injury, commonly involving the kidneys.² Severe hypertension can precipitate endothelial damage, leading to mechanical stress on red blood cells and platelet aggregation.³</w:t>
      </w:r>
    </w:p>
    <w:p w:rsidR="00D07588" w:rsidRDefault="00A61B3F">
      <w:pPr>
        <w:spacing w:before="240" w:after="240"/>
        <w:rPr>
          <w:rFonts w:ascii="Times New Roman" w:eastAsia="Times New Roman" w:hAnsi="Times New Roman" w:cs="Times New Roman"/>
          <w:vertAlign w:val="superscript"/>
        </w:rPr>
      </w:pPr>
      <w:r>
        <w:rPr>
          <w:rFonts w:ascii="Times New Roman" w:eastAsia="Times New Roman" w:hAnsi="Times New Roman" w:cs="Times New Roman"/>
          <w:b/>
        </w:rPr>
        <w:t>Malignant hypertension</w:t>
      </w:r>
      <w:r>
        <w:rPr>
          <w:rFonts w:ascii="Times New Roman" w:eastAsia="Times New Roman" w:hAnsi="Times New Roman" w:cs="Times New Roman"/>
        </w:rPr>
        <w:t xml:space="preserve"> often presents with hypertensive retinopathy, including flame-shaped retinal hemorrhages, cotton wool spots, and papilledema.</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Grade IV retinopathy, as seen in our patient, correlates with high-risk vascular complications.</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MAHA in MH results from fibrinoid necrosis of arterioles and capillaries, causing red cell fragmentation and microvascular thrombosis.</w:t>
      </w:r>
      <w:r>
        <w:rPr>
          <w:rFonts w:ascii="Times New Roman" w:eastAsia="Times New Roman" w:hAnsi="Times New Roman" w:cs="Times New Roman"/>
          <w:vertAlign w:val="superscript"/>
        </w:rPr>
        <w:t>6</w:t>
      </w:r>
      <w:r>
        <w:rPr>
          <w:rFonts w:ascii="Times New Roman" w:eastAsia="Times New Roman" w:hAnsi="Times New Roman" w:cs="Times New Roman"/>
        </w:rPr>
        <w:t xml:space="preserve"> Activation of the renin-angiotensin-aldosterone system (RAAS) and endothelial dysfunction play central roles in this process.</w:t>
      </w:r>
      <w:r>
        <w:rPr>
          <w:rFonts w:ascii="Times New Roman" w:eastAsia="Times New Roman" w:hAnsi="Times New Roman" w:cs="Times New Roman"/>
          <w:vertAlign w:val="superscript"/>
        </w:rPr>
        <w:t>7</w:t>
      </w:r>
    </w:p>
    <w:p w:rsidR="00D07588" w:rsidRDefault="00A61B3F">
      <w:pPr>
        <w:spacing w:before="240" w:after="240"/>
        <w:rPr>
          <w:rFonts w:ascii="Times New Roman" w:eastAsia="Times New Roman" w:hAnsi="Times New Roman" w:cs="Times New Roman"/>
          <w:vertAlign w:val="superscript"/>
        </w:rPr>
      </w:pPr>
      <w:r>
        <w:rPr>
          <w:rFonts w:ascii="Times New Roman" w:eastAsia="Times New Roman" w:hAnsi="Times New Roman" w:cs="Times New Roman"/>
        </w:rPr>
        <w:t>Differentiating hypertensive TMA from thrombotic thrombocytopenic purpura (TTP) is critical, as management strategies differ.</w:t>
      </w:r>
      <w:r>
        <w:rPr>
          <w:rFonts w:ascii="Times New Roman" w:eastAsia="Times New Roman" w:hAnsi="Times New Roman" w:cs="Times New Roman"/>
          <w:vertAlign w:val="superscript"/>
        </w:rPr>
        <w:t>8</w:t>
      </w:r>
      <w:r>
        <w:rPr>
          <w:rFonts w:ascii="Times New Roman" w:eastAsia="Times New Roman" w:hAnsi="Times New Roman" w:cs="Times New Roman"/>
        </w:rPr>
        <w:t xml:space="preserve"> TTP typically requires urgent plasma exchange, whereas hypertensive TMA responds to aggressive blood pressure control.</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Our patient’s hematologic parameters improved with antihypertensives alone, without plasma exchange, confirming hypertensive TMA.</w:t>
      </w:r>
      <w:r>
        <w:rPr>
          <w:rFonts w:ascii="Times New Roman" w:eastAsia="Times New Roman" w:hAnsi="Times New Roman" w:cs="Times New Roman"/>
          <w:vertAlign w:val="superscript"/>
        </w:rPr>
        <w:t>4,10</w:t>
      </w:r>
    </w:p>
    <w:p w:rsidR="00D07588" w:rsidRDefault="00A61B3F">
      <w:pPr>
        <w:spacing w:before="240" w:after="240"/>
        <w:rPr>
          <w:rFonts w:ascii="Times New Roman" w:eastAsia="Times New Roman" w:hAnsi="Times New Roman" w:cs="Times New Roman"/>
        </w:rPr>
      </w:pPr>
      <w:r>
        <w:rPr>
          <w:rFonts w:ascii="Times New Roman" w:eastAsia="Times New Roman" w:hAnsi="Times New Roman" w:cs="Times New Roman"/>
        </w:rPr>
        <w:t xml:space="preserve">Renal involvement is a key determinant of </w:t>
      </w:r>
      <w:proofErr w:type="gramStart"/>
      <w:r>
        <w:rPr>
          <w:rFonts w:ascii="Times New Roman" w:eastAsia="Times New Roman" w:hAnsi="Times New Roman" w:cs="Times New Roman"/>
        </w:rPr>
        <w:t>prognosis.²</w:t>
      </w:r>
      <w:proofErr w:type="gramEnd"/>
      <w:r>
        <w:rPr>
          <w:rFonts w:ascii="Times New Roman" w:eastAsia="Times New Roman" w:hAnsi="Times New Roman" w:cs="Times New Roman"/>
        </w:rPr>
        <w:t xml:space="preserve"> Elevated creatinine, proteinuria, and reduced eGFR indicate significant microvascular injury. MAHA may exacerbate renal dysfunction through arteriolar occlusion and endothelial </w:t>
      </w:r>
      <w:proofErr w:type="gramStart"/>
      <w:r>
        <w:rPr>
          <w:rFonts w:ascii="Times New Roman" w:eastAsia="Times New Roman" w:hAnsi="Times New Roman" w:cs="Times New Roman"/>
        </w:rPr>
        <w:t>injury.¹</w:t>
      </w:r>
      <w:proofErr w:type="gramEnd"/>
      <w:r>
        <w:rPr>
          <w:rFonts w:ascii="Times New Roman" w:eastAsia="Times New Roman" w:hAnsi="Times New Roman" w:cs="Times New Roman"/>
        </w:rPr>
        <w:t xml:space="preserve">¹ Early recognition of MAHA using LDH, schistocytes, and platelet </w:t>
      </w:r>
      <w:r>
        <w:rPr>
          <w:rFonts w:ascii="Times New Roman" w:eastAsia="Times New Roman" w:hAnsi="Times New Roman" w:cs="Times New Roman"/>
        </w:rPr>
        <w:lastRenderedPageBreak/>
        <w:t>trends helps predict AKI progression.¹² Recent studies show that high BNP/NT-</w:t>
      </w:r>
      <w:proofErr w:type="spellStart"/>
      <w:r>
        <w:rPr>
          <w:rFonts w:ascii="Times New Roman" w:eastAsia="Times New Roman" w:hAnsi="Times New Roman" w:cs="Times New Roman"/>
        </w:rPr>
        <w:t>proBNP</w:t>
      </w:r>
      <w:proofErr w:type="spellEnd"/>
      <w:r>
        <w:rPr>
          <w:rFonts w:ascii="Times New Roman" w:eastAsia="Times New Roman" w:hAnsi="Times New Roman" w:cs="Times New Roman"/>
        </w:rPr>
        <w:t xml:space="preserve"> levels correlate with thrombotic risk and adverse cardiovascular outcomes in hypertensive crises.¹³</w:t>
      </w:r>
    </w:p>
    <w:p w:rsidR="00D07588" w:rsidRDefault="00A61B3F">
      <w:pPr>
        <w:spacing w:before="240" w:after="240"/>
        <w:rPr>
          <w:rFonts w:ascii="Times New Roman" w:eastAsia="Times New Roman" w:hAnsi="Times New Roman" w:cs="Times New Roman"/>
          <w:vertAlign w:val="superscript"/>
        </w:rPr>
      </w:pPr>
      <w:r>
        <w:rPr>
          <w:rFonts w:ascii="Times New Roman" w:eastAsia="Times New Roman" w:hAnsi="Times New Roman" w:cs="Times New Roman"/>
        </w:rPr>
        <w:t>Multidisciplinary management—including nephrology, cardiology, and ophthalmology—was crucial in stabilizing this patient.</w:t>
      </w:r>
      <w:r>
        <w:rPr>
          <w:rFonts w:ascii="Times New Roman" w:eastAsia="Times New Roman" w:hAnsi="Times New Roman" w:cs="Times New Roman"/>
          <w:vertAlign w:val="superscript"/>
        </w:rPr>
        <w:t>14,15</w:t>
      </w:r>
      <w:r>
        <w:rPr>
          <w:rFonts w:ascii="Times New Roman" w:eastAsia="Times New Roman" w:hAnsi="Times New Roman" w:cs="Times New Roman"/>
        </w:rPr>
        <w:t xml:space="preserve"> Timely fundoscopic evaluation facilitated early detection of severe </w:t>
      </w:r>
      <w:proofErr w:type="gramStart"/>
      <w:r>
        <w:rPr>
          <w:rFonts w:ascii="Times New Roman" w:eastAsia="Times New Roman" w:hAnsi="Times New Roman" w:cs="Times New Roman"/>
        </w:rPr>
        <w:t>retinopathy.⁵</w:t>
      </w:r>
      <w:proofErr w:type="gramEnd"/>
      <w:r>
        <w:rPr>
          <w:rFonts w:ascii="Times New Roman" w:eastAsia="Times New Roman" w:hAnsi="Times New Roman" w:cs="Times New Roman"/>
        </w:rPr>
        <w:t xml:space="preserve"> The choice of antihypertensives (urapidil, amlodipine, doxazosin, </w:t>
      </w:r>
      <w:proofErr w:type="spellStart"/>
      <w:r>
        <w:rPr>
          <w:rFonts w:ascii="Times New Roman" w:eastAsia="Times New Roman" w:hAnsi="Times New Roman" w:cs="Times New Roman"/>
        </w:rPr>
        <w:t>moxonidine</w:t>
      </w:r>
      <w:proofErr w:type="spellEnd"/>
      <w:r>
        <w:rPr>
          <w:rFonts w:ascii="Times New Roman" w:eastAsia="Times New Roman" w:hAnsi="Times New Roman" w:cs="Times New Roman"/>
        </w:rPr>
        <w:t>) aligns with current hypertensive emergency guidelines.</w:t>
      </w:r>
      <w:r>
        <w:rPr>
          <w:rFonts w:ascii="Times New Roman" w:eastAsia="Times New Roman" w:hAnsi="Times New Roman" w:cs="Times New Roman"/>
          <w:vertAlign w:val="superscript"/>
        </w:rPr>
        <w:t>16,17</w:t>
      </w:r>
      <w:r>
        <w:rPr>
          <w:rFonts w:ascii="Times New Roman" w:eastAsia="Times New Roman" w:hAnsi="Times New Roman" w:cs="Times New Roman"/>
        </w:rPr>
        <w:t xml:space="preserve"> Nutrition and fluid management also contributed to renal protection.</w:t>
      </w:r>
      <w:r>
        <w:rPr>
          <w:rFonts w:ascii="Times New Roman" w:eastAsia="Times New Roman" w:hAnsi="Times New Roman" w:cs="Times New Roman"/>
          <w:vertAlign w:val="superscript"/>
        </w:rPr>
        <w:t>18</w:t>
      </w:r>
    </w:p>
    <w:p w:rsidR="00D07588" w:rsidRDefault="00A61B3F">
      <w:pPr>
        <w:spacing w:before="240" w:after="240"/>
        <w:rPr>
          <w:rFonts w:ascii="Times New Roman" w:eastAsia="Times New Roman" w:hAnsi="Times New Roman" w:cs="Times New Roman"/>
        </w:rPr>
      </w:pPr>
      <w:r>
        <w:rPr>
          <w:rFonts w:ascii="Times New Roman" w:eastAsia="Times New Roman" w:hAnsi="Times New Roman" w:cs="Times New Roman"/>
        </w:rPr>
        <w:t xml:space="preserve">Literature supports that </w:t>
      </w:r>
      <w:r>
        <w:rPr>
          <w:rFonts w:ascii="Times New Roman" w:eastAsia="Times New Roman" w:hAnsi="Times New Roman" w:cs="Times New Roman"/>
          <w:b/>
        </w:rPr>
        <w:t>long-term outcomes</w:t>
      </w:r>
      <w:r>
        <w:rPr>
          <w:rFonts w:ascii="Times New Roman" w:eastAsia="Times New Roman" w:hAnsi="Times New Roman" w:cs="Times New Roman"/>
        </w:rPr>
        <w:t xml:space="preserve"> in malignant hypertension improve with early diagnosis, blood pressure control, and monitoring for TMA-related complications.</w:t>
      </w:r>
      <w:r>
        <w:rPr>
          <w:rFonts w:ascii="Times New Roman" w:eastAsia="Times New Roman" w:hAnsi="Times New Roman" w:cs="Times New Roman"/>
          <w:vertAlign w:val="superscript"/>
        </w:rPr>
        <w:t>19,20</w:t>
      </w:r>
      <w:r>
        <w:rPr>
          <w:rFonts w:ascii="Times New Roman" w:eastAsia="Times New Roman" w:hAnsi="Times New Roman" w:cs="Times New Roman"/>
        </w:rPr>
        <w:t xml:space="preserve"> This case emphasizes vigilance for MAHA and renal impairment in patients presenting with extreme BP elevations.</w:t>
      </w:r>
    </w:p>
    <w:p w:rsidR="00D07588" w:rsidRDefault="00D07588">
      <w:pPr>
        <w:rPr>
          <w:rFonts w:ascii="Times New Roman" w:eastAsia="Times New Roman" w:hAnsi="Times New Roman" w:cs="Times New Roman"/>
        </w:rPr>
      </w:pPr>
    </w:p>
    <w:p w:rsidR="00D07588" w:rsidRDefault="00A61B3F">
      <w:pPr>
        <w:pStyle w:val="Heading3"/>
        <w:keepNext w:val="0"/>
        <w:keepLines w:val="0"/>
        <w:spacing w:before="280"/>
        <w:rPr>
          <w:rFonts w:ascii="Times New Roman" w:eastAsia="Times New Roman" w:hAnsi="Times New Roman" w:cs="Times New Roman"/>
          <w:b/>
          <w:color w:val="000000"/>
          <w:sz w:val="26"/>
          <w:szCs w:val="26"/>
        </w:rPr>
      </w:pPr>
      <w:bookmarkStart w:id="5" w:name="_xoofaktsb88y" w:colFirst="0" w:colLast="0"/>
      <w:bookmarkEnd w:id="5"/>
      <w:r>
        <w:rPr>
          <w:rFonts w:ascii="Times New Roman" w:eastAsia="Times New Roman" w:hAnsi="Times New Roman" w:cs="Times New Roman"/>
          <w:b/>
          <w:color w:val="000000"/>
          <w:sz w:val="26"/>
          <w:szCs w:val="26"/>
        </w:rPr>
        <w:t>Conclusion</w:t>
      </w:r>
    </w:p>
    <w:p w:rsidR="00D07588" w:rsidRDefault="00A61B3F">
      <w:pPr>
        <w:spacing w:before="240" w:after="240"/>
        <w:rPr>
          <w:rFonts w:ascii="Times New Roman" w:eastAsia="Times New Roman" w:hAnsi="Times New Roman" w:cs="Times New Roman"/>
        </w:rPr>
      </w:pPr>
      <w:r>
        <w:rPr>
          <w:rFonts w:ascii="Times New Roman" w:eastAsia="Times New Roman" w:hAnsi="Times New Roman" w:cs="Times New Roman"/>
        </w:rPr>
        <w:t>In conclusion, malignant hypertension can induce TMA and MAHA, complicating AKI and end-organ injury. Early recognition through clinical examination, laboratory findings, and fundoscopic evaluation is crucial. Effective multidisciplinary management, focused on blood pressure control and supportive care, can prevent irreversible organ damage. This case underscores the importance of differentiating hypertensive TMA from TTP, guiding appropriate therapy, and monitoring for renal and retinal complications.</w:t>
      </w:r>
    </w:p>
    <w:p w:rsidR="00D07588" w:rsidRDefault="00D07588">
      <w:pPr>
        <w:rPr>
          <w:rFonts w:ascii="Times New Roman" w:eastAsia="Times New Roman" w:hAnsi="Times New Roman" w:cs="Times New Roman"/>
        </w:rPr>
      </w:pPr>
    </w:p>
    <w:p w:rsidR="00D07588" w:rsidRDefault="00A61B3F">
      <w:pPr>
        <w:pStyle w:val="Heading3"/>
        <w:keepNext w:val="0"/>
        <w:keepLines w:val="0"/>
        <w:spacing w:before="280"/>
        <w:rPr>
          <w:rFonts w:ascii="Times New Roman" w:eastAsia="Times New Roman" w:hAnsi="Times New Roman" w:cs="Times New Roman"/>
          <w:b/>
          <w:color w:val="000000"/>
          <w:sz w:val="26"/>
          <w:szCs w:val="26"/>
        </w:rPr>
      </w:pPr>
      <w:bookmarkStart w:id="6" w:name="_u948pujyb06k" w:colFirst="0" w:colLast="0"/>
      <w:bookmarkEnd w:id="6"/>
      <w:r>
        <w:rPr>
          <w:rFonts w:ascii="Times New Roman" w:eastAsia="Times New Roman" w:hAnsi="Times New Roman" w:cs="Times New Roman"/>
          <w:b/>
          <w:color w:val="000000"/>
          <w:sz w:val="26"/>
          <w:szCs w:val="26"/>
        </w:rPr>
        <w:t xml:space="preserve">References </w:t>
      </w:r>
    </w:p>
    <w:p w:rsidR="00D07588" w:rsidRDefault="00A61B3F">
      <w:pPr>
        <w:numPr>
          <w:ilvl w:val="0"/>
          <w:numId w:val="6"/>
        </w:numPr>
        <w:spacing w:before="240"/>
        <w:rPr>
          <w:rFonts w:ascii="Times New Roman" w:eastAsia="Times New Roman" w:hAnsi="Times New Roman" w:cs="Times New Roman"/>
        </w:rPr>
      </w:pPr>
      <w:r>
        <w:rPr>
          <w:rFonts w:ascii="Times New Roman" w:eastAsia="Times New Roman" w:hAnsi="Times New Roman" w:cs="Times New Roman"/>
        </w:rPr>
        <w:t>National Institute for Health and Care Excellence. Recommendations: Measuring blood pressure. NICE guidance NG136. Available at: https://www.nice.org.uk/guidance/ng136/chapter/Recommendations#measuring-blood-pressure. Accessed February 11, 2025.</w:t>
      </w:r>
    </w:p>
    <w:p w:rsidR="00D07588" w:rsidRDefault="00A61B3F">
      <w:pPr>
        <w:numPr>
          <w:ilvl w:val="0"/>
          <w:numId w:val="6"/>
        </w:numPr>
        <w:rPr>
          <w:rFonts w:ascii="Times New Roman" w:eastAsia="Times New Roman" w:hAnsi="Times New Roman" w:cs="Times New Roman"/>
        </w:rPr>
      </w:pPr>
      <w:proofErr w:type="spellStart"/>
      <w:r>
        <w:rPr>
          <w:rFonts w:ascii="Times New Roman" w:eastAsia="Times New Roman" w:hAnsi="Times New Roman" w:cs="Times New Roman"/>
        </w:rPr>
        <w:t>Brocklebank</w:t>
      </w:r>
      <w:proofErr w:type="spellEnd"/>
      <w:r>
        <w:rPr>
          <w:rFonts w:ascii="Times New Roman" w:eastAsia="Times New Roman" w:hAnsi="Times New Roman" w:cs="Times New Roman"/>
        </w:rPr>
        <w:t xml:space="preserve"> V, Wood KM, Kavanagh D. Thrombotic microangiopathy and the kidney. Clin J Am Soc </w:t>
      </w:r>
      <w:proofErr w:type="spellStart"/>
      <w:r>
        <w:rPr>
          <w:rFonts w:ascii="Times New Roman" w:eastAsia="Times New Roman" w:hAnsi="Times New Roman" w:cs="Times New Roman"/>
        </w:rPr>
        <w:t>Nephrol</w:t>
      </w:r>
      <w:proofErr w:type="spellEnd"/>
      <w:r>
        <w:rPr>
          <w:rFonts w:ascii="Times New Roman" w:eastAsia="Times New Roman" w:hAnsi="Times New Roman" w:cs="Times New Roman"/>
        </w:rPr>
        <w:t>. 2018;13(2):300–317. doi:10.2215/CJN.00620117</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Asano T, Mori H. Thrombotic microangiopathy due to malignant hypertension treated exclusively with antihypertensive therapy. </w:t>
      </w:r>
      <w:proofErr w:type="spellStart"/>
      <w:r>
        <w:rPr>
          <w:rFonts w:ascii="Times New Roman" w:eastAsia="Times New Roman" w:hAnsi="Times New Roman" w:cs="Times New Roman"/>
        </w:rPr>
        <w:t>Cureus</w:t>
      </w:r>
      <w:proofErr w:type="spellEnd"/>
      <w:r>
        <w:rPr>
          <w:rFonts w:ascii="Times New Roman" w:eastAsia="Times New Roman" w:hAnsi="Times New Roman" w:cs="Times New Roman"/>
        </w:rPr>
        <w:t>. 2022;14(2</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21835. doi:10.7759/cureus.21835</w:t>
      </w:r>
    </w:p>
    <w:p w:rsidR="00D07588" w:rsidRDefault="00A61B3F">
      <w:pPr>
        <w:numPr>
          <w:ilvl w:val="0"/>
          <w:numId w:val="6"/>
        </w:numPr>
        <w:rPr>
          <w:rFonts w:ascii="Times New Roman" w:eastAsia="Times New Roman" w:hAnsi="Times New Roman" w:cs="Times New Roman"/>
        </w:rPr>
      </w:pPr>
      <w:proofErr w:type="spellStart"/>
      <w:r>
        <w:rPr>
          <w:rFonts w:ascii="Times New Roman" w:eastAsia="Times New Roman" w:hAnsi="Times New Roman" w:cs="Times New Roman"/>
        </w:rPr>
        <w:t>Bandaru</w:t>
      </w:r>
      <w:proofErr w:type="spellEnd"/>
      <w:r>
        <w:rPr>
          <w:rFonts w:ascii="Times New Roman" w:eastAsia="Times New Roman" w:hAnsi="Times New Roman" w:cs="Times New Roman"/>
        </w:rPr>
        <w:t xml:space="preserve"> SS, </w:t>
      </w:r>
      <w:proofErr w:type="spellStart"/>
      <w:r>
        <w:rPr>
          <w:rFonts w:ascii="Times New Roman" w:eastAsia="Times New Roman" w:hAnsi="Times New Roman" w:cs="Times New Roman"/>
        </w:rPr>
        <w:t>Anaji</w:t>
      </w:r>
      <w:proofErr w:type="spellEnd"/>
      <w:r>
        <w:rPr>
          <w:rFonts w:ascii="Times New Roman" w:eastAsia="Times New Roman" w:hAnsi="Times New Roman" w:cs="Times New Roman"/>
        </w:rPr>
        <w:t xml:space="preserve"> SC, Stowe IT. A case of thrombotic microangiopathy secondary to hypertensive emergency. </w:t>
      </w:r>
      <w:proofErr w:type="spellStart"/>
      <w:r>
        <w:rPr>
          <w:rFonts w:ascii="Times New Roman" w:eastAsia="Times New Roman" w:hAnsi="Times New Roman" w:cs="Times New Roman"/>
        </w:rPr>
        <w:t>Cureus</w:t>
      </w:r>
      <w:proofErr w:type="spellEnd"/>
      <w:r>
        <w:rPr>
          <w:rFonts w:ascii="Times New Roman" w:eastAsia="Times New Roman" w:hAnsi="Times New Roman" w:cs="Times New Roman"/>
        </w:rPr>
        <w:t>. 2022;14(4</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24237. doi:10.7759/cureus.24237</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Wong TY, Mitchell P. Hypertensive retinopathy. N </w:t>
      </w:r>
      <w:proofErr w:type="spellStart"/>
      <w:r>
        <w:rPr>
          <w:rFonts w:ascii="Times New Roman" w:eastAsia="Times New Roman" w:hAnsi="Times New Roman" w:cs="Times New Roman"/>
        </w:rPr>
        <w:t>Engl</w:t>
      </w:r>
      <w:proofErr w:type="spellEnd"/>
      <w:r>
        <w:rPr>
          <w:rFonts w:ascii="Times New Roman" w:eastAsia="Times New Roman" w:hAnsi="Times New Roman" w:cs="Times New Roman"/>
        </w:rPr>
        <w:t xml:space="preserve"> J Med. </w:t>
      </w:r>
      <w:proofErr w:type="gramStart"/>
      <w:r>
        <w:rPr>
          <w:rFonts w:ascii="Times New Roman" w:eastAsia="Times New Roman" w:hAnsi="Times New Roman" w:cs="Times New Roman"/>
        </w:rPr>
        <w:t>2004;351:2310</w:t>
      </w:r>
      <w:proofErr w:type="gramEnd"/>
      <w:r>
        <w:rPr>
          <w:rFonts w:ascii="Times New Roman" w:eastAsia="Times New Roman" w:hAnsi="Times New Roman" w:cs="Times New Roman"/>
        </w:rPr>
        <w:t>–2317. doi:10.1056/NEJMra041234</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van den Born BJ, </w:t>
      </w:r>
      <w:proofErr w:type="spellStart"/>
      <w:r>
        <w:rPr>
          <w:rFonts w:ascii="Times New Roman" w:eastAsia="Times New Roman" w:hAnsi="Times New Roman" w:cs="Times New Roman"/>
        </w:rPr>
        <w:t>Honnebier</w:t>
      </w:r>
      <w:proofErr w:type="spellEnd"/>
      <w:r>
        <w:rPr>
          <w:rFonts w:ascii="Times New Roman" w:eastAsia="Times New Roman" w:hAnsi="Times New Roman" w:cs="Times New Roman"/>
        </w:rPr>
        <w:t xml:space="preserve"> UP, Koopmans RP, van </w:t>
      </w:r>
      <w:proofErr w:type="spellStart"/>
      <w:r>
        <w:rPr>
          <w:rFonts w:ascii="Times New Roman" w:eastAsia="Times New Roman" w:hAnsi="Times New Roman" w:cs="Times New Roman"/>
        </w:rPr>
        <w:t>Montfrans</w:t>
      </w:r>
      <w:proofErr w:type="spellEnd"/>
      <w:r>
        <w:rPr>
          <w:rFonts w:ascii="Times New Roman" w:eastAsia="Times New Roman" w:hAnsi="Times New Roman" w:cs="Times New Roman"/>
        </w:rPr>
        <w:t xml:space="preserve"> GA. Microangiopathic hemolysis and renal failure in malignant hypertension. Hypertension. 2005;45(2):246–251. </w:t>
      </w:r>
      <w:proofErr w:type="gramStart"/>
      <w:r>
        <w:rPr>
          <w:rFonts w:ascii="Times New Roman" w:eastAsia="Times New Roman" w:hAnsi="Times New Roman" w:cs="Times New Roman"/>
        </w:rPr>
        <w:t>doi:10.1161/01.HYP</w:t>
      </w:r>
      <w:proofErr w:type="gramEnd"/>
      <w:r>
        <w:rPr>
          <w:rFonts w:ascii="Times New Roman" w:eastAsia="Times New Roman" w:hAnsi="Times New Roman" w:cs="Times New Roman"/>
        </w:rPr>
        <w:t>.0000151620.17905.ee</w:t>
      </w:r>
    </w:p>
    <w:p w:rsidR="00D07588" w:rsidRDefault="00A61B3F">
      <w:pPr>
        <w:numPr>
          <w:ilvl w:val="0"/>
          <w:numId w:val="6"/>
        </w:numPr>
        <w:rPr>
          <w:rFonts w:ascii="Times New Roman" w:eastAsia="Times New Roman" w:hAnsi="Times New Roman" w:cs="Times New Roman"/>
        </w:rPr>
      </w:pPr>
      <w:proofErr w:type="spellStart"/>
      <w:r>
        <w:rPr>
          <w:rFonts w:ascii="Times New Roman" w:eastAsia="Times New Roman" w:hAnsi="Times New Roman" w:cs="Times New Roman"/>
        </w:rPr>
        <w:t>Vaziri</w:t>
      </w:r>
      <w:proofErr w:type="spellEnd"/>
      <w:r>
        <w:rPr>
          <w:rFonts w:ascii="Times New Roman" w:eastAsia="Times New Roman" w:hAnsi="Times New Roman" w:cs="Times New Roman"/>
        </w:rPr>
        <w:t xml:space="preserve"> ND. Mechanisms of endothelial dysfunction in hypertension. Circ Res. </w:t>
      </w:r>
      <w:proofErr w:type="gramStart"/>
      <w:r>
        <w:rPr>
          <w:rFonts w:ascii="Times New Roman" w:eastAsia="Times New Roman" w:hAnsi="Times New Roman" w:cs="Times New Roman"/>
        </w:rPr>
        <w:t>2001;88:608</w:t>
      </w:r>
      <w:proofErr w:type="gramEnd"/>
      <w:r>
        <w:rPr>
          <w:rFonts w:ascii="Times New Roman" w:eastAsia="Times New Roman" w:hAnsi="Times New Roman" w:cs="Times New Roman"/>
        </w:rPr>
        <w:t xml:space="preserve">–616. </w:t>
      </w:r>
      <w:proofErr w:type="gramStart"/>
      <w:r>
        <w:rPr>
          <w:rFonts w:ascii="Times New Roman" w:eastAsia="Times New Roman" w:hAnsi="Times New Roman" w:cs="Times New Roman"/>
        </w:rPr>
        <w:t>doi:10.1161/01.RES</w:t>
      </w:r>
      <w:proofErr w:type="gramEnd"/>
      <w:r>
        <w:rPr>
          <w:rFonts w:ascii="Times New Roman" w:eastAsia="Times New Roman" w:hAnsi="Times New Roman" w:cs="Times New Roman"/>
        </w:rPr>
        <w:t>.88.6.608</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lastRenderedPageBreak/>
        <w:t xml:space="preserve">George JN. Clinical practice. Thrombotic thrombocytopenic purpura. N </w:t>
      </w:r>
      <w:proofErr w:type="spellStart"/>
      <w:r>
        <w:rPr>
          <w:rFonts w:ascii="Times New Roman" w:eastAsia="Times New Roman" w:hAnsi="Times New Roman" w:cs="Times New Roman"/>
        </w:rPr>
        <w:t>Engl</w:t>
      </w:r>
      <w:proofErr w:type="spellEnd"/>
      <w:r>
        <w:rPr>
          <w:rFonts w:ascii="Times New Roman" w:eastAsia="Times New Roman" w:hAnsi="Times New Roman" w:cs="Times New Roman"/>
        </w:rPr>
        <w:t xml:space="preserve"> J Med. </w:t>
      </w:r>
      <w:proofErr w:type="gramStart"/>
      <w:r>
        <w:rPr>
          <w:rFonts w:ascii="Times New Roman" w:eastAsia="Times New Roman" w:hAnsi="Times New Roman" w:cs="Times New Roman"/>
        </w:rPr>
        <w:t>2006;354:1927</w:t>
      </w:r>
      <w:proofErr w:type="gramEnd"/>
      <w:r>
        <w:rPr>
          <w:rFonts w:ascii="Times New Roman" w:eastAsia="Times New Roman" w:hAnsi="Times New Roman" w:cs="Times New Roman"/>
        </w:rPr>
        <w:t>–1935. doi:10.1056/NEJMcp055912</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Aydin S, Aydin C, et al. Hypertensive emergencies: Etiology, treatment, and outcomes. Am J </w:t>
      </w:r>
      <w:proofErr w:type="spellStart"/>
      <w:r>
        <w:rPr>
          <w:rFonts w:ascii="Times New Roman" w:eastAsia="Times New Roman" w:hAnsi="Times New Roman" w:cs="Times New Roman"/>
        </w:rPr>
        <w:t>Emerg</w:t>
      </w:r>
      <w:proofErr w:type="spellEnd"/>
      <w:r>
        <w:rPr>
          <w:rFonts w:ascii="Times New Roman" w:eastAsia="Times New Roman" w:hAnsi="Times New Roman" w:cs="Times New Roman"/>
        </w:rPr>
        <w:t xml:space="preserve"> Med. </w:t>
      </w:r>
      <w:proofErr w:type="gramStart"/>
      <w:r>
        <w:rPr>
          <w:rFonts w:ascii="Times New Roman" w:eastAsia="Times New Roman" w:hAnsi="Times New Roman" w:cs="Times New Roman"/>
        </w:rPr>
        <w:t>2018;36:833</w:t>
      </w:r>
      <w:proofErr w:type="gramEnd"/>
      <w:r>
        <w:rPr>
          <w:rFonts w:ascii="Times New Roman" w:eastAsia="Times New Roman" w:hAnsi="Times New Roman" w:cs="Times New Roman"/>
        </w:rPr>
        <w:t xml:space="preserve">–838. </w:t>
      </w:r>
      <w:proofErr w:type="gramStart"/>
      <w:r>
        <w:rPr>
          <w:rFonts w:ascii="Times New Roman" w:eastAsia="Times New Roman" w:hAnsi="Times New Roman" w:cs="Times New Roman"/>
        </w:rPr>
        <w:t>doi:10.1016/j.ajem</w:t>
      </w:r>
      <w:proofErr w:type="gramEnd"/>
      <w:r>
        <w:rPr>
          <w:rFonts w:ascii="Times New Roman" w:eastAsia="Times New Roman" w:hAnsi="Times New Roman" w:cs="Times New Roman"/>
        </w:rPr>
        <w:t>.2017.12.063</w:t>
      </w:r>
    </w:p>
    <w:p w:rsidR="00D07588" w:rsidRDefault="00A61B3F">
      <w:pPr>
        <w:numPr>
          <w:ilvl w:val="0"/>
          <w:numId w:val="6"/>
        </w:numPr>
        <w:rPr>
          <w:rFonts w:ascii="Times New Roman" w:eastAsia="Times New Roman" w:hAnsi="Times New Roman" w:cs="Times New Roman"/>
        </w:rPr>
      </w:pPr>
      <w:proofErr w:type="spellStart"/>
      <w:r>
        <w:rPr>
          <w:rFonts w:ascii="Times New Roman" w:eastAsia="Times New Roman" w:hAnsi="Times New Roman" w:cs="Times New Roman"/>
        </w:rPr>
        <w:t>Coppo</w:t>
      </w:r>
      <w:proofErr w:type="spellEnd"/>
      <w:r>
        <w:rPr>
          <w:rFonts w:ascii="Times New Roman" w:eastAsia="Times New Roman" w:hAnsi="Times New Roman" w:cs="Times New Roman"/>
        </w:rPr>
        <w:t xml:space="preserve"> P, Froissart A, </w:t>
      </w:r>
      <w:proofErr w:type="spellStart"/>
      <w:r>
        <w:rPr>
          <w:rFonts w:ascii="Times New Roman" w:eastAsia="Times New Roman" w:hAnsi="Times New Roman" w:cs="Times New Roman"/>
        </w:rPr>
        <w:t>Veyradier</w:t>
      </w:r>
      <w:proofErr w:type="spellEnd"/>
      <w:r>
        <w:rPr>
          <w:rFonts w:ascii="Times New Roman" w:eastAsia="Times New Roman" w:hAnsi="Times New Roman" w:cs="Times New Roman"/>
        </w:rPr>
        <w:t xml:space="preserve"> A. Thrombotic microangiopathies: Diagnosis and management. </w:t>
      </w:r>
      <w:proofErr w:type="spellStart"/>
      <w:r>
        <w:rPr>
          <w:rFonts w:ascii="Times New Roman" w:eastAsia="Times New Roman" w:hAnsi="Times New Roman" w:cs="Times New Roman"/>
        </w:rPr>
        <w:t>Haematologica</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2014;99:177</w:t>
      </w:r>
      <w:proofErr w:type="gramEnd"/>
      <w:r>
        <w:rPr>
          <w:rFonts w:ascii="Times New Roman" w:eastAsia="Times New Roman" w:hAnsi="Times New Roman" w:cs="Times New Roman"/>
        </w:rPr>
        <w:t>–188. doi:10.3324/haematol.2013.088848</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Timmermans S, et al. Kidney outcomes in patients with TMA: A systematic review. Kidney Int Rep. </w:t>
      </w:r>
      <w:proofErr w:type="gramStart"/>
      <w:r>
        <w:rPr>
          <w:rFonts w:ascii="Times New Roman" w:eastAsia="Times New Roman" w:hAnsi="Times New Roman" w:cs="Times New Roman"/>
        </w:rPr>
        <w:t>2021;6:204</w:t>
      </w:r>
      <w:proofErr w:type="gramEnd"/>
      <w:r>
        <w:rPr>
          <w:rFonts w:ascii="Times New Roman" w:eastAsia="Times New Roman" w:hAnsi="Times New Roman" w:cs="Times New Roman"/>
        </w:rPr>
        <w:t xml:space="preserve">–216. </w:t>
      </w:r>
      <w:proofErr w:type="gramStart"/>
      <w:r>
        <w:rPr>
          <w:rFonts w:ascii="Times New Roman" w:eastAsia="Times New Roman" w:hAnsi="Times New Roman" w:cs="Times New Roman"/>
        </w:rPr>
        <w:t>doi:10.1016/j.ekir</w:t>
      </w:r>
      <w:proofErr w:type="gramEnd"/>
      <w:r>
        <w:rPr>
          <w:rFonts w:ascii="Times New Roman" w:eastAsia="Times New Roman" w:hAnsi="Times New Roman" w:cs="Times New Roman"/>
        </w:rPr>
        <w:t>.2020.10.009</w:t>
      </w:r>
    </w:p>
    <w:p w:rsidR="00D07588" w:rsidRDefault="00A61B3F">
      <w:pPr>
        <w:numPr>
          <w:ilvl w:val="0"/>
          <w:numId w:val="6"/>
        </w:numPr>
        <w:rPr>
          <w:rFonts w:ascii="Times New Roman" w:eastAsia="Times New Roman" w:hAnsi="Times New Roman" w:cs="Times New Roman"/>
        </w:rPr>
      </w:pPr>
      <w:proofErr w:type="spellStart"/>
      <w:r>
        <w:rPr>
          <w:rFonts w:ascii="Times New Roman" w:eastAsia="Times New Roman" w:hAnsi="Times New Roman" w:cs="Times New Roman"/>
        </w:rPr>
        <w:t>Aoudia</w:t>
      </w:r>
      <w:proofErr w:type="spellEnd"/>
      <w:r>
        <w:rPr>
          <w:rFonts w:ascii="Times New Roman" w:eastAsia="Times New Roman" w:hAnsi="Times New Roman" w:cs="Times New Roman"/>
        </w:rPr>
        <w:t xml:space="preserve"> H, et al. MAHA as a marker of renal prognosis in malignant hypertension. Clin </w:t>
      </w:r>
      <w:proofErr w:type="spellStart"/>
      <w:r>
        <w:rPr>
          <w:rFonts w:ascii="Times New Roman" w:eastAsia="Times New Roman" w:hAnsi="Times New Roman" w:cs="Times New Roman"/>
        </w:rPr>
        <w:t>Nephrol</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2020;93:107</w:t>
      </w:r>
      <w:proofErr w:type="gramEnd"/>
      <w:r>
        <w:rPr>
          <w:rFonts w:ascii="Times New Roman" w:eastAsia="Times New Roman" w:hAnsi="Times New Roman" w:cs="Times New Roman"/>
        </w:rPr>
        <w:t>–115. doi:10.5414/CN109735</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Rossi R, </w:t>
      </w:r>
      <w:proofErr w:type="spellStart"/>
      <w:r>
        <w:rPr>
          <w:rFonts w:ascii="Times New Roman" w:eastAsia="Times New Roman" w:hAnsi="Times New Roman" w:cs="Times New Roman"/>
        </w:rPr>
        <w:t>Jabrah</w:t>
      </w:r>
      <w:proofErr w:type="spellEnd"/>
      <w:r>
        <w:rPr>
          <w:rFonts w:ascii="Times New Roman" w:eastAsia="Times New Roman" w:hAnsi="Times New Roman" w:cs="Times New Roman"/>
        </w:rPr>
        <w:t xml:space="preserve"> D, Douglas A, et al. Investigating the role of BNP and NT-</w:t>
      </w:r>
      <w:proofErr w:type="spellStart"/>
      <w:r>
        <w:rPr>
          <w:rFonts w:ascii="Times New Roman" w:eastAsia="Times New Roman" w:hAnsi="Times New Roman" w:cs="Times New Roman"/>
        </w:rPr>
        <w:t>proBNP</w:t>
      </w:r>
      <w:proofErr w:type="spellEnd"/>
      <w:r>
        <w:rPr>
          <w:rFonts w:ascii="Times New Roman" w:eastAsia="Times New Roman" w:hAnsi="Times New Roman" w:cs="Times New Roman"/>
        </w:rPr>
        <w:t xml:space="preserve"> in thrombosis and acute ischemic stroke etiology. Int J Mol Sci. 2024;25(5):2999. doi:10.3390/ijms25052999</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KDIGO Clinical Practice Guideline for Acute Kidney Injury. Kidney Int Suppl. </w:t>
      </w:r>
      <w:proofErr w:type="gramStart"/>
      <w:r>
        <w:rPr>
          <w:rFonts w:ascii="Times New Roman" w:eastAsia="Times New Roman" w:hAnsi="Times New Roman" w:cs="Times New Roman"/>
        </w:rPr>
        <w:t>2012;2:1</w:t>
      </w:r>
      <w:proofErr w:type="gramEnd"/>
      <w:r>
        <w:rPr>
          <w:rFonts w:ascii="Times New Roman" w:eastAsia="Times New Roman" w:hAnsi="Times New Roman" w:cs="Times New Roman"/>
        </w:rPr>
        <w:t>–138. doi:10.1038/kisup.2012.1</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AHA Scientific Statement. Management of hypertensive emergencies. Circulation. 2022;</w:t>
      </w:r>
      <w:proofErr w:type="gramStart"/>
      <w:r>
        <w:rPr>
          <w:rFonts w:ascii="Times New Roman" w:eastAsia="Times New Roman" w:hAnsi="Times New Roman" w:cs="Times New Roman"/>
        </w:rPr>
        <w:t>145:e</w:t>
      </w:r>
      <w:proofErr w:type="gramEnd"/>
      <w:r>
        <w:rPr>
          <w:rFonts w:ascii="Times New Roman" w:eastAsia="Times New Roman" w:hAnsi="Times New Roman" w:cs="Times New Roman"/>
        </w:rPr>
        <w:t>123–e139. doi:10.1161/CIR.0000000000001082</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ESC Council on Hypertension. 2023 ESC/ESH Guidelines for the management of arterial hypertension. Eur Heart J. </w:t>
      </w:r>
      <w:proofErr w:type="gramStart"/>
      <w:r>
        <w:rPr>
          <w:rFonts w:ascii="Times New Roman" w:eastAsia="Times New Roman" w:hAnsi="Times New Roman" w:cs="Times New Roman"/>
        </w:rPr>
        <w:t>2023;44:3222</w:t>
      </w:r>
      <w:proofErr w:type="gramEnd"/>
      <w:r>
        <w:rPr>
          <w:rFonts w:ascii="Times New Roman" w:eastAsia="Times New Roman" w:hAnsi="Times New Roman" w:cs="Times New Roman"/>
        </w:rPr>
        <w:t>–3320. doi:10.1093/</w:t>
      </w:r>
      <w:proofErr w:type="spellStart"/>
      <w:r>
        <w:rPr>
          <w:rFonts w:ascii="Times New Roman" w:eastAsia="Times New Roman" w:hAnsi="Times New Roman" w:cs="Times New Roman"/>
        </w:rPr>
        <w:t>eurheartj</w:t>
      </w:r>
      <w:proofErr w:type="spellEnd"/>
      <w:r>
        <w:rPr>
          <w:rFonts w:ascii="Times New Roman" w:eastAsia="Times New Roman" w:hAnsi="Times New Roman" w:cs="Times New Roman"/>
        </w:rPr>
        <w:t>/ehad075</w:t>
      </w:r>
    </w:p>
    <w:p w:rsidR="00D07588" w:rsidRDefault="00A61B3F">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Legendre C, Licht C, et al. Thrombotic microangiopathy: Pathophysiology, diagnosis, and management. </w:t>
      </w:r>
      <w:proofErr w:type="spellStart"/>
      <w:r>
        <w:rPr>
          <w:rFonts w:ascii="Times New Roman" w:eastAsia="Times New Roman" w:hAnsi="Times New Roman" w:cs="Times New Roman"/>
        </w:rPr>
        <w:t>Nephrol</w:t>
      </w:r>
      <w:proofErr w:type="spellEnd"/>
      <w:r>
        <w:rPr>
          <w:rFonts w:ascii="Times New Roman" w:eastAsia="Times New Roman" w:hAnsi="Times New Roman" w:cs="Times New Roman"/>
        </w:rPr>
        <w:t xml:space="preserve"> Dial Transplant. </w:t>
      </w:r>
      <w:proofErr w:type="gramStart"/>
      <w:r>
        <w:rPr>
          <w:rFonts w:ascii="Times New Roman" w:eastAsia="Times New Roman" w:hAnsi="Times New Roman" w:cs="Times New Roman"/>
        </w:rPr>
        <w:t>2019;34:2020</w:t>
      </w:r>
      <w:proofErr w:type="gramEnd"/>
      <w:r>
        <w:rPr>
          <w:rFonts w:ascii="Times New Roman" w:eastAsia="Times New Roman" w:hAnsi="Times New Roman" w:cs="Times New Roman"/>
        </w:rPr>
        <w:t>–2032. doi:10.1093/</w:t>
      </w:r>
      <w:proofErr w:type="spellStart"/>
      <w:r>
        <w:rPr>
          <w:rFonts w:ascii="Times New Roman" w:eastAsia="Times New Roman" w:hAnsi="Times New Roman" w:cs="Times New Roman"/>
        </w:rPr>
        <w:t>ndt</w:t>
      </w:r>
      <w:proofErr w:type="spellEnd"/>
      <w:r>
        <w:rPr>
          <w:rFonts w:ascii="Times New Roman" w:eastAsia="Times New Roman" w:hAnsi="Times New Roman" w:cs="Times New Roman"/>
        </w:rPr>
        <w:t>/gfz148</w:t>
      </w:r>
    </w:p>
    <w:p w:rsidR="00D07588" w:rsidRDefault="00A61B3F">
      <w:pPr>
        <w:numPr>
          <w:ilvl w:val="0"/>
          <w:numId w:val="6"/>
        </w:numPr>
        <w:rPr>
          <w:rFonts w:ascii="Times New Roman" w:eastAsia="Times New Roman" w:hAnsi="Times New Roman" w:cs="Times New Roman"/>
        </w:rPr>
      </w:pPr>
      <w:proofErr w:type="spellStart"/>
      <w:r>
        <w:rPr>
          <w:rFonts w:ascii="Times New Roman" w:eastAsia="Times New Roman" w:hAnsi="Times New Roman" w:cs="Times New Roman"/>
        </w:rPr>
        <w:t>Wijnsma</w:t>
      </w:r>
      <w:proofErr w:type="spellEnd"/>
      <w:r>
        <w:rPr>
          <w:rFonts w:ascii="Times New Roman" w:eastAsia="Times New Roman" w:hAnsi="Times New Roman" w:cs="Times New Roman"/>
        </w:rPr>
        <w:t xml:space="preserve"> KL, et al. Nutritional management in patients with malignant hypertension and AKI. Clin Kidney J. </w:t>
      </w:r>
      <w:proofErr w:type="gramStart"/>
      <w:r>
        <w:rPr>
          <w:rFonts w:ascii="Times New Roman" w:eastAsia="Times New Roman" w:hAnsi="Times New Roman" w:cs="Times New Roman"/>
        </w:rPr>
        <w:t>2019;12:505</w:t>
      </w:r>
      <w:proofErr w:type="gramEnd"/>
      <w:r>
        <w:rPr>
          <w:rFonts w:ascii="Times New Roman" w:eastAsia="Times New Roman" w:hAnsi="Times New Roman" w:cs="Times New Roman"/>
        </w:rPr>
        <w:t>–514. doi:10.1093/</w:t>
      </w:r>
      <w:proofErr w:type="spellStart"/>
      <w:r>
        <w:rPr>
          <w:rFonts w:ascii="Times New Roman" w:eastAsia="Times New Roman" w:hAnsi="Times New Roman" w:cs="Times New Roman"/>
        </w:rPr>
        <w:t>ckj</w:t>
      </w:r>
      <w:proofErr w:type="spellEnd"/>
      <w:r>
        <w:rPr>
          <w:rFonts w:ascii="Times New Roman" w:eastAsia="Times New Roman" w:hAnsi="Times New Roman" w:cs="Times New Roman"/>
        </w:rPr>
        <w:t>/sfz056</w:t>
      </w:r>
    </w:p>
    <w:p w:rsidR="00D07588" w:rsidRDefault="00A61B3F">
      <w:pPr>
        <w:numPr>
          <w:ilvl w:val="0"/>
          <w:numId w:val="6"/>
        </w:numPr>
        <w:rPr>
          <w:rFonts w:ascii="Times New Roman" w:eastAsia="Times New Roman" w:hAnsi="Times New Roman" w:cs="Times New Roman"/>
        </w:rPr>
      </w:pPr>
      <w:proofErr w:type="spellStart"/>
      <w:r>
        <w:rPr>
          <w:rFonts w:ascii="Times New Roman" w:eastAsia="Times New Roman" w:hAnsi="Times New Roman" w:cs="Times New Roman"/>
        </w:rPr>
        <w:t>Pavlakis</w:t>
      </w:r>
      <w:proofErr w:type="spellEnd"/>
      <w:r>
        <w:rPr>
          <w:rFonts w:ascii="Times New Roman" w:eastAsia="Times New Roman" w:hAnsi="Times New Roman" w:cs="Times New Roman"/>
        </w:rPr>
        <w:t xml:space="preserve"> M, et al. Long-term outcomes of malignant hypertension: A systematic review. Hypertension. </w:t>
      </w:r>
      <w:proofErr w:type="gramStart"/>
      <w:r>
        <w:rPr>
          <w:rFonts w:ascii="Times New Roman" w:eastAsia="Times New Roman" w:hAnsi="Times New Roman" w:cs="Times New Roman"/>
        </w:rPr>
        <w:t>2020;76:109</w:t>
      </w:r>
      <w:proofErr w:type="gramEnd"/>
      <w:r>
        <w:rPr>
          <w:rFonts w:ascii="Times New Roman" w:eastAsia="Times New Roman" w:hAnsi="Times New Roman" w:cs="Times New Roman"/>
        </w:rPr>
        <w:t>–118. doi:10.1161/HYPERTENSIONAHA.120.15065</w:t>
      </w:r>
    </w:p>
    <w:p w:rsidR="00D07588" w:rsidRDefault="00A61B3F">
      <w:pPr>
        <w:numPr>
          <w:ilvl w:val="0"/>
          <w:numId w:val="6"/>
        </w:numPr>
        <w:spacing w:after="240"/>
        <w:rPr>
          <w:rFonts w:ascii="Times New Roman" w:eastAsia="Times New Roman" w:hAnsi="Times New Roman" w:cs="Times New Roman"/>
        </w:rPr>
      </w:pPr>
      <w:proofErr w:type="spellStart"/>
      <w:r>
        <w:rPr>
          <w:rFonts w:ascii="Times New Roman" w:eastAsia="Times New Roman" w:hAnsi="Times New Roman" w:cs="Times New Roman"/>
        </w:rPr>
        <w:t>Bendapudi</w:t>
      </w:r>
      <w:proofErr w:type="spellEnd"/>
      <w:r>
        <w:rPr>
          <w:rFonts w:ascii="Times New Roman" w:eastAsia="Times New Roman" w:hAnsi="Times New Roman" w:cs="Times New Roman"/>
        </w:rPr>
        <w:t xml:space="preserve"> PK, et al. Guidelines for thrombotic microangiopathies: Diagnosis and management. </w:t>
      </w:r>
      <w:proofErr w:type="spellStart"/>
      <w:r>
        <w:rPr>
          <w:rFonts w:ascii="Times New Roman" w:eastAsia="Times New Roman" w:hAnsi="Times New Roman" w:cs="Times New Roman"/>
        </w:rPr>
        <w:t>Haematologica</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2021;106:1019</w:t>
      </w:r>
      <w:proofErr w:type="gramEnd"/>
      <w:r>
        <w:rPr>
          <w:rFonts w:ascii="Times New Roman" w:eastAsia="Times New Roman" w:hAnsi="Times New Roman" w:cs="Times New Roman"/>
        </w:rPr>
        <w:t>–1031. doi:10.3324/haematol.2020.260003</w:t>
      </w:r>
    </w:p>
    <w:p w:rsidR="008E5D7B" w:rsidRPr="008E5D7B" w:rsidRDefault="008E5D7B">
      <w:pPr>
        <w:numPr>
          <w:ilvl w:val="0"/>
          <w:numId w:val="6"/>
        </w:numPr>
        <w:spacing w:after="240"/>
        <w:rPr>
          <w:rFonts w:ascii="Times New Roman" w:eastAsia="Times New Roman" w:hAnsi="Times New Roman" w:cs="Times New Roman"/>
        </w:rPr>
      </w:pPr>
      <w:proofErr w:type="spellStart"/>
      <w:r>
        <w:rPr>
          <w:color w:val="222222"/>
          <w:sz w:val="20"/>
          <w:szCs w:val="20"/>
          <w:shd w:val="clear" w:color="auto" w:fill="FFFFFF"/>
        </w:rPr>
        <w:t>Allinovi</w:t>
      </w:r>
      <w:proofErr w:type="spellEnd"/>
      <w:r>
        <w:rPr>
          <w:color w:val="222222"/>
          <w:sz w:val="20"/>
          <w:szCs w:val="20"/>
          <w:shd w:val="clear" w:color="auto" w:fill="FFFFFF"/>
        </w:rPr>
        <w:t xml:space="preserve">, M., </w:t>
      </w:r>
      <w:proofErr w:type="spellStart"/>
      <w:r>
        <w:rPr>
          <w:color w:val="222222"/>
          <w:sz w:val="20"/>
          <w:szCs w:val="20"/>
          <w:shd w:val="clear" w:color="auto" w:fill="FFFFFF"/>
        </w:rPr>
        <w:t>Menale</w:t>
      </w:r>
      <w:proofErr w:type="spellEnd"/>
      <w:r>
        <w:rPr>
          <w:color w:val="222222"/>
          <w:sz w:val="20"/>
          <w:szCs w:val="20"/>
          <w:shd w:val="clear" w:color="auto" w:fill="FFFFFF"/>
        </w:rPr>
        <w:t xml:space="preserve">, S., </w:t>
      </w:r>
      <w:proofErr w:type="spellStart"/>
      <w:r>
        <w:rPr>
          <w:color w:val="222222"/>
          <w:sz w:val="20"/>
          <w:szCs w:val="20"/>
          <w:shd w:val="clear" w:color="auto" w:fill="FFFFFF"/>
        </w:rPr>
        <w:t>Querin</w:t>
      </w:r>
      <w:proofErr w:type="spellEnd"/>
      <w:r>
        <w:rPr>
          <w:color w:val="222222"/>
          <w:sz w:val="20"/>
          <w:szCs w:val="20"/>
          <w:shd w:val="clear" w:color="auto" w:fill="FFFFFF"/>
        </w:rPr>
        <w:t xml:space="preserve">, V., </w:t>
      </w:r>
      <w:proofErr w:type="spellStart"/>
      <w:r>
        <w:rPr>
          <w:color w:val="222222"/>
          <w:sz w:val="20"/>
          <w:szCs w:val="20"/>
          <w:shd w:val="clear" w:color="auto" w:fill="FFFFFF"/>
        </w:rPr>
        <w:t>Caroti</w:t>
      </w:r>
      <w:proofErr w:type="spellEnd"/>
      <w:r>
        <w:rPr>
          <w:color w:val="222222"/>
          <w:sz w:val="20"/>
          <w:szCs w:val="20"/>
          <w:shd w:val="clear" w:color="auto" w:fill="FFFFFF"/>
        </w:rPr>
        <w:t xml:space="preserve">, L., </w:t>
      </w:r>
      <w:proofErr w:type="spellStart"/>
      <w:r>
        <w:rPr>
          <w:color w:val="222222"/>
          <w:sz w:val="20"/>
          <w:szCs w:val="20"/>
          <w:shd w:val="clear" w:color="auto" w:fill="FFFFFF"/>
        </w:rPr>
        <w:t>Antognoli</w:t>
      </w:r>
      <w:proofErr w:type="spellEnd"/>
      <w:r>
        <w:rPr>
          <w:color w:val="222222"/>
          <w:sz w:val="20"/>
          <w:szCs w:val="20"/>
          <w:shd w:val="clear" w:color="auto" w:fill="FFFFFF"/>
        </w:rPr>
        <w:t xml:space="preserve">, G., </w:t>
      </w:r>
      <w:proofErr w:type="spellStart"/>
      <w:r>
        <w:rPr>
          <w:color w:val="222222"/>
          <w:sz w:val="20"/>
          <w:szCs w:val="20"/>
          <w:shd w:val="clear" w:color="auto" w:fill="FFFFFF"/>
        </w:rPr>
        <w:t>Cirami</w:t>
      </w:r>
      <w:proofErr w:type="spellEnd"/>
      <w:r>
        <w:rPr>
          <w:color w:val="222222"/>
          <w:sz w:val="20"/>
          <w:szCs w:val="20"/>
          <w:shd w:val="clear" w:color="auto" w:fill="FFFFFF"/>
        </w:rPr>
        <w:t xml:space="preserve">, C. L., ... &amp; </w:t>
      </w:r>
      <w:proofErr w:type="spellStart"/>
      <w:r>
        <w:rPr>
          <w:color w:val="222222"/>
          <w:sz w:val="20"/>
          <w:szCs w:val="20"/>
          <w:shd w:val="clear" w:color="auto" w:fill="FFFFFF"/>
        </w:rPr>
        <w:t>Scheggi</w:t>
      </w:r>
      <w:proofErr w:type="spellEnd"/>
      <w:r>
        <w:rPr>
          <w:color w:val="222222"/>
          <w:sz w:val="20"/>
          <w:szCs w:val="20"/>
          <w:shd w:val="clear" w:color="auto" w:fill="FFFFFF"/>
        </w:rPr>
        <w:t>, V. (2025). Potentially reversible severe cardiac involvement in thrombotic microangiopathies with malignant hypertension. </w:t>
      </w:r>
      <w:r>
        <w:rPr>
          <w:i/>
          <w:iCs/>
          <w:color w:val="222222"/>
          <w:sz w:val="20"/>
          <w:szCs w:val="20"/>
          <w:shd w:val="clear" w:color="auto" w:fill="FFFFFF"/>
        </w:rPr>
        <w:t>Journal of Nephrology</w:t>
      </w:r>
      <w:r>
        <w:rPr>
          <w:color w:val="222222"/>
          <w:sz w:val="20"/>
          <w:szCs w:val="20"/>
          <w:shd w:val="clear" w:color="auto" w:fill="FFFFFF"/>
        </w:rPr>
        <w:t>, </w:t>
      </w:r>
      <w:r>
        <w:rPr>
          <w:i/>
          <w:iCs/>
          <w:color w:val="222222"/>
          <w:sz w:val="20"/>
          <w:szCs w:val="20"/>
          <w:shd w:val="clear" w:color="auto" w:fill="FFFFFF"/>
        </w:rPr>
        <w:t>38</w:t>
      </w:r>
      <w:r>
        <w:rPr>
          <w:color w:val="222222"/>
          <w:sz w:val="20"/>
          <w:szCs w:val="20"/>
          <w:shd w:val="clear" w:color="auto" w:fill="FFFFFF"/>
        </w:rPr>
        <w:t>(6), 1655-1661.</w:t>
      </w:r>
    </w:p>
    <w:p w:rsidR="008E5D7B" w:rsidRPr="008E5D7B" w:rsidRDefault="008E5D7B">
      <w:pPr>
        <w:numPr>
          <w:ilvl w:val="0"/>
          <w:numId w:val="6"/>
        </w:numPr>
        <w:spacing w:after="240"/>
        <w:rPr>
          <w:rFonts w:ascii="Times New Roman" w:eastAsia="Times New Roman" w:hAnsi="Times New Roman" w:cs="Times New Roman"/>
        </w:rPr>
      </w:pPr>
      <w:r>
        <w:rPr>
          <w:color w:val="222222"/>
          <w:sz w:val="20"/>
          <w:szCs w:val="20"/>
          <w:shd w:val="clear" w:color="auto" w:fill="FFFFFF"/>
        </w:rPr>
        <w:t xml:space="preserve">Ikeda, S., Inoue, Y., </w:t>
      </w:r>
      <w:proofErr w:type="spellStart"/>
      <w:r>
        <w:rPr>
          <w:color w:val="222222"/>
          <w:sz w:val="20"/>
          <w:szCs w:val="20"/>
          <w:shd w:val="clear" w:color="auto" w:fill="FFFFFF"/>
        </w:rPr>
        <w:t>Suzuyama</w:t>
      </w:r>
      <w:proofErr w:type="spellEnd"/>
      <w:r>
        <w:rPr>
          <w:color w:val="222222"/>
          <w:sz w:val="20"/>
          <w:szCs w:val="20"/>
          <w:shd w:val="clear" w:color="auto" w:fill="FFFFFF"/>
        </w:rPr>
        <w:t xml:space="preserve">, K., Ide, T., &amp; </w:t>
      </w:r>
      <w:proofErr w:type="spellStart"/>
      <w:r>
        <w:rPr>
          <w:color w:val="222222"/>
          <w:sz w:val="20"/>
          <w:szCs w:val="20"/>
          <w:shd w:val="clear" w:color="auto" w:fill="FFFFFF"/>
        </w:rPr>
        <w:t>Eriguchi</w:t>
      </w:r>
      <w:proofErr w:type="spellEnd"/>
      <w:r>
        <w:rPr>
          <w:color w:val="222222"/>
          <w:sz w:val="20"/>
          <w:szCs w:val="20"/>
          <w:shd w:val="clear" w:color="auto" w:fill="FFFFFF"/>
        </w:rPr>
        <w:t xml:space="preserve">, M. (2024). </w:t>
      </w:r>
      <w:proofErr w:type="spellStart"/>
      <w:r>
        <w:rPr>
          <w:color w:val="222222"/>
          <w:sz w:val="20"/>
          <w:szCs w:val="20"/>
          <w:shd w:val="clear" w:color="auto" w:fill="FFFFFF"/>
        </w:rPr>
        <w:t>Haemorrhagic</w:t>
      </w:r>
      <w:proofErr w:type="spellEnd"/>
      <w:r>
        <w:rPr>
          <w:color w:val="222222"/>
          <w:sz w:val="20"/>
          <w:szCs w:val="20"/>
          <w:shd w:val="clear" w:color="auto" w:fill="FFFFFF"/>
        </w:rPr>
        <w:t xml:space="preserve"> and ischemic stroke following posterior reversible encephalopathy syndrome and thrombotic microangiopathy in a patient with malignant hypertension. </w:t>
      </w:r>
      <w:r>
        <w:rPr>
          <w:i/>
          <w:iCs/>
          <w:color w:val="222222"/>
          <w:sz w:val="20"/>
          <w:szCs w:val="20"/>
          <w:shd w:val="clear" w:color="auto" w:fill="FFFFFF"/>
        </w:rPr>
        <w:t xml:space="preserve">Acta </w:t>
      </w:r>
      <w:proofErr w:type="spellStart"/>
      <w:r>
        <w:rPr>
          <w:i/>
          <w:iCs/>
          <w:color w:val="222222"/>
          <w:sz w:val="20"/>
          <w:szCs w:val="20"/>
          <w:shd w:val="clear" w:color="auto" w:fill="FFFFFF"/>
        </w:rPr>
        <w:t>Neurologica</w:t>
      </w:r>
      <w:proofErr w:type="spellEnd"/>
      <w:r>
        <w:rPr>
          <w:i/>
          <w:iCs/>
          <w:color w:val="222222"/>
          <w:sz w:val="20"/>
          <w:szCs w:val="20"/>
          <w:shd w:val="clear" w:color="auto" w:fill="FFFFFF"/>
        </w:rPr>
        <w:t xml:space="preserve"> </w:t>
      </w:r>
      <w:proofErr w:type="spellStart"/>
      <w:r>
        <w:rPr>
          <w:i/>
          <w:iCs/>
          <w:color w:val="222222"/>
          <w:sz w:val="20"/>
          <w:szCs w:val="20"/>
          <w:shd w:val="clear" w:color="auto" w:fill="FFFFFF"/>
        </w:rPr>
        <w:t>Belgica</w:t>
      </w:r>
      <w:proofErr w:type="spellEnd"/>
      <w:r>
        <w:rPr>
          <w:color w:val="222222"/>
          <w:sz w:val="20"/>
          <w:szCs w:val="20"/>
          <w:shd w:val="clear" w:color="auto" w:fill="FFFFFF"/>
        </w:rPr>
        <w:t>, </w:t>
      </w:r>
      <w:r>
        <w:rPr>
          <w:i/>
          <w:iCs/>
          <w:color w:val="222222"/>
          <w:sz w:val="20"/>
          <w:szCs w:val="20"/>
          <w:shd w:val="clear" w:color="auto" w:fill="FFFFFF"/>
        </w:rPr>
        <w:t>124</w:t>
      </w:r>
      <w:r>
        <w:rPr>
          <w:color w:val="222222"/>
          <w:sz w:val="20"/>
          <w:szCs w:val="20"/>
          <w:shd w:val="clear" w:color="auto" w:fill="FFFFFF"/>
        </w:rPr>
        <w:t>(1), 339-341.</w:t>
      </w:r>
    </w:p>
    <w:p w:rsidR="008E5D7B" w:rsidRDefault="008E5D7B">
      <w:pPr>
        <w:numPr>
          <w:ilvl w:val="0"/>
          <w:numId w:val="6"/>
        </w:numPr>
        <w:spacing w:after="240"/>
        <w:rPr>
          <w:rFonts w:ascii="Times New Roman" w:eastAsia="Times New Roman" w:hAnsi="Times New Roman" w:cs="Times New Roman"/>
        </w:rPr>
      </w:pPr>
      <w:r>
        <w:rPr>
          <w:color w:val="222222"/>
          <w:sz w:val="20"/>
          <w:szCs w:val="20"/>
          <w:shd w:val="clear" w:color="auto" w:fill="FFFFFF"/>
        </w:rPr>
        <w:t xml:space="preserve">Timmermans, S. A., Abdul-Hamid, M. A., </w:t>
      </w:r>
      <w:proofErr w:type="spellStart"/>
      <w:r>
        <w:rPr>
          <w:color w:val="222222"/>
          <w:sz w:val="20"/>
          <w:szCs w:val="20"/>
          <w:shd w:val="clear" w:color="auto" w:fill="FFFFFF"/>
        </w:rPr>
        <w:t>Vanderlocht</w:t>
      </w:r>
      <w:proofErr w:type="spellEnd"/>
      <w:r>
        <w:rPr>
          <w:color w:val="222222"/>
          <w:sz w:val="20"/>
          <w:szCs w:val="20"/>
          <w:shd w:val="clear" w:color="auto" w:fill="FFFFFF"/>
        </w:rPr>
        <w:t xml:space="preserve">, J., </w:t>
      </w:r>
      <w:proofErr w:type="spellStart"/>
      <w:r>
        <w:rPr>
          <w:color w:val="222222"/>
          <w:sz w:val="20"/>
          <w:szCs w:val="20"/>
          <w:shd w:val="clear" w:color="auto" w:fill="FFFFFF"/>
        </w:rPr>
        <w:t>Damoiseaux</w:t>
      </w:r>
      <w:proofErr w:type="spellEnd"/>
      <w:r>
        <w:rPr>
          <w:color w:val="222222"/>
          <w:sz w:val="20"/>
          <w:szCs w:val="20"/>
          <w:shd w:val="clear" w:color="auto" w:fill="FFFFFF"/>
        </w:rPr>
        <w:t xml:space="preserve">, J. G., </w:t>
      </w:r>
      <w:proofErr w:type="spellStart"/>
      <w:r>
        <w:rPr>
          <w:color w:val="222222"/>
          <w:sz w:val="20"/>
          <w:szCs w:val="20"/>
          <w:shd w:val="clear" w:color="auto" w:fill="FFFFFF"/>
        </w:rPr>
        <w:t>Reutelingsperger</w:t>
      </w:r>
      <w:proofErr w:type="spellEnd"/>
      <w:r>
        <w:rPr>
          <w:color w:val="222222"/>
          <w:sz w:val="20"/>
          <w:szCs w:val="20"/>
          <w:shd w:val="clear" w:color="auto" w:fill="FFFFFF"/>
        </w:rPr>
        <w:t xml:space="preserve">, C. P., van </w:t>
      </w:r>
      <w:proofErr w:type="spellStart"/>
      <w:r>
        <w:rPr>
          <w:color w:val="222222"/>
          <w:sz w:val="20"/>
          <w:szCs w:val="20"/>
          <w:shd w:val="clear" w:color="auto" w:fill="FFFFFF"/>
        </w:rPr>
        <w:t>Paassen</w:t>
      </w:r>
      <w:proofErr w:type="spellEnd"/>
      <w:r>
        <w:rPr>
          <w:color w:val="222222"/>
          <w:sz w:val="20"/>
          <w:szCs w:val="20"/>
          <w:shd w:val="clear" w:color="auto" w:fill="FFFFFF"/>
        </w:rPr>
        <w:t xml:space="preserve">, P., ... &amp; van </w:t>
      </w:r>
      <w:proofErr w:type="spellStart"/>
      <w:r>
        <w:rPr>
          <w:color w:val="222222"/>
          <w:sz w:val="20"/>
          <w:szCs w:val="20"/>
          <w:shd w:val="clear" w:color="auto" w:fill="FFFFFF"/>
        </w:rPr>
        <w:t>Duijnhoven</w:t>
      </w:r>
      <w:proofErr w:type="spellEnd"/>
      <w:r>
        <w:rPr>
          <w:color w:val="222222"/>
          <w:sz w:val="20"/>
          <w:szCs w:val="20"/>
          <w:shd w:val="clear" w:color="auto" w:fill="FFFFFF"/>
        </w:rPr>
        <w:t>, E. (2017). Patients with hypertension-associated thrombotic microangiopathy may present with complement abnormalities. </w:t>
      </w:r>
      <w:r>
        <w:rPr>
          <w:i/>
          <w:iCs/>
          <w:color w:val="222222"/>
          <w:sz w:val="20"/>
          <w:szCs w:val="20"/>
          <w:shd w:val="clear" w:color="auto" w:fill="FFFFFF"/>
        </w:rPr>
        <w:t>Kidney international</w:t>
      </w:r>
      <w:r>
        <w:rPr>
          <w:color w:val="222222"/>
          <w:sz w:val="20"/>
          <w:szCs w:val="20"/>
          <w:shd w:val="clear" w:color="auto" w:fill="FFFFFF"/>
        </w:rPr>
        <w:t>, </w:t>
      </w:r>
      <w:r>
        <w:rPr>
          <w:i/>
          <w:iCs/>
          <w:color w:val="222222"/>
          <w:sz w:val="20"/>
          <w:szCs w:val="20"/>
          <w:shd w:val="clear" w:color="auto" w:fill="FFFFFF"/>
        </w:rPr>
        <w:t>91</w:t>
      </w:r>
      <w:r>
        <w:rPr>
          <w:color w:val="222222"/>
          <w:sz w:val="20"/>
          <w:szCs w:val="20"/>
          <w:shd w:val="clear" w:color="auto" w:fill="FFFFFF"/>
        </w:rPr>
        <w:t>(6), 1420-1425.</w:t>
      </w:r>
    </w:p>
    <w:p w:rsidR="00D07588" w:rsidRDefault="00D07588">
      <w:pPr>
        <w:rPr>
          <w:rFonts w:ascii="Times New Roman" w:eastAsia="Times New Roman" w:hAnsi="Times New Roman" w:cs="Times New Roman"/>
        </w:rPr>
      </w:pPr>
    </w:p>
    <w:sectPr w:rsidR="00D075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EAF" w:rsidRDefault="00D21EAF">
      <w:pPr>
        <w:spacing w:line="240" w:lineRule="auto"/>
      </w:pPr>
      <w:r>
        <w:separator/>
      </w:r>
    </w:p>
  </w:endnote>
  <w:endnote w:type="continuationSeparator" w:id="0">
    <w:p w:rsidR="00D21EAF" w:rsidRDefault="00D21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D3" w:rsidRDefault="000D4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D3" w:rsidRDefault="000D4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D3" w:rsidRDefault="000D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EAF" w:rsidRDefault="00D21EAF">
      <w:pPr>
        <w:spacing w:line="240" w:lineRule="auto"/>
      </w:pPr>
      <w:r>
        <w:separator/>
      </w:r>
    </w:p>
  </w:footnote>
  <w:footnote w:type="continuationSeparator" w:id="0">
    <w:p w:rsidR="00D21EAF" w:rsidRDefault="00D21E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D3" w:rsidRDefault="000D4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588" w:rsidRDefault="000D4AD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D3" w:rsidRDefault="000D4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17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94E51"/>
    <w:multiLevelType w:val="multilevel"/>
    <w:tmpl w:val="7A6E7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D1175B"/>
    <w:multiLevelType w:val="multilevel"/>
    <w:tmpl w:val="5CCC8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397BCB"/>
    <w:multiLevelType w:val="multilevel"/>
    <w:tmpl w:val="DDCEE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76221C"/>
    <w:multiLevelType w:val="multilevel"/>
    <w:tmpl w:val="A274E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E690BCB"/>
    <w:multiLevelType w:val="multilevel"/>
    <w:tmpl w:val="4702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8A740B"/>
    <w:multiLevelType w:val="multilevel"/>
    <w:tmpl w:val="4F86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Y2NQUSlgZmhko6SsGpxcWZ+XkgBUa1ABVSwHgsAAAA"/>
  </w:docVars>
  <w:rsids>
    <w:rsidRoot w:val="00D07588"/>
    <w:rsid w:val="000D4AD3"/>
    <w:rsid w:val="002371CE"/>
    <w:rsid w:val="005A6589"/>
    <w:rsid w:val="007157EF"/>
    <w:rsid w:val="0074351C"/>
    <w:rsid w:val="007C0BCE"/>
    <w:rsid w:val="008E5D7B"/>
    <w:rsid w:val="00A566F6"/>
    <w:rsid w:val="00A61B3F"/>
    <w:rsid w:val="00C16355"/>
    <w:rsid w:val="00D07588"/>
    <w:rsid w:val="00D21EAF"/>
    <w:rsid w:val="00F0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0154E"/>
  <w15:docId w15:val="{646155AF-9150-4784-977F-7FEFB5DF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C0BCE"/>
    <w:rPr>
      <w:color w:val="0000FF" w:themeColor="hyperlink"/>
      <w:u w:val="single"/>
    </w:rPr>
  </w:style>
  <w:style w:type="character" w:styleId="UnresolvedMention">
    <w:name w:val="Unresolved Mention"/>
    <w:basedOn w:val="DefaultParagraphFont"/>
    <w:uiPriority w:val="99"/>
    <w:semiHidden/>
    <w:unhideWhenUsed/>
    <w:rsid w:val="007C0BCE"/>
    <w:rPr>
      <w:color w:val="605E5C"/>
      <w:shd w:val="clear" w:color="auto" w:fill="E1DFDD"/>
    </w:rPr>
  </w:style>
  <w:style w:type="paragraph" w:styleId="Header">
    <w:name w:val="header"/>
    <w:basedOn w:val="Normal"/>
    <w:link w:val="HeaderChar"/>
    <w:uiPriority w:val="99"/>
    <w:unhideWhenUsed/>
    <w:rsid w:val="000D4AD3"/>
    <w:pPr>
      <w:tabs>
        <w:tab w:val="center" w:pos="4680"/>
        <w:tab w:val="right" w:pos="9360"/>
      </w:tabs>
      <w:spacing w:line="240" w:lineRule="auto"/>
    </w:pPr>
  </w:style>
  <w:style w:type="character" w:customStyle="1" w:styleId="HeaderChar">
    <w:name w:val="Header Char"/>
    <w:basedOn w:val="DefaultParagraphFont"/>
    <w:link w:val="Header"/>
    <w:uiPriority w:val="99"/>
    <w:rsid w:val="000D4AD3"/>
  </w:style>
  <w:style w:type="paragraph" w:styleId="Footer">
    <w:name w:val="footer"/>
    <w:basedOn w:val="Normal"/>
    <w:link w:val="FooterChar"/>
    <w:uiPriority w:val="99"/>
    <w:unhideWhenUsed/>
    <w:rsid w:val="000D4AD3"/>
    <w:pPr>
      <w:tabs>
        <w:tab w:val="center" w:pos="4680"/>
        <w:tab w:val="right" w:pos="9360"/>
      </w:tabs>
      <w:spacing w:line="240" w:lineRule="auto"/>
    </w:pPr>
  </w:style>
  <w:style w:type="character" w:customStyle="1" w:styleId="FooterChar">
    <w:name w:val="Footer Char"/>
    <w:basedOn w:val="DefaultParagraphFont"/>
    <w:link w:val="Footer"/>
    <w:uiPriority w:val="99"/>
    <w:rsid w:val="000D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topics/medicine-and-dentistry/kidney-transplanta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1772</Words>
  <Characters>10104</Characters>
  <Application>Microsoft Office Word</Application>
  <DocSecurity>0</DocSecurity>
  <Lines>84</Lines>
  <Paragraphs>23</Paragraphs>
  <ScaleCrop>false</ScaleCrop>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9</cp:revision>
  <dcterms:created xsi:type="dcterms:W3CDTF">2025-10-03T07:17:00Z</dcterms:created>
  <dcterms:modified xsi:type="dcterms:W3CDTF">2025-10-03T13:11:00Z</dcterms:modified>
</cp:coreProperties>
</file>