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25C" w:rsidRDefault="005F2A0E">
      <w:r>
        <w:pict w14:anchorId="07846A90">
          <v:rect id="_x0000_i1025" style="width:0;height:1.5pt" o:hralign="center" o:hrstd="t" o:hr="t" fillcolor="#a0a0a0" stroked="f"/>
        </w:pict>
      </w:r>
    </w:p>
    <w:p w:rsidR="0016425C" w:rsidRDefault="007204B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Recurrent Nosocomial Infections and Multi-Organ Dysfunction in a </w:t>
      </w:r>
      <w:proofErr w:type="spellStart"/>
      <w:r>
        <w:rPr>
          <w:rFonts w:ascii="Times New Roman" w:eastAsia="Times New Roman" w:hAnsi="Times New Roman" w:cs="Times New Roman"/>
          <w:b/>
          <w:sz w:val="24"/>
          <w:szCs w:val="24"/>
        </w:rPr>
        <w:t>Pediatric</w:t>
      </w:r>
      <w:proofErr w:type="spellEnd"/>
      <w:r>
        <w:rPr>
          <w:rFonts w:ascii="Times New Roman" w:eastAsia="Times New Roman" w:hAnsi="Times New Roman" w:cs="Times New Roman"/>
          <w:b/>
          <w:sz w:val="24"/>
          <w:szCs w:val="24"/>
        </w:rPr>
        <w:t xml:space="preserve"> Patient with Complex Congenital Disorders: A Case Report</w:t>
      </w:r>
    </w:p>
    <w:p w:rsidR="00F453A5" w:rsidRDefault="00F453A5">
      <w:pPr>
        <w:spacing w:before="240" w:after="240"/>
        <w:rPr>
          <w:rFonts w:ascii="Times New Roman" w:eastAsia="Times New Roman" w:hAnsi="Times New Roman" w:cs="Times New Roman"/>
          <w:b/>
          <w:sz w:val="24"/>
          <w:szCs w:val="24"/>
        </w:rPr>
      </w:pPr>
    </w:p>
    <w:p w:rsidR="0016425C" w:rsidRDefault="005F2A0E">
      <w:pPr>
        <w:jc w:val="center"/>
        <w:rPr>
          <w:rFonts w:ascii="Times New Roman" w:eastAsia="Times New Roman" w:hAnsi="Times New Roman" w:cs="Times New Roman"/>
          <w:sz w:val="24"/>
          <w:szCs w:val="24"/>
        </w:rPr>
      </w:pPr>
      <w:bookmarkStart w:id="0" w:name="_GoBack"/>
      <w:bookmarkEnd w:id="0"/>
      <w:r>
        <w:pict w14:anchorId="42E1A7DB">
          <v:rect id="_x0000_i1026" style="width:0;height:1.5pt" o:hralign="center" o:hrstd="t" o:hr="t" fillcolor="#a0a0a0" stroked="f"/>
        </w:pict>
      </w:r>
    </w:p>
    <w:p w:rsidR="0016425C" w:rsidRDefault="007204B1">
      <w:pPr>
        <w:spacing w:before="240" w:after="240"/>
        <w:jc w:val="both"/>
        <w:rPr>
          <w:b/>
        </w:rPr>
      </w:pPr>
      <w:r>
        <w:rPr>
          <w:b/>
        </w:rPr>
        <w:t>ABSTRACT</w:t>
      </w:r>
    </w:p>
    <w:p w:rsidR="0016425C" w:rsidRDefault="007204B1">
      <w:pPr>
        <w:spacing w:before="240" w:after="240"/>
        <w:jc w:val="both"/>
        <w:rPr>
          <w:sz w:val="20"/>
          <w:szCs w:val="20"/>
        </w:rPr>
      </w:pPr>
      <w:r>
        <w:rPr>
          <w:b/>
        </w:rPr>
        <w:t>AIM:</w:t>
      </w:r>
      <w:r>
        <w:rPr>
          <w:rFonts w:ascii="Times New Roman" w:eastAsia="Times New Roman" w:hAnsi="Times New Roman" w:cs="Times New Roman"/>
          <w:b/>
          <w:sz w:val="24"/>
          <w:szCs w:val="24"/>
        </w:rPr>
        <w:br/>
      </w:r>
      <w:proofErr w:type="spellStart"/>
      <w:r>
        <w:rPr>
          <w:sz w:val="20"/>
          <w:szCs w:val="20"/>
        </w:rPr>
        <w:t>Pediatric</w:t>
      </w:r>
      <w:proofErr w:type="spellEnd"/>
      <w:r>
        <w:rPr>
          <w:sz w:val="20"/>
          <w:szCs w:val="20"/>
        </w:rPr>
        <w:t xml:space="preserve"> patients with multiple congenital and chronic conditions are particularly vulnerable to critical illness as they are predisposed to severe infections and multi-organ dysfunction. This case report details the clinical course of a 13-year-old female with a complex medical history who developed life-threatening nosocomial infections leading to a fatal outcome.</w:t>
      </w:r>
    </w:p>
    <w:p w:rsidR="007204B1" w:rsidRDefault="007204B1">
      <w:pPr>
        <w:spacing w:before="240" w:after="240"/>
        <w:jc w:val="both"/>
        <w:rPr>
          <w:b/>
        </w:rPr>
      </w:pPr>
      <w:r>
        <w:rPr>
          <w:b/>
        </w:rPr>
        <w:t>PRESENTATION OF CASE:</w:t>
      </w:r>
    </w:p>
    <w:p w:rsidR="0016425C" w:rsidRPr="007204B1" w:rsidRDefault="007204B1">
      <w:pPr>
        <w:spacing w:before="240" w:after="240"/>
        <w:jc w:val="both"/>
        <w:rPr>
          <w:b/>
        </w:rPr>
      </w:pPr>
      <w:r>
        <w:rPr>
          <w:sz w:val="20"/>
          <w:szCs w:val="20"/>
        </w:rPr>
        <w:t xml:space="preserve">The patient, with a history of mitochondrial disorder, microcephaly, neurodevelopmental delay, cerebral palsy, left eye evisceration, epilepsy, type 1 diabetes mellitus, and chronic respiratory failure requiring long-term mechanical ventilation, was admitted emergently to the Intensive Care Unit (ICU). Prior to admission, invasive procedures including PEG tube, tracheostomy, and central line insertions were performed. On admission, the patient presented with respiratory failure, multiple organ dysfunction, and signs of systemic infection. Microbiological cultures revealed </w:t>
      </w:r>
      <w:proofErr w:type="spellStart"/>
      <w:r>
        <w:rPr>
          <w:i/>
          <w:sz w:val="20"/>
          <w:szCs w:val="20"/>
        </w:rPr>
        <w:t>Burkholderia</w:t>
      </w:r>
      <w:proofErr w:type="spellEnd"/>
      <w:r>
        <w:rPr>
          <w:i/>
          <w:sz w:val="20"/>
          <w:szCs w:val="20"/>
        </w:rPr>
        <w:t xml:space="preserve"> </w:t>
      </w:r>
      <w:proofErr w:type="spellStart"/>
      <w:r>
        <w:rPr>
          <w:i/>
          <w:sz w:val="20"/>
          <w:szCs w:val="20"/>
        </w:rPr>
        <w:t>cepacia</w:t>
      </w:r>
      <w:proofErr w:type="spellEnd"/>
      <w:r>
        <w:rPr>
          <w:sz w:val="20"/>
          <w:szCs w:val="20"/>
        </w:rPr>
        <w:t xml:space="preserve"> complex and </w:t>
      </w:r>
      <w:r>
        <w:rPr>
          <w:i/>
          <w:sz w:val="20"/>
          <w:szCs w:val="20"/>
        </w:rPr>
        <w:t>Candida</w:t>
      </w:r>
      <w:r>
        <w:rPr>
          <w:sz w:val="20"/>
          <w:szCs w:val="20"/>
        </w:rPr>
        <w:t xml:space="preserve"> species in tracheostomy secretions, significant pyuria suggestive of urinary tract infection, and evidence of central line-associated bloodstream infection (CLABSI) as well as a PEG tube infection.</w:t>
      </w:r>
    </w:p>
    <w:p w:rsidR="0016425C" w:rsidRDefault="007204B1">
      <w:pPr>
        <w:spacing w:before="240" w:after="240"/>
        <w:jc w:val="both"/>
        <w:rPr>
          <w:sz w:val="20"/>
          <w:szCs w:val="20"/>
        </w:rPr>
      </w:pPr>
      <w:r>
        <w:rPr>
          <w:b/>
        </w:rPr>
        <w:t>DISCUSSION:</w:t>
      </w:r>
      <w:r>
        <w:rPr>
          <w:rFonts w:ascii="Times New Roman" w:eastAsia="Times New Roman" w:hAnsi="Times New Roman" w:cs="Times New Roman"/>
          <w:b/>
          <w:sz w:val="24"/>
          <w:szCs w:val="24"/>
        </w:rPr>
        <w:br/>
      </w:r>
      <w:r>
        <w:rPr>
          <w:sz w:val="20"/>
          <w:szCs w:val="20"/>
        </w:rPr>
        <w:t xml:space="preserve">With extended hospital stays and invasive devices making them more vulnerable to nosocomial infections, this case emphasizes the significant difficulties in treating </w:t>
      </w:r>
      <w:proofErr w:type="spellStart"/>
      <w:r>
        <w:rPr>
          <w:sz w:val="20"/>
          <w:szCs w:val="20"/>
        </w:rPr>
        <w:t>pediatric</w:t>
      </w:r>
      <w:proofErr w:type="spellEnd"/>
      <w:r>
        <w:rPr>
          <w:sz w:val="20"/>
          <w:szCs w:val="20"/>
        </w:rPr>
        <w:t xml:space="preserve"> patients with complicated congenital and chronic conditions. Prolonged </w:t>
      </w:r>
      <w:proofErr w:type="spellStart"/>
      <w:r>
        <w:rPr>
          <w:sz w:val="20"/>
          <w:szCs w:val="20"/>
        </w:rPr>
        <w:t>leukocytosis</w:t>
      </w:r>
      <w:proofErr w:type="spellEnd"/>
      <w:r>
        <w:rPr>
          <w:sz w:val="20"/>
          <w:szCs w:val="20"/>
        </w:rPr>
        <w:t xml:space="preserve"> and a noticeably elevated CRP were among the laboratory results that indicated severe systemic inflammation. The fatal result of the repeated isolation of Klebsiella pneumoniae that produced ESBL highlighted the challenge of choosing effective antibiotics. In order to provide the best course of treatment, these findings highlight the critical need for stringent infection control procedures and ongoing monitoring of antibiotic resistance.</w:t>
      </w:r>
    </w:p>
    <w:p w:rsidR="0016425C" w:rsidRDefault="007204B1">
      <w:pPr>
        <w:spacing w:before="240" w:after="240"/>
        <w:jc w:val="both"/>
        <w:rPr>
          <w:sz w:val="20"/>
          <w:szCs w:val="20"/>
        </w:rPr>
      </w:pPr>
      <w:r>
        <w:rPr>
          <w:b/>
        </w:rPr>
        <w:t>CONCLUSION:</w:t>
      </w:r>
      <w:r>
        <w:rPr>
          <w:rFonts w:ascii="Times New Roman" w:eastAsia="Times New Roman" w:hAnsi="Times New Roman" w:cs="Times New Roman"/>
          <w:b/>
          <w:sz w:val="24"/>
          <w:szCs w:val="24"/>
        </w:rPr>
        <w:br/>
      </w:r>
      <w:r>
        <w:rPr>
          <w:sz w:val="20"/>
          <w:szCs w:val="20"/>
        </w:rPr>
        <w:t xml:space="preserve">This case underscores the challenges inherent in managing critically ill </w:t>
      </w:r>
      <w:proofErr w:type="spellStart"/>
      <w:r>
        <w:rPr>
          <w:sz w:val="20"/>
          <w:szCs w:val="20"/>
        </w:rPr>
        <w:t>pediatric</w:t>
      </w:r>
      <w:proofErr w:type="spellEnd"/>
      <w:r>
        <w:rPr>
          <w:sz w:val="20"/>
          <w:szCs w:val="20"/>
        </w:rPr>
        <w:t xml:space="preserve"> patients with complex congenital disorders. The interplay of multiple comorbidities, invasive procedures, and nosocomial infections can lead to a rapid decline in clinical status. Enhanced infection control measures and individualized management strategies are critical for improving outcomes in this vulnerable population.</w:t>
      </w:r>
    </w:p>
    <w:p w:rsidR="0016425C" w:rsidRDefault="007204B1">
      <w:pPr>
        <w:spacing w:before="240" w:after="240"/>
        <w:jc w:val="both"/>
        <w:rPr>
          <w:i/>
          <w:sz w:val="20"/>
          <w:szCs w:val="20"/>
        </w:rPr>
      </w:pPr>
      <w:r>
        <w:rPr>
          <w:b/>
          <w:i/>
          <w:sz w:val="20"/>
          <w:szCs w:val="20"/>
        </w:rPr>
        <w:t>Keywords:</w:t>
      </w:r>
      <w:r>
        <w:rPr>
          <w:i/>
          <w:sz w:val="20"/>
          <w:szCs w:val="20"/>
        </w:rPr>
        <w:t xml:space="preserve"> </w:t>
      </w:r>
      <w:proofErr w:type="spellStart"/>
      <w:r>
        <w:rPr>
          <w:i/>
          <w:sz w:val="20"/>
          <w:szCs w:val="20"/>
        </w:rPr>
        <w:t>Pediatric</w:t>
      </w:r>
      <w:proofErr w:type="spellEnd"/>
      <w:r>
        <w:rPr>
          <w:i/>
          <w:sz w:val="20"/>
          <w:szCs w:val="20"/>
        </w:rPr>
        <w:t xml:space="preserve"> critical care, congenital disorders, nosocomial infections, multi-organ dysfunction, case report</w:t>
      </w:r>
    </w:p>
    <w:p w:rsidR="0016425C" w:rsidRDefault="005F2A0E">
      <w:pPr>
        <w:jc w:val="both"/>
        <w:rPr>
          <w:rFonts w:ascii="Times New Roman" w:eastAsia="Times New Roman" w:hAnsi="Times New Roman" w:cs="Times New Roman"/>
          <w:sz w:val="24"/>
          <w:szCs w:val="24"/>
        </w:rPr>
      </w:pPr>
      <w:r>
        <w:pict w14:anchorId="347EA93E">
          <v:rect id="_x0000_i1027" style="width:0;height:1.5pt" o:hralign="center" o:hrstd="t" o:hr="t" fillcolor="#a0a0a0" stroked="f"/>
        </w:pict>
      </w:r>
    </w:p>
    <w:p w:rsidR="0016425C" w:rsidRDefault="0016425C">
      <w:pPr>
        <w:spacing w:before="240" w:after="240"/>
        <w:jc w:val="both"/>
        <w:rPr>
          <w:rFonts w:ascii="Times New Roman" w:eastAsia="Times New Roman" w:hAnsi="Times New Roman" w:cs="Times New Roman"/>
          <w:b/>
          <w:sz w:val="24"/>
          <w:szCs w:val="24"/>
        </w:rPr>
      </w:pPr>
    </w:p>
    <w:p w:rsidR="0016425C" w:rsidRDefault="0016425C">
      <w:pPr>
        <w:spacing w:before="240" w:after="240"/>
        <w:jc w:val="both"/>
        <w:rPr>
          <w:b/>
        </w:rPr>
      </w:pPr>
    </w:p>
    <w:p w:rsidR="0016425C" w:rsidRDefault="007204B1">
      <w:pPr>
        <w:spacing w:before="240" w:after="240"/>
        <w:jc w:val="both"/>
        <w:rPr>
          <w:b/>
        </w:rPr>
      </w:pPr>
      <w:r>
        <w:rPr>
          <w:b/>
        </w:rPr>
        <w:lastRenderedPageBreak/>
        <w:t>INTRODUCTION</w:t>
      </w:r>
    </w:p>
    <w:p w:rsidR="0016425C" w:rsidRDefault="007204B1">
      <w:pPr>
        <w:spacing w:before="240" w:after="240"/>
        <w:jc w:val="both"/>
        <w:rPr>
          <w:sz w:val="20"/>
          <w:szCs w:val="20"/>
        </w:rPr>
      </w:pPr>
      <w:proofErr w:type="spellStart"/>
      <w:r>
        <w:rPr>
          <w:sz w:val="20"/>
          <w:szCs w:val="20"/>
        </w:rPr>
        <w:t>Pediatric</w:t>
      </w:r>
      <w:proofErr w:type="spellEnd"/>
      <w:r>
        <w:rPr>
          <w:sz w:val="20"/>
          <w:szCs w:val="20"/>
        </w:rPr>
        <w:t xml:space="preserve"> patients with multiple congenital anomalies and chronic illnesses develop a unique challenge to critical care medicine by becoming susceptible to severe infections, multi-organ dysfunction and other </w:t>
      </w:r>
      <w:proofErr w:type="gramStart"/>
      <w:r>
        <w:rPr>
          <w:sz w:val="20"/>
          <w:szCs w:val="20"/>
        </w:rPr>
        <w:t>life threatening</w:t>
      </w:r>
      <w:proofErr w:type="gramEnd"/>
      <w:r>
        <w:rPr>
          <w:sz w:val="20"/>
          <w:szCs w:val="20"/>
        </w:rPr>
        <w:t xml:space="preserve"> complications </w:t>
      </w:r>
      <w:r>
        <w:rPr>
          <w:color w:val="0B5394"/>
          <w:sz w:val="20"/>
          <w:szCs w:val="20"/>
        </w:rPr>
        <w:t>(</w:t>
      </w:r>
      <w:r>
        <w:rPr>
          <w:i/>
          <w:color w:val="0B5394"/>
          <w:sz w:val="20"/>
          <w:szCs w:val="20"/>
        </w:rPr>
        <w:t>1</w:t>
      </w:r>
      <w:r>
        <w:rPr>
          <w:color w:val="0B5394"/>
          <w:sz w:val="20"/>
          <w:szCs w:val="20"/>
        </w:rPr>
        <w:t>)</w:t>
      </w:r>
      <w:r>
        <w:rPr>
          <w:sz w:val="20"/>
          <w:szCs w:val="20"/>
        </w:rPr>
        <w:t xml:space="preserve">. In addition to this, there is an increased risk of recurrent nosocomial infections since </w:t>
      </w:r>
      <w:proofErr w:type="spellStart"/>
      <w:proofErr w:type="gramStart"/>
      <w:r>
        <w:rPr>
          <w:sz w:val="20"/>
          <w:szCs w:val="20"/>
        </w:rPr>
        <w:t>their</w:t>
      </w:r>
      <w:proofErr w:type="spellEnd"/>
      <w:proofErr w:type="gramEnd"/>
      <w:r>
        <w:rPr>
          <w:sz w:val="20"/>
          <w:szCs w:val="20"/>
        </w:rPr>
        <w:t xml:space="preserve"> would be a continuous association of invasive medical procedures, medical devices and exposure to infectious agents in the hospital surroundings which can remarkably impact their morbidity and mortality</w:t>
      </w:r>
      <w:r>
        <w:rPr>
          <w:color w:val="0B5394"/>
          <w:sz w:val="20"/>
          <w:szCs w:val="20"/>
        </w:rPr>
        <w:t xml:space="preserve"> (2,</w:t>
      </w:r>
      <w:r>
        <w:rPr>
          <w:i/>
          <w:color w:val="0B5394"/>
          <w:sz w:val="20"/>
          <w:szCs w:val="20"/>
        </w:rPr>
        <w:t>3</w:t>
      </w:r>
      <w:r>
        <w:rPr>
          <w:color w:val="3C78D8"/>
          <w:sz w:val="20"/>
          <w:szCs w:val="20"/>
        </w:rPr>
        <w:t xml:space="preserve">). </w:t>
      </w:r>
      <w:r>
        <w:rPr>
          <w:sz w:val="20"/>
          <w:szCs w:val="20"/>
        </w:rPr>
        <w:t xml:space="preserve">This report describes the clinical course of a long term hospitalized, 13-year-old female patient with an extensive medical history who presented with severe respiratory failure and multi-organ dysfunction secondary to nosocomial infections. The case highlights the complexities of managing such high-risk patients in an intensive care setting </w:t>
      </w:r>
      <w:r>
        <w:rPr>
          <w:color w:val="0B5394"/>
          <w:sz w:val="20"/>
          <w:szCs w:val="20"/>
        </w:rPr>
        <w:t>(</w:t>
      </w:r>
      <w:r>
        <w:rPr>
          <w:i/>
          <w:color w:val="0B5394"/>
          <w:sz w:val="20"/>
          <w:szCs w:val="20"/>
        </w:rPr>
        <w:t>1</w:t>
      </w:r>
      <w:r>
        <w:rPr>
          <w:color w:val="0B5394"/>
          <w:sz w:val="20"/>
          <w:szCs w:val="20"/>
        </w:rPr>
        <w:t>,</w:t>
      </w:r>
      <w:r>
        <w:rPr>
          <w:i/>
          <w:color w:val="0B5394"/>
          <w:sz w:val="20"/>
          <w:szCs w:val="20"/>
        </w:rPr>
        <w:t>4</w:t>
      </w:r>
      <w:r>
        <w:rPr>
          <w:color w:val="3C78D8"/>
          <w:sz w:val="20"/>
          <w:szCs w:val="20"/>
        </w:rPr>
        <w:t>)</w:t>
      </w:r>
      <w:r>
        <w:rPr>
          <w:sz w:val="20"/>
          <w:szCs w:val="20"/>
        </w:rPr>
        <w:t>.</w:t>
      </w:r>
    </w:p>
    <w:p w:rsidR="0016425C" w:rsidRDefault="005F2A0E">
      <w:pPr>
        <w:jc w:val="both"/>
        <w:rPr>
          <w:rFonts w:ascii="Times New Roman" w:eastAsia="Times New Roman" w:hAnsi="Times New Roman" w:cs="Times New Roman"/>
          <w:sz w:val="24"/>
          <w:szCs w:val="24"/>
        </w:rPr>
      </w:pPr>
      <w:r>
        <w:pict w14:anchorId="77494387">
          <v:rect id="_x0000_i1028" style="width:0;height:1.5pt" o:hralign="center" o:hrstd="t" o:hr="t" fillcolor="#a0a0a0" stroked="f"/>
        </w:pict>
      </w:r>
    </w:p>
    <w:p w:rsidR="0016425C" w:rsidRDefault="007204B1">
      <w:pPr>
        <w:spacing w:before="240" w:after="240"/>
        <w:jc w:val="both"/>
        <w:rPr>
          <w:b/>
        </w:rPr>
      </w:pPr>
      <w:r>
        <w:rPr>
          <w:b/>
        </w:rPr>
        <w:t>PRESENTATION OF CASE</w:t>
      </w:r>
    </w:p>
    <w:p w:rsidR="0016425C" w:rsidRDefault="007204B1">
      <w:pPr>
        <w:spacing w:before="240" w:after="240"/>
        <w:jc w:val="both"/>
        <w:rPr>
          <w:b/>
        </w:rPr>
      </w:pPr>
      <w:r>
        <w:rPr>
          <w:b/>
        </w:rPr>
        <w:t>Patient Medical History:</w:t>
      </w:r>
    </w:p>
    <w:p w:rsidR="0016425C" w:rsidRDefault="007204B1">
      <w:pPr>
        <w:spacing w:before="240" w:after="240"/>
        <w:jc w:val="both"/>
        <w:rPr>
          <w:sz w:val="20"/>
          <w:szCs w:val="20"/>
        </w:rPr>
      </w:pPr>
      <w:r>
        <w:rPr>
          <w:sz w:val="20"/>
          <w:szCs w:val="20"/>
        </w:rPr>
        <w:t>The patient’s past medical history was significant for the following conditions:</w:t>
      </w:r>
    </w:p>
    <w:p w:rsidR="0016425C" w:rsidRDefault="007204B1">
      <w:pPr>
        <w:numPr>
          <w:ilvl w:val="0"/>
          <w:numId w:val="3"/>
        </w:numPr>
        <w:jc w:val="both"/>
        <w:rPr>
          <w:sz w:val="20"/>
          <w:szCs w:val="20"/>
        </w:rPr>
      </w:pPr>
      <w:r>
        <w:rPr>
          <w:b/>
          <w:sz w:val="20"/>
          <w:szCs w:val="20"/>
        </w:rPr>
        <w:t>Mitochondrial Disorder:</w:t>
      </w:r>
      <w:r>
        <w:rPr>
          <w:sz w:val="20"/>
          <w:szCs w:val="20"/>
        </w:rPr>
        <w:t xml:space="preserve"> A genetic defect impairing cellular energy production.</w:t>
      </w:r>
    </w:p>
    <w:p w:rsidR="0016425C" w:rsidRDefault="007204B1">
      <w:pPr>
        <w:numPr>
          <w:ilvl w:val="0"/>
          <w:numId w:val="3"/>
        </w:numPr>
        <w:jc w:val="both"/>
        <w:rPr>
          <w:sz w:val="20"/>
          <w:szCs w:val="20"/>
        </w:rPr>
      </w:pPr>
      <w:r>
        <w:rPr>
          <w:b/>
          <w:sz w:val="20"/>
          <w:szCs w:val="20"/>
        </w:rPr>
        <w:t>Microcephaly:</w:t>
      </w:r>
      <w:r>
        <w:rPr>
          <w:sz w:val="20"/>
          <w:szCs w:val="20"/>
        </w:rPr>
        <w:t xml:space="preserve"> Marked by a significantly reduced head size.</w:t>
      </w:r>
    </w:p>
    <w:p w:rsidR="0016425C" w:rsidRDefault="007204B1">
      <w:pPr>
        <w:numPr>
          <w:ilvl w:val="0"/>
          <w:numId w:val="3"/>
        </w:numPr>
        <w:jc w:val="both"/>
        <w:rPr>
          <w:sz w:val="20"/>
          <w:szCs w:val="20"/>
        </w:rPr>
      </w:pPr>
      <w:r>
        <w:rPr>
          <w:b/>
          <w:sz w:val="20"/>
          <w:szCs w:val="20"/>
        </w:rPr>
        <w:t>Neurodevelopmental Disorder:</w:t>
      </w:r>
      <w:r>
        <w:rPr>
          <w:sz w:val="20"/>
          <w:szCs w:val="20"/>
        </w:rPr>
        <w:t xml:space="preserve"> Characterized by delayed and impaired developmental milestones.</w:t>
      </w:r>
    </w:p>
    <w:p w:rsidR="0016425C" w:rsidRDefault="007204B1">
      <w:pPr>
        <w:numPr>
          <w:ilvl w:val="0"/>
          <w:numId w:val="3"/>
        </w:numPr>
        <w:jc w:val="both"/>
        <w:rPr>
          <w:sz w:val="20"/>
          <w:szCs w:val="20"/>
        </w:rPr>
      </w:pPr>
      <w:r>
        <w:rPr>
          <w:b/>
          <w:sz w:val="20"/>
          <w:szCs w:val="20"/>
        </w:rPr>
        <w:t>Cerebral Palsy:</w:t>
      </w:r>
      <w:r>
        <w:rPr>
          <w:sz w:val="20"/>
          <w:szCs w:val="20"/>
        </w:rPr>
        <w:t xml:space="preserve"> A neurological disorder affecting motor function and coordination.</w:t>
      </w:r>
    </w:p>
    <w:p w:rsidR="0016425C" w:rsidRDefault="007204B1">
      <w:pPr>
        <w:numPr>
          <w:ilvl w:val="0"/>
          <w:numId w:val="3"/>
        </w:numPr>
        <w:jc w:val="both"/>
        <w:rPr>
          <w:sz w:val="20"/>
          <w:szCs w:val="20"/>
        </w:rPr>
      </w:pPr>
      <w:r>
        <w:rPr>
          <w:b/>
          <w:sz w:val="20"/>
          <w:szCs w:val="20"/>
        </w:rPr>
        <w:t>Left Eye Evisceration:</w:t>
      </w:r>
      <w:r>
        <w:rPr>
          <w:sz w:val="20"/>
          <w:szCs w:val="20"/>
        </w:rPr>
        <w:t xml:space="preserve"> Surgical removal of the left eye.</w:t>
      </w:r>
    </w:p>
    <w:p w:rsidR="0016425C" w:rsidRDefault="007204B1">
      <w:pPr>
        <w:numPr>
          <w:ilvl w:val="0"/>
          <w:numId w:val="3"/>
        </w:numPr>
        <w:jc w:val="both"/>
        <w:rPr>
          <w:sz w:val="20"/>
          <w:szCs w:val="20"/>
        </w:rPr>
      </w:pPr>
      <w:r>
        <w:rPr>
          <w:b/>
          <w:sz w:val="20"/>
          <w:szCs w:val="20"/>
        </w:rPr>
        <w:t>Epilepsy:</w:t>
      </w:r>
      <w:r>
        <w:rPr>
          <w:sz w:val="20"/>
          <w:szCs w:val="20"/>
        </w:rPr>
        <w:t xml:space="preserve"> A seizure disorder requiring ongoing management.</w:t>
      </w:r>
    </w:p>
    <w:p w:rsidR="0016425C" w:rsidRDefault="007204B1">
      <w:pPr>
        <w:numPr>
          <w:ilvl w:val="0"/>
          <w:numId w:val="3"/>
        </w:numPr>
        <w:jc w:val="both"/>
        <w:rPr>
          <w:sz w:val="20"/>
          <w:szCs w:val="20"/>
        </w:rPr>
      </w:pPr>
      <w:r>
        <w:rPr>
          <w:b/>
          <w:sz w:val="20"/>
          <w:szCs w:val="20"/>
        </w:rPr>
        <w:t>Type 1 Diabetes Mellitus:</w:t>
      </w:r>
      <w:r>
        <w:rPr>
          <w:sz w:val="20"/>
          <w:szCs w:val="20"/>
        </w:rPr>
        <w:t xml:space="preserve"> An autoimmune condition necessitating regular insulin administration.</w:t>
      </w:r>
    </w:p>
    <w:p w:rsidR="0016425C" w:rsidRDefault="007204B1">
      <w:pPr>
        <w:numPr>
          <w:ilvl w:val="0"/>
          <w:numId w:val="3"/>
        </w:numPr>
        <w:spacing w:after="240"/>
        <w:jc w:val="both"/>
        <w:rPr>
          <w:sz w:val="20"/>
          <w:szCs w:val="20"/>
        </w:rPr>
      </w:pPr>
      <w:r>
        <w:rPr>
          <w:b/>
          <w:sz w:val="20"/>
          <w:szCs w:val="20"/>
        </w:rPr>
        <w:t>Chronic Respiratory Failure:</w:t>
      </w:r>
      <w:r>
        <w:rPr>
          <w:sz w:val="20"/>
          <w:szCs w:val="20"/>
        </w:rPr>
        <w:t xml:space="preserve"> Requiring long-term ventilatory support via tracheostomy.</w:t>
      </w:r>
    </w:p>
    <w:p w:rsidR="0016425C" w:rsidRDefault="007204B1">
      <w:pPr>
        <w:spacing w:before="240" w:after="240"/>
        <w:jc w:val="both"/>
        <w:rPr>
          <w:b/>
        </w:rPr>
      </w:pPr>
      <w:r>
        <w:rPr>
          <w:b/>
        </w:rPr>
        <w:t>Procedural History Prior to Admission:</w:t>
      </w:r>
    </w:p>
    <w:p w:rsidR="0016425C" w:rsidRDefault="007204B1">
      <w:pPr>
        <w:numPr>
          <w:ilvl w:val="0"/>
          <w:numId w:val="6"/>
        </w:numPr>
        <w:jc w:val="both"/>
        <w:rPr>
          <w:sz w:val="20"/>
          <w:szCs w:val="20"/>
        </w:rPr>
      </w:pPr>
      <w:r>
        <w:rPr>
          <w:b/>
          <w:sz w:val="20"/>
          <w:szCs w:val="20"/>
        </w:rPr>
        <w:t>PEG Tube Change:</w:t>
      </w:r>
      <w:r>
        <w:rPr>
          <w:sz w:val="20"/>
          <w:szCs w:val="20"/>
        </w:rPr>
        <w:t xml:space="preserve"> Performed on May 22, 2024.</w:t>
      </w:r>
    </w:p>
    <w:p w:rsidR="0016425C" w:rsidRDefault="007204B1">
      <w:pPr>
        <w:numPr>
          <w:ilvl w:val="0"/>
          <w:numId w:val="6"/>
        </w:numPr>
        <w:jc w:val="both"/>
        <w:rPr>
          <w:sz w:val="20"/>
          <w:szCs w:val="20"/>
        </w:rPr>
      </w:pPr>
      <w:r>
        <w:rPr>
          <w:b/>
          <w:sz w:val="20"/>
          <w:szCs w:val="20"/>
        </w:rPr>
        <w:t>Tracheostomy Change:</w:t>
      </w:r>
      <w:r>
        <w:rPr>
          <w:sz w:val="20"/>
          <w:szCs w:val="20"/>
        </w:rPr>
        <w:t xml:space="preserve"> Performed on April 23, 2024.</w:t>
      </w:r>
    </w:p>
    <w:p w:rsidR="0016425C" w:rsidRDefault="007204B1">
      <w:pPr>
        <w:numPr>
          <w:ilvl w:val="0"/>
          <w:numId w:val="6"/>
        </w:numPr>
        <w:spacing w:after="240"/>
        <w:jc w:val="both"/>
        <w:rPr>
          <w:sz w:val="20"/>
          <w:szCs w:val="20"/>
        </w:rPr>
      </w:pPr>
      <w:r>
        <w:rPr>
          <w:b/>
          <w:sz w:val="20"/>
          <w:szCs w:val="20"/>
        </w:rPr>
        <w:t>Central Line Insertion:</w:t>
      </w:r>
      <w:r>
        <w:rPr>
          <w:sz w:val="20"/>
          <w:szCs w:val="20"/>
        </w:rPr>
        <w:t xml:space="preserve"> Performed on May 12, 2024.</w:t>
      </w:r>
    </w:p>
    <w:p w:rsidR="0016425C" w:rsidRDefault="007204B1">
      <w:pPr>
        <w:spacing w:before="240" w:after="240"/>
        <w:jc w:val="both"/>
        <w:rPr>
          <w:sz w:val="20"/>
          <w:szCs w:val="20"/>
        </w:rPr>
      </w:pPr>
      <w:r>
        <w:rPr>
          <w:sz w:val="20"/>
          <w:szCs w:val="20"/>
        </w:rPr>
        <w:t xml:space="preserve">The patient was admitted to </w:t>
      </w:r>
      <w:proofErr w:type="spellStart"/>
      <w:r>
        <w:rPr>
          <w:sz w:val="20"/>
          <w:szCs w:val="20"/>
        </w:rPr>
        <w:t>Thumbay</w:t>
      </w:r>
      <w:proofErr w:type="spellEnd"/>
      <w:r>
        <w:rPr>
          <w:sz w:val="20"/>
          <w:szCs w:val="20"/>
        </w:rPr>
        <w:t xml:space="preserve"> University Hospital on May 24, 2024, in a critical state.</w:t>
      </w:r>
    </w:p>
    <w:p w:rsidR="0016425C" w:rsidRDefault="005F2A0E">
      <w:pPr>
        <w:jc w:val="both"/>
        <w:rPr>
          <w:b/>
          <w:sz w:val="20"/>
          <w:szCs w:val="20"/>
        </w:rPr>
      </w:pPr>
      <w:r>
        <w:pict w14:anchorId="440DAFC3">
          <v:rect id="_x0000_i1029" style="width:0;height:1.5pt" o:hralign="center" o:hrstd="t" o:hr="t" fillcolor="#a0a0a0" stroked="f"/>
        </w:pict>
      </w:r>
    </w:p>
    <w:p w:rsidR="0016425C" w:rsidRDefault="007204B1">
      <w:pPr>
        <w:spacing w:before="240" w:after="240"/>
        <w:jc w:val="both"/>
        <w:rPr>
          <w:b/>
        </w:rPr>
      </w:pPr>
      <w:r>
        <w:rPr>
          <w:b/>
        </w:rPr>
        <w:t>Physical Examination:</w:t>
      </w:r>
    </w:p>
    <w:p w:rsidR="0016425C" w:rsidRDefault="007204B1">
      <w:pPr>
        <w:spacing w:before="240" w:after="240"/>
        <w:jc w:val="both"/>
        <w:rPr>
          <w:b/>
          <w:sz w:val="20"/>
          <w:szCs w:val="20"/>
        </w:rPr>
      </w:pPr>
      <w:r>
        <w:rPr>
          <w:b/>
          <w:sz w:val="20"/>
          <w:szCs w:val="20"/>
        </w:rPr>
        <w:t>General Appearance and Neurological Status:</w:t>
      </w:r>
    </w:p>
    <w:p w:rsidR="0016425C" w:rsidRDefault="007204B1">
      <w:pPr>
        <w:numPr>
          <w:ilvl w:val="0"/>
          <w:numId w:val="1"/>
        </w:numPr>
        <w:jc w:val="both"/>
        <w:rPr>
          <w:sz w:val="20"/>
          <w:szCs w:val="20"/>
        </w:rPr>
      </w:pPr>
      <w:r>
        <w:rPr>
          <w:b/>
          <w:sz w:val="20"/>
          <w:szCs w:val="20"/>
        </w:rPr>
        <w:t>Consciousness:</w:t>
      </w:r>
      <w:r>
        <w:rPr>
          <w:sz w:val="20"/>
          <w:szCs w:val="20"/>
        </w:rPr>
        <w:t xml:space="preserve"> Glasgow Coma Scale (GCS) of 3/15, indicative of severe impairment.</w:t>
      </w:r>
    </w:p>
    <w:p w:rsidR="0016425C" w:rsidRDefault="007204B1">
      <w:pPr>
        <w:numPr>
          <w:ilvl w:val="0"/>
          <w:numId w:val="1"/>
        </w:numPr>
        <w:jc w:val="both"/>
        <w:rPr>
          <w:sz w:val="20"/>
          <w:szCs w:val="20"/>
        </w:rPr>
      </w:pPr>
      <w:r>
        <w:rPr>
          <w:b/>
          <w:sz w:val="20"/>
          <w:szCs w:val="20"/>
        </w:rPr>
        <w:t>Dependency:</w:t>
      </w:r>
      <w:r>
        <w:rPr>
          <w:sz w:val="20"/>
          <w:szCs w:val="20"/>
        </w:rPr>
        <w:t xml:space="preserve"> Bedridden and ventilator-dependent via tracheostomy.</w:t>
      </w:r>
    </w:p>
    <w:p w:rsidR="0016425C" w:rsidRDefault="007204B1">
      <w:pPr>
        <w:numPr>
          <w:ilvl w:val="0"/>
          <w:numId w:val="1"/>
        </w:numPr>
        <w:spacing w:after="240"/>
        <w:jc w:val="both"/>
        <w:rPr>
          <w:sz w:val="20"/>
          <w:szCs w:val="20"/>
        </w:rPr>
      </w:pPr>
      <w:r>
        <w:rPr>
          <w:b/>
          <w:sz w:val="20"/>
          <w:szCs w:val="20"/>
        </w:rPr>
        <w:t>Response:</w:t>
      </w:r>
      <w:r>
        <w:rPr>
          <w:sz w:val="20"/>
          <w:szCs w:val="20"/>
        </w:rPr>
        <w:t xml:space="preserve"> No response to painful stimuli.</w:t>
      </w:r>
    </w:p>
    <w:p w:rsidR="0016425C" w:rsidRDefault="007204B1">
      <w:pPr>
        <w:spacing w:before="240" w:after="240"/>
        <w:jc w:val="both"/>
        <w:rPr>
          <w:b/>
          <w:sz w:val="20"/>
          <w:szCs w:val="20"/>
        </w:rPr>
      </w:pPr>
      <w:r>
        <w:rPr>
          <w:b/>
          <w:sz w:val="20"/>
          <w:szCs w:val="20"/>
        </w:rPr>
        <w:t>Ophthalmologic Findings:</w:t>
      </w:r>
    </w:p>
    <w:p w:rsidR="0016425C" w:rsidRDefault="007204B1">
      <w:pPr>
        <w:numPr>
          <w:ilvl w:val="0"/>
          <w:numId w:val="9"/>
        </w:numPr>
        <w:jc w:val="both"/>
        <w:rPr>
          <w:sz w:val="20"/>
          <w:szCs w:val="20"/>
        </w:rPr>
      </w:pPr>
      <w:r>
        <w:rPr>
          <w:b/>
          <w:sz w:val="20"/>
          <w:szCs w:val="20"/>
        </w:rPr>
        <w:t>Left Eye:</w:t>
      </w:r>
      <w:r>
        <w:rPr>
          <w:sz w:val="20"/>
          <w:szCs w:val="20"/>
        </w:rPr>
        <w:t xml:space="preserve"> Eviscerated.</w:t>
      </w:r>
    </w:p>
    <w:p w:rsidR="0016425C" w:rsidRDefault="007204B1">
      <w:pPr>
        <w:numPr>
          <w:ilvl w:val="0"/>
          <w:numId w:val="9"/>
        </w:numPr>
        <w:spacing w:after="240"/>
        <w:jc w:val="both"/>
        <w:rPr>
          <w:sz w:val="20"/>
          <w:szCs w:val="20"/>
        </w:rPr>
      </w:pPr>
      <w:r>
        <w:rPr>
          <w:b/>
          <w:sz w:val="20"/>
          <w:szCs w:val="20"/>
        </w:rPr>
        <w:t>Right Eye:</w:t>
      </w:r>
      <w:r>
        <w:rPr>
          <w:sz w:val="20"/>
          <w:szCs w:val="20"/>
        </w:rPr>
        <w:t xml:space="preserve"> Minimal spontaneous closure, absence of eye contact.</w:t>
      </w:r>
    </w:p>
    <w:p w:rsidR="0016425C" w:rsidRDefault="007204B1">
      <w:pPr>
        <w:spacing w:before="240" w:after="240"/>
        <w:jc w:val="both"/>
        <w:rPr>
          <w:b/>
          <w:sz w:val="20"/>
          <w:szCs w:val="20"/>
        </w:rPr>
      </w:pPr>
      <w:r>
        <w:rPr>
          <w:b/>
          <w:sz w:val="20"/>
          <w:szCs w:val="20"/>
        </w:rPr>
        <w:lastRenderedPageBreak/>
        <w:t>Musculoskeletal and Dermatologic Findings:</w:t>
      </w:r>
    </w:p>
    <w:p w:rsidR="0016425C" w:rsidRDefault="007204B1">
      <w:pPr>
        <w:numPr>
          <w:ilvl w:val="0"/>
          <w:numId w:val="4"/>
        </w:numPr>
        <w:jc w:val="both"/>
        <w:rPr>
          <w:sz w:val="20"/>
          <w:szCs w:val="20"/>
        </w:rPr>
      </w:pPr>
      <w:r>
        <w:rPr>
          <w:sz w:val="20"/>
          <w:szCs w:val="20"/>
        </w:rPr>
        <w:t>Multiple limb deformities involving bilateral hands and feet.</w:t>
      </w:r>
    </w:p>
    <w:p w:rsidR="0016425C" w:rsidRDefault="007204B1">
      <w:pPr>
        <w:numPr>
          <w:ilvl w:val="0"/>
          <w:numId w:val="4"/>
        </w:numPr>
        <w:jc w:val="both"/>
        <w:rPr>
          <w:sz w:val="20"/>
          <w:szCs w:val="20"/>
        </w:rPr>
      </w:pPr>
      <w:r>
        <w:rPr>
          <w:sz w:val="20"/>
          <w:szCs w:val="20"/>
        </w:rPr>
        <w:t>Darkened skin with shortened fingers.</w:t>
      </w:r>
    </w:p>
    <w:p w:rsidR="0016425C" w:rsidRDefault="007204B1">
      <w:pPr>
        <w:numPr>
          <w:ilvl w:val="0"/>
          <w:numId w:val="4"/>
        </w:numPr>
        <w:spacing w:after="240"/>
        <w:jc w:val="both"/>
        <w:rPr>
          <w:sz w:val="20"/>
          <w:szCs w:val="20"/>
        </w:rPr>
      </w:pPr>
      <w:r>
        <w:rPr>
          <w:sz w:val="20"/>
          <w:szCs w:val="20"/>
        </w:rPr>
        <w:t>Numerous skin lesions were present.</w:t>
      </w:r>
    </w:p>
    <w:p w:rsidR="0016425C" w:rsidRDefault="007204B1">
      <w:pPr>
        <w:spacing w:before="240" w:after="240"/>
        <w:jc w:val="both"/>
        <w:rPr>
          <w:b/>
          <w:sz w:val="20"/>
          <w:szCs w:val="20"/>
        </w:rPr>
      </w:pPr>
      <w:r>
        <w:rPr>
          <w:b/>
          <w:sz w:val="20"/>
          <w:szCs w:val="20"/>
        </w:rPr>
        <w:t>Additional Findings:</w:t>
      </w:r>
    </w:p>
    <w:p w:rsidR="0016425C" w:rsidRDefault="007204B1">
      <w:pPr>
        <w:numPr>
          <w:ilvl w:val="0"/>
          <w:numId w:val="2"/>
        </w:numPr>
        <w:jc w:val="both"/>
        <w:rPr>
          <w:sz w:val="20"/>
          <w:szCs w:val="20"/>
        </w:rPr>
      </w:pPr>
      <w:r>
        <w:rPr>
          <w:b/>
          <w:sz w:val="20"/>
          <w:szCs w:val="20"/>
        </w:rPr>
        <w:t>Infection Sites:</w:t>
      </w:r>
      <w:r>
        <w:rPr>
          <w:sz w:val="20"/>
          <w:szCs w:val="20"/>
        </w:rPr>
        <w:t xml:space="preserve"> Approximately 50 mL of purulent material was noted from the Foley catheter, with additional pus observed around the PEG tube.</w:t>
      </w:r>
    </w:p>
    <w:p w:rsidR="0016425C" w:rsidRDefault="007204B1">
      <w:pPr>
        <w:numPr>
          <w:ilvl w:val="0"/>
          <w:numId w:val="2"/>
        </w:numPr>
        <w:spacing w:after="240"/>
        <w:jc w:val="both"/>
        <w:rPr>
          <w:sz w:val="20"/>
          <w:szCs w:val="20"/>
        </w:rPr>
      </w:pPr>
      <w:r>
        <w:rPr>
          <w:b/>
          <w:sz w:val="20"/>
          <w:szCs w:val="20"/>
        </w:rPr>
        <w:t>Metabolic Instability:</w:t>
      </w:r>
      <w:r>
        <w:rPr>
          <w:sz w:val="20"/>
          <w:szCs w:val="20"/>
        </w:rPr>
        <w:t xml:space="preserve"> Notable fluctuations in blood glucose levels consistent with type 1 diabetes.</w:t>
      </w:r>
    </w:p>
    <w:p w:rsidR="0016425C" w:rsidRDefault="005F2A0E">
      <w:pPr>
        <w:jc w:val="both"/>
        <w:rPr>
          <w:sz w:val="20"/>
          <w:szCs w:val="20"/>
        </w:rPr>
      </w:pPr>
      <w:r>
        <w:pict w14:anchorId="017D93E5">
          <v:rect id="_x0000_i1030" style="width:0;height:1.5pt" o:hralign="center" o:hrstd="t" o:hr="t" fillcolor="#a0a0a0" stroked="f"/>
        </w:pict>
      </w:r>
    </w:p>
    <w:p w:rsidR="0016425C" w:rsidRDefault="0016425C">
      <w:pPr>
        <w:jc w:val="both"/>
        <w:rPr>
          <w:sz w:val="20"/>
          <w:szCs w:val="20"/>
        </w:rPr>
      </w:pPr>
    </w:p>
    <w:p w:rsidR="0016425C" w:rsidRDefault="007204B1">
      <w:pPr>
        <w:jc w:val="both"/>
        <w:rPr>
          <w:b/>
        </w:rPr>
      </w:pPr>
      <w:r>
        <w:rPr>
          <w:b/>
        </w:rPr>
        <w:t>Investigations and Testing:</w:t>
      </w:r>
    </w:p>
    <w:p w:rsidR="0016425C" w:rsidRDefault="007204B1">
      <w:pPr>
        <w:spacing w:before="240" w:after="240"/>
        <w:jc w:val="both"/>
        <w:rPr>
          <w:b/>
          <w:sz w:val="20"/>
          <w:szCs w:val="20"/>
        </w:rPr>
      </w:pPr>
      <w:r>
        <w:rPr>
          <w:b/>
          <w:sz w:val="20"/>
          <w:szCs w:val="20"/>
        </w:rPr>
        <w:t>Microbiological Studies</w:t>
      </w:r>
    </w:p>
    <w:p w:rsidR="0016425C" w:rsidRDefault="007204B1">
      <w:pPr>
        <w:spacing w:before="240" w:after="240"/>
        <w:jc w:val="both"/>
        <w:rPr>
          <w:sz w:val="20"/>
          <w:szCs w:val="20"/>
        </w:rPr>
      </w:pPr>
      <w:r>
        <w:rPr>
          <w:sz w:val="20"/>
          <w:szCs w:val="20"/>
        </w:rPr>
        <w:t>A series of cultures and sensitivity tests were conducted from various sites:</w:t>
      </w:r>
    </w:p>
    <w:p w:rsidR="0016425C" w:rsidRDefault="007204B1">
      <w:pPr>
        <w:numPr>
          <w:ilvl w:val="0"/>
          <w:numId w:val="7"/>
        </w:numPr>
        <w:jc w:val="both"/>
        <w:rPr>
          <w:sz w:val="20"/>
          <w:szCs w:val="20"/>
        </w:rPr>
      </w:pPr>
      <w:r>
        <w:rPr>
          <w:b/>
          <w:sz w:val="20"/>
          <w:szCs w:val="20"/>
        </w:rPr>
        <w:t>Tracheostomy Secretions:</w:t>
      </w:r>
    </w:p>
    <w:p w:rsidR="0016425C" w:rsidRDefault="007204B1">
      <w:pPr>
        <w:numPr>
          <w:ilvl w:val="1"/>
          <w:numId w:val="7"/>
        </w:numPr>
        <w:jc w:val="both"/>
        <w:rPr>
          <w:sz w:val="20"/>
          <w:szCs w:val="20"/>
        </w:rPr>
      </w:pPr>
      <w:r>
        <w:rPr>
          <w:sz w:val="20"/>
          <w:szCs w:val="20"/>
        </w:rPr>
        <w:t xml:space="preserve">Cultures revealed </w:t>
      </w:r>
      <w:proofErr w:type="spellStart"/>
      <w:r>
        <w:rPr>
          <w:i/>
          <w:sz w:val="20"/>
          <w:szCs w:val="20"/>
        </w:rPr>
        <w:t>Burkholderia</w:t>
      </w:r>
      <w:proofErr w:type="spellEnd"/>
      <w:r>
        <w:rPr>
          <w:i/>
          <w:sz w:val="20"/>
          <w:szCs w:val="20"/>
        </w:rPr>
        <w:t xml:space="preserve"> </w:t>
      </w:r>
      <w:proofErr w:type="spellStart"/>
      <w:r>
        <w:rPr>
          <w:i/>
          <w:sz w:val="20"/>
          <w:szCs w:val="20"/>
        </w:rPr>
        <w:t>cepacia</w:t>
      </w:r>
      <w:proofErr w:type="spellEnd"/>
      <w:r>
        <w:rPr>
          <w:sz w:val="20"/>
          <w:szCs w:val="20"/>
        </w:rPr>
        <w:t xml:space="preserve"> complex and </w:t>
      </w:r>
      <w:r>
        <w:rPr>
          <w:i/>
          <w:sz w:val="20"/>
          <w:szCs w:val="20"/>
        </w:rPr>
        <w:t>Candida</w:t>
      </w:r>
      <w:r>
        <w:rPr>
          <w:sz w:val="20"/>
          <w:szCs w:val="20"/>
        </w:rPr>
        <w:t xml:space="preserve"> species.</w:t>
      </w:r>
    </w:p>
    <w:p w:rsidR="0016425C" w:rsidRDefault="007204B1">
      <w:pPr>
        <w:numPr>
          <w:ilvl w:val="0"/>
          <w:numId w:val="7"/>
        </w:numPr>
        <w:jc w:val="both"/>
        <w:rPr>
          <w:sz w:val="20"/>
          <w:szCs w:val="20"/>
        </w:rPr>
      </w:pPr>
      <w:r>
        <w:rPr>
          <w:b/>
          <w:sz w:val="20"/>
          <w:szCs w:val="20"/>
        </w:rPr>
        <w:t>Urine Analysis:</w:t>
      </w:r>
    </w:p>
    <w:p w:rsidR="0016425C" w:rsidRDefault="007204B1">
      <w:pPr>
        <w:numPr>
          <w:ilvl w:val="1"/>
          <w:numId w:val="7"/>
        </w:numPr>
        <w:jc w:val="both"/>
        <w:rPr>
          <w:sz w:val="20"/>
          <w:szCs w:val="20"/>
        </w:rPr>
      </w:pPr>
      <w:r>
        <w:rPr>
          <w:sz w:val="20"/>
          <w:szCs w:val="20"/>
        </w:rPr>
        <w:t>WBC count of 30–40/HPF, RBC count of 20–24/HPF, moderate mucus, positive leukocyte esterase, and the presence of pus in the Foley catheter sample confirmed a urinary tract infection.</w:t>
      </w:r>
    </w:p>
    <w:p w:rsidR="0016425C" w:rsidRDefault="007204B1">
      <w:pPr>
        <w:numPr>
          <w:ilvl w:val="0"/>
          <w:numId w:val="7"/>
        </w:numPr>
        <w:jc w:val="both"/>
        <w:rPr>
          <w:sz w:val="20"/>
          <w:szCs w:val="20"/>
        </w:rPr>
      </w:pPr>
      <w:r>
        <w:rPr>
          <w:b/>
          <w:sz w:val="20"/>
          <w:szCs w:val="20"/>
        </w:rPr>
        <w:t>Central Line and PEG Tube Infections:</w:t>
      </w:r>
    </w:p>
    <w:p w:rsidR="0016425C" w:rsidRDefault="007204B1">
      <w:pPr>
        <w:numPr>
          <w:ilvl w:val="1"/>
          <w:numId w:val="7"/>
        </w:numPr>
        <w:jc w:val="both"/>
        <w:rPr>
          <w:sz w:val="20"/>
          <w:szCs w:val="20"/>
        </w:rPr>
      </w:pPr>
      <w:r>
        <w:rPr>
          <w:sz w:val="20"/>
          <w:szCs w:val="20"/>
        </w:rPr>
        <w:t>Gram stain of the PEG tube aspirate showed abundant pus cells (+++), consistent with bacterial infection.</w:t>
      </w:r>
    </w:p>
    <w:p w:rsidR="0016425C" w:rsidRDefault="007204B1">
      <w:pPr>
        <w:numPr>
          <w:ilvl w:val="0"/>
          <w:numId w:val="7"/>
        </w:numPr>
        <w:jc w:val="both"/>
        <w:rPr>
          <w:sz w:val="20"/>
          <w:szCs w:val="20"/>
        </w:rPr>
      </w:pPr>
      <w:r>
        <w:rPr>
          <w:b/>
          <w:sz w:val="20"/>
          <w:szCs w:val="20"/>
        </w:rPr>
        <w:t>Antibiotic Sensitivity:</w:t>
      </w:r>
    </w:p>
    <w:p w:rsidR="0016425C" w:rsidRDefault="007204B1">
      <w:pPr>
        <w:numPr>
          <w:ilvl w:val="1"/>
          <w:numId w:val="7"/>
        </w:numPr>
        <w:spacing w:after="240"/>
        <w:jc w:val="both"/>
        <w:rPr>
          <w:sz w:val="20"/>
          <w:szCs w:val="20"/>
        </w:rPr>
      </w:pPr>
      <w:r>
        <w:rPr>
          <w:sz w:val="20"/>
          <w:szCs w:val="20"/>
        </w:rPr>
        <w:t xml:space="preserve">Sensitivity testing done by </w:t>
      </w:r>
      <w:proofErr w:type="spellStart"/>
      <w:r>
        <w:rPr>
          <w:sz w:val="20"/>
          <w:szCs w:val="20"/>
        </w:rPr>
        <w:t>Microscan</w:t>
      </w:r>
      <w:proofErr w:type="spellEnd"/>
      <w:r>
        <w:rPr>
          <w:sz w:val="20"/>
          <w:szCs w:val="20"/>
        </w:rPr>
        <w:t xml:space="preserve"> equipment guided the adjustment of the antibiotic regimen.</w:t>
      </w:r>
    </w:p>
    <w:p w:rsidR="0016425C" w:rsidRDefault="007204B1">
      <w:pPr>
        <w:spacing w:after="240"/>
        <w:rPr>
          <w:b/>
          <w:sz w:val="20"/>
          <w:szCs w:val="20"/>
        </w:rPr>
      </w:pPr>
      <w:r>
        <w:rPr>
          <w:b/>
          <w:sz w:val="20"/>
          <w:szCs w:val="20"/>
        </w:rPr>
        <w:t xml:space="preserve">Table </w:t>
      </w:r>
      <w:proofErr w:type="gramStart"/>
      <w:r>
        <w:rPr>
          <w:b/>
          <w:sz w:val="20"/>
          <w:szCs w:val="20"/>
        </w:rPr>
        <w:t>1:-</w:t>
      </w:r>
      <w:proofErr w:type="gramEnd"/>
      <w:r>
        <w:rPr>
          <w:b/>
          <w:sz w:val="20"/>
          <w:szCs w:val="20"/>
        </w:rPr>
        <w:t xml:space="preserve"> Laboratory results of Culture and Sensitivity test including CBC and CRP results from 27 May 2024 to 19 October 2024</w:t>
      </w:r>
    </w:p>
    <w:tbl>
      <w:tblPr>
        <w:tblStyle w:val="a"/>
        <w:tblpPr w:leftFromText="180" w:rightFromText="180" w:topFromText="180" w:bottomFromText="180" w:vertAnchor="text" w:tblpX="-765"/>
        <w:tblW w:w="10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365"/>
        <w:gridCol w:w="945"/>
        <w:gridCol w:w="1920"/>
        <w:gridCol w:w="2295"/>
        <w:gridCol w:w="2775"/>
      </w:tblGrid>
      <w:tr w:rsidR="0016425C">
        <w:trPr>
          <w:trHeight w:val="55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lastRenderedPageBreak/>
              <w:t>DATE</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t>CBC</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t>CRP (mg/L)</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t>CULTURE &amp; SENSITIVITY - BODY FLUID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t>RESPONSE</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4"/>
                <w:szCs w:val="24"/>
              </w:rPr>
            </w:pPr>
            <w:r>
              <w:rPr>
                <w:b/>
                <w:sz w:val="24"/>
                <w:szCs w:val="24"/>
              </w:rPr>
              <w:t>Susceptible Antibiotics</w:t>
            </w:r>
          </w:p>
        </w:tc>
      </w:tr>
      <w:tr w:rsidR="0016425C">
        <w:trPr>
          <w:trHeight w:val="208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27/5/24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16.3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N = 71.0 %</w:t>
            </w:r>
          </w:p>
          <w:p w:rsidR="0016425C" w:rsidRDefault="007204B1">
            <w:pPr>
              <w:spacing w:before="240" w:line="240" w:lineRule="auto"/>
              <w:rPr>
                <w:sz w:val="20"/>
                <w:szCs w:val="20"/>
              </w:rPr>
            </w:pPr>
            <w:r>
              <w:rPr>
                <w:sz w:val="20"/>
                <w:szCs w:val="20"/>
              </w:rPr>
              <w:t>NLR = 4.5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42.3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Tracheal</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 xml:space="preserve">1. </w:t>
            </w:r>
            <w:proofErr w:type="spellStart"/>
            <w:r>
              <w:rPr>
                <w:b/>
                <w:sz w:val="20"/>
                <w:szCs w:val="20"/>
              </w:rPr>
              <w:t>Burkholderia</w:t>
            </w:r>
            <w:proofErr w:type="spellEnd"/>
            <w:r>
              <w:rPr>
                <w:b/>
                <w:sz w:val="20"/>
                <w:szCs w:val="20"/>
              </w:rPr>
              <w:t xml:space="preserve"> </w:t>
            </w:r>
            <w:proofErr w:type="spellStart"/>
            <w:r>
              <w:rPr>
                <w:b/>
                <w:sz w:val="20"/>
                <w:szCs w:val="20"/>
              </w:rPr>
              <w:t>cepacia</w:t>
            </w:r>
            <w:proofErr w:type="spellEnd"/>
            <w:r>
              <w:rPr>
                <w:b/>
                <w:sz w:val="20"/>
                <w:szCs w:val="20"/>
              </w:rPr>
              <w:t xml:space="preserve"> complex (Moderate growth)</w:t>
            </w:r>
          </w:p>
          <w:p w:rsidR="0016425C" w:rsidRDefault="007204B1">
            <w:pPr>
              <w:spacing w:before="240" w:line="240" w:lineRule="auto"/>
              <w:rPr>
                <w:b/>
                <w:sz w:val="20"/>
                <w:szCs w:val="20"/>
              </w:rPr>
            </w:pPr>
            <w:r>
              <w:rPr>
                <w:b/>
                <w:sz w:val="20"/>
                <w:szCs w:val="20"/>
              </w:rPr>
              <w:t>2. 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1.Meropenem</w:t>
            </w:r>
          </w:p>
          <w:p w:rsidR="0016425C" w:rsidRDefault="007204B1">
            <w:pPr>
              <w:spacing w:before="240" w:line="240" w:lineRule="auto"/>
              <w:rPr>
                <w:sz w:val="20"/>
                <w:szCs w:val="20"/>
              </w:rPr>
            </w:pPr>
            <w:r>
              <w:rPr>
                <w:sz w:val="20"/>
                <w:szCs w:val="20"/>
              </w:rPr>
              <w:t>2.Trimethoprim-sulphamethoxazole</w:t>
            </w:r>
          </w:p>
        </w:tc>
      </w:tr>
      <w:tr w:rsidR="0016425C">
        <w:trPr>
          <w:trHeight w:val="22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30/5/24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19.4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61.0 % </w:t>
            </w:r>
          </w:p>
          <w:p w:rsidR="0016425C" w:rsidRDefault="007204B1">
            <w:pPr>
              <w:spacing w:before="240" w:line="240" w:lineRule="auto"/>
              <w:rPr>
                <w:sz w:val="20"/>
                <w:szCs w:val="20"/>
              </w:rPr>
            </w:pPr>
            <w:r>
              <w:rPr>
                <w:sz w:val="20"/>
                <w:szCs w:val="20"/>
              </w:rPr>
              <w:t>NLR = 2.5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236.2</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Pseudomonas aeruginosa</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1/6/24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11.3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N = 54.8 %</w:t>
            </w:r>
          </w:p>
          <w:p w:rsidR="0016425C" w:rsidRDefault="007204B1">
            <w:pPr>
              <w:spacing w:before="240" w:line="240" w:lineRule="auto"/>
              <w:rPr>
                <w:sz w:val="20"/>
                <w:szCs w:val="20"/>
              </w:rPr>
            </w:pPr>
            <w:r>
              <w:rPr>
                <w:sz w:val="20"/>
                <w:szCs w:val="20"/>
              </w:rPr>
              <w:t>NLR = 1.5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64.3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19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26/6/24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9.7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31.4 % </w:t>
            </w:r>
          </w:p>
          <w:p w:rsidR="0016425C" w:rsidRDefault="007204B1">
            <w:pPr>
              <w:spacing w:before="240" w:line="240" w:lineRule="auto"/>
              <w:rPr>
                <w:sz w:val="20"/>
                <w:szCs w:val="20"/>
              </w:rPr>
            </w:pPr>
            <w:r>
              <w:rPr>
                <w:sz w:val="20"/>
                <w:szCs w:val="20"/>
              </w:rPr>
              <w:t>NLR = 0.6</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136.3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252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15/7/24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13.3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46.9 % </w:t>
            </w:r>
          </w:p>
          <w:p w:rsidR="0016425C" w:rsidRDefault="007204B1">
            <w:pPr>
              <w:spacing w:before="240" w:line="240" w:lineRule="auto"/>
              <w:rPr>
                <w:sz w:val="20"/>
                <w:szCs w:val="20"/>
              </w:rPr>
            </w:pPr>
            <w:r>
              <w:rPr>
                <w:sz w:val="20"/>
                <w:szCs w:val="20"/>
              </w:rPr>
              <w:t>NLR = 1.3</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82.9</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Pseudomonas aeruginosa</w:t>
            </w:r>
          </w:p>
          <w:p w:rsidR="0016425C" w:rsidRDefault="007204B1">
            <w:pPr>
              <w:spacing w:before="240" w:line="240" w:lineRule="auto"/>
              <w:rPr>
                <w:b/>
                <w:sz w:val="20"/>
                <w:szCs w:val="20"/>
              </w:rPr>
            </w:pPr>
            <w:r>
              <w:rPr>
                <w:b/>
                <w:sz w:val="20"/>
                <w:szCs w:val="20"/>
              </w:rPr>
              <w:t>(Moderate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Amikacin, 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lastRenderedPageBreak/>
              <w:t>6/8/24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6.6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N = 39.6 %</w:t>
            </w:r>
          </w:p>
          <w:p w:rsidR="0016425C" w:rsidRDefault="007204B1">
            <w:pPr>
              <w:spacing w:before="240" w:line="240" w:lineRule="auto"/>
              <w:rPr>
                <w:sz w:val="20"/>
                <w:szCs w:val="20"/>
              </w:rPr>
            </w:pPr>
            <w:r>
              <w:rPr>
                <w:sz w:val="20"/>
                <w:szCs w:val="20"/>
              </w:rPr>
              <w:t>NLR = 0.8</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52.4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Body fluid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Amoxycillin + Clavulanate, </w:t>
            </w:r>
            <w:proofErr w:type="gramStart"/>
            <w:r>
              <w:rPr>
                <w:sz w:val="20"/>
                <w:szCs w:val="20"/>
              </w:rPr>
              <w:t>Amikacin,  Cefoxitin</w:t>
            </w:r>
            <w:proofErr w:type="gramEnd"/>
            <w:r>
              <w:rPr>
                <w:sz w:val="20"/>
                <w:szCs w:val="20"/>
              </w:rPr>
              <w:t>, Ertapenem, Gentamicin, Imipenem, Meropenem, Piperacillin-</w:t>
            </w:r>
            <w:proofErr w:type="spellStart"/>
            <w:r>
              <w:rPr>
                <w:sz w:val="20"/>
                <w:szCs w:val="20"/>
              </w:rPr>
              <w:t>Tazobactum</w:t>
            </w:r>
            <w:proofErr w:type="spellEnd"/>
            <w:r>
              <w:rPr>
                <w:sz w:val="20"/>
                <w:szCs w:val="20"/>
              </w:rPr>
              <w:t>.</w:t>
            </w:r>
          </w:p>
        </w:tc>
      </w:tr>
      <w:tr w:rsidR="0016425C">
        <w:trPr>
          <w:trHeight w:val="204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8.6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48.0 % </w:t>
            </w:r>
          </w:p>
          <w:p w:rsidR="0016425C" w:rsidRDefault="007204B1">
            <w:pPr>
              <w:spacing w:before="240" w:line="240" w:lineRule="auto"/>
              <w:rPr>
                <w:sz w:val="20"/>
                <w:szCs w:val="20"/>
              </w:rPr>
            </w:pPr>
            <w:r>
              <w:rPr>
                <w:sz w:val="20"/>
                <w:szCs w:val="20"/>
              </w:rPr>
              <w:t>NLR = 1.3</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100.7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Blood, </w:t>
            </w:r>
            <w:proofErr w:type="gramStart"/>
            <w:r>
              <w:rPr>
                <w:sz w:val="20"/>
                <w:szCs w:val="20"/>
              </w:rPr>
              <w:t>Site:-</w:t>
            </w:r>
            <w:proofErr w:type="gramEnd"/>
            <w:r>
              <w:rPr>
                <w:sz w:val="20"/>
                <w:szCs w:val="20"/>
              </w:rPr>
              <w:t xml:space="preserve"> Peripheral line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Amoxycillin + Clavulanate, </w:t>
            </w:r>
            <w:proofErr w:type="gramStart"/>
            <w:r>
              <w:rPr>
                <w:sz w:val="20"/>
                <w:szCs w:val="20"/>
              </w:rPr>
              <w:t>Amikacin,  Cefoxitin</w:t>
            </w:r>
            <w:proofErr w:type="gramEnd"/>
            <w:r>
              <w:rPr>
                <w:sz w:val="20"/>
                <w:szCs w:val="20"/>
              </w:rPr>
              <w:t>, Ertapenem, Gentamicin, Imipenem Meropenem, Piperacillin-</w:t>
            </w:r>
            <w:proofErr w:type="spellStart"/>
            <w:r>
              <w:rPr>
                <w:sz w:val="20"/>
                <w:szCs w:val="20"/>
              </w:rPr>
              <w:t>Tazobactum</w:t>
            </w:r>
            <w:proofErr w:type="spellEnd"/>
            <w:r>
              <w:rPr>
                <w:sz w:val="20"/>
                <w:szCs w:val="20"/>
              </w:rPr>
              <w:t>.</w:t>
            </w:r>
          </w:p>
        </w:tc>
      </w:tr>
      <w:tr w:rsidR="0016425C">
        <w:trPr>
          <w:trHeight w:val="1799"/>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Blood, </w:t>
            </w:r>
            <w:proofErr w:type="gramStart"/>
            <w:r>
              <w:rPr>
                <w:sz w:val="20"/>
                <w:szCs w:val="20"/>
              </w:rPr>
              <w:t>Site:-</w:t>
            </w:r>
            <w:proofErr w:type="gramEnd"/>
            <w:r>
              <w:rPr>
                <w:sz w:val="20"/>
                <w:szCs w:val="20"/>
              </w:rPr>
              <w:t xml:space="preserve"> Central line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Amikacin, Amoxycillin + Clavulanate, Cefoxitin, Ertapenem, Gentamicin, Imipenem, Meropenem, Piperacillin-</w:t>
            </w:r>
            <w:proofErr w:type="spellStart"/>
            <w:r>
              <w:rPr>
                <w:sz w:val="20"/>
                <w:szCs w:val="20"/>
              </w:rPr>
              <w:t>Tazobactum</w:t>
            </w:r>
            <w:proofErr w:type="spellEnd"/>
            <w:r>
              <w:rPr>
                <w:sz w:val="20"/>
                <w:szCs w:val="20"/>
              </w:rPr>
              <w:t>.</w:t>
            </w:r>
          </w:p>
        </w:tc>
      </w:tr>
      <w:tr w:rsidR="0016425C">
        <w:trPr>
          <w:trHeight w:val="195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28/8/24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10.5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60.4 % </w:t>
            </w:r>
          </w:p>
          <w:p w:rsidR="0016425C" w:rsidRDefault="007204B1">
            <w:pPr>
              <w:spacing w:before="240" w:line="240" w:lineRule="auto"/>
              <w:rPr>
                <w:sz w:val="20"/>
                <w:szCs w:val="20"/>
              </w:rPr>
            </w:pPr>
            <w:r>
              <w:rPr>
                <w:sz w:val="20"/>
                <w:szCs w:val="20"/>
              </w:rPr>
              <w:t>NLR = 2.2</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97.4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247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30/8/24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6.9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34.2 % </w:t>
            </w:r>
          </w:p>
          <w:p w:rsidR="0016425C" w:rsidRDefault="007204B1">
            <w:pPr>
              <w:spacing w:before="240" w:line="240" w:lineRule="auto"/>
              <w:rPr>
                <w:sz w:val="20"/>
                <w:szCs w:val="20"/>
              </w:rPr>
            </w:pPr>
            <w:r>
              <w:rPr>
                <w:sz w:val="20"/>
                <w:szCs w:val="20"/>
              </w:rPr>
              <w:t>NLR = 0.7</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72.7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Pseudomonas fluorescens/putida (Heavy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Amikacin, 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8.9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31.6 % </w:t>
            </w:r>
          </w:p>
          <w:p w:rsidR="0016425C" w:rsidRDefault="007204B1">
            <w:pPr>
              <w:spacing w:before="240" w:line="240" w:lineRule="auto"/>
              <w:rPr>
                <w:sz w:val="20"/>
                <w:szCs w:val="20"/>
              </w:rPr>
            </w:pPr>
            <w:r>
              <w:rPr>
                <w:sz w:val="20"/>
                <w:szCs w:val="20"/>
              </w:rPr>
              <w:t>NLR = 0.6</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127.4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19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lastRenderedPageBreak/>
              <w:t>22/9/24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15.3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N = 71.0 %</w:t>
            </w:r>
          </w:p>
          <w:p w:rsidR="0016425C" w:rsidRDefault="007204B1">
            <w:pPr>
              <w:spacing w:before="240" w:line="240" w:lineRule="auto"/>
              <w:rPr>
                <w:sz w:val="20"/>
                <w:szCs w:val="20"/>
              </w:rPr>
            </w:pPr>
            <w:r>
              <w:rPr>
                <w:sz w:val="20"/>
                <w:szCs w:val="20"/>
              </w:rPr>
              <w:t>NLR = 3.4</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194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No bacterial growth in culture after 24 hours of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27/9/24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7.3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36.5 % </w:t>
            </w:r>
          </w:p>
          <w:p w:rsidR="0016425C" w:rsidRDefault="007204B1">
            <w:pPr>
              <w:spacing w:before="240" w:line="240" w:lineRule="auto"/>
              <w:rPr>
                <w:sz w:val="20"/>
                <w:szCs w:val="20"/>
              </w:rPr>
            </w:pPr>
            <w:r>
              <w:rPr>
                <w:sz w:val="20"/>
                <w:szCs w:val="20"/>
              </w:rPr>
              <w:t>NLR = 0.8</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57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No bacterial growth in culture after 5 days of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7.3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 xml:space="preserve">N = 56.1 % </w:t>
            </w:r>
          </w:p>
          <w:p w:rsidR="0016425C" w:rsidRDefault="007204B1">
            <w:pPr>
              <w:spacing w:before="240" w:line="240" w:lineRule="auto"/>
              <w:rPr>
                <w:sz w:val="20"/>
                <w:szCs w:val="20"/>
              </w:rPr>
            </w:pPr>
            <w:r>
              <w:rPr>
                <w:sz w:val="20"/>
                <w:szCs w:val="20"/>
              </w:rPr>
              <w:t>NLR = 2.1</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221.6</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Pseudomonas fluorescens/putida (Heavy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r w:rsidR="0016425C">
        <w:trPr>
          <w:trHeight w:val="1594"/>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24/9/24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highlight w:val="yellow"/>
              </w:rPr>
            </w:pPr>
            <w:r>
              <w:rPr>
                <w:sz w:val="20"/>
                <w:szCs w:val="20"/>
                <w:highlight w:val="yellow"/>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Amikacin, Amoxycillin + Clavulanate, Cefoxitin, Ertapenem, Gentamicin, Imipenem, Meropenem, Piperacillin-</w:t>
            </w:r>
            <w:proofErr w:type="spellStart"/>
            <w:r>
              <w:rPr>
                <w:sz w:val="20"/>
                <w:szCs w:val="20"/>
              </w:rPr>
              <w:t>Tazobactum</w:t>
            </w:r>
            <w:proofErr w:type="spellEnd"/>
            <w:r>
              <w:rPr>
                <w:sz w:val="20"/>
                <w:szCs w:val="20"/>
              </w:rPr>
              <w:t>.</w:t>
            </w:r>
          </w:p>
        </w:tc>
      </w:tr>
      <w:tr w:rsidR="0016425C">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WBC = 6.8 * 10 ^ 3/</w:t>
            </w:r>
            <w:proofErr w:type="spellStart"/>
            <w:r>
              <w:rPr>
                <w:sz w:val="20"/>
                <w:szCs w:val="20"/>
              </w:rPr>
              <w:t>uL</w:t>
            </w:r>
            <w:proofErr w:type="spellEnd"/>
            <w:r>
              <w:rPr>
                <w:sz w:val="20"/>
                <w:szCs w:val="20"/>
              </w:rPr>
              <w:t xml:space="preserve"> </w:t>
            </w:r>
          </w:p>
          <w:p w:rsidR="0016425C" w:rsidRDefault="007204B1">
            <w:pPr>
              <w:spacing w:before="240" w:line="240" w:lineRule="auto"/>
              <w:rPr>
                <w:sz w:val="20"/>
                <w:szCs w:val="20"/>
              </w:rPr>
            </w:pPr>
            <w:r>
              <w:rPr>
                <w:sz w:val="20"/>
                <w:szCs w:val="20"/>
              </w:rPr>
              <w:t>N = 39.0 %</w:t>
            </w:r>
          </w:p>
          <w:p w:rsidR="0016425C" w:rsidRDefault="007204B1">
            <w:pPr>
              <w:spacing w:before="240" w:line="240" w:lineRule="auto"/>
              <w:rPr>
                <w:sz w:val="20"/>
                <w:szCs w:val="20"/>
              </w:rPr>
            </w:pPr>
            <w:r>
              <w:rPr>
                <w:sz w:val="20"/>
                <w:szCs w:val="20"/>
              </w:rPr>
              <w:t>NLR = 1.0</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111.9</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1. Staphylococcus epidermidis MRS</w:t>
            </w:r>
          </w:p>
          <w:p w:rsidR="0016425C" w:rsidRDefault="007204B1">
            <w:pPr>
              <w:spacing w:before="240" w:line="240" w:lineRule="auto"/>
              <w:rPr>
                <w:b/>
                <w:sz w:val="20"/>
                <w:szCs w:val="20"/>
              </w:rPr>
            </w:pPr>
            <w:r>
              <w:rPr>
                <w:b/>
                <w:sz w:val="20"/>
                <w:szCs w:val="20"/>
              </w:rPr>
              <w:t>2. Candida species (Moderate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Daptomycin, Vancomycin, Linezolid, </w:t>
            </w:r>
            <w:proofErr w:type="spellStart"/>
            <w:r>
              <w:rPr>
                <w:sz w:val="20"/>
                <w:szCs w:val="20"/>
              </w:rPr>
              <w:t>Synercid</w:t>
            </w:r>
            <w:proofErr w:type="spellEnd"/>
            <w:r>
              <w:rPr>
                <w:sz w:val="20"/>
                <w:szCs w:val="20"/>
              </w:rPr>
              <w:t>, Teicoplanin, Trimethoprim.</w:t>
            </w:r>
          </w:p>
        </w:tc>
      </w:tr>
      <w:tr w:rsidR="0016425C">
        <w:trPr>
          <w:trHeight w:val="124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highlight w:val="yellow"/>
              </w:rPr>
            </w:pPr>
            <w:r>
              <w:rPr>
                <w:sz w:val="20"/>
                <w:szCs w:val="20"/>
                <w:highlight w:val="yellow"/>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Amoxycillin + Clavulanate, Amikacin. Cefoxitin, Ertapenem, Gentamicin, Imipenem, Meropenem, Piperacillin-</w:t>
            </w:r>
            <w:proofErr w:type="spellStart"/>
            <w:r>
              <w:rPr>
                <w:sz w:val="20"/>
                <w:szCs w:val="20"/>
              </w:rPr>
              <w:t>Tazobactum</w:t>
            </w:r>
            <w:proofErr w:type="spellEnd"/>
            <w:r>
              <w:rPr>
                <w:sz w:val="20"/>
                <w:szCs w:val="20"/>
              </w:rPr>
              <w:t>.</w:t>
            </w:r>
          </w:p>
        </w:tc>
      </w:tr>
      <w:tr w:rsidR="0016425C">
        <w:trPr>
          <w:trHeight w:val="1371"/>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7204B1">
            <w:pPr>
              <w:spacing w:before="240" w:line="240" w:lineRule="auto"/>
              <w:rPr>
                <w:b/>
                <w:sz w:val="20"/>
                <w:szCs w:val="20"/>
              </w:rPr>
            </w:pPr>
            <w:r>
              <w:rPr>
                <w:b/>
                <w:sz w:val="20"/>
                <w:szCs w:val="20"/>
              </w:rPr>
              <w:t>Candida species grown in culture after 48 hours of aerobic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rsidR="0016425C" w:rsidRDefault="0016425C">
            <w:pPr>
              <w:spacing w:after="240" w:line="240" w:lineRule="auto"/>
              <w:rPr>
                <w:sz w:val="20"/>
                <w:szCs w:val="20"/>
              </w:rPr>
            </w:pPr>
          </w:p>
        </w:tc>
      </w:tr>
    </w:tbl>
    <w:p w:rsidR="0016425C" w:rsidRDefault="007204B1">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extent cx="2471738" cy="24479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71738" cy="24479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852738" cy="243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52738" cy="2438400"/>
                    </a:xfrm>
                    <a:prstGeom prst="rect">
                      <a:avLst/>
                    </a:prstGeom>
                    <a:ln/>
                  </pic:spPr>
                </pic:pic>
              </a:graphicData>
            </a:graphic>
          </wp:inline>
        </w:drawing>
      </w:r>
      <w:r>
        <w:rPr>
          <w:rFonts w:ascii="Times New Roman" w:eastAsia="Times New Roman" w:hAnsi="Times New Roman" w:cs="Times New Roman"/>
          <w:sz w:val="24"/>
          <w:szCs w:val="24"/>
        </w:rPr>
        <w:t xml:space="preserve">           </w:t>
      </w:r>
      <w:r>
        <w:rPr>
          <w:b/>
          <w:sz w:val="20"/>
          <w:szCs w:val="20"/>
        </w:rPr>
        <w:t>(A)</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r>
        <w:rPr>
          <w:b/>
          <w:sz w:val="20"/>
          <w:szCs w:val="20"/>
        </w:rPr>
        <w:t>(</w:t>
      </w:r>
      <w:proofErr w:type="gramEnd"/>
      <w:r>
        <w:rPr>
          <w:b/>
          <w:sz w:val="20"/>
          <w:szCs w:val="20"/>
        </w:rPr>
        <w:t>B)</w:t>
      </w:r>
    </w:p>
    <w:p w:rsidR="0016425C" w:rsidRDefault="007204B1">
      <w:pPr>
        <w:spacing w:line="240" w:lineRule="auto"/>
        <w:rPr>
          <w:sz w:val="20"/>
          <w:szCs w:val="20"/>
        </w:rPr>
      </w:pPr>
      <w:r>
        <w:rPr>
          <w:b/>
          <w:sz w:val="20"/>
          <w:szCs w:val="20"/>
        </w:rPr>
        <w:t xml:space="preserve">Figure 1: </w:t>
      </w:r>
      <w:r>
        <w:rPr>
          <w:sz w:val="20"/>
          <w:szCs w:val="20"/>
        </w:rPr>
        <w:t xml:space="preserve">(A) Mucoid lactose fermenting colonies of </w:t>
      </w:r>
      <w:proofErr w:type="spellStart"/>
      <w:r>
        <w:rPr>
          <w:sz w:val="20"/>
          <w:szCs w:val="20"/>
        </w:rPr>
        <w:t>klebsiella</w:t>
      </w:r>
      <w:proofErr w:type="spellEnd"/>
      <w:r>
        <w:rPr>
          <w:sz w:val="20"/>
          <w:szCs w:val="20"/>
        </w:rPr>
        <w:t xml:space="preserve"> pneumoniae on MacConkey agar after 24 hrs of incubation.</w:t>
      </w:r>
    </w:p>
    <w:p w:rsidR="0016425C" w:rsidRDefault="007204B1">
      <w:pPr>
        <w:spacing w:line="240" w:lineRule="auto"/>
        <w:rPr>
          <w:sz w:val="20"/>
          <w:szCs w:val="20"/>
        </w:rPr>
      </w:pPr>
      <w:r>
        <w:rPr>
          <w:b/>
          <w:sz w:val="20"/>
          <w:szCs w:val="20"/>
        </w:rPr>
        <w:t>Figure 2:</w:t>
      </w:r>
      <w:r>
        <w:rPr>
          <w:sz w:val="20"/>
          <w:szCs w:val="20"/>
        </w:rPr>
        <w:t xml:space="preserve"> (B) Microscopic appearance showing cell morphology of Klebsiella pneumoniae: shorter </w:t>
      </w:r>
      <w:proofErr w:type="gramStart"/>
      <w:r>
        <w:rPr>
          <w:sz w:val="20"/>
          <w:szCs w:val="20"/>
        </w:rPr>
        <w:t>gram negative</w:t>
      </w:r>
      <w:proofErr w:type="gramEnd"/>
      <w:r>
        <w:rPr>
          <w:sz w:val="20"/>
          <w:szCs w:val="20"/>
        </w:rPr>
        <w:t xml:space="preserve"> rods.</w:t>
      </w:r>
    </w:p>
    <w:p w:rsidR="0016425C" w:rsidRDefault="005F2A0E">
      <w:pPr>
        <w:rPr>
          <w:rFonts w:ascii="Times New Roman" w:eastAsia="Times New Roman" w:hAnsi="Times New Roman" w:cs="Times New Roman"/>
          <w:sz w:val="24"/>
          <w:szCs w:val="24"/>
        </w:rPr>
      </w:pPr>
      <w:r>
        <w:pict>
          <v:rect id="_x0000_i1031" style="width:0;height:1.5pt" o:hralign="center" o:hrstd="t" o:hr="t" fillcolor="#a0a0a0" stroked="f"/>
        </w:pict>
      </w:r>
    </w:p>
    <w:p w:rsidR="0016425C" w:rsidRDefault="007204B1">
      <w:pPr>
        <w:spacing w:before="240" w:after="240"/>
        <w:jc w:val="both"/>
        <w:rPr>
          <w:b/>
        </w:rPr>
      </w:pPr>
      <w:r>
        <w:rPr>
          <w:b/>
        </w:rPr>
        <w:t>Clinical Course and Report:</w:t>
      </w:r>
    </w:p>
    <w:p w:rsidR="0016425C" w:rsidRDefault="007204B1">
      <w:pPr>
        <w:spacing w:before="240" w:after="240"/>
        <w:jc w:val="both"/>
        <w:rPr>
          <w:sz w:val="20"/>
          <w:szCs w:val="20"/>
        </w:rPr>
      </w:pPr>
      <w:r>
        <w:rPr>
          <w:sz w:val="20"/>
          <w:szCs w:val="20"/>
        </w:rPr>
        <w:t>Upon admission, the patient was in critical condition with signs of systemic infection and multi-organ dysfunction. The interplay between her pre-existing chronic conditions and recent invasive procedures increased her susceptibility to nosocomial infections. Despite aggressive management in the ICU, including respiratory support and targeted antimicrobial therapy, the patient’s clinical status progressively deteriorated. The presence of persistent fever, reduced urine output, and multiple infection sites necessitated transfer to the Nephrology Department for further management.</w:t>
      </w:r>
    </w:p>
    <w:p w:rsidR="0016425C" w:rsidRDefault="005F2A0E">
      <w:pPr>
        <w:jc w:val="both"/>
        <w:rPr>
          <w:sz w:val="20"/>
          <w:szCs w:val="20"/>
        </w:rPr>
      </w:pPr>
      <w:r>
        <w:pict>
          <v:rect id="_x0000_i1032" style="width:0;height:1.5pt" o:hralign="center" o:hrstd="t" o:hr="t" fillcolor="#a0a0a0" stroked="f"/>
        </w:pict>
      </w:r>
    </w:p>
    <w:p w:rsidR="0016425C" w:rsidRDefault="007204B1">
      <w:pPr>
        <w:spacing w:before="240" w:after="240"/>
        <w:jc w:val="both"/>
        <w:rPr>
          <w:b/>
        </w:rPr>
      </w:pPr>
      <w:r>
        <w:rPr>
          <w:b/>
        </w:rPr>
        <w:t>Treatment and Management:</w:t>
      </w:r>
    </w:p>
    <w:p w:rsidR="0016425C" w:rsidRDefault="007204B1">
      <w:pPr>
        <w:spacing w:before="240" w:after="240"/>
        <w:jc w:val="both"/>
        <w:rPr>
          <w:sz w:val="20"/>
          <w:szCs w:val="20"/>
        </w:rPr>
      </w:pPr>
      <w:r>
        <w:rPr>
          <w:sz w:val="20"/>
          <w:szCs w:val="20"/>
        </w:rPr>
        <w:t>A multidisciplinary approach was adopted in managing this critically ill patient:</w:t>
      </w:r>
    </w:p>
    <w:p w:rsidR="0016425C" w:rsidRDefault="007204B1">
      <w:pPr>
        <w:numPr>
          <w:ilvl w:val="0"/>
          <w:numId w:val="5"/>
        </w:numPr>
        <w:jc w:val="both"/>
        <w:rPr>
          <w:sz w:val="20"/>
          <w:szCs w:val="20"/>
        </w:rPr>
      </w:pPr>
      <w:r>
        <w:rPr>
          <w:b/>
          <w:sz w:val="20"/>
          <w:szCs w:val="20"/>
        </w:rPr>
        <w:t>Antibiotic Therapy:</w:t>
      </w:r>
    </w:p>
    <w:p w:rsidR="0016425C" w:rsidRDefault="007204B1">
      <w:pPr>
        <w:numPr>
          <w:ilvl w:val="1"/>
          <w:numId w:val="5"/>
        </w:numPr>
        <w:jc w:val="both"/>
        <w:rPr>
          <w:sz w:val="20"/>
          <w:szCs w:val="20"/>
        </w:rPr>
      </w:pPr>
      <w:r>
        <w:rPr>
          <w:sz w:val="20"/>
          <w:szCs w:val="20"/>
        </w:rPr>
        <w:t>Empiric broad-spectrum antibiotics were initiated and later refined based on culture and sensitivity results.</w:t>
      </w:r>
    </w:p>
    <w:p w:rsidR="0016425C" w:rsidRDefault="007204B1">
      <w:pPr>
        <w:numPr>
          <w:ilvl w:val="1"/>
          <w:numId w:val="5"/>
        </w:numPr>
        <w:jc w:val="both"/>
        <w:rPr>
          <w:sz w:val="20"/>
          <w:szCs w:val="20"/>
        </w:rPr>
      </w:pPr>
      <w:r>
        <w:rPr>
          <w:sz w:val="20"/>
          <w:szCs w:val="20"/>
        </w:rPr>
        <w:t>Meropenem (10/5/2024 to 21/5/2024</w:t>
      </w:r>
      <w:proofErr w:type="gramStart"/>
      <w:r>
        <w:rPr>
          <w:sz w:val="20"/>
          <w:szCs w:val="20"/>
        </w:rPr>
        <w:t>) ,</w:t>
      </w:r>
      <w:proofErr w:type="gramEnd"/>
      <w:r>
        <w:rPr>
          <w:sz w:val="20"/>
          <w:szCs w:val="20"/>
        </w:rPr>
        <w:t xml:space="preserve"> Vancomycin (14/5/2024 to 21/5/2024).</w:t>
      </w:r>
    </w:p>
    <w:p w:rsidR="0016425C" w:rsidRDefault="007204B1">
      <w:pPr>
        <w:numPr>
          <w:ilvl w:val="1"/>
          <w:numId w:val="5"/>
        </w:numPr>
        <w:jc w:val="both"/>
        <w:rPr>
          <w:sz w:val="20"/>
          <w:szCs w:val="20"/>
        </w:rPr>
      </w:pPr>
      <w:r>
        <w:rPr>
          <w:sz w:val="20"/>
          <w:szCs w:val="20"/>
        </w:rPr>
        <w:t>Moxifloxacin eye drops, and Tobramycin eye drops were administered.</w:t>
      </w:r>
    </w:p>
    <w:p w:rsidR="0016425C" w:rsidRDefault="007204B1">
      <w:pPr>
        <w:numPr>
          <w:ilvl w:val="0"/>
          <w:numId w:val="5"/>
        </w:numPr>
        <w:jc w:val="both"/>
        <w:rPr>
          <w:sz w:val="20"/>
          <w:szCs w:val="20"/>
        </w:rPr>
      </w:pPr>
      <w:r>
        <w:rPr>
          <w:b/>
          <w:sz w:val="20"/>
          <w:szCs w:val="20"/>
        </w:rPr>
        <w:t>Respiratory Support:</w:t>
      </w:r>
    </w:p>
    <w:p w:rsidR="0016425C" w:rsidRDefault="007204B1">
      <w:pPr>
        <w:numPr>
          <w:ilvl w:val="1"/>
          <w:numId w:val="5"/>
        </w:numPr>
        <w:jc w:val="both"/>
        <w:rPr>
          <w:sz w:val="20"/>
          <w:szCs w:val="20"/>
        </w:rPr>
      </w:pPr>
      <w:r>
        <w:rPr>
          <w:sz w:val="20"/>
          <w:szCs w:val="20"/>
        </w:rPr>
        <w:t>Continuous mechanical ventilation was maintained via the tracheostomy.</w:t>
      </w:r>
    </w:p>
    <w:p w:rsidR="0016425C" w:rsidRDefault="007204B1">
      <w:pPr>
        <w:numPr>
          <w:ilvl w:val="0"/>
          <w:numId w:val="5"/>
        </w:numPr>
        <w:jc w:val="both"/>
        <w:rPr>
          <w:sz w:val="20"/>
          <w:szCs w:val="20"/>
        </w:rPr>
      </w:pPr>
      <w:proofErr w:type="spellStart"/>
      <w:r>
        <w:rPr>
          <w:b/>
          <w:sz w:val="20"/>
          <w:szCs w:val="20"/>
        </w:rPr>
        <w:t>Glycemic</w:t>
      </w:r>
      <w:proofErr w:type="spellEnd"/>
      <w:r>
        <w:rPr>
          <w:b/>
          <w:sz w:val="20"/>
          <w:szCs w:val="20"/>
        </w:rPr>
        <w:t xml:space="preserve"> Control:</w:t>
      </w:r>
    </w:p>
    <w:p w:rsidR="0016425C" w:rsidRDefault="007204B1">
      <w:pPr>
        <w:numPr>
          <w:ilvl w:val="1"/>
          <w:numId w:val="5"/>
        </w:numPr>
        <w:jc w:val="both"/>
        <w:rPr>
          <w:sz w:val="20"/>
          <w:szCs w:val="20"/>
        </w:rPr>
      </w:pPr>
      <w:r>
        <w:rPr>
          <w:sz w:val="20"/>
          <w:szCs w:val="20"/>
        </w:rPr>
        <w:t>Intensive insulin therapy was administered to manage type 1 diabetes, with frequent monitoring.</w:t>
      </w:r>
    </w:p>
    <w:p w:rsidR="0016425C" w:rsidRDefault="007204B1">
      <w:pPr>
        <w:numPr>
          <w:ilvl w:val="0"/>
          <w:numId w:val="5"/>
        </w:numPr>
        <w:jc w:val="both"/>
        <w:rPr>
          <w:sz w:val="20"/>
          <w:szCs w:val="20"/>
        </w:rPr>
      </w:pPr>
      <w:r>
        <w:rPr>
          <w:b/>
          <w:sz w:val="20"/>
          <w:szCs w:val="20"/>
        </w:rPr>
        <w:t>Infection and Wound Management:</w:t>
      </w:r>
    </w:p>
    <w:p w:rsidR="0016425C" w:rsidRDefault="007204B1">
      <w:pPr>
        <w:numPr>
          <w:ilvl w:val="1"/>
          <w:numId w:val="5"/>
        </w:numPr>
        <w:jc w:val="both"/>
        <w:rPr>
          <w:sz w:val="20"/>
          <w:szCs w:val="20"/>
        </w:rPr>
      </w:pPr>
      <w:r>
        <w:rPr>
          <w:sz w:val="20"/>
          <w:szCs w:val="20"/>
        </w:rPr>
        <w:t>Rigorous wound care was applied to address skin lesions and local infections at the PEG tube and Foley catheter sites.</w:t>
      </w:r>
    </w:p>
    <w:p w:rsidR="0016425C" w:rsidRDefault="007204B1">
      <w:pPr>
        <w:numPr>
          <w:ilvl w:val="0"/>
          <w:numId w:val="5"/>
        </w:numPr>
        <w:jc w:val="both"/>
        <w:rPr>
          <w:sz w:val="20"/>
          <w:szCs w:val="20"/>
        </w:rPr>
      </w:pPr>
      <w:r>
        <w:rPr>
          <w:b/>
          <w:sz w:val="20"/>
          <w:szCs w:val="20"/>
        </w:rPr>
        <w:t>Nutritional Support:</w:t>
      </w:r>
    </w:p>
    <w:p w:rsidR="0016425C" w:rsidRDefault="007204B1">
      <w:pPr>
        <w:numPr>
          <w:ilvl w:val="1"/>
          <w:numId w:val="5"/>
        </w:numPr>
        <w:spacing w:after="240"/>
        <w:jc w:val="both"/>
        <w:rPr>
          <w:sz w:val="20"/>
          <w:szCs w:val="20"/>
        </w:rPr>
      </w:pPr>
      <w:r>
        <w:rPr>
          <w:sz w:val="20"/>
          <w:szCs w:val="20"/>
        </w:rPr>
        <w:t>Nutritional requirements were met via the PEG tube.</w:t>
      </w:r>
    </w:p>
    <w:p w:rsidR="0016425C" w:rsidRDefault="007204B1">
      <w:pPr>
        <w:spacing w:before="240" w:after="240"/>
        <w:jc w:val="both"/>
        <w:rPr>
          <w:sz w:val="20"/>
          <w:szCs w:val="20"/>
        </w:rPr>
      </w:pPr>
      <w:r>
        <w:rPr>
          <w:sz w:val="20"/>
          <w:szCs w:val="20"/>
        </w:rPr>
        <w:lastRenderedPageBreak/>
        <w:t>Despite these interventions, the patient’s overall condition continued to worsen, ultimately resulting in multi-organ failure and death.</w:t>
      </w:r>
    </w:p>
    <w:p w:rsidR="0016425C" w:rsidRDefault="007204B1">
      <w:pPr>
        <w:spacing w:before="240" w:after="240"/>
        <w:jc w:val="both"/>
        <w:rPr>
          <w:sz w:val="20"/>
          <w:szCs w:val="20"/>
        </w:rPr>
      </w:pPr>
      <w:r>
        <w:rPr>
          <w:b/>
        </w:rPr>
        <w:t>Outcome:</w:t>
      </w:r>
      <w:r>
        <w:rPr>
          <w:b/>
        </w:rPr>
        <w:br/>
      </w:r>
      <w:r>
        <w:rPr>
          <w:sz w:val="20"/>
          <w:szCs w:val="20"/>
        </w:rPr>
        <w:t>The patient expired following a prolonged and complicated clinical course characterized by overwhelming nosocomial infections and multi-organ dysfunction.</w:t>
      </w:r>
    </w:p>
    <w:p w:rsidR="0016425C" w:rsidRDefault="005F2A0E">
      <w:pPr>
        <w:jc w:val="both"/>
        <w:rPr>
          <w:rFonts w:ascii="Times New Roman" w:eastAsia="Times New Roman" w:hAnsi="Times New Roman" w:cs="Times New Roman"/>
          <w:sz w:val="24"/>
          <w:szCs w:val="24"/>
        </w:rPr>
      </w:pPr>
      <w:r>
        <w:pict>
          <v:rect id="_x0000_i1033" style="width:0;height:1.5pt" o:hralign="center" o:hrstd="t" o:hr="t" fillcolor="#a0a0a0" stroked="f"/>
        </w:pict>
      </w:r>
    </w:p>
    <w:p w:rsidR="0016425C" w:rsidRDefault="007204B1">
      <w:pPr>
        <w:spacing w:before="240" w:after="240"/>
        <w:jc w:val="both"/>
        <w:rPr>
          <w:rFonts w:ascii="Times New Roman" w:eastAsia="Times New Roman" w:hAnsi="Times New Roman" w:cs="Times New Roman"/>
          <w:b/>
          <w:sz w:val="28"/>
          <w:szCs w:val="28"/>
        </w:rPr>
      </w:pPr>
      <w:r>
        <w:rPr>
          <w:b/>
        </w:rPr>
        <w:t>DISCUSSION</w:t>
      </w:r>
    </w:p>
    <w:p w:rsidR="0016425C" w:rsidRDefault="007204B1">
      <w:pPr>
        <w:spacing w:before="240" w:after="240"/>
        <w:jc w:val="both"/>
        <w:rPr>
          <w:sz w:val="20"/>
          <w:szCs w:val="20"/>
        </w:rPr>
      </w:pPr>
      <w:r>
        <w:rPr>
          <w:sz w:val="20"/>
          <w:szCs w:val="20"/>
        </w:rPr>
        <w:t xml:space="preserve">This case illustrates the considerable challenges encountered in the management of </w:t>
      </w:r>
      <w:proofErr w:type="spellStart"/>
      <w:r>
        <w:rPr>
          <w:sz w:val="20"/>
          <w:szCs w:val="20"/>
        </w:rPr>
        <w:t>pediatric</w:t>
      </w:r>
      <w:proofErr w:type="spellEnd"/>
      <w:r>
        <w:rPr>
          <w:sz w:val="20"/>
          <w:szCs w:val="20"/>
        </w:rPr>
        <w:t xml:space="preserve"> patients with complex congenital and chronic </w:t>
      </w:r>
      <w:proofErr w:type="spellStart"/>
      <w:proofErr w:type="gramStart"/>
      <w:r>
        <w:rPr>
          <w:sz w:val="20"/>
          <w:szCs w:val="20"/>
        </w:rPr>
        <w:t>conditions.The</w:t>
      </w:r>
      <w:proofErr w:type="spellEnd"/>
      <w:proofErr w:type="gramEnd"/>
      <w:r>
        <w:rPr>
          <w:sz w:val="20"/>
          <w:szCs w:val="20"/>
        </w:rPr>
        <w:t xml:space="preserve"> patient's medical history characterized by multi organ dysfunction and the prolonged hospital stay increased her exposure to different sources of infection like medical </w:t>
      </w:r>
      <w:proofErr w:type="spellStart"/>
      <w:r>
        <w:rPr>
          <w:sz w:val="20"/>
          <w:szCs w:val="20"/>
        </w:rPr>
        <w:t>equipments</w:t>
      </w:r>
      <w:proofErr w:type="spellEnd"/>
      <w:r>
        <w:rPr>
          <w:sz w:val="20"/>
          <w:szCs w:val="20"/>
        </w:rPr>
        <w:t xml:space="preserve"> and hospital environment making her highly susceptible to nosocomial infections </w:t>
      </w:r>
      <w:r>
        <w:rPr>
          <w:color w:val="0B5394"/>
          <w:sz w:val="20"/>
          <w:szCs w:val="20"/>
        </w:rPr>
        <w:t>(</w:t>
      </w:r>
      <w:r>
        <w:rPr>
          <w:i/>
          <w:color w:val="0B5394"/>
          <w:sz w:val="20"/>
          <w:szCs w:val="20"/>
        </w:rPr>
        <w:t>5,6</w:t>
      </w:r>
      <w:r>
        <w:rPr>
          <w:color w:val="3C78D8"/>
          <w:sz w:val="20"/>
          <w:szCs w:val="20"/>
        </w:rPr>
        <w:t>)</w:t>
      </w:r>
      <w:r>
        <w:rPr>
          <w:sz w:val="20"/>
          <w:szCs w:val="20"/>
        </w:rPr>
        <w:t xml:space="preserve">. The laboratory results as illustrated in the table provides significant information about the </w:t>
      </w:r>
      <w:proofErr w:type="gramStart"/>
      <w:r>
        <w:rPr>
          <w:sz w:val="20"/>
          <w:szCs w:val="20"/>
        </w:rPr>
        <w:t>patients</w:t>
      </w:r>
      <w:proofErr w:type="gramEnd"/>
      <w:r>
        <w:rPr>
          <w:sz w:val="20"/>
          <w:szCs w:val="20"/>
        </w:rPr>
        <w:t xml:space="preserve"> clinical trajectory into the course. The white blood cell (WBC) count, a potential marker of infection and inflammation was found to be consistently elevated throughout the </w:t>
      </w:r>
      <w:proofErr w:type="gramStart"/>
      <w:r>
        <w:rPr>
          <w:sz w:val="20"/>
          <w:szCs w:val="20"/>
        </w:rPr>
        <w:t>patients</w:t>
      </w:r>
      <w:proofErr w:type="gramEnd"/>
      <w:r>
        <w:rPr>
          <w:sz w:val="20"/>
          <w:szCs w:val="20"/>
        </w:rPr>
        <w:t xml:space="preserve"> treatment and management with a maximum value of 19.4 x 10^3/</w:t>
      </w:r>
      <w:proofErr w:type="spellStart"/>
      <w:r>
        <w:rPr>
          <w:sz w:val="20"/>
          <w:szCs w:val="20"/>
        </w:rPr>
        <w:t>uL</w:t>
      </w:r>
      <w:proofErr w:type="spellEnd"/>
      <w:r>
        <w:rPr>
          <w:sz w:val="20"/>
          <w:szCs w:val="20"/>
        </w:rPr>
        <w:t xml:space="preserve"> along with an increased neutrophil count indicating a strong inflammatory reaction to the underlying infections </w:t>
      </w:r>
      <w:r>
        <w:rPr>
          <w:color w:val="0B5394"/>
          <w:sz w:val="20"/>
          <w:szCs w:val="20"/>
        </w:rPr>
        <w:t>(</w:t>
      </w:r>
      <w:r>
        <w:rPr>
          <w:i/>
          <w:color w:val="0B5394"/>
          <w:sz w:val="20"/>
          <w:szCs w:val="20"/>
        </w:rPr>
        <w:t>7,8</w:t>
      </w:r>
      <w:r>
        <w:rPr>
          <w:color w:val="3C78D8"/>
          <w:sz w:val="20"/>
          <w:szCs w:val="20"/>
        </w:rPr>
        <w:t>)</w:t>
      </w:r>
      <w:r>
        <w:rPr>
          <w:sz w:val="20"/>
          <w:szCs w:val="20"/>
        </w:rPr>
        <w:t xml:space="preserve">. Along with this, another sensitive indicator of infection and inflammation, C-reactive protein (CRP) levels were also noticeably higher, peaking at 236.2 mg/L. Given the patient's clinical presentation of sepsis and multi-organ dysfunction, this abnormally high CRP level points to a severe inflammatory response </w:t>
      </w:r>
      <w:r>
        <w:rPr>
          <w:color w:val="0B5394"/>
          <w:sz w:val="20"/>
          <w:szCs w:val="20"/>
        </w:rPr>
        <w:t>(</w:t>
      </w:r>
      <w:r>
        <w:rPr>
          <w:i/>
          <w:color w:val="0B5394"/>
          <w:sz w:val="20"/>
          <w:szCs w:val="20"/>
        </w:rPr>
        <w:t>9</w:t>
      </w:r>
      <w:r>
        <w:rPr>
          <w:color w:val="3C78D8"/>
          <w:sz w:val="20"/>
          <w:szCs w:val="20"/>
        </w:rPr>
        <w:t>)</w:t>
      </w:r>
      <w:r>
        <w:rPr>
          <w:sz w:val="20"/>
          <w:szCs w:val="20"/>
        </w:rPr>
        <w:t xml:space="preserve">. </w:t>
      </w:r>
    </w:p>
    <w:p w:rsidR="0016425C" w:rsidRDefault="007204B1">
      <w:pPr>
        <w:spacing w:before="240" w:after="240"/>
        <w:jc w:val="both"/>
        <w:rPr>
          <w:sz w:val="20"/>
          <w:szCs w:val="20"/>
        </w:rPr>
      </w:pPr>
      <w:r>
        <w:rPr>
          <w:sz w:val="20"/>
          <w:szCs w:val="20"/>
        </w:rPr>
        <w:t xml:space="preserve">In addition to this, the use of medical devices like tracheostomy tube, Foley's catheter, PEG tube and central line insertion provided a trench for nosocomial bacteria to enter the body and cause severe infections </w:t>
      </w:r>
      <w:r>
        <w:rPr>
          <w:color w:val="0B5394"/>
          <w:sz w:val="20"/>
          <w:szCs w:val="20"/>
        </w:rPr>
        <w:t>(</w:t>
      </w:r>
      <w:r>
        <w:rPr>
          <w:i/>
          <w:color w:val="0B5394"/>
          <w:sz w:val="20"/>
          <w:szCs w:val="20"/>
        </w:rPr>
        <w:t>10,11</w:t>
      </w:r>
      <w:r>
        <w:rPr>
          <w:color w:val="3C78D8"/>
          <w:sz w:val="20"/>
          <w:szCs w:val="20"/>
        </w:rPr>
        <w:t>)</w:t>
      </w:r>
      <w:r>
        <w:rPr>
          <w:sz w:val="20"/>
          <w:szCs w:val="20"/>
        </w:rPr>
        <w:t xml:space="preserve">. The cultural studies revealed multiple bacterial infections from various bodily fluids with the isolation of Klebsiella pneumoniae, Pseudomonas aeruginosa, </w:t>
      </w:r>
      <w:proofErr w:type="spellStart"/>
      <w:r>
        <w:rPr>
          <w:sz w:val="20"/>
          <w:szCs w:val="20"/>
        </w:rPr>
        <w:t>Burkholderia</w:t>
      </w:r>
      <w:proofErr w:type="spellEnd"/>
      <w:r>
        <w:rPr>
          <w:sz w:val="20"/>
          <w:szCs w:val="20"/>
        </w:rPr>
        <w:t xml:space="preserve"> </w:t>
      </w:r>
      <w:proofErr w:type="spellStart"/>
      <w:r>
        <w:rPr>
          <w:sz w:val="20"/>
          <w:szCs w:val="20"/>
        </w:rPr>
        <w:t>cepacia</w:t>
      </w:r>
      <w:proofErr w:type="spellEnd"/>
      <w:r>
        <w:rPr>
          <w:sz w:val="20"/>
          <w:szCs w:val="20"/>
        </w:rPr>
        <w:t xml:space="preserve"> complex, Staphylococcus epidermidis MRS and Candida species. But the pathogens role in nosocomial infection might be highlighted by the frequent isolation of ESBL producing </w:t>
      </w:r>
      <w:proofErr w:type="spellStart"/>
      <w:r>
        <w:rPr>
          <w:sz w:val="20"/>
          <w:szCs w:val="20"/>
        </w:rPr>
        <w:t>klebsiella</w:t>
      </w:r>
      <w:proofErr w:type="spellEnd"/>
      <w:r>
        <w:rPr>
          <w:sz w:val="20"/>
          <w:szCs w:val="20"/>
        </w:rPr>
        <w:t xml:space="preserve"> pneumoniae </w:t>
      </w:r>
      <w:r>
        <w:rPr>
          <w:color w:val="0B5394"/>
          <w:sz w:val="20"/>
          <w:szCs w:val="20"/>
        </w:rPr>
        <w:t>(</w:t>
      </w:r>
      <w:r>
        <w:rPr>
          <w:i/>
          <w:color w:val="0B5394"/>
          <w:sz w:val="20"/>
          <w:szCs w:val="20"/>
        </w:rPr>
        <w:t>12</w:t>
      </w:r>
      <w:r>
        <w:rPr>
          <w:color w:val="3C78D8"/>
          <w:sz w:val="20"/>
          <w:szCs w:val="20"/>
        </w:rPr>
        <w:t>)</w:t>
      </w:r>
      <w:r>
        <w:rPr>
          <w:sz w:val="20"/>
          <w:szCs w:val="20"/>
        </w:rPr>
        <w:t xml:space="preserve"> from a variety of body fluids such as blood, central and peripheral lines, sputum and urine</w:t>
      </w:r>
      <w:r>
        <w:rPr>
          <w:color w:val="3C78D8"/>
          <w:sz w:val="20"/>
          <w:szCs w:val="20"/>
        </w:rPr>
        <w:t xml:space="preserve"> </w:t>
      </w:r>
      <w:r>
        <w:rPr>
          <w:sz w:val="20"/>
          <w:szCs w:val="20"/>
        </w:rPr>
        <w:t xml:space="preserve">which is already a </w:t>
      </w:r>
      <w:proofErr w:type="spellStart"/>
      <w:proofErr w:type="gramStart"/>
      <w:r>
        <w:rPr>
          <w:sz w:val="20"/>
          <w:szCs w:val="20"/>
        </w:rPr>
        <w:t>well known</w:t>
      </w:r>
      <w:proofErr w:type="spellEnd"/>
      <w:proofErr w:type="gramEnd"/>
      <w:r>
        <w:rPr>
          <w:sz w:val="20"/>
          <w:szCs w:val="20"/>
        </w:rPr>
        <w:t xml:space="preserve"> cause of hospital acquired infections mainly in patients with compromised immune systems and those that require invasive medical devices </w:t>
      </w:r>
      <w:r>
        <w:rPr>
          <w:color w:val="0B5394"/>
          <w:sz w:val="20"/>
          <w:szCs w:val="20"/>
        </w:rPr>
        <w:t>(</w:t>
      </w:r>
      <w:r>
        <w:rPr>
          <w:i/>
          <w:color w:val="0B5394"/>
          <w:sz w:val="20"/>
          <w:szCs w:val="20"/>
        </w:rPr>
        <w:t>13,14</w:t>
      </w:r>
      <w:r>
        <w:rPr>
          <w:color w:val="3C78D8"/>
          <w:sz w:val="20"/>
          <w:szCs w:val="20"/>
        </w:rPr>
        <w:t>)</w:t>
      </w:r>
      <w:r>
        <w:rPr>
          <w:sz w:val="20"/>
          <w:szCs w:val="20"/>
        </w:rPr>
        <w:t xml:space="preserve">. The production of ESBL (Extended-Spectrum Beta-Lactamase) enzyme by </w:t>
      </w:r>
      <w:proofErr w:type="spellStart"/>
      <w:r>
        <w:rPr>
          <w:sz w:val="20"/>
          <w:szCs w:val="20"/>
        </w:rPr>
        <w:t>klebsiella</w:t>
      </w:r>
      <w:proofErr w:type="spellEnd"/>
      <w:r>
        <w:rPr>
          <w:sz w:val="20"/>
          <w:szCs w:val="20"/>
        </w:rPr>
        <w:t xml:space="preserve"> pneumoniae limits the treatment for infection caused by </w:t>
      </w:r>
      <w:proofErr w:type="gramStart"/>
      <w:r>
        <w:rPr>
          <w:sz w:val="20"/>
          <w:szCs w:val="20"/>
        </w:rPr>
        <w:t>this bacteria</w:t>
      </w:r>
      <w:proofErr w:type="gramEnd"/>
      <w:r>
        <w:rPr>
          <w:sz w:val="20"/>
          <w:szCs w:val="20"/>
        </w:rPr>
        <w:t xml:space="preserve"> as the enzyme develops resistance to most of the beta-</w:t>
      </w:r>
      <w:proofErr w:type="spellStart"/>
      <w:r>
        <w:rPr>
          <w:sz w:val="20"/>
          <w:szCs w:val="20"/>
        </w:rPr>
        <w:t>lactum</w:t>
      </w:r>
      <w:proofErr w:type="spellEnd"/>
      <w:r>
        <w:rPr>
          <w:sz w:val="20"/>
          <w:szCs w:val="20"/>
        </w:rPr>
        <w:t xml:space="preserve"> antibiotics </w:t>
      </w:r>
      <w:r>
        <w:rPr>
          <w:color w:val="0B5394"/>
          <w:sz w:val="20"/>
          <w:szCs w:val="20"/>
        </w:rPr>
        <w:t>(</w:t>
      </w:r>
      <w:r>
        <w:rPr>
          <w:i/>
          <w:color w:val="0B5394"/>
          <w:sz w:val="20"/>
          <w:szCs w:val="20"/>
        </w:rPr>
        <w:t>15</w:t>
      </w:r>
      <w:r>
        <w:rPr>
          <w:color w:val="3C78D8"/>
          <w:sz w:val="20"/>
          <w:szCs w:val="20"/>
        </w:rPr>
        <w:t>)</w:t>
      </w:r>
      <w:r>
        <w:rPr>
          <w:sz w:val="20"/>
          <w:szCs w:val="20"/>
        </w:rPr>
        <w:t xml:space="preserve">. The resistance pattern of the bacteria to many antibiotics was identified through the cultural sensitivity test performed through </w:t>
      </w:r>
      <w:proofErr w:type="spellStart"/>
      <w:r>
        <w:rPr>
          <w:sz w:val="20"/>
          <w:szCs w:val="20"/>
        </w:rPr>
        <w:t>microscan</w:t>
      </w:r>
      <w:proofErr w:type="spellEnd"/>
      <w:r>
        <w:rPr>
          <w:sz w:val="20"/>
          <w:szCs w:val="20"/>
        </w:rPr>
        <w:t xml:space="preserve"> equipment there by making it challenging to select effective antibiotics for treatment and hence leading to a fatal outcome of the patient </w:t>
      </w:r>
      <w:r>
        <w:rPr>
          <w:color w:val="0B5394"/>
          <w:sz w:val="20"/>
          <w:szCs w:val="20"/>
        </w:rPr>
        <w:t>(14,</w:t>
      </w:r>
      <w:r>
        <w:rPr>
          <w:i/>
          <w:color w:val="0B5394"/>
          <w:sz w:val="20"/>
          <w:szCs w:val="20"/>
        </w:rPr>
        <w:t>16</w:t>
      </w:r>
      <w:r>
        <w:rPr>
          <w:color w:val="3C78D8"/>
          <w:sz w:val="20"/>
          <w:szCs w:val="20"/>
        </w:rPr>
        <w:t>)</w:t>
      </w:r>
      <w:r>
        <w:rPr>
          <w:sz w:val="20"/>
          <w:szCs w:val="20"/>
        </w:rPr>
        <w:t xml:space="preserve">. Furthermore, the case report emphasizes the significance of strict infection control measures including medical equipment sterilization, hand hygiene, antimicrobial management to prevent the spread of nosocomial infections in high-risk patients </w:t>
      </w:r>
      <w:r>
        <w:rPr>
          <w:color w:val="0B5394"/>
          <w:sz w:val="20"/>
          <w:szCs w:val="20"/>
        </w:rPr>
        <w:t>(</w:t>
      </w:r>
      <w:r>
        <w:rPr>
          <w:i/>
          <w:color w:val="0B5394"/>
          <w:sz w:val="20"/>
          <w:szCs w:val="20"/>
        </w:rPr>
        <w:t>17</w:t>
      </w:r>
      <w:r>
        <w:rPr>
          <w:color w:val="3C78D8"/>
          <w:sz w:val="20"/>
          <w:szCs w:val="20"/>
        </w:rPr>
        <w:t>)</w:t>
      </w:r>
      <w:r>
        <w:rPr>
          <w:sz w:val="20"/>
          <w:szCs w:val="20"/>
        </w:rPr>
        <w:t xml:space="preserve">. In conclusion, it highlights the need for continuously observing and monitoring the patterns of antibiotic resistance in order to build efficient treatment plans for the patient </w:t>
      </w:r>
      <w:r>
        <w:rPr>
          <w:color w:val="0B5394"/>
          <w:sz w:val="20"/>
          <w:szCs w:val="20"/>
        </w:rPr>
        <w:t>(</w:t>
      </w:r>
      <w:r>
        <w:rPr>
          <w:i/>
          <w:color w:val="0B5394"/>
          <w:sz w:val="20"/>
          <w:szCs w:val="20"/>
        </w:rPr>
        <w:t>18,19</w:t>
      </w:r>
      <w:proofErr w:type="gramStart"/>
      <w:r>
        <w:rPr>
          <w:color w:val="3C78D8"/>
          <w:sz w:val="20"/>
          <w:szCs w:val="20"/>
        </w:rPr>
        <w:t>)</w:t>
      </w:r>
      <w:r>
        <w:rPr>
          <w:sz w:val="20"/>
          <w:szCs w:val="20"/>
        </w:rPr>
        <w:t xml:space="preserve"> .</w:t>
      </w:r>
      <w:proofErr w:type="gramEnd"/>
    </w:p>
    <w:p w:rsidR="0016425C" w:rsidRDefault="007204B1">
      <w:pPr>
        <w:spacing w:before="240" w:after="240"/>
        <w:rPr>
          <w:b/>
        </w:rPr>
      </w:pPr>
      <w:r>
        <w:rPr>
          <w:b/>
        </w:rPr>
        <w:t>CONCLUSION</w:t>
      </w:r>
    </w:p>
    <w:p w:rsidR="0016425C" w:rsidRDefault="007204B1">
      <w:pPr>
        <w:spacing w:before="240" w:after="240"/>
        <w:rPr>
          <w:sz w:val="20"/>
          <w:szCs w:val="20"/>
        </w:rPr>
      </w:pPr>
      <w:r>
        <w:rPr>
          <w:sz w:val="20"/>
          <w:szCs w:val="20"/>
        </w:rPr>
        <w:t xml:space="preserve">Invasive procedures, while often necessary for supportive care, further increased the risk for severe infections. The high morbidity associated with such infections, combined with the inherent vulnerabilities of these patients, underscores the need for stringent infection control measures and early intervention strategies </w:t>
      </w:r>
      <w:r>
        <w:rPr>
          <w:color w:val="0B5394"/>
          <w:sz w:val="20"/>
          <w:szCs w:val="20"/>
        </w:rPr>
        <w:t>(</w:t>
      </w:r>
      <w:r>
        <w:rPr>
          <w:i/>
          <w:color w:val="0B5394"/>
          <w:sz w:val="20"/>
          <w:szCs w:val="20"/>
        </w:rPr>
        <w:t>20</w:t>
      </w:r>
      <w:r>
        <w:rPr>
          <w:color w:val="3C78D8"/>
          <w:sz w:val="20"/>
          <w:szCs w:val="20"/>
        </w:rPr>
        <w:t>)</w:t>
      </w:r>
      <w:r>
        <w:rPr>
          <w:sz w:val="20"/>
          <w:szCs w:val="20"/>
        </w:rPr>
        <w:t xml:space="preserve">. Future research and clinical protocols should aim to mitigate these risks and improve outcomes in similar high-risk populations </w:t>
      </w:r>
      <w:r>
        <w:rPr>
          <w:color w:val="0B5394"/>
          <w:sz w:val="20"/>
          <w:szCs w:val="20"/>
        </w:rPr>
        <w:t>(</w:t>
      </w:r>
      <w:r>
        <w:rPr>
          <w:i/>
          <w:color w:val="0B5394"/>
          <w:sz w:val="20"/>
          <w:szCs w:val="20"/>
        </w:rPr>
        <w:t>18,20</w:t>
      </w:r>
      <w:r>
        <w:rPr>
          <w:color w:val="3C78D8"/>
          <w:sz w:val="20"/>
          <w:szCs w:val="20"/>
        </w:rPr>
        <w:t>)</w:t>
      </w:r>
      <w:r>
        <w:rPr>
          <w:sz w:val="20"/>
          <w:szCs w:val="20"/>
        </w:rPr>
        <w:t>.</w:t>
      </w:r>
    </w:p>
    <w:p w:rsidR="0016425C" w:rsidRDefault="0016425C">
      <w:pPr>
        <w:spacing w:before="240" w:after="240"/>
        <w:rPr>
          <w:rFonts w:ascii="Times New Roman" w:eastAsia="Times New Roman" w:hAnsi="Times New Roman" w:cs="Times New Roman"/>
          <w:sz w:val="24"/>
          <w:szCs w:val="24"/>
        </w:rPr>
      </w:pPr>
    </w:p>
    <w:p w:rsidR="0016425C" w:rsidRDefault="007204B1">
      <w:pPr>
        <w:spacing w:before="240" w:after="240"/>
        <w:rPr>
          <w:b/>
        </w:rPr>
      </w:pPr>
      <w:r>
        <w:rPr>
          <w:b/>
        </w:rPr>
        <w:lastRenderedPageBreak/>
        <w:t>REFERENCES</w:t>
      </w:r>
    </w:p>
    <w:p w:rsidR="0016425C" w:rsidRDefault="007204B1">
      <w:pPr>
        <w:numPr>
          <w:ilvl w:val="0"/>
          <w:numId w:val="8"/>
        </w:numPr>
        <w:rPr>
          <w:sz w:val="20"/>
          <w:szCs w:val="20"/>
        </w:rPr>
      </w:pPr>
      <w:proofErr w:type="spellStart"/>
      <w:r>
        <w:rPr>
          <w:sz w:val="20"/>
          <w:szCs w:val="20"/>
        </w:rPr>
        <w:t>Pastura</w:t>
      </w:r>
      <w:proofErr w:type="spellEnd"/>
      <w:r>
        <w:rPr>
          <w:sz w:val="20"/>
          <w:szCs w:val="20"/>
        </w:rPr>
        <w:t xml:space="preserve"> PSVC, Land MGP. Children with multiple congenital defects: What are the limits between therapeutic obstinacy and the treatment of uncertain benefit? </w:t>
      </w:r>
      <w:proofErr w:type="spellStart"/>
      <w:r>
        <w:rPr>
          <w:sz w:val="20"/>
          <w:szCs w:val="20"/>
        </w:rPr>
        <w:t>Revista</w:t>
      </w:r>
      <w:proofErr w:type="spellEnd"/>
      <w:r>
        <w:rPr>
          <w:sz w:val="20"/>
          <w:szCs w:val="20"/>
        </w:rPr>
        <w:t xml:space="preserve"> </w:t>
      </w:r>
      <w:proofErr w:type="spellStart"/>
      <w:r>
        <w:rPr>
          <w:sz w:val="20"/>
          <w:szCs w:val="20"/>
        </w:rPr>
        <w:t>Paulista</w:t>
      </w:r>
      <w:proofErr w:type="spellEnd"/>
      <w:r>
        <w:rPr>
          <w:sz w:val="20"/>
          <w:szCs w:val="20"/>
        </w:rPr>
        <w:t xml:space="preserve"> de </w:t>
      </w:r>
      <w:proofErr w:type="spellStart"/>
      <w:r>
        <w:rPr>
          <w:sz w:val="20"/>
          <w:szCs w:val="20"/>
        </w:rPr>
        <w:t>Pediatria</w:t>
      </w:r>
      <w:proofErr w:type="spellEnd"/>
      <w:r>
        <w:rPr>
          <w:sz w:val="20"/>
          <w:szCs w:val="20"/>
        </w:rPr>
        <w:t>. 2017 Feb 20;35(1):110–4.</w:t>
      </w:r>
    </w:p>
    <w:p w:rsidR="0016425C" w:rsidRDefault="0016425C">
      <w:pPr>
        <w:ind w:left="720"/>
        <w:rPr>
          <w:sz w:val="20"/>
          <w:szCs w:val="20"/>
        </w:rPr>
      </w:pPr>
    </w:p>
    <w:p w:rsidR="0016425C" w:rsidRDefault="007204B1">
      <w:pPr>
        <w:numPr>
          <w:ilvl w:val="0"/>
          <w:numId w:val="8"/>
        </w:numPr>
        <w:rPr>
          <w:sz w:val="20"/>
          <w:szCs w:val="20"/>
        </w:rPr>
      </w:pPr>
      <w:proofErr w:type="spellStart"/>
      <w:r>
        <w:rPr>
          <w:sz w:val="20"/>
          <w:szCs w:val="20"/>
        </w:rPr>
        <w:t>Julije</w:t>
      </w:r>
      <w:proofErr w:type="spellEnd"/>
      <w:r>
        <w:rPr>
          <w:sz w:val="20"/>
          <w:szCs w:val="20"/>
        </w:rPr>
        <w:t xml:space="preserve"> </w:t>
      </w:r>
      <w:proofErr w:type="spellStart"/>
      <w:r>
        <w:rPr>
          <w:sz w:val="20"/>
          <w:szCs w:val="20"/>
        </w:rPr>
        <w:t>Meštrovi</w:t>
      </w:r>
      <w:proofErr w:type="spellEnd"/>
      <w:r>
        <w:rPr>
          <w:sz w:val="20"/>
          <w:szCs w:val="20"/>
        </w:rPr>
        <w:t xml:space="preserve">, Goran </w:t>
      </w:r>
      <w:proofErr w:type="spellStart"/>
      <w:r>
        <w:rPr>
          <w:sz w:val="20"/>
          <w:szCs w:val="20"/>
        </w:rPr>
        <w:t>Kardum</w:t>
      </w:r>
      <w:proofErr w:type="spellEnd"/>
      <w:r>
        <w:rPr>
          <w:sz w:val="20"/>
          <w:szCs w:val="20"/>
        </w:rPr>
        <w:t xml:space="preserve">, </w:t>
      </w:r>
      <w:proofErr w:type="spellStart"/>
      <w:r>
        <w:rPr>
          <w:sz w:val="20"/>
          <w:szCs w:val="20"/>
        </w:rPr>
        <w:t>Poli</w:t>
      </w:r>
      <w:proofErr w:type="spellEnd"/>
      <w:r>
        <w:rPr>
          <w:sz w:val="20"/>
          <w:szCs w:val="20"/>
        </w:rPr>
        <w:t xml:space="preserve"> B, </w:t>
      </w:r>
      <w:proofErr w:type="spellStart"/>
      <w:r>
        <w:rPr>
          <w:sz w:val="20"/>
          <w:szCs w:val="20"/>
        </w:rPr>
        <w:t>Marija</w:t>
      </w:r>
      <w:proofErr w:type="spellEnd"/>
      <w:r>
        <w:rPr>
          <w:sz w:val="20"/>
          <w:szCs w:val="20"/>
        </w:rPr>
        <w:t xml:space="preserve"> </w:t>
      </w:r>
      <w:proofErr w:type="spellStart"/>
      <w:r>
        <w:rPr>
          <w:sz w:val="20"/>
          <w:szCs w:val="20"/>
        </w:rPr>
        <w:t>Meštrovi</w:t>
      </w:r>
      <w:proofErr w:type="spellEnd"/>
      <w:r>
        <w:rPr>
          <w:sz w:val="20"/>
          <w:szCs w:val="20"/>
        </w:rPr>
        <w:t xml:space="preserve">, </w:t>
      </w:r>
      <w:proofErr w:type="spellStart"/>
      <w:r>
        <w:rPr>
          <w:sz w:val="20"/>
          <w:szCs w:val="20"/>
        </w:rPr>
        <w:t>Marki</w:t>
      </w:r>
      <w:proofErr w:type="spellEnd"/>
      <w:r>
        <w:rPr>
          <w:sz w:val="20"/>
          <w:szCs w:val="20"/>
        </w:rPr>
        <w:t xml:space="preserve"> J, </w:t>
      </w:r>
      <w:proofErr w:type="spellStart"/>
      <w:r>
        <w:rPr>
          <w:sz w:val="20"/>
          <w:szCs w:val="20"/>
        </w:rPr>
        <w:t>Šusti</w:t>
      </w:r>
      <w:proofErr w:type="spellEnd"/>
      <w:r>
        <w:rPr>
          <w:sz w:val="20"/>
          <w:szCs w:val="20"/>
        </w:rPr>
        <w:t xml:space="preserve"> A, et al. The influence of chronic health conditions on susceptibility to severe acute illness of children treated in PICU. European Journal of </w:t>
      </w:r>
      <w:proofErr w:type="spellStart"/>
      <w:r>
        <w:rPr>
          <w:sz w:val="20"/>
          <w:szCs w:val="20"/>
        </w:rPr>
        <w:t>Pediatrics</w:t>
      </w:r>
      <w:proofErr w:type="spellEnd"/>
      <w:r>
        <w:rPr>
          <w:sz w:val="20"/>
          <w:szCs w:val="20"/>
        </w:rPr>
        <w:t>. 2006 Mar 24;165(8):526–9.</w:t>
      </w:r>
    </w:p>
    <w:p w:rsidR="0016425C" w:rsidRDefault="0016425C">
      <w:pPr>
        <w:ind w:left="720"/>
        <w:rPr>
          <w:sz w:val="20"/>
          <w:szCs w:val="20"/>
        </w:rPr>
      </w:pPr>
    </w:p>
    <w:p w:rsidR="0016425C" w:rsidRDefault="007204B1">
      <w:pPr>
        <w:numPr>
          <w:ilvl w:val="0"/>
          <w:numId w:val="8"/>
        </w:numPr>
        <w:spacing w:line="240" w:lineRule="auto"/>
        <w:rPr>
          <w:sz w:val="20"/>
          <w:szCs w:val="20"/>
        </w:rPr>
      </w:pPr>
      <w:r>
        <w:rPr>
          <w:sz w:val="20"/>
          <w:szCs w:val="20"/>
        </w:rPr>
        <w:t xml:space="preserve">Bruno Russo </w:t>
      </w:r>
      <w:proofErr w:type="spellStart"/>
      <w:r>
        <w:rPr>
          <w:sz w:val="20"/>
          <w:szCs w:val="20"/>
        </w:rPr>
        <w:t>Porchera</w:t>
      </w:r>
      <w:proofErr w:type="spellEnd"/>
      <w:r>
        <w:rPr>
          <w:sz w:val="20"/>
          <w:szCs w:val="20"/>
        </w:rPr>
        <w:t xml:space="preserve">, </w:t>
      </w:r>
      <w:proofErr w:type="spellStart"/>
      <w:r>
        <w:rPr>
          <w:sz w:val="20"/>
          <w:szCs w:val="20"/>
        </w:rPr>
        <w:t>Moraes</w:t>
      </w:r>
      <w:proofErr w:type="spellEnd"/>
      <w:r>
        <w:rPr>
          <w:sz w:val="20"/>
          <w:szCs w:val="20"/>
        </w:rPr>
        <w:t xml:space="preserve"> C, </w:t>
      </w:r>
      <w:proofErr w:type="spellStart"/>
      <w:r>
        <w:rPr>
          <w:sz w:val="20"/>
          <w:szCs w:val="20"/>
        </w:rPr>
        <w:t>Rayssa</w:t>
      </w:r>
      <w:proofErr w:type="spellEnd"/>
      <w:r>
        <w:rPr>
          <w:sz w:val="20"/>
          <w:szCs w:val="20"/>
        </w:rPr>
        <w:t xml:space="preserve"> Pinheiro Miranda, </w:t>
      </w:r>
      <w:proofErr w:type="spellStart"/>
      <w:r>
        <w:rPr>
          <w:sz w:val="20"/>
          <w:szCs w:val="20"/>
        </w:rPr>
        <w:t>Quadros</w:t>
      </w:r>
      <w:proofErr w:type="spellEnd"/>
      <w:r>
        <w:rPr>
          <w:sz w:val="20"/>
          <w:szCs w:val="20"/>
        </w:rPr>
        <w:t xml:space="preserve"> R, Henrique P, Oliveira G, et al. Linezolid and vancomycin for nosocomial infections in </w:t>
      </w:r>
      <w:proofErr w:type="spellStart"/>
      <w:r>
        <w:rPr>
          <w:sz w:val="20"/>
          <w:szCs w:val="20"/>
        </w:rPr>
        <w:t>pediatric</w:t>
      </w:r>
      <w:proofErr w:type="spellEnd"/>
      <w:r>
        <w:rPr>
          <w:sz w:val="20"/>
          <w:szCs w:val="20"/>
        </w:rPr>
        <w:t xml:space="preserve"> patients: a systematic review. </w:t>
      </w:r>
      <w:proofErr w:type="spellStart"/>
      <w:r>
        <w:rPr>
          <w:sz w:val="20"/>
          <w:szCs w:val="20"/>
        </w:rPr>
        <w:t>Jornal</w:t>
      </w:r>
      <w:proofErr w:type="spellEnd"/>
      <w:r>
        <w:rPr>
          <w:sz w:val="20"/>
          <w:szCs w:val="20"/>
        </w:rPr>
        <w:t xml:space="preserve"> de </w:t>
      </w:r>
      <w:proofErr w:type="spellStart"/>
      <w:r>
        <w:rPr>
          <w:sz w:val="20"/>
          <w:szCs w:val="20"/>
        </w:rPr>
        <w:t>Pediatria</w:t>
      </w:r>
      <w:proofErr w:type="spellEnd"/>
      <w:r>
        <w:rPr>
          <w:sz w:val="20"/>
          <w:szCs w:val="20"/>
        </w:rPr>
        <w:t>. 2023 Dec 22;100(3).</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Maki DG, </w:t>
      </w:r>
      <w:proofErr w:type="spellStart"/>
      <w:r>
        <w:rPr>
          <w:sz w:val="20"/>
          <w:szCs w:val="20"/>
        </w:rPr>
        <w:t>Crnich</w:t>
      </w:r>
      <w:proofErr w:type="spellEnd"/>
      <w:r>
        <w:rPr>
          <w:sz w:val="20"/>
          <w:szCs w:val="20"/>
        </w:rPr>
        <w:t xml:space="preserve"> CJ, Safdar N. Nosocomial Infection in the Intensive Care Unit. Critical Care Medicine. 2008;1003–69.</w:t>
      </w:r>
    </w:p>
    <w:p w:rsidR="0016425C" w:rsidRDefault="007204B1">
      <w:pPr>
        <w:spacing w:line="240" w:lineRule="auto"/>
        <w:ind w:left="720"/>
        <w:rPr>
          <w:sz w:val="20"/>
          <w:szCs w:val="20"/>
        </w:rPr>
      </w:pPr>
      <w:r>
        <w:rPr>
          <w:sz w:val="20"/>
          <w:szCs w:val="20"/>
        </w:rPr>
        <w:t xml:space="preserve">Available from: https://pmc.ncbi.nlm.nih.gov/articles/PMC7170205/ </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Nasir A, Nasir L, </w:t>
      </w:r>
      <w:proofErr w:type="spellStart"/>
      <w:r>
        <w:rPr>
          <w:sz w:val="20"/>
          <w:szCs w:val="20"/>
        </w:rPr>
        <w:t>Tarrell</w:t>
      </w:r>
      <w:proofErr w:type="spellEnd"/>
      <w:r>
        <w:rPr>
          <w:sz w:val="20"/>
          <w:szCs w:val="20"/>
        </w:rPr>
        <w:t xml:space="preserve"> A, </w:t>
      </w:r>
      <w:proofErr w:type="spellStart"/>
      <w:r>
        <w:rPr>
          <w:sz w:val="20"/>
          <w:szCs w:val="20"/>
        </w:rPr>
        <w:t>Finken</w:t>
      </w:r>
      <w:proofErr w:type="spellEnd"/>
      <w:r>
        <w:rPr>
          <w:sz w:val="20"/>
          <w:szCs w:val="20"/>
        </w:rPr>
        <w:t xml:space="preserve"> D, Lacroix A, </w:t>
      </w:r>
      <w:proofErr w:type="spellStart"/>
      <w:r>
        <w:rPr>
          <w:sz w:val="20"/>
          <w:szCs w:val="20"/>
        </w:rPr>
        <w:t>Pinninti</w:t>
      </w:r>
      <w:proofErr w:type="spellEnd"/>
      <w:r>
        <w:rPr>
          <w:sz w:val="20"/>
          <w:szCs w:val="20"/>
        </w:rPr>
        <w:t xml:space="preserve"> S, et al. Complexity in </w:t>
      </w:r>
      <w:proofErr w:type="spellStart"/>
      <w:r>
        <w:rPr>
          <w:sz w:val="20"/>
          <w:szCs w:val="20"/>
        </w:rPr>
        <w:t>pediatric</w:t>
      </w:r>
      <w:proofErr w:type="spellEnd"/>
      <w:r>
        <w:rPr>
          <w:sz w:val="20"/>
          <w:szCs w:val="20"/>
        </w:rPr>
        <w:t xml:space="preserve"> primary care. Primary Health Care Research &amp; Development. 2018 May 22;20.</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Cavalcante SS, </w:t>
      </w:r>
      <w:proofErr w:type="spellStart"/>
      <w:r>
        <w:rPr>
          <w:sz w:val="20"/>
          <w:szCs w:val="20"/>
        </w:rPr>
        <w:t>Mota</w:t>
      </w:r>
      <w:proofErr w:type="spellEnd"/>
      <w:r>
        <w:rPr>
          <w:sz w:val="20"/>
          <w:szCs w:val="20"/>
        </w:rPr>
        <w:t xml:space="preserve"> E, Silva LR, Teixeira LF, Cavalcante LB. Risk Factors for Developing Nosocomial Infections Among </w:t>
      </w:r>
      <w:proofErr w:type="spellStart"/>
      <w:r>
        <w:rPr>
          <w:sz w:val="20"/>
          <w:szCs w:val="20"/>
        </w:rPr>
        <w:t>Pediatric</w:t>
      </w:r>
      <w:proofErr w:type="spellEnd"/>
      <w:r>
        <w:rPr>
          <w:sz w:val="20"/>
          <w:szCs w:val="20"/>
        </w:rPr>
        <w:t xml:space="preserve"> Patients. The </w:t>
      </w:r>
      <w:proofErr w:type="spellStart"/>
      <w:r>
        <w:rPr>
          <w:sz w:val="20"/>
          <w:szCs w:val="20"/>
        </w:rPr>
        <w:t>Pediatric</w:t>
      </w:r>
      <w:proofErr w:type="spellEnd"/>
      <w:r>
        <w:rPr>
          <w:sz w:val="20"/>
          <w:szCs w:val="20"/>
        </w:rPr>
        <w:t xml:space="preserve"> Infectious Disease Journal. 2006 May;25(5):438–45.</w:t>
      </w:r>
    </w:p>
    <w:p w:rsidR="0016425C" w:rsidRDefault="0016425C">
      <w:pPr>
        <w:spacing w:line="240" w:lineRule="auto"/>
        <w:ind w:left="720"/>
        <w:rPr>
          <w:sz w:val="20"/>
          <w:szCs w:val="20"/>
        </w:rPr>
      </w:pP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Chmielewski PP, </w:t>
      </w:r>
      <w:proofErr w:type="spellStart"/>
      <w:r>
        <w:rPr>
          <w:sz w:val="20"/>
          <w:szCs w:val="20"/>
        </w:rPr>
        <w:t>Strzelec</w:t>
      </w:r>
      <w:proofErr w:type="spellEnd"/>
      <w:r>
        <w:rPr>
          <w:sz w:val="20"/>
          <w:szCs w:val="20"/>
        </w:rPr>
        <w:t xml:space="preserve"> B. Elevated leukocyte count as a harbinger of systemic inflammation, disease progression, and poor prognosis: a review. Folia </w:t>
      </w:r>
      <w:proofErr w:type="spellStart"/>
      <w:r>
        <w:rPr>
          <w:sz w:val="20"/>
          <w:szCs w:val="20"/>
        </w:rPr>
        <w:t>Morphologica</w:t>
      </w:r>
      <w:proofErr w:type="spellEnd"/>
      <w:r>
        <w:rPr>
          <w:sz w:val="20"/>
          <w:szCs w:val="20"/>
        </w:rPr>
        <w:t xml:space="preserve"> [Internet]. 2018;77(2):171–8. Available from: </w:t>
      </w:r>
      <w:hyperlink r:id="rId10">
        <w:r>
          <w:rPr>
            <w:color w:val="1155CC"/>
            <w:sz w:val="20"/>
            <w:szCs w:val="20"/>
            <w:u w:val="single"/>
          </w:rPr>
          <w:t>https://journals.viamedica.pl/folia_morphologica/article/view/54054</w:t>
        </w:r>
      </w:hyperlink>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proofErr w:type="spellStart"/>
      <w:r>
        <w:rPr>
          <w:sz w:val="20"/>
          <w:szCs w:val="20"/>
        </w:rPr>
        <w:t>Leukocytosis</w:t>
      </w:r>
      <w:proofErr w:type="spellEnd"/>
      <w:r>
        <w:rPr>
          <w:sz w:val="20"/>
          <w:szCs w:val="20"/>
        </w:rPr>
        <w:t xml:space="preserve"> (High White Blood Cell Count): Causes &amp; Symptoms [Internet]. Cleveland Clinic. 2023 [cited 2025 Aug 16]. Available from: https://my.clevelandclinic.org/health/diseases/17704-high-white-blood-cell-count?utm</w:t>
      </w:r>
    </w:p>
    <w:p w:rsidR="0016425C" w:rsidRDefault="0016425C">
      <w:pPr>
        <w:spacing w:line="240" w:lineRule="auto"/>
        <w:rPr>
          <w:sz w:val="20"/>
          <w:szCs w:val="20"/>
        </w:rPr>
      </w:pP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Pradhan S, Ghimire A, Bhattarai B, </w:t>
      </w:r>
      <w:proofErr w:type="spellStart"/>
      <w:r>
        <w:rPr>
          <w:sz w:val="20"/>
          <w:szCs w:val="20"/>
        </w:rPr>
        <w:t>Khanal</w:t>
      </w:r>
      <w:proofErr w:type="spellEnd"/>
      <w:r>
        <w:rPr>
          <w:sz w:val="20"/>
          <w:szCs w:val="20"/>
        </w:rPr>
        <w:t xml:space="preserve"> B, Pokharel K, </w:t>
      </w:r>
      <w:proofErr w:type="spellStart"/>
      <w:r>
        <w:rPr>
          <w:sz w:val="20"/>
          <w:szCs w:val="20"/>
        </w:rPr>
        <w:t>Lamsal</w:t>
      </w:r>
      <w:proofErr w:type="spellEnd"/>
      <w:r>
        <w:rPr>
          <w:sz w:val="20"/>
          <w:szCs w:val="20"/>
        </w:rPr>
        <w:t xml:space="preserve"> M, et al. The role of C-reactive protein as a diagnostic predictor of sepsis in a multidisciplinary Intensive Care Unit of a tertiary care </w:t>
      </w:r>
      <w:proofErr w:type="spellStart"/>
      <w:r>
        <w:rPr>
          <w:sz w:val="20"/>
          <w:szCs w:val="20"/>
        </w:rPr>
        <w:t>center</w:t>
      </w:r>
      <w:proofErr w:type="spellEnd"/>
      <w:r>
        <w:rPr>
          <w:sz w:val="20"/>
          <w:szCs w:val="20"/>
        </w:rPr>
        <w:t xml:space="preserve"> in Nepal. Indian Journal of Critical Care </w:t>
      </w:r>
      <w:proofErr w:type="gramStart"/>
      <w:r>
        <w:rPr>
          <w:sz w:val="20"/>
          <w:szCs w:val="20"/>
        </w:rPr>
        <w:t>Medicine :</w:t>
      </w:r>
      <w:proofErr w:type="gramEnd"/>
      <w:r>
        <w:rPr>
          <w:sz w:val="20"/>
          <w:szCs w:val="20"/>
        </w:rPr>
        <w:t xml:space="preserve"> Peer-reviewed, Official Publication of Indian Society of Critical Care Medicine [Internet]. 2016 Jul 1;20(7):417–20. Available from: </w:t>
      </w:r>
      <w:hyperlink r:id="rId11">
        <w:r>
          <w:rPr>
            <w:color w:val="1155CC"/>
            <w:sz w:val="20"/>
            <w:szCs w:val="20"/>
            <w:u w:val="single"/>
          </w:rPr>
          <w:t>https://www.ncbi.nlm.nih.gov/pmc/articles/PMC4968065/</w:t>
        </w:r>
      </w:hyperlink>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proofErr w:type="spellStart"/>
      <w:r>
        <w:rPr>
          <w:sz w:val="20"/>
          <w:szCs w:val="20"/>
        </w:rPr>
        <w:t>Ssekitoleko</w:t>
      </w:r>
      <w:proofErr w:type="spellEnd"/>
      <w:r>
        <w:rPr>
          <w:sz w:val="20"/>
          <w:szCs w:val="20"/>
        </w:rPr>
        <w:t xml:space="preserve"> RT, </w:t>
      </w:r>
      <w:proofErr w:type="spellStart"/>
      <w:r>
        <w:rPr>
          <w:sz w:val="20"/>
          <w:szCs w:val="20"/>
        </w:rPr>
        <w:t>Oshabaheebwa</w:t>
      </w:r>
      <w:proofErr w:type="spellEnd"/>
      <w:r>
        <w:rPr>
          <w:sz w:val="20"/>
          <w:szCs w:val="20"/>
        </w:rPr>
        <w:t xml:space="preserve"> S, </w:t>
      </w:r>
      <w:proofErr w:type="spellStart"/>
      <w:r>
        <w:rPr>
          <w:sz w:val="20"/>
          <w:szCs w:val="20"/>
        </w:rPr>
        <w:t>Munabi</w:t>
      </w:r>
      <w:proofErr w:type="spellEnd"/>
      <w:r>
        <w:rPr>
          <w:sz w:val="20"/>
          <w:szCs w:val="20"/>
        </w:rPr>
        <w:t xml:space="preserve"> IG, </w:t>
      </w:r>
      <w:proofErr w:type="spellStart"/>
      <w:r>
        <w:rPr>
          <w:sz w:val="20"/>
          <w:szCs w:val="20"/>
        </w:rPr>
        <w:t>Tusabe</w:t>
      </w:r>
      <w:proofErr w:type="spellEnd"/>
      <w:r>
        <w:rPr>
          <w:sz w:val="20"/>
          <w:szCs w:val="20"/>
        </w:rPr>
        <w:t xml:space="preserve"> MS, </w:t>
      </w:r>
      <w:proofErr w:type="spellStart"/>
      <w:r>
        <w:rPr>
          <w:sz w:val="20"/>
          <w:szCs w:val="20"/>
        </w:rPr>
        <w:t>Namayega</w:t>
      </w:r>
      <w:proofErr w:type="spellEnd"/>
      <w:r>
        <w:rPr>
          <w:sz w:val="20"/>
          <w:szCs w:val="20"/>
        </w:rPr>
        <w:t xml:space="preserve"> C, </w:t>
      </w:r>
      <w:proofErr w:type="spellStart"/>
      <w:r>
        <w:rPr>
          <w:sz w:val="20"/>
          <w:szCs w:val="20"/>
        </w:rPr>
        <w:t>Ngabirano</w:t>
      </w:r>
      <w:proofErr w:type="spellEnd"/>
      <w:r>
        <w:rPr>
          <w:sz w:val="20"/>
          <w:szCs w:val="20"/>
        </w:rPr>
        <w:t xml:space="preserve"> BA, et al. The role of medical equipment in the spread of nosocomial infections: a cross-sectional study in four tertiary public health facilities in Uganda. BMC public health [Internet]. 2020 Oct 16;20(1):1561. Available from: </w:t>
      </w:r>
      <w:hyperlink r:id="rId12">
        <w:r>
          <w:rPr>
            <w:color w:val="1155CC"/>
            <w:sz w:val="20"/>
            <w:szCs w:val="20"/>
            <w:u w:val="single"/>
          </w:rPr>
          <w:t>https://pubmed.ncbi.nlm.nih.gov/33066745/</w:t>
        </w:r>
      </w:hyperlink>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 Nandini </w:t>
      </w:r>
      <w:proofErr w:type="spellStart"/>
      <w:r>
        <w:rPr>
          <w:sz w:val="20"/>
          <w:szCs w:val="20"/>
        </w:rPr>
        <w:t>Raveendra</w:t>
      </w:r>
      <w:proofErr w:type="spellEnd"/>
      <w:r>
        <w:rPr>
          <w:sz w:val="20"/>
          <w:szCs w:val="20"/>
        </w:rPr>
        <w:t xml:space="preserve">, </w:t>
      </w:r>
      <w:proofErr w:type="spellStart"/>
      <w:r>
        <w:rPr>
          <w:sz w:val="20"/>
          <w:szCs w:val="20"/>
        </w:rPr>
        <w:t>Subhodha</w:t>
      </w:r>
      <w:proofErr w:type="spellEnd"/>
      <w:r>
        <w:rPr>
          <w:sz w:val="20"/>
          <w:szCs w:val="20"/>
        </w:rPr>
        <w:t xml:space="preserve"> </w:t>
      </w:r>
      <w:proofErr w:type="spellStart"/>
      <w:r>
        <w:rPr>
          <w:sz w:val="20"/>
          <w:szCs w:val="20"/>
        </w:rPr>
        <w:t>Hosagadde</w:t>
      </w:r>
      <w:proofErr w:type="spellEnd"/>
      <w:r>
        <w:rPr>
          <w:sz w:val="20"/>
          <w:szCs w:val="20"/>
        </w:rPr>
        <w:t xml:space="preserve"> </w:t>
      </w:r>
      <w:proofErr w:type="spellStart"/>
      <w:r>
        <w:rPr>
          <w:sz w:val="20"/>
          <w:szCs w:val="20"/>
        </w:rPr>
        <w:t>Rathnakara</w:t>
      </w:r>
      <w:proofErr w:type="spellEnd"/>
      <w:r>
        <w:rPr>
          <w:sz w:val="20"/>
          <w:szCs w:val="20"/>
        </w:rPr>
        <w:t xml:space="preserve">, Neha </w:t>
      </w:r>
      <w:proofErr w:type="spellStart"/>
      <w:r>
        <w:rPr>
          <w:sz w:val="20"/>
          <w:szCs w:val="20"/>
        </w:rPr>
        <w:t>Haswani</w:t>
      </w:r>
      <w:proofErr w:type="spellEnd"/>
      <w:r>
        <w:rPr>
          <w:sz w:val="20"/>
          <w:szCs w:val="20"/>
        </w:rPr>
        <w:t>, Subramaniam V. Bacterial Biofilms on Tracheostomy Tubes. 2021 May 6;74(S3):4995–9.</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Demir S, </w:t>
      </w:r>
      <w:proofErr w:type="spellStart"/>
      <w:r>
        <w:rPr>
          <w:sz w:val="20"/>
          <w:szCs w:val="20"/>
        </w:rPr>
        <w:t>Soysal</w:t>
      </w:r>
      <w:proofErr w:type="spellEnd"/>
      <w:r>
        <w:rPr>
          <w:sz w:val="20"/>
          <w:szCs w:val="20"/>
        </w:rPr>
        <w:t xml:space="preserve"> A, </w:t>
      </w:r>
      <w:proofErr w:type="spellStart"/>
      <w:r>
        <w:rPr>
          <w:sz w:val="20"/>
          <w:szCs w:val="20"/>
        </w:rPr>
        <w:t>Bakir</w:t>
      </w:r>
      <w:proofErr w:type="spellEnd"/>
      <w:r>
        <w:rPr>
          <w:sz w:val="20"/>
          <w:szCs w:val="20"/>
        </w:rPr>
        <w:t xml:space="preserve"> M, Kaufmann ME, </w:t>
      </w:r>
      <w:proofErr w:type="spellStart"/>
      <w:r>
        <w:rPr>
          <w:sz w:val="20"/>
          <w:szCs w:val="20"/>
        </w:rPr>
        <w:t>Yagci</w:t>
      </w:r>
      <w:proofErr w:type="spellEnd"/>
      <w:r>
        <w:rPr>
          <w:sz w:val="20"/>
          <w:szCs w:val="20"/>
        </w:rPr>
        <w:t xml:space="preserve"> A. Extended-spectrum β-lactamase-</w:t>
      </w:r>
      <w:proofErr w:type="spellStart"/>
      <w:r>
        <w:rPr>
          <w:sz w:val="20"/>
          <w:szCs w:val="20"/>
        </w:rPr>
        <w:t>producingKlebsiella</w:t>
      </w:r>
      <w:proofErr w:type="spellEnd"/>
      <w:r>
        <w:rPr>
          <w:sz w:val="20"/>
          <w:szCs w:val="20"/>
        </w:rPr>
        <w:t xml:space="preserve"> </w:t>
      </w:r>
      <w:proofErr w:type="spellStart"/>
      <w:r>
        <w:rPr>
          <w:sz w:val="20"/>
          <w:szCs w:val="20"/>
        </w:rPr>
        <w:t>pneumoniaein</w:t>
      </w:r>
      <w:proofErr w:type="spellEnd"/>
      <w:r>
        <w:rPr>
          <w:sz w:val="20"/>
          <w:szCs w:val="20"/>
        </w:rPr>
        <w:t xml:space="preserve"> paediatric wards: A nested case-control study. Journal of Paediatrics and Child Health. 2008 Oct;44(10):548–53.</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Parveen R, Khan M, Menezes G, Harish B, SC </w:t>
      </w:r>
      <w:proofErr w:type="spellStart"/>
      <w:r>
        <w:rPr>
          <w:sz w:val="20"/>
          <w:szCs w:val="20"/>
        </w:rPr>
        <w:t>Parija</w:t>
      </w:r>
      <w:proofErr w:type="spellEnd"/>
      <w:r>
        <w:rPr>
          <w:sz w:val="20"/>
          <w:szCs w:val="20"/>
        </w:rPr>
        <w:t>, Hays J. Extended-spectrum β-lactamase producing Klebsiella pneumoniae from blood cultures in Puducherry, India. The Indian Journal of Medical Research [Internet]. 2011 Sep;134(3):392. Available from: https://pmc.ncbi.nlm.nih.gov/articles/PMC3193723/</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lastRenderedPageBreak/>
        <w:t xml:space="preserve">SUHARTONO S, HAYATI Z, MAHDANI W, ANDINI F. Distribution of ESBL-producing and non-ESBL-producing Klebsiella pneumoniae isolated from sputum specimens in the </w:t>
      </w:r>
      <w:proofErr w:type="spellStart"/>
      <w:r>
        <w:rPr>
          <w:sz w:val="20"/>
          <w:szCs w:val="20"/>
        </w:rPr>
        <w:t>Zainoel</w:t>
      </w:r>
      <w:proofErr w:type="spellEnd"/>
      <w:r>
        <w:rPr>
          <w:sz w:val="20"/>
          <w:szCs w:val="20"/>
        </w:rPr>
        <w:t xml:space="preserve"> </w:t>
      </w:r>
      <w:proofErr w:type="spellStart"/>
      <w:r>
        <w:rPr>
          <w:sz w:val="20"/>
          <w:szCs w:val="20"/>
        </w:rPr>
        <w:t>Abidin</w:t>
      </w:r>
      <w:proofErr w:type="spellEnd"/>
      <w:r>
        <w:rPr>
          <w:sz w:val="20"/>
          <w:szCs w:val="20"/>
        </w:rPr>
        <w:t xml:space="preserve"> General Hospital, Banda Aceh, Indonesia. </w:t>
      </w:r>
      <w:proofErr w:type="spellStart"/>
      <w:r>
        <w:rPr>
          <w:sz w:val="20"/>
          <w:szCs w:val="20"/>
        </w:rPr>
        <w:t>Biodiversitas</w:t>
      </w:r>
      <w:proofErr w:type="spellEnd"/>
      <w:r>
        <w:rPr>
          <w:sz w:val="20"/>
          <w:szCs w:val="20"/>
        </w:rPr>
        <w:t xml:space="preserve"> Journal of Biological Diversity. 2024 Jul 30;25(7)</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Singh A, Jain S, Kumar D, Singh R, Bhatt H. Antimicrobial susceptibility pattern of extended-spectrum beta- lactamase producing Klebsiella pneumoniae clinical isolates in an Indian tertiary hospital. Journal of Research in Pharmacy Practice. 2015;4(3):153.</w:t>
      </w:r>
    </w:p>
    <w:p w:rsidR="0016425C" w:rsidRDefault="0016425C">
      <w:pPr>
        <w:spacing w:line="240" w:lineRule="auto"/>
        <w:ind w:left="720"/>
        <w:rPr>
          <w:sz w:val="20"/>
          <w:szCs w:val="20"/>
        </w:rPr>
      </w:pP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Kumar D, Chaudhary M, Naresh Kumar </w:t>
      </w:r>
      <w:proofErr w:type="spellStart"/>
      <w:r>
        <w:rPr>
          <w:sz w:val="20"/>
          <w:szCs w:val="20"/>
        </w:rPr>
        <w:t>Midha</w:t>
      </w:r>
      <w:proofErr w:type="spellEnd"/>
      <w:r>
        <w:rPr>
          <w:sz w:val="20"/>
          <w:szCs w:val="20"/>
        </w:rPr>
        <w:t xml:space="preserve">, Gopal </w:t>
      </w:r>
      <w:proofErr w:type="spellStart"/>
      <w:r>
        <w:rPr>
          <w:sz w:val="20"/>
          <w:szCs w:val="20"/>
        </w:rPr>
        <w:t>Krishana</w:t>
      </w:r>
      <w:proofErr w:type="spellEnd"/>
      <w:r>
        <w:rPr>
          <w:sz w:val="20"/>
          <w:szCs w:val="20"/>
        </w:rPr>
        <w:t xml:space="preserve"> Bohra, Meena DS, </w:t>
      </w:r>
      <w:proofErr w:type="spellStart"/>
      <w:r>
        <w:rPr>
          <w:sz w:val="20"/>
          <w:szCs w:val="20"/>
        </w:rPr>
        <w:t>Tak</w:t>
      </w:r>
      <w:proofErr w:type="spellEnd"/>
      <w:r>
        <w:rPr>
          <w:sz w:val="20"/>
          <w:szCs w:val="20"/>
        </w:rPr>
        <w:t xml:space="preserve"> V, et al. Pathogenic Burden, Antimicrobial Resistance Pattern and Clinical Outcome of Nosocomial Bloodstream Infections in Intensive Care Unit. Journal of Intensive Care Medicine. 2024 Dec 22;</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proofErr w:type="spellStart"/>
      <w:r>
        <w:rPr>
          <w:sz w:val="20"/>
          <w:szCs w:val="20"/>
        </w:rPr>
        <w:t>Kubde</w:t>
      </w:r>
      <w:proofErr w:type="spellEnd"/>
      <w:r>
        <w:rPr>
          <w:sz w:val="20"/>
          <w:szCs w:val="20"/>
        </w:rPr>
        <w:t xml:space="preserve"> D, Badge AK, </w:t>
      </w:r>
      <w:proofErr w:type="spellStart"/>
      <w:r>
        <w:rPr>
          <w:sz w:val="20"/>
          <w:szCs w:val="20"/>
        </w:rPr>
        <w:t>Ugemuge</w:t>
      </w:r>
      <w:proofErr w:type="spellEnd"/>
      <w:r>
        <w:rPr>
          <w:sz w:val="20"/>
          <w:szCs w:val="20"/>
        </w:rPr>
        <w:t xml:space="preserve"> S, </w:t>
      </w:r>
      <w:proofErr w:type="spellStart"/>
      <w:r>
        <w:rPr>
          <w:sz w:val="20"/>
          <w:szCs w:val="20"/>
        </w:rPr>
        <w:t>Shahu</w:t>
      </w:r>
      <w:proofErr w:type="spellEnd"/>
      <w:r>
        <w:rPr>
          <w:sz w:val="20"/>
          <w:szCs w:val="20"/>
        </w:rPr>
        <w:t xml:space="preserve"> S. Importance of Hospital Infection Control. </w:t>
      </w:r>
      <w:proofErr w:type="spellStart"/>
      <w:r>
        <w:rPr>
          <w:sz w:val="20"/>
          <w:szCs w:val="20"/>
        </w:rPr>
        <w:t>Cureus</w:t>
      </w:r>
      <w:proofErr w:type="spellEnd"/>
      <w:r>
        <w:rPr>
          <w:sz w:val="20"/>
          <w:szCs w:val="20"/>
        </w:rPr>
        <w:t xml:space="preserve"> [Internet]. 2023 Dec 22;15(12</w:t>
      </w:r>
      <w:proofErr w:type="gramStart"/>
      <w:r>
        <w:rPr>
          <w:sz w:val="20"/>
          <w:szCs w:val="20"/>
        </w:rPr>
        <w:t>):e</w:t>
      </w:r>
      <w:proofErr w:type="gramEnd"/>
      <w:r>
        <w:rPr>
          <w:sz w:val="20"/>
          <w:szCs w:val="20"/>
        </w:rPr>
        <w:t>50931. Available from: https://pmc.ncbi.nlm.nih.gov/articles/PMC10801286/</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Garvey M. Medical Device-Associated Healthcare Infections: Sterilization and the Potential of Novel Biological Approaches to Ensure Patient Safety. International Journal of Molecular Sciences [Internet]. 2024 Jan 1;25(1):201. Available from: </w:t>
      </w:r>
      <w:hyperlink r:id="rId13">
        <w:r>
          <w:rPr>
            <w:color w:val="1155CC"/>
            <w:sz w:val="20"/>
            <w:szCs w:val="20"/>
            <w:u w:val="single"/>
          </w:rPr>
          <w:t>https://www.mdpi.com/1422-0067/25/1/201</w:t>
        </w:r>
      </w:hyperlink>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Johnson AP. Surveillance of antibiotic resistance. Philosophical Transactions of the Royal Society B: Biological Sciences [Internet]. 2015 Jun 5 [cited 2019 Oct 22];370(1670):20140080. Available from: https://www.ncbi.nlm.nih.gov/pmc/articles/PMC4424431/</w:t>
      </w:r>
    </w:p>
    <w:p w:rsidR="0016425C" w:rsidRDefault="0016425C">
      <w:pPr>
        <w:spacing w:line="240" w:lineRule="auto"/>
        <w:ind w:left="720"/>
        <w:rPr>
          <w:sz w:val="20"/>
          <w:szCs w:val="20"/>
        </w:rPr>
      </w:pPr>
    </w:p>
    <w:p w:rsidR="0016425C" w:rsidRDefault="007204B1">
      <w:pPr>
        <w:numPr>
          <w:ilvl w:val="0"/>
          <w:numId w:val="8"/>
        </w:numPr>
        <w:spacing w:line="240" w:lineRule="auto"/>
        <w:rPr>
          <w:sz w:val="20"/>
          <w:szCs w:val="20"/>
        </w:rPr>
      </w:pPr>
      <w:r>
        <w:rPr>
          <w:sz w:val="20"/>
          <w:szCs w:val="20"/>
        </w:rPr>
        <w:t xml:space="preserve">Costa AL, </w:t>
      </w:r>
      <w:proofErr w:type="spellStart"/>
      <w:r>
        <w:rPr>
          <w:sz w:val="20"/>
          <w:szCs w:val="20"/>
        </w:rPr>
        <w:t>Privitera</w:t>
      </w:r>
      <w:proofErr w:type="spellEnd"/>
      <w:r>
        <w:rPr>
          <w:sz w:val="20"/>
          <w:szCs w:val="20"/>
        </w:rPr>
        <w:t xml:space="preserve"> GP, </w:t>
      </w:r>
      <w:proofErr w:type="spellStart"/>
      <w:r>
        <w:rPr>
          <w:sz w:val="20"/>
          <w:szCs w:val="20"/>
        </w:rPr>
        <w:t>Tulli</w:t>
      </w:r>
      <w:proofErr w:type="spellEnd"/>
      <w:r>
        <w:rPr>
          <w:sz w:val="20"/>
          <w:szCs w:val="20"/>
        </w:rPr>
        <w:t xml:space="preserve"> G, </w:t>
      </w:r>
      <w:proofErr w:type="spellStart"/>
      <w:r>
        <w:rPr>
          <w:sz w:val="20"/>
          <w:szCs w:val="20"/>
        </w:rPr>
        <w:t>Toccafondi</w:t>
      </w:r>
      <w:proofErr w:type="spellEnd"/>
      <w:r>
        <w:rPr>
          <w:sz w:val="20"/>
          <w:szCs w:val="20"/>
        </w:rPr>
        <w:t xml:space="preserve"> G. Infection Prevention and Control. Textbook of Patient Safety and Clinical Risk Management. 2020 Dec 15;99–116.</w:t>
      </w:r>
    </w:p>
    <w:p w:rsidR="0016425C" w:rsidRDefault="0016425C">
      <w:pPr>
        <w:spacing w:line="240" w:lineRule="auto"/>
        <w:rPr>
          <w:sz w:val="20"/>
          <w:szCs w:val="20"/>
        </w:rPr>
      </w:pPr>
    </w:p>
    <w:p w:rsidR="0016425C" w:rsidRDefault="0016425C">
      <w:pPr>
        <w:spacing w:line="240" w:lineRule="auto"/>
        <w:rPr>
          <w:sz w:val="20"/>
          <w:szCs w:val="20"/>
        </w:rPr>
      </w:pPr>
    </w:p>
    <w:p w:rsidR="0016425C" w:rsidRDefault="0016425C">
      <w:pPr>
        <w:spacing w:before="240" w:line="480" w:lineRule="auto"/>
        <w:ind w:left="720"/>
        <w:rPr>
          <w:sz w:val="20"/>
          <w:szCs w:val="20"/>
        </w:rPr>
      </w:pPr>
    </w:p>
    <w:p w:rsidR="0016425C" w:rsidRDefault="007204B1">
      <w:pPr>
        <w:spacing w:before="240" w:after="240"/>
        <w:rPr>
          <w:sz w:val="20"/>
          <w:szCs w:val="20"/>
        </w:rPr>
      </w:pPr>
      <w:r>
        <w:rPr>
          <w:sz w:val="20"/>
          <w:szCs w:val="20"/>
        </w:rPr>
        <w:t xml:space="preserve"> </w:t>
      </w:r>
    </w:p>
    <w:p w:rsidR="0016425C" w:rsidRDefault="007204B1">
      <w:pPr>
        <w:spacing w:before="240" w:after="240"/>
        <w:rPr>
          <w:sz w:val="20"/>
          <w:szCs w:val="20"/>
        </w:rPr>
      </w:pPr>
      <w:r>
        <w:rPr>
          <w:sz w:val="20"/>
          <w:szCs w:val="20"/>
        </w:rPr>
        <w:t xml:space="preserve"> </w:t>
      </w:r>
    </w:p>
    <w:p w:rsidR="0016425C" w:rsidRDefault="0016425C">
      <w:pPr>
        <w:rPr>
          <w:sz w:val="20"/>
          <w:szCs w:val="20"/>
        </w:rPr>
      </w:pPr>
    </w:p>
    <w:p w:rsidR="0016425C" w:rsidRDefault="0016425C">
      <w:pPr>
        <w:rPr>
          <w:sz w:val="20"/>
          <w:szCs w:val="20"/>
        </w:rPr>
      </w:pPr>
    </w:p>
    <w:sectPr w:rsidR="0016425C">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A0E" w:rsidRDefault="005F2A0E" w:rsidP="00EB34D5">
      <w:pPr>
        <w:spacing w:line="240" w:lineRule="auto"/>
      </w:pPr>
      <w:r>
        <w:separator/>
      </w:r>
    </w:p>
  </w:endnote>
  <w:endnote w:type="continuationSeparator" w:id="0">
    <w:p w:rsidR="005F2A0E" w:rsidRDefault="005F2A0E" w:rsidP="00EB3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A0E" w:rsidRDefault="005F2A0E" w:rsidP="00EB34D5">
      <w:pPr>
        <w:spacing w:line="240" w:lineRule="auto"/>
      </w:pPr>
      <w:r>
        <w:separator/>
      </w:r>
    </w:p>
  </w:footnote>
  <w:footnote w:type="continuationSeparator" w:id="0">
    <w:p w:rsidR="005F2A0E" w:rsidRDefault="005F2A0E" w:rsidP="00EB3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6"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7"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4D5" w:rsidRDefault="00EB34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5"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86DA7"/>
    <w:multiLevelType w:val="multilevel"/>
    <w:tmpl w:val="D40EA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25C1E"/>
    <w:multiLevelType w:val="multilevel"/>
    <w:tmpl w:val="826AA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146D1D"/>
    <w:multiLevelType w:val="multilevel"/>
    <w:tmpl w:val="88000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A03092"/>
    <w:multiLevelType w:val="multilevel"/>
    <w:tmpl w:val="1DB6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4A5FB4"/>
    <w:multiLevelType w:val="multilevel"/>
    <w:tmpl w:val="AF748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5625C7"/>
    <w:multiLevelType w:val="multilevel"/>
    <w:tmpl w:val="FDB83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C530C4"/>
    <w:multiLevelType w:val="multilevel"/>
    <w:tmpl w:val="36DCF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1EE0C4A"/>
    <w:multiLevelType w:val="multilevel"/>
    <w:tmpl w:val="4B8A3D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B611338"/>
    <w:multiLevelType w:val="multilevel"/>
    <w:tmpl w:val="17D822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4"/>
  </w:num>
  <w:num w:numId="3">
    <w:abstractNumId w:val="5"/>
  </w:num>
  <w:num w:numId="4">
    <w:abstractNumId w:val="2"/>
  </w:num>
  <w:num w:numId="5">
    <w:abstractNumId w:val="7"/>
  </w:num>
  <w:num w:numId="6">
    <w:abstractNumId w:val="3"/>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25C"/>
    <w:rsid w:val="0016425C"/>
    <w:rsid w:val="005F2A0E"/>
    <w:rsid w:val="007204B1"/>
    <w:rsid w:val="00EB34D5"/>
    <w:rsid w:val="00F4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46155AF-9150-4784-977F-7FEFB5DF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F453A5"/>
    <w:rPr>
      <w:color w:val="0000FF" w:themeColor="hyperlink"/>
      <w:u w:val="single"/>
    </w:rPr>
  </w:style>
  <w:style w:type="character" w:styleId="UnresolvedMention">
    <w:name w:val="Unresolved Mention"/>
    <w:basedOn w:val="DefaultParagraphFont"/>
    <w:uiPriority w:val="99"/>
    <w:semiHidden/>
    <w:unhideWhenUsed/>
    <w:rsid w:val="00F453A5"/>
    <w:rPr>
      <w:color w:val="605E5C"/>
      <w:shd w:val="clear" w:color="auto" w:fill="E1DFDD"/>
    </w:rPr>
  </w:style>
  <w:style w:type="paragraph" w:styleId="Header">
    <w:name w:val="header"/>
    <w:basedOn w:val="Normal"/>
    <w:link w:val="HeaderChar"/>
    <w:uiPriority w:val="99"/>
    <w:unhideWhenUsed/>
    <w:rsid w:val="00EB34D5"/>
    <w:pPr>
      <w:tabs>
        <w:tab w:val="center" w:pos="4680"/>
        <w:tab w:val="right" w:pos="9360"/>
      </w:tabs>
      <w:spacing w:line="240" w:lineRule="auto"/>
    </w:pPr>
  </w:style>
  <w:style w:type="character" w:customStyle="1" w:styleId="HeaderChar">
    <w:name w:val="Header Char"/>
    <w:basedOn w:val="DefaultParagraphFont"/>
    <w:link w:val="Header"/>
    <w:uiPriority w:val="99"/>
    <w:rsid w:val="00EB34D5"/>
  </w:style>
  <w:style w:type="paragraph" w:styleId="Footer">
    <w:name w:val="footer"/>
    <w:basedOn w:val="Normal"/>
    <w:link w:val="FooterChar"/>
    <w:uiPriority w:val="99"/>
    <w:unhideWhenUsed/>
    <w:rsid w:val="00EB34D5"/>
    <w:pPr>
      <w:tabs>
        <w:tab w:val="center" w:pos="4680"/>
        <w:tab w:val="right" w:pos="9360"/>
      </w:tabs>
      <w:spacing w:line="240" w:lineRule="auto"/>
    </w:pPr>
  </w:style>
  <w:style w:type="character" w:customStyle="1" w:styleId="FooterChar">
    <w:name w:val="Footer Char"/>
    <w:basedOn w:val="DefaultParagraphFont"/>
    <w:link w:val="Footer"/>
    <w:uiPriority w:val="99"/>
    <w:rsid w:val="00EB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312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pi.com/1422-0067/25/1/20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ubmed.ncbi.nlm.nih.gov/3306674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96806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ournals.viamedica.pl/folia_morphologica/article/view/5405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Accessed>9</b:DayAccessed>
    <b:MonthAccessed>March</b:MonthAccessed>
    <b:Title>Linezolid and vancomycin for nosocomial infections in pediatric patients: a systematic review</b:Title>
    <b:URL>https://pubmed.ncbi.nlm.nih.gov/38145631/</b:URL>
    <b:InternetSiteTitle>PubMed</b:InternetSiteTitle>
    <b:YearAccessed>2025</b:YearAccessed>
    <b:Gdcea>{"AccessedType":"Website"}</b:Gdcea>
  </b:Source>
</b:Sources>
</file>

<file path=customXml/itemProps1.xml><?xml version="1.0" encoding="utf-8"?>
<ds:datastoreItem xmlns:ds="http://schemas.openxmlformats.org/officeDocument/2006/customXml" ds:itemID="{3642B0A6-6E79-4BFD-9C60-C00CB519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2981</Words>
  <Characters>16992</Characters>
  <Application>Microsoft Office Word</Application>
  <DocSecurity>0</DocSecurity>
  <Lines>141</Lines>
  <Paragraphs>39</Paragraphs>
  <ScaleCrop>false</ScaleCrop>
  <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2025-10-03T07:07:00Z</dcterms:created>
  <dcterms:modified xsi:type="dcterms:W3CDTF">2025-10-03T12:56:00Z</dcterms:modified>
</cp:coreProperties>
</file>