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B583E" w14:textId="77777777" w:rsidR="0001623C" w:rsidRPr="0001623C" w:rsidRDefault="0001623C" w:rsidP="0001623C">
      <w:pPr>
        <w:jc w:val="center"/>
        <w:rPr>
          <w:rFonts w:ascii="Arial" w:hAnsi="Arial"/>
          <w:b/>
          <w:bCs/>
          <w:i/>
          <w:iCs/>
          <w:u w:val="single"/>
          <w:lang w:val="en-US"/>
        </w:rPr>
      </w:pPr>
      <w:bookmarkStart w:id="0" w:name="_GoBack"/>
      <w:r w:rsidRPr="0001623C">
        <w:rPr>
          <w:rFonts w:ascii="Arial" w:hAnsi="Arial"/>
          <w:b/>
          <w:bCs/>
          <w:i/>
          <w:iCs/>
          <w:u w:val="single"/>
          <w:lang w:val="en-US"/>
        </w:rPr>
        <w:t xml:space="preserve">Case report </w:t>
      </w:r>
    </w:p>
    <w:p w14:paraId="491ECBD1" w14:textId="7EA3603F" w:rsidR="00FC03FF" w:rsidRPr="000B3251" w:rsidRDefault="005B6B58" w:rsidP="00640D42">
      <w:pPr>
        <w:jc w:val="center"/>
        <w:rPr>
          <w:rFonts w:ascii="Arial" w:hAnsi="Arial"/>
          <w:b/>
          <w:bCs/>
        </w:rPr>
      </w:pPr>
      <w:r w:rsidRPr="000B3251">
        <w:rPr>
          <w:rFonts w:ascii="Arial" w:hAnsi="Arial"/>
          <w:b/>
          <w:bCs/>
        </w:rPr>
        <w:t>Nephrotoxicity Secondary to Hyperbilirubinemia: A Case Report</w:t>
      </w:r>
    </w:p>
    <w:p w14:paraId="5341D277" w14:textId="1A000852" w:rsidR="0001623C" w:rsidRDefault="0001623C" w:rsidP="00640D42">
      <w:pPr>
        <w:spacing w:after="0"/>
        <w:jc w:val="center"/>
        <w:rPr>
          <w:rFonts w:ascii="Arial" w:hAnsi="Arial"/>
          <w:b/>
          <w:lang w:val="en-US"/>
        </w:rPr>
      </w:pPr>
    </w:p>
    <w:p w14:paraId="3D7DE239" w14:textId="77777777" w:rsidR="00FC03FF" w:rsidRPr="000B3251" w:rsidRDefault="00FC03FF" w:rsidP="00640D42">
      <w:pPr>
        <w:jc w:val="center"/>
        <w:rPr>
          <w:rFonts w:ascii="Arial" w:hAnsi="Arial"/>
          <w:b/>
          <w:bCs/>
        </w:rPr>
      </w:pPr>
    </w:p>
    <w:p w14:paraId="215C819F" w14:textId="77777777" w:rsidR="00FC03FF" w:rsidRPr="000B3251" w:rsidRDefault="005B6B58" w:rsidP="000B3251">
      <w:pPr>
        <w:jc w:val="both"/>
        <w:rPr>
          <w:rFonts w:ascii="Arial" w:hAnsi="Arial"/>
          <w:b/>
          <w:bCs/>
        </w:rPr>
      </w:pPr>
      <w:r w:rsidRPr="000B3251">
        <w:rPr>
          <w:rFonts w:ascii="Arial" w:hAnsi="Arial"/>
          <w:b/>
          <w:bCs/>
        </w:rPr>
        <w:t>Abstract:</w:t>
      </w:r>
    </w:p>
    <w:p w14:paraId="74E56D3A" w14:textId="6A069AA7" w:rsidR="00FC03FF" w:rsidRPr="000B3251" w:rsidRDefault="005B6B58" w:rsidP="000B3251">
      <w:pPr>
        <w:jc w:val="both"/>
        <w:rPr>
          <w:rFonts w:ascii="Arial" w:hAnsi="Arial"/>
        </w:rPr>
      </w:pPr>
      <w:r w:rsidRPr="000B3251">
        <w:rPr>
          <w:rFonts w:ascii="Arial" w:hAnsi="Arial"/>
        </w:rPr>
        <w:t>Biliary crystal nephropathy (BCN) is related to intratubular precipitation of bile salts and bilirubin causing distal tubular obstruction and acute renal failure. This nephropathy has recently received renewed attention in the</w:t>
      </w:r>
      <w:r w:rsidR="00B14EFF">
        <w:rPr>
          <w:rFonts w:ascii="Arial" w:hAnsi="Arial"/>
        </w:rPr>
        <w:t xml:space="preserve"> </w:t>
      </w:r>
      <w:r w:rsidRPr="000B3251">
        <w:rPr>
          <w:rFonts w:ascii="Arial" w:hAnsi="Arial"/>
        </w:rPr>
        <w:t>literature, suggesting the largely underdiagnosed nature of this pathology.</w:t>
      </w:r>
    </w:p>
    <w:p w14:paraId="209C3A51" w14:textId="77777777" w:rsidR="00FC03FF" w:rsidRPr="000B3251" w:rsidRDefault="005B6B58" w:rsidP="000B3251">
      <w:pPr>
        <w:jc w:val="both"/>
        <w:rPr>
          <w:rFonts w:ascii="Arial" w:hAnsi="Arial"/>
        </w:rPr>
      </w:pPr>
      <w:r w:rsidRPr="000B3251">
        <w:rPr>
          <w:rFonts w:ascii="Arial" w:hAnsi="Arial"/>
        </w:rPr>
        <w:t>This diagnosis is anatomopathological, requiring a renal biopsy which is difficult to perform in patients with concomitant liver function disturbances and hemostasis disorders.</w:t>
      </w:r>
    </w:p>
    <w:p w14:paraId="2475ECCD" w14:textId="5CE13118" w:rsidR="00FC03FF" w:rsidRPr="000B3251" w:rsidRDefault="005B6B58" w:rsidP="000B3251">
      <w:pPr>
        <w:jc w:val="both"/>
        <w:rPr>
          <w:rFonts w:ascii="Arial" w:hAnsi="Arial"/>
        </w:rPr>
      </w:pPr>
      <w:r w:rsidRPr="000B3251">
        <w:rPr>
          <w:rFonts w:ascii="Arial" w:hAnsi="Arial"/>
        </w:rPr>
        <w:t>We report</w:t>
      </w:r>
      <w:r w:rsidR="00D46627">
        <w:rPr>
          <w:rFonts w:ascii="Arial" w:hAnsi="Arial"/>
        </w:rPr>
        <w:t xml:space="preserve"> here,</w:t>
      </w:r>
      <w:r w:rsidRPr="000B3251">
        <w:rPr>
          <w:rFonts w:ascii="Arial" w:hAnsi="Arial"/>
        </w:rPr>
        <w:t xml:space="preserve"> the case of a patient with cirrhosis of probable tumor origin, whose renal function deteriorated in parallel with the increase in hyperbilirubinemia. No other cause of acute renal failure was found.</w:t>
      </w:r>
    </w:p>
    <w:p w14:paraId="5B0A30DD" w14:textId="24906FA3" w:rsidR="00FC03FF" w:rsidRPr="00D46627" w:rsidRDefault="00D46627" w:rsidP="000B3251">
      <w:pPr>
        <w:jc w:val="both"/>
        <w:rPr>
          <w:rFonts w:ascii="Arial" w:hAnsi="Arial"/>
          <w:lang w:val="fr-FR"/>
        </w:rPr>
      </w:pPr>
      <w:r w:rsidRPr="00D46627">
        <w:rPr>
          <w:rFonts w:ascii="Arial" w:hAnsi="Arial"/>
          <w:b/>
          <w:bCs/>
          <w:lang w:val="fr-FR"/>
        </w:rPr>
        <w:t>Keywords :</w:t>
      </w:r>
      <w:r w:rsidR="005B6B58" w:rsidRPr="00D46627">
        <w:rPr>
          <w:rFonts w:ascii="Arial" w:hAnsi="Arial"/>
          <w:b/>
          <w:bCs/>
          <w:lang w:val="fr-FR"/>
        </w:rPr>
        <w:t xml:space="preserve"> </w:t>
      </w:r>
      <w:proofErr w:type="spellStart"/>
      <w:r w:rsidR="00640D42" w:rsidRPr="00D46627">
        <w:rPr>
          <w:rFonts w:ascii="Arial" w:hAnsi="Arial"/>
          <w:lang w:val="fr-FR"/>
        </w:rPr>
        <w:t>renal</w:t>
      </w:r>
      <w:proofErr w:type="spellEnd"/>
      <w:r w:rsidR="005B6B58" w:rsidRPr="00D46627">
        <w:rPr>
          <w:rFonts w:ascii="Arial" w:hAnsi="Arial"/>
          <w:lang w:val="fr-FR"/>
        </w:rPr>
        <w:t xml:space="preserve"> </w:t>
      </w:r>
      <w:proofErr w:type="spellStart"/>
      <w:r w:rsidR="005B6B58" w:rsidRPr="00D46627">
        <w:rPr>
          <w:rFonts w:ascii="Arial" w:hAnsi="Arial"/>
          <w:lang w:val="fr-FR"/>
        </w:rPr>
        <w:t>failure</w:t>
      </w:r>
      <w:proofErr w:type="spellEnd"/>
      <w:r w:rsidR="005B6B58" w:rsidRPr="00D46627">
        <w:rPr>
          <w:rFonts w:ascii="Arial" w:hAnsi="Arial"/>
          <w:lang w:val="fr-FR"/>
        </w:rPr>
        <w:t xml:space="preserve">, </w:t>
      </w:r>
      <w:proofErr w:type="spellStart"/>
      <w:r w:rsidR="005B6B58" w:rsidRPr="00D46627">
        <w:rPr>
          <w:rFonts w:ascii="Arial" w:hAnsi="Arial"/>
          <w:lang w:val="fr-FR"/>
        </w:rPr>
        <w:t>hyperbilirubinemia</w:t>
      </w:r>
      <w:proofErr w:type="spellEnd"/>
      <w:r w:rsidRPr="00D46627">
        <w:rPr>
          <w:rFonts w:ascii="Arial" w:hAnsi="Arial"/>
          <w:lang w:val="fr-FR"/>
        </w:rPr>
        <w:t xml:space="preserve">, </w:t>
      </w:r>
      <w:proofErr w:type="spellStart"/>
      <w:r w:rsidRPr="00D46627">
        <w:rPr>
          <w:rFonts w:ascii="Arial" w:hAnsi="Arial"/>
          <w:lang w:val="fr-FR"/>
        </w:rPr>
        <w:t>ne</w:t>
      </w:r>
      <w:r>
        <w:rPr>
          <w:rFonts w:ascii="Arial" w:hAnsi="Arial"/>
          <w:lang w:val="fr-FR"/>
        </w:rPr>
        <w:t>phropathy</w:t>
      </w:r>
      <w:proofErr w:type="spellEnd"/>
      <w:r>
        <w:rPr>
          <w:rFonts w:ascii="Arial" w:hAnsi="Arial"/>
          <w:lang w:val="fr-FR"/>
        </w:rPr>
        <w:t xml:space="preserve"> </w:t>
      </w:r>
    </w:p>
    <w:p w14:paraId="31017790" w14:textId="109CD839" w:rsidR="00FC03FF" w:rsidRPr="000B3251" w:rsidRDefault="00640D42" w:rsidP="000B3251">
      <w:pPr>
        <w:jc w:val="both"/>
        <w:rPr>
          <w:rFonts w:ascii="Arial" w:hAnsi="Arial"/>
          <w:b/>
          <w:bCs/>
        </w:rPr>
      </w:pPr>
      <w:r>
        <w:rPr>
          <w:rFonts w:ascii="Arial" w:hAnsi="Arial"/>
          <w:b/>
          <w:bCs/>
        </w:rPr>
        <w:t>Introduction</w:t>
      </w:r>
      <w:r w:rsidR="005B6B58" w:rsidRPr="000B3251">
        <w:rPr>
          <w:rFonts w:ascii="Arial" w:hAnsi="Arial"/>
          <w:b/>
          <w:bCs/>
        </w:rPr>
        <w:t>:</w:t>
      </w:r>
    </w:p>
    <w:p w14:paraId="20548AA8" w14:textId="77777777" w:rsidR="00FC03FF" w:rsidRPr="000B3251" w:rsidRDefault="005B6B58" w:rsidP="000B3251">
      <w:pPr>
        <w:jc w:val="both"/>
        <w:rPr>
          <w:rFonts w:ascii="Arial" w:hAnsi="Arial"/>
        </w:rPr>
      </w:pPr>
      <w:r w:rsidRPr="000B3251">
        <w:rPr>
          <w:rFonts w:ascii="Arial" w:hAnsi="Arial"/>
        </w:rPr>
        <w:t>Renal failure may be associated with jaundice. It is usually secondary to infection, hypovolemia, tubular necrosis, or hepatorenal syndrome in cases of cirrhosis.</w:t>
      </w:r>
    </w:p>
    <w:p w14:paraId="66582379" w14:textId="6ABE7848" w:rsidR="00FC03FF" w:rsidRPr="000B3251" w:rsidRDefault="005B6B58" w:rsidP="000B3251">
      <w:pPr>
        <w:jc w:val="both"/>
        <w:rPr>
          <w:rFonts w:ascii="Arial" w:hAnsi="Arial"/>
        </w:rPr>
      </w:pPr>
      <w:r w:rsidRPr="000B3251">
        <w:rPr>
          <w:rFonts w:ascii="Arial" w:hAnsi="Arial"/>
        </w:rPr>
        <w:t>Significant hyperbilirubinemia itself can cause renal toxicity. However, this entity is often overlooked with only a few cases reported in the literature</w:t>
      </w:r>
      <w:r w:rsidRPr="000B3251">
        <w:rPr>
          <w:rFonts w:ascii="Arial" w:hAnsi="Arial"/>
          <w:b/>
          <w:bCs/>
        </w:rPr>
        <w:t>.</w:t>
      </w:r>
    </w:p>
    <w:p w14:paraId="5E55CDFE" w14:textId="77777777" w:rsidR="00FC03FF" w:rsidRPr="000B3251" w:rsidRDefault="005B6B58" w:rsidP="000B3251">
      <w:pPr>
        <w:jc w:val="both"/>
        <w:rPr>
          <w:rFonts w:ascii="Arial" w:hAnsi="Arial"/>
          <w:b/>
          <w:bCs/>
        </w:rPr>
      </w:pPr>
      <w:r w:rsidRPr="000B3251">
        <w:rPr>
          <w:rFonts w:ascii="Arial" w:hAnsi="Arial"/>
          <w:b/>
          <w:bCs/>
        </w:rPr>
        <w:t>Clinical observation:</w:t>
      </w:r>
    </w:p>
    <w:p w14:paraId="252CE45D" w14:textId="53666E8D" w:rsidR="0032307F" w:rsidRPr="000B3251" w:rsidRDefault="005B6B58" w:rsidP="000B3251">
      <w:pPr>
        <w:jc w:val="both"/>
        <w:rPr>
          <w:rFonts w:ascii="Arial" w:hAnsi="Arial"/>
        </w:rPr>
      </w:pPr>
      <w:r w:rsidRPr="000B3251">
        <w:rPr>
          <w:rFonts w:ascii="Arial" w:hAnsi="Arial"/>
        </w:rPr>
        <w:t>This is a 58-year-old female patient, hospitalized in the general surgery department for pancreatic</w:t>
      </w:r>
      <w:r w:rsidR="00D46627">
        <w:rPr>
          <w:rFonts w:ascii="Arial" w:hAnsi="Arial"/>
        </w:rPr>
        <w:t xml:space="preserve"> </w:t>
      </w:r>
      <w:r w:rsidRPr="000B3251">
        <w:rPr>
          <w:rFonts w:ascii="Arial" w:hAnsi="Arial"/>
        </w:rPr>
        <w:t xml:space="preserve">cancer, who developed acute renal failure in a context of conjugated hyperbilirubinemia secondary to biliary tract obstruction. Clinical examination shows frank cutaneous jaundice with scratching lesions, without a </w:t>
      </w:r>
      <w:r w:rsidR="00D46627" w:rsidRPr="000B3251">
        <w:rPr>
          <w:rFonts w:ascii="Arial" w:hAnsi="Arial"/>
        </w:rPr>
        <w:t>large palpable</w:t>
      </w:r>
      <w:r w:rsidRPr="000B3251">
        <w:rPr>
          <w:rFonts w:ascii="Arial" w:hAnsi="Arial"/>
        </w:rPr>
        <w:t xml:space="preserve"> gallbladder, ascites, or splenomegaly.</w:t>
      </w:r>
    </w:p>
    <w:p w14:paraId="1CCC7ED7" w14:textId="2E94728A" w:rsidR="00FC03FF" w:rsidRPr="000B3251" w:rsidRDefault="00D46627" w:rsidP="000B3251">
      <w:pPr>
        <w:jc w:val="both"/>
        <w:rPr>
          <w:rFonts w:ascii="Arial" w:hAnsi="Arial"/>
        </w:rPr>
      </w:pPr>
      <w:r w:rsidRPr="000B3251">
        <w:rPr>
          <w:rFonts w:ascii="Arial" w:hAnsi="Arial"/>
        </w:rPr>
        <w:t>The urine</w:t>
      </w:r>
      <w:r w:rsidR="005B6B58" w:rsidRPr="000B3251">
        <w:rPr>
          <w:rFonts w:ascii="Arial" w:hAnsi="Arial"/>
        </w:rPr>
        <w:t xml:space="preserve"> dipstick examination did not show proteinuria or hematuria. Laboratory tests: Creatinine: 45 mg/L, Urea: 2.4 g/L, </w:t>
      </w:r>
      <w:r>
        <w:rPr>
          <w:rFonts w:ascii="Arial" w:hAnsi="Arial"/>
        </w:rPr>
        <w:t xml:space="preserve">Prothrombin </w:t>
      </w:r>
      <w:r w:rsidR="00944569">
        <w:rPr>
          <w:rFonts w:ascii="Arial" w:hAnsi="Arial"/>
        </w:rPr>
        <w:t>rate:</w:t>
      </w:r>
      <w:r w:rsidR="005B6B58" w:rsidRPr="000B3251">
        <w:rPr>
          <w:rFonts w:ascii="Arial" w:hAnsi="Arial"/>
        </w:rPr>
        <w:t xml:space="preserve"> 26%, total bilirubin: 76 mg/L, urinary Na/K &gt; 1, 24-hour proteinuria: 0.25 g/24 hours, </w:t>
      </w:r>
      <w:r>
        <w:rPr>
          <w:rFonts w:ascii="Arial" w:hAnsi="Arial"/>
        </w:rPr>
        <w:t xml:space="preserve">CBEU (Cytobacteriological examination of the urine) </w:t>
      </w:r>
      <w:r w:rsidR="005B6B58" w:rsidRPr="000B3251">
        <w:rPr>
          <w:rFonts w:ascii="Arial" w:hAnsi="Arial"/>
        </w:rPr>
        <w:t xml:space="preserve">did not show hematuria or leukocyturia. Renal biopsy was not </w:t>
      </w:r>
      <w:r>
        <w:rPr>
          <w:rFonts w:ascii="Arial" w:hAnsi="Arial"/>
        </w:rPr>
        <w:t>possible to perform</w:t>
      </w:r>
      <w:r w:rsidR="005B6B58" w:rsidRPr="000B3251">
        <w:rPr>
          <w:rFonts w:ascii="Arial" w:hAnsi="Arial"/>
        </w:rPr>
        <w:t xml:space="preserve"> due to hemostasis disorders (</w:t>
      </w:r>
      <w:r>
        <w:rPr>
          <w:rFonts w:ascii="Arial" w:hAnsi="Arial"/>
        </w:rPr>
        <w:t>Prothrombin rate</w:t>
      </w:r>
      <w:r w:rsidR="005B6B58" w:rsidRPr="000B3251">
        <w:rPr>
          <w:rFonts w:ascii="Arial" w:hAnsi="Arial"/>
        </w:rPr>
        <w:t>: 26%).</w:t>
      </w:r>
    </w:p>
    <w:p w14:paraId="6C2AB15B" w14:textId="44CCDE47" w:rsidR="00FC03FF" w:rsidRPr="000B3251" w:rsidRDefault="005B6B58" w:rsidP="000B3251">
      <w:pPr>
        <w:jc w:val="both"/>
        <w:rPr>
          <w:rFonts w:ascii="Arial" w:hAnsi="Arial"/>
        </w:rPr>
      </w:pPr>
      <w:r w:rsidRPr="000B3251">
        <w:rPr>
          <w:rFonts w:ascii="Arial" w:hAnsi="Arial"/>
        </w:rPr>
        <w:t xml:space="preserve">Renal ultrasound did not reveal any abnormalities. The kidneys were of normal size (12.3 cm on the right and 12.4 cm on the left), well differentiated, with regular </w:t>
      </w:r>
      <w:r w:rsidR="00944569">
        <w:rPr>
          <w:rFonts w:ascii="Arial" w:hAnsi="Arial"/>
        </w:rPr>
        <w:t>borders</w:t>
      </w:r>
      <w:r w:rsidRPr="000B3251">
        <w:rPr>
          <w:rFonts w:ascii="Arial" w:hAnsi="Arial"/>
        </w:rPr>
        <w:t>, and no dilation of the excretory cavities.</w:t>
      </w:r>
    </w:p>
    <w:p w14:paraId="3CE2D330" w14:textId="6D4EE425" w:rsidR="00FC03FF" w:rsidRPr="000B3251" w:rsidRDefault="005B6B58" w:rsidP="000B3251">
      <w:pPr>
        <w:jc w:val="both"/>
        <w:rPr>
          <w:rFonts w:ascii="Arial" w:hAnsi="Arial"/>
        </w:rPr>
      </w:pPr>
      <w:r w:rsidRPr="000B3251">
        <w:rPr>
          <w:rFonts w:ascii="Arial" w:hAnsi="Arial"/>
        </w:rPr>
        <w:lastRenderedPageBreak/>
        <w:t xml:space="preserve">Given this acute renal failure with tubular damage, without obvious etiology, the appearance of which was concomitant with major hyperbilirubinemia, the most likely diagnosis is nephropathy </w:t>
      </w:r>
      <w:r w:rsidR="00640D42">
        <w:rPr>
          <w:rFonts w:ascii="Arial" w:hAnsi="Arial"/>
        </w:rPr>
        <w:t>secondary to hyperbilirubinemia</w:t>
      </w:r>
      <w:r w:rsidR="00C60A21" w:rsidRPr="000B3251">
        <w:rPr>
          <w:rFonts w:ascii="Arial" w:hAnsi="Arial"/>
        </w:rPr>
        <w:t>.</w:t>
      </w:r>
    </w:p>
    <w:p w14:paraId="64CCBE43" w14:textId="77777777" w:rsidR="00FC03FF" w:rsidRPr="000B3251" w:rsidRDefault="005B6B58" w:rsidP="000B3251">
      <w:pPr>
        <w:jc w:val="both"/>
        <w:rPr>
          <w:rFonts w:ascii="Arial" w:hAnsi="Arial"/>
        </w:rPr>
      </w:pPr>
      <w:r w:rsidRPr="000B3251">
        <w:rPr>
          <w:rFonts w:ascii="Arial" w:hAnsi="Arial"/>
        </w:rPr>
        <w:t>There was a gradual recovery of renal function in relation to the decrease in bilirubin levels.</w:t>
      </w:r>
    </w:p>
    <w:p w14:paraId="7366996D" w14:textId="5B1A391B" w:rsidR="00C60A21" w:rsidRPr="000B3251" w:rsidRDefault="00640D42" w:rsidP="000B3251">
      <w:pPr>
        <w:jc w:val="both"/>
        <w:rPr>
          <w:rFonts w:ascii="Arial" w:hAnsi="Arial"/>
          <w:b/>
          <w:bCs/>
        </w:rPr>
      </w:pPr>
      <w:r>
        <w:rPr>
          <w:rFonts w:ascii="Arial" w:hAnsi="Arial"/>
          <w:b/>
          <w:bCs/>
        </w:rPr>
        <w:t>Discussion</w:t>
      </w:r>
      <w:r w:rsidR="005B6B58" w:rsidRPr="000B3251">
        <w:rPr>
          <w:rFonts w:ascii="Arial" w:hAnsi="Arial"/>
          <w:b/>
          <w:bCs/>
        </w:rPr>
        <w:t>:</w:t>
      </w:r>
    </w:p>
    <w:p w14:paraId="4E4B4AF2" w14:textId="0249D075" w:rsidR="00C60A21" w:rsidRPr="000B3251" w:rsidRDefault="00C60A21" w:rsidP="000B3251">
      <w:pPr>
        <w:jc w:val="both"/>
        <w:rPr>
          <w:rFonts w:ascii="Arial" w:hAnsi="Arial"/>
          <w:bCs/>
        </w:rPr>
      </w:pPr>
      <w:r w:rsidRPr="000B3251">
        <w:rPr>
          <w:rFonts w:ascii="Arial" w:hAnsi="Arial"/>
          <w:bCs/>
        </w:rPr>
        <w:t>Biliary crystal nephropathy, also called</w:t>
      </w:r>
      <w:r w:rsidR="00533D4B">
        <w:rPr>
          <w:rFonts w:ascii="Arial" w:hAnsi="Arial"/>
          <w:bCs/>
        </w:rPr>
        <w:t xml:space="preserve"> bilirubin crystal nephropathy, </w:t>
      </w:r>
      <w:r w:rsidRPr="000B3251">
        <w:rPr>
          <w:rFonts w:ascii="Arial" w:hAnsi="Arial"/>
          <w:bCs/>
        </w:rPr>
        <w:t xml:space="preserve">cholemic nephropathy, or uremic cholangitis, is an old entity first described in 1911, which is currently experiencing a revival of interest, after a long period of neglect </w:t>
      </w:r>
      <w:r w:rsidRPr="00944569">
        <w:rPr>
          <w:rFonts w:ascii="Arial" w:hAnsi="Arial"/>
          <w:b/>
        </w:rPr>
        <w:t>[1].</w:t>
      </w:r>
    </w:p>
    <w:p w14:paraId="0DAB4F6F" w14:textId="77777777" w:rsidR="00FC03FF" w:rsidRPr="000B3251" w:rsidRDefault="005B6B58" w:rsidP="000B3251">
      <w:pPr>
        <w:jc w:val="both"/>
        <w:rPr>
          <w:rFonts w:ascii="Arial" w:hAnsi="Arial"/>
        </w:rPr>
      </w:pPr>
      <w:r w:rsidRPr="000B3251">
        <w:rPr>
          <w:rFonts w:ascii="Arial" w:hAnsi="Arial"/>
        </w:rPr>
        <w:t>The pathophysiological mechanism is not yet well understood.</w:t>
      </w:r>
    </w:p>
    <w:p w14:paraId="001306B5" w14:textId="77777777" w:rsidR="00FC03FF" w:rsidRPr="000B3251" w:rsidRDefault="005B6B58" w:rsidP="000B3251">
      <w:pPr>
        <w:jc w:val="both"/>
        <w:rPr>
          <w:rFonts w:ascii="Arial" w:hAnsi="Arial"/>
        </w:rPr>
      </w:pPr>
      <w:r w:rsidRPr="000B3251">
        <w:rPr>
          <w:rFonts w:ascii="Arial" w:hAnsi="Arial"/>
        </w:rPr>
        <w:t>Over the last decade, very few cases have been reported in the literature.</w:t>
      </w:r>
    </w:p>
    <w:p w14:paraId="74F4F5C3" w14:textId="11345E8A" w:rsidR="00FC03FF" w:rsidRPr="000B3251" w:rsidRDefault="005B6B58" w:rsidP="000B3251">
      <w:pPr>
        <w:jc w:val="both"/>
        <w:rPr>
          <w:rFonts w:ascii="Arial" w:hAnsi="Arial"/>
        </w:rPr>
      </w:pPr>
      <w:r w:rsidRPr="000B3251">
        <w:rPr>
          <w:rFonts w:ascii="Arial" w:hAnsi="Arial"/>
        </w:rPr>
        <w:t>Renal involvement can range from proximal tubulopathy to severe tubular injury.</w:t>
      </w:r>
    </w:p>
    <w:p w14:paraId="4E0F5376" w14:textId="77777777" w:rsidR="00664F2A" w:rsidRPr="000B3251" w:rsidRDefault="00C60A21" w:rsidP="000B3251">
      <w:pPr>
        <w:jc w:val="both"/>
        <w:rPr>
          <w:rFonts w:ascii="Arial" w:hAnsi="Arial"/>
          <w:bCs/>
        </w:rPr>
      </w:pPr>
      <w:r w:rsidRPr="000B3251">
        <w:rPr>
          <w:rFonts w:ascii="Arial" w:hAnsi="Arial"/>
          <w:bCs/>
        </w:rPr>
        <w:t>Several mechanisms contribute to the occurrence of tubulointerstitial renal damage:</w:t>
      </w:r>
    </w:p>
    <w:p w14:paraId="03ECADDF" w14:textId="3BB1AB71" w:rsidR="00664F2A" w:rsidRPr="000B3251" w:rsidRDefault="00664F2A" w:rsidP="000B3251">
      <w:pPr>
        <w:jc w:val="both"/>
        <w:rPr>
          <w:rFonts w:ascii="Arial" w:hAnsi="Arial"/>
          <w:bCs/>
        </w:rPr>
      </w:pPr>
      <w:r w:rsidRPr="000B3251">
        <w:rPr>
          <w:rFonts w:ascii="Arial" w:hAnsi="Arial"/>
          <w:bCs/>
        </w:rPr>
        <w:t xml:space="preserve">First, the precipitation of bile acids which </w:t>
      </w:r>
      <w:r w:rsidR="00944569" w:rsidRPr="000B3251">
        <w:rPr>
          <w:rFonts w:ascii="Arial" w:hAnsi="Arial"/>
          <w:bCs/>
        </w:rPr>
        <w:t>occur</w:t>
      </w:r>
      <w:r w:rsidRPr="000B3251">
        <w:rPr>
          <w:rFonts w:ascii="Arial" w:hAnsi="Arial"/>
          <w:bCs/>
        </w:rPr>
        <w:t xml:space="preserve"> in the distal convoluted tubule and the collecting tubule, favored </w:t>
      </w:r>
      <w:r w:rsidR="00944569" w:rsidRPr="000B3251">
        <w:rPr>
          <w:rFonts w:ascii="Arial" w:hAnsi="Arial"/>
          <w:bCs/>
        </w:rPr>
        <w:t>by</w:t>
      </w:r>
      <w:r w:rsidRPr="000B3251">
        <w:rPr>
          <w:rFonts w:ascii="Arial" w:hAnsi="Arial"/>
          <w:bCs/>
        </w:rPr>
        <w:t xml:space="preserve"> an acidic pH;</w:t>
      </w:r>
    </w:p>
    <w:p w14:paraId="50542E55" w14:textId="6B7937B1" w:rsidR="00664F2A" w:rsidRPr="000B3251" w:rsidRDefault="00664F2A" w:rsidP="000B3251">
      <w:pPr>
        <w:jc w:val="both"/>
        <w:rPr>
          <w:rFonts w:ascii="Arial" w:hAnsi="Arial"/>
          <w:bCs/>
        </w:rPr>
      </w:pPr>
      <w:r w:rsidRPr="000B3251">
        <w:rPr>
          <w:rFonts w:ascii="Arial" w:hAnsi="Arial"/>
          <w:bCs/>
        </w:rPr>
        <w:t>Second, inflammation of the proximal tubular epithelial cells, on the one hand by direct toxicity of bile acids which inhibit the tubular Na</w:t>
      </w:r>
      <w:r w:rsidR="00944569">
        <w:rPr>
          <w:rFonts w:ascii="Arial" w:hAnsi="Arial"/>
          <w:bCs/>
        </w:rPr>
        <w:t>+</w:t>
      </w:r>
      <w:r w:rsidRPr="000B3251">
        <w:rPr>
          <w:rFonts w:ascii="Arial" w:hAnsi="Arial"/>
          <w:bCs/>
        </w:rPr>
        <w:t>/K</w:t>
      </w:r>
      <w:r w:rsidR="00944569">
        <w:rPr>
          <w:rFonts w:ascii="Arial" w:hAnsi="Arial"/>
          <w:bCs/>
        </w:rPr>
        <w:t>+</w:t>
      </w:r>
      <w:r w:rsidRPr="000B3251">
        <w:rPr>
          <w:rFonts w:ascii="Arial" w:hAnsi="Arial"/>
          <w:bCs/>
        </w:rPr>
        <w:t xml:space="preserve"> and Na</w:t>
      </w:r>
      <w:r w:rsidR="00944569">
        <w:rPr>
          <w:rFonts w:ascii="Arial" w:hAnsi="Arial"/>
          <w:bCs/>
        </w:rPr>
        <w:t>+</w:t>
      </w:r>
      <w:r w:rsidRPr="000B3251">
        <w:rPr>
          <w:rFonts w:ascii="Arial" w:hAnsi="Arial"/>
          <w:bCs/>
        </w:rPr>
        <w:t>/H</w:t>
      </w:r>
      <w:r w:rsidR="00944569">
        <w:rPr>
          <w:rFonts w:ascii="Arial" w:hAnsi="Arial"/>
          <w:bCs/>
        </w:rPr>
        <w:t>+</w:t>
      </w:r>
      <w:r w:rsidRPr="000B3251">
        <w:rPr>
          <w:rFonts w:ascii="Arial" w:hAnsi="Arial"/>
          <w:bCs/>
        </w:rPr>
        <w:t xml:space="preserve"> pumps and generate free radicals, a source of oxidative stress, and on the other hand, by alteration of oxidative phosphorylation</w:t>
      </w:r>
      <w:r w:rsidR="00533D4B">
        <w:rPr>
          <w:rFonts w:ascii="Arial" w:hAnsi="Arial"/>
          <w:bCs/>
        </w:rPr>
        <w:t xml:space="preserve"> linked to hyperbilirubinemia.</w:t>
      </w:r>
      <w:r w:rsidRPr="00944569">
        <w:rPr>
          <w:rFonts w:ascii="Arial" w:hAnsi="Arial"/>
          <w:b/>
        </w:rPr>
        <w:t>[2]</w:t>
      </w:r>
    </w:p>
    <w:p w14:paraId="1A949ECF" w14:textId="00E77690" w:rsidR="00664F2A" w:rsidRPr="000B3251" w:rsidRDefault="00664F2A" w:rsidP="000B3251">
      <w:pPr>
        <w:jc w:val="both"/>
        <w:rPr>
          <w:rFonts w:ascii="Arial" w:hAnsi="Arial"/>
          <w:bCs/>
        </w:rPr>
      </w:pPr>
      <w:r w:rsidRPr="000B3251">
        <w:rPr>
          <w:rFonts w:ascii="Arial" w:hAnsi="Arial"/>
          <w:bCs/>
        </w:rPr>
        <w:t xml:space="preserve">Third, bile acid deficiency in the digestive tract promotes microbial proliferation, a source of endotoxemia with a pro-inflammatory cytokine response at the renal </w:t>
      </w:r>
      <w:r w:rsidR="00944569" w:rsidRPr="000B3251">
        <w:rPr>
          <w:rFonts w:ascii="Arial" w:hAnsi="Arial"/>
          <w:bCs/>
        </w:rPr>
        <w:t>level.</w:t>
      </w:r>
    </w:p>
    <w:p w14:paraId="78B9B2E3" w14:textId="3F474DCB" w:rsidR="00C60A21" w:rsidRPr="000B3251" w:rsidRDefault="00664F2A" w:rsidP="000B3251">
      <w:pPr>
        <w:jc w:val="both"/>
        <w:rPr>
          <w:rFonts w:ascii="Arial" w:hAnsi="Arial"/>
          <w:bCs/>
        </w:rPr>
      </w:pPr>
      <w:r w:rsidRPr="000B3251">
        <w:rPr>
          <w:rFonts w:ascii="Arial" w:hAnsi="Arial"/>
          <w:bCs/>
        </w:rPr>
        <w:t xml:space="preserve">Finally, there are hemodynamic disorders contributing to renal hypoperfusion: high blood concentrations of bilirubin </w:t>
      </w:r>
      <w:r w:rsidR="00944569">
        <w:rPr>
          <w:rFonts w:ascii="Arial" w:hAnsi="Arial"/>
          <w:bCs/>
        </w:rPr>
        <w:t xml:space="preserve">can </w:t>
      </w:r>
      <w:r w:rsidRPr="000B3251">
        <w:rPr>
          <w:rFonts w:ascii="Arial" w:hAnsi="Arial"/>
          <w:bCs/>
        </w:rPr>
        <w:t xml:space="preserve">induce systemic </w:t>
      </w:r>
      <w:proofErr w:type="spellStart"/>
      <w:r w:rsidRPr="000B3251">
        <w:rPr>
          <w:rFonts w:ascii="Arial" w:hAnsi="Arial"/>
          <w:bCs/>
        </w:rPr>
        <w:t>vasoplegia</w:t>
      </w:r>
      <w:proofErr w:type="spellEnd"/>
      <w:r w:rsidRPr="000B3251">
        <w:rPr>
          <w:rFonts w:ascii="Arial" w:hAnsi="Arial"/>
          <w:bCs/>
        </w:rPr>
        <w:t xml:space="preserve"> </w:t>
      </w:r>
      <w:r w:rsidR="00944569" w:rsidRPr="000B3251">
        <w:rPr>
          <w:rFonts w:ascii="Arial" w:hAnsi="Arial"/>
          <w:bCs/>
        </w:rPr>
        <w:t>and</w:t>
      </w:r>
      <w:r w:rsidRPr="000B3251">
        <w:rPr>
          <w:rFonts w:ascii="Arial" w:hAnsi="Arial"/>
          <w:bCs/>
        </w:rPr>
        <w:t xml:space="preserve"> myocardial </w:t>
      </w:r>
      <w:r w:rsidR="00944569" w:rsidRPr="000B3251">
        <w:rPr>
          <w:rFonts w:ascii="Arial" w:hAnsi="Arial"/>
          <w:bCs/>
        </w:rPr>
        <w:t>hypo contractibility</w:t>
      </w:r>
      <w:r w:rsidRPr="000B3251">
        <w:rPr>
          <w:rFonts w:ascii="Arial" w:hAnsi="Arial"/>
          <w:bCs/>
        </w:rPr>
        <w:t xml:space="preserve"> </w:t>
      </w:r>
      <w:r w:rsidRPr="00944569">
        <w:rPr>
          <w:rFonts w:ascii="Arial" w:hAnsi="Arial"/>
          <w:b/>
        </w:rPr>
        <w:t>[3]</w:t>
      </w:r>
    </w:p>
    <w:p w14:paraId="360AD7A4" w14:textId="77777777" w:rsidR="00FC03FF" w:rsidRPr="000B3251" w:rsidRDefault="005B6B58" w:rsidP="000B3251">
      <w:pPr>
        <w:jc w:val="both"/>
        <w:rPr>
          <w:rFonts w:ascii="Arial" w:hAnsi="Arial"/>
        </w:rPr>
      </w:pPr>
      <w:r w:rsidRPr="000B3251">
        <w:rPr>
          <w:rFonts w:ascii="Arial" w:hAnsi="Arial"/>
        </w:rPr>
        <w:t>Improvement in renal function may be seen when bilirubin levels stabilize. However, it may persist in the presence of excessive tubular deposits of bile derivatives.</w:t>
      </w:r>
    </w:p>
    <w:p w14:paraId="453BC3F7" w14:textId="16B77647" w:rsidR="00931E59" w:rsidRPr="000B3251" w:rsidRDefault="00931E59" w:rsidP="000B3251">
      <w:pPr>
        <w:jc w:val="both"/>
        <w:rPr>
          <w:rFonts w:ascii="Arial" w:hAnsi="Arial"/>
          <w:bCs/>
        </w:rPr>
      </w:pPr>
      <w:r w:rsidRPr="000B3251">
        <w:rPr>
          <w:rFonts w:ascii="Arial" w:hAnsi="Arial"/>
          <w:bCs/>
        </w:rPr>
        <w:t xml:space="preserve">The diagnosis of bile crystal nephropathy is presumed in cases of acute organic renal failure occurring in a jaundiced patient with severe cholestasis. Analysis of the urinary sediment reveals leukocyturia, sometimes with tubular proteinuria. Bile crystals may be observed. Fanconi syndrome is reported in some patients. </w:t>
      </w:r>
      <w:r w:rsidRPr="00944569">
        <w:rPr>
          <w:rFonts w:ascii="Arial" w:hAnsi="Arial"/>
          <w:b/>
        </w:rPr>
        <w:t>[4]</w:t>
      </w:r>
    </w:p>
    <w:p w14:paraId="58FF7323" w14:textId="1D16324B" w:rsidR="00FC03FF" w:rsidRPr="000B3251" w:rsidRDefault="005B6B58" w:rsidP="000B3251">
      <w:pPr>
        <w:jc w:val="both"/>
        <w:rPr>
          <w:rFonts w:ascii="Arial" w:hAnsi="Arial"/>
        </w:rPr>
      </w:pPr>
      <w:r w:rsidRPr="000B3251">
        <w:rPr>
          <w:rFonts w:ascii="Arial" w:hAnsi="Arial"/>
        </w:rPr>
        <w:t xml:space="preserve">Renal biopsy when performed confirms the diagnosis by showing tubular epithelial lesions with pigment epithelial overload and bilirubin deposits that can obstruct the tubules. </w:t>
      </w:r>
      <w:r w:rsidR="00DB3A64" w:rsidRPr="000B3251">
        <w:rPr>
          <w:rFonts w:ascii="Arial" w:hAnsi="Arial"/>
          <w:b/>
          <w:bCs/>
          <w:lang w:val="en-US"/>
        </w:rPr>
        <w:t>[5]</w:t>
      </w:r>
    </w:p>
    <w:p w14:paraId="5AF0E745" w14:textId="29F3E8ED" w:rsidR="00FC03FF" w:rsidRPr="000B3251" w:rsidRDefault="005B6B58" w:rsidP="000B3251">
      <w:pPr>
        <w:jc w:val="both"/>
        <w:rPr>
          <w:rFonts w:ascii="Arial" w:hAnsi="Arial"/>
        </w:rPr>
      </w:pPr>
      <w:r w:rsidRPr="000B3251">
        <w:rPr>
          <w:rFonts w:ascii="Arial" w:hAnsi="Arial"/>
        </w:rPr>
        <w:t xml:space="preserve">The risk of tubular toxicity </w:t>
      </w:r>
      <w:r w:rsidR="00944569" w:rsidRPr="000B3251">
        <w:rPr>
          <w:rFonts w:ascii="Arial" w:hAnsi="Arial"/>
        </w:rPr>
        <w:t>has</w:t>
      </w:r>
      <w:r w:rsidRPr="000B3251">
        <w:rPr>
          <w:rFonts w:ascii="Arial" w:hAnsi="Arial"/>
        </w:rPr>
        <w:t xml:space="preserve"> increased in the face of persistently high bilirubin levels (greater than 340 </w:t>
      </w:r>
      <w:proofErr w:type="spellStart"/>
      <w:r w:rsidRPr="000B3251">
        <w:rPr>
          <w:rFonts w:ascii="Arial" w:hAnsi="Arial"/>
        </w:rPr>
        <w:t>umol</w:t>
      </w:r>
      <w:proofErr w:type="spellEnd"/>
      <w:r w:rsidRPr="000B3251">
        <w:rPr>
          <w:rFonts w:ascii="Arial" w:hAnsi="Arial"/>
        </w:rPr>
        <w:t>/l).</w:t>
      </w:r>
      <w:r w:rsidR="00DB3A64" w:rsidRPr="000B3251">
        <w:rPr>
          <w:rFonts w:ascii="Arial" w:hAnsi="Arial"/>
          <w:b/>
          <w:bCs/>
        </w:rPr>
        <w:t xml:space="preserve"> </w:t>
      </w:r>
      <w:r w:rsidR="00DB3A64" w:rsidRPr="000B3251">
        <w:rPr>
          <w:rFonts w:ascii="Arial" w:hAnsi="Arial"/>
          <w:b/>
          <w:bCs/>
          <w:lang w:val="en-US"/>
        </w:rPr>
        <w:t>[6]</w:t>
      </w:r>
    </w:p>
    <w:p w14:paraId="6FDBDE6C" w14:textId="62235EF2" w:rsidR="00C30C2C" w:rsidRPr="000B3251" w:rsidRDefault="00C30C2C" w:rsidP="000B3251">
      <w:pPr>
        <w:jc w:val="both"/>
        <w:rPr>
          <w:rFonts w:ascii="Arial" w:hAnsi="Arial"/>
          <w:bCs/>
        </w:rPr>
      </w:pPr>
      <w:r w:rsidRPr="000B3251">
        <w:rPr>
          <w:rFonts w:ascii="Arial" w:hAnsi="Arial"/>
          <w:bCs/>
        </w:rPr>
        <w:lastRenderedPageBreak/>
        <w:t xml:space="preserve">A systematic anatomopathological study in 44 jaundiced patients (41 autopsies and 3 renal biopsies) highlighted that the intratubular presence of bile crystals is associated with high blood concentrations of bilirubin, as well as the presence of acute tubular necrosis lesions. </w:t>
      </w:r>
      <w:r w:rsidR="00DB3A64" w:rsidRPr="00944569">
        <w:rPr>
          <w:rFonts w:ascii="Arial" w:hAnsi="Arial"/>
          <w:b/>
          <w:lang w:val="en-US"/>
        </w:rPr>
        <w:t xml:space="preserve">[7] [8] </w:t>
      </w:r>
      <w:r w:rsidRPr="00944569">
        <w:rPr>
          <w:rFonts w:ascii="Arial" w:hAnsi="Arial"/>
          <w:b/>
        </w:rPr>
        <w:t>[9]</w:t>
      </w:r>
    </w:p>
    <w:p w14:paraId="66E52EEF" w14:textId="4CB062C1" w:rsidR="00FC03FF" w:rsidRPr="000B3251" w:rsidRDefault="005B6B58" w:rsidP="000B3251">
      <w:pPr>
        <w:jc w:val="both"/>
        <w:rPr>
          <w:rFonts w:ascii="Arial" w:hAnsi="Arial"/>
        </w:rPr>
      </w:pPr>
      <w:r w:rsidRPr="000B3251">
        <w:rPr>
          <w:rFonts w:ascii="Arial" w:hAnsi="Arial"/>
        </w:rPr>
        <w:t xml:space="preserve">There are no prospective studies evaluating the efficacy of certain therapies in nephropathy secondary to hyperbilirubinemia; these aim to treat the causal entity of hyperbilirubinemia. </w:t>
      </w:r>
      <w:r w:rsidR="00DB3A64" w:rsidRPr="000B3251">
        <w:rPr>
          <w:rFonts w:ascii="Arial" w:hAnsi="Arial"/>
          <w:b/>
          <w:bCs/>
          <w:lang w:val="en-US"/>
        </w:rPr>
        <w:t>[10]</w:t>
      </w:r>
    </w:p>
    <w:p w14:paraId="0146841C" w14:textId="64D191FF" w:rsidR="00FC03FF" w:rsidRPr="000B3251" w:rsidRDefault="00533D4B" w:rsidP="000B3251">
      <w:pPr>
        <w:jc w:val="both"/>
        <w:rPr>
          <w:rFonts w:ascii="Arial" w:hAnsi="Arial"/>
          <w:b/>
          <w:bCs/>
        </w:rPr>
      </w:pPr>
      <w:r>
        <w:rPr>
          <w:rFonts w:ascii="Arial" w:hAnsi="Arial"/>
          <w:b/>
          <w:bCs/>
        </w:rPr>
        <w:t>Conclusion</w:t>
      </w:r>
      <w:r w:rsidR="005B6B58" w:rsidRPr="000B3251">
        <w:rPr>
          <w:rFonts w:ascii="Arial" w:hAnsi="Arial"/>
          <w:b/>
          <w:bCs/>
        </w:rPr>
        <w:t>:</w:t>
      </w:r>
    </w:p>
    <w:p w14:paraId="0946CE43" w14:textId="77777777" w:rsidR="00FC03FF" w:rsidRPr="000B3251" w:rsidRDefault="005B6B58" w:rsidP="000B3251">
      <w:pPr>
        <w:jc w:val="both"/>
        <w:rPr>
          <w:rFonts w:ascii="Arial" w:hAnsi="Arial"/>
        </w:rPr>
      </w:pPr>
      <w:r w:rsidRPr="000B3251">
        <w:rPr>
          <w:rFonts w:ascii="Arial" w:hAnsi="Arial"/>
        </w:rPr>
        <w:t>Nephropathy secondary to hyperbilirubinemia is a diagnosis to consider when acute renal failure coincides with elevated plasma bilirubin levels. Normalization of bilirubin levels is often followed by recovery of renal function.</w:t>
      </w:r>
    </w:p>
    <w:p w14:paraId="73726ACC" w14:textId="3C1F7504" w:rsidR="00C60A21" w:rsidRPr="000B3251" w:rsidRDefault="000B3251" w:rsidP="000B3251">
      <w:pPr>
        <w:jc w:val="both"/>
        <w:rPr>
          <w:rFonts w:ascii="Arial" w:hAnsi="Arial"/>
          <w:b/>
          <w:lang w:val="en-US"/>
        </w:rPr>
      </w:pPr>
      <w:r>
        <w:rPr>
          <w:rFonts w:ascii="Arial" w:hAnsi="Arial"/>
          <w:b/>
          <w:lang w:val="en-US"/>
        </w:rPr>
        <w:t>References:</w:t>
      </w:r>
    </w:p>
    <w:p w14:paraId="095EB8A2" w14:textId="6CB000D1" w:rsidR="00664F2A" w:rsidRPr="000B3251" w:rsidRDefault="00C60A21" w:rsidP="000B3251">
      <w:pPr>
        <w:jc w:val="both"/>
        <w:rPr>
          <w:rFonts w:ascii="Arial" w:hAnsi="Arial"/>
          <w:lang w:val="en-US"/>
        </w:rPr>
      </w:pPr>
      <w:r w:rsidRPr="000B3251">
        <w:rPr>
          <w:rFonts w:ascii="Arial" w:hAnsi="Arial"/>
          <w:lang w:val="en-US"/>
        </w:rPr>
        <w:t xml:space="preserve">[1] Clairmont P. </w:t>
      </w:r>
      <w:proofErr w:type="spellStart"/>
      <w:r w:rsidRPr="000B3251">
        <w:rPr>
          <w:rFonts w:ascii="Arial" w:hAnsi="Arial"/>
          <w:lang w:val="en-US"/>
        </w:rPr>
        <w:t>Mitteilung</w:t>
      </w:r>
      <w:proofErr w:type="spellEnd"/>
      <w:r w:rsidRPr="000B3251">
        <w:rPr>
          <w:rFonts w:ascii="Arial" w:hAnsi="Arial"/>
          <w:lang w:val="en-US"/>
        </w:rPr>
        <w:t xml:space="preserve"> uber </w:t>
      </w:r>
      <w:proofErr w:type="spellStart"/>
      <w:r w:rsidRPr="000B3251">
        <w:rPr>
          <w:rFonts w:ascii="Arial" w:hAnsi="Arial"/>
          <w:lang w:val="en-US"/>
        </w:rPr>
        <w:t>Anurie</w:t>
      </w:r>
      <w:proofErr w:type="spellEnd"/>
      <w:r w:rsidRPr="000B3251">
        <w:rPr>
          <w:rFonts w:ascii="Arial" w:hAnsi="Arial"/>
          <w:lang w:val="en-US"/>
        </w:rPr>
        <w:t xml:space="preserve"> </w:t>
      </w:r>
      <w:proofErr w:type="spellStart"/>
      <w:r w:rsidRPr="000B3251">
        <w:rPr>
          <w:rFonts w:ascii="Arial" w:hAnsi="Arial"/>
          <w:lang w:val="en-US"/>
        </w:rPr>
        <w:t>nach</w:t>
      </w:r>
      <w:proofErr w:type="spellEnd"/>
      <w:r w:rsidRPr="000B3251">
        <w:rPr>
          <w:rFonts w:ascii="Arial" w:hAnsi="Arial"/>
          <w:lang w:val="en-US"/>
        </w:rPr>
        <w:t xml:space="preserve"> </w:t>
      </w:r>
      <w:proofErr w:type="spellStart"/>
      <w:r w:rsidRPr="000B3251">
        <w:rPr>
          <w:rFonts w:ascii="Arial" w:hAnsi="Arial"/>
          <w:lang w:val="en-US"/>
        </w:rPr>
        <w:t>Gallensteinoperationen</w:t>
      </w:r>
      <w:proofErr w:type="spellEnd"/>
      <w:r w:rsidRPr="000B3251">
        <w:rPr>
          <w:rFonts w:ascii="Arial" w:hAnsi="Arial"/>
          <w:lang w:val="en-US"/>
        </w:rPr>
        <w:t xml:space="preserve">. [Communication on anuria after gallstone surgery]. </w:t>
      </w:r>
      <w:proofErr w:type="spellStart"/>
      <w:r w:rsidRPr="000B3251">
        <w:rPr>
          <w:rFonts w:ascii="Arial" w:hAnsi="Arial"/>
          <w:lang w:val="en-US"/>
        </w:rPr>
        <w:t>Grenzgeb</w:t>
      </w:r>
      <w:proofErr w:type="spellEnd"/>
      <w:r w:rsidRPr="000B3251">
        <w:rPr>
          <w:rFonts w:ascii="Arial" w:hAnsi="Arial"/>
          <w:lang w:val="en-US"/>
        </w:rPr>
        <w:t xml:space="preserve"> Med </w:t>
      </w:r>
      <w:proofErr w:type="spellStart"/>
      <w:r w:rsidRPr="000B3251">
        <w:rPr>
          <w:rFonts w:ascii="Arial" w:hAnsi="Arial"/>
          <w:lang w:val="en-US"/>
        </w:rPr>
        <w:t>Chir</w:t>
      </w:r>
      <w:proofErr w:type="spellEnd"/>
      <w:r w:rsidRPr="000B3251">
        <w:rPr>
          <w:rFonts w:ascii="Arial" w:hAnsi="Arial"/>
          <w:lang w:val="en-US"/>
        </w:rPr>
        <w:t xml:space="preserve"> </w:t>
      </w:r>
      <w:proofErr w:type="gramStart"/>
      <w:r w:rsidRPr="000B3251">
        <w:rPr>
          <w:rFonts w:ascii="Arial" w:hAnsi="Arial"/>
          <w:lang w:val="en-US"/>
        </w:rPr>
        <w:t>1911;22:159</w:t>
      </w:r>
      <w:proofErr w:type="gramEnd"/>
    </w:p>
    <w:p w14:paraId="785C98D5" w14:textId="6FC4FA23" w:rsidR="00664F2A" w:rsidRPr="000B3251" w:rsidRDefault="00664F2A" w:rsidP="000B3251">
      <w:pPr>
        <w:jc w:val="both"/>
        <w:rPr>
          <w:rFonts w:ascii="Arial" w:hAnsi="Arial"/>
          <w:bCs/>
          <w:lang w:val="en-US"/>
        </w:rPr>
      </w:pPr>
      <w:r w:rsidRPr="000B3251">
        <w:rPr>
          <w:rFonts w:ascii="Arial" w:hAnsi="Arial"/>
          <w:lang w:val="en-US"/>
        </w:rPr>
        <w:t xml:space="preserve">[2] </w:t>
      </w:r>
      <w:r w:rsidRPr="000B3251">
        <w:rPr>
          <w:rFonts w:ascii="Arial" w:hAnsi="Arial"/>
          <w:bCs/>
          <w:lang w:val="en-US"/>
        </w:rPr>
        <w:t xml:space="preserve">Green J, Better OS. Systemic hypotension and renal failure in obstructive jaundice – mechanistic and therapeutic aspects. JASN </w:t>
      </w:r>
      <w:proofErr w:type="gramStart"/>
      <w:r w:rsidRPr="000B3251">
        <w:rPr>
          <w:rFonts w:ascii="Arial" w:hAnsi="Arial"/>
          <w:bCs/>
          <w:lang w:val="en-US"/>
        </w:rPr>
        <w:t>1995;5:1853</w:t>
      </w:r>
      <w:proofErr w:type="gramEnd"/>
      <w:r w:rsidRPr="000B3251">
        <w:rPr>
          <w:rFonts w:ascii="Arial" w:hAnsi="Arial"/>
          <w:bCs/>
          <w:lang w:val="en-US"/>
        </w:rPr>
        <w:t>–71.</w:t>
      </w:r>
    </w:p>
    <w:p w14:paraId="520B6642" w14:textId="3DE4B273" w:rsidR="00B95854" w:rsidRPr="000B3251" w:rsidRDefault="00B95854" w:rsidP="000B3251">
      <w:pPr>
        <w:jc w:val="both"/>
        <w:rPr>
          <w:rFonts w:ascii="Arial" w:hAnsi="Arial"/>
          <w:bCs/>
          <w:lang w:val="en-US"/>
        </w:rPr>
      </w:pPr>
      <w:r w:rsidRPr="000B3251">
        <w:rPr>
          <w:rFonts w:ascii="Arial" w:hAnsi="Arial"/>
          <w:bCs/>
          <w:lang w:val="en-US"/>
        </w:rPr>
        <w:t xml:space="preserve">[3] Fickert P, Krones E, </w:t>
      </w:r>
      <w:proofErr w:type="spellStart"/>
      <w:r w:rsidRPr="000B3251">
        <w:rPr>
          <w:rFonts w:ascii="Arial" w:hAnsi="Arial"/>
          <w:bCs/>
          <w:lang w:val="en-US"/>
        </w:rPr>
        <w:t>Pollheimer</w:t>
      </w:r>
      <w:proofErr w:type="spellEnd"/>
      <w:r w:rsidRPr="000B3251">
        <w:rPr>
          <w:rFonts w:ascii="Arial" w:hAnsi="Arial"/>
          <w:bCs/>
          <w:lang w:val="en-US"/>
        </w:rPr>
        <w:t xml:space="preserve"> MJ, </w:t>
      </w:r>
      <w:proofErr w:type="spellStart"/>
      <w:r w:rsidRPr="000B3251">
        <w:rPr>
          <w:rFonts w:ascii="Arial" w:hAnsi="Arial"/>
          <w:bCs/>
          <w:lang w:val="en-US"/>
        </w:rPr>
        <w:t>Thueringer</w:t>
      </w:r>
      <w:proofErr w:type="spellEnd"/>
      <w:r w:rsidRPr="000B3251">
        <w:rPr>
          <w:rFonts w:ascii="Arial" w:hAnsi="Arial"/>
          <w:bCs/>
          <w:lang w:val="en-US"/>
        </w:rPr>
        <w:t xml:space="preserve"> A, Moustafa T, Silbert D, et al. Bile acids trigger cholemic nephropathy in common bile-duct-ligated mice. Hepatology </w:t>
      </w:r>
      <w:proofErr w:type="gramStart"/>
      <w:r w:rsidRPr="000B3251">
        <w:rPr>
          <w:rFonts w:ascii="Arial" w:hAnsi="Arial"/>
          <w:bCs/>
          <w:lang w:val="en-US"/>
        </w:rPr>
        <w:t>2013;58:2056</w:t>
      </w:r>
      <w:proofErr w:type="gramEnd"/>
      <w:r w:rsidRPr="000B3251">
        <w:rPr>
          <w:rFonts w:ascii="Arial" w:hAnsi="Arial"/>
          <w:bCs/>
          <w:lang w:val="en-US"/>
        </w:rPr>
        <w:t>–69.</w:t>
      </w:r>
    </w:p>
    <w:p w14:paraId="06E70E71" w14:textId="7A1E243F" w:rsidR="00AB2A5D" w:rsidRPr="000B3251" w:rsidRDefault="00AB2A5D" w:rsidP="000B3251">
      <w:pPr>
        <w:jc w:val="both"/>
        <w:rPr>
          <w:rFonts w:ascii="Arial" w:hAnsi="Arial"/>
          <w:bCs/>
          <w:lang w:val="en-US"/>
        </w:rPr>
      </w:pPr>
      <w:r w:rsidRPr="000B3251">
        <w:rPr>
          <w:rFonts w:ascii="Arial" w:hAnsi="Arial"/>
          <w:bCs/>
          <w:lang w:val="en-US"/>
        </w:rPr>
        <w:t xml:space="preserve">[4] </w:t>
      </w:r>
      <w:proofErr w:type="spellStart"/>
      <w:r w:rsidRPr="000B3251">
        <w:rPr>
          <w:rFonts w:ascii="Arial" w:hAnsi="Arial"/>
          <w:bCs/>
          <w:lang w:val="en-US"/>
        </w:rPr>
        <w:t>Bairaktari</w:t>
      </w:r>
      <w:proofErr w:type="spellEnd"/>
      <w:r w:rsidRPr="000B3251">
        <w:rPr>
          <w:rFonts w:ascii="Arial" w:hAnsi="Arial"/>
          <w:bCs/>
          <w:lang w:val="en-US"/>
        </w:rPr>
        <w:t xml:space="preserve"> E, </w:t>
      </w:r>
      <w:proofErr w:type="spellStart"/>
      <w:r w:rsidRPr="000B3251">
        <w:rPr>
          <w:rFonts w:ascii="Arial" w:hAnsi="Arial"/>
          <w:bCs/>
          <w:lang w:val="en-US"/>
        </w:rPr>
        <w:t>Liamis</w:t>
      </w:r>
      <w:proofErr w:type="spellEnd"/>
      <w:r w:rsidRPr="000B3251">
        <w:rPr>
          <w:rFonts w:ascii="Arial" w:hAnsi="Arial"/>
          <w:bCs/>
          <w:lang w:val="en-US"/>
        </w:rPr>
        <w:t xml:space="preserve"> G, </w:t>
      </w:r>
      <w:proofErr w:type="spellStart"/>
      <w:r w:rsidRPr="000B3251">
        <w:rPr>
          <w:rFonts w:ascii="Arial" w:hAnsi="Arial"/>
          <w:bCs/>
          <w:lang w:val="en-US"/>
        </w:rPr>
        <w:t>Tsolas</w:t>
      </w:r>
      <w:proofErr w:type="spellEnd"/>
      <w:r w:rsidRPr="000B3251">
        <w:rPr>
          <w:rFonts w:ascii="Arial" w:hAnsi="Arial"/>
          <w:bCs/>
          <w:lang w:val="en-US"/>
        </w:rPr>
        <w:t xml:space="preserve"> O, </w:t>
      </w:r>
      <w:proofErr w:type="spellStart"/>
      <w:r w:rsidRPr="000B3251">
        <w:rPr>
          <w:rFonts w:ascii="Arial" w:hAnsi="Arial"/>
          <w:bCs/>
          <w:lang w:val="en-US"/>
        </w:rPr>
        <w:t>Elisaf</w:t>
      </w:r>
      <w:proofErr w:type="spellEnd"/>
      <w:r w:rsidRPr="000B3251">
        <w:rPr>
          <w:rFonts w:ascii="Arial" w:hAnsi="Arial"/>
          <w:bCs/>
          <w:lang w:val="en-US"/>
        </w:rPr>
        <w:t xml:space="preserve"> M. Partially reversible renal tubular damages in patients with obstructive jaundice. Hepatology </w:t>
      </w:r>
      <w:proofErr w:type="gramStart"/>
      <w:r w:rsidRPr="000B3251">
        <w:rPr>
          <w:rFonts w:ascii="Arial" w:hAnsi="Arial"/>
          <w:bCs/>
          <w:lang w:val="en-US"/>
        </w:rPr>
        <w:t>2001;33:1365</w:t>
      </w:r>
      <w:proofErr w:type="gramEnd"/>
      <w:r w:rsidRPr="000B3251">
        <w:rPr>
          <w:rFonts w:ascii="Arial" w:hAnsi="Arial"/>
          <w:bCs/>
          <w:lang w:val="en-US"/>
        </w:rPr>
        <w:t>–9</w:t>
      </w:r>
    </w:p>
    <w:p w14:paraId="08BA9115" w14:textId="51573276" w:rsidR="00664F2A" w:rsidRPr="000B3251" w:rsidRDefault="00C30C2C" w:rsidP="000B3251">
      <w:pPr>
        <w:jc w:val="both"/>
        <w:rPr>
          <w:rFonts w:ascii="Arial" w:hAnsi="Arial"/>
          <w:bCs/>
          <w:lang w:val="en-US"/>
        </w:rPr>
      </w:pPr>
      <w:r w:rsidRPr="000B3251">
        <w:rPr>
          <w:rFonts w:ascii="Arial" w:hAnsi="Arial"/>
          <w:bCs/>
          <w:lang w:val="en-US"/>
        </w:rPr>
        <w:t xml:space="preserve">[5] Van </w:t>
      </w:r>
      <w:proofErr w:type="spellStart"/>
      <w:r w:rsidRPr="000B3251">
        <w:rPr>
          <w:rFonts w:ascii="Arial" w:hAnsi="Arial"/>
          <w:bCs/>
          <w:lang w:val="en-US"/>
        </w:rPr>
        <w:t>Slambrouck</w:t>
      </w:r>
      <w:proofErr w:type="spellEnd"/>
      <w:r w:rsidRPr="000B3251">
        <w:rPr>
          <w:rFonts w:ascii="Arial" w:hAnsi="Arial"/>
          <w:bCs/>
          <w:lang w:val="en-US"/>
        </w:rPr>
        <w:t xml:space="preserve"> CM, Salem F, Meehan SM, Chang A. Bile cast nephropathy is a common pathologic finding for kidney injury associated with severe liver dysfunction. Kidney Int </w:t>
      </w:r>
      <w:proofErr w:type="gramStart"/>
      <w:r w:rsidRPr="000B3251">
        <w:rPr>
          <w:rFonts w:ascii="Arial" w:hAnsi="Arial"/>
          <w:bCs/>
          <w:lang w:val="en-US"/>
        </w:rPr>
        <w:t>2013;84:192</w:t>
      </w:r>
      <w:proofErr w:type="gramEnd"/>
      <w:r w:rsidRPr="000B3251">
        <w:rPr>
          <w:rFonts w:ascii="Arial" w:hAnsi="Arial"/>
          <w:bCs/>
          <w:lang w:val="en-US"/>
        </w:rPr>
        <w:t>–7</w:t>
      </w:r>
    </w:p>
    <w:p w14:paraId="14302A55" w14:textId="64D903B6" w:rsidR="00FC03FF" w:rsidRPr="000B3251" w:rsidRDefault="00657987" w:rsidP="000B3251">
      <w:pPr>
        <w:jc w:val="both"/>
        <w:rPr>
          <w:rFonts w:ascii="Arial" w:hAnsi="Arial"/>
          <w:lang w:val="en-US"/>
        </w:rPr>
      </w:pPr>
      <w:r w:rsidRPr="000B3251">
        <w:rPr>
          <w:rFonts w:ascii="Arial" w:hAnsi="Arial"/>
          <w:bCs/>
          <w:lang w:val="en-US"/>
        </w:rPr>
        <w:t xml:space="preserve">[6] </w:t>
      </w:r>
      <w:proofErr w:type="spellStart"/>
      <w:r w:rsidR="005B6B58" w:rsidRPr="000B3251">
        <w:rPr>
          <w:rFonts w:ascii="Arial" w:hAnsi="Arial"/>
          <w:lang w:val="en-US"/>
        </w:rPr>
        <w:t>Betjes</w:t>
      </w:r>
      <w:proofErr w:type="spellEnd"/>
      <w:r w:rsidR="005B6B58" w:rsidRPr="000B3251">
        <w:rPr>
          <w:rFonts w:ascii="Arial" w:hAnsi="Arial"/>
          <w:lang w:val="en-US"/>
        </w:rPr>
        <w:t xml:space="preserve"> MGH, </w:t>
      </w:r>
      <w:proofErr w:type="spellStart"/>
      <w:r w:rsidR="005B6B58" w:rsidRPr="000B3251">
        <w:rPr>
          <w:rFonts w:ascii="Arial" w:hAnsi="Arial"/>
          <w:lang w:val="en-US"/>
        </w:rPr>
        <w:t>Bajema</w:t>
      </w:r>
      <w:proofErr w:type="spellEnd"/>
      <w:r w:rsidR="005B6B58" w:rsidRPr="000B3251">
        <w:rPr>
          <w:rFonts w:ascii="Arial" w:hAnsi="Arial"/>
          <w:lang w:val="en-US"/>
        </w:rPr>
        <w:t xml:space="preserve"> I. The pathology of jaundice-related renal insufficiency: cholemic nephrosis revisited. J Nephrol. 2006 Apr; 19(2):229-33. PubMed | Google Scholar</w:t>
      </w:r>
    </w:p>
    <w:p w14:paraId="1780D77F" w14:textId="77777777" w:rsidR="000B3251" w:rsidRPr="000B3251" w:rsidRDefault="00657987" w:rsidP="000B3251">
      <w:pPr>
        <w:jc w:val="both"/>
        <w:rPr>
          <w:rFonts w:ascii="Arial" w:hAnsi="Arial"/>
          <w:lang w:val="en-US"/>
        </w:rPr>
      </w:pPr>
      <w:r w:rsidRPr="000B3251">
        <w:rPr>
          <w:rFonts w:ascii="Arial" w:hAnsi="Arial"/>
          <w:bCs/>
          <w:lang w:val="en-US"/>
        </w:rPr>
        <w:t xml:space="preserve">[7] </w:t>
      </w:r>
      <w:r w:rsidR="005B6B58" w:rsidRPr="000B3251">
        <w:rPr>
          <w:rFonts w:ascii="Arial" w:hAnsi="Arial"/>
          <w:lang w:val="en-US"/>
        </w:rPr>
        <w:t xml:space="preserve">Sequeira A, Gu X. Bile cast nephropathy: An </w:t>
      </w:r>
      <w:proofErr w:type="gramStart"/>
      <w:r w:rsidR="005B6B58" w:rsidRPr="000B3251">
        <w:rPr>
          <w:rFonts w:ascii="Arial" w:hAnsi="Arial"/>
          <w:lang w:val="en-US"/>
        </w:rPr>
        <w:t>often forgotten</w:t>
      </w:r>
      <w:proofErr w:type="gramEnd"/>
      <w:r w:rsidR="005B6B58" w:rsidRPr="000B3251">
        <w:rPr>
          <w:rFonts w:ascii="Arial" w:hAnsi="Arial"/>
          <w:lang w:val="en-US"/>
        </w:rPr>
        <w:t xml:space="preserve"> diagnosis. </w:t>
      </w:r>
      <w:proofErr w:type="spellStart"/>
      <w:r w:rsidR="005B6B58" w:rsidRPr="000B3251">
        <w:rPr>
          <w:rFonts w:ascii="Arial" w:hAnsi="Arial"/>
          <w:lang w:val="en-US"/>
        </w:rPr>
        <w:t>Hemodial</w:t>
      </w:r>
      <w:proofErr w:type="spellEnd"/>
      <w:r w:rsidR="005B6B58" w:rsidRPr="000B3251">
        <w:rPr>
          <w:rFonts w:ascii="Arial" w:hAnsi="Arial"/>
          <w:lang w:val="en-US"/>
        </w:rPr>
        <w:t xml:space="preserve"> Int. 2015 Jan 1; 19(1):132-5. PubMed | Google Scholar</w:t>
      </w:r>
    </w:p>
    <w:p w14:paraId="7C3AB727" w14:textId="18FC060D" w:rsidR="00FC03FF" w:rsidRPr="000B3251" w:rsidRDefault="00657987" w:rsidP="000B3251">
      <w:pPr>
        <w:jc w:val="both"/>
        <w:rPr>
          <w:rFonts w:ascii="Arial" w:hAnsi="Arial"/>
          <w:lang w:val="en-US"/>
        </w:rPr>
      </w:pPr>
      <w:r w:rsidRPr="000B3251">
        <w:rPr>
          <w:rFonts w:ascii="Arial" w:hAnsi="Arial"/>
          <w:bCs/>
          <w:lang w:val="en-US"/>
        </w:rPr>
        <w:t xml:space="preserve">[8] </w:t>
      </w:r>
      <w:r w:rsidR="005B6B58" w:rsidRPr="000B3251">
        <w:rPr>
          <w:rFonts w:ascii="Arial" w:hAnsi="Arial"/>
          <w:lang w:val="en-US"/>
        </w:rPr>
        <w:t xml:space="preserve">Krones E, </w:t>
      </w:r>
      <w:proofErr w:type="spellStart"/>
      <w:r w:rsidR="005B6B58" w:rsidRPr="000B3251">
        <w:rPr>
          <w:rFonts w:ascii="Arial" w:hAnsi="Arial"/>
          <w:lang w:val="en-US"/>
        </w:rPr>
        <w:t>Pollheimer</w:t>
      </w:r>
      <w:proofErr w:type="spellEnd"/>
      <w:r w:rsidR="005B6B58" w:rsidRPr="000B3251">
        <w:rPr>
          <w:rFonts w:ascii="Arial" w:hAnsi="Arial"/>
          <w:lang w:val="en-US"/>
        </w:rPr>
        <w:t xml:space="preserve"> MJ, Rosenkranz AR, Fickert P. Cholemic nephropathy - historical notes and novel perspectives. </w:t>
      </w:r>
      <w:proofErr w:type="spellStart"/>
      <w:r w:rsidR="005B6B58" w:rsidRPr="000B3251">
        <w:rPr>
          <w:rFonts w:ascii="Arial" w:hAnsi="Arial"/>
          <w:lang w:val="en-US"/>
        </w:rPr>
        <w:t>Biochim</w:t>
      </w:r>
      <w:proofErr w:type="spellEnd"/>
      <w:r w:rsidR="005B6B58" w:rsidRPr="000B3251">
        <w:rPr>
          <w:rFonts w:ascii="Arial" w:hAnsi="Arial"/>
          <w:lang w:val="en-US"/>
        </w:rPr>
        <w:t xml:space="preserve"> </w:t>
      </w:r>
      <w:proofErr w:type="spellStart"/>
      <w:r w:rsidR="005B6B58" w:rsidRPr="000B3251">
        <w:rPr>
          <w:rFonts w:ascii="Arial" w:hAnsi="Arial"/>
          <w:lang w:val="en-US"/>
        </w:rPr>
        <w:t>Biophys</w:t>
      </w:r>
      <w:proofErr w:type="spellEnd"/>
      <w:r w:rsidR="005B6B58" w:rsidRPr="000B3251">
        <w:rPr>
          <w:rFonts w:ascii="Arial" w:hAnsi="Arial"/>
          <w:lang w:val="en-US"/>
        </w:rPr>
        <w:t xml:space="preserve"> Acta Mol Basis Dis 2018;1864(4 Pt B): 1356–1366</w:t>
      </w:r>
    </w:p>
    <w:p w14:paraId="739157DD" w14:textId="5D48A9EE" w:rsidR="00FC03FF" w:rsidRPr="000B3251" w:rsidRDefault="00657987" w:rsidP="000B3251">
      <w:pPr>
        <w:jc w:val="both"/>
        <w:rPr>
          <w:rFonts w:ascii="Arial" w:hAnsi="Arial"/>
          <w:lang w:val="en-US"/>
        </w:rPr>
      </w:pPr>
      <w:r w:rsidRPr="000B3251">
        <w:rPr>
          <w:rFonts w:ascii="Arial" w:hAnsi="Arial"/>
          <w:bCs/>
          <w:lang w:val="en-US"/>
        </w:rPr>
        <w:t xml:space="preserve">[9] </w:t>
      </w:r>
      <w:r w:rsidR="005B6B58" w:rsidRPr="000B3251">
        <w:rPr>
          <w:rFonts w:ascii="Arial" w:hAnsi="Arial"/>
          <w:lang w:val="en-US"/>
        </w:rPr>
        <w:t xml:space="preserve">Van </w:t>
      </w:r>
      <w:proofErr w:type="spellStart"/>
      <w:r w:rsidR="005B6B58" w:rsidRPr="000B3251">
        <w:rPr>
          <w:rFonts w:ascii="Arial" w:hAnsi="Arial"/>
          <w:lang w:val="en-US"/>
        </w:rPr>
        <w:t>Slambrouck</w:t>
      </w:r>
      <w:proofErr w:type="spellEnd"/>
      <w:r w:rsidR="005B6B58" w:rsidRPr="000B3251">
        <w:rPr>
          <w:rFonts w:ascii="Arial" w:hAnsi="Arial"/>
          <w:lang w:val="en-US"/>
        </w:rPr>
        <w:t xml:space="preserve"> CM, Salem F, Meehan SM, Chang A. Bile cast nephropathy is a common pathologic finding for kidney injury associated with severe liver dysfunction. Kidney Int 2013;84(01): 192–197</w:t>
      </w:r>
    </w:p>
    <w:p w14:paraId="29E4AD80" w14:textId="42EC569A" w:rsidR="00FC03FF" w:rsidRPr="000B3251" w:rsidRDefault="00657987" w:rsidP="000B3251">
      <w:pPr>
        <w:jc w:val="both"/>
        <w:rPr>
          <w:lang w:val="en-US"/>
        </w:rPr>
      </w:pPr>
      <w:r w:rsidRPr="000B3251">
        <w:rPr>
          <w:rFonts w:ascii="Arial" w:hAnsi="Arial"/>
          <w:bCs/>
          <w:lang w:val="en-US"/>
        </w:rPr>
        <w:t xml:space="preserve">[10] </w:t>
      </w:r>
      <w:r w:rsidR="005B6B58" w:rsidRPr="000B3251">
        <w:rPr>
          <w:rFonts w:ascii="Arial" w:hAnsi="Arial"/>
          <w:lang w:val="en-US"/>
        </w:rPr>
        <w:t xml:space="preserve">Leclerc M, </w:t>
      </w:r>
      <w:proofErr w:type="spellStart"/>
      <w:r w:rsidR="005B6B58" w:rsidRPr="000B3251">
        <w:rPr>
          <w:rFonts w:ascii="Arial" w:hAnsi="Arial"/>
          <w:lang w:val="en-US"/>
        </w:rPr>
        <w:t>Lanot</w:t>
      </w:r>
      <w:proofErr w:type="spellEnd"/>
      <w:r w:rsidR="005B6B58" w:rsidRPr="000B3251">
        <w:rPr>
          <w:rFonts w:ascii="Arial" w:hAnsi="Arial"/>
          <w:lang w:val="en-US"/>
        </w:rPr>
        <w:t xml:space="preserve"> A, </w:t>
      </w:r>
      <w:proofErr w:type="spellStart"/>
      <w:r w:rsidR="005B6B58" w:rsidRPr="000B3251">
        <w:rPr>
          <w:rFonts w:ascii="Arial" w:hAnsi="Arial"/>
          <w:lang w:val="en-US"/>
        </w:rPr>
        <w:t>Béchade</w:t>
      </w:r>
      <w:proofErr w:type="spellEnd"/>
      <w:r w:rsidR="005B6B58" w:rsidRPr="000B3251">
        <w:rPr>
          <w:rFonts w:ascii="Arial" w:hAnsi="Arial"/>
          <w:lang w:val="en-US"/>
        </w:rPr>
        <w:t xml:space="preserve"> C, Le </w:t>
      </w:r>
      <w:proofErr w:type="spellStart"/>
      <w:r w:rsidR="005B6B58" w:rsidRPr="000B3251">
        <w:rPr>
          <w:rFonts w:ascii="Arial" w:hAnsi="Arial"/>
          <w:lang w:val="en-US"/>
        </w:rPr>
        <w:t>Naoures</w:t>
      </w:r>
      <w:proofErr w:type="spellEnd"/>
      <w:r w:rsidR="005B6B58" w:rsidRPr="000B3251">
        <w:rPr>
          <w:rFonts w:ascii="Arial" w:hAnsi="Arial"/>
          <w:lang w:val="en-US"/>
        </w:rPr>
        <w:t xml:space="preserve"> C, </w:t>
      </w:r>
      <w:proofErr w:type="spellStart"/>
      <w:r w:rsidR="005B6B58" w:rsidRPr="000B3251">
        <w:rPr>
          <w:rFonts w:ascii="Arial" w:hAnsi="Arial"/>
          <w:lang w:val="en-US"/>
        </w:rPr>
        <w:t>Comoz</w:t>
      </w:r>
      <w:proofErr w:type="spellEnd"/>
      <w:r w:rsidR="005B6B58" w:rsidRPr="000B3251">
        <w:rPr>
          <w:rFonts w:ascii="Arial" w:hAnsi="Arial"/>
          <w:lang w:val="en-US"/>
        </w:rPr>
        <w:t xml:space="preserve"> F, </w:t>
      </w:r>
      <w:proofErr w:type="spellStart"/>
      <w:r w:rsidR="005B6B58" w:rsidRPr="000B3251">
        <w:rPr>
          <w:rFonts w:ascii="Arial" w:hAnsi="Arial"/>
          <w:lang w:val="en-US"/>
        </w:rPr>
        <w:t>Lobbedez</w:t>
      </w:r>
      <w:proofErr w:type="spellEnd"/>
      <w:r w:rsidR="005B6B58" w:rsidRPr="000B3251">
        <w:rPr>
          <w:rFonts w:ascii="Arial" w:hAnsi="Arial"/>
          <w:lang w:val="en-US"/>
        </w:rPr>
        <w:t xml:space="preserve"> T. Bile salt nephropathy/cholemic nephrosis </w:t>
      </w:r>
      <w:r w:rsidR="005B6B58" w:rsidRPr="000B3251">
        <w:rPr>
          <w:lang w:val="en-US"/>
        </w:rPr>
        <w:t>[in French]. Nephrol Ther 2016;12(06):460–462</w:t>
      </w:r>
      <w:bookmarkEnd w:id="0"/>
    </w:p>
    <w:sectPr w:rsidR="00FC03FF" w:rsidRPr="000B325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16F1C" w14:textId="77777777" w:rsidR="00F62204" w:rsidRDefault="00F62204">
      <w:pPr>
        <w:spacing w:after="0" w:line="240" w:lineRule="auto"/>
      </w:pPr>
      <w:r>
        <w:separator/>
      </w:r>
    </w:p>
  </w:endnote>
  <w:endnote w:type="continuationSeparator" w:id="0">
    <w:p w14:paraId="1A867A3E" w14:textId="77777777" w:rsidR="00F62204" w:rsidRDefault="00F6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D0315" w14:textId="77777777" w:rsidR="00F62204" w:rsidRDefault="00F62204">
      <w:pPr>
        <w:spacing w:after="0" w:line="240" w:lineRule="auto"/>
      </w:pPr>
      <w:r>
        <w:rPr>
          <w:color w:val="000000"/>
        </w:rPr>
        <w:separator/>
      </w:r>
    </w:p>
  </w:footnote>
  <w:footnote w:type="continuationSeparator" w:id="0">
    <w:p w14:paraId="47287210" w14:textId="77777777" w:rsidR="00F62204" w:rsidRDefault="00F622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FF"/>
    <w:rsid w:val="0001623C"/>
    <w:rsid w:val="000B3251"/>
    <w:rsid w:val="001B7D54"/>
    <w:rsid w:val="0032307F"/>
    <w:rsid w:val="00436509"/>
    <w:rsid w:val="00484388"/>
    <w:rsid w:val="00533D4B"/>
    <w:rsid w:val="0055394F"/>
    <w:rsid w:val="005B6B58"/>
    <w:rsid w:val="00640D42"/>
    <w:rsid w:val="00657987"/>
    <w:rsid w:val="00664F2A"/>
    <w:rsid w:val="00680129"/>
    <w:rsid w:val="00695967"/>
    <w:rsid w:val="007149EF"/>
    <w:rsid w:val="007E103D"/>
    <w:rsid w:val="008A487F"/>
    <w:rsid w:val="00931E59"/>
    <w:rsid w:val="00944569"/>
    <w:rsid w:val="00972A3F"/>
    <w:rsid w:val="00AB2A5D"/>
    <w:rsid w:val="00B04A6B"/>
    <w:rsid w:val="00B14EFF"/>
    <w:rsid w:val="00B95854"/>
    <w:rsid w:val="00C30C2C"/>
    <w:rsid w:val="00C60A21"/>
    <w:rsid w:val="00D46627"/>
    <w:rsid w:val="00DB3A64"/>
    <w:rsid w:val="00DC5F03"/>
    <w:rsid w:val="00E4435E"/>
    <w:rsid w:val="00E679C3"/>
    <w:rsid w:val="00ED1A14"/>
    <w:rsid w:val="00F62204"/>
    <w:rsid w:val="00FC03FF"/>
    <w:rsid w:val="00FE55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A2D1"/>
  <w15:docId w15:val="{C8C7EF13-0CDC-4AF4-9948-3CDE09F6B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rial"/>
        <w:kern w:val="3"/>
        <w:sz w:val="24"/>
        <w:szCs w:val="24"/>
        <w:lang w:val="en"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pPr>
      <w:keepNext/>
      <w:keepLines/>
      <w:spacing w:before="80" w:after="40"/>
      <w:outlineLvl w:val="3"/>
    </w:pPr>
    <w:rPr>
      <w:rFonts w:eastAsia="Times New Roman" w:cs="Times New Roman"/>
      <w:i/>
      <w:iCs/>
      <w:color w:val="0F4761"/>
    </w:rPr>
  </w:style>
  <w:style w:type="paragraph" w:styleId="Heading5">
    <w:name w:val="heading 5"/>
    <w:basedOn w:val="Normal"/>
    <w:next w:val="Normal"/>
    <w:pPr>
      <w:keepNext/>
      <w:keepLines/>
      <w:spacing w:before="80" w:after="40"/>
      <w:outlineLvl w:val="4"/>
    </w:pPr>
    <w:rPr>
      <w:rFonts w:eastAsia="Times New Roman" w:cs="Times New Roman"/>
      <w:color w:val="0F4761"/>
    </w:rPr>
  </w:style>
  <w:style w:type="paragraph" w:styleId="Heading6">
    <w:name w:val="heading 6"/>
    <w:basedOn w:val="Normal"/>
    <w:next w:val="Normal"/>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rPr>
      <w:rFonts w:ascii="Aptos Display" w:eastAsia="Times New Roman" w:hAnsi="Aptos Display" w:cs="Times New Roman"/>
      <w:color w:val="0F4761"/>
      <w:sz w:val="40"/>
      <w:szCs w:val="40"/>
    </w:rPr>
  </w:style>
  <w:style w:type="character" w:customStyle="1" w:styleId="Titre2Car">
    <w:name w:val="Titre 2 Car"/>
    <w:basedOn w:val="DefaultParagraphFont"/>
    <w:rPr>
      <w:rFonts w:ascii="Aptos Display" w:eastAsia="Times New Roman" w:hAnsi="Aptos Display" w:cs="Times New Roman"/>
      <w:color w:val="0F4761"/>
      <w:sz w:val="32"/>
      <w:szCs w:val="32"/>
    </w:rPr>
  </w:style>
  <w:style w:type="character" w:customStyle="1" w:styleId="Titre3Car">
    <w:name w:val="Titre 3 Car"/>
    <w:basedOn w:val="DefaultParagraphFont"/>
    <w:rPr>
      <w:rFonts w:eastAsia="Times New Roman" w:cs="Times New Roman"/>
      <w:color w:val="0F4761"/>
      <w:sz w:val="28"/>
      <w:szCs w:val="28"/>
    </w:rPr>
  </w:style>
  <w:style w:type="character" w:customStyle="1" w:styleId="Titre4Car">
    <w:name w:val="Titre 4 Car"/>
    <w:basedOn w:val="DefaultParagraphFont"/>
    <w:rPr>
      <w:rFonts w:eastAsia="Times New Roman" w:cs="Times New Roman"/>
      <w:i/>
      <w:iCs/>
      <w:color w:val="0F4761"/>
    </w:rPr>
  </w:style>
  <w:style w:type="character" w:customStyle="1" w:styleId="Titre5Car">
    <w:name w:val="Titre 5 Car"/>
    <w:basedOn w:val="DefaultParagraphFont"/>
    <w:rPr>
      <w:rFonts w:eastAsia="Times New Roman" w:cs="Times New Roman"/>
      <w:color w:val="0F4761"/>
    </w:rPr>
  </w:style>
  <w:style w:type="character" w:customStyle="1" w:styleId="Titre6Car">
    <w:name w:val="Titre 6 Car"/>
    <w:basedOn w:val="DefaultParagraphFont"/>
    <w:rPr>
      <w:rFonts w:eastAsia="Times New Roman" w:cs="Times New Roman"/>
      <w:i/>
      <w:iCs/>
      <w:color w:val="595959"/>
    </w:rPr>
  </w:style>
  <w:style w:type="character" w:customStyle="1" w:styleId="Titre7Car">
    <w:name w:val="Titre 7 Car"/>
    <w:basedOn w:val="DefaultParagraphFont"/>
    <w:rPr>
      <w:rFonts w:eastAsia="Times New Roman" w:cs="Times New Roman"/>
      <w:color w:val="595959"/>
    </w:rPr>
  </w:style>
  <w:style w:type="character" w:customStyle="1" w:styleId="Titre8Car">
    <w:name w:val="Titre 8 Car"/>
    <w:basedOn w:val="DefaultParagraphFont"/>
    <w:rPr>
      <w:rFonts w:eastAsia="Times New Roman" w:cs="Times New Roman"/>
      <w:i/>
      <w:iCs/>
      <w:color w:val="272727"/>
    </w:rPr>
  </w:style>
  <w:style w:type="character" w:customStyle="1" w:styleId="Titre9Car">
    <w:name w:val="Titre 9 Car"/>
    <w:basedOn w:val="DefaultParagraphFont"/>
    <w:rPr>
      <w:rFonts w:eastAsia="Times New Roman" w:cs="Times New Roman"/>
      <w:color w:val="272727"/>
    </w:rPr>
  </w:style>
  <w:style w:type="paragraph" w:styleId="Title">
    <w:name w:val="Title"/>
    <w:basedOn w:val="Normal"/>
    <w:next w:val="Normal"/>
    <w:pPr>
      <w:spacing w:after="80" w:line="240" w:lineRule="auto"/>
    </w:pPr>
    <w:rPr>
      <w:rFonts w:ascii="Aptos Display" w:eastAsia="Times New Roman" w:hAnsi="Aptos Display" w:cs="Times New Roman"/>
      <w:spacing w:val="-10"/>
      <w:sz w:val="56"/>
      <w:szCs w:val="56"/>
    </w:rPr>
  </w:style>
  <w:style w:type="character" w:customStyle="1" w:styleId="TitreCar">
    <w:name w:val="Titre C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rPr>
      <w:rFonts w:eastAsia="Times New Roman" w:cs="Times New Roman"/>
      <w:color w:val="595959"/>
      <w:spacing w:val="15"/>
      <w:sz w:val="28"/>
      <w:szCs w:val="28"/>
    </w:rPr>
  </w:style>
  <w:style w:type="character" w:customStyle="1" w:styleId="Sous-titreCar">
    <w:name w:val="Sous-titre C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ionCar">
    <w:name w:val="Citation Car"/>
    <w:basedOn w:val="DefaultParagraphFont"/>
    <w:rPr>
      <w:i/>
      <w:iCs/>
      <w:color w:val="404040"/>
    </w:rPr>
  </w:style>
  <w:style w:type="paragraph" w:styleId="ListParagraph">
    <w:name w:val="List Paragraph"/>
    <w:basedOn w:val="Normal"/>
    <w:pPr>
      <w:ind w:left="720"/>
    </w:pPr>
  </w:style>
  <w:style w:type="character" w:customStyle="1" w:styleId="Accentuationintense1">
    <w:name w:val="Accentuation intense1"/>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007585">
      <w:bodyDiv w:val="1"/>
      <w:marLeft w:val="0"/>
      <w:marRight w:val="0"/>
      <w:marTop w:val="0"/>
      <w:marBottom w:val="0"/>
      <w:divBdr>
        <w:top w:val="none" w:sz="0" w:space="0" w:color="auto"/>
        <w:left w:val="none" w:sz="0" w:space="0" w:color="auto"/>
        <w:bottom w:val="none" w:sz="0" w:space="0" w:color="auto"/>
        <w:right w:val="none" w:sz="0" w:space="0" w:color="auto"/>
      </w:divBdr>
    </w:div>
    <w:div w:id="158479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1058</Words>
  <Characters>6035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Hajar Tchich</dc:creator>
  <dc:description/>
  <cp:lastModifiedBy>SDI 1084</cp:lastModifiedBy>
  <cp:revision>5</cp:revision>
  <dcterms:created xsi:type="dcterms:W3CDTF">2025-05-13T15:21:00Z</dcterms:created>
  <dcterms:modified xsi:type="dcterms:W3CDTF">2025-05-14T13:47:00Z</dcterms:modified>
</cp:coreProperties>
</file>