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DD4A" w14:textId="77777777" w:rsidR="00C74960" w:rsidRPr="007E4816" w:rsidRDefault="00C74960" w:rsidP="00C74960">
      <w:pPr>
        <w:jc w:val="center"/>
        <w:rPr>
          <w:rFonts w:ascii="Times New Roman" w:hAnsi="Times New Roman" w:cs="Times New Roman"/>
          <w:b/>
          <w:bCs/>
          <w:iCs/>
        </w:rPr>
      </w:pPr>
      <w:r w:rsidRPr="007E4816">
        <w:rPr>
          <w:rFonts w:ascii="Times New Roman" w:hAnsi="Times New Roman" w:cs="Times New Roman"/>
          <w:b/>
          <w:bCs/>
        </w:rPr>
        <w:t xml:space="preserve">Effects of Heavy Metals on Anatomical Features of </w:t>
      </w:r>
      <w:r w:rsidRPr="007E4816">
        <w:rPr>
          <w:rFonts w:ascii="Times New Roman" w:hAnsi="Times New Roman" w:cs="Times New Roman"/>
          <w:b/>
          <w:bCs/>
          <w:iCs/>
        </w:rPr>
        <w:t>Water Lotus</w:t>
      </w:r>
      <w:r w:rsidRPr="007E4816">
        <w:rPr>
          <w:rFonts w:ascii="Times New Roman" w:hAnsi="Times New Roman" w:cs="Times New Roman"/>
          <w:b/>
          <w:bCs/>
          <w:i/>
        </w:rPr>
        <w:t xml:space="preserve"> (Nelumbo Nucifera) </w:t>
      </w:r>
      <w:r w:rsidRPr="007E4816">
        <w:rPr>
          <w:rFonts w:ascii="Times New Roman" w:hAnsi="Times New Roman" w:cs="Times New Roman"/>
          <w:b/>
          <w:bCs/>
          <w:iCs/>
        </w:rPr>
        <w:t xml:space="preserve">From Selected Locations Within </w:t>
      </w:r>
      <w:proofErr w:type="spellStart"/>
      <w:r w:rsidRPr="007E4816">
        <w:rPr>
          <w:rFonts w:ascii="Times New Roman" w:hAnsi="Times New Roman" w:cs="Times New Roman"/>
          <w:b/>
          <w:bCs/>
          <w:iCs/>
        </w:rPr>
        <w:t>Alvan</w:t>
      </w:r>
      <w:proofErr w:type="spellEnd"/>
      <w:r w:rsidRPr="007E4816">
        <w:rPr>
          <w:rFonts w:ascii="Times New Roman" w:hAnsi="Times New Roman" w:cs="Times New Roman"/>
          <w:b/>
          <w:bCs/>
          <w:iCs/>
        </w:rPr>
        <w:t xml:space="preserve"> </w:t>
      </w:r>
      <w:proofErr w:type="spellStart"/>
      <w:r w:rsidRPr="007E4816">
        <w:rPr>
          <w:rFonts w:ascii="Times New Roman" w:hAnsi="Times New Roman" w:cs="Times New Roman"/>
          <w:b/>
          <w:bCs/>
          <w:iCs/>
        </w:rPr>
        <w:t>Ikoku</w:t>
      </w:r>
      <w:proofErr w:type="spellEnd"/>
      <w:r w:rsidRPr="007E4816">
        <w:rPr>
          <w:rFonts w:ascii="Times New Roman" w:hAnsi="Times New Roman" w:cs="Times New Roman"/>
          <w:b/>
          <w:bCs/>
          <w:iCs/>
        </w:rPr>
        <w:t xml:space="preserve"> Federal University of Education Owerri, Imo State Nigeria</w:t>
      </w:r>
    </w:p>
    <w:p w14:paraId="7E9A50C3" w14:textId="77777777" w:rsidR="00930BF2" w:rsidRDefault="00930BF2" w:rsidP="00C74960">
      <w:pPr>
        <w:spacing w:after="0"/>
        <w:rPr>
          <w:rFonts w:ascii="Times New Roman" w:hAnsi="Times New Roman" w:cs="Times New Roman"/>
          <w:b/>
          <w:bCs/>
          <w:iCs/>
        </w:rPr>
      </w:pPr>
    </w:p>
    <w:p w14:paraId="697C4B85" w14:textId="2047D3F0" w:rsidR="00C74960" w:rsidRPr="007E4816" w:rsidRDefault="00C74960" w:rsidP="00C74960">
      <w:pPr>
        <w:spacing w:after="0"/>
        <w:rPr>
          <w:iCs/>
        </w:rPr>
      </w:pPr>
      <w:r w:rsidRPr="007E4816">
        <w:rPr>
          <w:rFonts w:ascii="Times New Roman" w:hAnsi="Times New Roman" w:cs="Times New Roman"/>
          <w:b/>
          <w:bCs/>
          <w:iCs/>
        </w:rPr>
        <w:t xml:space="preserve">Abstract </w:t>
      </w:r>
    </w:p>
    <w:p w14:paraId="606A2174" w14:textId="77777777" w:rsidR="00C74960" w:rsidRPr="007E4816" w:rsidRDefault="00C74960" w:rsidP="00C74960">
      <w:pPr>
        <w:jc w:val="both"/>
        <w:rPr>
          <w:rFonts w:ascii="Times New Roman" w:hAnsi="Times New Roman" w:cs="Times New Roman"/>
          <w:b/>
          <w:bCs/>
          <w:iCs/>
        </w:rPr>
      </w:pPr>
      <w:r w:rsidRPr="00217643">
        <w:rPr>
          <w:rFonts w:ascii="Times New Roman" w:hAnsi="Times New Roman" w:cs="Times New Roman"/>
        </w:rPr>
        <w:t xml:space="preserve">The present study investigated the uptake and </w:t>
      </w:r>
      <w:r>
        <w:rPr>
          <w:rFonts w:ascii="Times New Roman" w:hAnsi="Times New Roman" w:cs="Times New Roman"/>
        </w:rPr>
        <w:t xml:space="preserve">anatomical effects of </w:t>
      </w:r>
      <w:r w:rsidRPr="00217643">
        <w:rPr>
          <w:rFonts w:ascii="Times New Roman" w:hAnsi="Times New Roman" w:cs="Times New Roman"/>
        </w:rPr>
        <w:t>potentially toxic elements (PTEs) by lotus (</w:t>
      </w:r>
      <w:r w:rsidRPr="00217643">
        <w:rPr>
          <w:rFonts w:ascii="Times New Roman" w:hAnsi="Times New Roman" w:cs="Times New Roman"/>
          <w:i/>
          <w:iCs/>
        </w:rPr>
        <w:t>Nelumbo nucifera</w:t>
      </w:r>
      <w:r w:rsidRPr="00217643">
        <w:rPr>
          <w:rFonts w:ascii="Times New Roman" w:hAnsi="Times New Roman" w:cs="Times New Roman"/>
        </w:rPr>
        <w:t xml:space="preserve">) cultivated in floating </w:t>
      </w:r>
      <w:r>
        <w:rPr>
          <w:rFonts w:ascii="Times New Roman" w:hAnsi="Times New Roman" w:cs="Times New Roman"/>
        </w:rPr>
        <w:t xml:space="preserve">streams </w:t>
      </w:r>
      <w:r>
        <w:rPr>
          <w:rFonts w:ascii="Times New Roman" w:hAnsi="Times New Roman" w:cs="Times New Roman"/>
          <w:iCs/>
        </w:rPr>
        <w:t>w</w:t>
      </w:r>
      <w:r w:rsidRPr="007E4816">
        <w:rPr>
          <w:rFonts w:ascii="Times New Roman" w:hAnsi="Times New Roman" w:cs="Times New Roman"/>
          <w:iCs/>
        </w:rPr>
        <w:t xml:space="preserve">ithin </w:t>
      </w:r>
      <w:proofErr w:type="spellStart"/>
      <w:r w:rsidRPr="007E4816">
        <w:rPr>
          <w:rFonts w:ascii="Times New Roman" w:hAnsi="Times New Roman" w:cs="Times New Roman"/>
          <w:iCs/>
        </w:rPr>
        <w:t>Alvan</w:t>
      </w:r>
      <w:proofErr w:type="spellEnd"/>
      <w:r w:rsidRPr="007E4816">
        <w:rPr>
          <w:rFonts w:ascii="Times New Roman" w:hAnsi="Times New Roman" w:cs="Times New Roman"/>
          <w:iCs/>
        </w:rPr>
        <w:t xml:space="preserve"> </w:t>
      </w:r>
      <w:proofErr w:type="spellStart"/>
      <w:r w:rsidRPr="007E4816">
        <w:rPr>
          <w:rFonts w:ascii="Times New Roman" w:hAnsi="Times New Roman" w:cs="Times New Roman"/>
          <w:iCs/>
        </w:rPr>
        <w:t>Ikoku</w:t>
      </w:r>
      <w:proofErr w:type="spellEnd"/>
      <w:r w:rsidRPr="007E4816">
        <w:rPr>
          <w:rFonts w:ascii="Times New Roman" w:hAnsi="Times New Roman" w:cs="Times New Roman"/>
          <w:iCs/>
        </w:rPr>
        <w:t xml:space="preserve"> Federal University of Education Owerri, Imo State Nigeria</w:t>
      </w:r>
      <w:r>
        <w:rPr>
          <w:rFonts w:ascii="Times New Roman" w:hAnsi="Times New Roman" w:cs="Times New Roman"/>
          <w:b/>
          <w:bCs/>
          <w:iCs/>
        </w:rPr>
        <w:t xml:space="preserve">. </w:t>
      </w:r>
      <w:r w:rsidRPr="007E4816">
        <w:rPr>
          <w:rFonts w:ascii="Times New Roman" w:hAnsi="Times New Roman" w:cs="Times New Roman"/>
        </w:rPr>
        <w:t xml:space="preserve">Samples of </w:t>
      </w:r>
      <w:r w:rsidRPr="007E4816">
        <w:rPr>
          <w:rFonts w:ascii="Times New Roman" w:hAnsi="Times New Roman" w:cs="Times New Roman"/>
          <w:iCs/>
        </w:rPr>
        <w:t>Water lotus</w:t>
      </w:r>
      <w:r w:rsidRPr="007E4816">
        <w:rPr>
          <w:rFonts w:ascii="Times New Roman" w:hAnsi="Times New Roman" w:cs="Times New Roman"/>
          <w:i/>
        </w:rPr>
        <w:t xml:space="preserve"> (Nelumbo nucifera)</w:t>
      </w:r>
      <w:r w:rsidRPr="007E4816">
        <w:rPr>
          <w:rFonts w:ascii="Times New Roman" w:hAnsi="Times New Roman" w:cs="Times New Roman"/>
        </w:rPr>
        <w:t xml:space="preserve"> </w:t>
      </w:r>
      <w:r>
        <w:rPr>
          <w:rFonts w:ascii="Times New Roman" w:hAnsi="Times New Roman" w:cs="Times New Roman"/>
        </w:rPr>
        <w:t xml:space="preserve">were </w:t>
      </w:r>
      <w:r w:rsidRPr="007E4816">
        <w:rPr>
          <w:rFonts w:ascii="Times New Roman" w:hAnsi="Times New Roman" w:cs="Times New Roman"/>
        </w:rPr>
        <w:t xml:space="preserve">collected from three different locations within </w:t>
      </w:r>
      <w:proofErr w:type="spellStart"/>
      <w:r w:rsidRPr="007E4816">
        <w:rPr>
          <w:rFonts w:ascii="Times New Roman" w:hAnsi="Times New Roman" w:cs="Times New Roman"/>
        </w:rPr>
        <w:t>Alvan</w:t>
      </w:r>
      <w:proofErr w:type="spellEnd"/>
      <w:r w:rsidRPr="007E4816">
        <w:rPr>
          <w:rFonts w:ascii="Times New Roman" w:hAnsi="Times New Roman" w:cs="Times New Roman"/>
        </w:rPr>
        <w:t xml:space="preserve"> </w:t>
      </w:r>
      <w:proofErr w:type="spellStart"/>
      <w:r w:rsidRPr="007E4816">
        <w:rPr>
          <w:rFonts w:ascii="Times New Roman" w:hAnsi="Times New Roman" w:cs="Times New Roman"/>
        </w:rPr>
        <w:t>Ikoku</w:t>
      </w:r>
      <w:proofErr w:type="spellEnd"/>
      <w:r w:rsidRPr="007E4816">
        <w:rPr>
          <w:rFonts w:ascii="Times New Roman" w:hAnsi="Times New Roman" w:cs="Times New Roman"/>
        </w:rPr>
        <w:t xml:space="preserve"> Federal University of Education Owerri and labelled midstream, upstream and downstream respectively</w:t>
      </w:r>
      <w:r>
        <w:rPr>
          <w:rFonts w:ascii="Times New Roman" w:hAnsi="Times New Roman" w:cs="Times New Roman"/>
        </w:rPr>
        <w:t xml:space="preserve"> and analyzed using standard analytical protocols</w:t>
      </w:r>
      <w:r w:rsidRPr="007E4816">
        <w:rPr>
          <w:rFonts w:ascii="Times New Roman" w:hAnsi="Times New Roman" w:cs="Times New Roman"/>
        </w:rPr>
        <w:t xml:space="preserve">. The data generated was subjected to analysis of variance using SPSS software (version 22.0) comparison among mean values was calculated using Least Significant Difference (LSD). </w:t>
      </w:r>
      <w:r>
        <w:rPr>
          <w:rFonts w:ascii="Times New Roman" w:hAnsi="Times New Roman" w:cs="Times New Roman"/>
        </w:rPr>
        <w:t xml:space="preserve">Results obtained showed </w:t>
      </w:r>
      <w:r w:rsidRPr="007E4816">
        <w:rPr>
          <w:rFonts w:ascii="Times New Roman" w:hAnsi="Times New Roman" w:cs="Times New Roman"/>
        </w:rPr>
        <w:t xml:space="preserve">Statistically significant </w:t>
      </w:r>
      <w:r>
        <w:rPr>
          <w:rFonts w:ascii="Times New Roman" w:hAnsi="Times New Roman" w:cs="Times New Roman"/>
        </w:rPr>
        <w:t xml:space="preserve">(P&lt;0.05) </w:t>
      </w:r>
      <w:r w:rsidRPr="007E4816">
        <w:rPr>
          <w:rFonts w:ascii="Times New Roman" w:hAnsi="Times New Roman" w:cs="Times New Roman"/>
        </w:rPr>
        <w:t>differences were observed in root diameter. The plants of downstream (846 µm) and upstream (746 µm) sites showed higher root diameter as compared to midstream site (557 µm). The higher values of epidermal thickness and cell area were noted in roots collected from upstream area (34.51 µm &amp; 371.5 µm) and midstream (25.61 µm &amp; 150 µm) respectively, while the least epidermal thickness was gotten from downstream (18.00 µm). No significant differences were observed in the thickness of leaf epidermis but the samples of midstream site displayed higher leaf epidermal area (12293) as compared to downstream (11262) and upstream (8790 µm</w:t>
      </w:r>
      <w:r w:rsidRPr="007E4816">
        <w:rPr>
          <w:rFonts w:ascii="Times New Roman" w:hAnsi="Times New Roman" w:cs="Times New Roman"/>
          <w:vertAlign w:val="superscript"/>
        </w:rPr>
        <w:t>2</w:t>
      </w:r>
      <w:r w:rsidRPr="007E4816">
        <w:rPr>
          <w:rFonts w:ascii="Times New Roman" w:hAnsi="Times New Roman" w:cs="Times New Roman"/>
        </w:rPr>
        <w:t>) sites. Plant samples from downstream site also displayed higher phloem area (325 µm</w:t>
      </w:r>
      <w:r w:rsidRPr="007E4816">
        <w:rPr>
          <w:rFonts w:ascii="Times New Roman" w:hAnsi="Times New Roman" w:cs="Times New Roman"/>
          <w:vertAlign w:val="superscript"/>
        </w:rPr>
        <w:t>2</w:t>
      </w:r>
      <w:r w:rsidRPr="007E4816">
        <w:rPr>
          <w:rFonts w:ascii="Times New Roman" w:hAnsi="Times New Roman" w:cs="Times New Roman"/>
        </w:rPr>
        <w:t xml:space="preserve">) as compared to upstream </w:t>
      </w:r>
      <w:bookmarkStart w:id="0" w:name="_GoBack"/>
      <w:bookmarkEnd w:id="0"/>
      <w:r w:rsidRPr="007E4816">
        <w:rPr>
          <w:rFonts w:ascii="Times New Roman" w:hAnsi="Times New Roman" w:cs="Times New Roman"/>
        </w:rPr>
        <w:t>(329 µm</w:t>
      </w:r>
      <w:r w:rsidRPr="007E4816">
        <w:rPr>
          <w:rFonts w:ascii="Times New Roman" w:hAnsi="Times New Roman" w:cs="Times New Roman"/>
          <w:vertAlign w:val="superscript"/>
        </w:rPr>
        <w:t>2)</w:t>
      </w:r>
      <w:r w:rsidRPr="007E4816">
        <w:rPr>
          <w:rFonts w:ascii="Times New Roman" w:hAnsi="Times New Roman" w:cs="Times New Roman"/>
        </w:rPr>
        <w:t xml:space="preserve"> and midstream site (141 µm</w:t>
      </w:r>
      <w:r w:rsidRPr="007E4816">
        <w:rPr>
          <w:rFonts w:ascii="Times New Roman" w:hAnsi="Times New Roman" w:cs="Times New Roman"/>
          <w:vertAlign w:val="superscript"/>
        </w:rPr>
        <w:t>2</w:t>
      </w:r>
      <w:r w:rsidRPr="007E4816">
        <w:rPr>
          <w:rFonts w:ascii="Times New Roman" w:hAnsi="Times New Roman" w:cs="Times New Roman"/>
        </w:rPr>
        <w:t xml:space="preserve">). </w:t>
      </w:r>
      <w:r w:rsidRPr="007E4816">
        <w:rPr>
          <w:rFonts w:ascii="Times New Roman" w:hAnsi="Times New Roman" w:cs="Times New Roman"/>
          <w:lang w:val="en-GB"/>
        </w:rPr>
        <w:t xml:space="preserve">The highest concentration of Cadmium was obtained from Agric Department with a mean value of </w:t>
      </w:r>
      <w:r w:rsidRPr="007E4816">
        <w:rPr>
          <w:rFonts w:ascii="Times New Roman" w:hAnsi="Times New Roman" w:cs="Times New Roman"/>
        </w:rPr>
        <w:t>0.370±0.08 mg/L followed by samples gotten from Water lotus downstream (0.215±0.09 mg/L) while the least Cadmium concentration in the study locations was obtained from Nworie midstream with a mean value of 0.078±0.01 mg/L.</w:t>
      </w:r>
      <w:r w:rsidRPr="007E4816">
        <w:rPr>
          <w:rFonts w:ascii="Times New Roman" w:hAnsi="Times New Roman" w:cs="Times New Roman"/>
          <w:lang w:val="en-GB"/>
        </w:rPr>
        <w:t xml:space="preserve"> </w:t>
      </w:r>
      <w:r>
        <w:rPr>
          <w:rFonts w:ascii="Times New Roman" w:hAnsi="Times New Roman" w:cs="Times New Roman"/>
          <w:lang w:val="en-GB"/>
        </w:rPr>
        <w:t xml:space="preserve">values obtained for heavy metals were below WHO benchmark. </w:t>
      </w:r>
      <w:r w:rsidRPr="00217643">
        <w:rPr>
          <w:rFonts w:ascii="Times New Roman" w:hAnsi="Times New Roman" w:cs="Times New Roman"/>
        </w:rPr>
        <w:t xml:space="preserve">The study provided valuable information on the necessity of continuous monitoring and pollution mitigation strategies to ensure the safety of floating </w:t>
      </w:r>
      <w:r>
        <w:rPr>
          <w:rFonts w:ascii="Times New Roman" w:hAnsi="Times New Roman" w:cs="Times New Roman"/>
        </w:rPr>
        <w:t>stream</w:t>
      </w:r>
      <w:r w:rsidRPr="00217643">
        <w:rPr>
          <w:rFonts w:ascii="Times New Roman" w:hAnsi="Times New Roman" w:cs="Times New Roman"/>
        </w:rPr>
        <w:t xml:space="preserve"> garden-derived crops.</w:t>
      </w:r>
      <w:r w:rsidRPr="007E4816">
        <w:rPr>
          <w:rFonts w:ascii="Times New Roman" w:hAnsi="Times New Roman" w:cs="Times New Roman"/>
          <w:lang w:val="en-GB"/>
        </w:rPr>
        <w:t xml:space="preserve"> These results demonstrate marginal contamination of water, with heavy metals, leading to water lotus ability to bio-concentrate and bioaccumulate, all of which are risk factors for aquatic macrophytes and for human health. This could be attributed to the dumping site by most of the inhabitants and discharge of industrial pollutants into the study areas.</w:t>
      </w:r>
    </w:p>
    <w:p w14:paraId="6C3079CC" w14:textId="1F88558A" w:rsidR="00C74960" w:rsidRDefault="00C74960" w:rsidP="00C74960">
      <w:pPr>
        <w:jc w:val="both"/>
        <w:rPr>
          <w:rFonts w:ascii="Times New Roman" w:hAnsi="Times New Roman" w:cs="Times New Roman"/>
          <w:iCs/>
        </w:rPr>
      </w:pPr>
      <w:r w:rsidRPr="007E4816">
        <w:rPr>
          <w:rFonts w:ascii="Times New Roman" w:hAnsi="Times New Roman" w:cs="Times New Roman"/>
          <w:b/>
          <w:bCs/>
          <w:lang w:val="en-GB"/>
        </w:rPr>
        <w:t>Keywords</w:t>
      </w:r>
      <w:r>
        <w:rPr>
          <w:rFonts w:ascii="Times New Roman" w:hAnsi="Times New Roman" w:cs="Times New Roman"/>
          <w:lang w:val="en-GB"/>
        </w:rPr>
        <w:t xml:space="preserve">: </w:t>
      </w:r>
      <w:r w:rsidRPr="007E4816">
        <w:rPr>
          <w:rFonts w:ascii="Times New Roman" w:hAnsi="Times New Roman" w:cs="Times New Roman"/>
        </w:rPr>
        <w:t xml:space="preserve">Heavy Metals, Anatomy, </w:t>
      </w:r>
      <w:r w:rsidRPr="007E4816">
        <w:rPr>
          <w:rFonts w:ascii="Times New Roman" w:hAnsi="Times New Roman" w:cs="Times New Roman"/>
          <w:iCs/>
        </w:rPr>
        <w:t>Water Lotus</w:t>
      </w:r>
      <w:r w:rsidRPr="007E4816">
        <w:rPr>
          <w:rFonts w:ascii="Times New Roman" w:hAnsi="Times New Roman" w:cs="Times New Roman"/>
          <w:i/>
        </w:rPr>
        <w:t xml:space="preserve">, </w:t>
      </w:r>
      <w:proofErr w:type="spellStart"/>
      <w:r w:rsidRPr="007E4816">
        <w:rPr>
          <w:rFonts w:ascii="Times New Roman" w:hAnsi="Times New Roman" w:cs="Times New Roman"/>
          <w:iCs/>
        </w:rPr>
        <w:t>Alvan</w:t>
      </w:r>
      <w:proofErr w:type="spellEnd"/>
      <w:r w:rsidRPr="007E4816">
        <w:rPr>
          <w:rFonts w:ascii="Times New Roman" w:hAnsi="Times New Roman" w:cs="Times New Roman"/>
          <w:iCs/>
        </w:rPr>
        <w:t xml:space="preserve"> </w:t>
      </w:r>
      <w:proofErr w:type="spellStart"/>
      <w:r w:rsidRPr="007E4816">
        <w:rPr>
          <w:rFonts w:ascii="Times New Roman" w:hAnsi="Times New Roman" w:cs="Times New Roman"/>
          <w:iCs/>
        </w:rPr>
        <w:t>Ikoku</w:t>
      </w:r>
      <w:proofErr w:type="spellEnd"/>
      <w:r w:rsidRPr="007E4816">
        <w:rPr>
          <w:rFonts w:ascii="Times New Roman" w:hAnsi="Times New Roman" w:cs="Times New Roman"/>
          <w:iCs/>
        </w:rPr>
        <w:t>, Owerri</w:t>
      </w:r>
      <w:r>
        <w:rPr>
          <w:rFonts w:ascii="Times New Roman" w:hAnsi="Times New Roman" w:cs="Times New Roman"/>
          <w:iCs/>
        </w:rPr>
        <w:t>.</w:t>
      </w:r>
    </w:p>
    <w:p w14:paraId="43167710" w14:textId="77777777" w:rsidR="00C74960" w:rsidRPr="00C74960" w:rsidRDefault="00C74960" w:rsidP="00F91AA9">
      <w:pPr>
        <w:spacing w:line="360" w:lineRule="auto"/>
        <w:jc w:val="both"/>
        <w:rPr>
          <w:rFonts w:ascii="Times New Roman" w:hAnsi="Times New Roman" w:cs="Times New Roman"/>
          <w:b/>
          <w:bCs/>
          <w:iCs/>
        </w:rPr>
      </w:pPr>
      <w:r w:rsidRPr="00C74960">
        <w:rPr>
          <w:rFonts w:ascii="Times New Roman" w:hAnsi="Times New Roman" w:cs="Times New Roman"/>
          <w:b/>
          <w:bCs/>
          <w:iCs/>
        </w:rPr>
        <w:t xml:space="preserve">Introduction </w:t>
      </w:r>
    </w:p>
    <w:p w14:paraId="127A9F31" w14:textId="77777777" w:rsidR="00F91AA9" w:rsidRDefault="00F91AA9" w:rsidP="00F91AA9">
      <w:pPr>
        <w:spacing w:line="360" w:lineRule="auto"/>
        <w:jc w:val="both"/>
        <w:rPr>
          <w:rFonts w:ascii="Times New Roman" w:hAnsi="Times New Roman" w:cs="Times New Roman"/>
          <w:iCs/>
          <w:lang w:val="en-GB"/>
        </w:rPr>
      </w:pPr>
      <w:r w:rsidRPr="00F91AA9">
        <w:rPr>
          <w:rFonts w:ascii="Times New Roman" w:hAnsi="Times New Roman" w:cs="Times New Roman"/>
          <w:iCs/>
          <w:lang w:val="en-GB"/>
        </w:rPr>
        <w:t>Aquatic ecosystems across the globe are increasingly vulnerable to contamination from anthropogenic activities, particularly those associated with industrialization, oil exploration, agricultural and urban runoff. The increasing contamination of aquatic ecosystems by these anthropogenic activities poses a significant threat to biodiversity and human health</w:t>
      </w:r>
      <w:r>
        <w:rPr>
          <w:rFonts w:ascii="Times New Roman" w:hAnsi="Times New Roman" w:cs="Times New Roman"/>
          <w:iCs/>
          <w:lang w:val="en-GB"/>
        </w:rPr>
        <w:t>.</w:t>
      </w:r>
    </w:p>
    <w:p w14:paraId="7F6CC8D4" w14:textId="29F30FD1" w:rsidR="00C74960" w:rsidRDefault="00607A6B" w:rsidP="00F91AA9">
      <w:pPr>
        <w:spacing w:line="360" w:lineRule="auto"/>
        <w:jc w:val="both"/>
        <w:rPr>
          <w:rFonts w:ascii="Times New Roman" w:hAnsi="Times New Roman" w:cs="Times New Roman"/>
          <w:iCs/>
        </w:rPr>
      </w:pPr>
      <w:r>
        <w:rPr>
          <w:rFonts w:ascii="Times New Roman" w:hAnsi="Times New Roman" w:cs="Times New Roman"/>
          <w:iCs/>
        </w:rPr>
        <w:t>Studies have shown that a</w:t>
      </w:r>
      <w:r w:rsidR="00C74960" w:rsidRPr="00C74960">
        <w:rPr>
          <w:rFonts w:ascii="Times New Roman" w:hAnsi="Times New Roman" w:cs="Times New Roman"/>
          <w:iCs/>
        </w:rPr>
        <w:t>quatic ecosystems</w:t>
      </w:r>
      <w:r>
        <w:rPr>
          <w:rFonts w:ascii="Times New Roman" w:hAnsi="Times New Roman" w:cs="Times New Roman"/>
          <w:iCs/>
        </w:rPr>
        <w:t xml:space="preserve"> </w:t>
      </w:r>
      <w:proofErr w:type="gramStart"/>
      <w:r>
        <w:rPr>
          <w:rFonts w:ascii="Times New Roman" w:hAnsi="Times New Roman" w:cs="Times New Roman"/>
          <w:iCs/>
        </w:rPr>
        <w:t>is</w:t>
      </w:r>
      <w:proofErr w:type="gramEnd"/>
      <w:r>
        <w:rPr>
          <w:rFonts w:ascii="Times New Roman" w:hAnsi="Times New Roman" w:cs="Times New Roman"/>
          <w:iCs/>
        </w:rPr>
        <w:t xml:space="preserve"> </w:t>
      </w:r>
      <w:r w:rsidR="00C74960" w:rsidRPr="00C74960">
        <w:rPr>
          <w:rFonts w:ascii="Times New Roman" w:hAnsi="Times New Roman" w:cs="Times New Roman"/>
          <w:iCs/>
        </w:rPr>
        <w:t>crucial for sustaining biodiversity, have positioned the lotus (</w:t>
      </w:r>
      <w:r w:rsidR="00C74960" w:rsidRPr="00C74960">
        <w:rPr>
          <w:rFonts w:ascii="Times New Roman" w:hAnsi="Times New Roman" w:cs="Times New Roman"/>
          <w:i/>
          <w:iCs/>
        </w:rPr>
        <w:t>Nelumbo nucifera</w:t>
      </w:r>
      <w:r w:rsidR="00C74960" w:rsidRPr="00C74960">
        <w:rPr>
          <w:rFonts w:ascii="Times New Roman" w:hAnsi="Times New Roman" w:cs="Times New Roman"/>
          <w:iCs/>
        </w:rPr>
        <w:t xml:space="preserve">) at the forefront of cultural and scientific realms </w:t>
      </w:r>
      <w:r w:rsidR="00F91AA9">
        <w:rPr>
          <w:rFonts w:ascii="Times New Roman" w:hAnsi="Times New Roman" w:cs="Times New Roman"/>
          <w:iCs/>
        </w:rPr>
        <w:t>[1]</w:t>
      </w:r>
      <w:r w:rsidR="00C74960" w:rsidRPr="00C74960">
        <w:rPr>
          <w:rFonts w:ascii="Times New Roman" w:hAnsi="Times New Roman" w:cs="Times New Roman"/>
          <w:iCs/>
        </w:rPr>
        <w:t>. </w:t>
      </w:r>
      <w:r w:rsidR="00C74960" w:rsidRPr="00C74960">
        <w:rPr>
          <w:rFonts w:ascii="Times New Roman" w:hAnsi="Times New Roman" w:cs="Times New Roman"/>
          <w:i/>
          <w:iCs/>
        </w:rPr>
        <w:t>Nelumbo nucifera</w:t>
      </w:r>
      <w:r w:rsidR="00C74960" w:rsidRPr="00C74960">
        <w:rPr>
          <w:rFonts w:ascii="Times New Roman" w:hAnsi="Times New Roman" w:cs="Times New Roman"/>
          <w:iCs/>
        </w:rPr>
        <w:t xml:space="preserve"> stands out not solely for its historical and aesthetic significance but also for the breadth of research elucidating its complex nature </w:t>
      </w:r>
      <w:r w:rsidR="00F91AA9">
        <w:rPr>
          <w:rFonts w:ascii="Times New Roman" w:hAnsi="Times New Roman" w:cs="Times New Roman"/>
          <w:iCs/>
        </w:rPr>
        <w:t>[2]</w:t>
      </w:r>
      <w:r w:rsidR="00C74960" w:rsidRPr="00C74960">
        <w:rPr>
          <w:rFonts w:ascii="Times New Roman" w:hAnsi="Times New Roman" w:cs="Times New Roman"/>
          <w:iCs/>
        </w:rPr>
        <w:t xml:space="preserve">. Historically, the lotus has been a prominent feature in ancient civilizations, with its seed pod depicted in Egyptian iconography and Vedic texts, highlighting its ceremonial and utilitarian roles </w:t>
      </w:r>
      <w:r w:rsidR="00F91AA9">
        <w:rPr>
          <w:rFonts w:ascii="Times New Roman" w:hAnsi="Times New Roman" w:cs="Times New Roman"/>
          <w:iCs/>
        </w:rPr>
        <w:t>[3].</w:t>
      </w:r>
      <w:r w:rsidR="00C74960" w:rsidRPr="00C74960">
        <w:rPr>
          <w:rFonts w:ascii="Times New Roman" w:hAnsi="Times New Roman" w:cs="Times New Roman"/>
          <w:iCs/>
        </w:rPr>
        <w:t xml:space="preserve"> Beyond its ornamental value, </w:t>
      </w:r>
      <w:r w:rsidR="00C74960" w:rsidRPr="00C74960">
        <w:rPr>
          <w:rFonts w:ascii="Times New Roman" w:hAnsi="Times New Roman" w:cs="Times New Roman"/>
          <w:i/>
          <w:iCs/>
        </w:rPr>
        <w:t>Nelumbo nucifera</w:t>
      </w:r>
      <w:r w:rsidR="00C74960" w:rsidRPr="00C74960">
        <w:rPr>
          <w:rFonts w:ascii="Times New Roman" w:hAnsi="Times New Roman" w:cs="Times New Roman"/>
          <w:iCs/>
        </w:rPr>
        <w:t xml:space="preserve"> plays a critical ecological role, contributing significantly to the health of aquatic habitats </w:t>
      </w:r>
      <w:r w:rsidR="00F91AA9">
        <w:rPr>
          <w:rFonts w:ascii="Times New Roman" w:hAnsi="Times New Roman" w:cs="Times New Roman"/>
          <w:iCs/>
        </w:rPr>
        <w:t>[4].</w:t>
      </w:r>
      <w:r w:rsidR="00C74960" w:rsidRPr="00C74960">
        <w:rPr>
          <w:rFonts w:ascii="Times New Roman" w:hAnsi="Times New Roman" w:cs="Times New Roman"/>
          <w:iCs/>
        </w:rPr>
        <w:t xml:space="preserve"> The plant has become a focal point in aquatic flora studies, showcasing the broad ecological advantages of comprehensive research </w:t>
      </w:r>
      <w:r w:rsidR="00F91AA9">
        <w:rPr>
          <w:rFonts w:ascii="Times New Roman" w:hAnsi="Times New Roman" w:cs="Times New Roman"/>
          <w:iCs/>
        </w:rPr>
        <w:t>[5].</w:t>
      </w:r>
    </w:p>
    <w:p w14:paraId="0F8B5969" w14:textId="77777777" w:rsidR="00C74960" w:rsidRDefault="00C74960" w:rsidP="00F91AA9">
      <w:pPr>
        <w:spacing w:line="360" w:lineRule="auto"/>
        <w:jc w:val="both"/>
        <w:rPr>
          <w:rFonts w:ascii="Times New Roman" w:hAnsi="Times New Roman" w:cs="Times New Roman"/>
          <w:iCs/>
        </w:rPr>
      </w:pPr>
      <w:r w:rsidRPr="00C74960">
        <w:rPr>
          <w:rFonts w:ascii="Times New Roman" w:hAnsi="Times New Roman" w:cs="Times New Roman"/>
          <w:iCs/>
        </w:rPr>
        <w:t xml:space="preserve">Rapid </w:t>
      </w:r>
      <w:proofErr w:type="spellStart"/>
      <w:r w:rsidRPr="00C74960">
        <w:rPr>
          <w:rFonts w:ascii="Times New Roman" w:hAnsi="Times New Roman" w:cs="Times New Roman"/>
          <w:iCs/>
        </w:rPr>
        <w:t>urbanisation</w:t>
      </w:r>
      <w:proofErr w:type="spellEnd"/>
      <w:r w:rsidRPr="00C74960">
        <w:rPr>
          <w:rFonts w:ascii="Times New Roman" w:hAnsi="Times New Roman" w:cs="Times New Roman"/>
          <w:iCs/>
        </w:rPr>
        <w:t xml:space="preserve"> has raised a new challenge in managing water as the expansion of industrial activities and increasing population stepped up the demand for more fresh water resources for survival. Furthermore, the rapid </w:t>
      </w:r>
      <w:r w:rsidRPr="00C74960">
        <w:rPr>
          <w:rFonts w:ascii="Times New Roman" w:hAnsi="Times New Roman" w:cs="Times New Roman"/>
          <w:iCs/>
        </w:rPr>
        <w:lastRenderedPageBreak/>
        <w:t xml:space="preserve">strike of industry, human population, and irrigated agricultural practice has simultaneously led to the increasing of the wastewater discharge, i.e., the run-off </w:t>
      </w:r>
      <w:proofErr w:type="spellStart"/>
      <w:r w:rsidRPr="00C74960">
        <w:rPr>
          <w:rFonts w:ascii="Times New Roman" w:hAnsi="Times New Roman" w:cs="Times New Roman"/>
          <w:iCs/>
        </w:rPr>
        <w:t>fertiliser</w:t>
      </w:r>
      <w:proofErr w:type="spellEnd"/>
      <w:r w:rsidRPr="00C74960">
        <w:rPr>
          <w:rFonts w:ascii="Times New Roman" w:hAnsi="Times New Roman" w:cs="Times New Roman"/>
          <w:iCs/>
        </w:rPr>
        <w:t xml:space="preserve"> into the surface water without appropriate treatment. Some of the water is flowing across the surface of the ground and some is already in the network of streams. The rivers are then conveying the water to the oceans or to closed inland seas.</w:t>
      </w:r>
    </w:p>
    <w:p w14:paraId="62924DCF" w14:textId="4510D2F2" w:rsidR="00C74960" w:rsidRPr="00D84F30" w:rsidRDefault="00F91AA9" w:rsidP="00F91AA9">
      <w:pPr>
        <w:spacing w:line="360" w:lineRule="auto"/>
        <w:jc w:val="both"/>
        <w:rPr>
          <w:rFonts w:ascii="Times New Roman" w:hAnsi="Times New Roman" w:cs="Times New Roman"/>
          <w:iCs/>
        </w:rPr>
        <w:sectPr w:rsidR="00C74960" w:rsidRPr="00D84F30" w:rsidSect="00C74960">
          <w:headerReference w:type="even" r:id="rId7"/>
          <w:headerReference w:type="default" r:id="rId8"/>
          <w:footerReference w:type="even" r:id="rId9"/>
          <w:footerReference w:type="default" r:id="rId10"/>
          <w:headerReference w:type="first" r:id="rId11"/>
          <w:footerReference w:type="first" r:id="rId12"/>
          <w:pgSz w:w="11900" w:h="16850"/>
          <w:pgMar w:top="1340" w:right="1220" w:bottom="960" w:left="880" w:header="718" w:footer="772" w:gutter="0"/>
          <w:cols w:space="720"/>
        </w:sectPr>
      </w:pPr>
      <w:r w:rsidRPr="00F91AA9">
        <w:rPr>
          <w:rFonts w:ascii="Times New Roman" w:hAnsi="Times New Roman" w:cs="Times New Roman"/>
          <w:i/>
          <w:iCs/>
        </w:rPr>
        <w:t>N. nucifera</w:t>
      </w:r>
      <w:r w:rsidRPr="00F91AA9">
        <w:rPr>
          <w:rFonts w:ascii="Times New Roman" w:hAnsi="Times New Roman" w:cs="Times New Roman"/>
          <w:iCs/>
        </w:rPr>
        <w:t xml:space="preserve"> has a good characteristic in phytoremediation system due to the plant anatomy of leaves, stem, and rhizomes that provide a good habitat for bacteria to attach and grow whereby these factors contribute to 79% removal of BOD in Thailand’s domestic wastewater </w:t>
      </w:r>
      <w:r>
        <w:rPr>
          <w:rFonts w:ascii="Times New Roman" w:hAnsi="Times New Roman" w:cs="Times New Roman"/>
          <w:iCs/>
        </w:rPr>
        <w:t>[6</w:t>
      </w:r>
      <w:r w:rsidRPr="00F91AA9">
        <w:rPr>
          <w:rFonts w:ascii="Times New Roman" w:hAnsi="Times New Roman" w:cs="Times New Roman"/>
          <w:iCs/>
        </w:rPr>
        <w:t xml:space="preserve">]. However, none study has been conducted on using the plant to treat fresh contaminated surface water that causes by the run-off fertilizer of an agriculture </w:t>
      </w:r>
      <w:proofErr w:type="spellStart"/>
      <w:r w:rsidRPr="00F91AA9">
        <w:rPr>
          <w:rFonts w:ascii="Times New Roman" w:hAnsi="Times New Roman" w:cs="Times New Roman"/>
          <w:iCs/>
        </w:rPr>
        <w:t>sectors</w:t>
      </w:r>
      <w:r w:rsidR="00C74960" w:rsidRPr="00C74960">
        <w:rPr>
          <w:rFonts w:ascii="Times New Roman" w:hAnsi="Times New Roman" w:cs="Times New Roman"/>
          <w:iCs/>
        </w:rPr>
        <w:t>Despite</w:t>
      </w:r>
      <w:proofErr w:type="spellEnd"/>
      <w:r w:rsidR="00C74960" w:rsidRPr="00C74960">
        <w:rPr>
          <w:rFonts w:ascii="Times New Roman" w:hAnsi="Times New Roman" w:cs="Times New Roman"/>
          <w:iCs/>
        </w:rPr>
        <w:t xml:space="preserve"> the extensive research on </w:t>
      </w:r>
      <w:r w:rsidR="00C74960" w:rsidRPr="00C74960">
        <w:rPr>
          <w:rFonts w:ascii="Times New Roman" w:hAnsi="Times New Roman" w:cs="Times New Roman"/>
          <w:i/>
          <w:iCs/>
        </w:rPr>
        <w:t>Nelumbo nucifera</w:t>
      </w:r>
      <w:r w:rsidR="00C74960" w:rsidRPr="00C74960">
        <w:rPr>
          <w:rFonts w:ascii="Times New Roman" w:hAnsi="Times New Roman" w:cs="Times New Roman"/>
          <w:iCs/>
        </w:rPr>
        <w:t>, a noticeable gap persists in the integration of findings across diverse scientific disciplines</w:t>
      </w:r>
      <w:r>
        <w:rPr>
          <w:rFonts w:ascii="Times New Roman" w:hAnsi="Times New Roman" w:cs="Times New Roman"/>
          <w:iCs/>
        </w:rPr>
        <w:t>.</w:t>
      </w:r>
    </w:p>
    <w:p w14:paraId="337B3008" w14:textId="09E43209" w:rsidR="00D02AEF" w:rsidRPr="00C74960" w:rsidRDefault="00C74960" w:rsidP="00D02AEF">
      <w:pPr>
        <w:rPr>
          <w:rFonts w:ascii="Times New Roman" w:hAnsi="Times New Roman" w:cs="Times New Roman"/>
          <w:b/>
          <w:bCs/>
        </w:rPr>
      </w:pPr>
      <w:r w:rsidRPr="00C74960">
        <w:rPr>
          <w:rFonts w:ascii="Times New Roman" w:hAnsi="Times New Roman" w:cs="Times New Roman"/>
          <w:b/>
          <w:bCs/>
        </w:rPr>
        <w:lastRenderedPageBreak/>
        <w:t xml:space="preserve">Materials and methods </w:t>
      </w:r>
    </w:p>
    <w:p w14:paraId="1B4B6068" w14:textId="77777777" w:rsidR="00A07595" w:rsidRPr="00A07595" w:rsidRDefault="00A07595" w:rsidP="00C23702">
      <w:pPr>
        <w:spacing w:line="360" w:lineRule="auto"/>
        <w:jc w:val="both"/>
        <w:rPr>
          <w:rFonts w:ascii="Times New Roman" w:hAnsi="Times New Roman" w:cs="Times New Roman"/>
          <w:b/>
        </w:rPr>
      </w:pPr>
      <w:r w:rsidRPr="00A07595">
        <w:rPr>
          <w:rFonts w:ascii="Times New Roman" w:hAnsi="Times New Roman" w:cs="Times New Roman"/>
          <w:b/>
        </w:rPr>
        <w:t>Sample collection and preservation</w:t>
      </w:r>
    </w:p>
    <w:p w14:paraId="35BE419C" w14:textId="4096828C" w:rsidR="00A07595" w:rsidRDefault="00A07595" w:rsidP="00C23702">
      <w:pPr>
        <w:spacing w:line="360" w:lineRule="auto"/>
        <w:jc w:val="both"/>
        <w:rPr>
          <w:rFonts w:ascii="Times New Roman" w:hAnsi="Times New Roman" w:cs="Times New Roman"/>
        </w:rPr>
      </w:pPr>
      <w:bookmarkStart w:id="1" w:name="_Hlk204980157"/>
      <w:r w:rsidRPr="00A07595">
        <w:rPr>
          <w:rFonts w:ascii="Times New Roman" w:hAnsi="Times New Roman" w:cs="Times New Roman"/>
        </w:rPr>
        <w:t xml:space="preserve">Samples of </w:t>
      </w:r>
      <w:bookmarkStart w:id="2" w:name="_Hlk204980086"/>
      <w:r w:rsidR="00103B13" w:rsidRPr="00103B13">
        <w:rPr>
          <w:rFonts w:ascii="Times New Roman" w:hAnsi="Times New Roman" w:cs="Times New Roman"/>
          <w:iCs/>
        </w:rPr>
        <w:t>Water lotus</w:t>
      </w:r>
      <w:r w:rsidR="00103B13">
        <w:rPr>
          <w:rFonts w:ascii="Times New Roman" w:hAnsi="Times New Roman" w:cs="Times New Roman"/>
          <w:i/>
        </w:rPr>
        <w:t xml:space="preserve"> </w:t>
      </w:r>
      <w:r w:rsidR="00C82ED9">
        <w:rPr>
          <w:rFonts w:ascii="Times New Roman" w:hAnsi="Times New Roman" w:cs="Times New Roman"/>
          <w:i/>
        </w:rPr>
        <w:t>(</w:t>
      </w:r>
      <w:r w:rsidR="00C82ED9" w:rsidRPr="00C82ED9">
        <w:rPr>
          <w:rFonts w:ascii="Times New Roman" w:hAnsi="Times New Roman" w:cs="Times New Roman"/>
          <w:i/>
        </w:rPr>
        <w:t>Nelumbo nucifera</w:t>
      </w:r>
      <w:r w:rsidR="00C82ED9">
        <w:rPr>
          <w:rFonts w:ascii="Times New Roman" w:hAnsi="Times New Roman" w:cs="Times New Roman"/>
          <w:i/>
        </w:rPr>
        <w:t>)</w:t>
      </w:r>
      <w:r w:rsidRPr="00A07595">
        <w:rPr>
          <w:rFonts w:ascii="Times New Roman" w:hAnsi="Times New Roman" w:cs="Times New Roman"/>
        </w:rPr>
        <w:t xml:space="preserve"> </w:t>
      </w:r>
      <w:bookmarkEnd w:id="2"/>
      <w:r w:rsidRPr="00A07595">
        <w:rPr>
          <w:rFonts w:ascii="Times New Roman" w:hAnsi="Times New Roman" w:cs="Times New Roman"/>
        </w:rPr>
        <w:t xml:space="preserve">collected from three different </w:t>
      </w:r>
      <w:r w:rsidR="00103B13">
        <w:rPr>
          <w:rFonts w:ascii="Times New Roman" w:hAnsi="Times New Roman" w:cs="Times New Roman"/>
        </w:rPr>
        <w:t xml:space="preserve">locations within </w:t>
      </w:r>
      <w:proofErr w:type="spellStart"/>
      <w:r w:rsidR="00103B13">
        <w:rPr>
          <w:rFonts w:ascii="Times New Roman" w:hAnsi="Times New Roman" w:cs="Times New Roman"/>
        </w:rPr>
        <w:t>Alvan</w:t>
      </w:r>
      <w:proofErr w:type="spellEnd"/>
      <w:r w:rsidR="00103B13">
        <w:rPr>
          <w:rFonts w:ascii="Times New Roman" w:hAnsi="Times New Roman" w:cs="Times New Roman"/>
        </w:rPr>
        <w:t xml:space="preserve"> </w:t>
      </w:r>
      <w:proofErr w:type="spellStart"/>
      <w:r w:rsidR="00103B13">
        <w:rPr>
          <w:rFonts w:ascii="Times New Roman" w:hAnsi="Times New Roman" w:cs="Times New Roman"/>
        </w:rPr>
        <w:t>Ikoku</w:t>
      </w:r>
      <w:proofErr w:type="spellEnd"/>
      <w:r w:rsidR="00103B13">
        <w:rPr>
          <w:rFonts w:ascii="Times New Roman" w:hAnsi="Times New Roman" w:cs="Times New Roman"/>
        </w:rPr>
        <w:t xml:space="preserve"> Federal University of Education Owerri and labelled midstream, upstream and downstream respectively</w:t>
      </w:r>
      <w:bookmarkEnd w:id="1"/>
      <w:r w:rsidR="00103B13">
        <w:rPr>
          <w:rFonts w:ascii="Times New Roman" w:hAnsi="Times New Roman" w:cs="Times New Roman"/>
        </w:rPr>
        <w:t xml:space="preserve">. </w:t>
      </w:r>
      <w:r w:rsidRPr="00A07595">
        <w:rPr>
          <w:rFonts w:ascii="Times New Roman" w:hAnsi="Times New Roman" w:cs="Times New Roman"/>
        </w:rPr>
        <w:t xml:space="preserve"> </w:t>
      </w:r>
      <w:r w:rsidR="00103B13">
        <w:rPr>
          <w:rFonts w:ascii="Times New Roman" w:hAnsi="Times New Roman" w:cs="Times New Roman"/>
        </w:rPr>
        <w:t xml:space="preserve">The </w:t>
      </w:r>
      <w:r w:rsidR="00103B13" w:rsidRPr="00A07595">
        <w:rPr>
          <w:rFonts w:ascii="Times New Roman" w:hAnsi="Times New Roman" w:cs="Times New Roman"/>
        </w:rPr>
        <w:t>roots</w:t>
      </w:r>
      <w:r w:rsidRPr="00A07595">
        <w:rPr>
          <w:rFonts w:ascii="Times New Roman" w:hAnsi="Times New Roman" w:cs="Times New Roman"/>
        </w:rPr>
        <w:t xml:space="preserve"> and shoots were immediately separated and preserved in FAA (Formalin acetic acid) solution as described by Johansen. (1940). Afterwards, samples were shifted to acetic alcohol solution (one-part acetic acid mixed with three parts ethyl alcohol) for lo</w:t>
      </w:r>
      <w:r w:rsidR="00103B13">
        <w:rPr>
          <w:rFonts w:ascii="Times New Roman" w:hAnsi="Times New Roman" w:cs="Times New Roman"/>
        </w:rPr>
        <w:t>n</w:t>
      </w:r>
      <w:r w:rsidRPr="00A07595">
        <w:rPr>
          <w:rFonts w:ascii="Times New Roman" w:hAnsi="Times New Roman" w:cs="Times New Roman"/>
        </w:rPr>
        <w:t>g term preservation until analyses.</w:t>
      </w:r>
    </w:p>
    <w:p w14:paraId="374C0DC1" w14:textId="7688EA21" w:rsidR="00C82ED9" w:rsidRDefault="00C82ED9" w:rsidP="00C23702">
      <w:pPr>
        <w:spacing w:line="360" w:lineRule="auto"/>
        <w:jc w:val="both"/>
        <w:rPr>
          <w:rFonts w:ascii="Times New Roman" w:hAnsi="Times New Roman" w:cs="Times New Roman"/>
        </w:rPr>
      </w:pPr>
      <w:r w:rsidRPr="00C82ED9">
        <w:rPr>
          <w:rFonts w:ascii="Times New Roman" w:hAnsi="Times New Roman" w:cs="Times New Roman"/>
          <w:noProof/>
        </w:rPr>
        <w:drawing>
          <wp:inline distT="0" distB="0" distL="0" distR="0" wp14:anchorId="6476CF22" wp14:editId="12676B0A">
            <wp:extent cx="5429250" cy="2552700"/>
            <wp:effectExtent l="0" t="0" r="0" b="0"/>
            <wp:docPr id="2" name="Picture 2" descr="Plant Spotlight: Sacred Lotus - Brooklyn Botanic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 Spotlight: Sacred Lotus - Brooklyn Botanic Gard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2552700"/>
                    </a:xfrm>
                    <a:prstGeom prst="rect">
                      <a:avLst/>
                    </a:prstGeom>
                    <a:noFill/>
                    <a:ln>
                      <a:noFill/>
                    </a:ln>
                  </pic:spPr>
                </pic:pic>
              </a:graphicData>
            </a:graphic>
          </wp:inline>
        </w:drawing>
      </w:r>
    </w:p>
    <w:p w14:paraId="7D8ADF0F" w14:textId="7F1DC2FD" w:rsidR="00C82ED9" w:rsidRDefault="00C82ED9" w:rsidP="00C23702">
      <w:pPr>
        <w:spacing w:line="360" w:lineRule="auto"/>
        <w:jc w:val="both"/>
        <w:rPr>
          <w:rFonts w:ascii="Times New Roman" w:hAnsi="Times New Roman" w:cs="Times New Roman"/>
        </w:rPr>
      </w:pPr>
      <w:r>
        <w:rPr>
          <w:rFonts w:ascii="Times New Roman" w:hAnsi="Times New Roman" w:cs="Times New Roman"/>
        </w:rPr>
        <w:t>Plate 1: water lotus growing in its natural habitat</w:t>
      </w:r>
    </w:p>
    <w:p w14:paraId="5985BBF7" w14:textId="6DA73ADD" w:rsidR="00A07595" w:rsidRPr="00A07595" w:rsidRDefault="00A07595" w:rsidP="00C23702">
      <w:pPr>
        <w:spacing w:line="360" w:lineRule="auto"/>
        <w:jc w:val="both"/>
        <w:rPr>
          <w:rFonts w:ascii="Times New Roman" w:hAnsi="Times New Roman" w:cs="Times New Roman"/>
          <w:b/>
          <w:bCs/>
        </w:rPr>
      </w:pPr>
      <w:r w:rsidRPr="00A07595">
        <w:rPr>
          <w:rFonts w:ascii="Times New Roman" w:hAnsi="Times New Roman" w:cs="Times New Roman"/>
          <w:b/>
          <w:bCs/>
        </w:rPr>
        <w:t>Anatomical studies</w:t>
      </w:r>
    </w:p>
    <w:p w14:paraId="6CDAD54A" w14:textId="460AACA4" w:rsidR="00B62BE4" w:rsidRPr="00A07595" w:rsidRDefault="00A07595" w:rsidP="00C23702">
      <w:pPr>
        <w:spacing w:line="360" w:lineRule="auto"/>
        <w:jc w:val="both"/>
        <w:rPr>
          <w:rFonts w:ascii="Times New Roman" w:hAnsi="Times New Roman" w:cs="Times New Roman"/>
        </w:rPr>
      </w:pPr>
      <w:r w:rsidRPr="00A07595">
        <w:rPr>
          <w:rFonts w:ascii="Times New Roman" w:hAnsi="Times New Roman" w:cs="Times New Roman"/>
        </w:rPr>
        <w:t xml:space="preserve">The anatomical analysis was executed on fully developed leaves and roots. Permanent cross sections of leaves and roots were prepared. For that purpose, leaf sections were cut from abaxial side using steel blades and root sections from maturation zone, then washed with sodium hypochlorite (50%) and rinsed in sterile water two to three times. The samples were stained with 1% safranine solution and then mounted on slides by using 50% glycerol (Johansen, 1940). All of the section cuttings were performed using steel blades manually. Double mounting method was used to prepare permanent slides by using Canada </w:t>
      </w:r>
      <w:proofErr w:type="spellStart"/>
      <w:r w:rsidRPr="00A07595">
        <w:rPr>
          <w:rFonts w:ascii="Times New Roman" w:hAnsi="Times New Roman" w:cs="Times New Roman"/>
        </w:rPr>
        <w:t>balsum</w:t>
      </w:r>
      <w:proofErr w:type="spellEnd"/>
      <w:r w:rsidRPr="00A07595">
        <w:rPr>
          <w:rFonts w:ascii="Times New Roman" w:hAnsi="Times New Roman" w:cs="Times New Roman"/>
        </w:rPr>
        <w:t xml:space="preserve"> in double mounted process. Olympus microscope (Olympus, Tokyo, Japan) was used to observe</w:t>
      </w:r>
      <w:r w:rsidR="00B62BE4" w:rsidRPr="00B62BE4">
        <w:rPr>
          <w:rFonts w:ascii="Times New Roman" w:hAnsi="Times New Roman" w:cs="Times New Roman"/>
        </w:rPr>
        <w:t xml:space="preserve"> </w:t>
      </w:r>
      <w:r w:rsidR="00B62BE4" w:rsidRPr="00A07595">
        <w:rPr>
          <w:rFonts w:ascii="Times New Roman" w:hAnsi="Times New Roman" w:cs="Times New Roman"/>
        </w:rPr>
        <w:t>each slide at different powers objectives viz, X10, X40 and photographed with digital camera.</w:t>
      </w:r>
    </w:p>
    <w:p w14:paraId="2235697A" w14:textId="77777777" w:rsidR="00B62BE4" w:rsidRPr="00B62BE4" w:rsidRDefault="00B62BE4" w:rsidP="00C23702">
      <w:pPr>
        <w:spacing w:line="360" w:lineRule="auto"/>
        <w:jc w:val="both"/>
        <w:rPr>
          <w:rFonts w:ascii="Times New Roman" w:hAnsi="Times New Roman" w:cs="Times New Roman"/>
          <w:b/>
          <w:bCs/>
        </w:rPr>
      </w:pPr>
      <w:r w:rsidRPr="00B62BE4">
        <w:rPr>
          <w:rFonts w:ascii="Times New Roman" w:hAnsi="Times New Roman" w:cs="Times New Roman"/>
          <w:b/>
          <w:bCs/>
        </w:rPr>
        <w:t>Statistical analysis</w:t>
      </w:r>
    </w:p>
    <w:p w14:paraId="6F78738D" w14:textId="6EC64B42" w:rsidR="00A07595" w:rsidRPr="00A07595" w:rsidRDefault="00B62BE4" w:rsidP="00C23702">
      <w:pPr>
        <w:spacing w:line="360" w:lineRule="auto"/>
        <w:jc w:val="both"/>
        <w:rPr>
          <w:rFonts w:ascii="Times New Roman" w:hAnsi="Times New Roman" w:cs="Times New Roman"/>
        </w:rPr>
        <w:sectPr w:rsidR="00A07595" w:rsidRPr="00A07595">
          <w:pgSz w:w="11900" w:h="16850"/>
          <w:pgMar w:top="1340" w:right="1220" w:bottom="960" w:left="880" w:header="718" w:footer="772" w:gutter="0"/>
          <w:cols w:space="720"/>
        </w:sectPr>
      </w:pPr>
      <w:bookmarkStart w:id="3" w:name="_Hlk204980185"/>
      <w:r w:rsidRPr="00B62BE4">
        <w:rPr>
          <w:rFonts w:ascii="Times New Roman" w:hAnsi="Times New Roman" w:cs="Times New Roman"/>
        </w:rPr>
        <w:t xml:space="preserve">The data </w:t>
      </w:r>
      <w:r w:rsidR="00103B13">
        <w:rPr>
          <w:rFonts w:ascii="Times New Roman" w:hAnsi="Times New Roman" w:cs="Times New Roman"/>
        </w:rPr>
        <w:t>generated was</w:t>
      </w:r>
      <w:r w:rsidRPr="00B62BE4">
        <w:rPr>
          <w:rFonts w:ascii="Times New Roman" w:hAnsi="Times New Roman" w:cs="Times New Roman"/>
        </w:rPr>
        <w:t xml:space="preserve"> subjected to analysis of variance using </w:t>
      </w:r>
      <w:r w:rsidR="00103B13">
        <w:rPr>
          <w:rFonts w:ascii="Times New Roman" w:hAnsi="Times New Roman" w:cs="Times New Roman"/>
        </w:rPr>
        <w:t xml:space="preserve">SPSS </w:t>
      </w:r>
      <w:r w:rsidRPr="00B62BE4">
        <w:rPr>
          <w:rFonts w:ascii="Times New Roman" w:hAnsi="Times New Roman" w:cs="Times New Roman"/>
        </w:rPr>
        <w:t xml:space="preserve">software (version </w:t>
      </w:r>
      <w:r w:rsidR="00103B13">
        <w:rPr>
          <w:rFonts w:ascii="Times New Roman" w:hAnsi="Times New Roman" w:cs="Times New Roman"/>
        </w:rPr>
        <w:t>22</w:t>
      </w:r>
      <w:r w:rsidRPr="00B62BE4">
        <w:rPr>
          <w:rFonts w:ascii="Times New Roman" w:hAnsi="Times New Roman" w:cs="Times New Roman"/>
        </w:rPr>
        <w:t>.</w:t>
      </w:r>
      <w:r w:rsidR="00103B13">
        <w:rPr>
          <w:rFonts w:ascii="Times New Roman" w:hAnsi="Times New Roman" w:cs="Times New Roman"/>
        </w:rPr>
        <w:t>0</w:t>
      </w:r>
      <w:r w:rsidRPr="00B62BE4">
        <w:rPr>
          <w:rFonts w:ascii="Times New Roman" w:hAnsi="Times New Roman" w:cs="Times New Roman"/>
        </w:rPr>
        <w:t xml:space="preserve">) comparison among mean values was calculated using </w:t>
      </w:r>
      <w:r w:rsidR="00103B13" w:rsidRPr="00B62BE4">
        <w:rPr>
          <w:rFonts w:ascii="Times New Roman" w:hAnsi="Times New Roman" w:cs="Times New Roman"/>
        </w:rPr>
        <w:t xml:space="preserve">Least Significant Difference </w:t>
      </w:r>
      <w:r w:rsidRPr="00B62BE4">
        <w:rPr>
          <w:rFonts w:ascii="Times New Roman" w:hAnsi="Times New Roman" w:cs="Times New Roman"/>
        </w:rPr>
        <w:t>(LSD</w:t>
      </w:r>
    </w:p>
    <w:bookmarkEnd w:id="3"/>
    <w:p w14:paraId="794D351E" w14:textId="77777777" w:rsidR="00D02AEF" w:rsidRPr="00D02AEF" w:rsidRDefault="00D02AEF" w:rsidP="00D02AEF"/>
    <w:p w14:paraId="576A425B" w14:textId="2AB84864" w:rsidR="00A07595" w:rsidRDefault="00A07595" w:rsidP="00FD5EF5">
      <w:pPr>
        <w:spacing w:line="360" w:lineRule="auto"/>
        <w:jc w:val="center"/>
        <w:rPr>
          <w:rFonts w:ascii="Times New Roman" w:hAnsi="Times New Roman" w:cs="Times New Roman"/>
          <w:b/>
          <w:bCs/>
          <w:sz w:val="24"/>
          <w:szCs w:val="24"/>
        </w:rPr>
      </w:pPr>
      <w:r w:rsidRPr="00A07595">
        <w:rPr>
          <w:rFonts w:ascii="Times New Roman" w:hAnsi="Times New Roman" w:cs="Times New Roman"/>
          <w:b/>
          <w:bCs/>
          <w:sz w:val="24"/>
          <w:szCs w:val="24"/>
        </w:rPr>
        <w:t>Results</w:t>
      </w:r>
      <w:r w:rsidR="00103B13">
        <w:rPr>
          <w:rFonts w:ascii="Times New Roman" w:hAnsi="Times New Roman" w:cs="Times New Roman"/>
          <w:b/>
          <w:bCs/>
          <w:sz w:val="24"/>
          <w:szCs w:val="24"/>
        </w:rPr>
        <w:t xml:space="preserve"> and discussion</w:t>
      </w:r>
    </w:p>
    <w:p w14:paraId="2CC0ECE0" w14:textId="211BFFF6" w:rsidR="00103B13" w:rsidRPr="00A07595" w:rsidRDefault="00103B13" w:rsidP="00C2370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14:paraId="37553098" w14:textId="0AA616A6" w:rsidR="00A07595" w:rsidRPr="00A07595" w:rsidRDefault="00A07595" w:rsidP="00C23702">
      <w:pPr>
        <w:spacing w:line="360" w:lineRule="auto"/>
        <w:jc w:val="both"/>
        <w:rPr>
          <w:rFonts w:ascii="Times New Roman" w:hAnsi="Times New Roman" w:cs="Times New Roman"/>
          <w:b/>
          <w:sz w:val="24"/>
          <w:szCs w:val="24"/>
        </w:rPr>
      </w:pPr>
      <w:r w:rsidRPr="00A07595">
        <w:rPr>
          <w:rFonts w:ascii="Times New Roman" w:hAnsi="Times New Roman" w:cs="Times New Roman"/>
          <w:b/>
          <w:sz w:val="24"/>
          <w:szCs w:val="24"/>
        </w:rPr>
        <w:t xml:space="preserve">Root anatomy of </w:t>
      </w:r>
      <w:r w:rsidR="00103B13">
        <w:rPr>
          <w:rFonts w:ascii="Times New Roman" w:hAnsi="Times New Roman" w:cs="Times New Roman"/>
          <w:b/>
          <w:i/>
          <w:sz w:val="24"/>
          <w:szCs w:val="24"/>
        </w:rPr>
        <w:t>water lotus</w:t>
      </w:r>
      <w:r w:rsidRPr="00A07595">
        <w:rPr>
          <w:rFonts w:ascii="Times New Roman" w:hAnsi="Times New Roman" w:cs="Times New Roman"/>
          <w:b/>
          <w:i/>
          <w:sz w:val="24"/>
          <w:szCs w:val="24"/>
        </w:rPr>
        <w:t xml:space="preserve"> </w:t>
      </w:r>
      <w:r w:rsidR="00103B13">
        <w:rPr>
          <w:rFonts w:ascii="Times New Roman" w:hAnsi="Times New Roman" w:cs="Times New Roman"/>
          <w:b/>
          <w:sz w:val="24"/>
          <w:szCs w:val="24"/>
        </w:rPr>
        <w:t>collected from the study areas</w:t>
      </w:r>
    </w:p>
    <w:p w14:paraId="2DEE72F1" w14:textId="280A5FE9" w:rsidR="006E0A57" w:rsidRDefault="00A07595" w:rsidP="00C23702">
      <w:pPr>
        <w:spacing w:line="360" w:lineRule="auto"/>
        <w:jc w:val="both"/>
        <w:rPr>
          <w:rFonts w:ascii="Times New Roman" w:hAnsi="Times New Roman" w:cs="Times New Roman"/>
          <w:sz w:val="24"/>
          <w:szCs w:val="24"/>
        </w:rPr>
      </w:pPr>
      <w:r w:rsidRPr="00A07595">
        <w:rPr>
          <w:rFonts w:ascii="Times New Roman" w:hAnsi="Times New Roman" w:cs="Times New Roman"/>
          <w:sz w:val="24"/>
          <w:szCs w:val="24"/>
        </w:rPr>
        <w:t xml:space="preserve">The roots of water </w:t>
      </w:r>
      <w:r w:rsidR="00103B13">
        <w:rPr>
          <w:rFonts w:ascii="Times New Roman" w:hAnsi="Times New Roman" w:cs="Times New Roman"/>
          <w:sz w:val="24"/>
          <w:szCs w:val="24"/>
        </w:rPr>
        <w:t>lotus</w:t>
      </w:r>
      <w:r w:rsidRPr="00A07595">
        <w:rPr>
          <w:rFonts w:ascii="Times New Roman" w:hAnsi="Times New Roman" w:cs="Times New Roman"/>
          <w:sz w:val="24"/>
          <w:szCs w:val="24"/>
        </w:rPr>
        <w:t xml:space="preserve"> </w:t>
      </w:r>
      <w:r w:rsidR="00C82ED9">
        <w:rPr>
          <w:rFonts w:ascii="Times New Roman" w:hAnsi="Times New Roman" w:cs="Times New Roman"/>
          <w:sz w:val="24"/>
          <w:szCs w:val="24"/>
        </w:rPr>
        <w:t>(</w:t>
      </w:r>
      <w:r w:rsidR="00C82ED9" w:rsidRPr="00C82ED9">
        <w:rPr>
          <w:rFonts w:ascii="Times New Roman" w:hAnsi="Times New Roman" w:cs="Times New Roman"/>
          <w:i/>
          <w:iCs/>
          <w:sz w:val="24"/>
          <w:szCs w:val="24"/>
        </w:rPr>
        <w:t>Nelumbo nucifera</w:t>
      </w:r>
      <w:r w:rsidR="00C82ED9">
        <w:rPr>
          <w:rFonts w:ascii="Times New Roman" w:hAnsi="Times New Roman" w:cs="Times New Roman"/>
          <w:sz w:val="24"/>
          <w:szCs w:val="24"/>
        </w:rPr>
        <w:t xml:space="preserve">) </w:t>
      </w:r>
      <w:r w:rsidRPr="00A07595">
        <w:rPr>
          <w:rFonts w:ascii="Times New Roman" w:hAnsi="Times New Roman" w:cs="Times New Roman"/>
          <w:sz w:val="24"/>
          <w:szCs w:val="24"/>
        </w:rPr>
        <w:t>collected from differe</w:t>
      </w:r>
      <w:r w:rsidR="00103B13">
        <w:rPr>
          <w:rFonts w:ascii="Times New Roman" w:hAnsi="Times New Roman" w:cs="Times New Roman"/>
          <w:sz w:val="24"/>
          <w:szCs w:val="24"/>
        </w:rPr>
        <w:t>nt study locations revealed</w:t>
      </w:r>
      <w:r w:rsidR="006E0A57">
        <w:rPr>
          <w:rFonts w:ascii="Times New Roman" w:hAnsi="Times New Roman" w:cs="Times New Roman"/>
          <w:sz w:val="24"/>
          <w:szCs w:val="24"/>
        </w:rPr>
        <w:t xml:space="preserve"> </w:t>
      </w:r>
      <w:r w:rsidRPr="00A07595">
        <w:rPr>
          <w:rFonts w:ascii="Times New Roman" w:hAnsi="Times New Roman" w:cs="Times New Roman"/>
          <w:sz w:val="24"/>
          <w:szCs w:val="24"/>
        </w:rPr>
        <w:t xml:space="preserve">modified anatomical </w:t>
      </w:r>
      <w:r w:rsidR="006E0A57">
        <w:rPr>
          <w:rFonts w:ascii="Times New Roman" w:hAnsi="Times New Roman" w:cs="Times New Roman"/>
          <w:sz w:val="24"/>
          <w:szCs w:val="24"/>
        </w:rPr>
        <w:t>features</w:t>
      </w:r>
      <w:r w:rsidR="00103B13">
        <w:rPr>
          <w:rFonts w:ascii="Times New Roman" w:hAnsi="Times New Roman" w:cs="Times New Roman"/>
          <w:sz w:val="24"/>
          <w:szCs w:val="24"/>
        </w:rPr>
        <w:t xml:space="preserve"> as shown in </w:t>
      </w:r>
      <w:r w:rsidRPr="00A07595">
        <w:rPr>
          <w:rFonts w:ascii="Times New Roman" w:hAnsi="Times New Roman" w:cs="Times New Roman"/>
          <w:sz w:val="24"/>
          <w:szCs w:val="24"/>
        </w:rPr>
        <w:t xml:space="preserve">Figure 1. </w:t>
      </w:r>
      <w:bookmarkStart w:id="4" w:name="_Hlk204980211"/>
      <w:r w:rsidRPr="00A07595">
        <w:rPr>
          <w:rFonts w:ascii="Times New Roman" w:hAnsi="Times New Roman" w:cs="Times New Roman"/>
          <w:sz w:val="24"/>
          <w:szCs w:val="24"/>
        </w:rPr>
        <w:t xml:space="preserve">Statistically significant differences were </w:t>
      </w:r>
      <w:r w:rsidR="006E0A57">
        <w:rPr>
          <w:rFonts w:ascii="Times New Roman" w:hAnsi="Times New Roman" w:cs="Times New Roman"/>
          <w:sz w:val="24"/>
          <w:szCs w:val="24"/>
        </w:rPr>
        <w:t>observed</w:t>
      </w:r>
      <w:r w:rsidRPr="00A07595">
        <w:rPr>
          <w:rFonts w:ascii="Times New Roman" w:hAnsi="Times New Roman" w:cs="Times New Roman"/>
          <w:sz w:val="24"/>
          <w:szCs w:val="24"/>
        </w:rPr>
        <w:t xml:space="preserve"> in root diameter (Table 1). The plants of </w:t>
      </w:r>
      <w:r w:rsidR="006E0A57">
        <w:rPr>
          <w:rFonts w:ascii="Times New Roman" w:hAnsi="Times New Roman" w:cs="Times New Roman"/>
          <w:sz w:val="24"/>
          <w:szCs w:val="24"/>
        </w:rPr>
        <w:t xml:space="preserve">downstream </w:t>
      </w:r>
      <w:r w:rsidR="006E0A57" w:rsidRPr="00A07595">
        <w:rPr>
          <w:rFonts w:ascii="Times New Roman" w:hAnsi="Times New Roman" w:cs="Times New Roman"/>
          <w:sz w:val="24"/>
          <w:szCs w:val="24"/>
        </w:rPr>
        <w:t>(</w:t>
      </w:r>
      <w:r w:rsidR="006E0A57">
        <w:rPr>
          <w:rFonts w:ascii="Times New Roman" w:hAnsi="Times New Roman" w:cs="Times New Roman"/>
          <w:sz w:val="24"/>
          <w:szCs w:val="24"/>
        </w:rPr>
        <w:t>8</w:t>
      </w:r>
      <w:r w:rsidRPr="00A07595">
        <w:rPr>
          <w:rFonts w:ascii="Times New Roman" w:hAnsi="Times New Roman" w:cs="Times New Roman"/>
          <w:sz w:val="24"/>
          <w:szCs w:val="24"/>
        </w:rPr>
        <w:t>46</w:t>
      </w:r>
      <w:r w:rsidR="006E0A57">
        <w:rPr>
          <w:rFonts w:ascii="Times New Roman" w:hAnsi="Times New Roman" w:cs="Times New Roman"/>
          <w:sz w:val="24"/>
          <w:szCs w:val="24"/>
        </w:rPr>
        <w:t xml:space="preserve"> </w:t>
      </w:r>
      <w:r w:rsidRPr="00A07595">
        <w:rPr>
          <w:rFonts w:ascii="Times New Roman" w:hAnsi="Times New Roman" w:cs="Times New Roman"/>
          <w:sz w:val="24"/>
          <w:szCs w:val="24"/>
        </w:rPr>
        <w:t xml:space="preserve">µm) and </w:t>
      </w:r>
      <w:r w:rsidR="006E0A57">
        <w:rPr>
          <w:rFonts w:ascii="Times New Roman" w:hAnsi="Times New Roman" w:cs="Times New Roman"/>
          <w:sz w:val="24"/>
          <w:szCs w:val="24"/>
        </w:rPr>
        <w:t>upstream</w:t>
      </w:r>
      <w:r w:rsidRPr="00A07595">
        <w:rPr>
          <w:rFonts w:ascii="Times New Roman" w:hAnsi="Times New Roman" w:cs="Times New Roman"/>
          <w:sz w:val="24"/>
          <w:szCs w:val="24"/>
        </w:rPr>
        <w:t xml:space="preserve"> (</w:t>
      </w:r>
      <w:r w:rsidR="006E0A57">
        <w:rPr>
          <w:rFonts w:ascii="Times New Roman" w:hAnsi="Times New Roman" w:cs="Times New Roman"/>
          <w:sz w:val="24"/>
          <w:szCs w:val="24"/>
        </w:rPr>
        <w:t>7</w:t>
      </w:r>
      <w:r w:rsidRPr="00A07595">
        <w:rPr>
          <w:rFonts w:ascii="Times New Roman" w:hAnsi="Times New Roman" w:cs="Times New Roman"/>
          <w:sz w:val="24"/>
          <w:szCs w:val="24"/>
        </w:rPr>
        <w:t>46</w:t>
      </w:r>
      <w:r w:rsidR="006E0A57">
        <w:rPr>
          <w:rFonts w:ascii="Times New Roman" w:hAnsi="Times New Roman" w:cs="Times New Roman"/>
          <w:sz w:val="24"/>
          <w:szCs w:val="24"/>
        </w:rPr>
        <w:t xml:space="preserve"> </w:t>
      </w:r>
      <w:r w:rsidRPr="00A07595">
        <w:rPr>
          <w:rFonts w:ascii="Times New Roman" w:hAnsi="Times New Roman" w:cs="Times New Roman"/>
          <w:sz w:val="24"/>
          <w:szCs w:val="24"/>
        </w:rPr>
        <w:t xml:space="preserve">µm) sites showed higher root diameter as compared to </w:t>
      </w:r>
      <w:r w:rsidR="006E0A57">
        <w:rPr>
          <w:rFonts w:ascii="Times New Roman" w:hAnsi="Times New Roman" w:cs="Times New Roman"/>
          <w:sz w:val="24"/>
          <w:szCs w:val="24"/>
        </w:rPr>
        <w:t>midstream</w:t>
      </w:r>
      <w:r w:rsidRPr="00A07595">
        <w:rPr>
          <w:rFonts w:ascii="Times New Roman" w:hAnsi="Times New Roman" w:cs="Times New Roman"/>
          <w:sz w:val="24"/>
          <w:szCs w:val="24"/>
        </w:rPr>
        <w:t xml:space="preserve"> site (</w:t>
      </w:r>
      <w:r w:rsidR="006E0A57">
        <w:rPr>
          <w:rFonts w:ascii="Times New Roman" w:hAnsi="Times New Roman" w:cs="Times New Roman"/>
          <w:sz w:val="24"/>
          <w:szCs w:val="24"/>
        </w:rPr>
        <w:t>5</w:t>
      </w:r>
      <w:r w:rsidRPr="00A07595">
        <w:rPr>
          <w:rFonts w:ascii="Times New Roman" w:hAnsi="Times New Roman" w:cs="Times New Roman"/>
          <w:sz w:val="24"/>
          <w:szCs w:val="24"/>
        </w:rPr>
        <w:t>57</w:t>
      </w:r>
      <w:r w:rsidR="006E0A57">
        <w:rPr>
          <w:rFonts w:ascii="Times New Roman" w:hAnsi="Times New Roman" w:cs="Times New Roman"/>
          <w:sz w:val="24"/>
          <w:szCs w:val="24"/>
        </w:rPr>
        <w:t xml:space="preserve"> </w:t>
      </w:r>
      <w:r w:rsidRPr="00A07595">
        <w:rPr>
          <w:rFonts w:ascii="Times New Roman" w:hAnsi="Times New Roman" w:cs="Times New Roman"/>
          <w:sz w:val="24"/>
          <w:szCs w:val="24"/>
        </w:rPr>
        <w:t xml:space="preserve">µm). </w:t>
      </w:r>
    </w:p>
    <w:bookmarkEnd w:id="4"/>
    <w:p w14:paraId="77EFA0BE" w14:textId="7ABDDEFE" w:rsidR="00742186" w:rsidRDefault="00A07595" w:rsidP="00C23702">
      <w:pPr>
        <w:spacing w:line="360" w:lineRule="auto"/>
        <w:jc w:val="both"/>
        <w:rPr>
          <w:rFonts w:ascii="Times New Roman" w:hAnsi="Times New Roman" w:cs="Times New Roman"/>
          <w:sz w:val="24"/>
          <w:szCs w:val="24"/>
        </w:rPr>
      </w:pPr>
      <w:r w:rsidRPr="00A07595">
        <w:rPr>
          <w:rFonts w:ascii="Times New Roman" w:hAnsi="Times New Roman" w:cs="Times New Roman"/>
          <w:sz w:val="24"/>
          <w:szCs w:val="24"/>
        </w:rPr>
        <w:t xml:space="preserve">Similarly, different </w:t>
      </w:r>
      <w:r w:rsidR="006E0A57">
        <w:rPr>
          <w:rFonts w:ascii="Times New Roman" w:hAnsi="Times New Roman" w:cs="Times New Roman"/>
          <w:sz w:val="24"/>
          <w:szCs w:val="24"/>
        </w:rPr>
        <w:t>study sites</w:t>
      </w:r>
      <w:r w:rsidRPr="00A07595">
        <w:rPr>
          <w:rFonts w:ascii="Times New Roman" w:hAnsi="Times New Roman" w:cs="Times New Roman"/>
          <w:sz w:val="24"/>
          <w:szCs w:val="24"/>
        </w:rPr>
        <w:t xml:space="preserve"> influenced significantly on thickness and cell area of root epidermis (Fig</w:t>
      </w:r>
      <w:r w:rsidR="006E0A57">
        <w:rPr>
          <w:rFonts w:ascii="Times New Roman" w:hAnsi="Times New Roman" w:cs="Times New Roman"/>
          <w:sz w:val="24"/>
          <w:szCs w:val="24"/>
        </w:rPr>
        <w:t>.</w:t>
      </w:r>
      <w:r w:rsidRPr="00A07595">
        <w:rPr>
          <w:rFonts w:ascii="Times New Roman" w:hAnsi="Times New Roman" w:cs="Times New Roman"/>
          <w:sz w:val="24"/>
          <w:szCs w:val="24"/>
        </w:rPr>
        <w:t xml:space="preserve"> </w:t>
      </w:r>
      <w:r w:rsidR="006E0A57">
        <w:rPr>
          <w:rFonts w:ascii="Times New Roman" w:hAnsi="Times New Roman" w:cs="Times New Roman"/>
          <w:sz w:val="24"/>
          <w:szCs w:val="24"/>
        </w:rPr>
        <w:t>1</w:t>
      </w:r>
      <w:r w:rsidRPr="00A07595">
        <w:rPr>
          <w:rFonts w:ascii="Times New Roman" w:hAnsi="Times New Roman" w:cs="Times New Roman"/>
          <w:sz w:val="24"/>
          <w:szCs w:val="24"/>
        </w:rPr>
        <w:t>b</w:t>
      </w:r>
      <w:r w:rsidR="006E0A57">
        <w:rPr>
          <w:rFonts w:ascii="Times New Roman" w:hAnsi="Times New Roman" w:cs="Times New Roman"/>
          <w:sz w:val="24"/>
          <w:szCs w:val="24"/>
        </w:rPr>
        <w:t>,</w:t>
      </w:r>
      <w:r w:rsidR="00FD5EF5">
        <w:rPr>
          <w:rFonts w:ascii="Times New Roman" w:hAnsi="Times New Roman" w:cs="Times New Roman"/>
          <w:sz w:val="24"/>
          <w:szCs w:val="24"/>
        </w:rPr>
        <w:t xml:space="preserve"> </w:t>
      </w:r>
      <w:r w:rsidR="006E0A57">
        <w:rPr>
          <w:rFonts w:ascii="Times New Roman" w:hAnsi="Times New Roman" w:cs="Times New Roman"/>
          <w:sz w:val="24"/>
          <w:szCs w:val="24"/>
        </w:rPr>
        <w:t>c</w:t>
      </w:r>
      <w:r w:rsidRPr="00A07595">
        <w:rPr>
          <w:rFonts w:ascii="Times New Roman" w:hAnsi="Times New Roman" w:cs="Times New Roman"/>
          <w:sz w:val="24"/>
          <w:szCs w:val="24"/>
        </w:rPr>
        <w:t xml:space="preserve">). </w:t>
      </w:r>
      <w:bookmarkStart w:id="5" w:name="_Hlk204980231"/>
      <w:r w:rsidRPr="00A07595">
        <w:rPr>
          <w:rFonts w:ascii="Times New Roman" w:hAnsi="Times New Roman" w:cs="Times New Roman"/>
          <w:sz w:val="24"/>
          <w:szCs w:val="24"/>
        </w:rPr>
        <w:t xml:space="preserve">The higher values of epidermal thickness and cell area were noted in roots collected from </w:t>
      </w:r>
      <w:r w:rsidR="006E0A57" w:rsidRPr="006E0A57">
        <w:rPr>
          <w:rFonts w:ascii="Times New Roman" w:hAnsi="Times New Roman" w:cs="Times New Roman"/>
          <w:sz w:val="24"/>
          <w:szCs w:val="24"/>
        </w:rPr>
        <w:t>upstream</w:t>
      </w:r>
      <w:r w:rsidRPr="006E0A57">
        <w:rPr>
          <w:rFonts w:ascii="Times New Roman" w:hAnsi="Times New Roman" w:cs="Times New Roman"/>
          <w:sz w:val="24"/>
          <w:szCs w:val="24"/>
        </w:rPr>
        <w:t xml:space="preserve"> area (</w:t>
      </w:r>
      <w:r w:rsidR="006E0A57" w:rsidRPr="006E0A57">
        <w:rPr>
          <w:rFonts w:ascii="Times New Roman" w:hAnsi="Times New Roman" w:cs="Times New Roman"/>
          <w:sz w:val="24"/>
          <w:szCs w:val="24"/>
        </w:rPr>
        <w:t xml:space="preserve">34.51 </w:t>
      </w:r>
      <w:r w:rsidRPr="006E0A57">
        <w:rPr>
          <w:rFonts w:ascii="Times New Roman" w:hAnsi="Times New Roman" w:cs="Times New Roman"/>
          <w:sz w:val="24"/>
          <w:szCs w:val="24"/>
        </w:rPr>
        <w:t>µm</w:t>
      </w:r>
      <w:r w:rsidR="00742186">
        <w:rPr>
          <w:rFonts w:ascii="Times New Roman" w:hAnsi="Times New Roman" w:cs="Times New Roman"/>
          <w:sz w:val="24"/>
          <w:szCs w:val="24"/>
        </w:rPr>
        <w:t xml:space="preserve"> &amp; </w:t>
      </w:r>
      <w:r w:rsidR="00742186" w:rsidRPr="00742186">
        <w:rPr>
          <w:rFonts w:ascii="Times New Roman" w:hAnsi="Times New Roman" w:cs="Times New Roman"/>
          <w:sz w:val="24"/>
          <w:szCs w:val="24"/>
        </w:rPr>
        <w:t>371.5</w:t>
      </w:r>
      <w:r w:rsidR="00742186">
        <w:rPr>
          <w:rFonts w:ascii="Times New Roman" w:hAnsi="Times New Roman" w:cs="Times New Roman"/>
          <w:sz w:val="24"/>
          <w:szCs w:val="24"/>
        </w:rPr>
        <w:t xml:space="preserve"> </w:t>
      </w:r>
      <w:r w:rsidR="005F38E6" w:rsidRPr="00742186">
        <w:rPr>
          <w:rFonts w:ascii="Times New Roman" w:hAnsi="Times New Roman" w:cs="Times New Roman"/>
          <w:sz w:val="24"/>
          <w:szCs w:val="24"/>
        </w:rPr>
        <w:t>µm</w:t>
      </w:r>
      <w:r w:rsidR="005F38E6" w:rsidRPr="006E0A57">
        <w:rPr>
          <w:rFonts w:ascii="Times New Roman" w:hAnsi="Times New Roman" w:cs="Times New Roman"/>
          <w:sz w:val="24"/>
          <w:szCs w:val="24"/>
        </w:rPr>
        <w:t>)</w:t>
      </w:r>
      <w:r w:rsidR="005F38E6" w:rsidRPr="006E0A57">
        <w:rPr>
          <w:rFonts w:ascii="Times New Roman" w:hAnsi="Times New Roman" w:cs="Times New Roman"/>
          <w:spacing w:val="-2"/>
          <w:sz w:val="24"/>
          <w:szCs w:val="24"/>
        </w:rPr>
        <w:t xml:space="preserve"> and</w:t>
      </w:r>
      <w:r w:rsidR="006E0A57" w:rsidRPr="006E0A57">
        <w:rPr>
          <w:rFonts w:ascii="Times New Roman" w:hAnsi="Times New Roman" w:cs="Times New Roman"/>
          <w:spacing w:val="-2"/>
          <w:sz w:val="24"/>
          <w:szCs w:val="24"/>
        </w:rPr>
        <w:t xml:space="preserve"> midstream (</w:t>
      </w:r>
      <w:r w:rsidR="006E0A57" w:rsidRPr="006E0A57">
        <w:rPr>
          <w:rFonts w:ascii="Times New Roman" w:hAnsi="Times New Roman" w:cs="Times New Roman"/>
          <w:sz w:val="24"/>
          <w:szCs w:val="24"/>
        </w:rPr>
        <w:t>25.61 µm</w:t>
      </w:r>
      <w:r w:rsidR="00742186">
        <w:rPr>
          <w:rFonts w:ascii="Times New Roman" w:hAnsi="Times New Roman" w:cs="Times New Roman"/>
          <w:sz w:val="24"/>
          <w:szCs w:val="24"/>
        </w:rPr>
        <w:t xml:space="preserve"> &amp; </w:t>
      </w:r>
      <w:r w:rsidR="00742186" w:rsidRPr="00742186">
        <w:rPr>
          <w:rFonts w:ascii="Times New Roman" w:hAnsi="Times New Roman" w:cs="Times New Roman"/>
          <w:sz w:val="24"/>
          <w:szCs w:val="24"/>
        </w:rPr>
        <w:t xml:space="preserve">150 </w:t>
      </w:r>
      <w:r w:rsidR="00104D52" w:rsidRPr="00742186">
        <w:rPr>
          <w:rFonts w:ascii="Times New Roman" w:hAnsi="Times New Roman" w:cs="Times New Roman"/>
          <w:sz w:val="24"/>
          <w:szCs w:val="24"/>
        </w:rPr>
        <w:t>µm</w:t>
      </w:r>
      <w:r w:rsidR="00104D52" w:rsidRPr="006E0A57">
        <w:rPr>
          <w:rFonts w:ascii="Times New Roman" w:hAnsi="Times New Roman" w:cs="Times New Roman"/>
          <w:sz w:val="24"/>
          <w:szCs w:val="24"/>
        </w:rPr>
        <w:t>) respectively</w:t>
      </w:r>
      <w:r w:rsidRPr="006E0A57">
        <w:rPr>
          <w:rFonts w:ascii="Times New Roman" w:hAnsi="Times New Roman" w:cs="Times New Roman"/>
          <w:sz w:val="24"/>
          <w:szCs w:val="24"/>
        </w:rPr>
        <w:t xml:space="preserve">, </w:t>
      </w:r>
      <w:r w:rsidR="006E0A57">
        <w:rPr>
          <w:rFonts w:ascii="Times New Roman" w:hAnsi="Times New Roman" w:cs="Times New Roman"/>
          <w:sz w:val="24"/>
          <w:szCs w:val="24"/>
        </w:rPr>
        <w:t>while the least epidermal thickness was gotten from downstream (</w:t>
      </w:r>
      <w:r w:rsidR="006E0A57" w:rsidRPr="006E0A57">
        <w:rPr>
          <w:rFonts w:ascii="Times New Roman" w:hAnsi="Times New Roman" w:cs="Times New Roman"/>
          <w:sz w:val="24"/>
          <w:szCs w:val="24"/>
        </w:rPr>
        <w:t>18.0</w:t>
      </w:r>
      <w:r w:rsidR="006E0A57">
        <w:rPr>
          <w:rFonts w:ascii="Times New Roman" w:hAnsi="Times New Roman" w:cs="Times New Roman"/>
          <w:sz w:val="24"/>
          <w:szCs w:val="24"/>
        </w:rPr>
        <w:t xml:space="preserve">0 </w:t>
      </w:r>
      <w:r w:rsidR="006E0A57" w:rsidRPr="006E0A57">
        <w:rPr>
          <w:rFonts w:ascii="Times New Roman" w:hAnsi="Times New Roman" w:cs="Times New Roman"/>
          <w:sz w:val="24"/>
          <w:szCs w:val="24"/>
        </w:rPr>
        <w:t>µm</w:t>
      </w:r>
      <w:r w:rsidR="006E0A57">
        <w:rPr>
          <w:rFonts w:ascii="Times New Roman" w:hAnsi="Times New Roman" w:cs="Times New Roman"/>
          <w:sz w:val="24"/>
          <w:szCs w:val="24"/>
        </w:rPr>
        <w:t>)</w:t>
      </w:r>
      <w:r w:rsidRPr="006E0A57">
        <w:rPr>
          <w:rFonts w:ascii="Times New Roman" w:hAnsi="Times New Roman" w:cs="Times New Roman"/>
          <w:sz w:val="24"/>
          <w:szCs w:val="24"/>
        </w:rPr>
        <w:t>.</w:t>
      </w:r>
      <w:r w:rsidRPr="00A07595">
        <w:rPr>
          <w:rFonts w:ascii="Times New Roman" w:hAnsi="Times New Roman" w:cs="Times New Roman"/>
          <w:sz w:val="24"/>
          <w:szCs w:val="24"/>
        </w:rPr>
        <w:t xml:space="preserve"> </w:t>
      </w:r>
      <w:bookmarkEnd w:id="5"/>
      <w:r w:rsidRPr="00A07595">
        <w:rPr>
          <w:rFonts w:ascii="Times New Roman" w:hAnsi="Times New Roman" w:cs="Times New Roman"/>
          <w:sz w:val="24"/>
          <w:szCs w:val="24"/>
        </w:rPr>
        <w:t xml:space="preserve">Furthermore, thickness of parenchyma and its cell area was also measured and it showed significant differences among three collection sites. </w:t>
      </w:r>
      <w:bookmarkStart w:id="6" w:name="_Hlk204980255"/>
      <w:r w:rsidRPr="00A07595">
        <w:rPr>
          <w:rFonts w:ascii="Times New Roman" w:hAnsi="Times New Roman" w:cs="Times New Roman"/>
          <w:sz w:val="24"/>
          <w:szCs w:val="24"/>
        </w:rPr>
        <w:t xml:space="preserve">Parenchyma thickness was higher in plants of </w:t>
      </w:r>
      <w:r w:rsidR="00742186">
        <w:rPr>
          <w:rFonts w:ascii="Times New Roman" w:hAnsi="Times New Roman" w:cs="Times New Roman"/>
          <w:sz w:val="24"/>
          <w:szCs w:val="24"/>
        </w:rPr>
        <w:t>downstream</w:t>
      </w:r>
      <w:r w:rsidRPr="00A07595">
        <w:rPr>
          <w:rFonts w:ascii="Times New Roman" w:hAnsi="Times New Roman" w:cs="Times New Roman"/>
          <w:sz w:val="24"/>
          <w:szCs w:val="24"/>
        </w:rPr>
        <w:t xml:space="preserve"> site (</w:t>
      </w:r>
      <w:r w:rsidR="00742186" w:rsidRPr="00742186">
        <w:rPr>
          <w:rFonts w:ascii="Times New Roman" w:hAnsi="Times New Roman" w:cs="Times New Roman"/>
          <w:sz w:val="24"/>
          <w:szCs w:val="24"/>
        </w:rPr>
        <w:t>31.72</w:t>
      </w:r>
      <w:r w:rsidR="00742186">
        <w:rPr>
          <w:rFonts w:ascii="Times New Roman" w:hAnsi="Times New Roman" w:cs="Times New Roman"/>
          <w:sz w:val="24"/>
          <w:szCs w:val="24"/>
          <w:vertAlign w:val="superscript"/>
        </w:rPr>
        <w:t xml:space="preserve"> </w:t>
      </w:r>
      <w:r w:rsidRPr="00A07595">
        <w:rPr>
          <w:rFonts w:ascii="Times New Roman" w:hAnsi="Times New Roman" w:cs="Times New Roman"/>
          <w:sz w:val="24"/>
          <w:szCs w:val="24"/>
        </w:rPr>
        <w:t xml:space="preserve">µm) as compared to plants from other two sites. The parenchyma area was found higher in samples of </w:t>
      </w:r>
      <w:r w:rsidR="00742186">
        <w:rPr>
          <w:rFonts w:ascii="Times New Roman" w:hAnsi="Times New Roman" w:cs="Times New Roman"/>
          <w:sz w:val="24"/>
          <w:szCs w:val="24"/>
        </w:rPr>
        <w:t xml:space="preserve">downstream </w:t>
      </w:r>
      <w:r w:rsidR="00742186" w:rsidRPr="00A07595">
        <w:rPr>
          <w:rFonts w:ascii="Times New Roman" w:hAnsi="Times New Roman" w:cs="Times New Roman"/>
          <w:sz w:val="24"/>
          <w:szCs w:val="24"/>
        </w:rPr>
        <w:t>site</w:t>
      </w:r>
      <w:r w:rsidRPr="00A07595">
        <w:rPr>
          <w:rFonts w:ascii="Times New Roman" w:hAnsi="Times New Roman" w:cs="Times New Roman"/>
          <w:sz w:val="24"/>
          <w:szCs w:val="24"/>
        </w:rPr>
        <w:t xml:space="preserve"> (</w:t>
      </w:r>
      <w:r w:rsidR="00742186" w:rsidRPr="00742186">
        <w:rPr>
          <w:rFonts w:ascii="Times New Roman" w:hAnsi="Times New Roman" w:cs="Times New Roman"/>
          <w:sz w:val="24"/>
          <w:szCs w:val="24"/>
        </w:rPr>
        <w:t>113.5</w:t>
      </w:r>
      <w:r w:rsidR="00742186">
        <w:rPr>
          <w:rFonts w:ascii="Times New Roman" w:hAnsi="Times New Roman" w:cs="Times New Roman"/>
          <w:sz w:val="24"/>
          <w:szCs w:val="24"/>
        </w:rPr>
        <w:t xml:space="preserve"> </w:t>
      </w:r>
      <w:r w:rsidRPr="00A07595">
        <w:rPr>
          <w:rFonts w:ascii="Times New Roman" w:hAnsi="Times New Roman" w:cs="Times New Roman"/>
          <w:sz w:val="24"/>
          <w:szCs w:val="24"/>
        </w:rPr>
        <w:t>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 xml:space="preserve">) then </w:t>
      </w:r>
      <w:r w:rsidR="005F38E6">
        <w:rPr>
          <w:rFonts w:ascii="Times New Roman" w:hAnsi="Times New Roman" w:cs="Times New Roman"/>
          <w:sz w:val="24"/>
          <w:szCs w:val="24"/>
        </w:rPr>
        <w:t xml:space="preserve">upstream </w:t>
      </w:r>
      <w:r w:rsidR="005F38E6" w:rsidRPr="00A07595">
        <w:rPr>
          <w:rFonts w:ascii="Times New Roman" w:hAnsi="Times New Roman" w:cs="Times New Roman"/>
          <w:sz w:val="24"/>
          <w:szCs w:val="24"/>
        </w:rPr>
        <w:t>(</w:t>
      </w:r>
      <w:r w:rsidR="00742186" w:rsidRPr="00742186">
        <w:rPr>
          <w:rFonts w:ascii="Times New Roman" w:hAnsi="Times New Roman" w:cs="Times New Roman"/>
          <w:sz w:val="24"/>
          <w:szCs w:val="24"/>
        </w:rPr>
        <w:t>108.6</w:t>
      </w:r>
      <w:r w:rsidR="00742186">
        <w:rPr>
          <w:rFonts w:ascii="Times New Roman" w:hAnsi="Times New Roman" w:cs="Times New Roman"/>
          <w:sz w:val="24"/>
          <w:szCs w:val="24"/>
        </w:rPr>
        <w:t xml:space="preserve"> </w:t>
      </w:r>
      <w:r w:rsidRPr="00A07595">
        <w:rPr>
          <w:rFonts w:ascii="Times New Roman" w:hAnsi="Times New Roman" w:cs="Times New Roman"/>
          <w:sz w:val="24"/>
          <w:szCs w:val="24"/>
        </w:rPr>
        <w:t>µm</w:t>
      </w:r>
      <w:r w:rsidRPr="00A07595">
        <w:rPr>
          <w:rFonts w:ascii="Times New Roman" w:hAnsi="Times New Roman" w:cs="Times New Roman"/>
          <w:sz w:val="24"/>
          <w:szCs w:val="24"/>
          <w:vertAlign w:val="superscript"/>
        </w:rPr>
        <w:t>2)</w:t>
      </w:r>
      <w:r w:rsidR="00742186">
        <w:rPr>
          <w:rFonts w:ascii="Times New Roman" w:hAnsi="Times New Roman" w:cs="Times New Roman"/>
          <w:sz w:val="24"/>
          <w:szCs w:val="24"/>
        </w:rPr>
        <w:t xml:space="preserve"> </w:t>
      </w:r>
      <w:r w:rsidRPr="00A07595">
        <w:rPr>
          <w:rFonts w:ascii="Times New Roman" w:hAnsi="Times New Roman" w:cs="Times New Roman"/>
          <w:sz w:val="24"/>
          <w:szCs w:val="24"/>
        </w:rPr>
        <w:t xml:space="preserve">and </w:t>
      </w:r>
      <w:r w:rsidR="005F38E6">
        <w:rPr>
          <w:rFonts w:ascii="Times New Roman" w:hAnsi="Times New Roman" w:cs="Times New Roman"/>
          <w:sz w:val="24"/>
          <w:szCs w:val="24"/>
        </w:rPr>
        <w:t xml:space="preserve">midstream </w:t>
      </w:r>
      <w:r w:rsidR="005F38E6" w:rsidRPr="00A07595">
        <w:rPr>
          <w:rFonts w:ascii="Times New Roman" w:hAnsi="Times New Roman" w:cs="Times New Roman"/>
          <w:sz w:val="24"/>
          <w:szCs w:val="24"/>
        </w:rPr>
        <w:t>site</w:t>
      </w:r>
      <w:r w:rsidRPr="00A07595">
        <w:rPr>
          <w:rFonts w:ascii="Times New Roman" w:hAnsi="Times New Roman" w:cs="Times New Roman"/>
          <w:sz w:val="24"/>
          <w:szCs w:val="24"/>
        </w:rPr>
        <w:t xml:space="preserve"> (</w:t>
      </w:r>
      <w:r w:rsidR="00742186">
        <w:rPr>
          <w:rFonts w:ascii="Times New Roman" w:hAnsi="Times New Roman" w:cs="Times New Roman"/>
          <w:sz w:val="24"/>
          <w:szCs w:val="24"/>
        </w:rPr>
        <w:t>4</w:t>
      </w:r>
      <w:r w:rsidRPr="00A07595">
        <w:rPr>
          <w:rFonts w:ascii="Times New Roman" w:hAnsi="Times New Roman" w:cs="Times New Roman"/>
          <w:sz w:val="24"/>
          <w:szCs w:val="24"/>
        </w:rPr>
        <w:t>3</w:t>
      </w:r>
      <w:r w:rsidR="00742186">
        <w:rPr>
          <w:rFonts w:ascii="Times New Roman" w:hAnsi="Times New Roman" w:cs="Times New Roman"/>
          <w:sz w:val="24"/>
          <w:szCs w:val="24"/>
        </w:rPr>
        <w:t xml:space="preserve">.03 </w:t>
      </w:r>
      <w:r w:rsidRPr="00A07595">
        <w:rPr>
          <w:rFonts w:ascii="Times New Roman" w:hAnsi="Times New Roman" w:cs="Times New Roman"/>
          <w:sz w:val="24"/>
          <w:szCs w:val="24"/>
        </w:rPr>
        <w:t>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 xml:space="preserve">). </w:t>
      </w:r>
    </w:p>
    <w:bookmarkEnd w:id="6"/>
    <w:p w14:paraId="52AE2CE8" w14:textId="05E1A0B0" w:rsidR="00B62BE4" w:rsidRPr="00B62BE4" w:rsidRDefault="00A07595" w:rsidP="00C23702">
      <w:pPr>
        <w:spacing w:line="360" w:lineRule="auto"/>
        <w:jc w:val="both"/>
        <w:rPr>
          <w:rFonts w:ascii="Times New Roman" w:hAnsi="Times New Roman" w:cs="Times New Roman"/>
          <w:sz w:val="24"/>
          <w:szCs w:val="24"/>
        </w:rPr>
      </w:pPr>
      <w:r w:rsidRPr="0003237B">
        <w:rPr>
          <w:rFonts w:ascii="Times New Roman" w:hAnsi="Times New Roman" w:cs="Times New Roman"/>
          <w:sz w:val="24"/>
          <w:szCs w:val="24"/>
        </w:rPr>
        <w:t xml:space="preserve">Furthermore, significant differences were observed in thickness and cell area of metaxylem among three collection sites. Mainly, </w:t>
      </w:r>
      <w:r w:rsidR="005F38E6" w:rsidRPr="0003237B">
        <w:rPr>
          <w:rFonts w:ascii="Times New Roman" w:hAnsi="Times New Roman" w:cs="Times New Roman"/>
          <w:sz w:val="24"/>
          <w:szCs w:val="24"/>
        </w:rPr>
        <w:t>upstream site</w:t>
      </w:r>
      <w:r w:rsidRPr="0003237B">
        <w:rPr>
          <w:rFonts w:ascii="Times New Roman" w:hAnsi="Times New Roman" w:cs="Times New Roman"/>
          <w:sz w:val="24"/>
          <w:szCs w:val="24"/>
        </w:rPr>
        <w:t xml:space="preserve"> showed higher metaxylem thickness (</w:t>
      </w:r>
      <w:r w:rsidR="007C2481" w:rsidRPr="0003237B">
        <w:rPr>
          <w:rFonts w:ascii="Times New Roman" w:hAnsi="Times New Roman" w:cs="Times New Roman"/>
          <w:sz w:val="24"/>
          <w:szCs w:val="24"/>
        </w:rPr>
        <w:t>115.3</w:t>
      </w:r>
      <w:r w:rsidR="00742186" w:rsidRPr="0003237B">
        <w:rPr>
          <w:rFonts w:ascii="Times New Roman" w:hAnsi="Times New Roman" w:cs="Times New Roman"/>
          <w:sz w:val="24"/>
          <w:szCs w:val="24"/>
        </w:rPr>
        <w:t xml:space="preserve"> </w:t>
      </w:r>
      <w:r w:rsidRPr="0003237B">
        <w:rPr>
          <w:rFonts w:ascii="Times New Roman" w:hAnsi="Times New Roman" w:cs="Times New Roman"/>
          <w:sz w:val="24"/>
          <w:szCs w:val="24"/>
        </w:rPr>
        <w:t>µm) and cell area (</w:t>
      </w:r>
      <w:r w:rsidR="00104D52" w:rsidRPr="0003237B">
        <w:rPr>
          <w:rFonts w:ascii="Times New Roman" w:hAnsi="Times New Roman" w:cs="Times New Roman"/>
          <w:sz w:val="24"/>
          <w:szCs w:val="24"/>
        </w:rPr>
        <w:t>15589</w:t>
      </w:r>
      <w:r w:rsidR="007C2481" w:rsidRPr="0003237B">
        <w:rPr>
          <w:rFonts w:ascii="Times New Roman" w:hAnsi="Times New Roman" w:cs="Times New Roman"/>
          <w:sz w:val="24"/>
          <w:szCs w:val="24"/>
        </w:rPr>
        <w:t xml:space="preserve"> </w:t>
      </w:r>
      <w:r w:rsidRPr="0003237B">
        <w:rPr>
          <w:rFonts w:ascii="Times New Roman" w:hAnsi="Times New Roman" w:cs="Times New Roman"/>
          <w:sz w:val="24"/>
          <w:szCs w:val="24"/>
        </w:rPr>
        <w:t>µm</w:t>
      </w:r>
      <w:r w:rsidRPr="0003237B">
        <w:rPr>
          <w:rFonts w:ascii="Times New Roman" w:hAnsi="Times New Roman" w:cs="Times New Roman"/>
          <w:sz w:val="24"/>
          <w:szCs w:val="24"/>
          <w:vertAlign w:val="superscript"/>
        </w:rPr>
        <w:t>2</w:t>
      </w:r>
      <w:r w:rsidRPr="0003237B">
        <w:rPr>
          <w:rFonts w:ascii="Times New Roman" w:hAnsi="Times New Roman" w:cs="Times New Roman"/>
          <w:sz w:val="24"/>
          <w:szCs w:val="24"/>
        </w:rPr>
        <w:t>) while minimum metaxylem thickness (</w:t>
      </w:r>
      <w:r w:rsidR="0003237B" w:rsidRPr="0003237B">
        <w:rPr>
          <w:rFonts w:ascii="Times New Roman" w:hAnsi="Times New Roman" w:cs="Times New Roman"/>
          <w:sz w:val="24"/>
          <w:szCs w:val="24"/>
        </w:rPr>
        <w:t>104.5</w:t>
      </w:r>
      <w:r w:rsidR="0003237B" w:rsidRPr="0003237B">
        <w:rPr>
          <w:rFonts w:ascii="Times New Roman" w:hAnsi="Times New Roman" w:cs="Times New Roman"/>
          <w:sz w:val="24"/>
          <w:szCs w:val="24"/>
          <w:vertAlign w:val="superscript"/>
        </w:rPr>
        <w:t xml:space="preserve"> </w:t>
      </w:r>
      <w:r w:rsidRPr="0003237B">
        <w:rPr>
          <w:rFonts w:ascii="Times New Roman" w:hAnsi="Times New Roman" w:cs="Times New Roman"/>
          <w:sz w:val="24"/>
          <w:szCs w:val="24"/>
        </w:rPr>
        <w:t>µm) and cell area (</w:t>
      </w:r>
      <w:r w:rsidR="0003237B" w:rsidRPr="0003237B">
        <w:rPr>
          <w:rFonts w:ascii="Times New Roman" w:hAnsi="Times New Roman" w:cs="Times New Roman"/>
          <w:sz w:val="24"/>
          <w:szCs w:val="24"/>
        </w:rPr>
        <w:t>800</w:t>
      </w:r>
      <w:r w:rsidR="007C2481" w:rsidRPr="0003237B">
        <w:rPr>
          <w:rFonts w:ascii="Times New Roman" w:hAnsi="Times New Roman" w:cs="Times New Roman"/>
          <w:sz w:val="24"/>
          <w:szCs w:val="24"/>
        </w:rPr>
        <w:t xml:space="preserve"> </w:t>
      </w:r>
      <w:r w:rsidRPr="0003237B">
        <w:rPr>
          <w:rFonts w:ascii="Times New Roman" w:hAnsi="Times New Roman" w:cs="Times New Roman"/>
          <w:sz w:val="24"/>
          <w:szCs w:val="24"/>
        </w:rPr>
        <w:t>µm</w:t>
      </w:r>
      <w:r w:rsidRPr="0003237B">
        <w:rPr>
          <w:rFonts w:ascii="Times New Roman" w:hAnsi="Times New Roman" w:cs="Times New Roman"/>
          <w:sz w:val="24"/>
          <w:szCs w:val="24"/>
          <w:vertAlign w:val="superscript"/>
        </w:rPr>
        <w:t>2</w:t>
      </w:r>
      <w:r w:rsidRPr="0003237B">
        <w:rPr>
          <w:rFonts w:ascii="Times New Roman" w:hAnsi="Times New Roman" w:cs="Times New Roman"/>
          <w:sz w:val="24"/>
          <w:szCs w:val="24"/>
        </w:rPr>
        <w:t xml:space="preserve">) was recorded in plants of </w:t>
      </w:r>
      <w:r w:rsidR="007C2481" w:rsidRPr="0003237B">
        <w:rPr>
          <w:rFonts w:ascii="Times New Roman" w:hAnsi="Times New Roman" w:cs="Times New Roman"/>
          <w:sz w:val="24"/>
          <w:szCs w:val="24"/>
        </w:rPr>
        <w:t>upstream</w:t>
      </w:r>
      <w:r w:rsidRPr="0003237B">
        <w:rPr>
          <w:rFonts w:ascii="Times New Roman" w:hAnsi="Times New Roman" w:cs="Times New Roman"/>
          <w:sz w:val="24"/>
          <w:szCs w:val="24"/>
        </w:rPr>
        <w:t xml:space="preserve"> site</w:t>
      </w:r>
      <w:r w:rsidRPr="0003237B">
        <w:rPr>
          <w:rFonts w:ascii="Times New Roman" w:hAnsi="Times New Roman" w:cs="Times New Roman"/>
          <w:b/>
          <w:bCs/>
          <w:sz w:val="24"/>
          <w:szCs w:val="24"/>
        </w:rPr>
        <w:t>.</w:t>
      </w:r>
      <w:r w:rsidRPr="00A07595">
        <w:rPr>
          <w:rFonts w:ascii="Times New Roman" w:hAnsi="Times New Roman" w:cs="Times New Roman"/>
          <w:sz w:val="24"/>
          <w:szCs w:val="24"/>
        </w:rPr>
        <w:t xml:space="preserve"> Furthermore, statistically significant differences were observed in phloem thickness and cell area among all samples collected from different </w:t>
      </w:r>
      <w:r w:rsidR="007C2481">
        <w:rPr>
          <w:rFonts w:ascii="Times New Roman" w:hAnsi="Times New Roman" w:cs="Times New Roman"/>
          <w:sz w:val="24"/>
          <w:szCs w:val="24"/>
        </w:rPr>
        <w:t>study locations</w:t>
      </w:r>
      <w:r w:rsidRPr="00A07595">
        <w:rPr>
          <w:rFonts w:ascii="Times New Roman" w:hAnsi="Times New Roman" w:cs="Times New Roman"/>
          <w:sz w:val="24"/>
          <w:szCs w:val="24"/>
        </w:rPr>
        <w:t xml:space="preserve">. The maximum thickness of phloem was observed in the samples of </w:t>
      </w:r>
      <w:r w:rsidR="007C2481">
        <w:rPr>
          <w:rFonts w:ascii="Times New Roman" w:hAnsi="Times New Roman" w:cs="Times New Roman"/>
          <w:sz w:val="24"/>
          <w:szCs w:val="24"/>
        </w:rPr>
        <w:t>downstream</w:t>
      </w:r>
      <w:r w:rsidRPr="00A07595">
        <w:rPr>
          <w:rFonts w:ascii="Times New Roman" w:hAnsi="Times New Roman" w:cs="Times New Roman"/>
          <w:sz w:val="24"/>
          <w:szCs w:val="24"/>
        </w:rPr>
        <w:t xml:space="preserve"> (</w:t>
      </w:r>
      <w:r w:rsidR="007C2481" w:rsidRPr="007C2481">
        <w:rPr>
          <w:rFonts w:ascii="Times New Roman" w:hAnsi="Times New Roman" w:cs="Times New Roman"/>
          <w:sz w:val="24"/>
          <w:szCs w:val="24"/>
        </w:rPr>
        <w:t>23.14</w:t>
      </w:r>
      <w:r w:rsidR="007C2481">
        <w:rPr>
          <w:rFonts w:ascii="Times New Roman" w:hAnsi="Times New Roman" w:cs="Times New Roman"/>
          <w:sz w:val="24"/>
          <w:szCs w:val="24"/>
        </w:rPr>
        <w:t xml:space="preserve"> </w:t>
      </w:r>
      <w:r w:rsidRPr="00A07595">
        <w:rPr>
          <w:rFonts w:ascii="Times New Roman" w:hAnsi="Times New Roman" w:cs="Times New Roman"/>
          <w:sz w:val="24"/>
          <w:szCs w:val="24"/>
        </w:rPr>
        <w:t xml:space="preserve">µm) and </w:t>
      </w:r>
      <w:r w:rsidR="007C2481">
        <w:rPr>
          <w:rFonts w:ascii="Times New Roman" w:hAnsi="Times New Roman" w:cs="Times New Roman"/>
          <w:sz w:val="24"/>
          <w:szCs w:val="24"/>
        </w:rPr>
        <w:t>upstream</w:t>
      </w:r>
      <w:r w:rsidR="00B62BE4">
        <w:rPr>
          <w:rFonts w:ascii="Times New Roman" w:hAnsi="Times New Roman" w:cs="Times New Roman"/>
          <w:sz w:val="24"/>
          <w:szCs w:val="24"/>
        </w:rPr>
        <w:t xml:space="preserve"> </w:t>
      </w:r>
      <w:r w:rsidR="00B62BE4" w:rsidRPr="00B62BE4">
        <w:rPr>
          <w:rFonts w:ascii="Times New Roman" w:hAnsi="Times New Roman" w:cs="Times New Roman"/>
          <w:sz w:val="24"/>
          <w:szCs w:val="24"/>
        </w:rPr>
        <w:t>(</w:t>
      </w:r>
      <w:r w:rsidR="007C2481" w:rsidRPr="007C2481">
        <w:rPr>
          <w:rFonts w:ascii="Times New Roman" w:hAnsi="Times New Roman" w:cs="Times New Roman"/>
          <w:sz w:val="24"/>
          <w:szCs w:val="24"/>
        </w:rPr>
        <w:t>19.34</w:t>
      </w:r>
      <w:r w:rsidR="007C2481">
        <w:rPr>
          <w:rFonts w:ascii="Times New Roman" w:hAnsi="Times New Roman" w:cs="Times New Roman"/>
          <w:sz w:val="24"/>
          <w:szCs w:val="24"/>
        </w:rPr>
        <w:t xml:space="preserve"> </w:t>
      </w:r>
      <w:r w:rsidR="00B62BE4" w:rsidRPr="00B62BE4">
        <w:rPr>
          <w:rFonts w:ascii="Times New Roman" w:hAnsi="Times New Roman" w:cs="Times New Roman"/>
          <w:sz w:val="24"/>
          <w:szCs w:val="24"/>
        </w:rPr>
        <w:t xml:space="preserve">µm) respectively, while lowest thickness of Phloem was observed in plants of </w:t>
      </w:r>
      <w:r w:rsidR="007C2481">
        <w:rPr>
          <w:rFonts w:ascii="Times New Roman" w:hAnsi="Times New Roman" w:cs="Times New Roman"/>
          <w:sz w:val="24"/>
          <w:szCs w:val="24"/>
        </w:rPr>
        <w:t>midstream</w:t>
      </w:r>
      <w:r w:rsidR="00B62BE4" w:rsidRPr="00B62BE4">
        <w:rPr>
          <w:rFonts w:ascii="Times New Roman" w:hAnsi="Times New Roman" w:cs="Times New Roman"/>
          <w:sz w:val="24"/>
          <w:szCs w:val="24"/>
        </w:rPr>
        <w:t xml:space="preserve"> site (</w:t>
      </w:r>
      <w:r w:rsidR="007C2481" w:rsidRPr="007C2481">
        <w:rPr>
          <w:rFonts w:ascii="Times New Roman" w:hAnsi="Times New Roman" w:cs="Times New Roman"/>
          <w:sz w:val="24"/>
          <w:szCs w:val="24"/>
        </w:rPr>
        <w:t>6.30</w:t>
      </w:r>
      <w:r w:rsidR="007C2481">
        <w:rPr>
          <w:rFonts w:ascii="Times New Roman" w:hAnsi="Times New Roman" w:cs="Times New Roman"/>
          <w:sz w:val="24"/>
          <w:szCs w:val="24"/>
          <w:vertAlign w:val="superscript"/>
        </w:rPr>
        <w:t xml:space="preserve"> </w:t>
      </w:r>
      <w:r w:rsidR="00B62BE4" w:rsidRPr="00B62BE4">
        <w:rPr>
          <w:rFonts w:ascii="Times New Roman" w:hAnsi="Times New Roman" w:cs="Times New Roman"/>
          <w:sz w:val="24"/>
          <w:szCs w:val="24"/>
        </w:rPr>
        <w:t xml:space="preserve">µm). Similarly, in case of phloem cell area, higher values were observed in the samples of </w:t>
      </w:r>
      <w:r w:rsidR="007C2481">
        <w:rPr>
          <w:rFonts w:ascii="Times New Roman" w:hAnsi="Times New Roman" w:cs="Times New Roman"/>
          <w:sz w:val="24"/>
          <w:szCs w:val="24"/>
        </w:rPr>
        <w:t xml:space="preserve">upstream </w:t>
      </w:r>
      <w:r w:rsidR="00B62BE4" w:rsidRPr="00B62BE4">
        <w:rPr>
          <w:rFonts w:ascii="Times New Roman" w:hAnsi="Times New Roman" w:cs="Times New Roman"/>
          <w:sz w:val="24"/>
          <w:szCs w:val="24"/>
        </w:rPr>
        <w:t>(</w:t>
      </w:r>
      <w:r w:rsidR="007C2481" w:rsidRPr="007C2481">
        <w:rPr>
          <w:rFonts w:ascii="Times New Roman" w:hAnsi="Times New Roman" w:cs="Times New Roman"/>
          <w:sz w:val="24"/>
          <w:szCs w:val="24"/>
        </w:rPr>
        <w:t>107.7</w:t>
      </w:r>
      <w:r w:rsidR="00B62BE4" w:rsidRPr="00B62BE4">
        <w:rPr>
          <w:rFonts w:ascii="Times New Roman" w:hAnsi="Times New Roman" w:cs="Times New Roman"/>
          <w:sz w:val="24"/>
          <w:szCs w:val="24"/>
        </w:rPr>
        <w:t xml:space="preserve"> µm</w:t>
      </w:r>
      <w:r w:rsidR="00B62BE4" w:rsidRPr="00B62BE4">
        <w:rPr>
          <w:rFonts w:ascii="Times New Roman" w:hAnsi="Times New Roman" w:cs="Times New Roman"/>
          <w:sz w:val="24"/>
          <w:szCs w:val="24"/>
          <w:vertAlign w:val="superscript"/>
        </w:rPr>
        <w:t>2</w:t>
      </w:r>
      <w:r w:rsidR="00B62BE4" w:rsidRPr="00B62BE4">
        <w:rPr>
          <w:rFonts w:ascii="Times New Roman" w:hAnsi="Times New Roman" w:cs="Times New Roman"/>
          <w:sz w:val="24"/>
          <w:szCs w:val="24"/>
        </w:rPr>
        <w:t xml:space="preserve">) and </w:t>
      </w:r>
      <w:r w:rsidR="005F38E6">
        <w:rPr>
          <w:rFonts w:ascii="Times New Roman" w:hAnsi="Times New Roman" w:cs="Times New Roman"/>
          <w:sz w:val="24"/>
          <w:szCs w:val="24"/>
        </w:rPr>
        <w:t xml:space="preserve">downstream </w:t>
      </w:r>
      <w:r w:rsidR="005F38E6" w:rsidRPr="00B62BE4">
        <w:rPr>
          <w:rFonts w:ascii="Times New Roman" w:hAnsi="Times New Roman" w:cs="Times New Roman"/>
          <w:sz w:val="24"/>
          <w:szCs w:val="24"/>
        </w:rPr>
        <w:t>(</w:t>
      </w:r>
      <w:r w:rsidR="007C2481" w:rsidRPr="007C2481">
        <w:rPr>
          <w:rFonts w:ascii="Times New Roman" w:hAnsi="Times New Roman" w:cs="Times New Roman"/>
          <w:sz w:val="24"/>
          <w:szCs w:val="24"/>
        </w:rPr>
        <w:t>105.9</w:t>
      </w:r>
      <w:r w:rsidR="007C2481">
        <w:rPr>
          <w:rFonts w:ascii="Times New Roman" w:hAnsi="Times New Roman" w:cs="Times New Roman"/>
          <w:sz w:val="24"/>
          <w:szCs w:val="24"/>
        </w:rPr>
        <w:t xml:space="preserve"> </w:t>
      </w:r>
      <w:r w:rsidR="00B62BE4" w:rsidRPr="00B62BE4">
        <w:rPr>
          <w:rFonts w:ascii="Times New Roman" w:hAnsi="Times New Roman" w:cs="Times New Roman"/>
          <w:sz w:val="24"/>
          <w:szCs w:val="24"/>
        </w:rPr>
        <w:t>µm</w:t>
      </w:r>
      <w:r w:rsidR="00B62BE4" w:rsidRPr="00B62BE4">
        <w:rPr>
          <w:rFonts w:ascii="Times New Roman" w:hAnsi="Times New Roman" w:cs="Times New Roman"/>
          <w:sz w:val="24"/>
          <w:szCs w:val="24"/>
          <w:vertAlign w:val="superscript"/>
        </w:rPr>
        <w:t>2</w:t>
      </w:r>
      <w:r w:rsidR="00B62BE4" w:rsidRPr="00B62BE4">
        <w:rPr>
          <w:rFonts w:ascii="Times New Roman" w:hAnsi="Times New Roman" w:cs="Times New Roman"/>
          <w:sz w:val="24"/>
          <w:szCs w:val="24"/>
        </w:rPr>
        <w:t xml:space="preserve">) as compared to plants of </w:t>
      </w:r>
      <w:proofErr w:type="spellStart"/>
      <w:r w:rsidR="007C2481">
        <w:rPr>
          <w:rFonts w:ascii="Times New Roman" w:hAnsi="Times New Roman" w:cs="Times New Roman"/>
          <w:sz w:val="24"/>
          <w:szCs w:val="24"/>
        </w:rPr>
        <w:t>midstrea</w:t>
      </w:r>
      <w:proofErr w:type="spellEnd"/>
      <w:r w:rsidR="00B62BE4" w:rsidRPr="00B62BE4">
        <w:rPr>
          <w:rFonts w:ascii="Times New Roman" w:hAnsi="Times New Roman" w:cs="Times New Roman"/>
          <w:sz w:val="24"/>
          <w:szCs w:val="24"/>
        </w:rPr>
        <w:t xml:space="preserve"> site (</w:t>
      </w:r>
      <w:r w:rsidR="007C2481">
        <w:rPr>
          <w:rFonts w:ascii="Times New Roman" w:hAnsi="Times New Roman" w:cs="Times New Roman"/>
          <w:sz w:val="24"/>
          <w:szCs w:val="24"/>
        </w:rPr>
        <w:t>3</w:t>
      </w:r>
      <w:r w:rsidR="00B62BE4" w:rsidRPr="00B62BE4">
        <w:rPr>
          <w:rFonts w:ascii="Times New Roman" w:hAnsi="Times New Roman" w:cs="Times New Roman"/>
          <w:sz w:val="24"/>
          <w:szCs w:val="24"/>
        </w:rPr>
        <w:t>3</w:t>
      </w:r>
      <w:r w:rsidR="007C2481">
        <w:rPr>
          <w:rFonts w:ascii="Times New Roman" w:hAnsi="Times New Roman" w:cs="Times New Roman"/>
          <w:sz w:val="24"/>
          <w:szCs w:val="24"/>
        </w:rPr>
        <w:t>.70</w:t>
      </w:r>
      <w:r w:rsidR="00B62BE4" w:rsidRPr="00B62BE4">
        <w:rPr>
          <w:rFonts w:ascii="Times New Roman" w:hAnsi="Times New Roman" w:cs="Times New Roman"/>
          <w:sz w:val="24"/>
          <w:szCs w:val="24"/>
        </w:rPr>
        <w:t xml:space="preserve"> µm</w:t>
      </w:r>
      <w:r w:rsidR="00B62BE4" w:rsidRPr="00B62BE4">
        <w:rPr>
          <w:rFonts w:ascii="Times New Roman" w:hAnsi="Times New Roman" w:cs="Times New Roman"/>
          <w:sz w:val="24"/>
          <w:szCs w:val="24"/>
          <w:vertAlign w:val="superscript"/>
        </w:rPr>
        <w:t>2</w:t>
      </w:r>
      <w:r w:rsidR="00B62BE4" w:rsidRPr="00B62BE4">
        <w:rPr>
          <w:rFonts w:ascii="Times New Roman" w:hAnsi="Times New Roman" w:cs="Times New Roman"/>
          <w:sz w:val="24"/>
          <w:szCs w:val="24"/>
        </w:rPr>
        <w:t>).</w:t>
      </w:r>
    </w:p>
    <w:p w14:paraId="4C0B7D23" w14:textId="77777777" w:rsidR="00A07595" w:rsidRDefault="00A07595" w:rsidP="00C23702">
      <w:pPr>
        <w:spacing w:line="360" w:lineRule="auto"/>
        <w:jc w:val="both"/>
        <w:rPr>
          <w:rFonts w:ascii="Times New Roman" w:hAnsi="Times New Roman" w:cs="Times New Roman"/>
          <w:sz w:val="24"/>
          <w:szCs w:val="24"/>
        </w:rPr>
      </w:pPr>
    </w:p>
    <w:p w14:paraId="6FCC7EB4" w14:textId="77777777" w:rsidR="00B62BE4" w:rsidRDefault="00B62BE4" w:rsidP="00C23702">
      <w:pPr>
        <w:spacing w:line="360" w:lineRule="auto"/>
      </w:pPr>
    </w:p>
    <w:p w14:paraId="1325BB2D" w14:textId="2AA74737" w:rsidR="00B62BE4" w:rsidRDefault="00FD5EF5" w:rsidP="00B62BE4">
      <w:r>
        <w:rPr>
          <w:noProof/>
        </w:rPr>
        <w:lastRenderedPageBreak/>
        <mc:AlternateContent>
          <mc:Choice Requires="wps">
            <w:drawing>
              <wp:anchor distT="0" distB="0" distL="114300" distR="114300" simplePos="0" relativeHeight="251669504" behindDoc="0" locked="0" layoutInCell="1" allowOverlap="1" wp14:anchorId="6E63E01F" wp14:editId="7458CA14">
                <wp:simplePos x="0" y="0"/>
                <wp:positionH relativeFrom="column">
                  <wp:posOffset>4603750</wp:posOffset>
                </wp:positionH>
                <wp:positionV relativeFrom="paragraph">
                  <wp:posOffset>2587625</wp:posOffset>
                </wp:positionV>
                <wp:extent cx="323850" cy="3048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238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B8CB37" w14:textId="0D4D5DF3" w:rsidR="00FD5EF5" w:rsidRDefault="00FD5EF5" w:rsidP="00FD5EF5">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3E01F" id="Rectangle 12" o:spid="_x0000_s1026" style="position:absolute;margin-left:362.5pt;margin-top:203.75pt;width:25.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" fillcolor="#5b9bd5 [3204]" strokecolor="#1f4d78 [1604]" strokeweight="1pt">
                <v:textbox>
                  <w:txbxContent>
                    <w:p w14:paraId="48B8CB37" w14:textId="0D4D5DF3" w:rsidR="00FD5EF5" w:rsidRDefault="00FD5EF5" w:rsidP="00FD5EF5">
                      <w:pPr>
                        <w:jc w:val="center"/>
                      </w:pPr>
                      <w:r>
                        <w:t>C</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5F5AFB1A" wp14:editId="3AE00726">
                <wp:simplePos x="0" y="0"/>
                <wp:positionH relativeFrom="column">
                  <wp:posOffset>2413000</wp:posOffset>
                </wp:positionH>
                <wp:positionV relativeFrom="paragraph">
                  <wp:posOffset>2501900</wp:posOffset>
                </wp:positionV>
                <wp:extent cx="390525" cy="3333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390525" cy="33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DACC64" w14:textId="3F7F0915" w:rsidR="00FD5EF5" w:rsidRDefault="00FD5EF5" w:rsidP="00FD5EF5">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AFB1A" id="Rectangle 11" o:spid="_x0000_s1027" style="position:absolute;margin-left:190pt;margin-top:197pt;width:30.75pt;height:26.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" fillcolor="#5b9bd5 [3204]" strokecolor="#1f4d78 [1604]" strokeweight="1pt">
                <v:textbox>
                  <w:txbxContent>
                    <w:p w14:paraId="4EDACC64" w14:textId="3F7F0915" w:rsidR="00FD5EF5" w:rsidRDefault="00FD5EF5" w:rsidP="00FD5EF5">
                      <w:pPr>
                        <w:jc w:val="center"/>
                      </w:pPr>
                      <w:r>
                        <w:t>B</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43457512" wp14:editId="137DC9D8">
                <wp:simplePos x="0" y="0"/>
                <wp:positionH relativeFrom="column">
                  <wp:posOffset>250825</wp:posOffset>
                </wp:positionH>
                <wp:positionV relativeFrom="paragraph">
                  <wp:posOffset>2463801</wp:posOffset>
                </wp:positionV>
                <wp:extent cx="342900" cy="3238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429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77536A" w14:textId="1602D1B4" w:rsidR="00FD5EF5" w:rsidRDefault="00FD5EF5" w:rsidP="00FD5EF5">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457512" id="Rectangle 10" o:spid="_x0000_s1028" style="position:absolute;margin-left:19.75pt;margin-top:194pt;width:27pt;height:2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" fillcolor="#5b9bd5 [3204]" strokecolor="#1f4d78 [1604]" strokeweight="1pt">
                <v:textbox>
                  <w:txbxContent>
                    <w:p w14:paraId="0777536A" w14:textId="1602D1B4" w:rsidR="00FD5EF5" w:rsidRDefault="00FD5EF5" w:rsidP="00FD5EF5">
                      <w:pPr>
                        <w:jc w:val="center"/>
                      </w:pPr>
                      <w:r>
                        <w:t>A</w:t>
                      </w:r>
                    </w:p>
                  </w:txbxContent>
                </v:textbox>
              </v:rect>
            </w:pict>
          </mc:Fallback>
        </mc:AlternateContent>
      </w:r>
      <w:r w:rsidR="00B62BE4">
        <w:rPr>
          <w:noProof/>
        </w:rPr>
        <w:drawing>
          <wp:anchor distT="0" distB="0" distL="0" distR="0" simplePos="0" relativeHeight="251666432" behindDoc="1" locked="0" layoutInCell="1" allowOverlap="1" wp14:anchorId="6A2A3F05" wp14:editId="1727069E">
            <wp:simplePos x="0" y="0"/>
            <wp:positionH relativeFrom="margin">
              <wp:posOffset>12700</wp:posOffset>
            </wp:positionH>
            <wp:positionV relativeFrom="paragraph">
              <wp:posOffset>288290</wp:posOffset>
            </wp:positionV>
            <wp:extent cx="6467475" cy="2847975"/>
            <wp:effectExtent l="0" t="0" r="9525" b="9525"/>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6467475" cy="2847975"/>
                    </a:xfrm>
                    <a:prstGeom prst="rect">
                      <a:avLst/>
                    </a:prstGeom>
                  </pic:spPr>
                </pic:pic>
              </a:graphicData>
            </a:graphic>
            <wp14:sizeRelH relativeFrom="margin">
              <wp14:pctWidth>0</wp14:pctWidth>
            </wp14:sizeRelH>
            <wp14:sizeRelV relativeFrom="margin">
              <wp14:pctHeight>0</wp14:pctHeight>
            </wp14:sizeRelV>
          </wp:anchor>
        </w:drawing>
      </w:r>
    </w:p>
    <w:p w14:paraId="68501193" w14:textId="2F05248C" w:rsidR="00B62BE4" w:rsidRPr="00FD5EF5" w:rsidRDefault="00B62BE4" w:rsidP="00104D52">
      <w:pPr>
        <w:rPr>
          <w:rFonts w:ascii="Times New Roman" w:hAnsi="Times New Roman" w:cs="Times New Roman"/>
          <w:b/>
          <w:bCs/>
        </w:rPr>
        <w:sectPr w:rsidR="00B62BE4" w:rsidRPr="00FD5EF5">
          <w:pgSz w:w="11900" w:h="16850"/>
          <w:pgMar w:top="1340" w:right="1220" w:bottom="960" w:left="880" w:header="718" w:footer="772" w:gutter="0"/>
          <w:cols w:space="720"/>
        </w:sectPr>
      </w:pPr>
      <w:r w:rsidRPr="00FD5EF5">
        <w:rPr>
          <w:rFonts w:ascii="Times New Roman" w:hAnsi="Times New Roman" w:cs="Times New Roman"/>
          <w:b/>
          <w:bCs/>
        </w:rPr>
        <w:t xml:space="preserve">Fig.1 Anatomical study of root samples collected from (a) </w:t>
      </w:r>
      <w:r w:rsidR="00104D52" w:rsidRPr="00FD5EF5">
        <w:rPr>
          <w:rFonts w:ascii="Times New Roman" w:hAnsi="Times New Roman" w:cs="Times New Roman"/>
          <w:b/>
          <w:bCs/>
        </w:rPr>
        <w:t>midstream</w:t>
      </w:r>
      <w:r w:rsidRPr="00FD5EF5">
        <w:rPr>
          <w:rFonts w:ascii="Times New Roman" w:hAnsi="Times New Roman" w:cs="Times New Roman"/>
          <w:b/>
          <w:bCs/>
        </w:rPr>
        <w:t xml:space="preserve"> (b) </w:t>
      </w:r>
      <w:proofErr w:type="gramStart"/>
      <w:r w:rsidR="00104D52" w:rsidRPr="00FD5EF5">
        <w:rPr>
          <w:rFonts w:ascii="Times New Roman" w:hAnsi="Times New Roman" w:cs="Times New Roman"/>
          <w:b/>
          <w:bCs/>
        </w:rPr>
        <w:t xml:space="preserve">upstream </w:t>
      </w:r>
      <w:r w:rsidRPr="00FD5EF5">
        <w:rPr>
          <w:rFonts w:ascii="Times New Roman" w:hAnsi="Times New Roman" w:cs="Times New Roman"/>
          <w:b/>
          <w:bCs/>
        </w:rPr>
        <w:t xml:space="preserve"> (</w:t>
      </w:r>
      <w:proofErr w:type="gramEnd"/>
      <w:r w:rsidRPr="00FD5EF5">
        <w:rPr>
          <w:rFonts w:ascii="Times New Roman" w:hAnsi="Times New Roman" w:cs="Times New Roman"/>
          <w:b/>
          <w:bCs/>
        </w:rPr>
        <w:t xml:space="preserve">c) </w:t>
      </w:r>
      <w:r w:rsidR="00104D52" w:rsidRPr="00FD5EF5">
        <w:rPr>
          <w:rFonts w:ascii="Times New Roman" w:hAnsi="Times New Roman" w:cs="Times New Roman"/>
          <w:b/>
          <w:bCs/>
        </w:rPr>
        <w:t>downstream</w:t>
      </w:r>
      <w:r w:rsidRPr="00FD5EF5">
        <w:rPr>
          <w:rFonts w:ascii="Times New Roman" w:hAnsi="Times New Roman" w:cs="Times New Roman"/>
          <w:b/>
          <w:bCs/>
        </w:rPr>
        <w:t xml:space="preserve"> sites </w:t>
      </w:r>
    </w:p>
    <w:p w14:paraId="03E68B84" w14:textId="492E0404" w:rsidR="00A07595" w:rsidRPr="00B62BE4" w:rsidRDefault="00B62BE4" w:rsidP="00A07595">
      <w:pPr>
        <w:jc w:val="both"/>
        <w:rPr>
          <w:rFonts w:ascii="Times New Roman" w:hAnsi="Times New Roman" w:cs="Times New Roman"/>
          <w:b/>
          <w:bCs/>
          <w:sz w:val="24"/>
          <w:szCs w:val="24"/>
        </w:rPr>
      </w:pPr>
      <w:r w:rsidRPr="00B62BE4">
        <w:rPr>
          <w:rFonts w:ascii="Times New Roman" w:hAnsi="Times New Roman" w:cs="Times New Roman"/>
          <w:b/>
          <w:bCs/>
          <w:sz w:val="24"/>
          <w:szCs w:val="24"/>
        </w:rPr>
        <w:lastRenderedPageBreak/>
        <w:t xml:space="preserve">Table.1 Anatomical characteristics of root tissues in </w:t>
      </w:r>
      <w:r w:rsidR="00104D52" w:rsidRPr="00C82ED9">
        <w:rPr>
          <w:rFonts w:ascii="Times New Roman" w:hAnsi="Times New Roman" w:cs="Times New Roman"/>
          <w:b/>
          <w:bCs/>
          <w:iCs/>
          <w:sz w:val="24"/>
          <w:szCs w:val="24"/>
        </w:rPr>
        <w:t>water lotus</w:t>
      </w:r>
      <w:r w:rsidRPr="00B62BE4">
        <w:rPr>
          <w:rFonts w:ascii="Times New Roman" w:hAnsi="Times New Roman" w:cs="Times New Roman"/>
          <w:b/>
          <w:bCs/>
          <w:i/>
          <w:sz w:val="24"/>
          <w:szCs w:val="24"/>
        </w:rPr>
        <w:t xml:space="preserve"> </w:t>
      </w:r>
      <w:r w:rsidRPr="00B62BE4">
        <w:rPr>
          <w:rFonts w:ascii="Times New Roman" w:hAnsi="Times New Roman" w:cs="Times New Roman"/>
          <w:b/>
          <w:bCs/>
          <w:sz w:val="24"/>
          <w:szCs w:val="24"/>
        </w:rPr>
        <w:t>from different eco-zones</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799"/>
        <w:gridCol w:w="893"/>
        <w:gridCol w:w="892"/>
        <w:gridCol w:w="1015"/>
        <w:gridCol w:w="993"/>
        <w:gridCol w:w="880"/>
        <w:gridCol w:w="746"/>
        <w:gridCol w:w="868"/>
        <w:gridCol w:w="705"/>
      </w:tblGrid>
      <w:tr w:rsidR="00A07595" w14:paraId="45925AF3" w14:textId="77777777" w:rsidTr="00FD5EF5">
        <w:trPr>
          <w:trHeight w:val="607"/>
        </w:trPr>
        <w:tc>
          <w:tcPr>
            <w:tcW w:w="1214" w:type="dxa"/>
          </w:tcPr>
          <w:p w14:paraId="151EC587" w14:textId="77FC706B" w:rsidR="00A07595" w:rsidRDefault="00103B13" w:rsidP="00FD5EF5">
            <w:pPr>
              <w:pStyle w:val="TableParagraph"/>
              <w:spacing w:before="1"/>
              <w:ind w:left="107"/>
              <w:jc w:val="left"/>
              <w:rPr>
                <w:b/>
                <w:sz w:val="13"/>
              </w:rPr>
            </w:pPr>
            <w:r>
              <w:rPr>
                <w:b/>
                <w:spacing w:val="-2"/>
                <w:sz w:val="13"/>
              </w:rPr>
              <w:t>Study locations</w:t>
            </w:r>
          </w:p>
        </w:tc>
        <w:tc>
          <w:tcPr>
            <w:tcW w:w="799" w:type="dxa"/>
          </w:tcPr>
          <w:p w14:paraId="588C8BCE" w14:textId="77777777" w:rsidR="00A07595" w:rsidRDefault="00A07595" w:rsidP="00FD5EF5">
            <w:pPr>
              <w:pStyle w:val="TableParagraph"/>
              <w:ind w:left="108" w:right="178"/>
              <w:jc w:val="left"/>
              <w:rPr>
                <w:b/>
                <w:sz w:val="13"/>
              </w:rPr>
            </w:pPr>
            <w:r>
              <w:rPr>
                <w:b/>
                <w:spacing w:val="-4"/>
                <w:sz w:val="13"/>
              </w:rPr>
              <w:t>Root</w:t>
            </w:r>
            <w:r>
              <w:rPr>
                <w:b/>
                <w:spacing w:val="40"/>
                <w:sz w:val="13"/>
              </w:rPr>
              <w:t xml:space="preserve"> </w:t>
            </w:r>
            <w:r>
              <w:rPr>
                <w:b/>
                <w:spacing w:val="-2"/>
                <w:sz w:val="13"/>
              </w:rPr>
              <w:t>diameter</w:t>
            </w:r>
            <w:r>
              <w:rPr>
                <w:b/>
                <w:spacing w:val="40"/>
                <w:sz w:val="13"/>
              </w:rPr>
              <w:t xml:space="preserve"> </w:t>
            </w:r>
            <w:r>
              <w:rPr>
                <w:b/>
                <w:spacing w:val="-4"/>
                <w:sz w:val="13"/>
              </w:rPr>
              <w:t>(</w:t>
            </w:r>
            <w:r>
              <w:rPr>
                <w:rFonts w:ascii="Symbol" w:hAnsi="Symbol"/>
                <w:b/>
                <w:spacing w:val="-4"/>
                <w:sz w:val="13"/>
              </w:rPr>
              <w:t></w:t>
            </w:r>
            <w:r>
              <w:rPr>
                <w:b/>
                <w:spacing w:val="-4"/>
                <w:sz w:val="13"/>
              </w:rPr>
              <w:t>m)</w:t>
            </w:r>
          </w:p>
        </w:tc>
        <w:tc>
          <w:tcPr>
            <w:tcW w:w="893" w:type="dxa"/>
          </w:tcPr>
          <w:p w14:paraId="22DC4DC8" w14:textId="77777777" w:rsidR="00A07595" w:rsidRDefault="00A07595" w:rsidP="00FD5EF5">
            <w:pPr>
              <w:pStyle w:val="TableParagraph"/>
              <w:ind w:left="108" w:right="196"/>
              <w:jc w:val="left"/>
              <w:rPr>
                <w:b/>
                <w:sz w:val="13"/>
              </w:rPr>
            </w:pPr>
            <w:r>
              <w:rPr>
                <w:b/>
                <w:spacing w:val="-2"/>
                <w:sz w:val="13"/>
              </w:rPr>
              <w:t>Epidermis</w:t>
            </w:r>
            <w:r>
              <w:rPr>
                <w:b/>
                <w:spacing w:val="40"/>
                <w:sz w:val="13"/>
              </w:rPr>
              <w:t xml:space="preserve"> </w:t>
            </w:r>
            <w:r>
              <w:rPr>
                <w:b/>
                <w:spacing w:val="-2"/>
                <w:sz w:val="13"/>
              </w:rPr>
              <w:t>thickness</w:t>
            </w:r>
            <w:r>
              <w:rPr>
                <w:b/>
                <w:spacing w:val="40"/>
                <w:sz w:val="13"/>
              </w:rPr>
              <w:t xml:space="preserve"> </w:t>
            </w:r>
            <w:r>
              <w:rPr>
                <w:b/>
                <w:spacing w:val="-4"/>
                <w:sz w:val="13"/>
              </w:rPr>
              <w:t>(</w:t>
            </w:r>
            <w:r>
              <w:rPr>
                <w:rFonts w:ascii="Symbol" w:hAnsi="Symbol"/>
                <w:b/>
                <w:spacing w:val="-4"/>
                <w:sz w:val="13"/>
              </w:rPr>
              <w:t></w:t>
            </w:r>
            <w:r>
              <w:rPr>
                <w:b/>
                <w:spacing w:val="-4"/>
                <w:sz w:val="13"/>
              </w:rPr>
              <w:t>m)</w:t>
            </w:r>
          </w:p>
        </w:tc>
        <w:tc>
          <w:tcPr>
            <w:tcW w:w="892" w:type="dxa"/>
          </w:tcPr>
          <w:p w14:paraId="78A0B35D" w14:textId="77777777" w:rsidR="00A07595" w:rsidRDefault="00A07595" w:rsidP="00FD5EF5">
            <w:pPr>
              <w:pStyle w:val="TableParagraph"/>
              <w:ind w:left="108" w:right="195"/>
              <w:jc w:val="left"/>
              <w:rPr>
                <w:b/>
                <w:sz w:val="13"/>
              </w:rPr>
            </w:pPr>
            <w:r>
              <w:rPr>
                <w:b/>
                <w:spacing w:val="-2"/>
                <w:sz w:val="13"/>
              </w:rPr>
              <w:t>Epidermis</w:t>
            </w:r>
            <w:r>
              <w:rPr>
                <w:b/>
                <w:spacing w:val="40"/>
                <w:sz w:val="13"/>
              </w:rPr>
              <w:t xml:space="preserve"> </w:t>
            </w:r>
            <w:r>
              <w:rPr>
                <w:b/>
                <w:spacing w:val="-4"/>
                <w:sz w:val="13"/>
              </w:rPr>
              <w:t>Area</w:t>
            </w:r>
            <w:r>
              <w:rPr>
                <w:b/>
                <w:spacing w:val="80"/>
                <w:sz w:val="13"/>
              </w:rPr>
              <w:t xml:space="preserve"> </w:t>
            </w:r>
            <w:r>
              <w:rPr>
                <w:b/>
                <w:spacing w:val="-4"/>
                <w:sz w:val="13"/>
              </w:rPr>
              <w:t>(</w:t>
            </w:r>
            <w:r>
              <w:rPr>
                <w:rFonts w:ascii="Symbol" w:hAnsi="Symbol"/>
                <w:b/>
                <w:spacing w:val="-4"/>
                <w:sz w:val="13"/>
              </w:rPr>
              <w:t></w:t>
            </w:r>
            <w:r>
              <w:rPr>
                <w:b/>
                <w:spacing w:val="-4"/>
                <w:sz w:val="13"/>
              </w:rPr>
              <w:t>m)</w:t>
            </w:r>
          </w:p>
        </w:tc>
        <w:tc>
          <w:tcPr>
            <w:tcW w:w="1015" w:type="dxa"/>
          </w:tcPr>
          <w:p w14:paraId="480E0274" w14:textId="77777777" w:rsidR="00A07595" w:rsidRDefault="00A07595" w:rsidP="00FD5EF5">
            <w:pPr>
              <w:pStyle w:val="TableParagraph"/>
              <w:ind w:left="109" w:right="167"/>
              <w:jc w:val="left"/>
              <w:rPr>
                <w:b/>
                <w:sz w:val="13"/>
              </w:rPr>
            </w:pPr>
            <w:r>
              <w:rPr>
                <w:b/>
                <w:spacing w:val="-2"/>
                <w:sz w:val="13"/>
              </w:rPr>
              <w:t>Parenchyma</w:t>
            </w:r>
            <w:r>
              <w:rPr>
                <w:b/>
                <w:spacing w:val="40"/>
                <w:sz w:val="13"/>
              </w:rPr>
              <w:t xml:space="preserve"> </w:t>
            </w:r>
            <w:r>
              <w:rPr>
                <w:b/>
                <w:spacing w:val="-2"/>
                <w:sz w:val="13"/>
              </w:rPr>
              <w:t>thickness</w:t>
            </w:r>
            <w:r>
              <w:rPr>
                <w:b/>
                <w:spacing w:val="40"/>
                <w:sz w:val="13"/>
              </w:rPr>
              <w:t xml:space="preserve"> </w:t>
            </w:r>
            <w:r>
              <w:rPr>
                <w:b/>
                <w:spacing w:val="-4"/>
                <w:sz w:val="13"/>
              </w:rPr>
              <w:t>(</w:t>
            </w:r>
            <w:r>
              <w:rPr>
                <w:rFonts w:ascii="Symbol" w:hAnsi="Symbol"/>
                <w:b/>
                <w:spacing w:val="-4"/>
                <w:sz w:val="13"/>
              </w:rPr>
              <w:t></w:t>
            </w:r>
            <w:r>
              <w:rPr>
                <w:b/>
                <w:spacing w:val="-4"/>
                <w:sz w:val="13"/>
              </w:rPr>
              <w:t>m)</w:t>
            </w:r>
          </w:p>
        </w:tc>
        <w:tc>
          <w:tcPr>
            <w:tcW w:w="993" w:type="dxa"/>
          </w:tcPr>
          <w:p w14:paraId="5C80E5CB" w14:textId="77777777" w:rsidR="00A07595" w:rsidRDefault="00A07595" w:rsidP="00FD5EF5">
            <w:pPr>
              <w:pStyle w:val="TableParagraph"/>
              <w:ind w:left="110"/>
              <w:jc w:val="left"/>
              <w:rPr>
                <w:b/>
                <w:sz w:val="13"/>
              </w:rPr>
            </w:pPr>
            <w:r>
              <w:rPr>
                <w:b/>
                <w:spacing w:val="-2"/>
                <w:sz w:val="13"/>
              </w:rPr>
              <w:t>Parenchyma</w:t>
            </w:r>
            <w:r>
              <w:rPr>
                <w:b/>
                <w:spacing w:val="40"/>
                <w:sz w:val="13"/>
              </w:rPr>
              <w:t xml:space="preserve"> </w:t>
            </w:r>
            <w:r>
              <w:rPr>
                <w:b/>
                <w:spacing w:val="-4"/>
                <w:sz w:val="13"/>
              </w:rPr>
              <w:t>area</w:t>
            </w:r>
          </w:p>
          <w:p w14:paraId="57FC8BCA" w14:textId="77777777" w:rsidR="00A07595" w:rsidRDefault="00A07595" w:rsidP="00FD5EF5">
            <w:pPr>
              <w:pStyle w:val="TableParagraph"/>
              <w:ind w:left="110"/>
              <w:jc w:val="left"/>
              <w:rPr>
                <w:b/>
                <w:sz w:val="13"/>
              </w:rPr>
            </w:pPr>
            <w:r>
              <w:rPr>
                <w:b/>
                <w:spacing w:val="-4"/>
                <w:sz w:val="13"/>
              </w:rPr>
              <w:t>(</w:t>
            </w:r>
            <w:r>
              <w:rPr>
                <w:rFonts w:ascii="Symbol" w:hAnsi="Symbol"/>
                <w:b/>
                <w:spacing w:val="-4"/>
                <w:sz w:val="13"/>
              </w:rPr>
              <w:t></w:t>
            </w:r>
            <w:r>
              <w:rPr>
                <w:b/>
                <w:spacing w:val="-4"/>
                <w:sz w:val="13"/>
              </w:rPr>
              <w:t>m)</w:t>
            </w:r>
          </w:p>
        </w:tc>
        <w:tc>
          <w:tcPr>
            <w:tcW w:w="880" w:type="dxa"/>
          </w:tcPr>
          <w:p w14:paraId="0E8BA591" w14:textId="77777777" w:rsidR="00A07595" w:rsidRDefault="00A07595" w:rsidP="00FD5EF5">
            <w:pPr>
              <w:pStyle w:val="TableParagraph"/>
              <w:ind w:left="110" w:right="137"/>
              <w:jc w:val="left"/>
              <w:rPr>
                <w:b/>
                <w:sz w:val="13"/>
              </w:rPr>
            </w:pPr>
            <w:r>
              <w:rPr>
                <w:b/>
                <w:spacing w:val="-2"/>
                <w:sz w:val="13"/>
              </w:rPr>
              <w:t>Metaxylem</w:t>
            </w:r>
            <w:r>
              <w:rPr>
                <w:b/>
                <w:spacing w:val="40"/>
                <w:sz w:val="13"/>
              </w:rPr>
              <w:t xml:space="preserve"> </w:t>
            </w:r>
            <w:r>
              <w:rPr>
                <w:b/>
                <w:spacing w:val="-2"/>
                <w:sz w:val="13"/>
              </w:rPr>
              <w:t>thickness</w:t>
            </w:r>
            <w:r>
              <w:rPr>
                <w:b/>
                <w:spacing w:val="40"/>
                <w:sz w:val="13"/>
              </w:rPr>
              <w:t xml:space="preserve"> </w:t>
            </w:r>
            <w:r>
              <w:rPr>
                <w:b/>
                <w:spacing w:val="-4"/>
                <w:sz w:val="13"/>
              </w:rPr>
              <w:t>(</w:t>
            </w:r>
            <w:r>
              <w:rPr>
                <w:rFonts w:ascii="Symbol" w:hAnsi="Symbol"/>
                <w:b/>
                <w:spacing w:val="-4"/>
                <w:sz w:val="13"/>
              </w:rPr>
              <w:t></w:t>
            </w:r>
            <w:r>
              <w:rPr>
                <w:b/>
                <w:spacing w:val="-4"/>
                <w:sz w:val="13"/>
              </w:rPr>
              <w:t>m)</w:t>
            </w:r>
          </w:p>
        </w:tc>
        <w:tc>
          <w:tcPr>
            <w:tcW w:w="746" w:type="dxa"/>
          </w:tcPr>
          <w:p w14:paraId="1E5B75B5" w14:textId="77777777" w:rsidR="00A07595" w:rsidRDefault="00A07595" w:rsidP="00FD5EF5">
            <w:pPr>
              <w:pStyle w:val="TableParagraph"/>
              <w:ind w:left="112" w:right="107"/>
              <w:jc w:val="left"/>
              <w:rPr>
                <w:b/>
                <w:sz w:val="13"/>
              </w:rPr>
            </w:pPr>
            <w:proofErr w:type="spellStart"/>
            <w:r>
              <w:rPr>
                <w:b/>
                <w:spacing w:val="-2"/>
                <w:sz w:val="13"/>
              </w:rPr>
              <w:t>Metaxyle</w:t>
            </w:r>
            <w:proofErr w:type="spellEnd"/>
            <w:r>
              <w:rPr>
                <w:b/>
                <w:spacing w:val="40"/>
                <w:sz w:val="13"/>
              </w:rPr>
              <w:t xml:space="preserve"> </w:t>
            </w:r>
            <w:r>
              <w:rPr>
                <w:b/>
                <w:spacing w:val="-10"/>
                <w:sz w:val="13"/>
              </w:rPr>
              <w:t>m</w:t>
            </w:r>
          </w:p>
          <w:p w14:paraId="35BF65EA" w14:textId="77777777" w:rsidR="00A07595" w:rsidRDefault="00A07595" w:rsidP="00FD5EF5">
            <w:pPr>
              <w:pStyle w:val="TableParagraph"/>
              <w:spacing w:line="149" w:lineRule="exact"/>
              <w:ind w:left="112"/>
              <w:jc w:val="left"/>
              <w:rPr>
                <w:b/>
                <w:sz w:val="13"/>
              </w:rPr>
            </w:pPr>
            <w:r>
              <w:rPr>
                <w:b/>
                <w:spacing w:val="-4"/>
                <w:sz w:val="13"/>
              </w:rPr>
              <w:t>Area</w:t>
            </w:r>
          </w:p>
          <w:p w14:paraId="0AB58E97" w14:textId="77777777" w:rsidR="00A07595" w:rsidRDefault="00A07595" w:rsidP="00FD5EF5">
            <w:pPr>
              <w:pStyle w:val="TableParagraph"/>
              <w:spacing w:line="139" w:lineRule="exact"/>
              <w:ind w:left="112"/>
              <w:jc w:val="left"/>
              <w:rPr>
                <w:b/>
                <w:sz w:val="13"/>
              </w:rPr>
            </w:pPr>
            <w:r>
              <w:rPr>
                <w:b/>
                <w:spacing w:val="-2"/>
                <w:sz w:val="13"/>
              </w:rPr>
              <w:t>(</w:t>
            </w:r>
            <w:r>
              <w:rPr>
                <w:rFonts w:ascii="Symbol" w:hAnsi="Symbol"/>
                <w:b/>
                <w:spacing w:val="-2"/>
                <w:sz w:val="13"/>
              </w:rPr>
              <w:t></w:t>
            </w:r>
            <w:r>
              <w:rPr>
                <w:b/>
                <w:spacing w:val="-2"/>
                <w:sz w:val="13"/>
              </w:rPr>
              <w:t>m</w:t>
            </w:r>
            <w:r>
              <w:rPr>
                <w:b/>
                <w:spacing w:val="-2"/>
                <w:sz w:val="13"/>
                <w:vertAlign w:val="superscript"/>
              </w:rPr>
              <w:t>2</w:t>
            </w:r>
            <w:r>
              <w:rPr>
                <w:b/>
                <w:spacing w:val="-2"/>
                <w:sz w:val="13"/>
              </w:rPr>
              <w:t>)</w:t>
            </w:r>
          </w:p>
        </w:tc>
        <w:tc>
          <w:tcPr>
            <w:tcW w:w="868" w:type="dxa"/>
          </w:tcPr>
          <w:p w14:paraId="722BDC64" w14:textId="77777777" w:rsidR="00A07595" w:rsidRDefault="00A07595" w:rsidP="00FD5EF5">
            <w:pPr>
              <w:pStyle w:val="TableParagraph"/>
              <w:ind w:left="112" w:right="187"/>
              <w:jc w:val="left"/>
              <w:rPr>
                <w:b/>
                <w:sz w:val="13"/>
              </w:rPr>
            </w:pPr>
            <w:r>
              <w:rPr>
                <w:b/>
                <w:spacing w:val="-2"/>
                <w:sz w:val="13"/>
              </w:rPr>
              <w:t>Phloem</w:t>
            </w:r>
            <w:r>
              <w:rPr>
                <w:b/>
                <w:spacing w:val="40"/>
                <w:sz w:val="13"/>
              </w:rPr>
              <w:t xml:space="preserve"> </w:t>
            </w:r>
            <w:r>
              <w:rPr>
                <w:b/>
                <w:spacing w:val="-2"/>
                <w:sz w:val="13"/>
              </w:rPr>
              <w:t>Thickness</w:t>
            </w:r>
            <w:r>
              <w:rPr>
                <w:b/>
                <w:spacing w:val="40"/>
                <w:sz w:val="13"/>
              </w:rPr>
              <w:t xml:space="preserve"> </w:t>
            </w:r>
            <w:r>
              <w:rPr>
                <w:b/>
                <w:spacing w:val="-4"/>
                <w:sz w:val="13"/>
              </w:rPr>
              <w:t>(</w:t>
            </w:r>
            <w:r>
              <w:rPr>
                <w:rFonts w:ascii="Symbol" w:hAnsi="Symbol"/>
                <w:b/>
                <w:spacing w:val="-4"/>
                <w:sz w:val="13"/>
              </w:rPr>
              <w:t></w:t>
            </w:r>
            <w:r>
              <w:rPr>
                <w:b/>
                <w:spacing w:val="-4"/>
                <w:sz w:val="13"/>
              </w:rPr>
              <w:t>m)</w:t>
            </w:r>
          </w:p>
        </w:tc>
        <w:tc>
          <w:tcPr>
            <w:tcW w:w="705" w:type="dxa"/>
          </w:tcPr>
          <w:p w14:paraId="17B2E89C" w14:textId="77777777" w:rsidR="00A07595" w:rsidRDefault="00A07595" w:rsidP="00FD5EF5">
            <w:pPr>
              <w:pStyle w:val="TableParagraph"/>
              <w:ind w:left="113" w:right="155"/>
              <w:jc w:val="left"/>
              <w:rPr>
                <w:b/>
                <w:sz w:val="13"/>
              </w:rPr>
            </w:pPr>
            <w:r>
              <w:rPr>
                <w:b/>
                <w:spacing w:val="-2"/>
                <w:sz w:val="13"/>
              </w:rPr>
              <w:t>Phloem</w:t>
            </w:r>
            <w:r>
              <w:rPr>
                <w:b/>
                <w:spacing w:val="40"/>
                <w:sz w:val="13"/>
              </w:rPr>
              <w:t xml:space="preserve"> </w:t>
            </w:r>
            <w:r>
              <w:rPr>
                <w:b/>
                <w:spacing w:val="-4"/>
                <w:sz w:val="13"/>
              </w:rPr>
              <w:t>Area</w:t>
            </w:r>
            <w:r>
              <w:rPr>
                <w:b/>
                <w:spacing w:val="40"/>
                <w:sz w:val="13"/>
              </w:rPr>
              <w:t xml:space="preserve"> </w:t>
            </w:r>
            <w:r>
              <w:rPr>
                <w:b/>
                <w:spacing w:val="-2"/>
                <w:sz w:val="13"/>
              </w:rPr>
              <w:t>(</w:t>
            </w:r>
            <w:r>
              <w:rPr>
                <w:rFonts w:ascii="Symbol" w:hAnsi="Symbol"/>
                <w:b/>
                <w:spacing w:val="-2"/>
                <w:sz w:val="13"/>
              </w:rPr>
              <w:t></w:t>
            </w:r>
            <w:r>
              <w:rPr>
                <w:b/>
                <w:spacing w:val="-2"/>
                <w:sz w:val="13"/>
              </w:rPr>
              <w:t>m</w:t>
            </w:r>
            <w:r>
              <w:rPr>
                <w:b/>
                <w:spacing w:val="-2"/>
                <w:sz w:val="13"/>
                <w:vertAlign w:val="superscript"/>
              </w:rPr>
              <w:t>2</w:t>
            </w:r>
            <w:r>
              <w:rPr>
                <w:b/>
                <w:spacing w:val="-2"/>
                <w:sz w:val="13"/>
              </w:rPr>
              <w:t>)</w:t>
            </w:r>
          </w:p>
        </w:tc>
      </w:tr>
      <w:tr w:rsidR="00A07595" w14:paraId="21CDB005" w14:textId="77777777" w:rsidTr="00103B13">
        <w:trPr>
          <w:trHeight w:val="414"/>
        </w:trPr>
        <w:tc>
          <w:tcPr>
            <w:tcW w:w="1214" w:type="dxa"/>
            <w:tcBorders>
              <w:bottom w:val="single" w:sz="4" w:space="0" w:color="auto"/>
            </w:tcBorders>
          </w:tcPr>
          <w:p w14:paraId="1AB7F18C" w14:textId="57D1F61C" w:rsidR="00A07595" w:rsidRPr="00103B13" w:rsidRDefault="00103B13" w:rsidP="00FD5EF5">
            <w:pPr>
              <w:pStyle w:val="TableParagraph"/>
              <w:spacing w:before="1" w:line="480" w:lineRule="auto"/>
              <w:ind w:left="107" w:right="193"/>
              <w:jc w:val="left"/>
              <w:rPr>
                <w:b/>
                <w:bCs/>
                <w:sz w:val="16"/>
              </w:rPr>
            </w:pPr>
            <w:r w:rsidRPr="00103B13">
              <w:rPr>
                <w:b/>
                <w:bCs/>
                <w:sz w:val="16"/>
              </w:rPr>
              <w:t xml:space="preserve">Midstream </w:t>
            </w:r>
            <w:r w:rsidR="00A07595" w:rsidRPr="00103B13">
              <w:rPr>
                <w:b/>
                <w:bCs/>
                <w:spacing w:val="40"/>
                <w:sz w:val="16"/>
              </w:rPr>
              <w:t xml:space="preserve"> </w:t>
            </w:r>
          </w:p>
        </w:tc>
        <w:tc>
          <w:tcPr>
            <w:tcW w:w="799" w:type="dxa"/>
          </w:tcPr>
          <w:p w14:paraId="1DBA5676" w14:textId="42F23351" w:rsidR="00A07595" w:rsidRDefault="006E0A57" w:rsidP="00FD5EF5">
            <w:pPr>
              <w:pStyle w:val="TableParagraph"/>
              <w:spacing w:before="2"/>
              <w:ind w:left="13" w:right="3"/>
              <w:rPr>
                <w:sz w:val="18"/>
              </w:rPr>
            </w:pPr>
            <w:r>
              <w:rPr>
                <w:spacing w:val="-4"/>
                <w:sz w:val="18"/>
              </w:rPr>
              <w:t>5</w:t>
            </w:r>
            <w:r w:rsidR="00A07595">
              <w:rPr>
                <w:spacing w:val="-4"/>
                <w:sz w:val="18"/>
              </w:rPr>
              <w:t>57</w:t>
            </w:r>
            <w:r w:rsidR="00A07595">
              <w:rPr>
                <w:spacing w:val="-4"/>
                <w:sz w:val="18"/>
                <w:vertAlign w:val="superscript"/>
              </w:rPr>
              <w:t>b</w:t>
            </w:r>
          </w:p>
        </w:tc>
        <w:tc>
          <w:tcPr>
            <w:tcW w:w="893" w:type="dxa"/>
          </w:tcPr>
          <w:p w14:paraId="1093B51A" w14:textId="4B247811" w:rsidR="00A07595" w:rsidRDefault="006E0A57" w:rsidP="00FD5EF5">
            <w:pPr>
              <w:pStyle w:val="TableParagraph"/>
              <w:spacing w:before="2"/>
              <w:ind w:right="2"/>
              <w:rPr>
                <w:sz w:val="18"/>
              </w:rPr>
            </w:pPr>
            <w:r>
              <w:rPr>
                <w:spacing w:val="-2"/>
                <w:sz w:val="18"/>
              </w:rPr>
              <w:t>2</w:t>
            </w:r>
            <w:r w:rsidR="00A07595">
              <w:rPr>
                <w:spacing w:val="-2"/>
                <w:sz w:val="18"/>
              </w:rPr>
              <w:t>5.61</w:t>
            </w:r>
            <w:r w:rsidR="00A07595">
              <w:rPr>
                <w:spacing w:val="-2"/>
                <w:sz w:val="18"/>
                <w:vertAlign w:val="superscript"/>
              </w:rPr>
              <w:t>c</w:t>
            </w:r>
          </w:p>
        </w:tc>
        <w:tc>
          <w:tcPr>
            <w:tcW w:w="892" w:type="dxa"/>
          </w:tcPr>
          <w:p w14:paraId="0D975DD2" w14:textId="20AB6FBF" w:rsidR="00A07595" w:rsidRDefault="00742186" w:rsidP="00FD5EF5">
            <w:pPr>
              <w:pStyle w:val="TableParagraph"/>
              <w:spacing w:before="2"/>
              <w:rPr>
                <w:sz w:val="18"/>
              </w:rPr>
            </w:pPr>
            <w:r>
              <w:rPr>
                <w:spacing w:val="-4"/>
                <w:sz w:val="18"/>
              </w:rPr>
              <w:t>15</w:t>
            </w:r>
            <w:r w:rsidR="00A07595">
              <w:rPr>
                <w:spacing w:val="-4"/>
                <w:sz w:val="18"/>
              </w:rPr>
              <w:t>0</w:t>
            </w:r>
            <w:r w:rsidR="00A07595">
              <w:rPr>
                <w:spacing w:val="-4"/>
                <w:sz w:val="18"/>
                <w:vertAlign w:val="superscript"/>
              </w:rPr>
              <w:t>b</w:t>
            </w:r>
          </w:p>
        </w:tc>
        <w:tc>
          <w:tcPr>
            <w:tcW w:w="1015" w:type="dxa"/>
          </w:tcPr>
          <w:p w14:paraId="02F6FDAF" w14:textId="77777777" w:rsidR="00A07595" w:rsidRDefault="00A07595" w:rsidP="00FD5EF5">
            <w:pPr>
              <w:pStyle w:val="TableParagraph"/>
              <w:spacing w:before="2"/>
              <w:ind w:left="16" w:right="3"/>
              <w:rPr>
                <w:sz w:val="18"/>
              </w:rPr>
            </w:pPr>
            <w:r>
              <w:rPr>
                <w:spacing w:val="-2"/>
                <w:sz w:val="18"/>
              </w:rPr>
              <w:t>18.97</w:t>
            </w:r>
            <w:r>
              <w:rPr>
                <w:spacing w:val="-2"/>
                <w:sz w:val="18"/>
                <w:vertAlign w:val="superscript"/>
              </w:rPr>
              <w:t>b</w:t>
            </w:r>
          </w:p>
        </w:tc>
        <w:tc>
          <w:tcPr>
            <w:tcW w:w="993" w:type="dxa"/>
          </w:tcPr>
          <w:p w14:paraId="586EE57C" w14:textId="751A90D8" w:rsidR="00A07595" w:rsidRDefault="00742186" w:rsidP="00FD5EF5">
            <w:pPr>
              <w:pStyle w:val="TableParagraph"/>
              <w:spacing w:before="2"/>
              <w:ind w:left="15" w:right="3"/>
              <w:rPr>
                <w:sz w:val="18"/>
              </w:rPr>
            </w:pPr>
            <w:r>
              <w:rPr>
                <w:spacing w:val="-2"/>
                <w:sz w:val="18"/>
              </w:rPr>
              <w:t>4</w:t>
            </w:r>
            <w:r w:rsidR="00A07595">
              <w:rPr>
                <w:spacing w:val="-2"/>
                <w:sz w:val="18"/>
              </w:rPr>
              <w:t>3.03</w:t>
            </w:r>
            <w:r w:rsidR="00A07595">
              <w:rPr>
                <w:spacing w:val="-2"/>
                <w:sz w:val="18"/>
                <w:vertAlign w:val="superscript"/>
              </w:rPr>
              <w:t>b</w:t>
            </w:r>
          </w:p>
        </w:tc>
        <w:tc>
          <w:tcPr>
            <w:tcW w:w="880" w:type="dxa"/>
          </w:tcPr>
          <w:p w14:paraId="3166A7C2" w14:textId="39EF221B" w:rsidR="00A07595" w:rsidRDefault="00A07595" w:rsidP="00FD5EF5">
            <w:pPr>
              <w:pStyle w:val="TableParagraph"/>
              <w:spacing w:before="2"/>
              <w:ind w:left="21" w:right="2"/>
              <w:rPr>
                <w:sz w:val="18"/>
              </w:rPr>
            </w:pPr>
            <w:r>
              <w:rPr>
                <w:spacing w:val="-2"/>
                <w:sz w:val="18"/>
              </w:rPr>
              <w:t>10</w:t>
            </w:r>
            <w:r w:rsidR="007C2481">
              <w:rPr>
                <w:spacing w:val="-2"/>
                <w:sz w:val="18"/>
              </w:rPr>
              <w:t>4</w:t>
            </w:r>
            <w:r>
              <w:rPr>
                <w:spacing w:val="-2"/>
                <w:sz w:val="18"/>
              </w:rPr>
              <w:t>.</w:t>
            </w:r>
            <w:r w:rsidR="007C2481">
              <w:rPr>
                <w:spacing w:val="-2"/>
                <w:sz w:val="18"/>
              </w:rPr>
              <w:t>5</w:t>
            </w:r>
            <w:r>
              <w:rPr>
                <w:spacing w:val="-2"/>
                <w:sz w:val="18"/>
                <w:vertAlign w:val="superscript"/>
              </w:rPr>
              <w:t>a</w:t>
            </w:r>
          </w:p>
        </w:tc>
        <w:tc>
          <w:tcPr>
            <w:tcW w:w="746" w:type="dxa"/>
          </w:tcPr>
          <w:p w14:paraId="4A3E828F" w14:textId="26014AA8" w:rsidR="00A07595" w:rsidRDefault="007C2481" w:rsidP="00FD5EF5">
            <w:pPr>
              <w:pStyle w:val="TableParagraph"/>
              <w:spacing w:before="2"/>
              <w:ind w:left="21"/>
              <w:rPr>
                <w:sz w:val="18"/>
              </w:rPr>
            </w:pPr>
            <w:r>
              <w:rPr>
                <w:spacing w:val="-2"/>
                <w:sz w:val="18"/>
              </w:rPr>
              <w:t>8</w:t>
            </w:r>
            <w:r w:rsidR="00A07595">
              <w:rPr>
                <w:spacing w:val="-2"/>
                <w:sz w:val="18"/>
              </w:rPr>
              <w:t>00</w:t>
            </w:r>
            <w:r w:rsidR="00A07595">
              <w:rPr>
                <w:spacing w:val="-2"/>
                <w:sz w:val="18"/>
                <w:vertAlign w:val="superscript"/>
              </w:rPr>
              <w:t>b</w:t>
            </w:r>
          </w:p>
        </w:tc>
        <w:tc>
          <w:tcPr>
            <w:tcW w:w="868" w:type="dxa"/>
          </w:tcPr>
          <w:p w14:paraId="5B2393EB" w14:textId="723D32A2" w:rsidR="00A07595" w:rsidRDefault="007C2481" w:rsidP="00FD5EF5">
            <w:pPr>
              <w:pStyle w:val="TableParagraph"/>
              <w:spacing w:before="2"/>
              <w:ind w:left="222"/>
              <w:jc w:val="left"/>
              <w:rPr>
                <w:sz w:val="18"/>
              </w:rPr>
            </w:pPr>
            <w:r>
              <w:rPr>
                <w:spacing w:val="-2"/>
                <w:sz w:val="18"/>
              </w:rPr>
              <w:t>6</w:t>
            </w:r>
            <w:r w:rsidR="00A07595">
              <w:rPr>
                <w:spacing w:val="-2"/>
                <w:sz w:val="18"/>
              </w:rPr>
              <w:t>.30</w:t>
            </w:r>
            <w:r w:rsidR="00A07595">
              <w:rPr>
                <w:spacing w:val="-2"/>
                <w:sz w:val="18"/>
                <w:vertAlign w:val="superscript"/>
              </w:rPr>
              <w:t>ab</w:t>
            </w:r>
          </w:p>
        </w:tc>
        <w:tc>
          <w:tcPr>
            <w:tcW w:w="705" w:type="dxa"/>
          </w:tcPr>
          <w:p w14:paraId="7EEE94C1" w14:textId="5A1B624D" w:rsidR="00A07595" w:rsidRDefault="007C2481" w:rsidP="00FD5EF5">
            <w:pPr>
              <w:pStyle w:val="TableParagraph"/>
              <w:spacing w:before="2"/>
              <w:ind w:left="26" w:right="3"/>
              <w:rPr>
                <w:sz w:val="18"/>
              </w:rPr>
            </w:pPr>
            <w:r>
              <w:rPr>
                <w:spacing w:val="-2"/>
                <w:sz w:val="18"/>
              </w:rPr>
              <w:t>3</w:t>
            </w:r>
            <w:r w:rsidR="00A07595">
              <w:rPr>
                <w:spacing w:val="-2"/>
                <w:sz w:val="18"/>
              </w:rPr>
              <w:t>3.70</w:t>
            </w:r>
            <w:r w:rsidR="00A07595">
              <w:rPr>
                <w:spacing w:val="-2"/>
                <w:sz w:val="18"/>
                <w:vertAlign w:val="superscript"/>
              </w:rPr>
              <w:t>b</w:t>
            </w:r>
          </w:p>
        </w:tc>
      </w:tr>
      <w:tr w:rsidR="00A07595" w14:paraId="0E0F2165" w14:textId="77777777" w:rsidTr="00103B13">
        <w:trPr>
          <w:trHeight w:val="414"/>
        </w:trPr>
        <w:tc>
          <w:tcPr>
            <w:tcW w:w="1214" w:type="dxa"/>
            <w:tcBorders>
              <w:top w:val="single" w:sz="4" w:space="0" w:color="auto"/>
              <w:bottom w:val="single" w:sz="4" w:space="0" w:color="auto"/>
            </w:tcBorders>
          </w:tcPr>
          <w:p w14:paraId="6AE665B0" w14:textId="6F13EF24" w:rsidR="00A07595" w:rsidRPr="00103B13" w:rsidRDefault="00103B13" w:rsidP="00FD5EF5">
            <w:pPr>
              <w:pStyle w:val="TableParagraph"/>
              <w:spacing w:before="1" w:line="480" w:lineRule="auto"/>
              <w:ind w:left="107" w:right="193"/>
              <w:jc w:val="left"/>
              <w:rPr>
                <w:b/>
                <w:bCs/>
                <w:sz w:val="2"/>
                <w:szCs w:val="2"/>
              </w:rPr>
            </w:pPr>
            <w:r w:rsidRPr="00103B13">
              <w:rPr>
                <w:b/>
                <w:bCs/>
                <w:spacing w:val="-2"/>
                <w:sz w:val="16"/>
              </w:rPr>
              <w:t xml:space="preserve">Upstream </w:t>
            </w:r>
          </w:p>
        </w:tc>
        <w:tc>
          <w:tcPr>
            <w:tcW w:w="799" w:type="dxa"/>
          </w:tcPr>
          <w:p w14:paraId="23D801C8" w14:textId="16A3A9B4" w:rsidR="00A07595" w:rsidRDefault="006E0A57" w:rsidP="00FD5EF5">
            <w:pPr>
              <w:pStyle w:val="TableParagraph"/>
              <w:spacing w:line="207" w:lineRule="exact"/>
              <w:ind w:left="13"/>
              <w:rPr>
                <w:sz w:val="18"/>
              </w:rPr>
            </w:pPr>
            <w:r>
              <w:rPr>
                <w:spacing w:val="-4"/>
                <w:sz w:val="18"/>
              </w:rPr>
              <w:t>7</w:t>
            </w:r>
            <w:r w:rsidR="00A07595">
              <w:rPr>
                <w:spacing w:val="-4"/>
                <w:sz w:val="18"/>
              </w:rPr>
              <w:t>46</w:t>
            </w:r>
            <w:r w:rsidR="00A07595">
              <w:rPr>
                <w:spacing w:val="-4"/>
                <w:sz w:val="18"/>
                <w:vertAlign w:val="superscript"/>
              </w:rPr>
              <w:t>a</w:t>
            </w:r>
          </w:p>
        </w:tc>
        <w:tc>
          <w:tcPr>
            <w:tcW w:w="893" w:type="dxa"/>
          </w:tcPr>
          <w:p w14:paraId="30C91E6A" w14:textId="7DCBB7D3" w:rsidR="00A07595" w:rsidRDefault="006E0A57" w:rsidP="00FD5EF5">
            <w:pPr>
              <w:pStyle w:val="TableParagraph"/>
              <w:spacing w:line="207" w:lineRule="exact"/>
              <w:ind w:right="2"/>
              <w:rPr>
                <w:sz w:val="18"/>
              </w:rPr>
            </w:pPr>
            <w:r>
              <w:rPr>
                <w:spacing w:val="-2"/>
                <w:sz w:val="18"/>
              </w:rPr>
              <w:t>3</w:t>
            </w:r>
            <w:r w:rsidR="00A07595">
              <w:rPr>
                <w:spacing w:val="-2"/>
                <w:sz w:val="18"/>
              </w:rPr>
              <w:t>4.51</w:t>
            </w:r>
            <w:r w:rsidR="00A07595">
              <w:rPr>
                <w:spacing w:val="-2"/>
                <w:sz w:val="18"/>
                <w:vertAlign w:val="superscript"/>
              </w:rPr>
              <w:t>a</w:t>
            </w:r>
          </w:p>
        </w:tc>
        <w:tc>
          <w:tcPr>
            <w:tcW w:w="892" w:type="dxa"/>
          </w:tcPr>
          <w:p w14:paraId="2EA08A4C" w14:textId="6E1ACE8A" w:rsidR="00A07595" w:rsidRDefault="00742186" w:rsidP="00FD5EF5">
            <w:pPr>
              <w:pStyle w:val="TableParagraph"/>
              <w:spacing w:line="207" w:lineRule="exact"/>
              <w:ind w:right="2"/>
              <w:rPr>
                <w:sz w:val="18"/>
              </w:rPr>
            </w:pPr>
            <w:bookmarkStart w:id="7" w:name="_Hlk197165882"/>
            <w:r>
              <w:rPr>
                <w:spacing w:val="-2"/>
                <w:sz w:val="18"/>
              </w:rPr>
              <w:t>3</w:t>
            </w:r>
            <w:r w:rsidR="00A07595">
              <w:rPr>
                <w:spacing w:val="-2"/>
                <w:sz w:val="18"/>
              </w:rPr>
              <w:t>71.5</w:t>
            </w:r>
            <w:r w:rsidR="00A07595">
              <w:rPr>
                <w:spacing w:val="-2"/>
                <w:sz w:val="18"/>
                <w:vertAlign w:val="superscript"/>
              </w:rPr>
              <w:t>a</w:t>
            </w:r>
            <w:bookmarkEnd w:id="7"/>
          </w:p>
        </w:tc>
        <w:tc>
          <w:tcPr>
            <w:tcW w:w="1015" w:type="dxa"/>
          </w:tcPr>
          <w:p w14:paraId="5FE64B84" w14:textId="77777777" w:rsidR="00A07595" w:rsidRDefault="00A07595" w:rsidP="00FD5EF5">
            <w:pPr>
              <w:pStyle w:val="TableParagraph"/>
              <w:spacing w:line="207" w:lineRule="exact"/>
              <w:ind w:left="16"/>
              <w:rPr>
                <w:sz w:val="18"/>
              </w:rPr>
            </w:pPr>
            <w:r>
              <w:rPr>
                <w:spacing w:val="-2"/>
                <w:sz w:val="18"/>
              </w:rPr>
              <w:t>31.72</w:t>
            </w:r>
            <w:r>
              <w:rPr>
                <w:spacing w:val="-2"/>
                <w:sz w:val="18"/>
                <w:vertAlign w:val="superscript"/>
              </w:rPr>
              <w:t>a</w:t>
            </w:r>
          </w:p>
        </w:tc>
        <w:tc>
          <w:tcPr>
            <w:tcW w:w="993" w:type="dxa"/>
          </w:tcPr>
          <w:p w14:paraId="20EBF2DA" w14:textId="3BAE6A74" w:rsidR="00A07595" w:rsidRDefault="00742186" w:rsidP="00FD5EF5">
            <w:pPr>
              <w:pStyle w:val="TableParagraph"/>
              <w:spacing w:line="207" w:lineRule="exact"/>
              <w:ind w:left="15"/>
              <w:rPr>
                <w:sz w:val="18"/>
              </w:rPr>
            </w:pPr>
            <w:r>
              <w:rPr>
                <w:spacing w:val="-2"/>
                <w:sz w:val="18"/>
              </w:rPr>
              <w:t>1</w:t>
            </w:r>
            <w:r w:rsidR="00A07595">
              <w:rPr>
                <w:spacing w:val="-2"/>
                <w:sz w:val="18"/>
              </w:rPr>
              <w:t>08.6</w:t>
            </w:r>
            <w:r w:rsidR="00A07595">
              <w:rPr>
                <w:spacing w:val="-2"/>
                <w:sz w:val="18"/>
                <w:vertAlign w:val="superscript"/>
              </w:rPr>
              <w:t>a</w:t>
            </w:r>
          </w:p>
        </w:tc>
        <w:tc>
          <w:tcPr>
            <w:tcW w:w="880" w:type="dxa"/>
          </w:tcPr>
          <w:p w14:paraId="16D05E41" w14:textId="588D1BB3" w:rsidR="00A07595" w:rsidRDefault="00A07595" w:rsidP="00FD5EF5">
            <w:pPr>
              <w:pStyle w:val="TableParagraph"/>
              <w:spacing w:line="207" w:lineRule="exact"/>
              <w:ind w:left="21" w:right="2"/>
              <w:rPr>
                <w:sz w:val="18"/>
              </w:rPr>
            </w:pPr>
            <w:r>
              <w:rPr>
                <w:spacing w:val="-2"/>
                <w:sz w:val="18"/>
              </w:rPr>
              <w:t>11</w:t>
            </w:r>
            <w:r w:rsidR="007C2481">
              <w:rPr>
                <w:spacing w:val="-2"/>
                <w:sz w:val="18"/>
              </w:rPr>
              <w:t>5</w:t>
            </w:r>
            <w:r>
              <w:rPr>
                <w:spacing w:val="-2"/>
                <w:sz w:val="18"/>
              </w:rPr>
              <w:t>.3</w:t>
            </w:r>
            <w:r>
              <w:rPr>
                <w:spacing w:val="-2"/>
                <w:sz w:val="18"/>
                <w:vertAlign w:val="superscript"/>
              </w:rPr>
              <w:t>a</w:t>
            </w:r>
          </w:p>
        </w:tc>
        <w:tc>
          <w:tcPr>
            <w:tcW w:w="746" w:type="dxa"/>
          </w:tcPr>
          <w:p w14:paraId="52BC9AE9" w14:textId="2AB41999" w:rsidR="00A07595" w:rsidRDefault="007C2481" w:rsidP="00FD5EF5">
            <w:pPr>
              <w:pStyle w:val="TableParagraph"/>
              <w:spacing w:line="207" w:lineRule="exact"/>
              <w:ind w:left="21" w:right="2"/>
              <w:rPr>
                <w:sz w:val="18"/>
              </w:rPr>
            </w:pPr>
            <w:r>
              <w:rPr>
                <w:spacing w:val="-2"/>
                <w:sz w:val="18"/>
              </w:rPr>
              <w:t>15</w:t>
            </w:r>
            <w:r w:rsidR="00A07595">
              <w:rPr>
                <w:spacing w:val="-2"/>
                <w:sz w:val="18"/>
              </w:rPr>
              <w:t>589</w:t>
            </w:r>
            <w:r w:rsidR="00A07595">
              <w:rPr>
                <w:spacing w:val="-2"/>
                <w:sz w:val="18"/>
                <w:vertAlign w:val="superscript"/>
              </w:rPr>
              <w:t>a</w:t>
            </w:r>
          </w:p>
        </w:tc>
        <w:tc>
          <w:tcPr>
            <w:tcW w:w="868" w:type="dxa"/>
          </w:tcPr>
          <w:p w14:paraId="288FB86F" w14:textId="2CD24694" w:rsidR="00A07595" w:rsidRDefault="00A07595" w:rsidP="00FD5EF5">
            <w:pPr>
              <w:pStyle w:val="TableParagraph"/>
              <w:spacing w:line="207" w:lineRule="exact"/>
              <w:ind w:left="20"/>
              <w:rPr>
                <w:sz w:val="18"/>
              </w:rPr>
            </w:pPr>
            <w:r>
              <w:rPr>
                <w:spacing w:val="-2"/>
                <w:sz w:val="18"/>
              </w:rPr>
              <w:t>1</w:t>
            </w:r>
            <w:r w:rsidR="007C2481">
              <w:rPr>
                <w:spacing w:val="-2"/>
                <w:sz w:val="18"/>
              </w:rPr>
              <w:t>9</w:t>
            </w:r>
            <w:r>
              <w:rPr>
                <w:spacing w:val="-2"/>
                <w:sz w:val="18"/>
              </w:rPr>
              <w:t>.34</w:t>
            </w:r>
            <w:r>
              <w:rPr>
                <w:spacing w:val="-2"/>
                <w:sz w:val="18"/>
                <w:vertAlign w:val="superscript"/>
              </w:rPr>
              <w:t>a</w:t>
            </w:r>
          </w:p>
        </w:tc>
        <w:tc>
          <w:tcPr>
            <w:tcW w:w="705" w:type="dxa"/>
          </w:tcPr>
          <w:p w14:paraId="2CA3415C" w14:textId="3D8FE615" w:rsidR="00A07595" w:rsidRDefault="007C2481" w:rsidP="00FD5EF5">
            <w:pPr>
              <w:pStyle w:val="TableParagraph"/>
              <w:spacing w:line="207" w:lineRule="exact"/>
              <w:ind w:left="26"/>
              <w:rPr>
                <w:sz w:val="18"/>
              </w:rPr>
            </w:pPr>
            <w:r>
              <w:rPr>
                <w:spacing w:val="-2"/>
                <w:sz w:val="18"/>
              </w:rPr>
              <w:t>1</w:t>
            </w:r>
            <w:r w:rsidR="00A07595">
              <w:rPr>
                <w:spacing w:val="-2"/>
                <w:sz w:val="18"/>
              </w:rPr>
              <w:t>0</w:t>
            </w:r>
            <w:r>
              <w:rPr>
                <w:spacing w:val="-2"/>
                <w:sz w:val="18"/>
              </w:rPr>
              <w:t>7</w:t>
            </w:r>
            <w:r w:rsidR="00A07595">
              <w:rPr>
                <w:spacing w:val="-2"/>
                <w:sz w:val="18"/>
              </w:rPr>
              <w:t>.7</w:t>
            </w:r>
            <w:r w:rsidR="00A07595">
              <w:rPr>
                <w:spacing w:val="-2"/>
                <w:sz w:val="18"/>
                <w:vertAlign w:val="superscript"/>
              </w:rPr>
              <w:t>a</w:t>
            </w:r>
          </w:p>
        </w:tc>
      </w:tr>
      <w:tr w:rsidR="00A07595" w14:paraId="39CCED1E" w14:textId="77777777" w:rsidTr="00103B13">
        <w:trPr>
          <w:trHeight w:val="681"/>
        </w:trPr>
        <w:tc>
          <w:tcPr>
            <w:tcW w:w="1214" w:type="dxa"/>
            <w:tcBorders>
              <w:top w:val="single" w:sz="4" w:space="0" w:color="auto"/>
            </w:tcBorders>
          </w:tcPr>
          <w:p w14:paraId="7580D14A" w14:textId="152A89B6" w:rsidR="00A07595" w:rsidRPr="00103B13" w:rsidRDefault="00103B13" w:rsidP="00FD5EF5">
            <w:pPr>
              <w:pStyle w:val="TableParagraph"/>
              <w:spacing w:before="1" w:line="480" w:lineRule="auto"/>
              <w:ind w:left="107" w:right="193"/>
              <w:jc w:val="left"/>
              <w:rPr>
                <w:b/>
                <w:bCs/>
                <w:sz w:val="2"/>
                <w:szCs w:val="2"/>
              </w:rPr>
            </w:pPr>
            <w:r w:rsidRPr="00103B13">
              <w:rPr>
                <w:b/>
                <w:bCs/>
                <w:spacing w:val="-2"/>
                <w:sz w:val="16"/>
              </w:rPr>
              <w:t xml:space="preserve">Downstream </w:t>
            </w:r>
          </w:p>
        </w:tc>
        <w:tc>
          <w:tcPr>
            <w:tcW w:w="799" w:type="dxa"/>
          </w:tcPr>
          <w:p w14:paraId="69EA0D86" w14:textId="100AA4CD" w:rsidR="00A07595" w:rsidRDefault="006E0A57" w:rsidP="00FD5EF5">
            <w:pPr>
              <w:pStyle w:val="TableParagraph"/>
              <w:spacing w:line="207" w:lineRule="exact"/>
              <w:ind w:left="13"/>
              <w:rPr>
                <w:sz w:val="18"/>
              </w:rPr>
            </w:pPr>
            <w:r>
              <w:rPr>
                <w:spacing w:val="-4"/>
                <w:sz w:val="18"/>
              </w:rPr>
              <w:t>8</w:t>
            </w:r>
            <w:r w:rsidR="00A07595">
              <w:rPr>
                <w:spacing w:val="-4"/>
                <w:sz w:val="18"/>
              </w:rPr>
              <w:t>46</w:t>
            </w:r>
            <w:r w:rsidR="00A07595">
              <w:rPr>
                <w:spacing w:val="-4"/>
                <w:sz w:val="18"/>
                <w:vertAlign w:val="superscript"/>
              </w:rPr>
              <w:t>a</w:t>
            </w:r>
          </w:p>
        </w:tc>
        <w:tc>
          <w:tcPr>
            <w:tcW w:w="893" w:type="dxa"/>
          </w:tcPr>
          <w:p w14:paraId="5315C171" w14:textId="6EE09FE4" w:rsidR="00A07595" w:rsidRDefault="006E0A57" w:rsidP="00FD5EF5">
            <w:pPr>
              <w:pStyle w:val="TableParagraph"/>
              <w:spacing w:line="207" w:lineRule="exact"/>
              <w:rPr>
                <w:sz w:val="18"/>
              </w:rPr>
            </w:pPr>
            <w:r>
              <w:rPr>
                <w:spacing w:val="-2"/>
                <w:sz w:val="18"/>
              </w:rPr>
              <w:t>18</w:t>
            </w:r>
            <w:r w:rsidR="00A07595">
              <w:rPr>
                <w:spacing w:val="-2"/>
                <w:sz w:val="18"/>
              </w:rPr>
              <w:t>.00</w:t>
            </w:r>
            <w:r w:rsidR="00A07595">
              <w:rPr>
                <w:spacing w:val="-2"/>
                <w:sz w:val="18"/>
                <w:vertAlign w:val="superscript"/>
              </w:rPr>
              <w:t>b</w:t>
            </w:r>
          </w:p>
        </w:tc>
        <w:tc>
          <w:tcPr>
            <w:tcW w:w="892" w:type="dxa"/>
          </w:tcPr>
          <w:p w14:paraId="04AAFE3F" w14:textId="32434ABB" w:rsidR="00A07595" w:rsidRDefault="00742186" w:rsidP="00FD5EF5">
            <w:pPr>
              <w:pStyle w:val="TableParagraph"/>
              <w:spacing w:line="207" w:lineRule="exact"/>
              <w:ind w:right="2"/>
              <w:rPr>
                <w:sz w:val="18"/>
              </w:rPr>
            </w:pPr>
            <w:r>
              <w:rPr>
                <w:spacing w:val="-2"/>
                <w:sz w:val="18"/>
              </w:rPr>
              <w:t>14</w:t>
            </w:r>
            <w:r w:rsidR="00A07595">
              <w:rPr>
                <w:spacing w:val="-2"/>
                <w:sz w:val="18"/>
              </w:rPr>
              <w:t>4.8</w:t>
            </w:r>
            <w:r w:rsidR="00A07595">
              <w:rPr>
                <w:spacing w:val="-2"/>
                <w:sz w:val="18"/>
                <w:vertAlign w:val="superscript"/>
              </w:rPr>
              <w:t>c</w:t>
            </w:r>
          </w:p>
        </w:tc>
        <w:tc>
          <w:tcPr>
            <w:tcW w:w="1015" w:type="dxa"/>
          </w:tcPr>
          <w:p w14:paraId="2EE86378" w14:textId="77777777" w:rsidR="00A07595" w:rsidRDefault="00A07595" w:rsidP="00FD5EF5">
            <w:pPr>
              <w:pStyle w:val="TableParagraph"/>
              <w:spacing w:line="207" w:lineRule="exact"/>
              <w:ind w:left="16" w:right="3"/>
              <w:rPr>
                <w:sz w:val="18"/>
              </w:rPr>
            </w:pPr>
            <w:r>
              <w:rPr>
                <w:spacing w:val="-2"/>
                <w:sz w:val="18"/>
              </w:rPr>
              <w:t>25.57</w:t>
            </w:r>
            <w:r>
              <w:rPr>
                <w:spacing w:val="-2"/>
                <w:sz w:val="18"/>
                <w:vertAlign w:val="superscript"/>
              </w:rPr>
              <w:t>ab</w:t>
            </w:r>
          </w:p>
        </w:tc>
        <w:tc>
          <w:tcPr>
            <w:tcW w:w="993" w:type="dxa"/>
          </w:tcPr>
          <w:p w14:paraId="243CCF5B" w14:textId="29FA82A6" w:rsidR="00A07595" w:rsidRDefault="00742186" w:rsidP="00FD5EF5">
            <w:pPr>
              <w:pStyle w:val="TableParagraph"/>
              <w:spacing w:line="207" w:lineRule="exact"/>
              <w:ind w:left="15"/>
              <w:rPr>
                <w:sz w:val="18"/>
              </w:rPr>
            </w:pPr>
            <w:r>
              <w:rPr>
                <w:spacing w:val="-2"/>
                <w:sz w:val="18"/>
              </w:rPr>
              <w:t>1</w:t>
            </w:r>
            <w:r w:rsidR="00A07595">
              <w:rPr>
                <w:spacing w:val="-2"/>
                <w:sz w:val="18"/>
              </w:rPr>
              <w:t>13.5</w:t>
            </w:r>
            <w:r w:rsidR="00A07595">
              <w:rPr>
                <w:spacing w:val="-2"/>
                <w:sz w:val="18"/>
                <w:vertAlign w:val="superscript"/>
              </w:rPr>
              <w:t>a</w:t>
            </w:r>
          </w:p>
        </w:tc>
        <w:tc>
          <w:tcPr>
            <w:tcW w:w="880" w:type="dxa"/>
          </w:tcPr>
          <w:p w14:paraId="4BEBAAF4" w14:textId="79168018" w:rsidR="00A07595" w:rsidRDefault="007C2481" w:rsidP="00FD5EF5">
            <w:pPr>
              <w:pStyle w:val="TableParagraph"/>
              <w:spacing w:line="207" w:lineRule="exact"/>
              <w:ind w:left="21"/>
              <w:rPr>
                <w:sz w:val="18"/>
              </w:rPr>
            </w:pPr>
            <w:r>
              <w:rPr>
                <w:spacing w:val="-2"/>
                <w:sz w:val="18"/>
              </w:rPr>
              <w:t>44.</w:t>
            </w:r>
            <w:r w:rsidR="00A07595">
              <w:rPr>
                <w:spacing w:val="-2"/>
                <w:sz w:val="18"/>
              </w:rPr>
              <w:t>60</w:t>
            </w:r>
            <w:r w:rsidR="00A07595">
              <w:rPr>
                <w:spacing w:val="-2"/>
                <w:sz w:val="18"/>
                <w:vertAlign w:val="superscript"/>
              </w:rPr>
              <w:t>b</w:t>
            </w:r>
          </w:p>
        </w:tc>
        <w:tc>
          <w:tcPr>
            <w:tcW w:w="746" w:type="dxa"/>
          </w:tcPr>
          <w:p w14:paraId="2B0A24C3" w14:textId="77777777" w:rsidR="00A07595" w:rsidRDefault="00A07595" w:rsidP="00FD5EF5">
            <w:pPr>
              <w:pStyle w:val="TableParagraph"/>
              <w:spacing w:line="207" w:lineRule="exact"/>
              <w:ind w:left="21" w:right="2"/>
              <w:rPr>
                <w:sz w:val="18"/>
              </w:rPr>
            </w:pPr>
            <w:r>
              <w:rPr>
                <w:spacing w:val="-2"/>
                <w:sz w:val="18"/>
              </w:rPr>
              <w:t>1203</w:t>
            </w:r>
            <w:r>
              <w:rPr>
                <w:spacing w:val="-2"/>
                <w:sz w:val="18"/>
                <w:vertAlign w:val="superscript"/>
              </w:rPr>
              <w:t>c</w:t>
            </w:r>
          </w:p>
        </w:tc>
        <w:tc>
          <w:tcPr>
            <w:tcW w:w="868" w:type="dxa"/>
          </w:tcPr>
          <w:p w14:paraId="3F3129AD" w14:textId="5C41F300" w:rsidR="00A07595" w:rsidRDefault="007C2481" w:rsidP="00FD5EF5">
            <w:pPr>
              <w:pStyle w:val="TableParagraph"/>
              <w:spacing w:line="207" w:lineRule="exact"/>
              <w:ind w:left="20"/>
              <w:rPr>
                <w:sz w:val="18"/>
              </w:rPr>
            </w:pPr>
            <w:r>
              <w:rPr>
                <w:spacing w:val="-2"/>
                <w:sz w:val="18"/>
              </w:rPr>
              <w:t>23</w:t>
            </w:r>
            <w:r w:rsidR="00A07595">
              <w:rPr>
                <w:spacing w:val="-2"/>
                <w:sz w:val="18"/>
              </w:rPr>
              <w:t>.14</w:t>
            </w:r>
            <w:r w:rsidR="00A07595">
              <w:rPr>
                <w:spacing w:val="-2"/>
                <w:sz w:val="18"/>
                <w:vertAlign w:val="superscript"/>
              </w:rPr>
              <w:t>a</w:t>
            </w:r>
          </w:p>
        </w:tc>
        <w:tc>
          <w:tcPr>
            <w:tcW w:w="705" w:type="dxa"/>
          </w:tcPr>
          <w:p w14:paraId="5C18ADB5" w14:textId="7B13B776" w:rsidR="00A07595" w:rsidRDefault="007C2481" w:rsidP="00FD5EF5">
            <w:pPr>
              <w:pStyle w:val="TableParagraph"/>
              <w:spacing w:line="207" w:lineRule="exact"/>
              <w:ind w:left="26"/>
              <w:rPr>
                <w:sz w:val="18"/>
              </w:rPr>
            </w:pPr>
            <w:r>
              <w:rPr>
                <w:spacing w:val="-2"/>
                <w:sz w:val="18"/>
              </w:rPr>
              <w:t>1</w:t>
            </w:r>
            <w:r w:rsidR="00A07595">
              <w:rPr>
                <w:spacing w:val="-2"/>
                <w:sz w:val="18"/>
              </w:rPr>
              <w:t>0</w:t>
            </w:r>
            <w:r>
              <w:rPr>
                <w:spacing w:val="-2"/>
                <w:sz w:val="18"/>
              </w:rPr>
              <w:t>5</w:t>
            </w:r>
            <w:r w:rsidR="00A07595">
              <w:rPr>
                <w:spacing w:val="-2"/>
                <w:sz w:val="18"/>
              </w:rPr>
              <w:t>.9</w:t>
            </w:r>
            <w:r w:rsidR="00A07595">
              <w:rPr>
                <w:spacing w:val="-2"/>
                <w:sz w:val="18"/>
                <w:vertAlign w:val="superscript"/>
              </w:rPr>
              <w:t>a</w:t>
            </w:r>
          </w:p>
        </w:tc>
      </w:tr>
    </w:tbl>
    <w:p w14:paraId="2D259055" w14:textId="77777777" w:rsidR="00A07595" w:rsidRPr="00A07595" w:rsidRDefault="00A07595" w:rsidP="00A07595">
      <w:pPr>
        <w:jc w:val="both"/>
        <w:rPr>
          <w:rFonts w:ascii="Times New Roman" w:hAnsi="Times New Roman" w:cs="Times New Roman"/>
          <w:sz w:val="24"/>
          <w:szCs w:val="24"/>
        </w:rPr>
      </w:pPr>
    </w:p>
    <w:p w14:paraId="1EC6B7C4" w14:textId="77777777" w:rsidR="00FD5EF5" w:rsidRDefault="00FD5EF5" w:rsidP="00C23702">
      <w:pPr>
        <w:spacing w:line="480" w:lineRule="auto"/>
        <w:jc w:val="both"/>
        <w:rPr>
          <w:rFonts w:ascii="Times New Roman" w:hAnsi="Times New Roman" w:cs="Times New Roman"/>
          <w:b/>
          <w:sz w:val="24"/>
          <w:szCs w:val="24"/>
        </w:rPr>
      </w:pPr>
    </w:p>
    <w:p w14:paraId="24A00B51" w14:textId="77777777" w:rsidR="00FD5EF5" w:rsidRDefault="00FD5EF5" w:rsidP="00C23702">
      <w:pPr>
        <w:spacing w:line="480" w:lineRule="auto"/>
        <w:jc w:val="both"/>
        <w:rPr>
          <w:rFonts w:ascii="Times New Roman" w:hAnsi="Times New Roman" w:cs="Times New Roman"/>
          <w:b/>
          <w:sz w:val="24"/>
          <w:szCs w:val="24"/>
        </w:rPr>
      </w:pPr>
    </w:p>
    <w:p w14:paraId="476C6F48" w14:textId="77777777" w:rsidR="00FD5EF5" w:rsidRDefault="00FD5EF5" w:rsidP="00C23702">
      <w:pPr>
        <w:spacing w:line="480" w:lineRule="auto"/>
        <w:jc w:val="both"/>
        <w:rPr>
          <w:rFonts w:ascii="Times New Roman" w:hAnsi="Times New Roman" w:cs="Times New Roman"/>
          <w:b/>
          <w:sz w:val="24"/>
          <w:szCs w:val="24"/>
        </w:rPr>
      </w:pPr>
    </w:p>
    <w:p w14:paraId="66931782" w14:textId="77777777" w:rsidR="00FD5EF5" w:rsidRDefault="00FD5EF5" w:rsidP="00C23702">
      <w:pPr>
        <w:spacing w:line="480" w:lineRule="auto"/>
        <w:jc w:val="both"/>
        <w:rPr>
          <w:rFonts w:ascii="Times New Roman" w:hAnsi="Times New Roman" w:cs="Times New Roman"/>
          <w:b/>
          <w:sz w:val="24"/>
          <w:szCs w:val="24"/>
        </w:rPr>
      </w:pPr>
    </w:p>
    <w:p w14:paraId="0E799B9E" w14:textId="77777777" w:rsidR="00FD5EF5" w:rsidRDefault="00FD5EF5" w:rsidP="00C23702">
      <w:pPr>
        <w:spacing w:line="480" w:lineRule="auto"/>
        <w:jc w:val="both"/>
        <w:rPr>
          <w:rFonts w:ascii="Times New Roman" w:hAnsi="Times New Roman" w:cs="Times New Roman"/>
          <w:b/>
          <w:sz w:val="24"/>
          <w:szCs w:val="24"/>
        </w:rPr>
      </w:pPr>
    </w:p>
    <w:p w14:paraId="26A62086" w14:textId="77777777" w:rsidR="00FD5EF5" w:rsidRDefault="00FD5EF5" w:rsidP="00C23702">
      <w:pPr>
        <w:spacing w:line="480" w:lineRule="auto"/>
        <w:jc w:val="both"/>
        <w:rPr>
          <w:rFonts w:ascii="Times New Roman" w:hAnsi="Times New Roman" w:cs="Times New Roman"/>
          <w:b/>
          <w:sz w:val="24"/>
          <w:szCs w:val="24"/>
        </w:rPr>
      </w:pPr>
    </w:p>
    <w:p w14:paraId="35B14A8D" w14:textId="77777777" w:rsidR="00FD5EF5" w:rsidRDefault="00FD5EF5" w:rsidP="00C23702">
      <w:pPr>
        <w:spacing w:line="480" w:lineRule="auto"/>
        <w:jc w:val="both"/>
        <w:rPr>
          <w:rFonts w:ascii="Times New Roman" w:hAnsi="Times New Roman" w:cs="Times New Roman"/>
          <w:b/>
          <w:sz w:val="24"/>
          <w:szCs w:val="24"/>
        </w:rPr>
      </w:pPr>
    </w:p>
    <w:p w14:paraId="43E31BF5" w14:textId="77777777" w:rsidR="00FD5EF5" w:rsidRDefault="00FD5EF5" w:rsidP="00C23702">
      <w:pPr>
        <w:spacing w:line="480" w:lineRule="auto"/>
        <w:jc w:val="both"/>
        <w:rPr>
          <w:rFonts w:ascii="Times New Roman" w:hAnsi="Times New Roman" w:cs="Times New Roman"/>
          <w:b/>
          <w:sz w:val="24"/>
          <w:szCs w:val="24"/>
        </w:rPr>
      </w:pPr>
    </w:p>
    <w:p w14:paraId="7620E3E1" w14:textId="77777777" w:rsidR="00FD5EF5" w:rsidRDefault="00FD5EF5" w:rsidP="00C23702">
      <w:pPr>
        <w:spacing w:line="480" w:lineRule="auto"/>
        <w:jc w:val="both"/>
        <w:rPr>
          <w:rFonts w:ascii="Times New Roman" w:hAnsi="Times New Roman" w:cs="Times New Roman"/>
          <w:b/>
          <w:sz w:val="24"/>
          <w:szCs w:val="24"/>
        </w:rPr>
      </w:pPr>
    </w:p>
    <w:p w14:paraId="6BE21DD0" w14:textId="29EDDC48" w:rsidR="00A07595" w:rsidRPr="00A07595" w:rsidRDefault="00A07595" w:rsidP="00C23702">
      <w:pPr>
        <w:spacing w:line="480" w:lineRule="auto"/>
        <w:jc w:val="both"/>
        <w:rPr>
          <w:rFonts w:ascii="Times New Roman" w:hAnsi="Times New Roman" w:cs="Times New Roman"/>
          <w:b/>
          <w:sz w:val="24"/>
          <w:szCs w:val="24"/>
        </w:rPr>
      </w:pPr>
      <w:r w:rsidRPr="00A07595">
        <w:rPr>
          <w:rFonts w:ascii="Times New Roman" w:hAnsi="Times New Roman" w:cs="Times New Roman"/>
          <w:b/>
          <w:sz w:val="24"/>
          <w:szCs w:val="24"/>
        </w:rPr>
        <w:lastRenderedPageBreak/>
        <w:t xml:space="preserve">Leaf anatomy of </w:t>
      </w:r>
      <w:r w:rsidR="00C82ED9" w:rsidRPr="00C82ED9">
        <w:rPr>
          <w:rFonts w:ascii="Times New Roman" w:hAnsi="Times New Roman" w:cs="Times New Roman"/>
          <w:b/>
          <w:i/>
          <w:iCs/>
          <w:sz w:val="24"/>
          <w:szCs w:val="24"/>
        </w:rPr>
        <w:t>Nelumbo nucifera</w:t>
      </w:r>
      <w:r w:rsidR="00C82ED9" w:rsidRPr="00C82ED9">
        <w:rPr>
          <w:rFonts w:ascii="Times New Roman" w:hAnsi="Times New Roman" w:cs="Times New Roman"/>
          <w:b/>
          <w:i/>
          <w:sz w:val="24"/>
          <w:szCs w:val="24"/>
        </w:rPr>
        <w:t xml:space="preserve"> </w:t>
      </w:r>
      <w:r w:rsidR="0003237B" w:rsidRPr="0003237B">
        <w:rPr>
          <w:rFonts w:ascii="Times New Roman" w:hAnsi="Times New Roman" w:cs="Times New Roman"/>
          <w:b/>
          <w:sz w:val="24"/>
          <w:szCs w:val="24"/>
        </w:rPr>
        <w:t>collected from the study areas</w:t>
      </w:r>
      <w:r w:rsidR="0003237B">
        <w:rPr>
          <w:rFonts w:ascii="Times New Roman" w:hAnsi="Times New Roman" w:cs="Times New Roman"/>
          <w:b/>
          <w:sz w:val="24"/>
          <w:szCs w:val="24"/>
        </w:rPr>
        <w:t xml:space="preserve"> </w:t>
      </w:r>
    </w:p>
    <w:p w14:paraId="5C9EB1B1" w14:textId="4FD72F9D" w:rsidR="00A07595" w:rsidRDefault="00A07595" w:rsidP="00C23702">
      <w:pPr>
        <w:spacing w:line="480" w:lineRule="auto"/>
        <w:jc w:val="both"/>
        <w:rPr>
          <w:rFonts w:ascii="Times New Roman" w:hAnsi="Times New Roman" w:cs="Times New Roman"/>
          <w:sz w:val="24"/>
          <w:szCs w:val="24"/>
        </w:rPr>
      </w:pPr>
      <w:r w:rsidRPr="00A07595">
        <w:rPr>
          <w:rFonts w:ascii="Times New Roman" w:hAnsi="Times New Roman" w:cs="Times New Roman"/>
          <w:sz w:val="24"/>
          <w:szCs w:val="24"/>
        </w:rPr>
        <w:t xml:space="preserve">The leaves of water </w:t>
      </w:r>
      <w:r w:rsidR="0003237B">
        <w:rPr>
          <w:rFonts w:ascii="Times New Roman" w:hAnsi="Times New Roman" w:cs="Times New Roman"/>
          <w:sz w:val="24"/>
          <w:szCs w:val="24"/>
        </w:rPr>
        <w:t xml:space="preserve">lotus </w:t>
      </w:r>
      <w:r w:rsidRPr="00A07595">
        <w:rPr>
          <w:rFonts w:ascii="Times New Roman" w:hAnsi="Times New Roman" w:cs="Times New Roman"/>
          <w:sz w:val="24"/>
          <w:szCs w:val="24"/>
        </w:rPr>
        <w:t xml:space="preserve">collected from different </w:t>
      </w:r>
      <w:r w:rsidR="0003237B">
        <w:rPr>
          <w:rFonts w:ascii="Times New Roman" w:hAnsi="Times New Roman" w:cs="Times New Roman"/>
          <w:sz w:val="24"/>
          <w:szCs w:val="24"/>
        </w:rPr>
        <w:t>study sites</w:t>
      </w:r>
      <w:r w:rsidRPr="00A07595">
        <w:rPr>
          <w:rFonts w:ascii="Times New Roman" w:hAnsi="Times New Roman" w:cs="Times New Roman"/>
          <w:sz w:val="24"/>
          <w:szCs w:val="24"/>
        </w:rPr>
        <w:t xml:space="preserve"> displayed modified anatomical characteristics </w:t>
      </w:r>
      <w:r w:rsidR="0003237B">
        <w:rPr>
          <w:rFonts w:ascii="Times New Roman" w:hAnsi="Times New Roman" w:cs="Times New Roman"/>
          <w:sz w:val="24"/>
          <w:szCs w:val="24"/>
        </w:rPr>
        <w:t xml:space="preserve">as shown in </w:t>
      </w:r>
      <w:r w:rsidRPr="00A07595">
        <w:rPr>
          <w:rFonts w:ascii="Times New Roman" w:hAnsi="Times New Roman" w:cs="Times New Roman"/>
          <w:sz w:val="24"/>
          <w:szCs w:val="24"/>
        </w:rPr>
        <w:t>Figure 2</w:t>
      </w:r>
      <w:r w:rsidR="0003237B">
        <w:rPr>
          <w:rFonts w:ascii="Times New Roman" w:hAnsi="Times New Roman" w:cs="Times New Roman"/>
          <w:sz w:val="24"/>
          <w:szCs w:val="24"/>
        </w:rPr>
        <w:t xml:space="preserve"> and </w:t>
      </w:r>
      <w:r w:rsidR="0003237B" w:rsidRPr="00A07595">
        <w:rPr>
          <w:rFonts w:ascii="Times New Roman" w:hAnsi="Times New Roman" w:cs="Times New Roman"/>
          <w:sz w:val="24"/>
          <w:szCs w:val="24"/>
        </w:rPr>
        <w:t>Table</w:t>
      </w:r>
      <w:r w:rsidRPr="00A07595">
        <w:rPr>
          <w:rFonts w:ascii="Times New Roman" w:hAnsi="Times New Roman" w:cs="Times New Roman"/>
          <w:sz w:val="24"/>
          <w:szCs w:val="24"/>
        </w:rPr>
        <w:t xml:space="preserve"> 2. </w:t>
      </w:r>
      <w:bookmarkStart w:id="8" w:name="_Hlk204980288"/>
      <w:r w:rsidRPr="00A07595">
        <w:rPr>
          <w:rFonts w:ascii="Times New Roman" w:hAnsi="Times New Roman" w:cs="Times New Roman"/>
          <w:sz w:val="24"/>
          <w:szCs w:val="24"/>
        </w:rPr>
        <w:t xml:space="preserve">No significant differences were observed in the thickness of leaf epidermis but the samples of </w:t>
      </w:r>
      <w:r w:rsidR="00A4167D">
        <w:rPr>
          <w:rFonts w:ascii="Times New Roman" w:hAnsi="Times New Roman" w:cs="Times New Roman"/>
          <w:sz w:val="24"/>
          <w:szCs w:val="24"/>
        </w:rPr>
        <w:t>midstream</w:t>
      </w:r>
      <w:r w:rsidRPr="00A07595">
        <w:rPr>
          <w:rFonts w:ascii="Times New Roman" w:hAnsi="Times New Roman" w:cs="Times New Roman"/>
          <w:sz w:val="24"/>
          <w:szCs w:val="24"/>
        </w:rPr>
        <w:t xml:space="preserve"> site displayed higher leaf epiderm</w:t>
      </w:r>
      <w:r w:rsidR="0003237B">
        <w:rPr>
          <w:rFonts w:ascii="Times New Roman" w:hAnsi="Times New Roman" w:cs="Times New Roman"/>
          <w:sz w:val="24"/>
          <w:szCs w:val="24"/>
        </w:rPr>
        <w:t>al</w:t>
      </w:r>
      <w:r w:rsidRPr="00A07595">
        <w:rPr>
          <w:rFonts w:ascii="Times New Roman" w:hAnsi="Times New Roman" w:cs="Times New Roman"/>
          <w:sz w:val="24"/>
          <w:szCs w:val="24"/>
        </w:rPr>
        <w:t xml:space="preserve"> area (</w:t>
      </w:r>
      <w:r w:rsidR="00A4167D" w:rsidRPr="00A4167D">
        <w:rPr>
          <w:rFonts w:ascii="Times New Roman" w:hAnsi="Times New Roman" w:cs="Times New Roman"/>
          <w:sz w:val="24"/>
          <w:szCs w:val="24"/>
        </w:rPr>
        <w:t>12293</w:t>
      </w:r>
      <w:r w:rsidRPr="00A07595">
        <w:rPr>
          <w:rFonts w:ascii="Times New Roman" w:hAnsi="Times New Roman" w:cs="Times New Roman"/>
          <w:sz w:val="24"/>
          <w:szCs w:val="24"/>
        </w:rPr>
        <w:t xml:space="preserve">) as compared to </w:t>
      </w:r>
      <w:r w:rsidR="00FD5EF5">
        <w:rPr>
          <w:rFonts w:ascii="Times New Roman" w:hAnsi="Times New Roman" w:cs="Times New Roman"/>
          <w:sz w:val="24"/>
          <w:szCs w:val="24"/>
        </w:rPr>
        <w:t xml:space="preserve">downstream </w:t>
      </w:r>
      <w:r w:rsidR="00FD5EF5" w:rsidRPr="00A07595">
        <w:rPr>
          <w:rFonts w:ascii="Times New Roman" w:hAnsi="Times New Roman" w:cs="Times New Roman"/>
          <w:sz w:val="24"/>
          <w:szCs w:val="24"/>
        </w:rPr>
        <w:t>(</w:t>
      </w:r>
      <w:r w:rsidR="00A4167D" w:rsidRPr="00A4167D">
        <w:rPr>
          <w:rFonts w:ascii="Times New Roman" w:hAnsi="Times New Roman" w:cs="Times New Roman"/>
          <w:sz w:val="24"/>
          <w:szCs w:val="24"/>
        </w:rPr>
        <w:t>11262</w:t>
      </w:r>
      <w:r w:rsidRPr="00A07595">
        <w:rPr>
          <w:rFonts w:ascii="Times New Roman" w:hAnsi="Times New Roman" w:cs="Times New Roman"/>
          <w:sz w:val="24"/>
          <w:szCs w:val="24"/>
        </w:rPr>
        <w:t xml:space="preserve">) and </w:t>
      </w:r>
      <w:r w:rsidR="00A4167D">
        <w:rPr>
          <w:rFonts w:ascii="Times New Roman" w:hAnsi="Times New Roman" w:cs="Times New Roman"/>
          <w:sz w:val="24"/>
          <w:szCs w:val="24"/>
        </w:rPr>
        <w:t>upstream</w:t>
      </w:r>
      <w:r w:rsidRPr="00A07595">
        <w:rPr>
          <w:rFonts w:ascii="Times New Roman" w:hAnsi="Times New Roman" w:cs="Times New Roman"/>
          <w:sz w:val="24"/>
          <w:szCs w:val="24"/>
        </w:rPr>
        <w:t xml:space="preserve"> (</w:t>
      </w:r>
      <w:r w:rsidR="00A4167D">
        <w:rPr>
          <w:rFonts w:ascii="Times New Roman" w:hAnsi="Times New Roman" w:cs="Times New Roman"/>
          <w:sz w:val="24"/>
          <w:szCs w:val="24"/>
        </w:rPr>
        <w:t>8</w:t>
      </w:r>
      <w:r w:rsidRPr="00A07595">
        <w:rPr>
          <w:rFonts w:ascii="Times New Roman" w:hAnsi="Times New Roman" w:cs="Times New Roman"/>
          <w:sz w:val="24"/>
          <w:szCs w:val="24"/>
        </w:rPr>
        <w:t>790) sites</w:t>
      </w:r>
      <w:bookmarkEnd w:id="8"/>
      <w:r w:rsidRPr="00A07595">
        <w:rPr>
          <w:rFonts w:ascii="Times New Roman" w:hAnsi="Times New Roman" w:cs="Times New Roman"/>
          <w:sz w:val="24"/>
          <w:szCs w:val="24"/>
        </w:rPr>
        <w:t xml:space="preserve">. Furthermore, significant differences </w:t>
      </w:r>
      <w:r w:rsidR="00A4167D">
        <w:rPr>
          <w:rFonts w:ascii="Times New Roman" w:hAnsi="Times New Roman" w:cs="Times New Roman"/>
          <w:sz w:val="24"/>
          <w:szCs w:val="24"/>
        </w:rPr>
        <w:t>were</w:t>
      </w:r>
      <w:r w:rsidRPr="00A07595">
        <w:rPr>
          <w:rFonts w:ascii="Times New Roman" w:hAnsi="Times New Roman" w:cs="Times New Roman"/>
          <w:sz w:val="24"/>
          <w:szCs w:val="24"/>
        </w:rPr>
        <w:t xml:space="preserve"> found in mesophyll thickness and cell area. It was </w:t>
      </w:r>
      <w:r w:rsidR="00A4167D">
        <w:rPr>
          <w:rFonts w:ascii="Times New Roman" w:hAnsi="Times New Roman" w:cs="Times New Roman"/>
          <w:sz w:val="24"/>
          <w:szCs w:val="24"/>
        </w:rPr>
        <w:t>deduced</w:t>
      </w:r>
      <w:r w:rsidRPr="00A07595">
        <w:rPr>
          <w:rFonts w:ascii="Times New Roman" w:hAnsi="Times New Roman" w:cs="Times New Roman"/>
          <w:sz w:val="24"/>
          <w:szCs w:val="24"/>
        </w:rPr>
        <w:t xml:space="preserve"> from </w:t>
      </w:r>
      <w:r w:rsidR="00A4167D">
        <w:rPr>
          <w:rFonts w:ascii="Times New Roman" w:hAnsi="Times New Roman" w:cs="Times New Roman"/>
          <w:sz w:val="24"/>
          <w:szCs w:val="24"/>
        </w:rPr>
        <w:t xml:space="preserve">the </w:t>
      </w:r>
      <w:r w:rsidRPr="00A07595">
        <w:rPr>
          <w:rFonts w:ascii="Times New Roman" w:hAnsi="Times New Roman" w:cs="Times New Roman"/>
          <w:sz w:val="24"/>
          <w:szCs w:val="24"/>
        </w:rPr>
        <w:t>studies that increase in mesophyll thickness (</w:t>
      </w:r>
      <w:r w:rsidR="00A4167D" w:rsidRPr="00A4167D">
        <w:rPr>
          <w:rFonts w:ascii="Times New Roman" w:hAnsi="Times New Roman" w:cs="Times New Roman"/>
          <w:sz w:val="24"/>
          <w:szCs w:val="24"/>
        </w:rPr>
        <w:t>107</w:t>
      </w:r>
      <w:r w:rsidR="00A4167D">
        <w:rPr>
          <w:rFonts w:ascii="Times New Roman" w:hAnsi="Times New Roman" w:cs="Times New Roman"/>
          <w:sz w:val="24"/>
          <w:szCs w:val="24"/>
        </w:rPr>
        <w:t xml:space="preserve"> </w:t>
      </w:r>
      <w:r w:rsidRPr="00A07595">
        <w:rPr>
          <w:rFonts w:ascii="Times New Roman" w:hAnsi="Times New Roman" w:cs="Times New Roman"/>
          <w:sz w:val="24"/>
          <w:szCs w:val="24"/>
        </w:rPr>
        <w:t>µm) and cell area (1</w:t>
      </w:r>
      <w:r w:rsidR="00A4167D">
        <w:rPr>
          <w:rFonts w:ascii="Times New Roman" w:hAnsi="Times New Roman" w:cs="Times New Roman"/>
          <w:sz w:val="24"/>
          <w:szCs w:val="24"/>
        </w:rPr>
        <w:t>1</w:t>
      </w:r>
      <w:r w:rsidRPr="00A07595">
        <w:rPr>
          <w:rFonts w:ascii="Times New Roman" w:hAnsi="Times New Roman" w:cs="Times New Roman"/>
          <w:sz w:val="24"/>
          <w:szCs w:val="24"/>
        </w:rPr>
        <w:t>652 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 xml:space="preserve">) were recorded in samples of </w:t>
      </w:r>
      <w:r w:rsidR="00A4167D">
        <w:rPr>
          <w:rFonts w:ascii="Times New Roman" w:hAnsi="Times New Roman" w:cs="Times New Roman"/>
          <w:sz w:val="24"/>
          <w:szCs w:val="24"/>
        </w:rPr>
        <w:t>upstream</w:t>
      </w:r>
      <w:r w:rsidRPr="00A07595">
        <w:rPr>
          <w:rFonts w:ascii="Times New Roman" w:hAnsi="Times New Roman" w:cs="Times New Roman"/>
          <w:sz w:val="24"/>
          <w:szCs w:val="24"/>
        </w:rPr>
        <w:t xml:space="preserve"> site as compared to other two sites. To investigate the changes in anatomy of stomata in different </w:t>
      </w:r>
      <w:r w:rsidR="00A4167D">
        <w:rPr>
          <w:rFonts w:ascii="Times New Roman" w:hAnsi="Times New Roman" w:cs="Times New Roman"/>
          <w:sz w:val="24"/>
          <w:szCs w:val="24"/>
        </w:rPr>
        <w:t>study locations</w:t>
      </w:r>
      <w:r w:rsidRPr="00A07595">
        <w:rPr>
          <w:rFonts w:ascii="Times New Roman" w:hAnsi="Times New Roman" w:cs="Times New Roman"/>
          <w:sz w:val="24"/>
          <w:szCs w:val="24"/>
        </w:rPr>
        <w:t xml:space="preserve">, cell area of stomata was calculated and statistically no significant differences </w:t>
      </w:r>
      <w:r w:rsidR="00A4167D">
        <w:rPr>
          <w:rFonts w:ascii="Times New Roman" w:hAnsi="Times New Roman" w:cs="Times New Roman"/>
          <w:sz w:val="24"/>
          <w:szCs w:val="24"/>
        </w:rPr>
        <w:t>were</w:t>
      </w:r>
      <w:r w:rsidRPr="00A07595">
        <w:rPr>
          <w:rFonts w:ascii="Times New Roman" w:hAnsi="Times New Roman" w:cs="Times New Roman"/>
          <w:sz w:val="24"/>
          <w:szCs w:val="24"/>
        </w:rPr>
        <w:t xml:space="preserve"> found in stomatal area. Similarly, non-significant differences are found in the </w:t>
      </w:r>
      <w:proofErr w:type="spellStart"/>
      <w:r w:rsidRPr="00A07595">
        <w:rPr>
          <w:rFonts w:ascii="Times New Roman" w:hAnsi="Times New Roman" w:cs="Times New Roman"/>
          <w:sz w:val="24"/>
          <w:szCs w:val="24"/>
        </w:rPr>
        <w:t>mataxylem</w:t>
      </w:r>
      <w:proofErr w:type="spellEnd"/>
      <w:r w:rsidRPr="00A07595">
        <w:rPr>
          <w:rFonts w:ascii="Times New Roman" w:hAnsi="Times New Roman" w:cs="Times New Roman"/>
          <w:sz w:val="24"/>
          <w:szCs w:val="24"/>
        </w:rPr>
        <w:t xml:space="preserve"> thickness and metaxylem area among samples of three sites. The phloem thickness was significantly higher in plants of </w:t>
      </w:r>
      <w:r w:rsidR="00A4167D">
        <w:rPr>
          <w:rFonts w:ascii="Times New Roman" w:hAnsi="Times New Roman" w:cs="Times New Roman"/>
          <w:sz w:val="24"/>
          <w:szCs w:val="24"/>
        </w:rPr>
        <w:t>upstream</w:t>
      </w:r>
      <w:r w:rsidRPr="00A07595">
        <w:rPr>
          <w:rFonts w:ascii="Times New Roman" w:hAnsi="Times New Roman" w:cs="Times New Roman"/>
          <w:sz w:val="24"/>
          <w:szCs w:val="24"/>
        </w:rPr>
        <w:t xml:space="preserve"> site (</w:t>
      </w:r>
      <w:r w:rsidR="00A4167D" w:rsidRPr="00A4167D">
        <w:rPr>
          <w:rFonts w:ascii="Times New Roman" w:hAnsi="Times New Roman" w:cs="Times New Roman"/>
          <w:sz w:val="24"/>
          <w:szCs w:val="24"/>
        </w:rPr>
        <w:t>15.80</w:t>
      </w:r>
      <w:r w:rsidR="00A4167D">
        <w:rPr>
          <w:rFonts w:ascii="Times New Roman" w:hAnsi="Times New Roman" w:cs="Times New Roman"/>
          <w:sz w:val="24"/>
          <w:szCs w:val="24"/>
          <w:vertAlign w:val="superscript"/>
        </w:rPr>
        <w:t xml:space="preserve"> </w:t>
      </w:r>
      <w:r w:rsidR="0003237B" w:rsidRPr="0003237B">
        <w:rPr>
          <w:rFonts w:ascii="Times New Roman" w:hAnsi="Times New Roman" w:cs="Times New Roman"/>
          <w:sz w:val="24"/>
          <w:szCs w:val="24"/>
        </w:rPr>
        <w:t>µ</w:t>
      </w:r>
      <w:r w:rsidRPr="00A07595">
        <w:rPr>
          <w:rFonts w:ascii="Times New Roman" w:hAnsi="Times New Roman" w:cs="Times New Roman"/>
          <w:sz w:val="24"/>
          <w:szCs w:val="24"/>
        </w:rPr>
        <w:t xml:space="preserve">m) as compared to </w:t>
      </w:r>
      <w:r w:rsidR="00FD5EF5">
        <w:rPr>
          <w:rFonts w:ascii="Times New Roman" w:hAnsi="Times New Roman" w:cs="Times New Roman"/>
          <w:sz w:val="24"/>
          <w:szCs w:val="24"/>
        </w:rPr>
        <w:t xml:space="preserve">downstream </w:t>
      </w:r>
      <w:r w:rsidR="00FD5EF5" w:rsidRPr="00A07595">
        <w:rPr>
          <w:rFonts w:ascii="Times New Roman" w:hAnsi="Times New Roman" w:cs="Times New Roman"/>
          <w:sz w:val="24"/>
          <w:szCs w:val="24"/>
        </w:rPr>
        <w:t>(</w:t>
      </w:r>
      <w:r w:rsidR="00A4167D" w:rsidRPr="00A4167D">
        <w:rPr>
          <w:rFonts w:ascii="Times New Roman" w:hAnsi="Times New Roman" w:cs="Times New Roman"/>
          <w:sz w:val="24"/>
          <w:szCs w:val="24"/>
        </w:rPr>
        <w:t>11.30</w:t>
      </w:r>
      <w:r w:rsidR="00A4167D">
        <w:rPr>
          <w:rFonts w:ascii="Times New Roman" w:hAnsi="Times New Roman" w:cs="Times New Roman"/>
          <w:sz w:val="24"/>
          <w:szCs w:val="24"/>
          <w:vertAlign w:val="superscript"/>
        </w:rPr>
        <w:t xml:space="preserve"> </w:t>
      </w:r>
      <w:r w:rsidR="00A4167D" w:rsidRPr="00A4167D">
        <w:rPr>
          <w:rFonts w:ascii="Times New Roman" w:hAnsi="Times New Roman" w:cs="Times New Roman"/>
          <w:sz w:val="24"/>
          <w:szCs w:val="24"/>
        </w:rPr>
        <w:t>µm</w:t>
      </w:r>
      <w:r w:rsidRPr="00A07595">
        <w:rPr>
          <w:rFonts w:ascii="Times New Roman" w:hAnsi="Times New Roman" w:cs="Times New Roman"/>
          <w:sz w:val="24"/>
          <w:szCs w:val="24"/>
        </w:rPr>
        <w:t xml:space="preserve">) and </w:t>
      </w:r>
      <w:r w:rsidR="00A4167D">
        <w:rPr>
          <w:rFonts w:ascii="Times New Roman" w:hAnsi="Times New Roman" w:cs="Times New Roman"/>
          <w:sz w:val="24"/>
          <w:szCs w:val="24"/>
        </w:rPr>
        <w:t>midstream</w:t>
      </w:r>
      <w:r w:rsidRPr="00A07595">
        <w:rPr>
          <w:rFonts w:ascii="Times New Roman" w:hAnsi="Times New Roman" w:cs="Times New Roman"/>
          <w:sz w:val="24"/>
          <w:szCs w:val="24"/>
        </w:rPr>
        <w:t xml:space="preserve"> (</w:t>
      </w:r>
      <w:r w:rsidR="00A4167D" w:rsidRPr="00A4167D">
        <w:rPr>
          <w:rFonts w:ascii="Times New Roman" w:hAnsi="Times New Roman" w:cs="Times New Roman"/>
          <w:sz w:val="24"/>
          <w:szCs w:val="24"/>
        </w:rPr>
        <w:t>7.32</w:t>
      </w:r>
      <w:r w:rsidR="00A4167D">
        <w:rPr>
          <w:rFonts w:ascii="Times New Roman" w:hAnsi="Times New Roman" w:cs="Times New Roman"/>
          <w:sz w:val="24"/>
          <w:szCs w:val="24"/>
          <w:vertAlign w:val="superscript"/>
        </w:rPr>
        <w:t xml:space="preserve"> </w:t>
      </w:r>
      <w:r w:rsidR="00A4167D" w:rsidRPr="00A4167D">
        <w:rPr>
          <w:rFonts w:ascii="Times New Roman" w:hAnsi="Times New Roman" w:cs="Times New Roman"/>
          <w:sz w:val="24"/>
          <w:szCs w:val="24"/>
        </w:rPr>
        <w:t>µm</w:t>
      </w:r>
      <w:r w:rsidRPr="00A07595">
        <w:rPr>
          <w:rFonts w:ascii="Times New Roman" w:hAnsi="Times New Roman" w:cs="Times New Roman"/>
          <w:sz w:val="24"/>
          <w:szCs w:val="24"/>
        </w:rPr>
        <w:t xml:space="preserve">) sites. </w:t>
      </w:r>
      <w:bookmarkStart w:id="9" w:name="_Hlk204980305"/>
      <w:r w:rsidRPr="00A07595">
        <w:rPr>
          <w:rFonts w:ascii="Times New Roman" w:hAnsi="Times New Roman" w:cs="Times New Roman"/>
          <w:sz w:val="24"/>
          <w:szCs w:val="24"/>
        </w:rPr>
        <w:t xml:space="preserve">Plant samples from </w:t>
      </w:r>
      <w:r w:rsidR="00A4167D">
        <w:rPr>
          <w:rFonts w:ascii="Times New Roman" w:hAnsi="Times New Roman" w:cs="Times New Roman"/>
          <w:sz w:val="24"/>
          <w:szCs w:val="24"/>
        </w:rPr>
        <w:t>downstream</w:t>
      </w:r>
      <w:r w:rsidRPr="00A07595">
        <w:rPr>
          <w:rFonts w:ascii="Times New Roman" w:hAnsi="Times New Roman" w:cs="Times New Roman"/>
          <w:sz w:val="24"/>
          <w:szCs w:val="24"/>
        </w:rPr>
        <w:t xml:space="preserve"> site also displayed higher phloem area (</w:t>
      </w:r>
      <w:r w:rsidR="00E56C1F" w:rsidRPr="00E56C1F">
        <w:rPr>
          <w:rFonts w:ascii="Times New Roman" w:hAnsi="Times New Roman" w:cs="Times New Roman"/>
          <w:sz w:val="24"/>
          <w:szCs w:val="24"/>
        </w:rPr>
        <w:t>325</w:t>
      </w:r>
      <w:r w:rsidRPr="00A07595">
        <w:rPr>
          <w:rFonts w:ascii="Times New Roman" w:hAnsi="Times New Roman" w:cs="Times New Roman"/>
          <w:sz w:val="24"/>
          <w:szCs w:val="24"/>
        </w:rPr>
        <w:t xml:space="preserve"> 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 xml:space="preserve">) as compared to </w:t>
      </w:r>
      <w:r w:rsidR="00FD5EF5">
        <w:rPr>
          <w:rFonts w:ascii="Times New Roman" w:hAnsi="Times New Roman" w:cs="Times New Roman"/>
          <w:sz w:val="24"/>
          <w:szCs w:val="24"/>
        </w:rPr>
        <w:t xml:space="preserve">upstream </w:t>
      </w:r>
      <w:r w:rsidR="00FD5EF5" w:rsidRPr="00A07595">
        <w:rPr>
          <w:rFonts w:ascii="Times New Roman" w:hAnsi="Times New Roman" w:cs="Times New Roman"/>
          <w:sz w:val="24"/>
          <w:szCs w:val="24"/>
        </w:rPr>
        <w:t>(</w:t>
      </w:r>
      <w:r w:rsidR="00E56C1F" w:rsidRPr="00E56C1F">
        <w:rPr>
          <w:rFonts w:ascii="Times New Roman" w:hAnsi="Times New Roman" w:cs="Times New Roman"/>
          <w:sz w:val="24"/>
          <w:szCs w:val="24"/>
        </w:rPr>
        <w:t>329</w:t>
      </w:r>
      <w:r w:rsidRPr="00A07595">
        <w:rPr>
          <w:rFonts w:ascii="Times New Roman" w:hAnsi="Times New Roman" w:cs="Times New Roman"/>
          <w:sz w:val="24"/>
          <w:szCs w:val="24"/>
        </w:rPr>
        <w:t xml:space="preserve"> 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 xml:space="preserve"> and </w:t>
      </w:r>
      <w:r w:rsidR="00E56C1F">
        <w:rPr>
          <w:rFonts w:ascii="Times New Roman" w:hAnsi="Times New Roman" w:cs="Times New Roman"/>
          <w:sz w:val="24"/>
          <w:szCs w:val="24"/>
        </w:rPr>
        <w:t>midstream</w:t>
      </w:r>
      <w:r w:rsidRPr="00A07595">
        <w:rPr>
          <w:rFonts w:ascii="Times New Roman" w:hAnsi="Times New Roman" w:cs="Times New Roman"/>
          <w:sz w:val="24"/>
          <w:szCs w:val="24"/>
        </w:rPr>
        <w:t xml:space="preserve"> site (</w:t>
      </w:r>
      <w:r w:rsidR="00E56C1F" w:rsidRPr="00E56C1F">
        <w:rPr>
          <w:rFonts w:ascii="Times New Roman" w:hAnsi="Times New Roman" w:cs="Times New Roman"/>
          <w:sz w:val="24"/>
          <w:szCs w:val="24"/>
        </w:rPr>
        <w:t>141</w:t>
      </w:r>
      <w:r w:rsidRPr="00A07595">
        <w:rPr>
          <w:rFonts w:ascii="Times New Roman" w:hAnsi="Times New Roman" w:cs="Times New Roman"/>
          <w:sz w:val="24"/>
          <w:szCs w:val="24"/>
        </w:rPr>
        <w:t xml:space="preserve"> µm</w:t>
      </w:r>
      <w:r w:rsidRPr="00A07595">
        <w:rPr>
          <w:rFonts w:ascii="Times New Roman" w:hAnsi="Times New Roman" w:cs="Times New Roman"/>
          <w:sz w:val="24"/>
          <w:szCs w:val="24"/>
          <w:vertAlign w:val="superscript"/>
        </w:rPr>
        <w:t>2</w:t>
      </w:r>
      <w:r w:rsidRPr="00A07595">
        <w:rPr>
          <w:rFonts w:ascii="Times New Roman" w:hAnsi="Times New Roman" w:cs="Times New Roman"/>
          <w:sz w:val="24"/>
          <w:szCs w:val="24"/>
        </w:rPr>
        <w:t>).</w:t>
      </w:r>
    </w:p>
    <w:bookmarkEnd w:id="9"/>
    <w:p w14:paraId="2172A6F6" w14:textId="77777777" w:rsidR="00B62BE4" w:rsidRDefault="00B62BE4" w:rsidP="00B62BE4"/>
    <w:p w14:paraId="467BE7FC" w14:textId="1470B205" w:rsidR="00B62BE4" w:rsidRDefault="00B62BE4" w:rsidP="00B62BE4">
      <w:r>
        <w:rPr>
          <w:noProof/>
        </w:rPr>
        <w:lastRenderedPageBreak/>
        <w:drawing>
          <wp:inline distT="0" distB="0" distL="0" distR="0" wp14:anchorId="40B1242E" wp14:editId="618416A7">
            <wp:extent cx="6743700" cy="2924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43700" cy="2924175"/>
                    </a:xfrm>
                    <a:prstGeom prst="rect">
                      <a:avLst/>
                    </a:prstGeom>
                    <a:noFill/>
                  </pic:spPr>
                </pic:pic>
              </a:graphicData>
            </a:graphic>
          </wp:inline>
        </w:drawing>
      </w:r>
    </w:p>
    <w:p w14:paraId="662CAD2C" w14:textId="3AF51FA4" w:rsidR="00A07595" w:rsidRPr="00C435D1" w:rsidRDefault="00B62BE4" w:rsidP="00A07595">
      <w:pPr>
        <w:jc w:val="both"/>
        <w:rPr>
          <w:rFonts w:ascii="Times New Roman" w:hAnsi="Times New Roman" w:cs="Times New Roman"/>
          <w:b/>
          <w:bCs/>
        </w:rPr>
      </w:pPr>
      <w:r w:rsidRPr="00C435D1">
        <w:rPr>
          <w:rFonts w:ascii="Times New Roman" w:hAnsi="Times New Roman" w:cs="Times New Roman"/>
          <w:b/>
          <w:bCs/>
        </w:rPr>
        <w:t xml:space="preserve">Fig.2 Anatomical study of leaf samples collected from (a) </w:t>
      </w:r>
      <w:r w:rsidR="00C435D1">
        <w:rPr>
          <w:rFonts w:ascii="Times New Roman" w:hAnsi="Times New Roman" w:cs="Times New Roman"/>
          <w:b/>
          <w:bCs/>
        </w:rPr>
        <w:t>midstream</w:t>
      </w:r>
      <w:r w:rsidRPr="00C435D1">
        <w:rPr>
          <w:rFonts w:ascii="Times New Roman" w:hAnsi="Times New Roman" w:cs="Times New Roman"/>
          <w:b/>
          <w:bCs/>
        </w:rPr>
        <w:t xml:space="preserve"> (b) </w:t>
      </w:r>
      <w:r w:rsidR="00C435D1">
        <w:rPr>
          <w:rFonts w:ascii="Times New Roman" w:hAnsi="Times New Roman" w:cs="Times New Roman"/>
          <w:b/>
          <w:bCs/>
        </w:rPr>
        <w:t>upstream</w:t>
      </w:r>
      <w:r w:rsidRPr="00C435D1">
        <w:rPr>
          <w:rFonts w:ascii="Times New Roman" w:hAnsi="Times New Roman" w:cs="Times New Roman"/>
          <w:b/>
          <w:bCs/>
        </w:rPr>
        <w:t xml:space="preserve"> (c) </w:t>
      </w:r>
      <w:r w:rsidR="00C435D1">
        <w:rPr>
          <w:rFonts w:ascii="Times New Roman" w:hAnsi="Times New Roman" w:cs="Times New Roman"/>
          <w:b/>
          <w:bCs/>
        </w:rPr>
        <w:t>downstream</w:t>
      </w:r>
      <w:r w:rsidRPr="00C435D1">
        <w:rPr>
          <w:rFonts w:ascii="Times New Roman" w:hAnsi="Times New Roman" w:cs="Times New Roman"/>
          <w:b/>
          <w:bCs/>
        </w:rPr>
        <w:t xml:space="preserve"> sites; </w:t>
      </w:r>
      <w:proofErr w:type="spellStart"/>
      <w:r w:rsidRPr="00C435D1">
        <w:rPr>
          <w:rFonts w:ascii="Times New Roman" w:hAnsi="Times New Roman" w:cs="Times New Roman"/>
          <w:b/>
          <w:bCs/>
        </w:rPr>
        <w:t>ade</w:t>
      </w:r>
      <w:proofErr w:type="spellEnd"/>
      <w:r w:rsidRPr="00C435D1">
        <w:rPr>
          <w:rFonts w:ascii="Times New Roman" w:hAnsi="Times New Roman" w:cs="Times New Roman"/>
          <w:b/>
          <w:bCs/>
        </w:rPr>
        <w:t xml:space="preserve">: Abaxial epidermis; </w:t>
      </w:r>
      <w:proofErr w:type="spellStart"/>
      <w:r w:rsidRPr="00C435D1">
        <w:rPr>
          <w:rFonts w:ascii="Times New Roman" w:hAnsi="Times New Roman" w:cs="Times New Roman"/>
          <w:b/>
          <w:bCs/>
        </w:rPr>
        <w:t>ade</w:t>
      </w:r>
      <w:proofErr w:type="spellEnd"/>
      <w:r w:rsidRPr="00C435D1">
        <w:rPr>
          <w:rFonts w:ascii="Times New Roman" w:hAnsi="Times New Roman" w:cs="Times New Roman"/>
          <w:b/>
          <w:bCs/>
        </w:rPr>
        <w:t xml:space="preserve">: Adaxial epidermis; ae: Aerenchyma; </w:t>
      </w:r>
      <w:proofErr w:type="spellStart"/>
      <w:r w:rsidRPr="00C435D1">
        <w:rPr>
          <w:rFonts w:ascii="Times New Roman" w:hAnsi="Times New Roman" w:cs="Times New Roman"/>
          <w:b/>
          <w:bCs/>
        </w:rPr>
        <w:t>vb</w:t>
      </w:r>
      <w:proofErr w:type="spellEnd"/>
      <w:r w:rsidRPr="00C435D1">
        <w:rPr>
          <w:rFonts w:ascii="Times New Roman" w:hAnsi="Times New Roman" w:cs="Times New Roman"/>
          <w:b/>
          <w:bCs/>
        </w:rPr>
        <w:t>: Vascular bundle; pp: Palisade parenchyma</w:t>
      </w:r>
    </w:p>
    <w:p w14:paraId="4AC8D2D2" w14:textId="77777777" w:rsidR="00FD5EF5" w:rsidRDefault="00FD5EF5" w:rsidP="00A07595">
      <w:pPr>
        <w:jc w:val="both"/>
        <w:rPr>
          <w:rFonts w:ascii="Times New Roman" w:hAnsi="Times New Roman" w:cs="Times New Roman"/>
          <w:b/>
          <w:bCs/>
          <w:sz w:val="24"/>
          <w:szCs w:val="24"/>
        </w:rPr>
      </w:pPr>
    </w:p>
    <w:p w14:paraId="36F490D3" w14:textId="77777777" w:rsidR="00FD5EF5" w:rsidRDefault="00FD5EF5" w:rsidP="00A07595">
      <w:pPr>
        <w:jc w:val="both"/>
        <w:rPr>
          <w:rFonts w:ascii="Times New Roman" w:hAnsi="Times New Roman" w:cs="Times New Roman"/>
          <w:b/>
          <w:bCs/>
          <w:sz w:val="24"/>
          <w:szCs w:val="24"/>
        </w:rPr>
      </w:pPr>
    </w:p>
    <w:p w14:paraId="382A3E6C" w14:textId="77777777" w:rsidR="00FD5EF5" w:rsidRDefault="00FD5EF5" w:rsidP="00A07595">
      <w:pPr>
        <w:jc w:val="both"/>
        <w:rPr>
          <w:rFonts w:ascii="Times New Roman" w:hAnsi="Times New Roman" w:cs="Times New Roman"/>
          <w:b/>
          <w:bCs/>
          <w:sz w:val="24"/>
          <w:szCs w:val="24"/>
        </w:rPr>
      </w:pPr>
    </w:p>
    <w:p w14:paraId="4BC66166" w14:textId="77777777" w:rsidR="00FD5EF5" w:rsidRDefault="00FD5EF5" w:rsidP="00A07595">
      <w:pPr>
        <w:jc w:val="both"/>
        <w:rPr>
          <w:rFonts w:ascii="Times New Roman" w:hAnsi="Times New Roman" w:cs="Times New Roman"/>
          <w:b/>
          <w:bCs/>
          <w:sz w:val="24"/>
          <w:szCs w:val="24"/>
        </w:rPr>
      </w:pPr>
    </w:p>
    <w:p w14:paraId="735A16CD" w14:textId="77777777" w:rsidR="00FD5EF5" w:rsidRDefault="00FD5EF5" w:rsidP="00A07595">
      <w:pPr>
        <w:jc w:val="both"/>
        <w:rPr>
          <w:rFonts w:ascii="Times New Roman" w:hAnsi="Times New Roman" w:cs="Times New Roman"/>
          <w:b/>
          <w:bCs/>
          <w:sz w:val="24"/>
          <w:szCs w:val="24"/>
        </w:rPr>
      </w:pPr>
    </w:p>
    <w:p w14:paraId="75AAF8A8" w14:textId="77777777" w:rsidR="00FD5EF5" w:rsidRDefault="00FD5EF5" w:rsidP="00A07595">
      <w:pPr>
        <w:jc w:val="both"/>
        <w:rPr>
          <w:rFonts w:ascii="Times New Roman" w:hAnsi="Times New Roman" w:cs="Times New Roman"/>
          <w:b/>
          <w:bCs/>
          <w:sz w:val="24"/>
          <w:szCs w:val="24"/>
        </w:rPr>
      </w:pPr>
    </w:p>
    <w:p w14:paraId="47167F32" w14:textId="77777777" w:rsidR="00FD5EF5" w:rsidRDefault="00FD5EF5" w:rsidP="00A07595">
      <w:pPr>
        <w:jc w:val="both"/>
        <w:rPr>
          <w:rFonts w:ascii="Times New Roman" w:hAnsi="Times New Roman" w:cs="Times New Roman"/>
          <w:b/>
          <w:bCs/>
          <w:sz w:val="24"/>
          <w:szCs w:val="24"/>
        </w:rPr>
      </w:pPr>
    </w:p>
    <w:p w14:paraId="24E7BBC9" w14:textId="77777777" w:rsidR="00FD5EF5" w:rsidRDefault="00FD5EF5" w:rsidP="00A07595">
      <w:pPr>
        <w:jc w:val="both"/>
        <w:rPr>
          <w:rFonts w:ascii="Times New Roman" w:hAnsi="Times New Roman" w:cs="Times New Roman"/>
          <w:b/>
          <w:bCs/>
          <w:sz w:val="24"/>
          <w:szCs w:val="24"/>
        </w:rPr>
      </w:pPr>
    </w:p>
    <w:p w14:paraId="0297CDCE" w14:textId="11DBB337" w:rsidR="00A07595" w:rsidRPr="00A07595" w:rsidRDefault="00A07595" w:rsidP="00A07595">
      <w:pPr>
        <w:jc w:val="both"/>
        <w:rPr>
          <w:rFonts w:ascii="Times New Roman" w:hAnsi="Times New Roman" w:cs="Times New Roman"/>
          <w:b/>
          <w:bCs/>
          <w:sz w:val="24"/>
          <w:szCs w:val="24"/>
        </w:rPr>
      </w:pPr>
      <w:r w:rsidRPr="00A07595">
        <w:rPr>
          <w:rFonts w:ascii="Times New Roman" w:hAnsi="Times New Roman" w:cs="Times New Roman"/>
          <w:b/>
          <w:bCs/>
          <w:sz w:val="24"/>
          <w:szCs w:val="24"/>
        </w:rPr>
        <w:lastRenderedPageBreak/>
        <w:t>Table.</w:t>
      </w:r>
      <w:r w:rsidR="00E73D56">
        <w:rPr>
          <w:rFonts w:ascii="Times New Roman" w:hAnsi="Times New Roman" w:cs="Times New Roman"/>
          <w:b/>
          <w:bCs/>
          <w:sz w:val="24"/>
          <w:szCs w:val="24"/>
        </w:rPr>
        <w:t>2</w:t>
      </w:r>
      <w:r w:rsidRPr="00A07595">
        <w:rPr>
          <w:rFonts w:ascii="Times New Roman" w:hAnsi="Times New Roman" w:cs="Times New Roman"/>
          <w:b/>
          <w:bCs/>
          <w:sz w:val="24"/>
          <w:szCs w:val="24"/>
        </w:rPr>
        <w:t xml:space="preserve"> Anatomical studies of leaf tissues in </w:t>
      </w:r>
      <w:r w:rsidR="00C82ED9" w:rsidRPr="00C82ED9">
        <w:rPr>
          <w:rFonts w:ascii="Times New Roman" w:hAnsi="Times New Roman" w:cs="Times New Roman"/>
          <w:b/>
          <w:bCs/>
          <w:i/>
          <w:iCs/>
          <w:sz w:val="24"/>
          <w:szCs w:val="24"/>
        </w:rPr>
        <w:t>Nelumbo nucifera</w:t>
      </w:r>
      <w:r w:rsidR="00C82ED9" w:rsidRPr="00C82ED9">
        <w:rPr>
          <w:rFonts w:ascii="Times New Roman" w:hAnsi="Times New Roman" w:cs="Times New Roman"/>
          <w:b/>
          <w:bCs/>
          <w:i/>
          <w:sz w:val="24"/>
          <w:szCs w:val="24"/>
        </w:rPr>
        <w:t xml:space="preserve"> </w:t>
      </w:r>
      <w:r w:rsidR="00C435D1" w:rsidRPr="00C435D1">
        <w:rPr>
          <w:rFonts w:ascii="Times New Roman" w:hAnsi="Times New Roman" w:cs="Times New Roman"/>
          <w:b/>
          <w:bCs/>
          <w:sz w:val="24"/>
          <w:szCs w:val="24"/>
        </w:rPr>
        <w:t>collected from the study areas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926"/>
        <w:gridCol w:w="929"/>
        <w:gridCol w:w="967"/>
        <w:gridCol w:w="929"/>
        <w:gridCol w:w="823"/>
        <w:gridCol w:w="981"/>
        <w:gridCol w:w="982"/>
        <w:gridCol w:w="900"/>
        <w:gridCol w:w="732"/>
      </w:tblGrid>
      <w:tr w:rsidR="00A07595" w14:paraId="1F9399AC" w14:textId="77777777" w:rsidTr="00FD5EF5">
        <w:trPr>
          <w:trHeight w:val="563"/>
        </w:trPr>
        <w:tc>
          <w:tcPr>
            <w:tcW w:w="1409" w:type="dxa"/>
          </w:tcPr>
          <w:p w14:paraId="3BA48AE3" w14:textId="707BC2CC" w:rsidR="00A07595" w:rsidRDefault="00A4167D" w:rsidP="00FD5EF5">
            <w:pPr>
              <w:pStyle w:val="TableParagraph"/>
              <w:spacing w:line="183" w:lineRule="exact"/>
              <w:ind w:left="107"/>
              <w:jc w:val="left"/>
              <w:rPr>
                <w:b/>
                <w:sz w:val="16"/>
              </w:rPr>
            </w:pPr>
            <w:r>
              <w:rPr>
                <w:b/>
                <w:spacing w:val="-2"/>
                <w:sz w:val="16"/>
              </w:rPr>
              <w:t xml:space="preserve">Study locations </w:t>
            </w:r>
          </w:p>
        </w:tc>
        <w:tc>
          <w:tcPr>
            <w:tcW w:w="926" w:type="dxa"/>
          </w:tcPr>
          <w:p w14:paraId="3270EF85" w14:textId="77777777" w:rsidR="00A07595" w:rsidRDefault="00A07595" w:rsidP="00FD5EF5">
            <w:pPr>
              <w:pStyle w:val="TableParagraph"/>
              <w:spacing w:before="1"/>
              <w:ind w:left="108"/>
              <w:jc w:val="left"/>
              <w:rPr>
                <w:b/>
                <w:sz w:val="16"/>
              </w:rPr>
            </w:pPr>
            <w:r>
              <w:rPr>
                <w:b/>
                <w:spacing w:val="-2"/>
                <w:sz w:val="16"/>
              </w:rPr>
              <w:t>Epidermis</w:t>
            </w:r>
            <w:r>
              <w:rPr>
                <w:b/>
                <w:spacing w:val="40"/>
                <w:sz w:val="16"/>
              </w:rPr>
              <w:t xml:space="preserve"> </w:t>
            </w:r>
            <w:r>
              <w:rPr>
                <w:b/>
                <w:spacing w:val="-2"/>
                <w:sz w:val="16"/>
              </w:rPr>
              <w:t>thickness</w:t>
            </w:r>
          </w:p>
          <w:p w14:paraId="31A19EFA" w14:textId="77777777" w:rsidR="00A07595" w:rsidRDefault="00A07595" w:rsidP="00FD5EF5">
            <w:pPr>
              <w:pStyle w:val="TableParagraph"/>
              <w:spacing w:line="174" w:lineRule="exact"/>
              <w:ind w:left="108"/>
              <w:jc w:val="left"/>
              <w:rPr>
                <w:b/>
                <w:sz w:val="16"/>
              </w:rPr>
            </w:pPr>
            <w:r>
              <w:rPr>
                <w:b/>
                <w:spacing w:val="-4"/>
                <w:sz w:val="16"/>
              </w:rPr>
              <w:t>(</w:t>
            </w:r>
            <w:r>
              <w:rPr>
                <w:rFonts w:ascii="Symbol" w:hAnsi="Symbol"/>
                <w:b/>
                <w:spacing w:val="-4"/>
                <w:sz w:val="16"/>
              </w:rPr>
              <w:t></w:t>
            </w:r>
            <w:r>
              <w:rPr>
                <w:b/>
                <w:spacing w:val="-4"/>
                <w:sz w:val="16"/>
              </w:rPr>
              <w:t>m)</w:t>
            </w:r>
          </w:p>
        </w:tc>
        <w:tc>
          <w:tcPr>
            <w:tcW w:w="929" w:type="dxa"/>
          </w:tcPr>
          <w:p w14:paraId="205CB89C" w14:textId="77777777" w:rsidR="00A07595" w:rsidRDefault="00A07595" w:rsidP="00FD5EF5">
            <w:pPr>
              <w:pStyle w:val="TableParagraph"/>
              <w:spacing w:before="1"/>
              <w:ind w:left="108"/>
              <w:jc w:val="left"/>
              <w:rPr>
                <w:b/>
                <w:sz w:val="16"/>
              </w:rPr>
            </w:pPr>
            <w:r>
              <w:rPr>
                <w:b/>
                <w:spacing w:val="-2"/>
                <w:sz w:val="16"/>
              </w:rPr>
              <w:t>Epidermis</w:t>
            </w:r>
            <w:r>
              <w:rPr>
                <w:b/>
                <w:spacing w:val="40"/>
                <w:sz w:val="16"/>
              </w:rPr>
              <w:t xml:space="preserve"> </w:t>
            </w:r>
            <w:r>
              <w:rPr>
                <w:b/>
                <w:spacing w:val="-4"/>
                <w:sz w:val="16"/>
              </w:rPr>
              <w:t>area</w:t>
            </w:r>
          </w:p>
          <w:p w14:paraId="2022FFB5" w14:textId="77777777" w:rsidR="00A07595" w:rsidRDefault="00A07595" w:rsidP="00FD5EF5">
            <w:pPr>
              <w:pStyle w:val="TableParagraph"/>
              <w:spacing w:line="174" w:lineRule="exact"/>
              <w:ind w:left="108"/>
              <w:jc w:val="left"/>
              <w:rPr>
                <w:b/>
                <w:sz w:val="16"/>
              </w:rPr>
            </w:pPr>
            <w:r>
              <w:rPr>
                <w:b/>
                <w:spacing w:val="-4"/>
                <w:sz w:val="16"/>
              </w:rPr>
              <w:t>(</w:t>
            </w:r>
            <w:r>
              <w:rPr>
                <w:rFonts w:ascii="Symbol" w:hAnsi="Symbol"/>
                <w:b/>
                <w:spacing w:val="-4"/>
                <w:sz w:val="16"/>
              </w:rPr>
              <w:t></w:t>
            </w:r>
            <w:r>
              <w:rPr>
                <w:b/>
                <w:spacing w:val="-4"/>
                <w:sz w:val="16"/>
              </w:rPr>
              <w:t>m)</w:t>
            </w:r>
          </w:p>
        </w:tc>
        <w:tc>
          <w:tcPr>
            <w:tcW w:w="967" w:type="dxa"/>
          </w:tcPr>
          <w:p w14:paraId="79B87DB8" w14:textId="77777777" w:rsidR="00A07595" w:rsidRDefault="00A07595" w:rsidP="00FD5EF5">
            <w:pPr>
              <w:pStyle w:val="TableParagraph"/>
              <w:spacing w:before="1"/>
              <w:ind w:left="108"/>
              <w:jc w:val="left"/>
              <w:rPr>
                <w:b/>
                <w:sz w:val="16"/>
              </w:rPr>
            </w:pPr>
            <w:r>
              <w:rPr>
                <w:b/>
                <w:spacing w:val="-2"/>
                <w:sz w:val="16"/>
              </w:rPr>
              <w:t>Mesophyll.</w:t>
            </w:r>
            <w:r>
              <w:rPr>
                <w:b/>
                <w:spacing w:val="40"/>
                <w:sz w:val="16"/>
              </w:rPr>
              <w:t xml:space="preserve"> </w:t>
            </w:r>
            <w:r>
              <w:rPr>
                <w:b/>
                <w:spacing w:val="-2"/>
                <w:sz w:val="16"/>
              </w:rPr>
              <w:t>thickness</w:t>
            </w:r>
          </w:p>
          <w:p w14:paraId="35BBFA2C" w14:textId="77777777" w:rsidR="00A07595" w:rsidRDefault="00A07595" w:rsidP="00FD5EF5">
            <w:pPr>
              <w:pStyle w:val="TableParagraph"/>
              <w:spacing w:line="174" w:lineRule="exact"/>
              <w:ind w:left="108"/>
              <w:jc w:val="left"/>
              <w:rPr>
                <w:b/>
                <w:sz w:val="16"/>
              </w:rPr>
            </w:pPr>
            <w:r>
              <w:rPr>
                <w:b/>
                <w:spacing w:val="-4"/>
                <w:sz w:val="16"/>
              </w:rPr>
              <w:t>(</w:t>
            </w:r>
            <w:r>
              <w:rPr>
                <w:rFonts w:ascii="Symbol" w:hAnsi="Symbol"/>
                <w:b/>
                <w:spacing w:val="-4"/>
                <w:sz w:val="16"/>
              </w:rPr>
              <w:t></w:t>
            </w:r>
            <w:r>
              <w:rPr>
                <w:b/>
                <w:spacing w:val="-4"/>
                <w:sz w:val="16"/>
              </w:rPr>
              <w:t>m)</w:t>
            </w:r>
          </w:p>
        </w:tc>
        <w:tc>
          <w:tcPr>
            <w:tcW w:w="929" w:type="dxa"/>
          </w:tcPr>
          <w:p w14:paraId="07794D6B" w14:textId="77777777" w:rsidR="00A07595" w:rsidRDefault="00A07595" w:rsidP="00FD5EF5">
            <w:pPr>
              <w:pStyle w:val="TableParagraph"/>
              <w:spacing w:before="1"/>
              <w:ind w:left="109"/>
              <w:jc w:val="left"/>
              <w:rPr>
                <w:b/>
                <w:sz w:val="16"/>
              </w:rPr>
            </w:pPr>
            <w:r>
              <w:rPr>
                <w:b/>
                <w:spacing w:val="-2"/>
                <w:sz w:val="16"/>
              </w:rPr>
              <w:t>Mesophyll</w:t>
            </w:r>
            <w:r>
              <w:rPr>
                <w:b/>
                <w:spacing w:val="40"/>
                <w:sz w:val="16"/>
              </w:rPr>
              <w:t xml:space="preserve"> </w:t>
            </w:r>
            <w:r>
              <w:rPr>
                <w:b/>
                <w:spacing w:val="-4"/>
                <w:sz w:val="16"/>
              </w:rPr>
              <w:t>area</w:t>
            </w:r>
          </w:p>
          <w:p w14:paraId="539BB6C5" w14:textId="77777777" w:rsidR="00A07595" w:rsidRDefault="00A07595" w:rsidP="00FD5EF5">
            <w:pPr>
              <w:pStyle w:val="TableParagraph"/>
              <w:spacing w:line="174" w:lineRule="exact"/>
              <w:ind w:left="109"/>
              <w:jc w:val="left"/>
              <w:rPr>
                <w:b/>
                <w:sz w:val="16"/>
              </w:rPr>
            </w:pPr>
            <w:r>
              <w:rPr>
                <w:b/>
                <w:spacing w:val="-4"/>
                <w:sz w:val="16"/>
              </w:rPr>
              <w:t>(</w:t>
            </w:r>
            <w:r>
              <w:rPr>
                <w:rFonts w:ascii="Symbol" w:hAnsi="Symbol"/>
                <w:b/>
                <w:spacing w:val="-4"/>
                <w:sz w:val="16"/>
              </w:rPr>
              <w:t></w:t>
            </w:r>
            <w:r>
              <w:rPr>
                <w:b/>
                <w:spacing w:val="-4"/>
                <w:sz w:val="16"/>
              </w:rPr>
              <w:t>m)</w:t>
            </w:r>
          </w:p>
        </w:tc>
        <w:tc>
          <w:tcPr>
            <w:tcW w:w="823" w:type="dxa"/>
          </w:tcPr>
          <w:p w14:paraId="17BF868D" w14:textId="77777777" w:rsidR="00A07595" w:rsidRDefault="00A07595" w:rsidP="00FD5EF5">
            <w:pPr>
              <w:pStyle w:val="TableParagraph"/>
              <w:spacing w:before="1"/>
              <w:ind w:left="109" w:right="113"/>
              <w:jc w:val="left"/>
              <w:rPr>
                <w:b/>
                <w:sz w:val="16"/>
              </w:rPr>
            </w:pPr>
            <w:r>
              <w:rPr>
                <w:b/>
                <w:spacing w:val="-2"/>
                <w:sz w:val="16"/>
              </w:rPr>
              <w:t>stomatal</w:t>
            </w:r>
            <w:r>
              <w:rPr>
                <w:b/>
                <w:spacing w:val="40"/>
                <w:sz w:val="16"/>
              </w:rPr>
              <w:t xml:space="preserve"> </w:t>
            </w:r>
            <w:r>
              <w:rPr>
                <w:b/>
                <w:spacing w:val="-4"/>
                <w:sz w:val="16"/>
              </w:rPr>
              <w:t>area</w:t>
            </w:r>
          </w:p>
          <w:p w14:paraId="299980AD" w14:textId="77777777" w:rsidR="00A07595" w:rsidRDefault="00A07595" w:rsidP="00FD5EF5">
            <w:pPr>
              <w:pStyle w:val="TableParagraph"/>
              <w:spacing w:line="174" w:lineRule="exact"/>
              <w:ind w:left="109"/>
              <w:jc w:val="left"/>
              <w:rPr>
                <w:b/>
                <w:sz w:val="16"/>
              </w:rPr>
            </w:pPr>
            <w:r>
              <w:rPr>
                <w:b/>
                <w:spacing w:val="-4"/>
                <w:sz w:val="16"/>
              </w:rPr>
              <w:t>(</w:t>
            </w:r>
            <w:r>
              <w:rPr>
                <w:rFonts w:ascii="Symbol" w:hAnsi="Symbol"/>
                <w:b/>
                <w:spacing w:val="-4"/>
                <w:sz w:val="16"/>
              </w:rPr>
              <w:t></w:t>
            </w:r>
            <w:r>
              <w:rPr>
                <w:b/>
                <w:spacing w:val="-4"/>
                <w:sz w:val="16"/>
              </w:rPr>
              <w:t>m)</w:t>
            </w:r>
          </w:p>
        </w:tc>
        <w:tc>
          <w:tcPr>
            <w:tcW w:w="981" w:type="dxa"/>
          </w:tcPr>
          <w:p w14:paraId="00EA4232" w14:textId="77777777" w:rsidR="00A07595" w:rsidRDefault="00A07595" w:rsidP="00FD5EF5">
            <w:pPr>
              <w:pStyle w:val="TableParagraph"/>
              <w:spacing w:before="1"/>
              <w:ind w:left="109"/>
              <w:jc w:val="left"/>
              <w:rPr>
                <w:b/>
                <w:sz w:val="16"/>
              </w:rPr>
            </w:pPr>
            <w:r>
              <w:rPr>
                <w:b/>
                <w:spacing w:val="-2"/>
                <w:sz w:val="16"/>
              </w:rPr>
              <w:t>Metaxylem</w:t>
            </w:r>
            <w:r>
              <w:rPr>
                <w:b/>
                <w:spacing w:val="40"/>
                <w:sz w:val="16"/>
              </w:rPr>
              <w:t xml:space="preserve"> </w:t>
            </w:r>
            <w:r>
              <w:rPr>
                <w:b/>
                <w:spacing w:val="-2"/>
                <w:sz w:val="16"/>
              </w:rPr>
              <w:t>thickness</w:t>
            </w:r>
          </w:p>
          <w:p w14:paraId="35FA275F" w14:textId="77777777" w:rsidR="00A07595" w:rsidRDefault="00A07595" w:rsidP="00FD5EF5">
            <w:pPr>
              <w:pStyle w:val="TableParagraph"/>
              <w:spacing w:line="174" w:lineRule="exact"/>
              <w:ind w:left="109"/>
              <w:jc w:val="left"/>
              <w:rPr>
                <w:b/>
                <w:sz w:val="16"/>
              </w:rPr>
            </w:pPr>
            <w:r>
              <w:rPr>
                <w:b/>
                <w:spacing w:val="-4"/>
                <w:sz w:val="16"/>
              </w:rPr>
              <w:t>(</w:t>
            </w:r>
            <w:r>
              <w:rPr>
                <w:rFonts w:ascii="Symbol" w:hAnsi="Symbol"/>
                <w:b/>
                <w:spacing w:val="-4"/>
                <w:sz w:val="16"/>
              </w:rPr>
              <w:t></w:t>
            </w:r>
            <w:r>
              <w:rPr>
                <w:b/>
                <w:spacing w:val="-4"/>
                <w:sz w:val="16"/>
              </w:rPr>
              <w:t>m)</w:t>
            </w:r>
          </w:p>
        </w:tc>
        <w:tc>
          <w:tcPr>
            <w:tcW w:w="982" w:type="dxa"/>
          </w:tcPr>
          <w:p w14:paraId="58C52B9F" w14:textId="77777777" w:rsidR="00A07595" w:rsidRDefault="00A07595" w:rsidP="00FD5EF5">
            <w:pPr>
              <w:pStyle w:val="TableParagraph"/>
              <w:spacing w:before="1"/>
              <w:ind w:left="110"/>
              <w:jc w:val="left"/>
              <w:rPr>
                <w:b/>
                <w:sz w:val="16"/>
              </w:rPr>
            </w:pPr>
            <w:r>
              <w:rPr>
                <w:b/>
                <w:spacing w:val="-2"/>
                <w:sz w:val="16"/>
              </w:rPr>
              <w:t>Metaxylem</w:t>
            </w:r>
            <w:r>
              <w:rPr>
                <w:b/>
                <w:spacing w:val="40"/>
                <w:sz w:val="16"/>
              </w:rPr>
              <w:t xml:space="preserve"> </w:t>
            </w:r>
            <w:r>
              <w:rPr>
                <w:b/>
                <w:spacing w:val="-4"/>
                <w:sz w:val="16"/>
              </w:rPr>
              <w:t>Area</w:t>
            </w:r>
          </w:p>
          <w:p w14:paraId="1F275C57" w14:textId="77777777" w:rsidR="00A07595" w:rsidRDefault="00A07595" w:rsidP="00FD5EF5">
            <w:pPr>
              <w:pStyle w:val="TableParagraph"/>
              <w:spacing w:line="174" w:lineRule="exact"/>
              <w:ind w:left="110"/>
              <w:jc w:val="left"/>
              <w:rPr>
                <w:b/>
                <w:sz w:val="16"/>
              </w:rPr>
            </w:pPr>
            <w:r>
              <w:rPr>
                <w:b/>
                <w:spacing w:val="-2"/>
                <w:sz w:val="16"/>
              </w:rPr>
              <w:t>(</w:t>
            </w:r>
            <w:r>
              <w:rPr>
                <w:rFonts w:ascii="Symbol" w:hAnsi="Symbol"/>
                <w:b/>
                <w:spacing w:val="-2"/>
                <w:sz w:val="16"/>
              </w:rPr>
              <w:t></w:t>
            </w:r>
            <w:r>
              <w:rPr>
                <w:b/>
                <w:spacing w:val="-2"/>
                <w:sz w:val="16"/>
              </w:rPr>
              <w:t>m</w:t>
            </w:r>
            <w:r>
              <w:rPr>
                <w:b/>
                <w:spacing w:val="-2"/>
                <w:sz w:val="16"/>
                <w:vertAlign w:val="superscript"/>
              </w:rPr>
              <w:t>2</w:t>
            </w:r>
            <w:r>
              <w:rPr>
                <w:b/>
                <w:spacing w:val="-2"/>
                <w:sz w:val="16"/>
              </w:rPr>
              <w:t>)</w:t>
            </w:r>
          </w:p>
        </w:tc>
        <w:tc>
          <w:tcPr>
            <w:tcW w:w="900" w:type="dxa"/>
          </w:tcPr>
          <w:p w14:paraId="440E2675" w14:textId="77777777" w:rsidR="00A07595" w:rsidRDefault="00A07595" w:rsidP="00FD5EF5">
            <w:pPr>
              <w:pStyle w:val="TableParagraph"/>
              <w:spacing w:before="1"/>
              <w:ind w:left="110"/>
              <w:jc w:val="left"/>
              <w:rPr>
                <w:b/>
                <w:sz w:val="16"/>
              </w:rPr>
            </w:pPr>
            <w:r>
              <w:rPr>
                <w:b/>
                <w:spacing w:val="-2"/>
                <w:sz w:val="16"/>
              </w:rPr>
              <w:t>Phloem</w:t>
            </w:r>
            <w:r>
              <w:rPr>
                <w:b/>
                <w:spacing w:val="40"/>
                <w:sz w:val="16"/>
              </w:rPr>
              <w:t xml:space="preserve"> </w:t>
            </w:r>
            <w:r>
              <w:rPr>
                <w:b/>
                <w:spacing w:val="-2"/>
                <w:sz w:val="16"/>
              </w:rPr>
              <w:t>Thickness</w:t>
            </w:r>
          </w:p>
          <w:p w14:paraId="6DE640D3" w14:textId="77777777" w:rsidR="00A07595" w:rsidRDefault="00A07595" w:rsidP="00FD5EF5">
            <w:pPr>
              <w:pStyle w:val="TableParagraph"/>
              <w:spacing w:line="174" w:lineRule="exact"/>
              <w:ind w:left="110"/>
              <w:jc w:val="left"/>
              <w:rPr>
                <w:b/>
                <w:sz w:val="16"/>
              </w:rPr>
            </w:pPr>
            <w:r>
              <w:rPr>
                <w:b/>
                <w:spacing w:val="-4"/>
                <w:sz w:val="16"/>
              </w:rPr>
              <w:t>(</w:t>
            </w:r>
            <w:r>
              <w:rPr>
                <w:rFonts w:ascii="Symbol" w:hAnsi="Symbol"/>
                <w:b/>
                <w:spacing w:val="-4"/>
                <w:sz w:val="16"/>
              </w:rPr>
              <w:t></w:t>
            </w:r>
            <w:r>
              <w:rPr>
                <w:b/>
                <w:spacing w:val="-4"/>
                <w:sz w:val="16"/>
              </w:rPr>
              <w:t>m)</w:t>
            </w:r>
          </w:p>
        </w:tc>
        <w:tc>
          <w:tcPr>
            <w:tcW w:w="732" w:type="dxa"/>
          </w:tcPr>
          <w:p w14:paraId="3551D531" w14:textId="77777777" w:rsidR="00A07595" w:rsidRDefault="00A07595" w:rsidP="00FD5EF5">
            <w:pPr>
              <w:pStyle w:val="TableParagraph"/>
              <w:spacing w:before="1"/>
              <w:ind w:left="110" w:right="88"/>
              <w:jc w:val="left"/>
              <w:rPr>
                <w:b/>
                <w:sz w:val="16"/>
              </w:rPr>
            </w:pPr>
            <w:r>
              <w:rPr>
                <w:b/>
                <w:spacing w:val="-2"/>
                <w:sz w:val="16"/>
              </w:rPr>
              <w:t>Phloem</w:t>
            </w:r>
            <w:r>
              <w:rPr>
                <w:b/>
                <w:spacing w:val="40"/>
                <w:sz w:val="16"/>
              </w:rPr>
              <w:t xml:space="preserve"> </w:t>
            </w:r>
            <w:r>
              <w:rPr>
                <w:b/>
                <w:spacing w:val="-4"/>
                <w:sz w:val="16"/>
              </w:rPr>
              <w:t>Area</w:t>
            </w:r>
          </w:p>
          <w:p w14:paraId="1F6C7A11" w14:textId="77777777" w:rsidR="00A07595" w:rsidRDefault="00A07595" w:rsidP="00FD5EF5">
            <w:pPr>
              <w:pStyle w:val="TableParagraph"/>
              <w:spacing w:line="174" w:lineRule="exact"/>
              <w:ind w:left="110"/>
              <w:jc w:val="left"/>
              <w:rPr>
                <w:b/>
                <w:sz w:val="16"/>
              </w:rPr>
            </w:pPr>
            <w:r>
              <w:rPr>
                <w:b/>
                <w:spacing w:val="-2"/>
                <w:sz w:val="16"/>
              </w:rPr>
              <w:t>(</w:t>
            </w:r>
            <w:r>
              <w:rPr>
                <w:rFonts w:ascii="Symbol" w:hAnsi="Symbol"/>
                <w:b/>
                <w:spacing w:val="-2"/>
                <w:sz w:val="16"/>
              </w:rPr>
              <w:t></w:t>
            </w:r>
            <w:r>
              <w:rPr>
                <w:b/>
                <w:spacing w:val="-2"/>
                <w:sz w:val="16"/>
              </w:rPr>
              <w:t>m</w:t>
            </w:r>
            <w:r>
              <w:rPr>
                <w:b/>
                <w:spacing w:val="-2"/>
                <w:sz w:val="16"/>
                <w:vertAlign w:val="superscript"/>
              </w:rPr>
              <w:t>2</w:t>
            </w:r>
            <w:r>
              <w:rPr>
                <w:b/>
                <w:spacing w:val="-2"/>
                <w:sz w:val="16"/>
              </w:rPr>
              <w:t>)</w:t>
            </w:r>
          </w:p>
        </w:tc>
      </w:tr>
      <w:tr w:rsidR="00A07595" w14:paraId="616712E4" w14:textId="77777777" w:rsidTr="00A4167D">
        <w:trPr>
          <w:trHeight w:val="460"/>
        </w:trPr>
        <w:tc>
          <w:tcPr>
            <w:tcW w:w="1409" w:type="dxa"/>
            <w:tcBorders>
              <w:bottom w:val="single" w:sz="4" w:space="0" w:color="auto"/>
            </w:tcBorders>
          </w:tcPr>
          <w:p w14:paraId="7C7B1780" w14:textId="427D79AC" w:rsidR="00A07595" w:rsidRPr="00A4167D" w:rsidRDefault="00A4167D" w:rsidP="00A4167D">
            <w:pPr>
              <w:pStyle w:val="TableParagraph"/>
              <w:spacing w:line="480" w:lineRule="auto"/>
              <w:ind w:left="107" w:right="57"/>
              <w:rPr>
                <w:b/>
                <w:bCs/>
                <w:sz w:val="20"/>
              </w:rPr>
            </w:pPr>
            <w:r w:rsidRPr="00A4167D">
              <w:rPr>
                <w:b/>
                <w:bCs/>
                <w:spacing w:val="-2"/>
                <w:sz w:val="20"/>
              </w:rPr>
              <w:t xml:space="preserve">Midstream  </w:t>
            </w:r>
          </w:p>
        </w:tc>
        <w:tc>
          <w:tcPr>
            <w:tcW w:w="926" w:type="dxa"/>
          </w:tcPr>
          <w:p w14:paraId="1941764C" w14:textId="3BED92D2" w:rsidR="00A07595" w:rsidRDefault="0003237B" w:rsidP="00FD5EF5">
            <w:pPr>
              <w:pStyle w:val="TableParagraph"/>
              <w:ind w:left="15" w:right="3"/>
              <w:rPr>
                <w:sz w:val="20"/>
              </w:rPr>
            </w:pPr>
            <w:r>
              <w:rPr>
                <w:spacing w:val="-2"/>
                <w:sz w:val="20"/>
              </w:rPr>
              <w:t>115</w:t>
            </w:r>
            <w:r w:rsidR="00A07595">
              <w:rPr>
                <w:spacing w:val="-2"/>
                <w:sz w:val="20"/>
              </w:rPr>
              <w:t>.8</w:t>
            </w:r>
            <w:r w:rsidR="00A07595">
              <w:rPr>
                <w:spacing w:val="-2"/>
                <w:sz w:val="20"/>
                <w:vertAlign w:val="superscript"/>
              </w:rPr>
              <w:t>a</w:t>
            </w:r>
          </w:p>
        </w:tc>
        <w:tc>
          <w:tcPr>
            <w:tcW w:w="929" w:type="dxa"/>
          </w:tcPr>
          <w:p w14:paraId="7F64118E" w14:textId="6AD66E73" w:rsidR="00A07595" w:rsidRDefault="00A07595" w:rsidP="00FD5EF5">
            <w:pPr>
              <w:pStyle w:val="TableParagraph"/>
              <w:ind w:right="3"/>
              <w:rPr>
                <w:sz w:val="20"/>
              </w:rPr>
            </w:pPr>
            <w:r>
              <w:rPr>
                <w:spacing w:val="-2"/>
                <w:sz w:val="20"/>
              </w:rPr>
              <w:t>1</w:t>
            </w:r>
            <w:r w:rsidR="00A4167D">
              <w:rPr>
                <w:spacing w:val="-2"/>
                <w:sz w:val="20"/>
              </w:rPr>
              <w:t>2</w:t>
            </w:r>
            <w:r>
              <w:rPr>
                <w:spacing w:val="-2"/>
                <w:sz w:val="20"/>
              </w:rPr>
              <w:t>293</w:t>
            </w:r>
            <w:r>
              <w:rPr>
                <w:spacing w:val="-2"/>
                <w:sz w:val="20"/>
                <w:vertAlign w:val="superscript"/>
              </w:rPr>
              <w:t>a</w:t>
            </w:r>
          </w:p>
        </w:tc>
        <w:tc>
          <w:tcPr>
            <w:tcW w:w="967" w:type="dxa"/>
          </w:tcPr>
          <w:p w14:paraId="3D026D85" w14:textId="6B08F50B" w:rsidR="00A07595" w:rsidRDefault="00A4167D" w:rsidP="00FD5EF5">
            <w:pPr>
              <w:pStyle w:val="TableParagraph"/>
              <w:rPr>
                <w:sz w:val="20"/>
              </w:rPr>
            </w:pPr>
            <w:r>
              <w:rPr>
                <w:spacing w:val="-2"/>
                <w:sz w:val="20"/>
              </w:rPr>
              <w:t>6</w:t>
            </w:r>
            <w:r w:rsidR="00A07595">
              <w:rPr>
                <w:spacing w:val="-2"/>
                <w:sz w:val="20"/>
              </w:rPr>
              <w:t>3.61</w:t>
            </w:r>
            <w:r w:rsidR="00A07595">
              <w:rPr>
                <w:spacing w:val="-2"/>
                <w:sz w:val="20"/>
                <w:vertAlign w:val="superscript"/>
              </w:rPr>
              <w:t>b</w:t>
            </w:r>
          </w:p>
        </w:tc>
        <w:tc>
          <w:tcPr>
            <w:tcW w:w="929" w:type="dxa"/>
          </w:tcPr>
          <w:p w14:paraId="213067C0" w14:textId="77777777" w:rsidR="00A07595" w:rsidRDefault="00A07595" w:rsidP="00FD5EF5">
            <w:pPr>
              <w:pStyle w:val="TableParagraph"/>
              <w:ind w:right="2"/>
              <w:rPr>
                <w:sz w:val="20"/>
              </w:rPr>
            </w:pPr>
            <w:r>
              <w:rPr>
                <w:spacing w:val="-2"/>
                <w:sz w:val="20"/>
              </w:rPr>
              <w:t>2040</w:t>
            </w:r>
            <w:r>
              <w:rPr>
                <w:spacing w:val="-2"/>
                <w:sz w:val="20"/>
                <w:vertAlign w:val="superscript"/>
              </w:rPr>
              <w:t>b</w:t>
            </w:r>
          </w:p>
        </w:tc>
        <w:tc>
          <w:tcPr>
            <w:tcW w:w="823" w:type="dxa"/>
          </w:tcPr>
          <w:p w14:paraId="590901D2" w14:textId="1145A733" w:rsidR="00A07595" w:rsidRDefault="00A07595" w:rsidP="00FD5EF5">
            <w:pPr>
              <w:pStyle w:val="TableParagraph"/>
              <w:rPr>
                <w:sz w:val="20"/>
              </w:rPr>
            </w:pPr>
            <w:r>
              <w:rPr>
                <w:spacing w:val="-2"/>
                <w:sz w:val="20"/>
              </w:rPr>
              <w:t>1</w:t>
            </w:r>
            <w:r w:rsidR="00A4167D">
              <w:rPr>
                <w:spacing w:val="-2"/>
                <w:sz w:val="20"/>
              </w:rPr>
              <w:t>2</w:t>
            </w:r>
            <w:r>
              <w:rPr>
                <w:spacing w:val="-2"/>
                <w:sz w:val="20"/>
              </w:rPr>
              <w:t>28</w:t>
            </w:r>
            <w:r>
              <w:rPr>
                <w:spacing w:val="-2"/>
                <w:sz w:val="20"/>
                <w:vertAlign w:val="superscript"/>
              </w:rPr>
              <w:t>a</w:t>
            </w:r>
          </w:p>
        </w:tc>
        <w:tc>
          <w:tcPr>
            <w:tcW w:w="981" w:type="dxa"/>
          </w:tcPr>
          <w:p w14:paraId="4997C3A8" w14:textId="10A1C99D" w:rsidR="00A07595" w:rsidRDefault="00A4167D" w:rsidP="00FD5EF5">
            <w:pPr>
              <w:pStyle w:val="TableParagraph"/>
              <w:ind w:left="13"/>
              <w:rPr>
                <w:sz w:val="20"/>
              </w:rPr>
            </w:pPr>
            <w:r>
              <w:rPr>
                <w:spacing w:val="-2"/>
                <w:sz w:val="20"/>
              </w:rPr>
              <w:t>3</w:t>
            </w:r>
            <w:r w:rsidR="00A07595">
              <w:rPr>
                <w:spacing w:val="-2"/>
                <w:sz w:val="20"/>
              </w:rPr>
              <w:t>5.16</w:t>
            </w:r>
            <w:r w:rsidR="00A07595">
              <w:rPr>
                <w:spacing w:val="-2"/>
                <w:sz w:val="20"/>
                <w:vertAlign w:val="superscript"/>
              </w:rPr>
              <w:t>a</w:t>
            </w:r>
          </w:p>
        </w:tc>
        <w:tc>
          <w:tcPr>
            <w:tcW w:w="982" w:type="dxa"/>
          </w:tcPr>
          <w:p w14:paraId="5E39F339" w14:textId="0B4C0624" w:rsidR="00A07595" w:rsidRDefault="00A07595" w:rsidP="00FD5EF5">
            <w:pPr>
              <w:pStyle w:val="TableParagraph"/>
              <w:ind w:left="17"/>
              <w:rPr>
                <w:sz w:val="20"/>
              </w:rPr>
            </w:pPr>
            <w:r>
              <w:rPr>
                <w:spacing w:val="-2"/>
                <w:sz w:val="20"/>
              </w:rPr>
              <w:t>1</w:t>
            </w:r>
            <w:r w:rsidR="00A4167D">
              <w:rPr>
                <w:spacing w:val="-2"/>
                <w:sz w:val="20"/>
              </w:rPr>
              <w:t>4</w:t>
            </w:r>
            <w:r>
              <w:rPr>
                <w:spacing w:val="-2"/>
                <w:sz w:val="20"/>
              </w:rPr>
              <w:t>18</w:t>
            </w:r>
            <w:r>
              <w:rPr>
                <w:spacing w:val="-2"/>
                <w:sz w:val="20"/>
                <w:vertAlign w:val="superscript"/>
              </w:rPr>
              <w:t>a</w:t>
            </w:r>
          </w:p>
        </w:tc>
        <w:tc>
          <w:tcPr>
            <w:tcW w:w="900" w:type="dxa"/>
          </w:tcPr>
          <w:p w14:paraId="7034C0D3" w14:textId="264B7465" w:rsidR="00A07595" w:rsidRDefault="00A4167D" w:rsidP="00FD5EF5">
            <w:pPr>
              <w:pStyle w:val="TableParagraph"/>
              <w:ind w:left="16"/>
              <w:rPr>
                <w:sz w:val="20"/>
              </w:rPr>
            </w:pPr>
            <w:r>
              <w:rPr>
                <w:spacing w:val="-2"/>
                <w:sz w:val="20"/>
              </w:rPr>
              <w:t>7</w:t>
            </w:r>
            <w:r w:rsidR="00A07595">
              <w:rPr>
                <w:spacing w:val="-2"/>
                <w:sz w:val="20"/>
              </w:rPr>
              <w:t>.32</w:t>
            </w:r>
            <w:r w:rsidR="00A07595">
              <w:rPr>
                <w:spacing w:val="-2"/>
                <w:sz w:val="20"/>
                <w:vertAlign w:val="superscript"/>
              </w:rPr>
              <w:t>b</w:t>
            </w:r>
          </w:p>
        </w:tc>
        <w:tc>
          <w:tcPr>
            <w:tcW w:w="732" w:type="dxa"/>
          </w:tcPr>
          <w:p w14:paraId="32D646CE" w14:textId="0F137245" w:rsidR="00A07595" w:rsidRDefault="00A07595" w:rsidP="00FD5EF5">
            <w:pPr>
              <w:pStyle w:val="TableParagraph"/>
              <w:ind w:left="16" w:right="2"/>
              <w:rPr>
                <w:sz w:val="20"/>
              </w:rPr>
            </w:pPr>
            <w:r>
              <w:rPr>
                <w:spacing w:val="-4"/>
                <w:sz w:val="20"/>
              </w:rPr>
              <w:t>1</w:t>
            </w:r>
            <w:r w:rsidR="00A4167D">
              <w:rPr>
                <w:spacing w:val="-4"/>
                <w:sz w:val="20"/>
              </w:rPr>
              <w:t>4</w:t>
            </w:r>
            <w:r>
              <w:rPr>
                <w:spacing w:val="-4"/>
                <w:sz w:val="20"/>
              </w:rPr>
              <w:t>1</w:t>
            </w:r>
            <w:r>
              <w:rPr>
                <w:spacing w:val="-4"/>
                <w:sz w:val="20"/>
                <w:vertAlign w:val="superscript"/>
              </w:rPr>
              <w:t>b</w:t>
            </w:r>
          </w:p>
        </w:tc>
      </w:tr>
      <w:tr w:rsidR="00A07595" w14:paraId="56A95556" w14:textId="77777777" w:rsidTr="00A4167D">
        <w:trPr>
          <w:trHeight w:val="460"/>
        </w:trPr>
        <w:tc>
          <w:tcPr>
            <w:tcW w:w="1409" w:type="dxa"/>
            <w:tcBorders>
              <w:top w:val="single" w:sz="4" w:space="0" w:color="auto"/>
              <w:bottom w:val="single" w:sz="4" w:space="0" w:color="auto"/>
            </w:tcBorders>
          </w:tcPr>
          <w:p w14:paraId="4A4CAEA9" w14:textId="2B858F03" w:rsidR="00A07595" w:rsidRPr="00A4167D" w:rsidRDefault="00A4167D" w:rsidP="00A4167D">
            <w:pPr>
              <w:pStyle w:val="TableParagraph"/>
              <w:spacing w:line="480" w:lineRule="auto"/>
              <w:ind w:left="107" w:right="57"/>
              <w:rPr>
                <w:b/>
                <w:bCs/>
                <w:sz w:val="2"/>
                <w:szCs w:val="2"/>
              </w:rPr>
            </w:pPr>
            <w:r w:rsidRPr="00A4167D">
              <w:rPr>
                <w:b/>
                <w:bCs/>
                <w:spacing w:val="-2"/>
                <w:sz w:val="20"/>
              </w:rPr>
              <w:t xml:space="preserve">Upstream </w:t>
            </w:r>
          </w:p>
        </w:tc>
        <w:tc>
          <w:tcPr>
            <w:tcW w:w="926" w:type="dxa"/>
          </w:tcPr>
          <w:p w14:paraId="7AD57091" w14:textId="7918110E" w:rsidR="00A07595" w:rsidRDefault="00A07595" w:rsidP="00FD5EF5">
            <w:pPr>
              <w:pStyle w:val="TableParagraph"/>
              <w:ind w:left="15"/>
              <w:rPr>
                <w:sz w:val="20"/>
              </w:rPr>
            </w:pPr>
            <w:r>
              <w:rPr>
                <w:spacing w:val="-4"/>
                <w:sz w:val="20"/>
              </w:rPr>
              <w:t>1</w:t>
            </w:r>
            <w:r w:rsidR="0003237B">
              <w:rPr>
                <w:spacing w:val="-4"/>
                <w:sz w:val="20"/>
              </w:rPr>
              <w:t>17</w:t>
            </w:r>
            <w:r>
              <w:rPr>
                <w:spacing w:val="-4"/>
                <w:sz w:val="20"/>
                <w:vertAlign w:val="superscript"/>
              </w:rPr>
              <w:t>a</w:t>
            </w:r>
          </w:p>
        </w:tc>
        <w:tc>
          <w:tcPr>
            <w:tcW w:w="929" w:type="dxa"/>
          </w:tcPr>
          <w:p w14:paraId="694C6F72" w14:textId="3085F55A" w:rsidR="00A07595" w:rsidRDefault="00A4167D" w:rsidP="00FD5EF5">
            <w:pPr>
              <w:pStyle w:val="TableParagraph"/>
              <w:ind w:right="3"/>
              <w:rPr>
                <w:sz w:val="20"/>
              </w:rPr>
            </w:pPr>
            <w:r>
              <w:rPr>
                <w:spacing w:val="-2"/>
                <w:sz w:val="20"/>
              </w:rPr>
              <w:t>8</w:t>
            </w:r>
            <w:r w:rsidR="00A07595">
              <w:rPr>
                <w:spacing w:val="-2"/>
                <w:sz w:val="20"/>
              </w:rPr>
              <w:t>790</w:t>
            </w:r>
            <w:r w:rsidR="00A07595">
              <w:rPr>
                <w:spacing w:val="-2"/>
                <w:sz w:val="20"/>
                <w:vertAlign w:val="superscript"/>
              </w:rPr>
              <w:t>b</w:t>
            </w:r>
          </w:p>
        </w:tc>
        <w:tc>
          <w:tcPr>
            <w:tcW w:w="967" w:type="dxa"/>
          </w:tcPr>
          <w:p w14:paraId="345C6386" w14:textId="05AF90AD" w:rsidR="00A07595" w:rsidRDefault="00A07595" w:rsidP="00FD5EF5">
            <w:pPr>
              <w:pStyle w:val="TableParagraph"/>
              <w:rPr>
                <w:sz w:val="20"/>
              </w:rPr>
            </w:pPr>
            <w:r>
              <w:rPr>
                <w:spacing w:val="-4"/>
                <w:sz w:val="20"/>
              </w:rPr>
              <w:t>1</w:t>
            </w:r>
            <w:r w:rsidR="00A4167D">
              <w:rPr>
                <w:spacing w:val="-4"/>
                <w:sz w:val="20"/>
              </w:rPr>
              <w:t>07</w:t>
            </w:r>
            <w:r>
              <w:rPr>
                <w:spacing w:val="-4"/>
                <w:sz w:val="20"/>
                <w:vertAlign w:val="superscript"/>
              </w:rPr>
              <w:t>a</w:t>
            </w:r>
          </w:p>
        </w:tc>
        <w:tc>
          <w:tcPr>
            <w:tcW w:w="929" w:type="dxa"/>
          </w:tcPr>
          <w:p w14:paraId="5762CFDD" w14:textId="3DBAB911" w:rsidR="00A07595" w:rsidRDefault="00A07595" w:rsidP="00FD5EF5">
            <w:pPr>
              <w:pStyle w:val="TableParagraph"/>
              <w:ind w:right="2"/>
              <w:rPr>
                <w:sz w:val="20"/>
              </w:rPr>
            </w:pPr>
            <w:r>
              <w:rPr>
                <w:spacing w:val="-2"/>
                <w:sz w:val="20"/>
              </w:rPr>
              <w:t>1</w:t>
            </w:r>
            <w:r w:rsidR="00A4167D">
              <w:rPr>
                <w:spacing w:val="-2"/>
                <w:sz w:val="20"/>
              </w:rPr>
              <w:t>1</w:t>
            </w:r>
            <w:r>
              <w:rPr>
                <w:spacing w:val="-2"/>
                <w:sz w:val="20"/>
              </w:rPr>
              <w:t>652</w:t>
            </w:r>
            <w:r>
              <w:rPr>
                <w:spacing w:val="-2"/>
                <w:sz w:val="20"/>
                <w:vertAlign w:val="superscript"/>
              </w:rPr>
              <w:t>a</w:t>
            </w:r>
          </w:p>
        </w:tc>
        <w:tc>
          <w:tcPr>
            <w:tcW w:w="823" w:type="dxa"/>
          </w:tcPr>
          <w:p w14:paraId="04CD365E" w14:textId="0EC36946" w:rsidR="00A07595" w:rsidRDefault="00A07595" w:rsidP="00FD5EF5">
            <w:pPr>
              <w:pStyle w:val="TableParagraph"/>
              <w:ind w:right="2"/>
              <w:rPr>
                <w:sz w:val="20"/>
              </w:rPr>
            </w:pPr>
            <w:r>
              <w:rPr>
                <w:spacing w:val="-2"/>
                <w:sz w:val="20"/>
              </w:rPr>
              <w:t>1</w:t>
            </w:r>
            <w:r w:rsidR="00A4167D">
              <w:rPr>
                <w:spacing w:val="-2"/>
                <w:sz w:val="20"/>
              </w:rPr>
              <w:t>4</w:t>
            </w:r>
            <w:r>
              <w:rPr>
                <w:spacing w:val="-2"/>
                <w:sz w:val="20"/>
              </w:rPr>
              <w:t>381</w:t>
            </w:r>
            <w:r>
              <w:rPr>
                <w:spacing w:val="-2"/>
                <w:sz w:val="20"/>
                <w:vertAlign w:val="superscript"/>
              </w:rPr>
              <w:t>a</w:t>
            </w:r>
          </w:p>
        </w:tc>
        <w:tc>
          <w:tcPr>
            <w:tcW w:w="981" w:type="dxa"/>
          </w:tcPr>
          <w:p w14:paraId="4FAB68E6" w14:textId="51DAF909" w:rsidR="00A07595" w:rsidRDefault="00A07595" w:rsidP="00FD5EF5">
            <w:pPr>
              <w:pStyle w:val="TableParagraph"/>
              <w:ind w:left="13"/>
              <w:rPr>
                <w:sz w:val="20"/>
              </w:rPr>
            </w:pPr>
            <w:r>
              <w:rPr>
                <w:spacing w:val="-2"/>
                <w:sz w:val="20"/>
              </w:rPr>
              <w:t>3</w:t>
            </w:r>
            <w:r w:rsidR="00A4167D">
              <w:rPr>
                <w:spacing w:val="-2"/>
                <w:sz w:val="20"/>
              </w:rPr>
              <w:t>6</w:t>
            </w:r>
            <w:r>
              <w:rPr>
                <w:spacing w:val="-2"/>
                <w:sz w:val="20"/>
              </w:rPr>
              <w:t>.97</w:t>
            </w:r>
            <w:r>
              <w:rPr>
                <w:spacing w:val="-2"/>
                <w:sz w:val="20"/>
                <w:vertAlign w:val="superscript"/>
              </w:rPr>
              <w:t>a</w:t>
            </w:r>
          </w:p>
        </w:tc>
        <w:tc>
          <w:tcPr>
            <w:tcW w:w="982" w:type="dxa"/>
          </w:tcPr>
          <w:p w14:paraId="7DE41498" w14:textId="1AA578C7" w:rsidR="00A07595" w:rsidRDefault="00A07595" w:rsidP="00FD5EF5">
            <w:pPr>
              <w:pStyle w:val="TableParagraph"/>
              <w:ind w:left="17"/>
              <w:rPr>
                <w:sz w:val="20"/>
              </w:rPr>
            </w:pPr>
            <w:r>
              <w:rPr>
                <w:spacing w:val="-2"/>
                <w:sz w:val="20"/>
              </w:rPr>
              <w:t>11</w:t>
            </w:r>
            <w:r w:rsidR="00A4167D">
              <w:rPr>
                <w:spacing w:val="-2"/>
                <w:sz w:val="20"/>
              </w:rPr>
              <w:t>8</w:t>
            </w:r>
            <w:r>
              <w:rPr>
                <w:spacing w:val="-2"/>
                <w:sz w:val="20"/>
              </w:rPr>
              <w:t>2</w:t>
            </w:r>
            <w:r>
              <w:rPr>
                <w:spacing w:val="-2"/>
                <w:sz w:val="20"/>
                <w:vertAlign w:val="superscript"/>
              </w:rPr>
              <w:t>a</w:t>
            </w:r>
          </w:p>
        </w:tc>
        <w:tc>
          <w:tcPr>
            <w:tcW w:w="900" w:type="dxa"/>
          </w:tcPr>
          <w:p w14:paraId="31F711A4" w14:textId="77777777" w:rsidR="00A07595" w:rsidRDefault="00A07595" w:rsidP="00FD5EF5">
            <w:pPr>
              <w:pStyle w:val="TableParagraph"/>
              <w:ind w:left="16" w:right="2"/>
              <w:rPr>
                <w:sz w:val="20"/>
              </w:rPr>
            </w:pPr>
            <w:r>
              <w:rPr>
                <w:spacing w:val="-2"/>
                <w:sz w:val="20"/>
              </w:rPr>
              <w:t>15.80</w:t>
            </w:r>
            <w:r>
              <w:rPr>
                <w:spacing w:val="-2"/>
                <w:sz w:val="20"/>
                <w:vertAlign w:val="superscript"/>
              </w:rPr>
              <w:t>a</w:t>
            </w:r>
          </w:p>
        </w:tc>
        <w:tc>
          <w:tcPr>
            <w:tcW w:w="732" w:type="dxa"/>
          </w:tcPr>
          <w:p w14:paraId="6E6C9552" w14:textId="1DB586CF" w:rsidR="00A07595" w:rsidRDefault="00A4167D" w:rsidP="00FD5EF5">
            <w:pPr>
              <w:pStyle w:val="TableParagraph"/>
              <w:ind w:left="16"/>
              <w:rPr>
                <w:sz w:val="20"/>
              </w:rPr>
            </w:pPr>
            <w:r>
              <w:rPr>
                <w:spacing w:val="-4"/>
                <w:sz w:val="20"/>
              </w:rPr>
              <w:t>3</w:t>
            </w:r>
            <w:r w:rsidR="00A07595">
              <w:rPr>
                <w:spacing w:val="-4"/>
                <w:sz w:val="20"/>
              </w:rPr>
              <w:t>29</w:t>
            </w:r>
            <w:r w:rsidR="00A07595">
              <w:rPr>
                <w:spacing w:val="-4"/>
                <w:sz w:val="20"/>
                <w:vertAlign w:val="superscript"/>
              </w:rPr>
              <w:t>a</w:t>
            </w:r>
          </w:p>
        </w:tc>
      </w:tr>
      <w:tr w:rsidR="00A07595" w14:paraId="1319E963" w14:textId="77777777" w:rsidTr="00A4167D">
        <w:trPr>
          <w:trHeight w:val="460"/>
        </w:trPr>
        <w:tc>
          <w:tcPr>
            <w:tcW w:w="1409" w:type="dxa"/>
            <w:tcBorders>
              <w:top w:val="single" w:sz="4" w:space="0" w:color="auto"/>
            </w:tcBorders>
          </w:tcPr>
          <w:p w14:paraId="393BA979" w14:textId="3F75F6B0" w:rsidR="00A07595" w:rsidRPr="00A4167D" w:rsidRDefault="00A4167D" w:rsidP="00A4167D">
            <w:pPr>
              <w:pStyle w:val="TableParagraph"/>
              <w:spacing w:line="480" w:lineRule="auto"/>
              <w:ind w:left="107" w:right="57"/>
              <w:jc w:val="left"/>
              <w:rPr>
                <w:b/>
                <w:bCs/>
                <w:sz w:val="2"/>
                <w:szCs w:val="2"/>
              </w:rPr>
            </w:pPr>
            <w:r w:rsidRPr="00A4167D">
              <w:rPr>
                <w:b/>
                <w:bCs/>
                <w:spacing w:val="-2"/>
                <w:sz w:val="20"/>
              </w:rPr>
              <w:t>Downstream</w:t>
            </w:r>
          </w:p>
        </w:tc>
        <w:tc>
          <w:tcPr>
            <w:tcW w:w="926" w:type="dxa"/>
          </w:tcPr>
          <w:p w14:paraId="40E149A5" w14:textId="49EB749D" w:rsidR="00A07595" w:rsidRDefault="0003237B" w:rsidP="00FD5EF5">
            <w:pPr>
              <w:pStyle w:val="TableParagraph"/>
              <w:ind w:left="15"/>
              <w:rPr>
                <w:sz w:val="20"/>
              </w:rPr>
            </w:pPr>
            <w:r>
              <w:rPr>
                <w:spacing w:val="-4"/>
                <w:sz w:val="20"/>
              </w:rPr>
              <w:t>118</w:t>
            </w:r>
            <w:r w:rsidR="00A07595">
              <w:rPr>
                <w:spacing w:val="-4"/>
                <w:sz w:val="20"/>
                <w:vertAlign w:val="superscript"/>
              </w:rPr>
              <w:t>a</w:t>
            </w:r>
          </w:p>
        </w:tc>
        <w:tc>
          <w:tcPr>
            <w:tcW w:w="929" w:type="dxa"/>
          </w:tcPr>
          <w:p w14:paraId="1DD30BBF" w14:textId="25BE9D5E" w:rsidR="00A07595" w:rsidRDefault="00A07595" w:rsidP="00FD5EF5">
            <w:pPr>
              <w:pStyle w:val="TableParagraph"/>
              <w:rPr>
                <w:sz w:val="20"/>
              </w:rPr>
            </w:pPr>
            <w:r>
              <w:rPr>
                <w:spacing w:val="-2"/>
                <w:sz w:val="20"/>
              </w:rPr>
              <w:t>1</w:t>
            </w:r>
            <w:r w:rsidR="00A4167D">
              <w:rPr>
                <w:spacing w:val="-2"/>
                <w:sz w:val="20"/>
              </w:rPr>
              <w:t>1</w:t>
            </w:r>
            <w:r>
              <w:rPr>
                <w:spacing w:val="-2"/>
                <w:sz w:val="20"/>
              </w:rPr>
              <w:t>262</w:t>
            </w:r>
            <w:r>
              <w:rPr>
                <w:spacing w:val="-2"/>
                <w:sz w:val="20"/>
                <w:vertAlign w:val="superscript"/>
              </w:rPr>
              <w:t>ab</w:t>
            </w:r>
          </w:p>
        </w:tc>
        <w:tc>
          <w:tcPr>
            <w:tcW w:w="967" w:type="dxa"/>
          </w:tcPr>
          <w:p w14:paraId="447658D5" w14:textId="5EA046AA" w:rsidR="00A07595" w:rsidRDefault="00A07595" w:rsidP="00FD5EF5">
            <w:pPr>
              <w:pStyle w:val="TableParagraph"/>
              <w:rPr>
                <w:sz w:val="20"/>
              </w:rPr>
            </w:pPr>
            <w:r>
              <w:rPr>
                <w:spacing w:val="-4"/>
                <w:sz w:val="20"/>
              </w:rPr>
              <w:t>1</w:t>
            </w:r>
            <w:r w:rsidR="00A4167D">
              <w:rPr>
                <w:spacing w:val="-4"/>
                <w:sz w:val="20"/>
              </w:rPr>
              <w:t>05</w:t>
            </w:r>
            <w:r>
              <w:rPr>
                <w:spacing w:val="-4"/>
                <w:sz w:val="20"/>
                <w:vertAlign w:val="superscript"/>
              </w:rPr>
              <w:t>a</w:t>
            </w:r>
          </w:p>
        </w:tc>
        <w:tc>
          <w:tcPr>
            <w:tcW w:w="929" w:type="dxa"/>
          </w:tcPr>
          <w:p w14:paraId="0B3AB0EF" w14:textId="77777777" w:rsidR="00A07595" w:rsidRDefault="00A07595" w:rsidP="00FD5EF5">
            <w:pPr>
              <w:pStyle w:val="TableParagraph"/>
              <w:rPr>
                <w:sz w:val="20"/>
              </w:rPr>
            </w:pPr>
            <w:r>
              <w:rPr>
                <w:spacing w:val="-2"/>
                <w:sz w:val="20"/>
              </w:rPr>
              <w:t>8630</w:t>
            </w:r>
            <w:r>
              <w:rPr>
                <w:spacing w:val="-2"/>
                <w:sz w:val="20"/>
                <w:vertAlign w:val="superscript"/>
              </w:rPr>
              <w:t>a</w:t>
            </w:r>
          </w:p>
        </w:tc>
        <w:tc>
          <w:tcPr>
            <w:tcW w:w="823" w:type="dxa"/>
          </w:tcPr>
          <w:p w14:paraId="65A27439" w14:textId="1A408DD5" w:rsidR="00A07595" w:rsidRDefault="00A07595" w:rsidP="00FD5EF5">
            <w:pPr>
              <w:pStyle w:val="TableParagraph"/>
              <w:rPr>
                <w:sz w:val="20"/>
              </w:rPr>
            </w:pPr>
            <w:r>
              <w:rPr>
                <w:spacing w:val="-2"/>
                <w:sz w:val="20"/>
              </w:rPr>
              <w:t>2</w:t>
            </w:r>
            <w:r w:rsidR="00A4167D">
              <w:rPr>
                <w:spacing w:val="-2"/>
                <w:sz w:val="20"/>
              </w:rPr>
              <w:t>7</w:t>
            </w:r>
            <w:r>
              <w:rPr>
                <w:spacing w:val="-2"/>
                <w:sz w:val="20"/>
              </w:rPr>
              <w:t>14.6</w:t>
            </w:r>
            <w:r>
              <w:rPr>
                <w:spacing w:val="-2"/>
                <w:sz w:val="20"/>
                <w:vertAlign w:val="superscript"/>
              </w:rPr>
              <w:t>a</w:t>
            </w:r>
          </w:p>
        </w:tc>
        <w:tc>
          <w:tcPr>
            <w:tcW w:w="981" w:type="dxa"/>
          </w:tcPr>
          <w:p w14:paraId="24519FC7" w14:textId="3EE49EFC" w:rsidR="00A07595" w:rsidRDefault="00A07595" w:rsidP="00FD5EF5">
            <w:pPr>
              <w:pStyle w:val="TableParagraph"/>
              <w:ind w:left="13"/>
              <w:rPr>
                <w:sz w:val="20"/>
              </w:rPr>
            </w:pPr>
            <w:r>
              <w:rPr>
                <w:spacing w:val="-2"/>
                <w:sz w:val="20"/>
              </w:rPr>
              <w:t>3</w:t>
            </w:r>
            <w:r w:rsidR="00A4167D">
              <w:rPr>
                <w:spacing w:val="-2"/>
                <w:sz w:val="20"/>
              </w:rPr>
              <w:t>1</w:t>
            </w:r>
            <w:r>
              <w:rPr>
                <w:spacing w:val="-2"/>
                <w:sz w:val="20"/>
              </w:rPr>
              <w:t>.68</w:t>
            </w:r>
            <w:r>
              <w:rPr>
                <w:spacing w:val="-2"/>
                <w:sz w:val="20"/>
                <w:vertAlign w:val="superscript"/>
              </w:rPr>
              <w:t>a</w:t>
            </w:r>
          </w:p>
        </w:tc>
        <w:tc>
          <w:tcPr>
            <w:tcW w:w="982" w:type="dxa"/>
          </w:tcPr>
          <w:p w14:paraId="6A6B4C70" w14:textId="66A462D3" w:rsidR="00A07595" w:rsidRDefault="00A4167D" w:rsidP="00FD5EF5">
            <w:pPr>
              <w:pStyle w:val="TableParagraph"/>
              <w:ind w:left="17"/>
              <w:rPr>
                <w:sz w:val="20"/>
              </w:rPr>
            </w:pPr>
            <w:r>
              <w:rPr>
                <w:spacing w:val="-4"/>
                <w:sz w:val="20"/>
              </w:rPr>
              <w:t>8</w:t>
            </w:r>
            <w:r w:rsidR="00A07595">
              <w:rPr>
                <w:spacing w:val="-4"/>
                <w:sz w:val="20"/>
              </w:rPr>
              <w:t>10</w:t>
            </w:r>
            <w:r w:rsidR="00A07595">
              <w:rPr>
                <w:spacing w:val="-4"/>
                <w:sz w:val="20"/>
                <w:vertAlign w:val="superscript"/>
              </w:rPr>
              <w:t>a</w:t>
            </w:r>
          </w:p>
        </w:tc>
        <w:tc>
          <w:tcPr>
            <w:tcW w:w="900" w:type="dxa"/>
          </w:tcPr>
          <w:p w14:paraId="316058E7" w14:textId="77777777" w:rsidR="00A07595" w:rsidRDefault="00A07595" w:rsidP="00FD5EF5">
            <w:pPr>
              <w:pStyle w:val="TableParagraph"/>
              <w:ind w:left="16"/>
              <w:rPr>
                <w:sz w:val="20"/>
              </w:rPr>
            </w:pPr>
            <w:r>
              <w:rPr>
                <w:spacing w:val="-2"/>
                <w:sz w:val="20"/>
              </w:rPr>
              <w:t>11.30</w:t>
            </w:r>
            <w:r>
              <w:rPr>
                <w:spacing w:val="-2"/>
                <w:sz w:val="20"/>
                <w:vertAlign w:val="superscript"/>
              </w:rPr>
              <w:t>ab</w:t>
            </w:r>
          </w:p>
        </w:tc>
        <w:tc>
          <w:tcPr>
            <w:tcW w:w="732" w:type="dxa"/>
          </w:tcPr>
          <w:p w14:paraId="583F6531" w14:textId="2CD1B942" w:rsidR="00A07595" w:rsidRDefault="00A4167D" w:rsidP="00FD5EF5">
            <w:pPr>
              <w:pStyle w:val="TableParagraph"/>
              <w:ind w:left="16" w:right="2"/>
              <w:rPr>
                <w:sz w:val="20"/>
              </w:rPr>
            </w:pPr>
            <w:r>
              <w:rPr>
                <w:spacing w:val="-2"/>
                <w:sz w:val="20"/>
              </w:rPr>
              <w:t>3</w:t>
            </w:r>
            <w:r w:rsidR="00A07595">
              <w:rPr>
                <w:spacing w:val="-2"/>
                <w:sz w:val="20"/>
              </w:rPr>
              <w:t>25</w:t>
            </w:r>
            <w:r w:rsidR="00A07595">
              <w:rPr>
                <w:spacing w:val="-2"/>
                <w:sz w:val="20"/>
                <w:vertAlign w:val="superscript"/>
              </w:rPr>
              <w:t>ab</w:t>
            </w:r>
          </w:p>
        </w:tc>
      </w:tr>
    </w:tbl>
    <w:p w14:paraId="533E220D" w14:textId="77777777" w:rsidR="00A07595" w:rsidRDefault="00A07595" w:rsidP="00A07595">
      <w:pPr>
        <w:jc w:val="both"/>
        <w:rPr>
          <w:rFonts w:ascii="Times New Roman" w:hAnsi="Times New Roman" w:cs="Times New Roman"/>
          <w:b/>
          <w:bCs/>
          <w:sz w:val="24"/>
          <w:szCs w:val="24"/>
        </w:rPr>
      </w:pPr>
    </w:p>
    <w:p w14:paraId="2EAB8A50" w14:textId="3EC0C916" w:rsidR="0003237B" w:rsidRDefault="0003237B" w:rsidP="00C23702">
      <w:pPr>
        <w:spacing w:line="360" w:lineRule="auto"/>
        <w:jc w:val="both"/>
        <w:rPr>
          <w:rFonts w:ascii="Times New Roman" w:hAnsi="Times New Roman" w:cs="Times New Roman"/>
          <w:b/>
          <w:bCs/>
          <w:sz w:val="24"/>
          <w:szCs w:val="24"/>
        </w:rPr>
      </w:pPr>
    </w:p>
    <w:p w14:paraId="6C8CAC42" w14:textId="77777777" w:rsidR="00FD5EF5" w:rsidRDefault="00FD5EF5" w:rsidP="00FD5EF5">
      <w:pPr>
        <w:jc w:val="both"/>
        <w:rPr>
          <w:rFonts w:ascii="Times New Roman" w:hAnsi="Times New Roman" w:cs="Times New Roman"/>
          <w:b/>
          <w:sz w:val="24"/>
          <w:szCs w:val="24"/>
          <w:lang w:val="en-GB"/>
        </w:rPr>
      </w:pPr>
    </w:p>
    <w:p w14:paraId="3FA34DF1" w14:textId="77777777" w:rsidR="00FD5EF5" w:rsidRDefault="00FD5EF5" w:rsidP="00FD5EF5">
      <w:pPr>
        <w:jc w:val="both"/>
        <w:rPr>
          <w:rFonts w:ascii="Times New Roman" w:hAnsi="Times New Roman" w:cs="Times New Roman"/>
          <w:b/>
          <w:sz w:val="24"/>
          <w:szCs w:val="24"/>
          <w:lang w:val="en-GB"/>
        </w:rPr>
      </w:pPr>
    </w:p>
    <w:p w14:paraId="39750B73" w14:textId="77777777" w:rsidR="00FD5EF5" w:rsidRDefault="00FD5EF5" w:rsidP="00FD5EF5">
      <w:pPr>
        <w:jc w:val="both"/>
        <w:rPr>
          <w:rFonts w:ascii="Times New Roman" w:hAnsi="Times New Roman" w:cs="Times New Roman"/>
          <w:b/>
          <w:sz w:val="24"/>
          <w:szCs w:val="24"/>
          <w:lang w:val="en-GB"/>
        </w:rPr>
      </w:pPr>
    </w:p>
    <w:p w14:paraId="28263835" w14:textId="77777777" w:rsidR="00FD5EF5" w:rsidRDefault="00FD5EF5" w:rsidP="00FD5EF5">
      <w:pPr>
        <w:jc w:val="both"/>
        <w:rPr>
          <w:rFonts w:ascii="Times New Roman" w:hAnsi="Times New Roman" w:cs="Times New Roman"/>
          <w:b/>
          <w:sz w:val="24"/>
          <w:szCs w:val="24"/>
          <w:lang w:val="en-GB"/>
        </w:rPr>
      </w:pPr>
    </w:p>
    <w:p w14:paraId="0CE663B9" w14:textId="77777777" w:rsidR="00FD5EF5" w:rsidRDefault="00FD5EF5" w:rsidP="00FD5EF5">
      <w:pPr>
        <w:jc w:val="both"/>
        <w:rPr>
          <w:rFonts w:ascii="Times New Roman" w:hAnsi="Times New Roman" w:cs="Times New Roman"/>
          <w:b/>
          <w:sz w:val="24"/>
          <w:szCs w:val="24"/>
          <w:lang w:val="en-GB"/>
        </w:rPr>
      </w:pPr>
    </w:p>
    <w:p w14:paraId="0D66076C" w14:textId="77777777" w:rsidR="00FD5EF5" w:rsidRDefault="00FD5EF5" w:rsidP="00FD5EF5">
      <w:pPr>
        <w:jc w:val="both"/>
        <w:rPr>
          <w:rFonts w:ascii="Times New Roman" w:hAnsi="Times New Roman" w:cs="Times New Roman"/>
          <w:b/>
          <w:sz w:val="24"/>
          <w:szCs w:val="24"/>
          <w:lang w:val="en-GB"/>
        </w:rPr>
      </w:pPr>
    </w:p>
    <w:p w14:paraId="51221DA6" w14:textId="77777777" w:rsidR="00FD5EF5" w:rsidRDefault="00FD5EF5" w:rsidP="00FD5EF5">
      <w:pPr>
        <w:jc w:val="both"/>
        <w:rPr>
          <w:rFonts w:ascii="Times New Roman" w:hAnsi="Times New Roman" w:cs="Times New Roman"/>
          <w:b/>
          <w:sz w:val="24"/>
          <w:szCs w:val="24"/>
          <w:lang w:val="en-GB"/>
        </w:rPr>
      </w:pPr>
    </w:p>
    <w:p w14:paraId="1818EE2B" w14:textId="77777777" w:rsidR="00FD5EF5" w:rsidRDefault="00FD5EF5" w:rsidP="00FD5EF5">
      <w:pPr>
        <w:jc w:val="both"/>
        <w:rPr>
          <w:rFonts w:ascii="Times New Roman" w:hAnsi="Times New Roman" w:cs="Times New Roman"/>
          <w:b/>
          <w:sz w:val="24"/>
          <w:szCs w:val="24"/>
          <w:lang w:val="en-GB"/>
        </w:rPr>
      </w:pPr>
    </w:p>
    <w:p w14:paraId="2E10DCA7" w14:textId="77777777" w:rsidR="00FD5EF5" w:rsidRDefault="00FD5EF5" w:rsidP="00FD5EF5">
      <w:pPr>
        <w:jc w:val="both"/>
        <w:rPr>
          <w:rFonts w:ascii="Times New Roman" w:hAnsi="Times New Roman" w:cs="Times New Roman"/>
          <w:b/>
          <w:sz w:val="24"/>
          <w:szCs w:val="24"/>
          <w:lang w:val="en-GB"/>
        </w:rPr>
      </w:pPr>
    </w:p>
    <w:p w14:paraId="55674FF4" w14:textId="77777777" w:rsidR="00FD5EF5" w:rsidRDefault="00FD5EF5" w:rsidP="00FD5EF5">
      <w:pPr>
        <w:jc w:val="both"/>
        <w:rPr>
          <w:rFonts w:ascii="Times New Roman" w:hAnsi="Times New Roman" w:cs="Times New Roman"/>
          <w:b/>
          <w:sz w:val="24"/>
          <w:szCs w:val="24"/>
          <w:lang w:val="en-GB"/>
        </w:rPr>
      </w:pPr>
    </w:p>
    <w:p w14:paraId="18B72CE8" w14:textId="77777777" w:rsidR="00FD5EF5" w:rsidRDefault="00FD5EF5" w:rsidP="00FD5EF5">
      <w:pPr>
        <w:jc w:val="both"/>
        <w:rPr>
          <w:rFonts w:ascii="Times New Roman" w:hAnsi="Times New Roman" w:cs="Times New Roman"/>
          <w:b/>
          <w:sz w:val="24"/>
          <w:szCs w:val="24"/>
          <w:lang w:val="en-GB"/>
        </w:rPr>
      </w:pPr>
    </w:p>
    <w:p w14:paraId="0070935B" w14:textId="77777777" w:rsidR="00FD5EF5" w:rsidRDefault="00FD5EF5" w:rsidP="00FD5EF5">
      <w:pPr>
        <w:jc w:val="both"/>
        <w:rPr>
          <w:rFonts w:ascii="Times New Roman" w:hAnsi="Times New Roman" w:cs="Times New Roman"/>
          <w:b/>
          <w:sz w:val="24"/>
          <w:szCs w:val="24"/>
          <w:lang w:val="en-GB"/>
        </w:rPr>
      </w:pPr>
    </w:p>
    <w:p w14:paraId="7FA8B3B2" w14:textId="77777777" w:rsidR="00FD5EF5" w:rsidRDefault="00FD5EF5" w:rsidP="00FD5EF5">
      <w:pPr>
        <w:jc w:val="both"/>
        <w:rPr>
          <w:rFonts w:ascii="Times New Roman" w:hAnsi="Times New Roman" w:cs="Times New Roman"/>
          <w:b/>
          <w:sz w:val="24"/>
          <w:szCs w:val="24"/>
          <w:lang w:val="en-GB"/>
        </w:rPr>
      </w:pPr>
    </w:p>
    <w:p w14:paraId="6719F5BD" w14:textId="79D1C613" w:rsidR="00FD5EF5" w:rsidRDefault="00FD5EF5" w:rsidP="00FD5EF5">
      <w:pPr>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Heavy metal concentration in water samples </w:t>
      </w:r>
    </w:p>
    <w:p w14:paraId="69F5373D" w14:textId="281FC8C3" w:rsidR="00FD5EF5" w:rsidRPr="00887193" w:rsidRDefault="00FD5EF5" w:rsidP="00FD5EF5">
      <w:pPr>
        <w:spacing w:line="480" w:lineRule="auto"/>
        <w:jc w:val="both"/>
        <w:rPr>
          <w:rFonts w:ascii="Times New Roman" w:hAnsi="Times New Roman" w:cs="Times New Roman"/>
          <w:sz w:val="24"/>
          <w:szCs w:val="24"/>
        </w:rPr>
      </w:pPr>
      <w:r w:rsidRPr="00887193">
        <w:rPr>
          <w:rFonts w:ascii="Times New Roman" w:hAnsi="Times New Roman" w:cs="Times New Roman"/>
          <w:sz w:val="24"/>
          <w:szCs w:val="24"/>
          <w:lang w:val="en-GB"/>
        </w:rPr>
        <w:t>Heavy metal concentration detected in water from study locations (</w:t>
      </w:r>
      <w:proofErr w:type="spellStart"/>
      <w:r w:rsidRPr="00887193">
        <w:rPr>
          <w:rFonts w:ascii="Times New Roman" w:hAnsi="Times New Roman" w:cs="Times New Roman"/>
          <w:sz w:val="24"/>
          <w:szCs w:val="24"/>
          <w:lang w:val="en-GB"/>
        </w:rPr>
        <w:t>Nworie</w:t>
      </w:r>
      <w:proofErr w:type="spellEnd"/>
      <w:r w:rsidRPr="00887193">
        <w:rPr>
          <w:rFonts w:ascii="Times New Roman" w:hAnsi="Times New Roman" w:cs="Times New Roman"/>
          <w:sz w:val="24"/>
          <w:szCs w:val="24"/>
          <w:lang w:val="en-GB"/>
        </w:rPr>
        <w:t xml:space="preserve"> midstream, </w:t>
      </w:r>
      <w:proofErr w:type="spellStart"/>
      <w:r w:rsidRPr="00887193">
        <w:rPr>
          <w:rFonts w:ascii="Times New Roman" w:hAnsi="Times New Roman" w:cs="Times New Roman"/>
          <w:sz w:val="24"/>
          <w:szCs w:val="24"/>
          <w:lang w:val="en-GB"/>
        </w:rPr>
        <w:t>Nwori</w:t>
      </w:r>
      <w:proofErr w:type="spellEnd"/>
      <w:r w:rsidRPr="00887193">
        <w:rPr>
          <w:rFonts w:ascii="Times New Roman" w:hAnsi="Times New Roman" w:cs="Times New Roman"/>
          <w:sz w:val="24"/>
          <w:szCs w:val="24"/>
          <w:lang w:val="en-GB"/>
        </w:rPr>
        <w:t xml:space="preserve"> Downstream, D hostel, B hostel, Nworie upstream, English 1000 capacity, Agric department, Alvan Nursery, Future hope shell camp, NAS Biology building, Safari club shell </w:t>
      </w:r>
      <w:proofErr w:type="spellStart"/>
      <w:r w:rsidRPr="00887193">
        <w:rPr>
          <w:rFonts w:ascii="Times New Roman" w:hAnsi="Times New Roman" w:cs="Times New Roman"/>
          <w:sz w:val="24"/>
          <w:szCs w:val="24"/>
          <w:lang w:val="en-GB"/>
        </w:rPr>
        <w:t>attue</w:t>
      </w:r>
      <w:proofErr w:type="spellEnd"/>
      <w:r w:rsidRPr="00887193">
        <w:rPr>
          <w:rFonts w:ascii="Times New Roman" w:hAnsi="Times New Roman" w:cs="Times New Roman"/>
          <w:sz w:val="24"/>
          <w:szCs w:val="24"/>
          <w:lang w:val="en-GB"/>
        </w:rPr>
        <w:t xml:space="preserve"> camp, Water lotus upstream and Water lotus downstream) is shown in Table </w:t>
      </w:r>
      <w:r w:rsidR="00710A9D">
        <w:rPr>
          <w:rFonts w:ascii="Times New Roman" w:hAnsi="Times New Roman" w:cs="Times New Roman"/>
          <w:sz w:val="24"/>
          <w:szCs w:val="24"/>
          <w:lang w:val="en-GB"/>
        </w:rPr>
        <w:t>3</w:t>
      </w:r>
      <w:r w:rsidRPr="00887193">
        <w:rPr>
          <w:rFonts w:ascii="Times New Roman" w:hAnsi="Times New Roman" w:cs="Times New Roman"/>
          <w:sz w:val="24"/>
          <w:szCs w:val="24"/>
          <w:lang w:val="en-GB"/>
        </w:rPr>
        <w:t xml:space="preserve">. Results obtained from the aquatic environments revealed variation in concentrations of Cadmium, Lead, Manganese, Copper, Zinc, Iron, Fluoride, Arsenic and Mercury from the study locations. </w:t>
      </w:r>
      <w:bookmarkStart w:id="10" w:name="_Hlk204980332"/>
      <w:r w:rsidRPr="00887193">
        <w:rPr>
          <w:rFonts w:ascii="Times New Roman" w:hAnsi="Times New Roman" w:cs="Times New Roman"/>
          <w:sz w:val="24"/>
          <w:szCs w:val="24"/>
          <w:lang w:val="en-GB"/>
        </w:rPr>
        <w:t xml:space="preserve">The highest concentration of Cadmium was obtained from Agric Department with a mean value of </w:t>
      </w:r>
      <w:r w:rsidRPr="00887193">
        <w:rPr>
          <w:rFonts w:ascii="Times New Roman" w:hAnsi="Times New Roman" w:cs="Times New Roman"/>
          <w:sz w:val="24"/>
          <w:szCs w:val="24"/>
        </w:rPr>
        <w:t>0.370±0.08 mg/L followed by samples gotten from Water lotus downstream (0.215±0.09 mg/L</w:t>
      </w:r>
      <w:r>
        <w:rPr>
          <w:rFonts w:ascii="Times New Roman" w:hAnsi="Times New Roman" w:cs="Times New Roman"/>
          <w:sz w:val="24"/>
          <w:szCs w:val="24"/>
        </w:rPr>
        <w:t>) while the least C</w:t>
      </w:r>
      <w:r w:rsidRPr="00887193">
        <w:rPr>
          <w:rFonts w:ascii="Times New Roman" w:hAnsi="Times New Roman" w:cs="Times New Roman"/>
          <w:sz w:val="24"/>
          <w:szCs w:val="24"/>
        </w:rPr>
        <w:t>admium concentration in the study locations was obtained from Nworie midstream with a mean value of 0.078±0.01 mg/L.</w:t>
      </w:r>
      <w:r>
        <w:rPr>
          <w:rFonts w:ascii="Times New Roman" w:hAnsi="Times New Roman" w:cs="Times New Roman"/>
          <w:sz w:val="24"/>
          <w:szCs w:val="24"/>
        </w:rPr>
        <w:t xml:space="preserve"> </w:t>
      </w:r>
      <w:bookmarkEnd w:id="10"/>
      <w:r>
        <w:rPr>
          <w:rFonts w:ascii="Times New Roman" w:hAnsi="Times New Roman" w:cs="Times New Roman"/>
          <w:sz w:val="24"/>
          <w:szCs w:val="24"/>
        </w:rPr>
        <w:t>H</w:t>
      </w:r>
      <w:r w:rsidRPr="00887193">
        <w:rPr>
          <w:rFonts w:ascii="Times New Roman" w:hAnsi="Times New Roman" w:cs="Times New Roman"/>
          <w:sz w:val="24"/>
          <w:szCs w:val="24"/>
        </w:rPr>
        <w:t>owever, the concentrations</w:t>
      </w:r>
      <w:r>
        <w:rPr>
          <w:rFonts w:ascii="Times New Roman" w:hAnsi="Times New Roman" w:cs="Times New Roman"/>
          <w:sz w:val="24"/>
          <w:szCs w:val="24"/>
        </w:rPr>
        <w:t xml:space="preserve"> of C</w:t>
      </w:r>
      <w:r w:rsidRPr="00887193">
        <w:rPr>
          <w:rFonts w:ascii="Times New Roman" w:hAnsi="Times New Roman" w:cs="Times New Roman"/>
          <w:sz w:val="24"/>
          <w:szCs w:val="24"/>
        </w:rPr>
        <w:t>admium across the study locations was observed to be within WHO 0.003 mg/L standard for water quality.</w:t>
      </w:r>
    </w:p>
    <w:p w14:paraId="7F55085B" w14:textId="77777777" w:rsidR="00FD5EF5" w:rsidRPr="00887193" w:rsidRDefault="00FD5EF5" w:rsidP="00FD5EF5">
      <w:pPr>
        <w:spacing w:line="480" w:lineRule="auto"/>
        <w:jc w:val="both"/>
        <w:rPr>
          <w:rFonts w:ascii="Times New Roman" w:hAnsi="Times New Roman" w:cs="Times New Roman"/>
          <w:sz w:val="24"/>
          <w:szCs w:val="24"/>
          <w:lang w:val="en-GB"/>
        </w:rPr>
      </w:pPr>
      <w:r w:rsidRPr="00887193">
        <w:rPr>
          <w:rFonts w:ascii="Times New Roman" w:hAnsi="Times New Roman" w:cs="Times New Roman"/>
          <w:sz w:val="24"/>
          <w:szCs w:val="24"/>
          <w:lang w:val="en-GB"/>
        </w:rPr>
        <w:t>There was no statistically significa</w:t>
      </w:r>
      <w:r>
        <w:rPr>
          <w:rFonts w:ascii="Times New Roman" w:hAnsi="Times New Roman" w:cs="Times New Roman"/>
          <w:sz w:val="24"/>
          <w:szCs w:val="24"/>
          <w:lang w:val="en-GB"/>
        </w:rPr>
        <w:t>nt difference</w:t>
      </w:r>
      <w:r w:rsidRPr="00887193">
        <w:rPr>
          <w:rFonts w:ascii="Times New Roman" w:hAnsi="Times New Roman" w:cs="Times New Roman"/>
          <w:sz w:val="24"/>
          <w:szCs w:val="24"/>
          <w:lang w:val="en-GB"/>
        </w:rPr>
        <w:t xml:space="preserve"> (p&lt;0.05) in mean Pb contents in the water samples in all the study locations. The results revealed that the highest concentration of Pb in water was obtained from Agric Department with a mean value of 0.082±0.06 mg/L while the least value of Pb was gotten from </w:t>
      </w:r>
      <w:proofErr w:type="spellStart"/>
      <w:r w:rsidRPr="00887193">
        <w:rPr>
          <w:rFonts w:ascii="Times New Roman" w:hAnsi="Times New Roman" w:cs="Times New Roman"/>
          <w:sz w:val="24"/>
          <w:szCs w:val="24"/>
        </w:rPr>
        <w:t>Nwori</w:t>
      </w:r>
      <w:proofErr w:type="spellEnd"/>
      <w:r w:rsidRPr="00887193">
        <w:rPr>
          <w:rFonts w:ascii="Times New Roman" w:hAnsi="Times New Roman" w:cs="Times New Roman"/>
          <w:sz w:val="24"/>
          <w:szCs w:val="24"/>
        </w:rPr>
        <w:t xml:space="preserve"> Downstream</w:t>
      </w:r>
      <w:r w:rsidRPr="00887193">
        <w:rPr>
          <w:rFonts w:ascii="Times New Roman" w:hAnsi="Times New Roman" w:cs="Times New Roman"/>
          <w:sz w:val="24"/>
          <w:szCs w:val="24"/>
          <w:lang w:val="en-GB"/>
        </w:rPr>
        <w:t xml:space="preserve"> with a mean value of 0.011±0.01 mg/L. </w:t>
      </w:r>
      <w:r>
        <w:rPr>
          <w:rFonts w:ascii="Times New Roman" w:hAnsi="Times New Roman" w:cs="Times New Roman"/>
          <w:sz w:val="24"/>
          <w:szCs w:val="24"/>
          <w:lang w:val="en-GB"/>
        </w:rPr>
        <w:t xml:space="preserve"> T</w:t>
      </w:r>
      <w:r w:rsidRPr="00887193">
        <w:rPr>
          <w:rFonts w:ascii="Times New Roman" w:hAnsi="Times New Roman" w:cs="Times New Roman"/>
          <w:sz w:val="24"/>
          <w:szCs w:val="24"/>
          <w:lang w:val="en-GB"/>
        </w:rPr>
        <w:t xml:space="preserve">he values obtained for Pb was significantly higher than 0.01 mg/L recommended by the WHO. </w:t>
      </w:r>
    </w:p>
    <w:p w14:paraId="7C2E8C28" w14:textId="77777777" w:rsidR="00FD5EF5" w:rsidRDefault="00FD5EF5" w:rsidP="00FD5EF5">
      <w:pPr>
        <w:spacing w:line="480" w:lineRule="auto"/>
        <w:jc w:val="both"/>
        <w:rPr>
          <w:rFonts w:ascii="Times New Roman" w:hAnsi="Times New Roman" w:cs="Times New Roman"/>
          <w:sz w:val="24"/>
          <w:szCs w:val="24"/>
        </w:rPr>
      </w:pPr>
      <w:r w:rsidRPr="00887193">
        <w:rPr>
          <w:rFonts w:ascii="Times New Roman" w:hAnsi="Times New Roman" w:cs="Times New Roman"/>
          <w:sz w:val="24"/>
          <w:szCs w:val="24"/>
          <w:lang w:val="en-GB"/>
        </w:rPr>
        <w:t xml:space="preserve">There was a significant variation in Manganese of the water samples across the study locations. The highest concentration of Mn was observed from water lotus upstream with a mean value of </w:t>
      </w:r>
      <w:r w:rsidRPr="00887193">
        <w:rPr>
          <w:rFonts w:ascii="Times New Roman" w:hAnsi="Times New Roman" w:cs="Times New Roman"/>
          <w:sz w:val="24"/>
          <w:szCs w:val="24"/>
        </w:rPr>
        <w:t xml:space="preserve">1.343±0.19 mg/L followed by safari club shell camp (0.034±0.18 mg/L) while the least value of Mn was obtained from Agric Department with a mean value of 0.370±0.08 mg/L. Concentration of Mn in water was within 0.05 mg/L recommended by the WHO. Similarly, Cu concentration revealed a significant difference (p&lt;0.05) in all the study </w:t>
      </w:r>
      <w:r w:rsidRPr="00887193">
        <w:rPr>
          <w:rFonts w:ascii="Times New Roman" w:hAnsi="Times New Roman" w:cs="Times New Roman"/>
          <w:sz w:val="24"/>
          <w:szCs w:val="24"/>
        </w:rPr>
        <w:lastRenderedPageBreak/>
        <w:t xml:space="preserve">locations with the highest mean value at Safari club shell camp (0.196±0.06 mg/L) while the least concentration was obtained from Nworie downstream (0.055±0.01 mg/L). The concentration of Cu across the study locations was within 2.0 mg/L recommended by the WHO. The concentration of Zn at Agric Department was observed to be the highest with a mean value of 0.370±0.08 mg/L while the least was gotten from Nworie downstream (0.010±0.01 mg/L). </w:t>
      </w:r>
    </w:p>
    <w:p w14:paraId="20C3D989" w14:textId="77777777" w:rsidR="00FD5EF5" w:rsidRDefault="00FD5EF5" w:rsidP="00FD5EF5">
      <w:pPr>
        <w:spacing w:line="480" w:lineRule="auto"/>
        <w:jc w:val="both"/>
        <w:rPr>
          <w:rFonts w:ascii="Times New Roman" w:hAnsi="Times New Roman" w:cs="Times New Roman"/>
          <w:sz w:val="24"/>
          <w:szCs w:val="24"/>
          <w:lang w:val="en-GB"/>
        </w:rPr>
      </w:pPr>
      <w:r w:rsidRPr="00887193">
        <w:rPr>
          <w:rFonts w:ascii="Times New Roman" w:hAnsi="Times New Roman" w:cs="Times New Roman"/>
          <w:sz w:val="24"/>
          <w:szCs w:val="24"/>
        </w:rPr>
        <w:t xml:space="preserve">The values of Zn as compared with WHO showed that Zn was within recommended limit of 3 mg/L. The highest mean value of Fe was obtained from Water lotus downstream and upstream with mean values of 1.213a±0.16 mg/L and 1.106±0.14 mg/L respectively. However, </w:t>
      </w:r>
      <w:proofErr w:type="gramStart"/>
      <w:r w:rsidRPr="00887193">
        <w:rPr>
          <w:rFonts w:ascii="Times New Roman" w:hAnsi="Times New Roman" w:cs="Times New Roman"/>
          <w:sz w:val="24"/>
          <w:szCs w:val="24"/>
        </w:rPr>
        <w:t>these value</w:t>
      </w:r>
      <w:proofErr w:type="gramEnd"/>
      <w:r w:rsidRPr="00887193">
        <w:rPr>
          <w:rFonts w:ascii="Times New Roman" w:hAnsi="Times New Roman" w:cs="Times New Roman"/>
          <w:sz w:val="24"/>
          <w:szCs w:val="24"/>
        </w:rPr>
        <w:t xml:space="preserve"> were within 2 mg/L benchmark by the WHO. Fluoride content in water samples varied across the study locations with the highest mean value obtained from NAS Biology building (0.085±0.04 mg/L) while the least value of F was gotten from Nworie midstream 0.010±0.01 mg/L. samples collected from Water lotus downstream recorded the highest value of Arsenic with a mean value </w:t>
      </w:r>
      <w:proofErr w:type="gramStart"/>
      <w:r w:rsidRPr="00887193">
        <w:rPr>
          <w:rFonts w:ascii="Times New Roman" w:hAnsi="Times New Roman" w:cs="Times New Roman"/>
          <w:sz w:val="24"/>
          <w:szCs w:val="24"/>
        </w:rPr>
        <w:t>of  0</w:t>
      </w:r>
      <w:proofErr w:type="gramEnd"/>
      <w:r w:rsidRPr="00887193">
        <w:rPr>
          <w:rFonts w:ascii="Times New Roman" w:hAnsi="Times New Roman" w:cs="Times New Roman"/>
          <w:sz w:val="24"/>
          <w:szCs w:val="24"/>
        </w:rPr>
        <w:t xml:space="preserve">.821±0.19 mg/L followed by water lotus downstream (0.801±0.18 mg/L). </w:t>
      </w:r>
      <w:r w:rsidRPr="00887193">
        <w:rPr>
          <w:rFonts w:ascii="Times New Roman" w:hAnsi="Times New Roman" w:cs="Times New Roman"/>
          <w:sz w:val="24"/>
          <w:szCs w:val="24"/>
          <w:lang w:val="en-GB"/>
        </w:rPr>
        <w:t xml:space="preserve">There was no statistically significant variation (p&lt;0.05) in mean Hg contents in water samples from the study areas. Samples collected from Alvan nursery recorded the highest mean value of Hg 0.793±0.16 mg/L while the least value was gotten from Future hope shell (0.074±0.04 mg/L). </w:t>
      </w:r>
    </w:p>
    <w:p w14:paraId="147D321E" w14:textId="77777777" w:rsidR="00FD5EF5" w:rsidRDefault="00FD5EF5" w:rsidP="00FD5EF5">
      <w:pPr>
        <w:spacing w:line="480" w:lineRule="auto"/>
        <w:jc w:val="both"/>
        <w:rPr>
          <w:rFonts w:ascii="Times New Roman" w:hAnsi="Times New Roman" w:cs="Times New Roman"/>
          <w:sz w:val="24"/>
          <w:szCs w:val="24"/>
        </w:rPr>
      </w:pPr>
    </w:p>
    <w:p w14:paraId="21F8581B" w14:textId="65718640" w:rsidR="00FD5EF5" w:rsidRDefault="00FD5EF5" w:rsidP="00FD5EF5">
      <w:pPr>
        <w:spacing w:line="480" w:lineRule="auto"/>
        <w:jc w:val="both"/>
        <w:rPr>
          <w:rFonts w:ascii="Times New Roman" w:hAnsi="Times New Roman" w:cs="Times New Roman"/>
          <w:sz w:val="24"/>
          <w:szCs w:val="24"/>
        </w:rPr>
      </w:pPr>
    </w:p>
    <w:p w14:paraId="4F38417B" w14:textId="3C34EBAB" w:rsidR="00FD5EF5" w:rsidRDefault="00FD5EF5" w:rsidP="00FD5EF5">
      <w:pPr>
        <w:spacing w:line="480" w:lineRule="auto"/>
        <w:jc w:val="both"/>
        <w:rPr>
          <w:rFonts w:ascii="Times New Roman" w:hAnsi="Times New Roman" w:cs="Times New Roman"/>
          <w:sz w:val="24"/>
          <w:szCs w:val="24"/>
        </w:rPr>
      </w:pPr>
    </w:p>
    <w:p w14:paraId="5A6A17D8" w14:textId="77777777" w:rsidR="00FD5EF5" w:rsidRPr="00887193" w:rsidRDefault="00FD5EF5" w:rsidP="00FD5EF5">
      <w:pPr>
        <w:spacing w:line="480" w:lineRule="auto"/>
        <w:jc w:val="both"/>
        <w:rPr>
          <w:rFonts w:ascii="Times New Roman" w:hAnsi="Times New Roman" w:cs="Times New Roman"/>
          <w:sz w:val="24"/>
          <w:szCs w:val="24"/>
        </w:rPr>
      </w:pPr>
    </w:p>
    <w:p w14:paraId="4F58C7EB" w14:textId="67B776E1" w:rsidR="00FD5EF5" w:rsidRPr="006346A3" w:rsidRDefault="00FD5EF5" w:rsidP="00FD5EF5">
      <w:pPr>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w:t>
      </w:r>
      <w:r w:rsidR="00710A9D">
        <w:rPr>
          <w:rFonts w:ascii="Times New Roman" w:hAnsi="Times New Roman" w:cs="Times New Roman"/>
          <w:b/>
          <w:sz w:val="24"/>
          <w:szCs w:val="24"/>
          <w:lang w:val="en-GB"/>
        </w:rPr>
        <w:t>3</w:t>
      </w:r>
      <w:r>
        <w:rPr>
          <w:rFonts w:ascii="Times New Roman" w:hAnsi="Times New Roman" w:cs="Times New Roman"/>
          <w:b/>
          <w:sz w:val="24"/>
          <w:szCs w:val="24"/>
          <w:lang w:val="en-GB"/>
        </w:rPr>
        <w:t>: Concentration of heavy metals in</w:t>
      </w:r>
      <w:r w:rsidRPr="006346A3">
        <w:rPr>
          <w:rFonts w:ascii="Times New Roman" w:hAnsi="Times New Roman" w:cs="Times New Roman"/>
          <w:b/>
          <w:sz w:val="24"/>
          <w:szCs w:val="24"/>
          <w:lang w:val="en-GB"/>
        </w:rPr>
        <w:t xml:space="preserve"> </w:t>
      </w:r>
      <w:r>
        <w:rPr>
          <w:rFonts w:ascii="Times New Roman" w:hAnsi="Times New Roman" w:cs="Times New Roman"/>
          <w:b/>
          <w:sz w:val="24"/>
          <w:szCs w:val="24"/>
          <w:lang w:val="en-GB"/>
        </w:rPr>
        <w:t xml:space="preserve">water from the study locations </w:t>
      </w:r>
    </w:p>
    <w:tbl>
      <w:tblPr>
        <w:tblStyle w:val="TableGrid"/>
        <w:tblW w:w="13472" w:type="dxa"/>
        <w:tblInd w:w="-522" w:type="dxa"/>
        <w:tblLook w:val="04A0" w:firstRow="1" w:lastRow="0" w:firstColumn="1" w:lastColumn="0" w:noHBand="0" w:noVBand="1"/>
      </w:tblPr>
      <w:tblGrid>
        <w:gridCol w:w="1827"/>
        <w:gridCol w:w="1287"/>
        <w:gridCol w:w="1349"/>
        <w:gridCol w:w="1287"/>
        <w:gridCol w:w="1287"/>
        <w:gridCol w:w="1287"/>
        <w:gridCol w:w="1287"/>
        <w:gridCol w:w="1287"/>
        <w:gridCol w:w="1287"/>
        <w:gridCol w:w="1287"/>
      </w:tblGrid>
      <w:tr w:rsidR="00FD5EF5" w:rsidRPr="006346A3" w14:paraId="0B72650B" w14:textId="77777777" w:rsidTr="00FD5EF5">
        <w:tc>
          <w:tcPr>
            <w:tcW w:w="1827" w:type="dxa"/>
            <w:vMerge w:val="restart"/>
          </w:tcPr>
          <w:p w14:paraId="1BFA607C"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Locations</w:t>
            </w:r>
          </w:p>
        </w:tc>
        <w:tc>
          <w:tcPr>
            <w:tcW w:w="11645" w:type="dxa"/>
            <w:gridSpan w:val="9"/>
          </w:tcPr>
          <w:p w14:paraId="6F542DEA" w14:textId="77777777" w:rsidR="00FD5EF5" w:rsidRPr="006346A3" w:rsidRDefault="00FD5EF5" w:rsidP="00FD5EF5">
            <w:pPr>
              <w:jc w:val="center"/>
              <w:rPr>
                <w:rFonts w:ascii="Times New Roman" w:hAnsi="Times New Roman" w:cs="Times New Roman"/>
                <w:b/>
                <w:sz w:val="20"/>
                <w:szCs w:val="20"/>
              </w:rPr>
            </w:pPr>
            <w:r w:rsidRPr="006346A3">
              <w:rPr>
                <w:rFonts w:ascii="Times New Roman" w:hAnsi="Times New Roman" w:cs="Times New Roman"/>
                <w:b/>
                <w:sz w:val="20"/>
                <w:szCs w:val="20"/>
              </w:rPr>
              <w:t>Heavy metals (ppm)</w:t>
            </w:r>
          </w:p>
        </w:tc>
      </w:tr>
      <w:tr w:rsidR="00FD5EF5" w:rsidRPr="006346A3" w14:paraId="2FBF0504" w14:textId="77777777" w:rsidTr="00FD5EF5">
        <w:tc>
          <w:tcPr>
            <w:tcW w:w="1827" w:type="dxa"/>
            <w:vMerge/>
          </w:tcPr>
          <w:p w14:paraId="3E9B145D" w14:textId="77777777" w:rsidR="00FD5EF5" w:rsidRPr="006346A3" w:rsidRDefault="00FD5EF5" w:rsidP="00FD5EF5">
            <w:pPr>
              <w:rPr>
                <w:rFonts w:ascii="Times New Roman" w:hAnsi="Times New Roman" w:cs="Times New Roman"/>
                <w:b/>
                <w:sz w:val="20"/>
                <w:szCs w:val="20"/>
              </w:rPr>
            </w:pPr>
          </w:p>
        </w:tc>
        <w:tc>
          <w:tcPr>
            <w:tcW w:w="1287" w:type="dxa"/>
          </w:tcPr>
          <w:p w14:paraId="5E69048E"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Cd</w:t>
            </w:r>
          </w:p>
        </w:tc>
        <w:tc>
          <w:tcPr>
            <w:tcW w:w="1349" w:type="dxa"/>
          </w:tcPr>
          <w:p w14:paraId="7DE0B471"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Pb</w:t>
            </w:r>
          </w:p>
        </w:tc>
        <w:tc>
          <w:tcPr>
            <w:tcW w:w="1287" w:type="dxa"/>
          </w:tcPr>
          <w:p w14:paraId="307752BB"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Mn</w:t>
            </w:r>
          </w:p>
        </w:tc>
        <w:tc>
          <w:tcPr>
            <w:tcW w:w="1287" w:type="dxa"/>
          </w:tcPr>
          <w:p w14:paraId="6CAD9730"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 xml:space="preserve">Cu </w:t>
            </w:r>
          </w:p>
        </w:tc>
        <w:tc>
          <w:tcPr>
            <w:tcW w:w="1287" w:type="dxa"/>
          </w:tcPr>
          <w:p w14:paraId="5A8E02AC"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Zn</w:t>
            </w:r>
          </w:p>
        </w:tc>
        <w:tc>
          <w:tcPr>
            <w:tcW w:w="1287" w:type="dxa"/>
          </w:tcPr>
          <w:p w14:paraId="1509729A"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 xml:space="preserve">Fe </w:t>
            </w:r>
          </w:p>
        </w:tc>
        <w:tc>
          <w:tcPr>
            <w:tcW w:w="1287" w:type="dxa"/>
          </w:tcPr>
          <w:p w14:paraId="267E49ED"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F</w:t>
            </w:r>
          </w:p>
        </w:tc>
        <w:tc>
          <w:tcPr>
            <w:tcW w:w="1287" w:type="dxa"/>
          </w:tcPr>
          <w:p w14:paraId="55E6C39E"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As</w:t>
            </w:r>
          </w:p>
        </w:tc>
        <w:tc>
          <w:tcPr>
            <w:tcW w:w="1287" w:type="dxa"/>
          </w:tcPr>
          <w:p w14:paraId="10EB58EC"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 xml:space="preserve">Hg </w:t>
            </w:r>
          </w:p>
        </w:tc>
      </w:tr>
      <w:tr w:rsidR="00FD5EF5" w:rsidRPr="006346A3" w14:paraId="38302960" w14:textId="77777777" w:rsidTr="00FD5EF5">
        <w:tc>
          <w:tcPr>
            <w:tcW w:w="1827" w:type="dxa"/>
          </w:tcPr>
          <w:p w14:paraId="4E303588"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Nworie midstream</w:t>
            </w:r>
          </w:p>
        </w:tc>
        <w:tc>
          <w:tcPr>
            <w:tcW w:w="1287" w:type="dxa"/>
          </w:tcPr>
          <w:p w14:paraId="2A827C6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349" w:type="dxa"/>
          </w:tcPr>
          <w:p w14:paraId="6AEB0E4C" w14:textId="77777777" w:rsidR="00FD5EF5" w:rsidRPr="006346A3" w:rsidRDefault="00FD5EF5" w:rsidP="00FD5EF5">
            <w:pPr>
              <w:rPr>
                <w:rFonts w:ascii="Times New Roman" w:hAnsi="Times New Roman" w:cs="Times New Roman"/>
                <w:sz w:val="20"/>
                <w:szCs w:val="20"/>
              </w:rPr>
            </w:pPr>
            <w:r>
              <w:rPr>
                <w:rFonts w:ascii="Times New Roman" w:hAnsi="Times New Roman" w:cs="Times New Roman"/>
                <w:sz w:val="20"/>
                <w:szCs w:val="20"/>
              </w:rPr>
              <w:t>0.04</w:t>
            </w:r>
            <w:r w:rsidRPr="006346A3">
              <w:rPr>
                <w:rFonts w:ascii="Times New Roman" w:hAnsi="Times New Roman" w:cs="Times New Roman"/>
                <w:sz w:val="20"/>
                <w:szCs w:val="20"/>
              </w:rPr>
              <w:t>1</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5690711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0.472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±0.11</w:t>
            </w:r>
          </w:p>
        </w:tc>
        <w:tc>
          <w:tcPr>
            <w:tcW w:w="1287" w:type="dxa"/>
          </w:tcPr>
          <w:p w14:paraId="7E50814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0.056</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717DA5B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0.011</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7C4C2F2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0.431</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±0.11</w:t>
            </w:r>
          </w:p>
        </w:tc>
        <w:tc>
          <w:tcPr>
            <w:tcW w:w="1287" w:type="dxa"/>
          </w:tcPr>
          <w:p w14:paraId="11BAEAB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0.010</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4ACBB48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0.016</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±0.01</w:t>
            </w:r>
          </w:p>
        </w:tc>
        <w:tc>
          <w:tcPr>
            <w:tcW w:w="1287" w:type="dxa"/>
          </w:tcPr>
          <w:p w14:paraId="03D908B8"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0.331</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±0.12</w:t>
            </w:r>
          </w:p>
        </w:tc>
      </w:tr>
      <w:tr w:rsidR="00FD5EF5" w:rsidRPr="006346A3" w14:paraId="2579A4BF" w14:textId="77777777" w:rsidTr="00FD5EF5">
        <w:tc>
          <w:tcPr>
            <w:tcW w:w="1827" w:type="dxa"/>
          </w:tcPr>
          <w:p w14:paraId="2AB019FF" w14:textId="77777777" w:rsidR="00FD5EF5" w:rsidRPr="006346A3" w:rsidRDefault="00FD5EF5" w:rsidP="00FD5EF5">
            <w:pPr>
              <w:rPr>
                <w:rFonts w:ascii="Times New Roman" w:hAnsi="Times New Roman" w:cs="Times New Roman"/>
                <w:b/>
                <w:sz w:val="20"/>
                <w:szCs w:val="20"/>
              </w:rPr>
            </w:pPr>
            <w:proofErr w:type="spellStart"/>
            <w:r w:rsidRPr="006346A3">
              <w:rPr>
                <w:rFonts w:ascii="Times New Roman" w:hAnsi="Times New Roman" w:cs="Times New Roman"/>
                <w:b/>
                <w:sz w:val="20"/>
                <w:szCs w:val="20"/>
              </w:rPr>
              <w:t>Nwori</w:t>
            </w:r>
            <w:proofErr w:type="spellEnd"/>
            <w:r w:rsidRPr="006346A3">
              <w:rPr>
                <w:rFonts w:ascii="Times New Roman" w:hAnsi="Times New Roman" w:cs="Times New Roman"/>
                <w:b/>
                <w:sz w:val="20"/>
                <w:szCs w:val="20"/>
              </w:rPr>
              <w:t xml:space="preserve"> Downstream</w:t>
            </w:r>
          </w:p>
        </w:tc>
        <w:tc>
          <w:tcPr>
            <w:tcW w:w="1287" w:type="dxa"/>
          </w:tcPr>
          <w:p w14:paraId="40E2287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0.077</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349" w:type="dxa"/>
          </w:tcPr>
          <w:p w14:paraId="3F3785D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0.011</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5015974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0.472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±0.11</w:t>
            </w:r>
          </w:p>
        </w:tc>
        <w:tc>
          <w:tcPr>
            <w:tcW w:w="1287" w:type="dxa"/>
          </w:tcPr>
          <w:p w14:paraId="6759CF1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0.055</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7B6AA40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0.010</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4524B33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0.431</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±0.11</w:t>
            </w:r>
          </w:p>
        </w:tc>
        <w:tc>
          <w:tcPr>
            <w:tcW w:w="1287" w:type="dxa"/>
          </w:tcPr>
          <w:p w14:paraId="2BFBD77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0.013</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7786AB1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0.016</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±0.01</w:t>
            </w:r>
          </w:p>
        </w:tc>
        <w:tc>
          <w:tcPr>
            <w:tcW w:w="1287" w:type="dxa"/>
          </w:tcPr>
          <w:p w14:paraId="045E01D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0.331</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±0.12</w:t>
            </w:r>
          </w:p>
        </w:tc>
      </w:tr>
      <w:tr w:rsidR="00FD5EF5" w:rsidRPr="006346A3" w14:paraId="571B0448" w14:textId="77777777" w:rsidTr="00FD5EF5">
        <w:tc>
          <w:tcPr>
            <w:tcW w:w="1827" w:type="dxa"/>
          </w:tcPr>
          <w:p w14:paraId="46B1EEBB"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D hostel</w:t>
            </w:r>
          </w:p>
        </w:tc>
        <w:tc>
          <w:tcPr>
            <w:tcW w:w="1287" w:type="dxa"/>
          </w:tcPr>
          <w:p w14:paraId="3320506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349" w:type="dxa"/>
          </w:tcPr>
          <w:p w14:paraId="79B867E9" w14:textId="77777777" w:rsidR="00FD5EF5" w:rsidRPr="006346A3" w:rsidRDefault="00FD5EF5" w:rsidP="00FD5EF5">
            <w:pPr>
              <w:rPr>
                <w:rFonts w:ascii="Times New Roman" w:hAnsi="Times New Roman" w:cs="Times New Roman"/>
                <w:sz w:val="20"/>
                <w:szCs w:val="20"/>
              </w:rPr>
            </w:pPr>
            <w:r>
              <w:rPr>
                <w:rFonts w:ascii="Times New Roman" w:hAnsi="Times New Roman" w:cs="Times New Roman"/>
                <w:sz w:val="20"/>
                <w:szCs w:val="20"/>
              </w:rPr>
              <w:t>0.02</w:t>
            </w:r>
            <w:r w:rsidRPr="006346A3">
              <w:rPr>
                <w:rFonts w:ascii="Times New Roman" w:hAnsi="Times New Roman" w:cs="Times New Roman"/>
                <w:sz w:val="20"/>
                <w:szCs w:val="20"/>
              </w:rPr>
              <w:t>1</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32774B3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±0.12</w:t>
            </w:r>
          </w:p>
        </w:tc>
        <w:tc>
          <w:tcPr>
            <w:tcW w:w="1287" w:type="dxa"/>
          </w:tcPr>
          <w:p w14:paraId="258D09F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0.067</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2EC34CA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0.011</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15605DF0"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0.455</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±0.12</w:t>
            </w:r>
          </w:p>
        </w:tc>
        <w:tc>
          <w:tcPr>
            <w:tcW w:w="1287" w:type="dxa"/>
          </w:tcPr>
          <w:p w14:paraId="2D008DA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0.013</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0947858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0.019</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17DB676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0.355</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±0.13</w:t>
            </w:r>
          </w:p>
        </w:tc>
      </w:tr>
      <w:tr w:rsidR="00FD5EF5" w:rsidRPr="006346A3" w14:paraId="0C1F42EB" w14:textId="77777777" w:rsidTr="00FD5EF5">
        <w:tc>
          <w:tcPr>
            <w:tcW w:w="1827" w:type="dxa"/>
          </w:tcPr>
          <w:p w14:paraId="42800F87"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B hostel</w:t>
            </w:r>
          </w:p>
        </w:tc>
        <w:tc>
          <w:tcPr>
            <w:tcW w:w="1287" w:type="dxa"/>
          </w:tcPr>
          <w:p w14:paraId="45E091EC"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0.089</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349" w:type="dxa"/>
          </w:tcPr>
          <w:p w14:paraId="534AE97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0.013</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7BEA84A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±0.12</w:t>
            </w:r>
          </w:p>
        </w:tc>
        <w:tc>
          <w:tcPr>
            <w:tcW w:w="1287" w:type="dxa"/>
          </w:tcPr>
          <w:p w14:paraId="6EF06E2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18BFE7C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0.012</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152C7E8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0.457</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±0.12</w:t>
            </w:r>
          </w:p>
        </w:tc>
        <w:tc>
          <w:tcPr>
            <w:tcW w:w="1287" w:type="dxa"/>
          </w:tcPr>
          <w:p w14:paraId="66FE35A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287" w:type="dxa"/>
          </w:tcPr>
          <w:p w14:paraId="415D9EF0"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0.060</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287" w:type="dxa"/>
          </w:tcPr>
          <w:p w14:paraId="3FA73168"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0.509</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r>
      <w:tr w:rsidR="00FD5EF5" w:rsidRPr="006346A3" w14:paraId="120AE224" w14:textId="77777777" w:rsidTr="00FD5EF5">
        <w:tc>
          <w:tcPr>
            <w:tcW w:w="1827" w:type="dxa"/>
          </w:tcPr>
          <w:p w14:paraId="2656E692"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Nworie upstream</w:t>
            </w:r>
          </w:p>
        </w:tc>
        <w:tc>
          <w:tcPr>
            <w:tcW w:w="1287" w:type="dxa"/>
          </w:tcPr>
          <w:p w14:paraId="6ED8478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349" w:type="dxa"/>
          </w:tcPr>
          <w:p w14:paraId="7A3CF3BC"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0.015</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0F5F708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0.682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±0.13</w:t>
            </w:r>
          </w:p>
        </w:tc>
        <w:tc>
          <w:tcPr>
            <w:tcW w:w="1287" w:type="dxa"/>
          </w:tcPr>
          <w:p w14:paraId="5B6BCC6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518E109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0.013</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52205EE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0.458</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±0.12</w:t>
            </w:r>
          </w:p>
        </w:tc>
        <w:tc>
          <w:tcPr>
            <w:tcW w:w="1287" w:type="dxa"/>
          </w:tcPr>
          <w:p w14:paraId="3EE4C3A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0.033</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287" w:type="dxa"/>
          </w:tcPr>
          <w:p w14:paraId="6932459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0.060</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±0.03</w:t>
            </w:r>
          </w:p>
        </w:tc>
        <w:tc>
          <w:tcPr>
            <w:tcW w:w="1287" w:type="dxa"/>
          </w:tcPr>
          <w:p w14:paraId="48A58C7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0.514</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r>
      <w:tr w:rsidR="00FD5EF5" w:rsidRPr="006346A3" w14:paraId="34FB1777" w14:textId="77777777" w:rsidTr="00FD5EF5">
        <w:tc>
          <w:tcPr>
            <w:tcW w:w="1827" w:type="dxa"/>
          </w:tcPr>
          <w:p w14:paraId="46922CEF"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English 1000 capacity</w:t>
            </w:r>
          </w:p>
        </w:tc>
        <w:tc>
          <w:tcPr>
            <w:tcW w:w="1287" w:type="dxa"/>
          </w:tcPr>
          <w:p w14:paraId="70D2ACF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349" w:type="dxa"/>
          </w:tcPr>
          <w:p w14:paraId="5D420E91" w14:textId="77777777" w:rsidR="00FD5EF5" w:rsidRPr="006346A3" w:rsidRDefault="00FD5EF5" w:rsidP="00FD5EF5">
            <w:pPr>
              <w:rPr>
                <w:rFonts w:ascii="Times New Roman" w:hAnsi="Times New Roman" w:cs="Times New Roman"/>
                <w:sz w:val="20"/>
                <w:szCs w:val="20"/>
              </w:rPr>
            </w:pPr>
            <w:r>
              <w:rPr>
                <w:rFonts w:ascii="Times New Roman" w:hAnsi="Times New Roman" w:cs="Times New Roman"/>
                <w:sz w:val="20"/>
                <w:szCs w:val="20"/>
              </w:rPr>
              <w:t>0.02</w:t>
            </w:r>
            <w:r w:rsidRPr="006346A3">
              <w:rPr>
                <w:rFonts w:ascii="Times New Roman" w:hAnsi="Times New Roman" w:cs="Times New Roman"/>
                <w:sz w:val="20"/>
                <w:szCs w:val="20"/>
              </w:rPr>
              <w:t>5</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4A35A95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0.691</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c>
          <w:tcPr>
            <w:tcW w:w="1287" w:type="dxa"/>
          </w:tcPr>
          <w:p w14:paraId="07AD5DB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20F0444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0.013</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3C77ACE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0.458</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±0.12</w:t>
            </w:r>
          </w:p>
        </w:tc>
        <w:tc>
          <w:tcPr>
            <w:tcW w:w="1287" w:type="dxa"/>
          </w:tcPr>
          <w:p w14:paraId="56322A8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0.048</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5D9792B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0.064</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1AE3ECA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0.523</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r>
      <w:tr w:rsidR="00FD5EF5" w:rsidRPr="006346A3" w14:paraId="0B772885" w14:textId="77777777" w:rsidTr="00FD5EF5">
        <w:tc>
          <w:tcPr>
            <w:tcW w:w="1827" w:type="dxa"/>
          </w:tcPr>
          <w:p w14:paraId="1FC004AD"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Agric department</w:t>
            </w:r>
          </w:p>
        </w:tc>
        <w:tc>
          <w:tcPr>
            <w:tcW w:w="1287" w:type="dxa"/>
          </w:tcPr>
          <w:p w14:paraId="24802F8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0.370</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±0.08</w:t>
            </w:r>
          </w:p>
        </w:tc>
        <w:tc>
          <w:tcPr>
            <w:tcW w:w="1349" w:type="dxa"/>
          </w:tcPr>
          <w:p w14:paraId="64ABF6E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0.052</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342AEF5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0.370</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±0.08</w:t>
            </w:r>
          </w:p>
        </w:tc>
        <w:tc>
          <w:tcPr>
            <w:tcW w:w="1287" w:type="dxa"/>
          </w:tcPr>
          <w:p w14:paraId="6E2D32D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0.052</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5703AE6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0.370</w:t>
            </w:r>
            <w:r w:rsidRPr="006346A3">
              <w:rPr>
                <w:rFonts w:ascii="Times New Roman" w:hAnsi="Times New Roman" w:cs="Times New Roman"/>
                <w:sz w:val="20"/>
                <w:szCs w:val="20"/>
                <w:vertAlign w:val="superscript"/>
              </w:rPr>
              <w:t>e</w:t>
            </w:r>
            <w:r w:rsidRPr="006346A3">
              <w:rPr>
                <w:rFonts w:ascii="Times New Roman" w:hAnsi="Times New Roman" w:cs="Times New Roman"/>
                <w:sz w:val="20"/>
                <w:szCs w:val="20"/>
              </w:rPr>
              <w:t>±0.08</w:t>
            </w:r>
          </w:p>
        </w:tc>
        <w:tc>
          <w:tcPr>
            <w:tcW w:w="1287" w:type="dxa"/>
          </w:tcPr>
          <w:p w14:paraId="43469908"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0.052</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±0.01</w:t>
            </w:r>
          </w:p>
        </w:tc>
        <w:tc>
          <w:tcPr>
            <w:tcW w:w="1287" w:type="dxa"/>
          </w:tcPr>
          <w:p w14:paraId="0669AC2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0.048</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1EFE7C1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0.066</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23EB0DA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0.789</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±0.14</w:t>
            </w:r>
          </w:p>
        </w:tc>
      </w:tr>
      <w:tr w:rsidR="00FD5EF5" w:rsidRPr="006346A3" w14:paraId="26284C5F" w14:textId="77777777" w:rsidTr="00FD5EF5">
        <w:tc>
          <w:tcPr>
            <w:tcW w:w="1827" w:type="dxa"/>
          </w:tcPr>
          <w:p w14:paraId="755A24EB"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Alvan Nursery</w:t>
            </w:r>
          </w:p>
        </w:tc>
        <w:tc>
          <w:tcPr>
            <w:tcW w:w="1287" w:type="dxa"/>
          </w:tcPr>
          <w:p w14:paraId="1E474AD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0.087</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349" w:type="dxa"/>
          </w:tcPr>
          <w:p w14:paraId="300E597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0.031</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318A274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0.662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c>
          <w:tcPr>
            <w:tcW w:w="1287" w:type="dxa"/>
          </w:tcPr>
          <w:p w14:paraId="1C10D55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0.077</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±0.01</w:t>
            </w:r>
          </w:p>
        </w:tc>
        <w:tc>
          <w:tcPr>
            <w:tcW w:w="1287" w:type="dxa"/>
          </w:tcPr>
          <w:p w14:paraId="4CD50D3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0.019</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±0.01</w:t>
            </w:r>
          </w:p>
        </w:tc>
        <w:tc>
          <w:tcPr>
            <w:tcW w:w="1287" w:type="dxa"/>
          </w:tcPr>
          <w:p w14:paraId="24691A6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0.509</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±0.13</w:t>
            </w:r>
          </w:p>
        </w:tc>
        <w:tc>
          <w:tcPr>
            <w:tcW w:w="1287" w:type="dxa"/>
          </w:tcPr>
          <w:p w14:paraId="6F269AF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0.050</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±0.03</w:t>
            </w:r>
          </w:p>
        </w:tc>
        <w:tc>
          <w:tcPr>
            <w:tcW w:w="1287" w:type="dxa"/>
          </w:tcPr>
          <w:p w14:paraId="3713BC6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0.070</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±0.04</w:t>
            </w:r>
          </w:p>
        </w:tc>
        <w:tc>
          <w:tcPr>
            <w:tcW w:w="1287" w:type="dxa"/>
          </w:tcPr>
          <w:p w14:paraId="0B2F06E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0.793</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±0.16</w:t>
            </w:r>
          </w:p>
        </w:tc>
      </w:tr>
      <w:tr w:rsidR="00FD5EF5" w:rsidRPr="006346A3" w14:paraId="45A5DAE3" w14:textId="77777777" w:rsidTr="00FD5EF5">
        <w:tc>
          <w:tcPr>
            <w:tcW w:w="1827" w:type="dxa"/>
          </w:tcPr>
          <w:p w14:paraId="73068F6E"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Future hope shell camp</w:t>
            </w:r>
          </w:p>
        </w:tc>
        <w:tc>
          <w:tcPr>
            <w:tcW w:w="1287" w:type="dxa"/>
          </w:tcPr>
          <w:p w14:paraId="5DB974A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0.169</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349" w:type="dxa"/>
          </w:tcPr>
          <w:p w14:paraId="2EBC467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0.033</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07E908D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0.692</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±0.15</w:t>
            </w:r>
          </w:p>
        </w:tc>
        <w:tc>
          <w:tcPr>
            <w:tcW w:w="1287" w:type="dxa"/>
          </w:tcPr>
          <w:p w14:paraId="1206163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0.147</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0E8F5FE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0.023</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287" w:type="dxa"/>
          </w:tcPr>
          <w:p w14:paraId="2D5FCB0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0.514</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±0.13</w:t>
            </w:r>
          </w:p>
        </w:tc>
        <w:tc>
          <w:tcPr>
            <w:tcW w:w="1287" w:type="dxa"/>
          </w:tcPr>
          <w:p w14:paraId="4EFDCE9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0.074</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±0.04</w:t>
            </w:r>
          </w:p>
        </w:tc>
        <w:tc>
          <w:tcPr>
            <w:tcW w:w="1287" w:type="dxa"/>
          </w:tcPr>
          <w:p w14:paraId="79EC913C"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0.645</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±0.13</w:t>
            </w:r>
          </w:p>
        </w:tc>
        <w:tc>
          <w:tcPr>
            <w:tcW w:w="1287" w:type="dxa"/>
          </w:tcPr>
          <w:p w14:paraId="038CA51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0.074</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±0.04</w:t>
            </w:r>
          </w:p>
        </w:tc>
      </w:tr>
      <w:tr w:rsidR="00FD5EF5" w:rsidRPr="006346A3" w14:paraId="078C215A" w14:textId="77777777" w:rsidTr="00FD5EF5">
        <w:tc>
          <w:tcPr>
            <w:tcW w:w="1827" w:type="dxa"/>
          </w:tcPr>
          <w:p w14:paraId="06CB2284" w14:textId="77777777" w:rsidR="00FD5EF5" w:rsidRPr="006346A3" w:rsidRDefault="00FD5EF5" w:rsidP="00FD5EF5">
            <w:pPr>
              <w:rPr>
                <w:rFonts w:ascii="Times New Roman" w:hAnsi="Times New Roman" w:cs="Times New Roman"/>
                <w:b/>
                <w:sz w:val="20"/>
                <w:szCs w:val="20"/>
              </w:rPr>
            </w:pPr>
            <w:r>
              <w:rPr>
                <w:rFonts w:ascii="Times New Roman" w:hAnsi="Times New Roman" w:cs="Times New Roman"/>
                <w:b/>
                <w:sz w:val="20"/>
                <w:szCs w:val="20"/>
              </w:rPr>
              <w:t>NAS B</w:t>
            </w:r>
            <w:r w:rsidRPr="006346A3">
              <w:rPr>
                <w:rFonts w:ascii="Times New Roman" w:hAnsi="Times New Roman" w:cs="Times New Roman"/>
                <w:b/>
                <w:sz w:val="20"/>
                <w:szCs w:val="20"/>
              </w:rPr>
              <w:t>iology building</w:t>
            </w:r>
          </w:p>
        </w:tc>
        <w:tc>
          <w:tcPr>
            <w:tcW w:w="1287" w:type="dxa"/>
          </w:tcPr>
          <w:p w14:paraId="39F7D29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0.177</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349" w:type="dxa"/>
          </w:tcPr>
          <w:p w14:paraId="7356738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0.031</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569B9E6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0.888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±0.16</w:t>
            </w:r>
          </w:p>
        </w:tc>
        <w:tc>
          <w:tcPr>
            <w:tcW w:w="1287" w:type="dxa"/>
          </w:tcPr>
          <w:p w14:paraId="2B186F1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0.143</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636BB75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0.026</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±0.02</w:t>
            </w:r>
          </w:p>
        </w:tc>
        <w:tc>
          <w:tcPr>
            <w:tcW w:w="1287" w:type="dxa"/>
          </w:tcPr>
          <w:p w14:paraId="3665CF4A"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0.723</w:t>
            </w:r>
            <w:r w:rsidRPr="006346A3">
              <w:rPr>
                <w:rFonts w:ascii="Times New Roman" w:hAnsi="Times New Roman" w:cs="Times New Roman"/>
                <w:sz w:val="20"/>
                <w:szCs w:val="20"/>
                <w:vertAlign w:val="superscript"/>
              </w:rPr>
              <w:t>d</w:t>
            </w:r>
            <w:r w:rsidRPr="006346A3">
              <w:rPr>
                <w:rFonts w:ascii="Times New Roman" w:hAnsi="Times New Roman" w:cs="Times New Roman"/>
                <w:sz w:val="20"/>
                <w:szCs w:val="20"/>
              </w:rPr>
              <w:t>±0.14</w:t>
            </w:r>
          </w:p>
        </w:tc>
        <w:tc>
          <w:tcPr>
            <w:tcW w:w="1287" w:type="dxa"/>
          </w:tcPr>
          <w:p w14:paraId="7ACE0A5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0.085</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±0.04</w:t>
            </w:r>
          </w:p>
        </w:tc>
        <w:tc>
          <w:tcPr>
            <w:tcW w:w="1287" w:type="dxa"/>
          </w:tcPr>
          <w:p w14:paraId="4D6ECDB8"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0.723</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±0.14</w:t>
            </w:r>
          </w:p>
        </w:tc>
        <w:tc>
          <w:tcPr>
            <w:tcW w:w="1287" w:type="dxa"/>
          </w:tcPr>
          <w:p w14:paraId="2ED6F545"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0.085</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±0.04</w:t>
            </w:r>
          </w:p>
        </w:tc>
      </w:tr>
      <w:tr w:rsidR="00FD5EF5" w:rsidRPr="006346A3" w14:paraId="335D4EC4" w14:textId="77777777" w:rsidTr="00FD5EF5">
        <w:tc>
          <w:tcPr>
            <w:tcW w:w="1827" w:type="dxa"/>
          </w:tcPr>
          <w:p w14:paraId="25E81F89"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 xml:space="preserve">Safari club shell </w:t>
            </w:r>
            <w:proofErr w:type="spellStart"/>
            <w:r w:rsidRPr="006346A3">
              <w:rPr>
                <w:rFonts w:ascii="Times New Roman" w:hAnsi="Times New Roman" w:cs="Times New Roman"/>
                <w:b/>
                <w:sz w:val="20"/>
                <w:szCs w:val="20"/>
              </w:rPr>
              <w:t>attue</w:t>
            </w:r>
            <w:proofErr w:type="spellEnd"/>
            <w:r w:rsidRPr="006346A3">
              <w:rPr>
                <w:rFonts w:ascii="Times New Roman" w:hAnsi="Times New Roman" w:cs="Times New Roman"/>
                <w:b/>
                <w:sz w:val="20"/>
                <w:szCs w:val="20"/>
              </w:rPr>
              <w:t xml:space="preserve"> camp</w:t>
            </w:r>
          </w:p>
        </w:tc>
        <w:tc>
          <w:tcPr>
            <w:tcW w:w="1287" w:type="dxa"/>
          </w:tcPr>
          <w:p w14:paraId="550E9A31"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0.189</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±0.04</w:t>
            </w:r>
          </w:p>
        </w:tc>
        <w:tc>
          <w:tcPr>
            <w:tcW w:w="1349" w:type="dxa"/>
          </w:tcPr>
          <w:p w14:paraId="2C3E385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0.042</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6A03788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1.034</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±0.18</w:t>
            </w:r>
          </w:p>
        </w:tc>
        <w:tc>
          <w:tcPr>
            <w:tcW w:w="1287" w:type="dxa"/>
          </w:tcPr>
          <w:p w14:paraId="2234C677"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0.157</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±0.03</w:t>
            </w:r>
          </w:p>
        </w:tc>
        <w:tc>
          <w:tcPr>
            <w:tcW w:w="1287" w:type="dxa"/>
          </w:tcPr>
          <w:p w14:paraId="5DAE85C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0.035</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±0.02</w:t>
            </w:r>
          </w:p>
        </w:tc>
        <w:tc>
          <w:tcPr>
            <w:tcW w:w="1287" w:type="dxa"/>
          </w:tcPr>
          <w:p w14:paraId="0B4E956F"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1.000</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±0.11</w:t>
            </w:r>
          </w:p>
        </w:tc>
        <w:tc>
          <w:tcPr>
            <w:tcW w:w="1287" w:type="dxa"/>
          </w:tcPr>
          <w:p w14:paraId="60C7860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0.084</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±0.05</w:t>
            </w:r>
          </w:p>
        </w:tc>
        <w:tc>
          <w:tcPr>
            <w:tcW w:w="1287" w:type="dxa"/>
          </w:tcPr>
          <w:p w14:paraId="616CEDE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0.778</w:t>
            </w:r>
            <w:r w:rsidRPr="006346A3">
              <w:rPr>
                <w:rFonts w:ascii="Times New Roman" w:hAnsi="Times New Roman" w:cs="Times New Roman"/>
                <w:sz w:val="20"/>
                <w:szCs w:val="20"/>
                <w:vertAlign w:val="superscript"/>
              </w:rPr>
              <w:t>c</w:t>
            </w:r>
            <w:r w:rsidRPr="006346A3">
              <w:rPr>
                <w:rFonts w:ascii="Times New Roman" w:hAnsi="Times New Roman" w:cs="Times New Roman"/>
                <w:sz w:val="20"/>
                <w:szCs w:val="20"/>
              </w:rPr>
              <w:t>±0.17</w:t>
            </w:r>
          </w:p>
        </w:tc>
        <w:tc>
          <w:tcPr>
            <w:tcW w:w="1287" w:type="dxa"/>
          </w:tcPr>
          <w:p w14:paraId="2AEF24A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0.084</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±0.05</w:t>
            </w:r>
          </w:p>
        </w:tc>
      </w:tr>
      <w:tr w:rsidR="00FD5EF5" w:rsidRPr="006346A3" w14:paraId="69D50E57" w14:textId="77777777" w:rsidTr="00FD5EF5">
        <w:tc>
          <w:tcPr>
            <w:tcW w:w="1827" w:type="dxa"/>
          </w:tcPr>
          <w:p w14:paraId="1DA38EF8" w14:textId="77777777" w:rsidR="00FD5EF5" w:rsidRPr="006346A3" w:rsidRDefault="00FD5EF5" w:rsidP="00FD5EF5">
            <w:pPr>
              <w:rPr>
                <w:rFonts w:ascii="Times New Roman" w:hAnsi="Times New Roman" w:cs="Times New Roman"/>
                <w:b/>
                <w:sz w:val="20"/>
                <w:szCs w:val="20"/>
              </w:rPr>
            </w:pPr>
            <w:proofErr w:type="gramStart"/>
            <w:r w:rsidRPr="006346A3">
              <w:rPr>
                <w:rFonts w:ascii="Times New Roman" w:hAnsi="Times New Roman" w:cs="Times New Roman"/>
                <w:b/>
                <w:sz w:val="20"/>
                <w:szCs w:val="20"/>
              </w:rPr>
              <w:t>Water  lotus</w:t>
            </w:r>
            <w:proofErr w:type="gramEnd"/>
            <w:r w:rsidRPr="006346A3">
              <w:rPr>
                <w:rFonts w:ascii="Times New Roman" w:hAnsi="Times New Roman" w:cs="Times New Roman"/>
                <w:b/>
                <w:sz w:val="20"/>
                <w:szCs w:val="20"/>
              </w:rPr>
              <w:t xml:space="preserve"> upstream</w:t>
            </w:r>
          </w:p>
        </w:tc>
        <w:tc>
          <w:tcPr>
            <w:tcW w:w="1287" w:type="dxa"/>
          </w:tcPr>
          <w:p w14:paraId="26B08AC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0.201</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±0.07</w:t>
            </w:r>
          </w:p>
        </w:tc>
        <w:tc>
          <w:tcPr>
            <w:tcW w:w="1349" w:type="dxa"/>
          </w:tcPr>
          <w:p w14:paraId="5DC9919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0.063</w:t>
            </w:r>
            <w:r w:rsidRPr="006346A3">
              <w:rPr>
                <w:rFonts w:ascii="Times New Roman" w:hAnsi="Times New Roman" w:cs="Times New Roman"/>
                <w:sz w:val="20"/>
                <w:szCs w:val="20"/>
                <w:vertAlign w:val="superscript"/>
              </w:rPr>
              <w:t>ab</w:t>
            </w:r>
            <w:r w:rsidRPr="006346A3">
              <w:rPr>
                <w:rFonts w:ascii="Times New Roman" w:hAnsi="Times New Roman" w:cs="Times New Roman"/>
                <w:sz w:val="20"/>
                <w:szCs w:val="20"/>
              </w:rPr>
              <w:t>±0.04</w:t>
            </w:r>
          </w:p>
        </w:tc>
        <w:tc>
          <w:tcPr>
            <w:tcW w:w="1287" w:type="dxa"/>
          </w:tcPr>
          <w:p w14:paraId="18E44E9D"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1.343</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±0.19</w:t>
            </w:r>
          </w:p>
        </w:tc>
        <w:tc>
          <w:tcPr>
            <w:tcW w:w="1287" w:type="dxa"/>
          </w:tcPr>
          <w:p w14:paraId="09A8AC50"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0.196</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±0.06</w:t>
            </w:r>
          </w:p>
        </w:tc>
        <w:tc>
          <w:tcPr>
            <w:tcW w:w="1287" w:type="dxa"/>
          </w:tcPr>
          <w:p w14:paraId="26E73349"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0.057</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±0.04</w:t>
            </w:r>
          </w:p>
        </w:tc>
        <w:tc>
          <w:tcPr>
            <w:tcW w:w="1287" w:type="dxa"/>
          </w:tcPr>
          <w:p w14:paraId="0EA7302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1.106</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±0.14</w:t>
            </w:r>
          </w:p>
        </w:tc>
        <w:tc>
          <w:tcPr>
            <w:tcW w:w="1287" w:type="dxa"/>
          </w:tcPr>
          <w:p w14:paraId="3EEFA163" w14:textId="77777777" w:rsidR="00FD5EF5" w:rsidRPr="00CF7C44" w:rsidRDefault="00FD5EF5" w:rsidP="00FD5EF5">
            <w:pPr>
              <w:rPr>
                <w:rFonts w:ascii="Times New Roman" w:hAnsi="Times New Roman" w:cs="Times New Roman"/>
                <w:sz w:val="20"/>
                <w:szCs w:val="20"/>
              </w:rPr>
            </w:pPr>
            <w:r w:rsidRPr="00CF7C44">
              <w:rPr>
                <w:rFonts w:ascii="Times New Roman" w:hAnsi="Times New Roman" w:cs="Times New Roman"/>
                <w:sz w:val="20"/>
                <w:szCs w:val="20"/>
              </w:rPr>
              <w:t>ND</w:t>
            </w:r>
          </w:p>
        </w:tc>
        <w:tc>
          <w:tcPr>
            <w:tcW w:w="1287" w:type="dxa"/>
          </w:tcPr>
          <w:p w14:paraId="0A0F1C8C"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0.801</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±0.18</w:t>
            </w:r>
          </w:p>
        </w:tc>
        <w:tc>
          <w:tcPr>
            <w:tcW w:w="1287" w:type="dxa"/>
          </w:tcPr>
          <w:p w14:paraId="00C6E893"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0.096</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±0.06</w:t>
            </w:r>
          </w:p>
        </w:tc>
      </w:tr>
      <w:tr w:rsidR="00FD5EF5" w:rsidRPr="006346A3" w14:paraId="5F87EF26" w14:textId="77777777" w:rsidTr="00FD5EF5">
        <w:tc>
          <w:tcPr>
            <w:tcW w:w="1827" w:type="dxa"/>
          </w:tcPr>
          <w:p w14:paraId="2D940FA0" w14:textId="77777777" w:rsidR="00FD5EF5" w:rsidRPr="006346A3" w:rsidRDefault="00FD5EF5" w:rsidP="00FD5EF5">
            <w:pPr>
              <w:rPr>
                <w:rFonts w:ascii="Times New Roman" w:hAnsi="Times New Roman" w:cs="Times New Roman"/>
                <w:b/>
                <w:sz w:val="20"/>
                <w:szCs w:val="20"/>
              </w:rPr>
            </w:pPr>
            <w:r w:rsidRPr="006346A3">
              <w:rPr>
                <w:rFonts w:ascii="Times New Roman" w:hAnsi="Times New Roman" w:cs="Times New Roman"/>
                <w:b/>
                <w:sz w:val="20"/>
                <w:szCs w:val="20"/>
              </w:rPr>
              <w:t>Water lotus down stream</w:t>
            </w:r>
          </w:p>
        </w:tc>
        <w:tc>
          <w:tcPr>
            <w:tcW w:w="1287" w:type="dxa"/>
          </w:tcPr>
          <w:p w14:paraId="24284146"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0.215</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±0.09</w:t>
            </w:r>
          </w:p>
        </w:tc>
        <w:tc>
          <w:tcPr>
            <w:tcW w:w="1349" w:type="dxa"/>
          </w:tcPr>
          <w:p w14:paraId="375CCD3B"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0.082</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±0.06</w:t>
            </w:r>
          </w:p>
        </w:tc>
        <w:tc>
          <w:tcPr>
            <w:tcW w:w="1287" w:type="dxa"/>
          </w:tcPr>
          <w:p w14:paraId="7E3A301D" w14:textId="77777777" w:rsidR="00FD5EF5" w:rsidRPr="006346A3" w:rsidRDefault="00FD5EF5" w:rsidP="00FD5EF5">
            <w:pPr>
              <w:rPr>
                <w:rFonts w:ascii="Times New Roman" w:hAnsi="Times New Roman" w:cs="Times New Roman"/>
                <w:sz w:val="20"/>
                <w:szCs w:val="20"/>
              </w:rPr>
            </w:pPr>
            <w:r>
              <w:rPr>
                <w:rFonts w:ascii="Times New Roman" w:hAnsi="Times New Roman" w:cs="Times New Roman"/>
                <w:sz w:val="20"/>
                <w:szCs w:val="20"/>
              </w:rPr>
              <w:t>1.0</w:t>
            </w:r>
            <w:r w:rsidRPr="006346A3">
              <w:rPr>
                <w:rFonts w:ascii="Times New Roman" w:hAnsi="Times New Roman" w:cs="Times New Roman"/>
                <w:sz w:val="20"/>
                <w:szCs w:val="20"/>
              </w:rPr>
              <w:t>79</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±0.20</w:t>
            </w:r>
          </w:p>
        </w:tc>
        <w:tc>
          <w:tcPr>
            <w:tcW w:w="1287" w:type="dxa"/>
          </w:tcPr>
          <w:p w14:paraId="1954C704" w14:textId="77777777" w:rsidR="00FD5EF5" w:rsidRPr="006346A3" w:rsidRDefault="00FD5EF5" w:rsidP="00FD5EF5">
            <w:pPr>
              <w:rPr>
                <w:rFonts w:ascii="Times New Roman" w:hAnsi="Times New Roman" w:cs="Times New Roman"/>
                <w:sz w:val="20"/>
                <w:szCs w:val="20"/>
              </w:rPr>
            </w:pPr>
            <w:r>
              <w:rPr>
                <w:rFonts w:ascii="Times New Roman" w:hAnsi="Times New Roman" w:cs="Times New Roman"/>
                <w:sz w:val="20"/>
                <w:szCs w:val="20"/>
              </w:rPr>
              <w:t>0.0</w:t>
            </w:r>
            <w:r w:rsidRPr="006346A3">
              <w:rPr>
                <w:rFonts w:ascii="Times New Roman" w:hAnsi="Times New Roman" w:cs="Times New Roman"/>
                <w:sz w:val="20"/>
                <w:szCs w:val="20"/>
              </w:rPr>
              <w:t>99</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±0.07</w:t>
            </w:r>
          </w:p>
        </w:tc>
        <w:tc>
          <w:tcPr>
            <w:tcW w:w="1287" w:type="dxa"/>
          </w:tcPr>
          <w:p w14:paraId="6463AF4E"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0.062</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±0.04</w:t>
            </w:r>
          </w:p>
        </w:tc>
        <w:tc>
          <w:tcPr>
            <w:tcW w:w="1287" w:type="dxa"/>
          </w:tcPr>
          <w:p w14:paraId="5F492EC8"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1.213</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±0.16</w:t>
            </w:r>
          </w:p>
        </w:tc>
        <w:tc>
          <w:tcPr>
            <w:tcW w:w="1287" w:type="dxa"/>
          </w:tcPr>
          <w:p w14:paraId="15949AA1" w14:textId="77777777" w:rsidR="00FD5EF5" w:rsidRPr="00CF7C44" w:rsidRDefault="00FD5EF5" w:rsidP="00FD5EF5">
            <w:pPr>
              <w:rPr>
                <w:rFonts w:ascii="Times New Roman" w:hAnsi="Times New Roman" w:cs="Times New Roman"/>
                <w:sz w:val="20"/>
                <w:szCs w:val="20"/>
              </w:rPr>
            </w:pPr>
            <w:r w:rsidRPr="00CF7C44">
              <w:rPr>
                <w:rFonts w:ascii="Times New Roman" w:hAnsi="Times New Roman" w:cs="Times New Roman"/>
                <w:sz w:val="20"/>
                <w:szCs w:val="20"/>
              </w:rPr>
              <w:t>ND</w:t>
            </w:r>
          </w:p>
        </w:tc>
        <w:tc>
          <w:tcPr>
            <w:tcW w:w="1287" w:type="dxa"/>
          </w:tcPr>
          <w:p w14:paraId="00FCE284"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0.821</w:t>
            </w:r>
            <w:r w:rsidRPr="006346A3">
              <w:rPr>
                <w:rFonts w:ascii="Times New Roman" w:hAnsi="Times New Roman" w:cs="Times New Roman"/>
                <w:sz w:val="20"/>
                <w:szCs w:val="20"/>
                <w:vertAlign w:val="superscript"/>
              </w:rPr>
              <w:t>b</w:t>
            </w:r>
            <w:r w:rsidRPr="006346A3">
              <w:rPr>
                <w:rFonts w:ascii="Times New Roman" w:hAnsi="Times New Roman" w:cs="Times New Roman"/>
                <w:sz w:val="20"/>
                <w:szCs w:val="20"/>
              </w:rPr>
              <w:t>±0.19</w:t>
            </w:r>
          </w:p>
        </w:tc>
        <w:tc>
          <w:tcPr>
            <w:tcW w:w="1287" w:type="dxa"/>
          </w:tcPr>
          <w:p w14:paraId="008A9522" w14:textId="77777777" w:rsidR="00FD5EF5" w:rsidRPr="006346A3" w:rsidRDefault="00FD5EF5" w:rsidP="00FD5EF5">
            <w:pPr>
              <w:rPr>
                <w:rFonts w:ascii="Times New Roman" w:hAnsi="Times New Roman" w:cs="Times New Roman"/>
                <w:sz w:val="20"/>
                <w:szCs w:val="20"/>
              </w:rPr>
            </w:pPr>
            <w:r w:rsidRPr="006346A3">
              <w:rPr>
                <w:rFonts w:ascii="Times New Roman" w:hAnsi="Times New Roman" w:cs="Times New Roman"/>
                <w:sz w:val="20"/>
                <w:szCs w:val="20"/>
              </w:rPr>
              <w:t>0.097</w:t>
            </w:r>
            <w:r w:rsidRPr="006346A3">
              <w:rPr>
                <w:rFonts w:ascii="Times New Roman" w:hAnsi="Times New Roman" w:cs="Times New Roman"/>
                <w:sz w:val="20"/>
                <w:szCs w:val="20"/>
                <w:vertAlign w:val="superscript"/>
              </w:rPr>
              <w:t>a</w:t>
            </w:r>
            <w:r w:rsidRPr="006346A3">
              <w:rPr>
                <w:rFonts w:ascii="Times New Roman" w:hAnsi="Times New Roman" w:cs="Times New Roman"/>
                <w:sz w:val="20"/>
                <w:szCs w:val="20"/>
              </w:rPr>
              <w:t>±0.06</w:t>
            </w:r>
          </w:p>
        </w:tc>
      </w:tr>
    </w:tbl>
    <w:p w14:paraId="7CEE7A2D" w14:textId="77777777" w:rsidR="00FD5EF5" w:rsidRPr="001C0D20" w:rsidRDefault="00FD5EF5" w:rsidP="00FD5EF5">
      <w:pPr>
        <w:pStyle w:val="ListParagraph"/>
        <w:rPr>
          <w:rFonts w:ascii="Times New Roman" w:hAnsi="Times New Roman" w:cs="Times New Roman"/>
          <w:b/>
          <w:i/>
          <w:sz w:val="24"/>
          <w:szCs w:val="24"/>
        </w:rPr>
      </w:pPr>
      <w:r w:rsidRPr="001C0D20">
        <w:rPr>
          <w:rFonts w:ascii="Times New Roman" w:hAnsi="Times New Roman" w:cs="Times New Roman"/>
          <w:b/>
          <w:i/>
          <w:sz w:val="24"/>
          <w:szCs w:val="24"/>
        </w:rPr>
        <w:t xml:space="preserve">Mean along the column having different superscript of alphabets differ significantly at P &lt; 0.05 using Duncan Multiple Range Test (DMRT) </w:t>
      </w:r>
    </w:p>
    <w:p w14:paraId="63D1FB1E" w14:textId="77777777" w:rsidR="00FD5EF5" w:rsidRPr="00260147" w:rsidRDefault="00FD5EF5" w:rsidP="00FD5EF5">
      <w:pPr>
        <w:jc w:val="both"/>
        <w:rPr>
          <w:rFonts w:ascii="Times New Roman" w:hAnsi="Times New Roman" w:cs="Times New Roman"/>
          <w:sz w:val="24"/>
          <w:szCs w:val="24"/>
        </w:rPr>
      </w:pPr>
    </w:p>
    <w:p w14:paraId="099BA7F6" w14:textId="77777777" w:rsidR="00FD5EF5" w:rsidRPr="00A07595" w:rsidRDefault="00FD5EF5" w:rsidP="00FD5EF5">
      <w:pPr>
        <w:spacing w:line="360" w:lineRule="auto"/>
        <w:jc w:val="both"/>
        <w:rPr>
          <w:rFonts w:ascii="Times New Roman" w:hAnsi="Times New Roman" w:cs="Times New Roman"/>
          <w:sz w:val="24"/>
          <w:szCs w:val="24"/>
        </w:rPr>
      </w:pPr>
    </w:p>
    <w:p w14:paraId="338737B9" w14:textId="77777777" w:rsidR="00FD5EF5" w:rsidRPr="00D02AEF" w:rsidRDefault="00FD5EF5" w:rsidP="00FD5EF5"/>
    <w:p w14:paraId="04EF303B" w14:textId="0602B585" w:rsidR="00FD5EF5" w:rsidRDefault="00FD5EF5" w:rsidP="00C23702">
      <w:pPr>
        <w:spacing w:line="360" w:lineRule="auto"/>
        <w:jc w:val="both"/>
        <w:rPr>
          <w:rFonts w:ascii="Times New Roman" w:hAnsi="Times New Roman" w:cs="Times New Roman"/>
          <w:b/>
          <w:bCs/>
          <w:sz w:val="24"/>
          <w:szCs w:val="24"/>
        </w:rPr>
      </w:pPr>
    </w:p>
    <w:p w14:paraId="30FA5A8D" w14:textId="77777777" w:rsidR="00FD5EF5" w:rsidRDefault="00FD5EF5" w:rsidP="00C23702">
      <w:pPr>
        <w:spacing w:line="360" w:lineRule="auto"/>
        <w:jc w:val="both"/>
        <w:rPr>
          <w:rFonts w:ascii="Times New Roman" w:hAnsi="Times New Roman" w:cs="Times New Roman"/>
          <w:b/>
          <w:bCs/>
          <w:sz w:val="24"/>
          <w:szCs w:val="24"/>
        </w:rPr>
      </w:pPr>
    </w:p>
    <w:p w14:paraId="572F9B04" w14:textId="22F8679C" w:rsidR="00A07595" w:rsidRPr="00A07595" w:rsidRDefault="00A07595" w:rsidP="00C23702">
      <w:pPr>
        <w:spacing w:line="360" w:lineRule="auto"/>
        <w:jc w:val="both"/>
        <w:rPr>
          <w:rFonts w:ascii="Times New Roman" w:hAnsi="Times New Roman" w:cs="Times New Roman"/>
          <w:b/>
          <w:bCs/>
          <w:sz w:val="24"/>
          <w:szCs w:val="24"/>
        </w:rPr>
      </w:pPr>
      <w:r w:rsidRPr="00A07595">
        <w:rPr>
          <w:rFonts w:ascii="Times New Roman" w:hAnsi="Times New Roman" w:cs="Times New Roman"/>
          <w:b/>
          <w:bCs/>
          <w:sz w:val="24"/>
          <w:szCs w:val="24"/>
        </w:rPr>
        <w:lastRenderedPageBreak/>
        <w:t>Discussion</w:t>
      </w:r>
    </w:p>
    <w:p w14:paraId="7B5B82FC" w14:textId="669117C3" w:rsidR="00C23702" w:rsidRDefault="00C435D1" w:rsidP="00C237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established anatomical characteristic of water lotus sampled from different sites within </w:t>
      </w:r>
      <w:proofErr w:type="spellStart"/>
      <w:r>
        <w:rPr>
          <w:rFonts w:ascii="Times New Roman" w:hAnsi="Times New Roman" w:cs="Times New Roman"/>
          <w:sz w:val="24"/>
          <w:szCs w:val="24"/>
        </w:rPr>
        <w:t>Alvan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Ikoku</w:t>
      </w:r>
      <w:proofErr w:type="spellEnd"/>
      <w:r>
        <w:rPr>
          <w:rFonts w:ascii="Times New Roman" w:hAnsi="Times New Roman" w:cs="Times New Roman"/>
          <w:sz w:val="24"/>
          <w:szCs w:val="24"/>
        </w:rPr>
        <w:t xml:space="preserve"> Federal University of Education of Owerri, Imo State Nigeria. </w:t>
      </w:r>
      <w:r w:rsidRPr="00C435D1">
        <w:rPr>
          <w:rFonts w:ascii="Times New Roman" w:hAnsi="Times New Roman" w:cs="Times New Roman"/>
          <w:sz w:val="24"/>
          <w:szCs w:val="24"/>
        </w:rPr>
        <w:t xml:space="preserve">The anatomical analysis displayed significant variations in root and leaf anatomical characteristics collected from these </w:t>
      </w:r>
      <w:r>
        <w:rPr>
          <w:rFonts w:ascii="Times New Roman" w:hAnsi="Times New Roman" w:cs="Times New Roman"/>
          <w:sz w:val="24"/>
          <w:szCs w:val="24"/>
        </w:rPr>
        <w:t>sites</w:t>
      </w:r>
      <w:r w:rsidRPr="00C435D1">
        <w:rPr>
          <w:rFonts w:ascii="Times New Roman" w:hAnsi="Times New Roman" w:cs="Times New Roman"/>
          <w:sz w:val="24"/>
          <w:szCs w:val="24"/>
        </w:rPr>
        <w:t xml:space="preserve">. Previously, water </w:t>
      </w:r>
      <w:r>
        <w:rPr>
          <w:rFonts w:ascii="Times New Roman" w:hAnsi="Times New Roman" w:cs="Times New Roman"/>
          <w:sz w:val="24"/>
          <w:szCs w:val="24"/>
        </w:rPr>
        <w:t>lotus</w:t>
      </w:r>
      <w:r w:rsidRPr="00C435D1">
        <w:rPr>
          <w:rFonts w:ascii="Times New Roman" w:hAnsi="Times New Roman" w:cs="Times New Roman"/>
          <w:sz w:val="24"/>
          <w:szCs w:val="24"/>
        </w:rPr>
        <w:t xml:space="preserve"> plants have been exhibited increased stomatal density, and parenchyma thickness of stems under heavy metal stress conditions while roots did not exhibit any vascular system improvement </w:t>
      </w:r>
      <w:r w:rsidR="00F46AA3">
        <w:rPr>
          <w:rFonts w:ascii="Times New Roman" w:hAnsi="Times New Roman" w:cs="Times New Roman"/>
          <w:sz w:val="24"/>
          <w:szCs w:val="24"/>
        </w:rPr>
        <w:t>[7].</w:t>
      </w:r>
      <w:r w:rsidRPr="00C435D1">
        <w:rPr>
          <w:rFonts w:ascii="Times New Roman" w:hAnsi="Times New Roman" w:cs="Times New Roman"/>
          <w:sz w:val="24"/>
          <w:szCs w:val="24"/>
        </w:rPr>
        <w:t xml:space="preserve"> </w:t>
      </w:r>
      <w:r>
        <w:rPr>
          <w:rFonts w:ascii="Times New Roman" w:hAnsi="Times New Roman" w:cs="Times New Roman"/>
          <w:sz w:val="24"/>
          <w:szCs w:val="24"/>
        </w:rPr>
        <w:t xml:space="preserve">Alteration in anatomical features of aquatic macrophytes have been reported </w:t>
      </w:r>
      <w:r w:rsidR="00F46AA3">
        <w:rPr>
          <w:rFonts w:ascii="Times New Roman" w:hAnsi="Times New Roman" w:cs="Times New Roman"/>
          <w:sz w:val="24"/>
          <w:szCs w:val="24"/>
        </w:rPr>
        <w:t>[8].</w:t>
      </w:r>
    </w:p>
    <w:p w14:paraId="6FCB2540" w14:textId="3D5EEB98" w:rsidR="00A07595" w:rsidRPr="00A07595" w:rsidRDefault="00A07595" w:rsidP="00C23702">
      <w:pPr>
        <w:spacing w:line="360" w:lineRule="auto"/>
        <w:jc w:val="both"/>
        <w:rPr>
          <w:rFonts w:ascii="Times New Roman" w:hAnsi="Times New Roman" w:cs="Times New Roman"/>
          <w:sz w:val="24"/>
          <w:szCs w:val="24"/>
        </w:rPr>
      </w:pPr>
      <w:r w:rsidRPr="00A07595">
        <w:rPr>
          <w:rFonts w:ascii="Times New Roman" w:hAnsi="Times New Roman" w:cs="Times New Roman"/>
          <w:sz w:val="24"/>
          <w:szCs w:val="24"/>
        </w:rPr>
        <w:t xml:space="preserve">In our study, samples from </w:t>
      </w:r>
      <w:r w:rsidR="00C435D1">
        <w:rPr>
          <w:rFonts w:ascii="Times New Roman" w:hAnsi="Times New Roman" w:cs="Times New Roman"/>
          <w:sz w:val="24"/>
          <w:szCs w:val="24"/>
        </w:rPr>
        <w:t>downstream</w:t>
      </w:r>
      <w:r w:rsidRPr="00A07595">
        <w:rPr>
          <w:rFonts w:ascii="Times New Roman" w:hAnsi="Times New Roman" w:cs="Times New Roman"/>
          <w:sz w:val="24"/>
          <w:szCs w:val="24"/>
        </w:rPr>
        <w:t xml:space="preserve"> site appeared with increase root diameter, epidermis thickness and area as well as parenchyma thickness as compared to other two sites. The exodermis, endodermis and epidermis of roots are considered as </w:t>
      </w:r>
      <w:proofErr w:type="spellStart"/>
      <w:r w:rsidRPr="00A07595">
        <w:rPr>
          <w:rFonts w:ascii="Times New Roman" w:hAnsi="Times New Roman" w:cs="Times New Roman"/>
          <w:sz w:val="24"/>
          <w:szCs w:val="24"/>
        </w:rPr>
        <w:t>apoplastic</w:t>
      </w:r>
      <w:proofErr w:type="spellEnd"/>
      <w:r w:rsidRPr="00A07595">
        <w:rPr>
          <w:rFonts w:ascii="Times New Roman" w:hAnsi="Times New Roman" w:cs="Times New Roman"/>
          <w:sz w:val="24"/>
          <w:szCs w:val="24"/>
        </w:rPr>
        <w:t xml:space="preserve"> barriers to different substances </w:t>
      </w:r>
      <w:r w:rsidR="00F46AA3">
        <w:rPr>
          <w:rFonts w:ascii="Times New Roman" w:hAnsi="Times New Roman" w:cs="Times New Roman"/>
          <w:sz w:val="24"/>
          <w:szCs w:val="24"/>
        </w:rPr>
        <w:t>[8].</w:t>
      </w:r>
      <w:r w:rsidRPr="00A07595">
        <w:rPr>
          <w:rFonts w:ascii="Times New Roman" w:hAnsi="Times New Roman" w:cs="Times New Roman"/>
          <w:sz w:val="24"/>
          <w:szCs w:val="24"/>
        </w:rPr>
        <w:t xml:space="preserve"> It suggests that increase in epidermis area and thickness can block the entry of toxic substances towards shoots which can ultimately improve stress tolerance in </w:t>
      </w:r>
      <w:r w:rsidR="00C435D1">
        <w:rPr>
          <w:rFonts w:ascii="Times New Roman" w:hAnsi="Times New Roman" w:cs="Times New Roman"/>
          <w:sz w:val="24"/>
          <w:szCs w:val="24"/>
        </w:rPr>
        <w:t>downstream</w:t>
      </w:r>
      <w:r w:rsidRPr="00A07595">
        <w:rPr>
          <w:rFonts w:ascii="Times New Roman" w:hAnsi="Times New Roman" w:cs="Times New Roman"/>
          <w:sz w:val="24"/>
          <w:szCs w:val="24"/>
        </w:rPr>
        <w:t xml:space="preserve"> site plants. The </w:t>
      </w:r>
      <w:r w:rsidR="00C435D1">
        <w:rPr>
          <w:rFonts w:ascii="Times New Roman" w:hAnsi="Times New Roman" w:cs="Times New Roman"/>
          <w:sz w:val="24"/>
          <w:szCs w:val="24"/>
        </w:rPr>
        <w:t xml:space="preserve">observed </w:t>
      </w:r>
      <w:r w:rsidRPr="00A07595">
        <w:rPr>
          <w:rFonts w:ascii="Times New Roman" w:hAnsi="Times New Roman" w:cs="Times New Roman"/>
          <w:sz w:val="24"/>
          <w:szCs w:val="24"/>
        </w:rPr>
        <w:t xml:space="preserve">increase in root diameter, epidermis and parenchyma from </w:t>
      </w:r>
      <w:r w:rsidR="00C435D1">
        <w:rPr>
          <w:rFonts w:ascii="Times New Roman" w:hAnsi="Times New Roman" w:cs="Times New Roman"/>
          <w:sz w:val="24"/>
          <w:szCs w:val="24"/>
        </w:rPr>
        <w:t>midstream</w:t>
      </w:r>
      <w:r w:rsidRPr="00A07595">
        <w:rPr>
          <w:rFonts w:ascii="Times New Roman" w:hAnsi="Times New Roman" w:cs="Times New Roman"/>
          <w:sz w:val="24"/>
          <w:szCs w:val="24"/>
        </w:rPr>
        <w:t xml:space="preserve"> samples is also an indicator of higher contents of metals in this region as compared to other two sites. Xylem and phloem tissues are mainly related to an important phenomenon of biological compound formation known as photo-assimilation transport, which ultimately leads towards better development of root system as well as improved food supply in daughter plants </w:t>
      </w:r>
      <w:r w:rsidR="00F46AA3">
        <w:rPr>
          <w:rFonts w:ascii="Times New Roman" w:hAnsi="Times New Roman" w:cs="Times New Roman"/>
          <w:sz w:val="24"/>
          <w:szCs w:val="24"/>
        </w:rPr>
        <w:t>[9].</w:t>
      </w:r>
      <w:r w:rsidRPr="00A07595">
        <w:rPr>
          <w:rFonts w:ascii="Times New Roman" w:hAnsi="Times New Roman" w:cs="Times New Roman"/>
          <w:sz w:val="24"/>
          <w:szCs w:val="24"/>
        </w:rPr>
        <w:t xml:space="preserve"> In our study non-significant differences were observed in stomatal area from all three sites.</w:t>
      </w:r>
    </w:p>
    <w:p w14:paraId="450AC69B" w14:textId="0F70A5A6" w:rsidR="00FD5EF5" w:rsidRDefault="00C435D1" w:rsidP="00FD5EF5">
      <w:pPr>
        <w:spacing w:line="360" w:lineRule="auto"/>
        <w:jc w:val="both"/>
        <w:rPr>
          <w:rFonts w:ascii="Times New Roman" w:hAnsi="Times New Roman" w:cs="Times New Roman"/>
          <w:sz w:val="24"/>
          <w:szCs w:val="24"/>
        </w:rPr>
      </w:pPr>
      <w:r>
        <w:rPr>
          <w:rFonts w:ascii="Times New Roman" w:hAnsi="Times New Roman" w:cs="Times New Roman"/>
          <w:sz w:val="24"/>
          <w:szCs w:val="24"/>
        </w:rPr>
        <w:t>Water lotus</w:t>
      </w:r>
      <w:r w:rsidR="00A07595" w:rsidRPr="00A07595">
        <w:rPr>
          <w:rFonts w:ascii="Times New Roman" w:hAnsi="Times New Roman" w:cs="Times New Roman"/>
          <w:sz w:val="24"/>
          <w:szCs w:val="24"/>
        </w:rPr>
        <w:t xml:space="preserve"> plants display anatomical modifications in different </w:t>
      </w:r>
      <w:r>
        <w:rPr>
          <w:rFonts w:ascii="Times New Roman" w:hAnsi="Times New Roman" w:cs="Times New Roman"/>
          <w:sz w:val="24"/>
          <w:szCs w:val="24"/>
        </w:rPr>
        <w:t>sites</w:t>
      </w:r>
      <w:r w:rsidR="00A07595" w:rsidRPr="00A07595">
        <w:rPr>
          <w:rFonts w:ascii="Times New Roman" w:hAnsi="Times New Roman" w:cs="Times New Roman"/>
          <w:sz w:val="24"/>
          <w:szCs w:val="24"/>
        </w:rPr>
        <w:t xml:space="preserve"> due to presence of heavy metals, contaminants and water quality. Samples collected from </w:t>
      </w:r>
      <w:r>
        <w:rPr>
          <w:rFonts w:ascii="Times New Roman" w:hAnsi="Times New Roman" w:cs="Times New Roman"/>
          <w:sz w:val="24"/>
          <w:szCs w:val="24"/>
        </w:rPr>
        <w:t>downstream</w:t>
      </w:r>
      <w:r w:rsidR="00A07595" w:rsidRPr="00A07595">
        <w:rPr>
          <w:rFonts w:ascii="Times New Roman" w:hAnsi="Times New Roman" w:cs="Times New Roman"/>
          <w:sz w:val="24"/>
          <w:szCs w:val="24"/>
        </w:rPr>
        <w:t xml:space="preserve"> site exhibited higher root diameter including thicker epidermis, parenchyma and metaxylem cells while plants from </w:t>
      </w:r>
      <w:r>
        <w:rPr>
          <w:rFonts w:ascii="Times New Roman" w:hAnsi="Times New Roman" w:cs="Times New Roman"/>
          <w:sz w:val="24"/>
          <w:szCs w:val="24"/>
        </w:rPr>
        <w:t>upstream</w:t>
      </w:r>
      <w:r w:rsidR="00A07595" w:rsidRPr="00A07595">
        <w:rPr>
          <w:rFonts w:ascii="Times New Roman" w:hAnsi="Times New Roman" w:cs="Times New Roman"/>
          <w:sz w:val="24"/>
          <w:szCs w:val="24"/>
        </w:rPr>
        <w:t xml:space="preserve"> site displayed thicker phloem. Similarly, in study of leaf anatomical characteristics, the samples of </w:t>
      </w:r>
      <w:r>
        <w:rPr>
          <w:rFonts w:ascii="Times New Roman" w:hAnsi="Times New Roman" w:cs="Times New Roman"/>
          <w:sz w:val="24"/>
          <w:szCs w:val="24"/>
        </w:rPr>
        <w:t>downstream</w:t>
      </w:r>
      <w:r w:rsidR="00A07595" w:rsidRPr="00A07595">
        <w:rPr>
          <w:rFonts w:ascii="Times New Roman" w:hAnsi="Times New Roman" w:cs="Times New Roman"/>
          <w:sz w:val="24"/>
          <w:szCs w:val="24"/>
        </w:rPr>
        <w:t xml:space="preserve"> site showed more thickness in leaf mesophyll, metaxylem and phloem cells as compared to other two sites. Whereas, stomatal area did not exhibit any significant difference. It suggests that plants from </w:t>
      </w:r>
      <w:r>
        <w:rPr>
          <w:rFonts w:ascii="Times New Roman" w:hAnsi="Times New Roman" w:cs="Times New Roman"/>
          <w:sz w:val="24"/>
          <w:szCs w:val="24"/>
        </w:rPr>
        <w:t>downstream</w:t>
      </w:r>
      <w:r w:rsidR="00A07595" w:rsidRPr="00A07595">
        <w:rPr>
          <w:rFonts w:ascii="Times New Roman" w:hAnsi="Times New Roman" w:cs="Times New Roman"/>
          <w:sz w:val="24"/>
          <w:szCs w:val="24"/>
        </w:rPr>
        <w:t xml:space="preserve"> site have developed stress-mediated anatomical modifications in roots and leaves as compared to other areas. However, further studies are required regarding water quality, nature of contaminants and concentrations of heavy metals in </w:t>
      </w:r>
      <w:r w:rsidR="00FD5EF5" w:rsidRPr="00A07595">
        <w:rPr>
          <w:rFonts w:ascii="Times New Roman" w:hAnsi="Times New Roman" w:cs="Times New Roman"/>
          <w:sz w:val="24"/>
          <w:szCs w:val="24"/>
        </w:rPr>
        <w:t>these sites</w:t>
      </w:r>
      <w:r w:rsidR="00A07595" w:rsidRPr="00A07595">
        <w:rPr>
          <w:rFonts w:ascii="Times New Roman" w:hAnsi="Times New Roman" w:cs="Times New Roman"/>
          <w:sz w:val="24"/>
          <w:szCs w:val="24"/>
        </w:rPr>
        <w:t>.</w:t>
      </w:r>
    </w:p>
    <w:p w14:paraId="62FCCB30" w14:textId="4E7FF925" w:rsidR="00E73D56" w:rsidRDefault="00E73D56" w:rsidP="00E73D56">
      <w:pPr>
        <w:spacing w:line="360" w:lineRule="auto"/>
        <w:jc w:val="both"/>
        <w:rPr>
          <w:rFonts w:ascii="Times New Roman" w:hAnsi="Times New Roman" w:cs="Times New Roman"/>
          <w:sz w:val="24"/>
          <w:szCs w:val="24"/>
          <w:lang w:val="en-GB"/>
        </w:rPr>
      </w:pPr>
      <w:r w:rsidRPr="00E73D56">
        <w:rPr>
          <w:rFonts w:ascii="Times New Roman" w:hAnsi="Times New Roman" w:cs="Times New Roman"/>
          <w:sz w:val="24"/>
          <w:szCs w:val="24"/>
          <w:lang w:val="en-GB"/>
        </w:rPr>
        <w:lastRenderedPageBreak/>
        <w:t>Heavy metals are a known cause of long-term health effects in humans. Such effects include not only nefarious effects of acute and/or chronic toxicity, but also special cases of toxicity such as carcinogenicity and genotoxicity</w:t>
      </w:r>
      <w:r>
        <w:rPr>
          <w:rFonts w:ascii="Times New Roman" w:hAnsi="Times New Roman" w:cs="Times New Roman"/>
          <w:sz w:val="24"/>
          <w:szCs w:val="24"/>
          <w:lang w:val="en-GB"/>
        </w:rPr>
        <w:t>.</w:t>
      </w:r>
      <w:r w:rsidRPr="00E73D56">
        <w:rPr>
          <w:rFonts w:ascii="Times New Roman" w:eastAsiaTheme="minorEastAsia" w:hAnsi="Times New Roman" w:cs="Times New Roman"/>
          <w:sz w:val="24"/>
          <w:szCs w:val="24"/>
          <w:lang w:val="en-GB" w:eastAsia="en-GB"/>
        </w:rPr>
        <w:t xml:space="preserve"> </w:t>
      </w:r>
      <w:r w:rsidRPr="00E73D56">
        <w:rPr>
          <w:rFonts w:ascii="Times New Roman" w:hAnsi="Times New Roman" w:cs="Times New Roman"/>
          <w:sz w:val="24"/>
          <w:szCs w:val="24"/>
          <w:lang w:val="en-GB"/>
        </w:rPr>
        <w:t>C</w:t>
      </w:r>
      <w:r>
        <w:rPr>
          <w:rFonts w:ascii="Times New Roman" w:hAnsi="Times New Roman" w:cs="Times New Roman"/>
          <w:sz w:val="24"/>
          <w:szCs w:val="24"/>
          <w:lang w:val="en-GB"/>
        </w:rPr>
        <w:t xml:space="preserve">admium, lead, </w:t>
      </w:r>
      <w:r w:rsidR="00543D0E">
        <w:rPr>
          <w:rFonts w:ascii="Times New Roman" w:hAnsi="Times New Roman" w:cs="Times New Roman"/>
          <w:sz w:val="24"/>
          <w:szCs w:val="24"/>
          <w:lang w:val="en-GB"/>
        </w:rPr>
        <w:t xml:space="preserve">Manganese, </w:t>
      </w:r>
      <w:proofErr w:type="gramStart"/>
      <w:r w:rsidR="00543D0E">
        <w:rPr>
          <w:rFonts w:ascii="Times New Roman" w:hAnsi="Times New Roman" w:cs="Times New Roman"/>
          <w:sz w:val="24"/>
          <w:szCs w:val="24"/>
          <w:lang w:val="en-GB"/>
        </w:rPr>
        <w:t>Copper</w:t>
      </w:r>
      <w:r>
        <w:rPr>
          <w:rFonts w:ascii="Times New Roman" w:hAnsi="Times New Roman" w:cs="Times New Roman"/>
          <w:sz w:val="24"/>
          <w:szCs w:val="24"/>
          <w:lang w:val="en-GB"/>
        </w:rPr>
        <w:t xml:space="preserve">, </w:t>
      </w:r>
      <w:r w:rsidRPr="00E73D56">
        <w:rPr>
          <w:rFonts w:ascii="Times New Roman" w:hAnsi="Times New Roman" w:cs="Times New Roman"/>
          <w:sz w:val="24"/>
          <w:szCs w:val="24"/>
          <w:lang w:val="en-GB"/>
        </w:rPr>
        <w:t xml:space="preserve"> </w:t>
      </w:r>
      <w:r>
        <w:rPr>
          <w:rFonts w:ascii="Times New Roman" w:hAnsi="Times New Roman" w:cs="Times New Roman"/>
          <w:sz w:val="24"/>
          <w:szCs w:val="24"/>
          <w:lang w:val="en-GB"/>
        </w:rPr>
        <w:t>Zinc</w:t>
      </w:r>
      <w:proofErr w:type="gramEnd"/>
      <w:r>
        <w:rPr>
          <w:rFonts w:ascii="Times New Roman" w:hAnsi="Times New Roman" w:cs="Times New Roman"/>
          <w:sz w:val="24"/>
          <w:szCs w:val="24"/>
          <w:lang w:val="en-GB"/>
        </w:rPr>
        <w:t>, Iron,</w:t>
      </w:r>
      <w:r w:rsidRPr="00E73D5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Fluoride,  </w:t>
      </w:r>
      <w:r w:rsidRPr="00E73D56">
        <w:rPr>
          <w:rFonts w:ascii="Times New Roman" w:hAnsi="Times New Roman" w:cs="Times New Roman"/>
          <w:sz w:val="24"/>
          <w:szCs w:val="24"/>
          <w:lang w:val="en-GB"/>
        </w:rPr>
        <w:t>A</w:t>
      </w:r>
      <w:r>
        <w:rPr>
          <w:rFonts w:ascii="Times New Roman" w:hAnsi="Times New Roman" w:cs="Times New Roman"/>
          <w:sz w:val="24"/>
          <w:szCs w:val="24"/>
          <w:lang w:val="en-GB"/>
        </w:rPr>
        <w:t>rsenic, and Mercury</w:t>
      </w:r>
      <w:r w:rsidRPr="00E73D56">
        <w:rPr>
          <w:rFonts w:ascii="Times New Roman" w:hAnsi="Times New Roman" w:cs="Times New Roman"/>
          <w:sz w:val="24"/>
          <w:szCs w:val="24"/>
          <w:lang w:val="en-GB"/>
        </w:rPr>
        <w:t xml:space="preserve">  are major pollutants because of their toxicity, their persistence and their tendency to bioaccumulate in the food chain. They represent a risk for aquatic ecosystems and humans </w:t>
      </w:r>
      <w:r w:rsidR="00F46AA3">
        <w:rPr>
          <w:rFonts w:ascii="Times New Roman" w:hAnsi="Times New Roman" w:cs="Times New Roman"/>
          <w:sz w:val="24"/>
          <w:szCs w:val="24"/>
          <w:lang w:val="en-GB"/>
        </w:rPr>
        <w:t>[10].</w:t>
      </w:r>
      <w:r w:rsidRPr="00E73D56">
        <w:rPr>
          <w:rFonts w:ascii="Times New Roman" w:hAnsi="Times New Roman" w:cs="Times New Roman"/>
          <w:sz w:val="24"/>
          <w:szCs w:val="24"/>
          <w:lang w:val="en-GB"/>
        </w:rPr>
        <w:t xml:space="preserve"> For this reason, these metals are among the metals, which are the mostly assessed in </w:t>
      </w:r>
      <w:r>
        <w:rPr>
          <w:rFonts w:ascii="Times New Roman" w:hAnsi="Times New Roman" w:cs="Times New Roman"/>
          <w:sz w:val="24"/>
          <w:szCs w:val="24"/>
          <w:lang w:val="en-GB"/>
        </w:rPr>
        <w:t>aquatic environments</w:t>
      </w:r>
      <w:r w:rsidRPr="00E73D56">
        <w:rPr>
          <w:rFonts w:ascii="Times New Roman" w:hAnsi="Times New Roman" w:cs="Times New Roman"/>
          <w:sz w:val="24"/>
          <w:szCs w:val="24"/>
          <w:lang w:val="en-GB"/>
        </w:rPr>
        <w:t xml:space="preserve">. </w:t>
      </w:r>
    </w:p>
    <w:p w14:paraId="4B62C243" w14:textId="422D9884" w:rsidR="00E73D56" w:rsidRPr="00E73D56" w:rsidRDefault="00E73D56" w:rsidP="00E73D56">
      <w:pPr>
        <w:spacing w:line="360" w:lineRule="auto"/>
        <w:jc w:val="both"/>
        <w:rPr>
          <w:rFonts w:ascii="Times New Roman" w:hAnsi="Times New Roman" w:cs="Times New Roman"/>
          <w:sz w:val="24"/>
          <w:szCs w:val="24"/>
          <w:lang w:val="en-GB"/>
        </w:rPr>
      </w:pPr>
      <w:r w:rsidRPr="00E73D56">
        <w:rPr>
          <w:rFonts w:ascii="Times New Roman" w:hAnsi="Times New Roman" w:cs="Times New Roman"/>
          <w:sz w:val="24"/>
          <w:szCs w:val="24"/>
          <w:lang w:val="en-GB"/>
        </w:rPr>
        <w:t xml:space="preserve">Results obtained in this study reveal the presence of the assayed heavy metals in the water </w:t>
      </w:r>
      <w:r>
        <w:rPr>
          <w:rFonts w:ascii="Times New Roman" w:hAnsi="Times New Roman" w:cs="Times New Roman"/>
          <w:sz w:val="24"/>
          <w:szCs w:val="24"/>
          <w:lang w:val="en-GB"/>
        </w:rPr>
        <w:t xml:space="preserve">samples. </w:t>
      </w:r>
      <w:r w:rsidRPr="00E73D56">
        <w:rPr>
          <w:rFonts w:ascii="Times New Roman" w:hAnsi="Times New Roman" w:cs="Times New Roman"/>
          <w:sz w:val="24"/>
          <w:szCs w:val="24"/>
          <w:lang w:val="en-GB"/>
        </w:rPr>
        <w:t xml:space="preserve"> Nevertheless, concentrations of these heavy metals were observed to be </w:t>
      </w:r>
      <w:r>
        <w:rPr>
          <w:rFonts w:ascii="Times New Roman" w:hAnsi="Times New Roman" w:cs="Times New Roman"/>
          <w:sz w:val="24"/>
          <w:szCs w:val="24"/>
          <w:lang w:val="en-GB"/>
        </w:rPr>
        <w:t>lower than the WHO benchmark for water quality</w:t>
      </w:r>
      <w:r w:rsidRPr="00E73D56">
        <w:rPr>
          <w:rFonts w:ascii="Times New Roman" w:hAnsi="Times New Roman" w:cs="Times New Roman"/>
          <w:sz w:val="24"/>
          <w:szCs w:val="24"/>
          <w:lang w:val="en-GB"/>
        </w:rPr>
        <w:t xml:space="preserve">. Contamination with high levels of arsenic is of concern because arsenic can cause a number of human health effects. Several epidemiological studies have reported a strong association between arsenic exposure and increased risks of both carcinogenic and systemic health effects.  Arsenic exposure affects virtually all organ systems including the cardiovascular, dermatologic, nervous, </w:t>
      </w:r>
      <w:proofErr w:type="spellStart"/>
      <w:r w:rsidRPr="00E73D56">
        <w:rPr>
          <w:rFonts w:ascii="Times New Roman" w:hAnsi="Times New Roman" w:cs="Times New Roman"/>
          <w:sz w:val="24"/>
          <w:szCs w:val="24"/>
          <w:lang w:val="en-GB"/>
        </w:rPr>
        <w:t>hepatobilliary</w:t>
      </w:r>
      <w:proofErr w:type="spellEnd"/>
      <w:r w:rsidRPr="00E73D56">
        <w:rPr>
          <w:rFonts w:ascii="Times New Roman" w:hAnsi="Times New Roman" w:cs="Times New Roman"/>
          <w:sz w:val="24"/>
          <w:szCs w:val="24"/>
          <w:lang w:val="en-GB"/>
        </w:rPr>
        <w:t xml:space="preserve">, renal, gastro-intestinal, and respiratory systems </w:t>
      </w:r>
      <w:r w:rsidR="00F46AA3">
        <w:rPr>
          <w:rFonts w:ascii="Times New Roman" w:hAnsi="Times New Roman" w:cs="Times New Roman"/>
          <w:sz w:val="24"/>
          <w:szCs w:val="24"/>
          <w:lang w:val="en-GB"/>
        </w:rPr>
        <w:t>[11].</w:t>
      </w:r>
      <w:r w:rsidRPr="00E73D56">
        <w:rPr>
          <w:rFonts w:ascii="Times New Roman" w:hAnsi="Times New Roman" w:cs="Times New Roman"/>
          <w:sz w:val="24"/>
          <w:szCs w:val="24"/>
          <w:lang w:val="en-GB"/>
        </w:rPr>
        <w:t xml:space="preserve">  Research has also pointed to significantly higher standardized mortality rates for cancers of the bladder, kidney, skin, and liver in many areas of arsenic pollution. </w:t>
      </w:r>
    </w:p>
    <w:p w14:paraId="00105A06" w14:textId="376A7838" w:rsidR="00E73D56" w:rsidRDefault="00E73D56" w:rsidP="00E73D56">
      <w:pPr>
        <w:spacing w:line="360" w:lineRule="auto"/>
        <w:jc w:val="both"/>
        <w:rPr>
          <w:rFonts w:ascii="Times New Roman" w:hAnsi="Times New Roman" w:cs="Times New Roman"/>
          <w:sz w:val="24"/>
          <w:szCs w:val="24"/>
          <w:lang w:val="en-GB"/>
        </w:rPr>
      </w:pPr>
      <w:r w:rsidRPr="00E73D56">
        <w:rPr>
          <w:rFonts w:ascii="Times New Roman" w:hAnsi="Times New Roman" w:cs="Times New Roman"/>
          <w:sz w:val="24"/>
          <w:szCs w:val="24"/>
          <w:lang w:val="en-GB"/>
        </w:rPr>
        <w:t xml:space="preserve">Chronic exposure to </w:t>
      </w:r>
      <w:r>
        <w:rPr>
          <w:rFonts w:ascii="Times New Roman" w:hAnsi="Times New Roman" w:cs="Times New Roman"/>
          <w:sz w:val="24"/>
          <w:szCs w:val="24"/>
          <w:lang w:val="en-GB"/>
        </w:rPr>
        <w:t>heavy metals</w:t>
      </w:r>
      <w:r w:rsidRPr="00E73D56">
        <w:rPr>
          <w:rFonts w:ascii="Times New Roman" w:hAnsi="Times New Roman" w:cs="Times New Roman"/>
          <w:sz w:val="24"/>
          <w:szCs w:val="24"/>
          <w:lang w:val="en-GB"/>
        </w:rPr>
        <w:t xml:space="preserve"> has a depressive effect on levels of norepinephrine, serotonin, and acetylcholine. Cadmium compounds are classified as human carcinogens by several regulatory agencies. The International Agency for Research on Cancer </w:t>
      </w:r>
      <w:r w:rsidR="00F46AA3">
        <w:rPr>
          <w:rFonts w:ascii="Times New Roman" w:hAnsi="Times New Roman" w:cs="Times New Roman"/>
          <w:sz w:val="24"/>
          <w:szCs w:val="24"/>
          <w:lang w:val="en-GB"/>
        </w:rPr>
        <w:t>[12]</w:t>
      </w:r>
      <w:r w:rsidRPr="00E73D56">
        <w:rPr>
          <w:rFonts w:ascii="Times New Roman" w:hAnsi="Times New Roman" w:cs="Times New Roman"/>
          <w:sz w:val="24"/>
          <w:szCs w:val="24"/>
          <w:lang w:val="en-GB"/>
        </w:rPr>
        <w:t xml:space="preserve"> and the U.S. National Toxicology Program have concluded that there is adequate evidence that cadmium is a human carcinogen. Carcinogenic metals including arsenic, cadmium, lead, chromium, and nickel have all been associated with DNA damage through base pair mutation, deletion, or oxygen radical attack on DNA </w:t>
      </w:r>
      <w:r w:rsidR="00F46AA3">
        <w:rPr>
          <w:rFonts w:ascii="Times New Roman" w:hAnsi="Times New Roman" w:cs="Times New Roman"/>
          <w:sz w:val="24"/>
          <w:szCs w:val="24"/>
          <w:lang w:val="en-GB"/>
        </w:rPr>
        <w:t>[13].</w:t>
      </w:r>
      <w:r w:rsidRPr="00E73D56">
        <w:rPr>
          <w:rFonts w:ascii="Times New Roman" w:hAnsi="Times New Roman" w:cs="Times New Roman"/>
          <w:sz w:val="24"/>
          <w:szCs w:val="24"/>
          <w:lang w:val="en-GB"/>
        </w:rPr>
        <w:t xml:space="preserve"> A major proportion of what is absorbed accumulates in the kidneys, neurological tissue and the liver. All forms of mercury are toxic and their effects include gastrointestinal toxicity, neurotoxicity, and nephrotoxicity </w:t>
      </w:r>
      <w:r w:rsidR="00F46AA3">
        <w:rPr>
          <w:rFonts w:ascii="Times New Roman" w:hAnsi="Times New Roman" w:cs="Times New Roman"/>
          <w:sz w:val="24"/>
          <w:szCs w:val="24"/>
          <w:lang w:val="en-GB"/>
        </w:rPr>
        <w:t>[14].</w:t>
      </w:r>
    </w:p>
    <w:p w14:paraId="3CD52B08" w14:textId="77777777" w:rsidR="00F46AA3" w:rsidRDefault="00F46AA3" w:rsidP="00E73D56">
      <w:pPr>
        <w:spacing w:line="360" w:lineRule="auto"/>
        <w:jc w:val="both"/>
        <w:rPr>
          <w:rFonts w:ascii="Times New Roman" w:hAnsi="Times New Roman" w:cs="Times New Roman"/>
          <w:sz w:val="24"/>
          <w:szCs w:val="24"/>
          <w:lang w:val="en-GB"/>
        </w:rPr>
      </w:pPr>
    </w:p>
    <w:p w14:paraId="3AA2F8AB" w14:textId="77777777" w:rsidR="00F46AA3" w:rsidRDefault="00F46AA3" w:rsidP="00E73D56">
      <w:pPr>
        <w:spacing w:line="360" w:lineRule="auto"/>
        <w:jc w:val="both"/>
        <w:rPr>
          <w:rFonts w:ascii="Times New Roman" w:hAnsi="Times New Roman" w:cs="Times New Roman"/>
          <w:sz w:val="24"/>
          <w:szCs w:val="24"/>
          <w:lang w:val="en-GB"/>
        </w:rPr>
      </w:pPr>
    </w:p>
    <w:p w14:paraId="3DAE4091" w14:textId="58E09437" w:rsidR="00F46AA3" w:rsidRPr="00F46AA3" w:rsidRDefault="00F46AA3" w:rsidP="00E73D56">
      <w:pPr>
        <w:spacing w:line="360" w:lineRule="auto"/>
        <w:jc w:val="both"/>
        <w:rPr>
          <w:rFonts w:ascii="Times New Roman" w:hAnsi="Times New Roman" w:cs="Times New Roman"/>
          <w:b/>
          <w:bCs/>
          <w:sz w:val="24"/>
          <w:szCs w:val="24"/>
          <w:lang w:val="en-GB"/>
        </w:rPr>
      </w:pPr>
      <w:r w:rsidRPr="00F46AA3">
        <w:rPr>
          <w:rFonts w:ascii="Times New Roman" w:hAnsi="Times New Roman" w:cs="Times New Roman"/>
          <w:b/>
          <w:bCs/>
          <w:sz w:val="24"/>
          <w:szCs w:val="24"/>
          <w:lang w:val="en-GB"/>
        </w:rPr>
        <w:lastRenderedPageBreak/>
        <w:t xml:space="preserve">Conclusion </w:t>
      </w:r>
    </w:p>
    <w:p w14:paraId="7DDA9044" w14:textId="0F906EAA" w:rsidR="00E73D56" w:rsidRDefault="00E73D56" w:rsidP="00E73D56">
      <w:pPr>
        <w:spacing w:line="360" w:lineRule="auto"/>
        <w:jc w:val="both"/>
        <w:rPr>
          <w:rFonts w:ascii="Times New Roman" w:hAnsi="Times New Roman" w:cs="Times New Roman"/>
          <w:sz w:val="24"/>
          <w:szCs w:val="24"/>
          <w:lang w:val="en-GB"/>
        </w:rPr>
      </w:pPr>
      <w:r w:rsidRPr="00E73D56">
        <w:rPr>
          <w:rFonts w:ascii="Times New Roman" w:hAnsi="Times New Roman" w:cs="Times New Roman"/>
          <w:sz w:val="24"/>
          <w:szCs w:val="24"/>
          <w:lang w:val="en-GB"/>
        </w:rPr>
        <w:t xml:space="preserve">The heavy metal concentrations in water were also within WHO set limits for the survival of aquatic organisms. However, prolonged </w:t>
      </w:r>
      <w:r w:rsidR="00B70DDD">
        <w:rPr>
          <w:rFonts w:ascii="Times New Roman" w:hAnsi="Times New Roman" w:cs="Times New Roman"/>
          <w:sz w:val="24"/>
          <w:szCs w:val="24"/>
          <w:lang w:val="en-GB"/>
        </w:rPr>
        <w:t>exposure of these metal</w:t>
      </w:r>
      <w:r w:rsidRPr="00E73D56">
        <w:rPr>
          <w:rFonts w:ascii="Times New Roman" w:hAnsi="Times New Roman" w:cs="Times New Roman"/>
          <w:sz w:val="24"/>
          <w:szCs w:val="24"/>
          <w:lang w:val="en-GB"/>
        </w:rPr>
        <w:t xml:space="preserve"> </w:t>
      </w:r>
      <w:r w:rsidR="00B70DDD">
        <w:rPr>
          <w:rFonts w:ascii="Times New Roman" w:hAnsi="Times New Roman" w:cs="Times New Roman"/>
          <w:sz w:val="24"/>
          <w:szCs w:val="24"/>
          <w:lang w:val="en-GB"/>
        </w:rPr>
        <w:t>could</w:t>
      </w:r>
      <w:r w:rsidRPr="00E73D56">
        <w:rPr>
          <w:rFonts w:ascii="Times New Roman" w:hAnsi="Times New Roman" w:cs="Times New Roman"/>
          <w:sz w:val="24"/>
          <w:szCs w:val="24"/>
          <w:lang w:val="en-GB"/>
        </w:rPr>
        <w:t xml:space="preserve"> have adverse effects since heavy metals can bioaccumulate overtime.  </w:t>
      </w:r>
      <w:bookmarkStart w:id="11" w:name="_Hlk204980387"/>
      <w:r w:rsidRPr="00E73D56">
        <w:rPr>
          <w:rFonts w:ascii="Times New Roman" w:hAnsi="Times New Roman" w:cs="Times New Roman"/>
          <w:sz w:val="24"/>
          <w:szCs w:val="24"/>
          <w:lang w:val="en-GB"/>
        </w:rPr>
        <w:t xml:space="preserve">These results further </w:t>
      </w:r>
      <w:proofErr w:type="gramStart"/>
      <w:r w:rsidRPr="00E73D56">
        <w:rPr>
          <w:rFonts w:ascii="Times New Roman" w:hAnsi="Times New Roman" w:cs="Times New Roman"/>
          <w:sz w:val="24"/>
          <w:szCs w:val="24"/>
          <w:lang w:val="en-GB"/>
        </w:rPr>
        <w:t>demonstrates</w:t>
      </w:r>
      <w:proofErr w:type="gramEnd"/>
      <w:r w:rsidRPr="00E73D56">
        <w:rPr>
          <w:rFonts w:ascii="Times New Roman" w:hAnsi="Times New Roman" w:cs="Times New Roman"/>
          <w:sz w:val="24"/>
          <w:szCs w:val="24"/>
          <w:lang w:val="en-GB"/>
        </w:rPr>
        <w:t xml:space="preserve"> marginal contamination of water, with heavy metals, leading to </w:t>
      </w:r>
      <w:r w:rsidR="00B70DDD">
        <w:rPr>
          <w:rFonts w:ascii="Times New Roman" w:hAnsi="Times New Roman" w:cs="Times New Roman"/>
          <w:sz w:val="24"/>
          <w:szCs w:val="24"/>
          <w:lang w:val="en-GB"/>
        </w:rPr>
        <w:t>water lotus</w:t>
      </w:r>
      <w:r w:rsidRPr="00E73D56">
        <w:rPr>
          <w:rFonts w:ascii="Times New Roman" w:hAnsi="Times New Roman" w:cs="Times New Roman"/>
          <w:sz w:val="24"/>
          <w:szCs w:val="24"/>
          <w:lang w:val="en-GB"/>
        </w:rPr>
        <w:t xml:space="preserve"> ability to bio-concentrate and bioaccumulate, all of which are risk factors for </w:t>
      </w:r>
      <w:r w:rsidR="00B70DDD">
        <w:rPr>
          <w:rFonts w:ascii="Times New Roman" w:hAnsi="Times New Roman" w:cs="Times New Roman"/>
          <w:sz w:val="24"/>
          <w:szCs w:val="24"/>
          <w:lang w:val="en-GB"/>
        </w:rPr>
        <w:t>aquatic macrophytes</w:t>
      </w:r>
      <w:r w:rsidRPr="00E73D56">
        <w:rPr>
          <w:rFonts w:ascii="Times New Roman" w:hAnsi="Times New Roman" w:cs="Times New Roman"/>
          <w:sz w:val="24"/>
          <w:szCs w:val="24"/>
          <w:lang w:val="en-GB"/>
        </w:rPr>
        <w:t xml:space="preserve"> and for human health. This could be attributed to the dumping site by most of the inhabitants and discharge of industrial pollutants into the study areas.</w:t>
      </w:r>
      <w:r w:rsidR="00A762B9" w:rsidRPr="00A762B9">
        <w:t xml:space="preserve"> </w:t>
      </w:r>
      <w:bookmarkEnd w:id="11"/>
      <w:r w:rsidR="00A762B9" w:rsidRPr="00A762B9">
        <w:rPr>
          <w:rFonts w:ascii="Times New Roman" w:hAnsi="Times New Roman" w:cs="Times New Roman"/>
          <w:sz w:val="24"/>
          <w:szCs w:val="24"/>
          <w:lang w:val="en-GB"/>
        </w:rPr>
        <w:t>Public awareness and education about sources and health implications of heavy metals should be improved.</w:t>
      </w:r>
      <w:r w:rsidR="00A762B9" w:rsidRPr="00A762B9">
        <w:t xml:space="preserve"> </w:t>
      </w:r>
      <w:r w:rsidR="00A762B9" w:rsidRPr="00A762B9">
        <w:rPr>
          <w:rFonts w:ascii="Times New Roman" w:hAnsi="Times New Roman" w:cs="Times New Roman"/>
          <w:sz w:val="24"/>
          <w:szCs w:val="24"/>
          <w:lang w:val="en-GB"/>
        </w:rPr>
        <w:t xml:space="preserve">Government should enforce the laws that ensure standard waste treatment by industrial plants before it is being discharged into </w:t>
      </w:r>
      <w:r w:rsidR="00F46AA3" w:rsidRPr="00A762B9">
        <w:rPr>
          <w:rFonts w:ascii="Times New Roman" w:hAnsi="Times New Roman" w:cs="Times New Roman"/>
          <w:sz w:val="24"/>
          <w:szCs w:val="24"/>
          <w:lang w:val="en-GB"/>
        </w:rPr>
        <w:t>water bodies</w:t>
      </w:r>
    </w:p>
    <w:p w14:paraId="20D295E0" w14:textId="49CC7EA7" w:rsidR="00654D34" w:rsidRDefault="00654D34" w:rsidP="00E73D56">
      <w:pPr>
        <w:spacing w:line="360" w:lineRule="auto"/>
        <w:jc w:val="both"/>
        <w:rPr>
          <w:rFonts w:ascii="Times New Roman" w:hAnsi="Times New Roman" w:cs="Times New Roman"/>
          <w:sz w:val="24"/>
          <w:szCs w:val="24"/>
          <w:lang w:val="en-GB"/>
        </w:rPr>
      </w:pPr>
    </w:p>
    <w:p w14:paraId="033360DA" w14:textId="77777777" w:rsidR="00654D34" w:rsidRPr="00D051E8" w:rsidRDefault="00654D34" w:rsidP="00654D34">
      <w:pPr>
        <w:ind w:left="720" w:hanging="720"/>
        <w:jc w:val="both"/>
        <w:rPr>
          <w:rFonts w:ascii="Times New Roman" w:hAnsi="Times New Roman" w:cs="Times New Roman"/>
          <w:b/>
        </w:rPr>
      </w:pPr>
      <w:r w:rsidRPr="00D051E8">
        <w:rPr>
          <w:rFonts w:ascii="Times New Roman" w:hAnsi="Times New Roman" w:cs="Times New Roman"/>
          <w:b/>
        </w:rPr>
        <w:t xml:space="preserve">References </w:t>
      </w:r>
    </w:p>
    <w:p w14:paraId="2376C8E0" w14:textId="0608EF5A" w:rsidR="00F46AA3" w:rsidRPr="00F46AA3" w:rsidRDefault="00F46AA3" w:rsidP="00F46AA3">
      <w:pPr>
        <w:pStyle w:val="ListParagraph"/>
        <w:numPr>
          <w:ilvl w:val="0"/>
          <w:numId w:val="2"/>
        </w:numPr>
        <w:jc w:val="both"/>
        <w:rPr>
          <w:rFonts w:ascii="Times New Roman" w:hAnsi="Times New Roman" w:cs="Times New Roman"/>
          <w:bCs/>
        </w:rPr>
      </w:pPr>
      <w:r w:rsidRPr="00F46AA3">
        <w:rPr>
          <w:rFonts w:ascii="Times New Roman" w:hAnsi="Times New Roman" w:cs="Times New Roman"/>
          <w:bCs/>
          <w:lang w:val="en-US"/>
        </w:rPr>
        <w:t>Rasid, </w:t>
      </w:r>
      <w:bookmarkStart w:id="12" w:name="baut0010-profile"/>
      <w:r>
        <w:rPr>
          <w:rFonts w:ascii="Times New Roman" w:hAnsi="Times New Roman" w:cs="Times New Roman"/>
          <w:bCs/>
          <w:lang w:val="en-US"/>
        </w:rPr>
        <w:t xml:space="preserve">N.S., </w:t>
      </w:r>
      <w:bookmarkEnd w:id="12"/>
      <w:r>
        <w:rPr>
          <w:rFonts w:ascii="Times New Roman" w:hAnsi="Times New Roman" w:cs="Times New Roman"/>
          <w:bCs/>
          <w:lang w:val="en-US"/>
        </w:rPr>
        <w:t>Naim, M.N.</w:t>
      </w:r>
      <w:r w:rsidRPr="00F46AA3">
        <w:rPr>
          <w:rFonts w:ascii="Times New Roman" w:hAnsi="Times New Roman" w:cs="Times New Roman"/>
          <w:bCs/>
          <w:lang w:val="en-US"/>
        </w:rPr>
        <w:t>, </w:t>
      </w:r>
      <w:r>
        <w:rPr>
          <w:rFonts w:ascii="Times New Roman" w:hAnsi="Times New Roman" w:cs="Times New Roman"/>
          <w:bCs/>
          <w:lang w:val="en-US"/>
        </w:rPr>
        <w:t>Che, H.M,</w:t>
      </w:r>
      <w:r w:rsidRPr="00F46AA3">
        <w:rPr>
          <w:rFonts w:ascii="Times New Roman" w:hAnsi="Times New Roman" w:cs="Times New Roman"/>
          <w:bCs/>
          <w:lang w:val="en-US"/>
        </w:rPr>
        <w:t>, </w:t>
      </w:r>
      <w:bookmarkStart w:id="13" w:name="baut0020-profile"/>
      <w:proofErr w:type="spellStart"/>
      <w:r w:rsidRPr="00F46AA3">
        <w:rPr>
          <w:rFonts w:ascii="Times New Roman" w:hAnsi="Times New Roman" w:cs="Times New Roman"/>
          <w:bCs/>
          <w:lang w:val="en-US"/>
        </w:rPr>
        <w:fldChar w:fldCharType="begin"/>
      </w:r>
      <w:r w:rsidRPr="00F46AA3">
        <w:rPr>
          <w:rFonts w:ascii="Times New Roman" w:hAnsi="Times New Roman" w:cs="Times New Roman"/>
          <w:bCs/>
          <w:lang w:val="en-US"/>
        </w:rPr>
        <w:instrText>HYPERLINK "https://www.sciencedirect.com/author/35110898100/noor-fitrah-abu-bakar"</w:instrText>
      </w:r>
      <w:r w:rsidRPr="00F46AA3">
        <w:rPr>
          <w:rFonts w:ascii="Times New Roman" w:hAnsi="Times New Roman" w:cs="Times New Roman"/>
          <w:bCs/>
          <w:lang w:val="en-US"/>
        </w:rPr>
        <w:fldChar w:fldCharType="separate"/>
      </w:r>
      <w:r>
        <w:rPr>
          <w:rStyle w:val="Hyperlink"/>
          <w:rFonts w:ascii="Times New Roman" w:hAnsi="Times New Roman" w:cs="Times New Roman"/>
          <w:bCs/>
          <w:color w:val="auto"/>
          <w:u w:val="none"/>
          <w:lang w:val="en-US"/>
        </w:rPr>
        <w:t>Abur</w:t>
      </w:r>
      <w:proofErr w:type="spellEnd"/>
      <w:r>
        <w:rPr>
          <w:rStyle w:val="Hyperlink"/>
          <w:rFonts w:ascii="Times New Roman" w:hAnsi="Times New Roman" w:cs="Times New Roman"/>
          <w:bCs/>
          <w:color w:val="auto"/>
          <w:u w:val="none"/>
          <w:lang w:val="en-US"/>
        </w:rPr>
        <w:t>,</w:t>
      </w:r>
      <w:r w:rsidRPr="00F46AA3">
        <w:rPr>
          <w:rFonts w:ascii="Times New Roman" w:hAnsi="Times New Roman" w:cs="Times New Roman"/>
          <w:bCs/>
          <w:lang w:val="en-US"/>
        </w:rPr>
        <w:fldChar w:fldCharType="end"/>
      </w:r>
      <w:bookmarkEnd w:id="13"/>
      <w:r>
        <w:rPr>
          <w:rFonts w:ascii="Times New Roman" w:hAnsi="Times New Roman" w:cs="Times New Roman"/>
          <w:bCs/>
          <w:lang w:val="en-US"/>
        </w:rPr>
        <w:t xml:space="preserve"> N.F. </w:t>
      </w:r>
      <w:r w:rsidRPr="00F46AA3">
        <w:rPr>
          <w:rFonts w:ascii="Times New Roman" w:hAnsi="Times New Roman" w:cs="Times New Roman"/>
          <w:bCs/>
          <w:lang w:val="en-US"/>
        </w:rPr>
        <w:t>, </w:t>
      </w:r>
      <w:bookmarkStart w:id="14" w:name="baut0025-profile"/>
      <w:r w:rsidRPr="00F46AA3">
        <w:rPr>
          <w:rFonts w:ascii="Times New Roman" w:hAnsi="Times New Roman" w:cs="Times New Roman"/>
          <w:bCs/>
          <w:lang w:val="en-US"/>
        </w:rPr>
        <w:fldChar w:fldCharType="begin"/>
      </w:r>
      <w:r w:rsidRPr="00F46AA3">
        <w:rPr>
          <w:rFonts w:ascii="Times New Roman" w:hAnsi="Times New Roman" w:cs="Times New Roman"/>
          <w:bCs/>
          <w:lang w:val="en-US"/>
        </w:rPr>
        <w:instrText>HYPERLINK "https://www.sciencedirect.com/author/16176210100/mohd-noriznan-mokhtar"</w:instrText>
      </w:r>
      <w:r w:rsidRPr="00F46AA3">
        <w:rPr>
          <w:rFonts w:ascii="Times New Roman" w:hAnsi="Times New Roman" w:cs="Times New Roman"/>
          <w:bCs/>
          <w:lang w:val="en-US"/>
        </w:rPr>
        <w:fldChar w:fldCharType="separate"/>
      </w:r>
      <w:r w:rsidRPr="00F46AA3">
        <w:rPr>
          <w:rStyle w:val="Hyperlink"/>
          <w:rFonts w:ascii="Times New Roman" w:hAnsi="Times New Roman" w:cs="Times New Roman"/>
          <w:bCs/>
          <w:color w:val="auto"/>
          <w:u w:val="none"/>
          <w:lang w:val="en-US"/>
        </w:rPr>
        <w:t>M.N. Mokhtar</w:t>
      </w:r>
      <w:r w:rsidRPr="00F46AA3">
        <w:rPr>
          <w:rFonts w:ascii="Times New Roman" w:hAnsi="Times New Roman" w:cs="Times New Roman"/>
          <w:bCs/>
          <w:lang w:val="en-US"/>
        </w:rPr>
        <w:fldChar w:fldCharType="end"/>
      </w:r>
      <w:bookmarkEnd w:id="14"/>
      <w:r w:rsidRPr="00F46AA3">
        <w:rPr>
          <w:rFonts w:ascii="Times New Roman" w:hAnsi="Times New Roman" w:cs="Times New Roman"/>
          <w:bCs/>
          <w:lang w:val="en-US"/>
        </w:rPr>
        <w:t xml:space="preserve"> (2025) Evaluation of surface water treated with lotus plant; Nelumbo nucifera, </w:t>
      </w:r>
      <w:hyperlink r:id="rId16" w:tooltip="Go to Journal of Environmental Chemical Engineering on ScienceDirect" w:history="1">
        <w:r w:rsidRPr="00F46AA3">
          <w:rPr>
            <w:rStyle w:val="Hyperlink"/>
            <w:rFonts w:ascii="Times New Roman" w:hAnsi="Times New Roman" w:cs="Times New Roman"/>
            <w:bCs/>
          </w:rPr>
          <w:t>Journal of Environmental Chemical Engineering</w:t>
        </w:r>
      </w:hyperlink>
      <w:r w:rsidRPr="00F46AA3">
        <w:rPr>
          <w:rFonts w:ascii="Times New Roman" w:hAnsi="Times New Roman" w:cs="Times New Roman"/>
          <w:bCs/>
        </w:rPr>
        <w:t xml:space="preserve"> 7, 3.</w:t>
      </w:r>
    </w:p>
    <w:p w14:paraId="65173BF9" w14:textId="6C696C90" w:rsidR="00654D34" w:rsidRPr="00F46AA3" w:rsidRDefault="00654D34" w:rsidP="00F46AA3">
      <w:pPr>
        <w:pStyle w:val="ListParagraph"/>
        <w:numPr>
          <w:ilvl w:val="0"/>
          <w:numId w:val="2"/>
        </w:numPr>
        <w:jc w:val="both"/>
        <w:rPr>
          <w:rFonts w:ascii="Times New Roman" w:hAnsi="Times New Roman" w:cs="Times New Roman"/>
          <w:bCs/>
        </w:rPr>
      </w:pP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J.N., Nwachukwu, C. U., Nwachukwu, M.O., Ugochukwu, M.G., Dike, K.S., </w:t>
      </w:r>
      <w:proofErr w:type="spellStart"/>
      <w:r w:rsidRPr="00F46AA3">
        <w:rPr>
          <w:rFonts w:ascii="Times New Roman" w:hAnsi="Times New Roman" w:cs="Times New Roman"/>
          <w:bCs/>
        </w:rPr>
        <w:t>Nzenwa</w:t>
      </w:r>
      <w:proofErr w:type="spellEnd"/>
      <w:r w:rsidRPr="00F46AA3">
        <w:rPr>
          <w:rFonts w:ascii="Times New Roman" w:hAnsi="Times New Roman" w:cs="Times New Roman"/>
          <w:bCs/>
        </w:rPr>
        <w:t xml:space="preserve">, P. O., Igbokwe, M.C. (2024). Assessment of Phytoextraction Potentials of Three Indigenous Plant Species in Soil Contaminated with Spent Engine Oil. </w:t>
      </w:r>
      <w:r w:rsidRPr="00F46AA3">
        <w:rPr>
          <w:rFonts w:ascii="Times New Roman" w:hAnsi="Times New Roman" w:cs="Times New Roman"/>
          <w:bCs/>
          <w:i/>
        </w:rPr>
        <w:t>Faculty of Natural and Applied Sciences Journal of Scientific Innovations</w:t>
      </w:r>
      <w:r w:rsidRPr="00F46AA3">
        <w:rPr>
          <w:rFonts w:ascii="Times New Roman" w:hAnsi="Times New Roman" w:cs="Times New Roman"/>
          <w:bCs/>
        </w:rPr>
        <w:t xml:space="preserve"> 5 (3), 56-62. </w:t>
      </w:r>
    </w:p>
    <w:p w14:paraId="4764A2D0" w14:textId="77777777" w:rsidR="00654D34" w:rsidRDefault="00654D34" w:rsidP="00F46AA3">
      <w:pPr>
        <w:pStyle w:val="ListParagraph"/>
        <w:numPr>
          <w:ilvl w:val="0"/>
          <w:numId w:val="2"/>
        </w:numPr>
        <w:jc w:val="both"/>
        <w:rPr>
          <w:rFonts w:ascii="Times New Roman" w:hAnsi="Times New Roman" w:cs="Times New Roman"/>
          <w:bCs/>
        </w:rPr>
      </w:pP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J. N, Igwe C. E, Ugochukwu M. G </w:t>
      </w:r>
      <w:proofErr w:type="spellStart"/>
      <w:r w:rsidRPr="00F46AA3">
        <w:rPr>
          <w:rFonts w:ascii="Times New Roman" w:hAnsi="Times New Roman" w:cs="Times New Roman"/>
          <w:bCs/>
        </w:rPr>
        <w:t>Nzenwa</w:t>
      </w:r>
      <w:proofErr w:type="spellEnd"/>
      <w:r w:rsidRPr="00F46AA3">
        <w:rPr>
          <w:rFonts w:ascii="Times New Roman" w:hAnsi="Times New Roman" w:cs="Times New Roman"/>
          <w:bCs/>
        </w:rPr>
        <w:t xml:space="preserve">, P O, </w:t>
      </w:r>
      <w:proofErr w:type="spellStart"/>
      <w:r w:rsidRPr="00F46AA3">
        <w:rPr>
          <w:rFonts w:ascii="Times New Roman" w:hAnsi="Times New Roman" w:cs="Times New Roman"/>
          <w:bCs/>
        </w:rPr>
        <w:t>Okehie</w:t>
      </w:r>
      <w:proofErr w:type="spellEnd"/>
      <w:r w:rsidRPr="00F46AA3">
        <w:rPr>
          <w:rFonts w:ascii="Times New Roman" w:hAnsi="Times New Roman" w:cs="Times New Roman"/>
          <w:bCs/>
        </w:rPr>
        <w:t xml:space="preserve"> C </w:t>
      </w:r>
      <w:proofErr w:type="spellStart"/>
      <w:r w:rsidRPr="00F46AA3">
        <w:rPr>
          <w:rFonts w:ascii="Times New Roman" w:hAnsi="Times New Roman" w:cs="Times New Roman"/>
          <w:bCs/>
        </w:rPr>
        <w:t>C</w:t>
      </w:r>
      <w:proofErr w:type="spellEnd"/>
      <w:r w:rsidRPr="00F46AA3">
        <w:rPr>
          <w:rFonts w:ascii="Times New Roman" w:hAnsi="Times New Roman" w:cs="Times New Roman"/>
          <w:bCs/>
        </w:rPr>
        <w:t xml:space="preserve"> and </w:t>
      </w:r>
      <w:proofErr w:type="spellStart"/>
      <w:r w:rsidRPr="00F46AA3">
        <w:rPr>
          <w:rFonts w:ascii="Times New Roman" w:hAnsi="Times New Roman" w:cs="Times New Roman"/>
          <w:bCs/>
        </w:rPr>
        <w:t>Ukeje</w:t>
      </w:r>
      <w:proofErr w:type="spellEnd"/>
      <w:r w:rsidRPr="00F46AA3">
        <w:rPr>
          <w:rFonts w:ascii="Times New Roman" w:hAnsi="Times New Roman" w:cs="Times New Roman"/>
          <w:bCs/>
        </w:rPr>
        <w:t xml:space="preserve"> M. (2024). Environmental Status of Discharged Hospital Wastewater and its Effects on Morpho-physiological Characteristics of Vigna, unguiculata, Zea mays and Glycine max. </w:t>
      </w:r>
      <w:r w:rsidRPr="00F46AA3">
        <w:rPr>
          <w:rFonts w:ascii="Times New Roman" w:hAnsi="Times New Roman" w:cs="Times New Roman"/>
          <w:bCs/>
          <w:i/>
        </w:rPr>
        <w:t>Asian Sci. Bull.,</w:t>
      </w:r>
      <w:r w:rsidRPr="00F46AA3">
        <w:rPr>
          <w:rFonts w:ascii="Times New Roman" w:hAnsi="Times New Roman" w:cs="Times New Roman"/>
          <w:bCs/>
        </w:rPr>
        <w:t xml:space="preserve"> 2 (1): 85-91.</w:t>
      </w:r>
    </w:p>
    <w:p w14:paraId="4917826F" w14:textId="77777777" w:rsidR="00F46AA3" w:rsidRPr="00F46AA3" w:rsidRDefault="00F46AA3" w:rsidP="00F46AA3">
      <w:pPr>
        <w:pStyle w:val="ListParagraph"/>
        <w:numPr>
          <w:ilvl w:val="0"/>
          <w:numId w:val="2"/>
        </w:numPr>
        <w:rPr>
          <w:rFonts w:ascii="Times New Roman" w:hAnsi="Times New Roman" w:cs="Times New Roman"/>
          <w:bCs/>
        </w:rPr>
      </w:pPr>
      <w:r w:rsidRPr="00F46AA3">
        <w:rPr>
          <w:rFonts w:ascii="Times New Roman" w:hAnsi="Times New Roman" w:cs="Times New Roman"/>
          <w:bCs/>
        </w:rPr>
        <w:t xml:space="preserve">Emeka, J. E., </w:t>
      </w: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J. N., </w:t>
      </w:r>
      <w:proofErr w:type="spellStart"/>
      <w:r w:rsidRPr="00F46AA3">
        <w:rPr>
          <w:rFonts w:ascii="Times New Roman" w:hAnsi="Times New Roman" w:cs="Times New Roman"/>
          <w:bCs/>
        </w:rPr>
        <w:t>Arodiogbu</w:t>
      </w:r>
      <w:proofErr w:type="spellEnd"/>
      <w:r w:rsidRPr="00F46AA3">
        <w:rPr>
          <w:rFonts w:ascii="Times New Roman" w:hAnsi="Times New Roman" w:cs="Times New Roman"/>
          <w:bCs/>
        </w:rPr>
        <w:t xml:space="preserve">, F. U. &amp; </w:t>
      </w:r>
      <w:proofErr w:type="spellStart"/>
      <w:r w:rsidRPr="00F46AA3">
        <w:rPr>
          <w:rFonts w:ascii="Times New Roman" w:hAnsi="Times New Roman" w:cs="Times New Roman"/>
          <w:bCs/>
        </w:rPr>
        <w:t>Izundu</w:t>
      </w:r>
      <w:proofErr w:type="spellEnd"/>
      <w:r w:rsidRPr="00F46AA3">
        <w:rPr>
          <w:rFonts w:ascii="Times New Roman" w:hAnsi="Times New Roman" w:cs="Times New Roman"/>
          <w:bCs/>
        </w:rPr>
        <w:t>, I. M. (2025). Biosorption Potential of Breadfruit Husk for Remediating Crude Oil-Contaminated Soil. Asian Science Bulletin, 3 (2), 128-139.</w:t>
      </w:r>
    </w:p>
    <w:p w14:paraId="4CBF3578" w14:textId="77777777" w:rsidR="00F46AA3" w:rsidRPr="00F46AA3" w:rsidRDefault="00F46AA3" w:rsidP="00F46AA3">
      <w:pPr>
        <w:pStyle w:val="ListParagraph"/>
        <w:numPr>
          <w:ilvl w:val="0"/>
          <w:numId w:val="2"/>
        </w:numPr>
        <w:rPr>
          <w:rFonts w:ascii="Times New Roman" w:hAnsi="Times New Roman" w:cs="Times New Roman"/>
          <w:bCs/>
        </w:rPr>
      </w:pP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J.N., Dike K.S., Obi, A.U., </w:t>
      </w:r>
      <w:proofErr w:type="spellStart"/>
      <w:r w:rsidRPr="00F46AA3">
        <w:rPr>
          <w:rFonts w:ascii="Times New Roman" w:hAnsi="Times New Roman" w:cs="Times New Roman"/>
          <w:bCs/>
        </w:rPr>
        <w:t>Ngumah</w:t>
      </w:r>
      <w:proofErr w:type="spellEnd"/>
      <w:r w:rsidRPr="00F46AA3">
        <w:rPr>
          <w:rFonts w:ascii="Times New Roman" w:hAnsi="Times New Roman" w:cs="Times New Roman"/>
          <w:bCs/>
        </w:rPr>
        <w:t xml:space="preserve">, M.O., Nwachukwu, M.O., </w:t>
      </w:r>
      <w:proofErr w:type="spellStart"/>
      <w:r w:rsidRPr="00F46AA3">
        <w:rPr>
          <w:rFonts w:ascii="Times New Roman" w:hAnsi="Times New Roman" w:cs="Times New Roman"/>
          <w:bCs/>
        </w:rPr>
        <w:t>Nnanabu</w:t>
      </w:r>
      <w:proofErr w:type="spellEnd"/>
      <w:r w:rsidRPr="00F46AA3">
        <w:rPr>
          <w:rFonts w:ascii="Times New Roman" w:hAnsi="Times New Roman" w:cs="Times New Roman"/>
          <w:bCs/>
        </w:rPr>
        <w:t xml:space="preserve">, I.E. &amp; </w:t>
      </w:r>
      <w:proofErr w:type="spellStart"/>
      <w:r w:rsidRPr="00F46AA3">
        <w:rPr>
          <w:rFonts w:ascii="Times New Roman" w:hAnsi="Times New Roman" w:cs="Times New Roman"/>
          <w:bCs/>
        </w:rPr>
        <w:t>Nzenwa</w:t>
      </w:r>
      <w:proofErr w:type="spellEnd"/>
      <w:r w:rsidRPr="00F46AA3">
        <w:rPr>
          <w:rFonts w:ascii="Times New Roman" w:hAnsi="Times New Roman" w:cs="Times New Roman"/>
          <w:bCs/>
        </w:rPr>
        <w:t xml:space="preserve">, P.O (2024). A preliminary study on the effects of E-Safe Treatment of Crude Oil Impacted Soil on microbial load, seed germination and Morphological Indices in Cowpea Seedlings. Global Scientific and Academic Research Journal of Multidisciplinary Studies, 2(12), 165-169. </w:t>
      </w:r>
    </w:p>
    <w:p w14:paraId="6BE87762" w14:textId="5A29896C" w:rsidR="00F46AA3" w:rsidRPr="00F46AA3" w:rsidRDefault="00F46AA3" w:rsidP="00F46AA3">
      <w:pPr>
        <w:pStyle w:val="ListParagraph"/>
        <w:numPr>
          <w:ilvl w:val="0"/>
          <w:numId w:val="2"/>
        </w:numPr>
        <w:rPr>
          <w:rFonts w:ascii="Times New Roman" w:hAnsi="Times New Roman" w:cs="Times New Roman"/>
          <w:bCs/>
        </w:rPr>
      </w:pP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J.N., Nwachukwu, C. U., Nwachukwu, M.O., Ugochukwu, M.G., Dike, K.S., </w:t>
      </w:r>
      <w:proofErr w:type="spellStart"/>
      <w:r w:rsidRPr="00F46AA3">
        <w:rPr>
          <w:rFonts w:ascii="Times New Roman" w:hAnsi="Times New Roman" w:cs="Times New Roman"/>
          <w:bCs/>
        </w:rPr>
        <w:t>Nzenwa</w:t>
      </w:r>
      <w:proofErr w:type="spellEnd"/>
      <w:r w:rsidRPr="00F46AA3">
        <w:rPr>
          <w:rFonts w:ascii="Times New Roman" w:hAnsi="Times New Roman" w:cs="Times New Roman"/>
          <w:bCs/>
        </w:rPr>
        <w:t xml:space="preserve">, P. O., &amp; Igbokwe, M.C. (2024). Assessment of Phytoextraction Potentials of Three Indigenous Plant Species in Soil Contaminated with Spent Engine Oil. Faculty of Natural and Applied Sciences Journal of Scientific Innovations 5 (3), 56-62. </w:t>
      </w:r>
    </w:p>
    <w:p w14:paraId="7AC6F0DB" w14:textId="77777777" w:rsidR="00654D34" w:rsidRPr="00F46AA3" w:rsidRDefault="00654D34" w:rsidP="00F46AA3">
      <w:pPr>
        <w:pStyle w:val="ListParagraph"/>
        <w:numPr>
          <w:ilvl w:val="0"/>
          <w:numId w:val="2"/>
        </w:numPr>
        <w:jc w:val="both"/>
        <w:rPr>
          <w:rFonts w:ascii="Times New Roman" w:hAnsi="Times New Roman" w:cs="Times New Roman"/>
          <w:bCs/>
        </w:rPr>
      </w:pPr>
      <w:proofErr w:type="spellStart"/>
      <w:r w:rsidRPr="00F46AA3">
        <w:rPr>
          <w:rFonts w:ascii="Times New Roman" w:hAnsi="Times New Roman" w:cs="Times New Roman"/>
          <w:bCs/>
        </w:rPr>
        <w:lastRenderedPageBreak/>
        <w:t>Guittonny</w:t>
      </w:r>
      <w:proofErr w:type="spellEnd"/>
      <w:r w:rsidRPr="00F46AA3">
        <w:rPr>
          <w:rFonts w:ascii="Times New Roman" w:hAnsi="Times New Roman" w:cs="Times New Roman"/>
          <w:bCs/>
        </w:rPr>
        <w:t xml:space="preserve">-Philippe, A., Petit, M. E., </w:t>
      </w:r>
      <w:proofErr w:type="spellStart"/>
      <w:proofErr w:type="gramStart"/>
      <w:r w:rsidRPr="00F46AA3">
        <w:rPr>
          <w:rFonts w:ascii="Times New Roman" w:hAnsi="Times New Roman" w:cs="Times New Roman"/>
          <w:bCs/>
        </w:rPr>
        <w:t>Masotti,V</w:t>
      </w:r>
      <w:proofErr w:type="spellEnd"/>
      <w:r w:rsidRPr="00F46AA3">
        <w:rPr>
          <w:rFonts w:ascii="Times New Roman" w:hAnsi="Times New Roman" w:cs="Times New Roman"/>
          <w:bCs/>
        </w:rPr>
        <w:t>.</w:t>
      </w:r>
      <w:proofErr w:type="gramEnd"/>
      <w:r w:rsidRPr="00F46AA3">
        <w:rPr>
          <w:rFonts w:ascii="Times New Roman" w:hAnsi="Times New Roman" w:cs="Times New Roman"/>
          <w:bCs/>
        </w:rPr>
        <w:t xml:space="preserve">, </w:t>
      </w:r>
      <w:proofErr w:type="spellStart"/>
      <w:r w:rsidRPr="00F46AA3">
        <w:rPr>
          <w:rFonts w:ascii="Times New Roman" w:hAnsi="Times New Roman" w:cs="Times New Roman"/>
          <w:bCs/>
        </w:rPr>
        <w:t>Monnier,Y</w:t>
      </w:r>
      <w:proofErr w:type="spellEnd"/>
      <w:r w:rsidRPr="00F46AA3">
        <w:rPr>
          <w:rFonts w:ascii="Times New Roman" w:hAnsi="Times New Roman" w:cs="Times New Roman"/>
          <w:bCs/>
        </w:rPr>
        <w:t xml:space="preserve">., </w:t>
      </w:r>
      <w:proofErr w:type="spellStart"/>
      <w:r w:rsidRPr="00F46AA3">
        <w:rPr>
          <w:rFonts w:ascii="Times New Roman" w:hAnsi="Times New Roman" w:cs="Times New Roman"/>
          <w:bCs/>
        </w:rPr>
        <w:t>Malleret</w:t>
      </w:r>
      <w:proofErr w:type="spellEnd"/>
      <w:r w:rsidRPr="00F46AA3">
        <w:rPr>
          <w:rFonts w:ascii="Times New Roman" w:hAnsi="Times New Roman" w:cs="Times New Roman"/>
          <w:bCs/>
        </w:rPr>
        <w:t xml:space="preserve">, L., Coulomb, B., </w:t>
      </w:r>
      <w:proofErr w:type="spellStart"/>
      <w:r w:rsidRPr="00F46AA3">
        <w:rPr>
          <w:rFonts w:ascii="Times New Roman" w:hAnsi="Times New Roman" w:cs="Times New Roman"/>
          <w:bCs/>
        </w:rPr>
        <w:t>Laont</w:t>
      </w:r>
      <w:proofErr w:type="spellEnd"/>
      <w:r w:rsidRPr="00F46AA3">
        <w:rPr>
          <w:rFonts w:ascii="Times New Roman" w:hAnsi="Times New Roman" w:cs="Times New Roman"/>
          <w:bCs/>
        </w:rPr>
        <w:t>-Schwob, I. (2015). Selection of wild macrophytes for use in constructed wetlands for phytoremediation of contaminant mixtures</w:t>
      </w:r>
      <w:r w:rsidRPr="00F46AA3">
        <w:rPr>
          <w:rFonts w:ascii="Times New Roman" w:hAnsi="Times New Roman" w:cs="Times New Roman"/>
          <w:bCs/>
          <w:i/>
          <w:iCs/>
        </w:rPr>
        <w:t>. J. Environ. Manag</w:t>
      </w:r>
      <w:r w:rsidRPr="00F46AA3">
        <w:rPr>
          <w:rFonts w:ascii="Times New Roman" w:hAnsi="Times New Roman" w:cs="Times New Roman"/>
          <w:bCs/>
        </w:rPr>
        <w:t xml:space="preserve"> 147, 108–123.</w:t>
      </w:r>
    </w:p>
    <w:p w14:paraId="3D1305F5" w14:textId="77777777" w:rsidR="00654D34" w:rsidRPr="00F46AA3" w:rsidRDefault="00654D34" w:rsidP="00F46AA3">
      <w:pPr>
        <w:pStyle w:val="ListParagraph"/>
        <w:numPr>
          <w:ilvl w:val="0"/>
          <w:numId w:val="2"/>
        </w:numPr>
        <w:jc w:val="both"/>
        <w:rPr>
          <w:rFonts w:ascii="Times New Roman" w:hAnsi="Times New Roman" w:cs="Times New Roman"/>
          <w:bCs/>
        </w:rPr>
      </w:pPr>
      <w:proofErr w:type="spellStart"/>
      <w:r w:rsidRPr="00F46AA3">
        <w:rPr>
          <w:rFonts w:ascii="Times New Roman" w:hAnsi="Times New Roman" w:cs="Times New Roman"/>
          <w:bCs/>
        </w:rPr>
        <w:t>Igwe</w:t>
      </w:r>
      <w:proofErr w:type="spellEnd"/>
      <w:r w:rsidRPr="00F46AA3">
        <w:rPr>
          <w:rFonts w:ascii="Times New Roman" w:hAnsi="Times New Roman" w:cs="Times New Roman"/>
          <w:bCs/>
        </w:rPr>
        <w:t>, C.E.</w:t>
      </w:r>
      <w:proofErr w:type="gramStart"/>
      <w:r w:rsidRPr="00F46AA3">
        <w:rPr>
          <w:rFonts w:ascii="Times New Roman" w:hAnsi="Times New Roman" w:cs="Times New Roman"/>
          <w:bCs/>
        </w:rPr>
        <w:t xml:space="preserve">,  </w:t>
      </w:r>
      <w:proofErr w:type="spellStart"/>
      <w:r w:rsidRPr="00F46AA3">
        <w:rPr>
          <w:rFonts w:ascii="Times New Roman" w:hAnsi="Times New Roman" w:cs="Times New Roman"/>
          <w:bCs/>
        </w:rPr>
        <w:t>Nzegbule</w:t>
      </w:r>
      <w:proofErr w:type="spellEnd"/>
      <w:proofErr w:type="gramEnd"/>
      <w:r w:rsidRPr="00F46AA3">
        <w:rPr>
          <w:rFonts w:ascii="Times New Roman" w:hAnsi="Times New Roman" w:cs="Times New Roman"/>
          <w:bCs/>
        </w:rPr>
        <w:t xml:space="preserve">, E.C., J. N. </w:t>
      </w: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xml:space="preserve">, &amp; T. A. Okafor. (2016). Assessment of Heavy Metal Levels in the Soils of </w:t>
      </w:r>
      <w:proofErr w:type="spellStart"/>
      <w:r w:rsidRPr="00F46AA3">
        <w:rPr>
          <w:rFonts w:ascii="Times New Roman" w:hAnsi="Times New Roman" w:cs="Times New Roman"/>
          <w:bCs/>
        </w:rPr>
        <w:t>Ohyia</w:t>
      </w:r>
      <w:proofErr w:type="spellEnd"/>
      <w:r w:rsidRPr="00F46AA3">
        <w:rPr>
          <w:rFonts w:ascii="Times New Roman" w:hAnsi="Times New Roman" w:cs="Times New Roman"/>
          <w:bCs/>
        </w:rPr>
        <w:t xml:space="preserve"> Kaolin Mining Site and Screening of Three Local Herbaceous Species for Use in Phytoremediation. The </w:t>
      </w:r>
      <w:r w:rsidRPr="00F46AA3">
        <w:rPr>
          <w:rFonts w:ascii="Times New Roman" w:hAnsi="Times New Roman" w:cs="Times New Roman"/>
          <w:bCs/>
          <w:i/>
        </w:rPr>
        <w:t xml:space="preserve">International Journal </w:t>
      </w:r>
      <w:proofErr w:type="gramStart"/>
      <w:r w:rsidRPr="00F46AA3">
        <w:rPr>
          <w:rFonts w:ascii="Times New Roman" w:hAnsi="Times New Roman" w:cs="Times New Roman"/>
          <w:bCs/>
          <w:i/>
        </w:rPr>
        <w:t>Of</w:t>
      </w:r>
      <w:proofErr w:type="gramEnd"/>
      <w:r w:rsidRPr="00F46AA3">
        <w:rPr>
          <w:rFonts w:ascii="Times New Roman" w:hAnsi="Times New Roman" w:cs="Times New Roman"/>
          <w:bCs/>
          <w:i/>
        </w:rPr>
        <w:t xml:space="preserve"> Science &amp; </w:t>
      </w:r>
      <w:proofErr w:type="spellStart"/>
      <w:r w:rsidRPr="00F46AA3">
        <w:rPr>
          <w:rFonts w:ascii="Times New Roman" w:hAnsi="Times New Roman" w:cs="Times New Roman"/>
          <w:bCs/>
          <w:i/>
        </w:rPr>
        <w:t>Technoledge</w:t>
      </w:r>
      <w:proofErr w:type="spellEnd"/>
      <w:r w:rsidRPr="00F46AA3">
        <w:rPr>
          <w:rFonts w:ascii="Times New Roman" w:hAnsi="Times New Roman" w:cs="Times New Roman"/>
          <w:bCs/>
          <w:i/>
        </w:rPr>
        <w:t xml:space="preserve">, </w:t>
      </w:r>
      <w:r w:rsidRPr="00F46AA3">
        <w:rPr>
          <w:rFonts w:ascii="Times New Roman" w:hAnsi="Times New Roman" w:cs="Times New Roman"/>
          <w:bCs/>
        </w:rPr>
        <w:t>4(9), 88-96.</w:t>
      </w:r>
    </w:p>
    <w:p w14:paraId="1DD86059" w14:textId="77777777" w:rsidR="00654D34" w:rsidRPr="00F46AA3"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bCs/>
        </w:rPr>
        <w:t xml:space="preserve">Joseph, E.E., </w:t>
      </w:r>
      <w:proofErr w:type="spellStart"/>
      <w:r w:rsidRPr="00F46AA3">
        <w:rPr>
          <w:rFonts w:ascii="Times New Roman" w:hAnsi="Times New Roman" w:cs="Times New Roman"/>
          <w:bCs/>
        </w:rPr>
        <w:t>Azorji</w:t>
      </w:r>
      <w:proofErr w:type="spellEnd"/>
      <w:r w:rsidRPr="00F46AA3">
        <w:rPr>
          <w:rFonts w:ascii="Times New Roman" w:hAnsi="Times New Roman" w:cs="Times New Roman"/>
          <w:bCs/>
        </w:rPr>
        <w:t>, J.N., Iheanacho</w:t>
      </w:r>
      <w:r w:rsidRPr="00F46AA3">
        <w:rPr>
          <w:rFonts w:ascii="Times New Roman" w:hAnsi="Times New Roman" w:cs="Times New Roman"/>
        </w:rPr>
        <w:t xml:space="preserve">, J. C. Nwachukwu, C.U., </w:t>
      </w:r>
      <w:proofErr w:type="spellStart"/>
      <w:r w:rsidRPr="00F46AA3">
        <w:rPr>
          <w:rFonts w:ascii="Times New Roman" w:hAnsi="Times New Roman" w:cs="Times New Roman"/>
        </w:rPr>
        <w:t>Iheagwam</w:t>
      </w:r>
      <w:proofErr w:type="spellEnd"/>
      <w:r w:rsidRPr="00F46AA3">
        <w:rPr>
          <w:rFonts w:ascii="Times New Roman" w:hAnsi="Times New Roman" w:cs="Times New Roman"/>
        </w:rPr>
        <w:t xml:space="preserve">, K.S. &amp; </w:t>
      </w:r>
      <w:proofErr w:type="spellStart"/>
      <w:r w:rsidRPr="00F46AA3">
        <w:rPr>
          <w:rFonts w:ascii="Times New Roman" w:hAnsi="Times New Roman" w:cs="Times New Roman"/>
        </w:rPr>
        <w:t>Okoli</w:t>
      </w:r>
      <w:proofErr w:type="spellEnd"/>
      <w:r w:rsidRPr="00F46AA3">
        <w:rPr>
          <w:rFonts w:ascii="Times New Roman" w:hAnsi="Times New Roman" w:cs="Times New Roman"/>
        </w:rPr>
        <w:t xml:space="preserve">, C.J. (2022). Adsorption of Petroleum Hydrocarbons from Crude Oil Polluted Soil Using </w:t>
      </w:r>
      <w:proofErr w:type="spellStart"/>
      <w:r w:rsidRPr="00F46AA3">
        <w:rPr>
          <w:rFonts w:ascii="Times New Roman" w:hAnsi="Times New Roman" w:cs="Times New Roman"/>
        </w:rPr>
        <w:t>Agro</w:t>
      </w:r>
      <w:proofErr w:type="spellEnd"/>
      <w:r w:rsidRPr="00F46AA3">
        <w:rPr>
          <w:rFonts w:ascii="Times New Roman" w:hAnsi="Times New Roman" w:cs="Times New Roman"/>
        </w:rPr>
        <w:t xml:space="preserve">-waste. </w:t>
      </w:r>
      <w:r w:rsidRPr="00F46AA3">
        <w:rPr>
          <w:rFonts w:ascii="Times New Roman" w:hAnsi="Times New Roman" w:cs="Times New Roman"/>
          <w:i/>
        </w:rPr>
        <w:t>J. Environ. Treat. Tech</w:t>
      </w:r>
      <w:r w:rsidRPr="00F46AA3">
        <w:rPr>
          <w:rFonts w:ascii="Times New Roman" w:hAnsi="Times New Roman" w:cs="Times New Roman"/>
        </w:rPr>
        <w:t>., 10 (4), 284-289.</w:t>
      </w:r>
    </w:p>
    <w:p w14:paraId="10F4EFBB" w14:textId="77777777" w:rsidR="00654D34" w:rsidRPr="00F46AA3"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rPr>
        <w:t>Kriticos, D. J., Brunel, S. (2016). Assessing and managing the current and future pest risk from water hyacinth, (</w:t>
      </w:r>
      <w:r w:rsidRPr="00F46AA3">
        <w:rPr>
          <w:rFonts w:ascii="Times New Roman" w:hAnsi="Times New Roman" w:cs="Times New Roman"/>
          <w:i/>
        </w:rPr>
        <w:t>Eichhornia crassipes</w:t>
      </w:r>
      <w:r w:rsidRPr="00F46AA3">
        <w:rPr>
          <w:rFonts w:ascii="Times New Roman" w:hAnsi="Times New Roman" w:cs="Times New Roman"/>
        </w:rPr>
        <w:t xml:space="preserve">), an invasive aquatic plant threatening the environment and </w:t>
      </w:r>
      <w:proofErr w:type="spellStart"/>
      <w:r w:rsidRPr="00F46AA3">
        <w:rPr>
          <w:rFonts w:ascii="Times New Roman" w:hAnsi="Times New Roman" w:cs="Times New Roman"/>
        </w:rPr>
        <w:t>watersecurity</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i/>
        </w:rPr>
        <w:t>PLoS</w:t>
      </w:r>
      <w:proofErr w:type="spellEnd"/>
      <w:r w:rsidRPr="00F46AA3">
        <w:rPr>
          <w:rFonts w:ascii="Times New Roman" w:hAnsi="Times New Roman" w:cs="Times New Roman"/>
          <w:i/>
        </w:rPr>
        <w:t xml:space="preserve"> One </w:t>
      </w:r>
      <w:r w:rsidRPr="00F46AA3">
        <w:rPr>
          <w:rFonts w:ascii="Times New Roman" w:hAnsi="Times New Roman" w:cs="Times New Roman"/>
          <w:b/>
        </w:rPr>
        <w:t>11</w:t>
      </w:r>
      <w:r w:rsidRPr="00F46AA3">
        <w:rPr>
          <w:rFonts w:ascii="Times New Roman" w:hAnsi="Times New Roman" w:cs="Times New Roman"/>
        </w:rPr>
        <w:t>(8), e0120054/1–e0120054/18</w:t>
      </w:r>
    </w:p>
    <w:p w14:paraId="1F9D91A8" w14:textId="77777777" w:rsidR="00654D34" w:rsidRPr="00F46AA3"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rPr>
        <w:t xml:space="preserve">Pereira, F. J., Castro, E.M., Oliveira, C., Pires, M.F., Pasqual, M. (2011). Anatomical and physiological mechanisms of water hyacinth plants to arsenic contamination tolerance. </w:t>
      </w:r>
      <w:r w:rsidRPr="00F46AA3">
        <w:rPr>
          <w:rFonts w:ascii="Times New Roman" w:hAnsi="Times New Roman" w:cs="Times New Roman"/>
          <w:i/>
          <w:iCs/>
        </w:rPr>
        <w:t xml:space="preserve">Planta </w:t>
      </w:r>
      <w:proofErr w:type="spellStart"/>
      <w:r w:rsidRPr="00F46AA3">
        <w:rPr>
          <w:rFonts w:ascii="Times New Roman" w:hAnsi="Times New Roman" w:cs="Times New Roman"/>
          <w:i/>
          <w:iCs/>
        </w:rPr>
        <w:t>Daninha</w:t>
      </w:r>
      <w:proofErr w:type="spellEnd"/>
      <w:r w:rsidRPr="00F46AA3">
        <w:rPr>
          <w:rFonts w:ascii="Times New Roman" w:hAnsi="Times New Roman" w:cs="Times New Roman"/>
        </w:rPr>
        <w:t xml:space="preserve"> 29, 259-267.</w:t>
      </w:r>
    </w:p>
    <w:p w14:paraId="7AE9A0C3" w14:textId="77777777" w:rsidR="00654D34" w:rsidRPr="00F46AA3"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rPr>
        <w:t xml:space="preserve">Pereira, M.P., Rodrigues, L.C.A., Correa, F.F., Castro, E.M., Ribeiro, V.E., Pereira, F.J., (2016): Cadmium tolerance in </w:t>
      </w:r>
      <w:proofErr w:type="spellStart"/>
      <w:r w:rsidRPr="00F46AA3">
        <w:rPr>
          <w:rFonts w:ascii="Times New Roman" w:hAnsi="Times New Roman" w:cs="Times New Roman"/>
          <w:i/>
        </w:rPr>
        <w:t>Schinus</w:t>
      </w:r>
      <w:proofErr w:type="spellEnd"/>
      <w:r w:rsidRPr="00F46AA3">
        <w:rPr>
          <w:rFonts w:ascii="Times New Roman" w:hAnsi="Times New Roman" w:cs="Times New Roman"/>
          <w:i/>
        </w:rPr>
        <w:t xml:space="preserve"> </w:t>
      </w:r>
      <w:proofErr w:type="spellStart"/>
      <w:r w:rsidRPr="00F46AA3">
        <w:rPr>
          <w:rFonts w:ascii="Times New Roman" w:hAnsi="Times New Roman" w:cs="Times New Roman"/>
          <w:i/>
        </w:rPr>
        <w:t>molle</w:t>
      </w:r>
      <w:proofErr w:type="spellEnd"/>
      <w:r w:rsidRPr="00F46AA3">
        <w:rPr>
          <w:rFonts w:ascii="Times New Roman" w:hAnsi="Times New Roman" w:cs="Times New Roman"/>
          <w:i/>
        </w:rPr>
        <w:t xml:space="preserve"> </w:t>
      </w:r>
      <w:r w:rsidRPr="00F46AA3">
        <w:rPr>
          <w:rFonts w:ascii="Times New Roman" w:hAnsi="Times New Roman" w:cs="Times New Roman"/>
        </w:rPr>
        <w:t xml:space="preserve">trees is modulated by enhanced leaf anatomy and photosynthesis. </w:t>
      </w:r>
      <w:r w:rsidRPr="00F46AA3">
        <w:rPr>
          <w:rFonts w:ascii="Times New Roman" w:hAnsi="Times New Roman" w:cs="Times New Roman"/>
          <w:i/>
          <w:iCs/>
        </w:rPr>
        <w:t>Trees</w:t>
      </w:r>
      <w:r w:rsidRPr="00F46AA3">
        <w:rPr>
          <w:rFonts w:ascii="Times New Roman" w:hAnsi="Times New Roman" w:cs="Times New Roman"/>
        </w:rPr>
        <w:t xml:space="preserve"> 30, 807-814</w:t>
      </w:r>
    </w:p>
    <w:p w14:paraId="6FC944A9" w14:textId="77777777" w:rsidR="00654D34" w:rsidRPr="00F46AA3" w:rsidRDefault="00654D34" w:rsidP="00F46AA3">
      <w:pPr>
        <w:pStyle w:val="ListParagraph"/>
        <w:numPr>
          <w:ilvl w:val="0"/>
          <w:numId w:val="2"/>
        </w:numPr>
        <w:jc w:val="both"/>
        <w:rPr>
          <w:rFonts w:ascii="Times New Roman" w:hAnsi="Times New Roman" w:cs="Times New Roman"/>
        </w:rPr>
      </w:pPr>
      <w:r w:rsidRPr="00F46AA3">
        <w:rPr>
          <w:rFonts w:ascii="Times New Roman" w:hAnsi="Times New Roman" w:cs="Times New Roman"/>
        </w:rPr>
        <w:t xml:space="preserve">Ribeiro, E.S., Pereira, M.P., Castro, E.M., Baroni, G.R., Correa, F.F., Pereira, F.J. (2015). </w:t>
      </w:r>
      <w:proofErr w:type="spellStart"/>
      <w:r w:rsidRPr="00F46AA3">
        <w:rPr>
          <w:rFonts w:ascii="Times New Roman" w:hAnsi="Times New Roman" w:cs="Times New Roman"/>
        </w:rPr>
        <w:t>Relações</w:t>
      </w:r>
      <w:proofErr w:type="spellEnd"/>
      <w:r w:rsidRPr="00F46AA3">
        <w:rPr>
          <w:rFonts w:ascii="Times New Roman" w:hAnsi="Times New Roman" w:cs="Times New Roman"/>
        </w:rPr>
        <w:t xml:space="preserve"> da </w:t>
      </w:r>
      <w:proofErr w:type="spellStart"/>
      <w:r w:rsidRPr="00F46AA3">
        <w:rPr>
          <w:rFonts w:ascii="Times New Roman" w:hAnsi="Times New Roman" w:cs="Times New Roman"/>
        </w:rPr>
        <w:t>anatomia</w:t>
      </w:r>
      <w:proofErr w:type="spellEnd"/>
      <w:r w:rsidRPr="00F46AA3">
        <w:rPr>
          <w:rFonts w:ascii="Times New Roman" w:hAnsi="Times New Roman" w:cs="Times New Roman"/>
        </w:rPr>
        <w:t xml:space="preserve"> radicular </w:t>
      </w:r>
      <w:proofErr w:type="spellStart"/>
      <w:r w:rsidRPr="00F46AA3">
        <w:rPr>
          <w:rFonts w:ascii="Times New Roman" w:hAnsi="Times New Roman" w:cs="Times New Roman"/>
        </w:rPr>
        <w:t>na</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absorção</w:t>
      </w:r>
      <w:proofErr w:type="spellEnd"/>
      <w:r w:rsidRPr="00F46AA3">
        <w:rPr>
          <w:rFonts w:ascii="Times New Roman" w:hAnsi="Times New Roman" w:cs="Times New Roman"/>
        </w:rPr>
        <w:t xml:space="preserve">, no </w:t>
      </w:r>
      <w:proofErr w:type="spellStart"/>
      <w:r w:rsidRPr="00F46AA3">
        <w:rPr>
          <w:rFonts w:ascii="Times New Roman" w:hAnsi="Times New Roman" w:cs="Times New Roman"/>
        </w:rPr>
        <w:t>acúmulo</w:t>
      </w:r>
      <w:proofErr w:type="spellEnd"/>
      <w:r w:rsidRPr="00F46AA3">
        <w:rPr>
          <w:rFonts w:ascii="Times New Roman" w:hAnsi="Times New Roman" w:cs="Times New Roman"/>
        </w:rPr>
        <w:t xml:space="preserve"> e </w:t>
      </w:r>
      <w:proofErr w:type="spellStart"/>
      <w:r w:rsidRPr="00F46AA3">
        <w:rPr>
          <w:rFonts w:ascii="Times New Roman" w:hAnsi="Times New Roman" w:cs="Times New Roman"/>
        </w:rPr>
        <w:t>na</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tolerância</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ao</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chumbo</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em</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Echinodorus</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grandi</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orus</w:t>
      </w:r>
      <w:proofErr w:type="spellEnd"/>
      <w:r w:rsidRPr="00F46AA3">
        <w:rPr>
          <w:rFonts w:ascii="Times New Roman" w:hAnsi="Times New Roman" w:cs="Times New Roman"/>
        </w:rPr>
        <w:t xml:space="preserve">. </w:t>
      </w:r>
      <w:r w:rsidRPr="00F46AA3">
        <w:rPr>
          <w:rFonts w:ascii="Times New Roman" w:hAnsi="Times New Roman" w:cs="Times New Roman"/>
          <w:i/>
          <w:iCs/>
        </w:rPr>
        <w:t xml:space="preserve">Rev. Bras. Eng. </w:t>
      </w:r>
      <w:proofErr w:type="spellStart"/>
      <w:r w:rsidRPr="00F46AA3">
        <w:rPr>
          <w:rFonts w:ascii="Times New Roman" w:hAnsi="Times New Roman" w:cs="Times New Roman"/>
          <w:i/>
          <w:iCs/>
        </w:rPr>
        <w:t>Agríc</w:t>
      </w:r>
      <w:proofErr w:type="spellEnd"/>
      <w:r w:rsidRPr="00F46AA3">
        <w:rPr>
          <w:rFonts w:ascii="Times New Roman" w:hAnsi="Times New Roman" w:cs="Times New Roman"/>
          <w:i/>
          <w:iCs/>
        </w:rPr>
        <w:t>. Amb</w:t>
      </w:r>
      <w:r w:rsidRPr="00F46AA3">
        <w:rPr>
          <w:rFonts w:ascii="Times New Roman" w:hAnsi="Times New Roman" w:cs="Times New Roman"/>
        </w:rPr>
        <w:t xml:space="preserve"> 19, 605-612</w:t>
      </w:r>
    </w:p>
    <w:p w14:paraId="175BEFEC" w14:textId="77777777" w:rsidR="00654D34" w:rsidRPr="00F46AA3" w:rsidRDefault="00654D34" w:rsidP="00F46AA3">
      <w:pPr>
        <w:pStyle w:val="ListParagraph"/>
        <w:numPr>
          <w:ilvl w:val="0"/>
          <w:numId w:val="2"/>
        </w:numPr>
        <w:jc w:val="both"/>
        <w:rPr>
          <w:rFonts w:ascii="Times New Roman" w:hAnsi="Times New Roman" w:cs="Times New Roman"/>
        </w:rPr>
      </w:pPr>
      <w:proofErr w:type="spellStart"/>
      <w:r w:rsidRPr="00F46AA3">
        <w:rPr>
          <w:rFonts w:ascii="Times New Roman" w:hAnsi="Times New Roman" w:cs="Times New Roman"/>
        </w:rPr>
        <w:t>Ubah</w:t>
      </w:r>
      <w:proofErr w:type="spellEnd"/>
      <w:r w:rsidRPr="00F46AA3">
        <w:rPr>
          <w:rFonts w:ascii="Times New Roman" w:hAnsi="Times New Roman" w:cs="Times New Roman"/>
        </w:rPr>
        <w:t xml:space="preserve">, V.C.S. Nwachukwu, M.O., </w:t>
      </w:r>
      <w:proofErr w:type="spellStart"/>
      <w:r w:rsidRPr="00F46AA3">
        <w:rPr>
          <w:rFonts w:ascii="Times New Roman" w:hAnsi="Times New Roman" w:cs="Times New Roman"/>
        </w:rPr>
        <w:t>Ubah</w:t>
      </w:r>
      <w:proofErr w:type="spellEnd"/>
      <w:r w:rsidRPr="00F46AA3">
        <w:rPr>
          <w:rFonts w:ascii="Times New Roman" w:hAnsi="Times New Roman" w:cs="Times New Roman"/>
        </w:rPr>
        <w:t xml:space="preserve">, </w:t>
      </w:r>
      <w:proofErr w:type="gramStart"/>
      <w:r w:rsidRPr="00F46AA3">
        <w:rPr>
          <w:rFonts w:ascii="Times New Roman" w:hAnsi="Times New Roman" w:cs="Times New Roman"/>
        </w:rPr>
        <w:t>C.E. ,</w:t>
      </w:r>
      <w:proofErr w:type="spellStart"/>
      <w:r w:rsidRPr="00F46AA3">
        <w:rPr>
          <w:rFonts w:ascii="Times New Roman" w:hAnsi="Times New Roman" w:cs="Times New Roman"/>
          <w:b/>
        </w:rPr>
        <w:t>Azorji</w:t>
      </w:r>
      <w:proofErr w:type="spellEnd"/>
      <w:proofErr w:type="gramEnd"/>
      <w:r w:rsidRPr="00F46AA3">
        <w:rPr>
          <w:rFonts w:ascii="Times New Roman" w:hAnsi="Times New Roman" w:cs="Times New Roman"/>
          <w:b/>
        </w:rPr>
        <w:t>, J.N</w:t>
      </w:r>
      <w:r w:rsidRPr="00F46AA3">
        <w:rPr>
          <w:rFonts w:ascii="Times New Roman" w:hAnsi="Times New Roman" w:cs="Times New Roman"/>
        </w:rPr>
        <w:t xml:space="preserve">. and </w:t>
      </w:r>
      <w:proofErr w:type="spellStart"/>
      <w:r w:rsidRPr="00F46AA3">
        <w:rPr>
          <w:rFonts w:ascii="Times New Roman" w:hAnsi="Times New Roman" w:cs="Times New Roman"/>
        </w:rPr>
        <w:t>Amoke</w:t>
      </w:r>
      <w:proofErr w:type="spellEnd"/>
      <w:r w:rsidRPr="00F46AA3">
        <w:rPr>
          <w:rFonts w:ascii="Times New Roman" w:hAnsi="Times New Roman" w:cs="Times New Roman"/>
        </w:rPr>
        <w:t xml:space="preserve">, O.C. (2025). Comparative Assessment of Ground and Surface Water Sources from </w:t>
      </w:r>
      <w:proofErr w:type="spellStart"/>
      <w:r w:rsidRPr="00F46AA3">
        <w:rPr>
          <w:rFonts w:ascii="Times New Roman" w:hAnsi="Times New Roman" w:cs="Times New Roman"/>
        </w:rPr>
        <w:t>Awo</w:t>
      </w:r>
      <w:proofErr w:type="spellEnd"/>
      <w:r w:rsidRPr="00F46AA3">
        <w:rPr>
          <w:rFonts w:ascii="Times New Roman" w:hAnsi="Times New Roman" w:cs="Times New Roman"/>
        </w:rPr>
        <w:t xml:space="preserve"> </w:t>
      </w:r>
      <w:proofErr w:type="spellStart"/>
      <w:r w:rsidRPr="00F46AA3">
        <w:rPr>
          <w:rFonts w:ascii="Times New Roman" w:hAnsi="Times New Roman" w:cs="Times New Roman"/>
        </w:rPr>
        <w:t>Mmama</w:t>
      </w:r>
      <w:proofErr w:type="spellEnd"/>
      <w:r w:rsidRPr="00F46AA3">
        <w:rPr>
          <w:rFonts w:ascii="Times New Roman" w:hAnsi="Times New Roman" w:cs="Times New Roman"/>
        </w:rPr>
        <w:t xml:space="preserve"> Community, Imo State, Nigeria. </w:t>
      </w:r>
      <w:r w:rsidRPr="00F46AA3">
        <w:rPr>
          <w:rFonts w:ascii="Times New Roman" w:hAnsi="Times New Roman" w:cs="Times New Roman"/>
          <w:i/>
        </w:rPr>
        <w:t xml:space="preserve">International Journal of Pathogen </w:t>
      </w:r>
      <w:proofErr w:type="gramStart"/>
      <w:r w:rsidRPr="00F46AA3">
        <w:rPr>
          <w:rFonts w:ascii="Times New Roman" w:hAnsi="Times New Roman" w:cs="Times New Roman"/>
          <w:i/>
        </w:rPr>
        <w:t xml:space="preserve">Research,  </w:t>
      </w:r>
      <w:r w:rsidRPr="00F46AA3">
        <w:rPr>
          <w:rFonts w:ascii="Times New Roman" w:hAnsi="Times New Roman" w:cs="Times New Roman"/>
        </w:rPr>
        <w:t>14</w:t>
      </w:r>
      <w:proofErr w:type="gramEnd"/>
      <w:r w:rsidRPr="00F46AA3">
        <w:rPr>
          <w:rFonts w:ascii="Times New Roman" w:hAnsi="Times New Roman" w:cs="Times New Roman"/>
        </w:rPr>
        <w:t xml:space="preserve"> (1), 1-7.</w:t>
      </w:r>
    </w:p>
    <w:p w14:paraId="3D0FF332" w14:textId="77777777" w:rsidR="00654D34" w:rsidRDefault="00654D34" w:rsidP="00654D34">
      <w:pPr>
        <w:ind w:left="720" w:hanging="720"/>
        <w:jc w:val="both"/>
        <w:rPr>
          <w:rFonts w:ascii="Times New Roman" w:hAnsi="Times New Roman" w:cs="Times New Roman"/>
        </w:rPr>
      </w:pPr>
    </w:p>
    <w:sectPr w:rsidR="00654D34" w:rsidSect="00FD5EF5">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FAF32" w14:textId="77777777" w:rsidR="00701FBA" w:rsidRDefault="00701FBA" w:rsidP="00BB74A3">
      <w:pPr>
        <w:spacing w:after="0" w:line="240" w:lineRule="auto"/>
      </w:pPr>
      <w:r>
        <w:separator/>
      </w:r>
    </w:p>
  </w:endnote>
  <w:endnote w:type="continuationSeparator" w:id="0">
    <w:p w14:paraId="0259E0DE" w14:textId="77777777" w:rsidR="00701FBA" w:rsidRDefault="00701FBA" w:rsidP="00BB7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EE852" w14:textId="77777777" w:rsidR="00BB74A3" w:rsidRDefault="00BB7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B650" w14:textId="77777777" w:rsidR="00BB74A3" w:rsidRDefault="00BB7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FBF7D" w14:textId="77777777" w:rsidR="00BB74A3" w:rsidRDefault="00BB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9DC18" w14:textId="77777777" w:rsidR="00701FBA" w:rsidRDefault="00701FBA" w:rsidP="00BB74A3">
      <w:pPr>
        <w:spacing w:after="0" w:line="240" w:lineRule="auto"/>
      </w:pPr>
      <w:r>
        <w:separator/>
      </w:r>
    </w:p>
  </w:footnote>
  <w:footnote w:type="continuationSeparator" w:id="0">
    <w:p w14:paraId="5ED3783E" w14:textId="77777777" w:rsidR="00701FBA" w:rsidRDefault="00701FBA" w:rsidP="00BB7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EAFC" w14:textId="39EE5E4D" w:rsidR="00BB74A3" w:rsidRDefault="00BB74A3">
    <w:pPr>
      <w:pStyle w:val="Header"/>
    </w:pPr>
    <w:r>
      <w:rPr>
        <w:noProof/>
      </w:rPr>
      <w:pict w14:anchorId="4D3D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5672" o:spid="_x0000_s2050" type="#_x0000_t136" style="position:absolute;margin-left:0;margin-top:0;width:581.75pt;height:109.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D649E" w14:textId="4BB28605" w:rsidR="00BB74A3" w:rsidRDefault="00BB74A3">
    <w:pPr>
      <w:pStyle w:val="Header"/>
    </w:pPr>
    <w:r>
      <w:rPr>
        <w:noProof/>
      </w:rPr>
      <w:pict w14:anchorId="7E317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5673" o:spid="_x0000_s2051" type="#_x0000_t136" style="position:absolute;margin-left:0;margin-top:0;width:581.75pt;height:109.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AA01" w14:textId="32319FD2" w:rsidR="00BB74A3" w:rsidRDefault="00BB74A3">
    <w:pPr>
      <w:pStyle w:val="Header"/>
    </w:pPr>
    <w:r>
      <w:rPr>
        <w:noProof/>
      </w:rPr>
      <w:pict w14:anchorId="7EDAF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85671" o:spid="_x0000_s2049" type="#_x0000_t136" style="position:absolute;margin-left:0;margin-top:0;width:581.75pt;height:109.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01A08"/>
    <w:multiLevelType w:val="hybridMultilevel"/>
    <w:tmpl w:val="D5C80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42BA0"/>
    <w:multiLevelType w:val="hybridMultilevel"/>
    <w:tmpl w:val="88E65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2A7"/>
    <w:rsid w:val="0003237B"/>
    <w:rsid w:val="00073CDE"/>
    <w:rsid w:val="00094102"/>
    <w:rsid w:val="000F56CA"/>
    <w:rsid w:val="00103B13"/>
    <w:rsid w:val="00104D52"/>
    <w:rsid w:val="0017416E"/>
    <w:rsid w:val="001A73CC"/>
    <w:rsid w:val="002F5B06"/>
    <w:rsid w:val="00395DF7"/>
    <w:rsid w:val="00543D0E"/>
    <w:rsid w:val="005D0C67"/>
    <w:rsid w:val="005F38E6"/>
    <w:rsid w:val="00607A6B"/>
    <w:rsid w:val="00654D34"/>
    <w:rsid w:val="00682E08"/>
    <w:rsid w:val="00695525"/>
    <w:rsid w:val="006E0A57"/>
    <w:rsid w:val="00701FBA"/>
    <w:rsid w:val="007075B1"/>
    <w:rsid w:val="00710A9D"/>
    <w:rsid w:val="00742186"/>
    <w:rsid w:val="007C2481"/>
    <w:rsid w:val="007D70A2"/>
    <w:rsid w:val="008131F6"/>
    <w:rsid w:val="008862A7"/>
    <w:rsid w:val="00891E21"/>
    <w:rsid w:val="00930BF2"/>
    <w:rsid w:val="00A07595"/>
    <w:rsid w:val="00A4167D"/>
    <w:rsid w:val="00A67EEA"/>
    <w:rsid w:val="00A762B9"/>
    <w:rsid w:val="00A8083A"/>
    <w:rsid w:val="00B62BE4"/>
    <w:rsid w:val="00B70DDD"/>
    <w:rsid w:val="00B7547E"/>
    <w:rsid w:val="00BB74A3"/>
    <w:rsid w:val="00C17B41"/>
    <w:rsid w:val="00C23702"/>
    <w:rsid w:val="00C435D1"/>
    <w:rsid w:val="00C74960"/>
    <w:rsid w:val="00C82ED9"/>
    <w:rsid w:val="00CB737B"/>
    <w:rsid w:val="00CD27D1"/>
    <w:rsid w:val="00D02AEF"/>
    <w:rsid w:val="00DD7D23"/>
    <w:rsid w:val="00E56C1F"/>
    <w:rsid w:val="00E73D56"/>
    <w:rsid w:val="00E87C30"/>
    <w:rsid w:val="00F46AA3"/>
    <w:rsid w:val="00F91AA9"/>
    <w:rsid w:val="00FD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372056"/>
  <w15:chartTrackingRefBased/>
  <w15:docId w15:val="{0DC8127F-8850-406D-8A40-8A9CAB61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46A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07595"/>
    <w:pPr>
      <w:spacing w:after="120"/>
    </w:pPr>
  </w:style>
  <w:style w:type="character" w:customStyle="1" w:styleId="BodyTextChar">
    <w:name w:val="Body Text Char"/>
    <w:basedOn w:val="DefaultParagraphFont"/>
    <w:link w:val="BodyText"/>
    <w:uiPriority w:val="99"/>
    <w:semiHidden/>
    <w:rsid w:val="00A07595"/>
  </w:style>
  <w:style w:type="paragraph" w:customStyle="1" w:styleId="TableParagraph">
    <w:name w:val="Table Paragraph"/>
    <w:basedOn w:val="Normal"/>
    <w:uiPriority w:val="1"/>
    <w:qFormat/>
    <w:rsid w:val="00A07595"/>
    <w:pPr>
      <w:widowControl w:val="0"/>
      <w:autoSpaceDE w:val="0"/>
      <w:autoSpaceDN w:val="0"/>
      <w:spacing w:after="0" w:line="240" w:lineRule="auto"/>
      <w:ind w:left="14"/>
      <w:jc w:val="center"/>
    </w:pPr>
    <w:rPr>
      <w:rFonts w:ascii="Times New Roman" w:eastAsia="Times New Roman" w:hAnsi="Times New Roman" w:cs="Times New Roman"/>
    </w:rPr>
  </w:style>
  <w:style w:type="table" w:styleId="TableGrid">
    <w:name w:val="Table Grid"/>
    <w:basedOn w:val="TableNormal"/>
    <w:uiPriority w:val="59"/>
    <w:rsid w:val="00FD5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5EF5"/>
    <w:pPr>
      <w:spacing w:after="200" w:line="276" w:lineRule="auto"/>
      <w:ind w:left="720"/>
      <w:contextualSpacing/>
    </w:pPr>
    <w:rPr>
      <w:rFonts w:eastAsiaTheme="minorEastAsia"/>
      <w:lang w:val="en-GB" w:eastAsia="en-GB"/>
    </w:rPr>
  </w:style>
  <w:style w:type="character" w:styleId="Hyperlink">
    <w:name w:val="Hyperlink"/>
    <w:basedOn w:val="DefaultParagraphFont"/>
    <w:uiPriority w:val="99"/>
    <w:unhideWhenUsed/>
    <w:rsid w:val="00C74960"/>
    <w:rPr>
      <w:color w:val="0563C1" w:themeColor="hyperlink"/>
      <w:u w:val="single"/>
    </w:rPr>
  </w:style>
  <w:style w:type="character" w:styleId="UnresolvedMention">
    <w:name w:val="Unresolved Mention"/>
    <w:basedOn w:val="DefaultParagraphFont"/>
    <w:uiPriority w:val="99"/>
    <w:semiHidden/>
    <w:unhideWhenUsed/>
    <w:rsid w:val="00C74960"/>
    <w:rPr>
      <w:color w:val="605E5C"/>
      <w:shd w:val="clear" w:color="auto" w:fill="E1DFDD"/>
    </w:rPr>
  </w:style>
  <w:style w:type="character" w:customStyle="1" w:styleId="Heading2Char">
    <w:name w:val="Heading 2 Char"/>
    <w:basedOn w:val="DefaultParagraphFont"/>
    <w:link w:val="Heading2"/>
    <w:uiPriority w:val="9"/>
    <w:semiHidden/>
    <w:rsid w:val="00F46AA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B7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4A3"/>
  </w:style>
  <w:style w:type="paragraph" w:styleId="Footer">
    <w:name w:val="footer"/>
    <w:basedOn w:val="Normal"/>
    <w:link w:val="FooterChar"/>
    <w:uiPriority w:val="99"/>
    <w:unhideWhenUsed/>
    <w:rsid w:val="00BB7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iencedirect.com/journal/journal-of-environmental-chemical-engineer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16</Pages>
  <Words>3944</Words>
  <Characters>22487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1180</cp:lastModifiedBy>
  <cp:revision>66</cp:revision>
  <dcterms:created xsi:type="dcterms:W3CDTF">2025-03-31T07:14:00Z</dcterms:created>
  <dcterms:modified xsi:type="dcterms:W3CDTF">2025-08-23T10:51:00Z</dcterms:modified>
</cp:coreProperties>
</file>