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2327D" w14:textId="77777777" w:rsidR="004C6CBE" w:rsidRPr="00B832D9" w:rsidRDefault="004C6CBE" w:rsidP="00B832D9">
      <w:pPr>
        <w:spacing w:line="360" w:lineRule="auto"/>
        <w:jc w:val="center"/>
        <w:rPr>
          <w:rFonts w:ascii="Times New Roman" w:hAnsi="Times New Roman" w:cs="Times New Roman"/>
          <w:b/>
          <w:bCs/>
          <w:color w:val="000000" w:themeColor="text1"/>
          <w:sz w:val="40"/>
          <w:szCs w:val="40"/>
        </w:rPr>
      </w:pPr>
      <w:r w:rsidRPr="00B832D9">
        <w:rPr>
          <w:rFonts w:ascii="Times New Roman" w:hAnsi="Times New Roman" w:cs="Times New Roman"/>
          <w:b/>
          <w:bCs/>
          <w:color w:val="000000" w:themeColor="text1"/>
          <w:sz w:val="40"/>
          <w:szCs w:val="40"/>
        </w:rPr>
        <w:t>Dark Data in Digital Health: A Predictive Framework for Identifying and Utilizing Underreported Clinical Signals</w:t>
      </w:r>
    </w:p>
    <w:p w14:paraId="70356A11" w14:textId="77777777" w:rsidR="0050607E" w:rsidRDefault="0050607E" w:rsidP="0050607E">
      <w:pPr>
        <w:pStyle w:val="NoSpacing"/>
        <w:rPr>
          <w:rFonts w:ascii="Tenorite" w:hAnsi="Tenorite" w:cs="Times New Roman"/>
          <w:sz w:val="24"/>
          <w:szCs w:val="24"/>
        </w:rPr>
      </w:pPr>
    </w:p>
    <w:p w14:paraId="5CC43C1B" w14:textId="77777777" w:rsidR="0050607E" w:rsidRDefault="0050607E" w:rsidP="0050607E">
      <w:pPr>
        <w:pStyle w:val="NoSpacing"/>
        <w:rPr>
          <w:rFonts w:ascii="Tenorite" w:hAnsi="Tenorite" w:cs="Times New Roman"/>
          <w:sz w:val="24"/>
          <w:szCs w:val="24"/>
        </w:rPr>
      </w:pPr>
    </w:p>
    <w:p w14:paraId="700E471A" w14:textId="77777777" w:rsidR="0050607E" w:rsidRPr="00A905E7" w:rsidRDefault="0050607E" w:rsidP="00A905E7">
      <w:pPr>
        <w:spacing w:line="360" w:lineRule="auto"/>
        <w:jc w:val="both"/>
        <w:rPr>
          <w:rFonts w:ascii="Times New Roman" w:hAnsi="Times New Roman" w:cs="Times New Roman"/>
          <w:b/>
          <w:bCs/>
          <w:color w:val="000000" w:themeColor="text1"/>
          <w:sz w:val="24"/>
          <w:szCs w:val="24"/>
        </w:rPr>
      </w:pPr>
    </w:p>
    <w:p w14:paraId="746657C4" w14:textId="77777777" w:rsidR="004C6CBE" w:rsidRPr="00264420" w:rsidRDefault="004C6CBE" w:rsidP="00A905E7">
      <w:pPr>
        <w:spacing w:line="360" w:lineRule="auto"/>
        <w:jc w:val="both"/>
        <w:rPr>
          <w:rFonts w:ascii="Times New Roman" w:hAnsi="Times New Roman" w:cs="Times New Roman"/>
          <w:b/>
          <w:bCs/>
          <w:sz w:val="24"/>
          <w:szCs w:val="24"/>
        </w:rPr>
      </w:pPr>
      <w:r w:rsidRPr="00264420">
        <w:rPr>
          <w:rFonts w:ascii="Times New Roman" w:hAnsi="Times New Roman" w:cs="Times New Roman"/>
          <w:b/>
          <w:bCs/>
          <w:sz w:val="24"/>
          <w:szCs w:val="24"/>
        </w:rPr>
        <w:t>Abstract</w:t>
      </w:r>
    </w:p>
    <w:p w14:paraId="1541E01C" w14:textId="77777777" w:rsidR="004C6CBE" w:rsidRPr="00264420" w:rsidRDefault="004C6CBE" w:rsidP="00A905E7">
      <w:pPr>
        <w:spacing w:line="360" w:lineRule="auto"/>
        <w:jc w:val="both"/>
        <w:rPr>
          <w:rFonts w:ascii="Times New Roman" w:hAnsi="Times New Roman" w:cs="Times New Roman"/>
          <w:i/>
          <w:iCs/>
          <w:sz w:val="24"/>
          <w:szCs w:val="24"/>
        </w:rPr>
      </w:pPr>
      <w:r w:rsidRPr="00264420">
        <w:rPr>
          <w:rFonts w:ascii="Times New Roman" w:hAnsi="Times New Roman" w:cs="Times New Roman"/>
          <w:i/>
          <w:iCs/>
          <w:sz w:val="24"/>
          <w:szCs w:val="24"/>
        </w:rPr>
        <w:t xml:space="preserve">This research developed a predictive framework to identify and utilize underreported clinical signals in dark data within digital health systems, addressing the paradox of data-rich yet insight-poor healthcare environments. The first section outlined the significance of dark data, comprising unanalyzed clinical records, and the potential of AI to uncover hidden patterns while navigating ethical challenges. The subsequent section reviewed homomorphic encryption and AI integration, identifying gaps in real-time telehealth data analysis. The methodological section detailed a CRISP-DM-based approach, employing machine learning on datasets like MIMIC-IV and </w:t>
      </w:r>
      <w:proofErr w:type="spellStart"/>
      <w:r w:rsidRPr="00264420">
        <w:rPr>
          <w:rFonts w:ascii="Times New Roman" w:hAnsi="Times New Roman" w:cs="Times New Roman"/>
          <w:i/>
          <w:iCs/>
          <w:sz w:val="24"/>
          <w:szCs w:val="24"/>
        </w:rPr>
        <w:t>PhysioNet</w:t>
      </w:r>
      <w:proofErr w:type="spellEnd"/>
      <w:r w:rsidRPr="00264420">
        <w:rPr>
          <w:rFonts w:ascii="Times New Roman" w:hAnsi="Times New Roman" w:cs="Times New Roman"/>
          <w:i/>
          <w:iCs/>
          <w:sz w:val="24"/>
          <w:szCs w:val="24"/>
        </w:rPr>
        <w:t>, with preprocessing techniques such as KNN imputation and DBSCAN outlier detection. The results section presented findings, with neural networks achieving 94% AUC-ROC, detecting 32 novel signals, and improving rare disease identification by 50%. Ethical anonymization preserved 97% data utility, though historical data reliance posed limitations. The concluding section affirmed that the framework enhances patient safety and precision medicine, recommending real-time streaming protocols and explainable AI for scalability. The study validates systematic dark data analysis, offering actionable insights for clinical workflows in resource-constrained settings, with future work focusing on dynamic data integration and standardized ethical protocols.</w:t>
      </w:r>
    </w:p>
    <w:p w14:paraId="1B3F46D9" w14:textId="5268822D" w:rsidR="004C6CBE" w:rsidRDefault="004C6CBE" w:rsidP="00A905E7">
      <w:pPr>
        <w:spacing w:line="360" w:lineRule="auto"/>
        <w:jc w:val="both"/>
        <w:rPr>
          <w:rFonts w:ascii="Times New Roman" w:hAnsi="Times New Roman" w:cs="Times New Roman"/>
          <w:i/>
          <w:iCs/>
          <w:sz w:val="24"/>
          <w:szCs w:val="24"/>
        </w:rPr>
      </w:pPr>
      <w:r w:rsidRPr="00264420">
        <w:rPr>
          <w:rFonts w:ascii="Times New Roman" w:hAnsi="Times New Roman" w:cs="Times New Roman"/>
          <w:b/>
          <w:bCs/>
          <w:i/>
          <w:iCs/>
          <w:sz w:val="24"/>
          <w:szCs w:val="24"/>
        </w:rPr>
        <w:t>Keywords:</w:t>
      </w:r>
      <w:r w:rsidRPr="00264420">
        <w:rPr>
          <w:rFonts w:ascii="Times New Roman" w:hAnsi="Times New Roman" w:cs="Times New Roman"/>
          <w:i/>
          <w:iCs/>
          <w:sz w:val="24"/>
          <w:szCs w:val="24"/>
        </w:rPr>
        <w:t xml:space="preserve"> Dark Data, Digital Health, Predictive Framework, Underreported Signals, Machine Learning.</w:t>
      </w:r>
    </w:p>
    <w:p w14:paraId="0E56CBBF" w14:textId="32D3183C" w:rsidR="004749B3" w:rsidRDefault="004749B3" w:rsidP="00A905E7">
      <w:pPr>
        <w:spacing w:line="360" w:lineRule="auto"/>
        <w:jc w:val="both"/>
        <w:rPr>
          <w:rFonts w:ascii="Times New Roman" w:hAnsi="Times New Roman" w:cs="Times New Roman"/>
          <w:i/>
          <w:iCs/>
          <w:sz w:val="24"/>
          <w:szCs w:val="24"/>
        </w:rPr>
      </w:pPr>
    </w:p>
    <w:p w14:paraId="675571F6" w14:textId="5401E519" w:rsidR="004749B3" w:rsidRDefault="004749B3" w:rsidP="00A905E7">
      <w:pPr>
        <w:spacing w:line="360" w:lineRule="auto"/>
        <w:jc w:val="both"/>
        <w:rPr>
          <w:rFonts w:ascii="Times New Roman" w:hAnsi="Times New Roman" w:cs="Times New Roman"/>
          <w:i/>
          <w:iCs/>
          <w:sz w:val="24"/>
          <w:szCs w:val="24"/>
        </w:rPr>
      </w:pPr>
    </w:p>
    <w:p w14:paraId="67BEDE26" w14:textId="77777777" w:rsidR="004749B3" w:rsidRPr="00A905E7" w:rsidRDefault="004749B3" w:rsidP="00A905E7">
      <w:pPr>
        <w:spacing w:line="360" w:lineRule="auto"/>
        <w:jc w:val="both"/>
        <w:rPr>
          <w:rFonts w:ascii="Times New Roman" w:hAnsi="Times New Roman" w:cs="Times New Roman"/>
          <w:i/>
          <w:iCs/>
          <w:sz w:val="24"/>
          <w:szCs w:val="24"/>
        </w:rPr>
      </w:pPr>
      <w:bookmarkStart w:id="0" w:name="_GoBack"/>
      <w:bookmarkEnd w:id="0"/>
    </w:p>
    <w:p w14:paraId="0C2905DD" w14:textId="77777777" w:rsidR="004C6CBE" w:rsidRPr="00A905E7" w:rsidRDefault="004C6CBE" w:rsidP="00A905E7">
      <w:pPr>
        <w:spacing w:line="360" w:lineRule="auto"/>
        <w:jc w:val="both"/>
        <w:rPr>
          <w:rFonts w:ascii="Times New Roman" w:hAnsi="Times New Roman" w:cs="Times New Roman"/>
          <w:b/>
          <w:bCs/>
          <w:color w:val="000000" w:themeColor="text1"/>
          <w:sz w:val="24"/>
          <w:szCs w:val="24"/>
        </w:rPr>
      </w:pPr>
      <w:r w:rsidRPr="00A905E7">
        <w:rPr>
          <w:rFonts w:ascii="Times New Roman" w:hAnsi="Times New Roman" w:cs="Times New Roman"/>
          <w:b/>
          <w:bCs/>
          <w:color w:val="000000" w:themeColor="text1"/>
          <w:sz w:val="24"/>
          <w:szCs w:val="24"/>
        </w:rPr>
        <w:t>1.</w:t>
      </w:r>
      <w:r w:rsidRPr="00A905E7">
        <w:rPr>
          <w:rFonts w:ascii="Times New Roman" w:hAnsi="Times New Roman" w:cs="Times New Roman"/>
          <w:b/>
          <w:bCs/>
          <w:color w:val="000000" w:themeColor="text1"/>
          <w:sz w:val="24"/>
          <w:szCs w:val="24"/>
        </w:rPr>
        <w:tab/>
        <w:t>Introduction</w:t>
      </w:r>
    </w:p>
    <w:p w14:paraId="1CD2A71C" w14:textId="750247D4" w:rsidR="004C6CBE" w:rsidRPr="00A905E7" w:rsidRDefault="004C6CBE" w:rsidP="00B429C0">
      <w:pPr>
        <w:tabs>
          <w:tab w:val="left" w:pos="270"/>
        </w:tabs>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Digital health technologies have profoundly reshaped healthcare delivery, producing immense volumes of clinical data from electronic health records (EHRs), medical imaging, laboratory systems, and patient monitoring devices (Kruse et al., 2016). This shift has amassed extensive healthcare information repositories, but much of this data lies dormant and unexplored, termed "dark data" in healthcare contexts (Hussain, 2020). Dark data encompasses collected and stored information not leveraged for analysis, decision-making, or deriving clinical insights, offering untapped potential to transform patient care and outcomes (</w:t>
      </w:r>
      <w:proofErr w:type="spellStart"/>
      <w:r w:rsidRPr="00A905E7">
        <w:rPr>
          <w:rFonts w:ascii="Times New Roman" w:hAnsi="Times New Roman" w:cs="Times New Roman"/>
          <w:color w:val="000000" w:themeColor="text1"/>
          <w:sz w:val="24"/>
          <w:szCs w:val="24"/>
        </w:rPr>
        <w:t>Roostaee</w:t>
      </w:r>
      <w:proofErr w:type="spellEnd"/>
      <w:r w:rsidRPr="00A905E7">
        <w:rPr>
          <w:rFonts w:ascii="Times New Roman" w:hAnsi="Times New Roman" w:cs="Times New Roman"/>
          <w:color w:val="000000" w:themeColor="text1"/>
          <w:sz w:val="24"/>
          <w:szCs w:val="24"/>
        </w:rPr>
        <w:t xml:space="preserve"> &amp; </w:t>
      </w:r>
      <w:proofErr w:type="spellStart"/>
      <w:r w:rsidRPr="00A905E7">
        <w:rPr>
          <w:rFonts w:ascii="Times New Roman" w:hAnsi="Times New Roman" w:cs="Times New Roman"/>
          <w:color w:val="000000" w:themeColor="text1"/>
          <w:sz w:val="24"/>
          <w:szCs w:val="24"/>
        </w:rPr>
        <w:t>Meidanshahi</w:t>
      </w:r>
      <w:proofErr w:type="spellEnd"/>
      <w:r w:rsidRPr="00A905E7">
        <w:rPr>
          <w:rFonts w:ascii="Times New Roman" w:hAnsi="Times New Roman" w:cs="Times New Roman"/>
          <w:color w:val="000000" w:themeColor="text1"/>
          <w:sz w:val="24"/>
          <w:szCs w:val="24"/>
        </w:rPr>
        <w:t>, 2023</w:t>
      </w:r>
      <w:r w:rsidR="00CB1647">
        <w:rPr>
          <w:rFonts w:ascii="Times New Roman" w:hAnsi="Times New Roman" w:cs="Times New Roman"/>
          <w:color w:val="000000" w:themeColor="text1"/>
          <w:sz w:val="24"/>
          <w:szCs w:val="24"/>
        </w:rPr>
        <w:t xml:space="preserve">; </w:t>
      </w:r>
      <w:r w:rsidR="00CB1647" w:rsidRPr="00600C4C">
        <w:rPr>
          <w:rFonts w:ascii="Times New Roman" w:hAnsi="Times New Roman" w:cs="Times New Roman"/>
          <w:sz w:val="24"/>
          <w:szCs w:val="24"/>
        </w:rPr>
        <w:t>Ajayi</w:t>
      </w:r>
      <w:r w:rsidR="00CB1647">
        <w:rPr>
          <w:rFonts w:ascii="Times New Roman" w:hAnsi="Times New Roman" w:cs="Times New Roman"/>
          <w:sz w:val="24"/>
          <w:szCs w:val="24"/>
        </w:rPr>
        <w:t xml:space="preserve"> et al., 2024</w:t>
      </w:r>
      <w:r w:rsidRPr="00A905E7">
        <w:rPr>
          <w:rFonts w:ascii="Times New Roman" w:hAnsi="Times New Roman" w:cs="Times New Roman"/>
          <w:color w:val="000000" w:themeColor="text1"/>
          <w:sz w:val="24"/>
          <w:szCs w:val="24"/>
        </w:rPr>
        <w:t>). The healthcare sector accounts for about one-third of global data volume, with EHRs alone holding millions of patient data points (</w:t>
      </w:r>
      <w:proofErr w:type="spellStart"/>
      <w:r w:rsidRPr="00A905E7">
        <w:rPr>
          <w:rFonts w:ascii="Times New Roman" w:hAnsi="Times New Roman" w:cs="Times New Roman"/>
          <w:color w:val="000000" w:themeColor="text1"/>
          <w:sz w:val="24"/>
          <w:szCs w:val="24"/>
        </w:rPr>
        <w:t>Raghupathi</w:t>
      </w:r>
      <w:proofErr w:type="spellEnd"/>
      <w:r w:rsidRPr="00A905E7">
        <w:rPr>
          <w:rFonts w:ascii="Times New Roman" w:hAnsi="Times New Roman" w:cs="Times New Roman"/>
          <w:color w:val="000000" w:themeColor="text1"/>
          <w:sz w:val="24"/>
          <w:szCs w:val="24"/>
        </w:rPr>
        <w:t xml:space="preserve"> &amp; </w:t>
      </w:r>
      <w:proofErr w:type="spellStart"/>
      <w:r w:rsidRPr="00A905E7">
        <w:rPr>
          <w:rFonts w:ascii="Times New Roman" w:hAnsi="Times New Roman" w:cs="Times New Roman"/>
          <w:color w:val="000000" w:themeColor="text1"/>
          <w:sz w:val="24"/>
          <w:szCs w:val="24"/>
        </w:rPr>
        <w:t>Raghupathi</w:t>
      </w:r>
      <w:proofErr w:type="spellEnd"/>
      <w:r w:rsidRPr="00A905E7">
        <w:rPr>
          <w:rFonts w:ascii="Times New Roman" w:hAnsi="Times New Roman" w:cs="Times New Roman"/>
          <w:color w:val="000000" w:themeColor="text1"/>
          <w:sz w:val="24"/>
          <w:szCs w:val="24"/>
        </w:rPr>
        <w:t>, 2014). Yet, organizations analyze merely 1-3% of available data, rendering roughly 65% as dark data, a gap that hinders intelligence on disease prevention, treatment refinement, and population health (Pool et al., 2022; Angst et al., 201</w:t>
      </w:r>
      <w:r w:rsidR="006E16BA">
        <w:rPr>
          <w:rFonts w:ascii="Times New Roman" w:hAnsi="Times New Roman" w:cs="Times New Roman"/>
          <w:color w:val="000000" w:themeColor="text1"/>
          <w:sz w:val="24"/>
          <w:szCs w:val="24"/>
        </w:rPr>
        <w:t>6</w:t>
      </w:r>
      <w:r w:rsidRPr="00A905E7">
        <w:rPr>
          <w:rFonts w:ascii="Times New Roman" w:hAnsi="Times New Roman" w:cs="Times New Roman"/>
          <w:color w:val="000000" w:themeColor="text1"/>
          <w:sz w:val="24"/>
          <w:szCs w:val="24"/>
        </w:rPr>
        <w:t xml:space="preserve">). Artificial intelligence (AI) and machine learning (ML) advancements now enable illumination of these repositories, extracting valuable insights through data mining, natural language processing, and predictive analytics, revealing patterns invisible to conventional methods (Chen et al., 2017; Liu &amp; </w:t>
      </w:r>
      <w:proofErr w:type="spellStart"/>
      <w:r w:rsidRPr="00A905E7">
        <w:rPr>
          <w:rFonts w:ascii="Times New Roman" w:hAnsi="Times New Roman" w:cs="Times New Roman"/>
          <w:color w:val="000000" w:themeColor="text1"/>
          <w:sz w:val="24"/>
          <w:szCs w:val="24"/>
        </w:rPr>
        <w:t>Hauskrecht</w:t>
      </w:r>
      <w:proofErr w:type="spellEnd"/>
      <w:r w:rsidRPr="00A905E7">
        <w:rPr>
          <w:rFonts w:ascii="Times New Roman" w:hAnsi="Times New Roman" w:cs="Times New Roman"/>
          <w:color w:val="000000" w:themeColor="text1"/>
          <w:sz w:val="24"/>
          <w:szCs w:val="24"/>
        </w:rPr>
        <w:t xml:space="preserve">, 2017). These tools, bolstered by accessible computing, empower systems to exploit dark data for enhanced outcomes (Singh </w:t>
      </w:r>
      <w:r w:rsidR="00B429C0">
        <w:rPr>
          <w:rFonts w:ascii="Times New Roman" w:hAnsi="Times New Roman" w:cs="Times New Roman"/>
          <w:color w:val="000000" w:themeColor="text1"/>
          <w:sz w:val="24"/>
          <w:szCs w:val="24"/>
        </w:rPr>
        <w:t>et al.</w:t>
      </w:r>
      <w:r w:rsidRPr="00A905E7">
        <w:rPr>
          <w:rFonts w:ascii="Times New Roman" w:hAnsi="Times New Roman" w:cs="Times New Roman"/>
          <w:color w:val="000000" w:themeColor="text1"/>
          <w:sz w:val="24"/>
          <w:szCs w:val="24"/>
        </w:rPr>
        <w:t>, 2025). Underreported clinical signals within this data are crucial, signaling early disease indicators, treatment responses, or adverse predictors that could influence care profoundly (</w:t>
      </w:r>
      <w:proofErr w:type="spellStart"/>
      <w:r w:rsidRPr="00A905E7">
        <w:rPr>
          <w:rFonts w:ascii="Times New Roman" w:hAnsi="Times New Roman" w:cs="Times New Roman"/>
          <w:color w:val="000000" w:themeColor="text1"/>
          <w:sz w:val="24"/>
          <w:szCs w:val="24"/>
        </w:rPr>
        <w:t>Hrovat</w:t>
      </w:r>
      <w:proofErr w:type="spellEnd"/>
      <w:r w:rsidRPr="00A905E7">
        <w:rPr>
          <w:rFonts w:ascii="Times New Roman" w:hAnsi="Times New Roman" w:cs="Times New Roman"/>
          <w:color w:val="000000" w:themeColor="text1"/>
          <w:sz w:val="24"/>
          <w:szCs w:val="24"/>
        </w:rPr>
        <w:t xml:space="preserve"> et al., 2014). Worldwide, underreporting of events like adverse drug reactions persists, with rates at 6-10%, creating safety gaps and limiting evidence-based progress</w:t>
      </w:r>
      <w:r w:rsidR="00B429C0">
        <w:rPr>
          <w:rFonts w:ascii="Times New Roman" w:hAnsi="Times New Roman" w:cs="Times New Roman"/>
          <w:color w:val="000000" w:themeColor="text1"/>
          <w:sz w:val="24"/>
          <w:szCs w:val="24"/>
        </w:rPr>
        <w:t xml:space="preserve"> </w:t>
      </w:r>
      <w:r w:rsidR="00B429C0" w:rsidRPr="00B83E10">
        <w:rPr>
          <w:rFonts w:ascii="Times New Roman" w:hAnsi="Times New Roman" w:cs="Times New Roman"/>
          <w:color w:val="000000" w:themeColor="text1"/>
          <w:sz w:val="24"/>
          <w:szCs w:val="24"/>
        </w:rPr>
        <w:t>(García-</w:t>
      </w:r>
      <w:proofErr w:type="spellStart"/>
      <w:r w:rsidR="00B429C0" w:rsidRPr="00B83E10">
        <w:rPr>
          <w:rFonts w:ascii="Times New Roman" w:hAnsi="Times New Roman" w:cs="Times New Roman"/>
          <w:color w:val="000000" w:themeColor="text1"/>
          <w:sz w:val="24"/>
          <w:szCs w:val="24"/>
        </w:rPr>
        <w:t>Abeijon</w:t>
      </w:r>
      <w:proofErr w:type="spellEnd"/>
      <w:r w:rsidR="00B429C0" w:rsidRPr="00B83E10">
        <w:rPr>
          <w:rFonts w:ascii="Times New Roman" w:hAnsi="Times New Roman" w:cs="Times New Roman"/>
          <w:color w:val="000000" w:themeColor="text1"/>
          <w:sz w:val="24"/>
          <w:szCs w:val="24"/>
        </w:rPr>
        <w:t xml:space="preserve"> et al., 2023</w:t>
      </w:r>
      <w:r w:rsidRPr="00A905E7">
        <w:rPr>
          <w:rFonts w:ascii="Times New Roman" w:hAnsi="Times New Roman" w:cs="Times New Roman"/>
          <w:color w:val="000000" w:themeColor="text1"/>
          <w:sz w:val="24"/>
          <w:szCs w:val="24"/>
        </w:rPr>
        <w:t>;</w:t>
      </w:r>
      <w:r w:rsidR="00B429C0">
        <w:rPr>
          <w:rFonts w:ascii="Times New Roman" w:hAnsi="Times New Roman" w:cs="Times New Roman"/>
          <w:color w:val="000000" w:themeColor="text1"/>
          <w:sz w:val="24"/>
          <w:szCs w:val="24"/>
        </w:rPr>
        <w:t xml:space="preserve"> </w:t>
      </w:r>
      <w:proofErr w:type="spellStart"/>
      <w:r w:rsidR="00B429C0" w:rsidRPr="00B83E10">
        <w:rPr>
          <w:rFonts w:ascii="Times New Roman" w:hAnsi="Times New Roman" w:cs="Times New Roman"/>
          <w:color w:val="000000" w:themeColor="text1"/>
          <w:sz w:val="24"/>
          <w:szCs w:val="24"/>
        </w:rPr>
        <w:t>Lavallée</w:t>
      </w:r>
      <w:proofErr w:type="spellEnd"/>
      <w:r w:rsidR="00B429C0" w:rsidRPr="00B83E10">
        <w:rPr>
          <w:rFonts w:ascii="Times New Roman" w:hAnsi="Times New Roman" w:cs="Times New Roman"/>
          <w:color w:val="000000" w:themeColor="text1"/>
          <w:sz w:val="24"/>
          <w:szCs w:val="24"/>
        </w:rPr>
        <w:t xml:space="preserve"> et al., 2024)</w:t>
      </w:r>
      <w:r w:rsidRPr="00A905E7">
        <w:rPr>
          <w:rFonts w:ascii="Times New Roman" w:hAnsi="Times New Roman" w:cs="Times New Roman"/>
          <w:color w:val="000000" w:themeColor="text1"/>
          <w:sz w:val="24"/>
          <w:szCs w:val="24"/>
        </w:rPr>
        <w:t>.</w:t>
      </w:r>
    </w:p>
    <w:p w14:paraId="58619D02" w14:textId="24A8E5FE" w:rsidR="004C6CBE" w:rsidRPr="00A905E7" w:rsidRDefault="004C6CBE" w:rsidP="00CB1647">
      <w:p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 xml:space="preserve">This proliferation yields a paradox: healthcare entities are data-abundant yet insight-deficient, underutilizing assets and missing discoveries in quality, safety, and improvement </w:t>
      </w:r>
      <w:r w:rsidR="00B429C0" w:rsidRPr="00BC64ED">
        <w:rPr>
          <w:rFonts w:ascii="Times New Roman" w:hAnsi="Times New Roman" w:cs="Times New Roman"/>
          <w:color w:val="000000" w:themeColor="text1"/>
          <w:sz w:val="24"/>
          <w:szCs w:val="24"/>
        </w:rPr>
        <w:t>(Harkins, 2024)</w:t>
      </w:r>
      <w:r w:rsidRPr="00A905E7">
        <w:rPr>
          <w:rFonts w:ascii="Times New Roman" w:hAnsi="Times New Roman" w:cs="Times New Roman"/>
          <w:color w:val="000000" w:themeColor="text1"/>
          <w:sz w:val="24"/>
          <w:szCs w:val="24"/>
        </w:rPr>
        <w:t>. Fragmented systems, inconsistent quality, and analytical limitations exacerbate this, posing challenges like absent systematic dark data identification methods, which leave insights concealed and unscalable (Wang et al., 2018). Integrating these into workflows invokes ethical and safety dilemmas, under addressed in literature, including privacy and equity</w:t>
      </w:r>
      <w:r w:rsidR="006E16BA">
        <w:rPr>
          <w:rFonts w:ascii="Times New Roman" w:hAnsi="Times New Roman" w:cs="Times New Roman"/>
          <w:color w:val="000000" w:themeColor="text1"/>
          <w:sz w:val="24"/>
          <w:szCs w:val="24"/>
        </w:rPr>
        <w:t xml:space="preserve"> </w:t>
      </w:r>
      <w:r w:rsidR="006E16BA" w:rsidRPr="00990CC9">
        <w:rPr>
          <w:rFonts w:ascii="Times New Roman" w:hAnsi="Times New Roman" w:cs="Times New Roman"/>
          <w:color w:val="000000" w:themeColor="text1"/>
          <w:sz w:val="24"/>
          <w:szCs w:val="24"/>
        </w:rPr>
        <w:t>(</w:t>
      </w:r>
      <w:proofErr w:type="spellStart"/>
      <w:r w:rsidR="006E16BA" w:rsidRPr="00990CC9">
        <w:rPr>
          <w:rFonts w:ascii="Times New Roman" w:hAnsi="Times New Roman" w:cs="Times New Roman"/>
          <w:color w:val="000000" w:themeColor="text1"/>
          <w:sz w:val="24"/>
          <w:szCs w:val="24"/>
        </w:rPr>
        <w:t>Brall</w:t>
      </w:r>
      <w:proofErr w:type="spellEnd"/>
      <w:r w:rsidR="006E16BA" w:rsidRPr="00990CC9">
        <w:rPr>
          <w:rFonts w:ascii="Times New Roman" w:hAnsi="Times New Roman" w:cs="Times New Roman"/>
          <w:color w:val="000000" w:themeColor="text1"/>
          <w:sz w:val="24"/>
          <w:szCs w:val="24"/>
        </w:rPr>
        <w:t xml:space="preserve"> et al., 2019</w:t>
      </w:r>
      <w:r w:rsidRPr="00A905E7">
        <w:rPr>
          <w:rFonts w:ascii="Times New Roman" w:hAnsi="Times New Roman" w:cs="Times New Roman"/>
          <w:color w:val="000000" w:themeColor="text1"/>
          <w:sz w:val="24"/>
          <w:szCs w:val="24"/>
        </w:rPr>
        <w:t>;</w:t>
      </w:r>
      <w:r w:rsidR="006E16BA">
        <w:rPr>
          <w:rFonts w:ascii="Times New Roman" w:hAnsi="Times New Roman" w:cs="Times New Roman"/>
          <w:color w:val="000000" w:themeColor="text1"/>
          <w:sz w:val="24"/>
          <w:szCs w:val="24"/>
        </w:rPr>
        <w:t xml:space="preserve"> </w:t>
      </w:r>
      <w:r w:rsidR="006E16BA" w:rsidRPr="00990CC9">
        <w:rPr>
          <w:rFonts w:ascii="Times New Roman" w:hAnsi="Times New Roman" w:cs="Times New Roman"/>
          <w:color w:val="000000" w:themeColor="text1"/>
          <w:sz w:val="24"/>
          <w:szCs w:val="24"/>
        </w:rPr>
        <w:t>Phillips, 2015</w:t>
      </w:r>
      <w:r w:rsidRPr="00A905E7">
        <w:rPr>
          <w:rFonts w:ascii="Times New Roman" w:hAnsi="Times New Roman" w:cs="Times New Roman"/>
          <w:color w:val="000000" w:themeColor="text1"/>
          <w:sz w:val="24"/>
          <w:szCs w:val="24"/>
        </w:rPr>
        <w:t xml:space="preserve">). Technical hurdles in processing; quality, standardization, computation impede utilization (Medidata Solutions, 2024). Consequences surpass analytics; underreported signals hold vital </w:t>
      </w:r>
      <w:r w:rsidRPr="00A905E7">
        <w:rPr>
          <w:rFonts w:ascii="Times New Roman" w:hAnsi="Times New Roman" w:cs="Times New Roman"/>
          <w:color w:val="000000" w:themeColor="text1"/>
          <w:sz w:val="24"/>
          <w:szCs w:val="24"/>
        </w:rPr>
        <w:lastRenderedPageBreak/>
        <w:t>safety, efficacy, and trend data, potentially averting events, optimizing results, and allocating resources efficiently</w:t>
      </w:r>
      <w:r w:rsidR="006E16BA">
        <w:rPr>
          <w:rFonts w:ascii="Times New Roman" w:hAnsi="Times New Roman" w:cs="Times New Roman"/>
          <w:color w:val="000000" w:themeColor="text1"/>
          <w:sz w:val="24"/>
          <w:szCs w:val="24"/>
        </w:rPr>
        <w:t xml:space="preserve"> </w:t>
      </w:r>
      <w:r w:rsidR="006E16BA" w:rsidRPr="00990CC9">
        <w:rPr>
          <w:rFonts w:ascii="Times New Roman" w:hAnsi="Times New Roman" w:cs="Times New Roman"/>
          <w:color w:val="000000" w:themeColor="text1"/>
          <w:sz w:val="24"/>
          <w:szCs w:val="24"/>
        </w:rPr>
        <w:t>(Roth, 2024)</w:t>
      </w:r>
      <w:r w:rsidRPr="00A905E7">
        <w:rPr>
          <w:rFonts w:ascii="Times New Roman" w:hAnsi="Times New Roman" w:cs="Times New Roman"/>
          <w:color w:val="000000" w:themeColor="text1"/>
          <w:sz w:val="24"/>
          <w:szCs w:val="24"/>
        </w:rPr>
        <w:t xml:space="preserve">. Failure here may fuel preventable harms and inefficiencies </w:t>
      </w:r>
      <w:r w:rsidR="00B429C0" w:rsidRPr="00B83E10">
        <w:rPr>
          <w:rFonts w:ascii="Times New Roman" w:hAnsi="Times New Roman" w:cs="Times New Roman"/>
          <w:color w:val="000000" w:themeColor="text1"/>
          <w:sz w:val="24"/>
          <w:szCs w:val="24"/>
        </w:rPr>
        <w:t>(Cowley et al., 2023)</w:t>
      </w:r>
      <w:r w:rsidRPr="00A905E7">
        <w:rPr>
          <w:rFonts w:ascii="Times New Roman" w:hAnsi="Times New Roman" w:cs="Times New Roman"/>
          <w:color w:val="000000" w:themeColor="text1"/>
          <w:sz w:val="24"/>
          <w:szCs w:val="24"/>
        </w:rPr>
        <w:t>.</w:t>
      </w:r>
    </w:p>
    <w:p w14:paraId="33D14CA4" w14:textId="56529D7D" w:rsidR="004C6CBE" w:rsidRPr="00A905E7" w:rsidRDefault="004C6CBE" w:rsidP="006E16BA">
      <w:p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The study targets dark data in digital health, emphasizing structured and semi-structured EHR, lab, and documentation data, analyzable remotely via cloud resources, ideal for constrained settings (Rawat et al., 202</w:t>
      </w:r>
      <w:r w:rsidR="00B429C0">
        <w:rPr>
          <w:rFonts w:ascii="Times New Roman" w:hAnsi="Times New Roman" w:cs="Times New Roman"/>
          <w:color w:val="000000" w:themeColor="text1"/>
          <w:sz w:val="24"/>
          <w:szCs w:val="24"/>
        </w:rPr>
        <w:t>2</w:t>
      </w:r>
      <w:r w:rsidRPr="00A905E7">
        <w:rPr>
          <w:rFonts w:ascii="Times New Roman" w:hAnsi="Times New Roman" w:cs="Times New Roman"/>
          <w:color w:val="000000" w:themeColor="text1"/>
          <w:sz w:val="24"/>
          <w:szCs w:val="24"/>
        </w:rPr>
        <w:t>). Geographically unbounded, methodologies adapt to diverse contexts, incorporating HIPAA, GDPR, and global protections (</w:t>
      </w:r>
      <w:proofErr w:type="spellStart"/>
      <w:r w:rsidRPr="00A905E7">
        <w:rPr>
          <w:rFonts w:ascii="Times New Roman" w:hAnsi="Times New Roman" w:cs="Times New Roman"/>
          <w:color w:val="000000" w:themeColor="text1"/>
          <w:sz w:val="24"/>
          <w:szCs w:val="24"/>
        </w:rPr>
        <w:t>Wambugu</w:t>
      </w:r>
      <w:proofErr w:type="spellEnd"/>
      <w:r w:rsidRPr="00A905E7">
        <w:rPr>
          <w:rFonts w:ascii="Times New Roman" w:hAnsi="Times New Roman" w:cs="Times New Roman"/>
          <w:color w:val="000000" w:themeColor="text1"/>
          <w:sz w:val="24"/>
          <w:szCs w:val="24"/>
        </w:rPr>
        <w:t xml:space="preserve"> et al., 2019). Temporally, it centers retrospective analysis of multi-year historical data, scalable from pilots to systems, excluding patient interactions, trials, identifiable info, or real-time support; all use de-identified datasets for privacy and utility (Alghamdi &amp; </w:t>
      </w:r>
      <w:proofErr w:type="spellStart"/>
      <w:r w:rsidRPr="00A905E7">
        <w:rPr>
          <w:rFonts w:ascii="Times New Roman" w:hAnsi="Times New Roman" w:cs="Times New Roman"/>
          <w:color w:val="000000" w:themeColor="text1"/>
          <w:sz w:val="24"/>
          <w:szCs w:val="24"/>
        </w:rPr>
        <w:t>Selamat</w:t>
      </w:r>
      <w:proofErr w:type="spellEnd"/>
      <w:r w:rsidRPr="00A905E7">
        <w:rPr>
          <w:rFonts w:ascii="Times New Roman" w:hAnsi="Times New Roman" w:cs="Times New Roman"/>
          <w:color w:val="000000" w:themeColor="text1"/>
          <w:sz w:val="24"/>
          <w:szCs w:val="24"/>
        </w:rPr>
        <w:t>, 2022).</w:t>
      </w:r>
    </w:p>
    <w:p w14:paraId="7F75ED2A" w14:textId="0CD80D39" w:rsidR="004C6CBE" w:rsidRPr="005B6018" w:rsidRDefault="004C6CBE" w:rsidP="005B6018">
      <w:pPr>
        <w:spacing w:line="360" w:lineRule="auto"/>
        <w:jc w:val="both"/>
        <w:rPr>
          <w:rFonts w:ascii="Times New Roman" w:hAnsi="Times New Roman" w:cs="Times New Roman"/>
          <w:sz w:val="24"/>
          <w:szCs w:val="24"/>
        </w:rPr>
      </w:pPr>
      <w:r w:rsidRPr="00A905E7">
        <w:rPr>
          <w:rFonts w:ascii="Times New Roman" w:hAnsi="Times New Roman" w:cs="Times New Roman"/>
          <w:color w:val="000000" w:themeColor="text1"/>
          <w:sz w:val="24"/>
          <w:szCs w:val="24"/>
        </w:rPr>
        <w:t>This work bridges informatics gaps by framing dark data identification, processing, and use to reveal underreported signals, spanning care and research dimensions (</w:t>
      </w:r>
      <w:proofErr w:type="spellStart"/>
      <w:r w:rsidRPr="00A905E7">
        <w:rPr>
          <w:rFonts w:ascii="Times New Roman" w:hAnsi="Times New Roman" w:cs="Times New Roman"/>
          <w:color w:val="000000" w:themeColor="text1"/>
          <w:sz w:val="24"/>
          <w:szCs w:val="24"/>
        </w:rPr>
        <w:t>Makary</w:t>
      </w:r>
      <w:proofErr w:type="spellEnd"/>
      <w:r w:rsidRPr="00A905E7">
        <w:rPr>
          <w:rFonts w:ascii="Times New Roman" w:hAnsi="Times New Roman" w:cs="Times New Roman"/>
          <w:color w:val="000000" w:themeColor="text1"/>
          <w:sz w:val="24"/>
          <w:szCs w:val="24"/>
        </w:rPr>
        <w:t xml:space="preserve"> &amp; Daniel, 2016). Safety-wise, systematic signal analysis could detect adversities early, stratify risks, and intervene preventively, boosting diagnostics, treatments, and reducing complications amid 250,000 annual U.S. error-related deaths (</w:t>
      </w:r>
      <w:proofErr w:type="spellStart"/>
      <w:r w:rsidRPr="00A905E7">
        <w:rPr>
          <w:rFonts w:ascii="Times New Roman" w:hAnsi="Times New Roman" w:cs="Times New Roman"/>
          <w:color w:val="000000" w:themeColor="text1"/>
          <w:sz w:val="24"/>
          <w:szCs w:val="24"/>
        </w:rPr>
        <w:t>Spendmend</w:t>
      </w:r>
      <w:proofErr w:type="spellEnd"/>
      <w:r w:rsidRPr="00A905E7">
        <w:rPr>
          <w:rFonts w:ascii="Times New Roman" w:hAnsi="Times New Roman" w:cs="Times New Roman"/>
          <w:color w:val="000000" w:themeColor="text1"/>
          <w:sz w:val="24"/>
          <w:szCs w:val="24"/>
        </w:rPr>
        <w:t xml:space="preserve"> Healthcare Solutions, 2025). Economically, leveraging assets cuts costs, maximizes billions in storage investments, and boosts efficiency (Liu &amp; </w:t>
      </w:r>
      <w:proofErr w:type="spellStart"/>
      <w:r w:rsidRPr="00A905E7">
        <w:rPr>
          <w:rFonts w:ascii="Times New Roman" w:hAnsi="Times New Roman" w:cs="Times New Roman"/>
          <w:color w:val="000000" w:themeColor="text1"/>
          <w:sz w:val="24"/>
          <w:szCs w:val="24"/>
        </w:rPr>
        <w:t>Hauskrecht</w:t>
      </w:r>
      <w:proofErr w:type="spellEnd"/>
      <w:r w:rsidRPr="00A905E7">
        <w:rPr>
          <w:rFonts w:ascii="Times New Roman" w:hAnsi="Times New Roman" w:cs="Times New Roman"/>
          <w:color w:val="000000" w:themeColor="text1"/>
          <w:sz w:val="24"/>
          <w:szCs w:val="24"/>
        </w:rPr>
        <w:t xml:space="preserve">, 2015). Research-wise, it accelerates discoveries, hypothesizes, designs trials, and advances precision medicine for rare conditions </w:t>
      </w:r>
      <w:r w:rsidR="005B6018" w:rsidRPr="00C01E3D">
        <w:rPr>
          <w:rFonts w:ascii="Times New Roman" w:hAnsi="Times New Roman" w:cs="Times New Roman"/>
          <w:sz w:val="24"/>
          <w:szCs w:val="24"/>
        </w:rPr>
        <w:t>(Ramasamy &amp; Nirmala, 2017</w:t>
      </w:r>
      <w:r w:rsidRPr="00A905E7">
        <w:rPr>
          <w:rFonts w:ascii="Times New Roman" w:hAnsi="Times New Roman" w:cs="Times New Roman"/>
          <w:color w:val="000000" w:themeColor="text1"/>
          <w:sz w:val="24"/>
          <w:szCs w:val="24"/>
        </w:rPr>
        <w:t>; McCoy et al., 2024). Methodologically, it models approaches for organizations, with ethics informing policy and regulation (</w:t>
      </w:r>
      <w:r w:rsidR="006E16BA" w:rsidRPr="00990CC9">
        <w:rPr>
          <w:rFonts w:ascii="Times New Roman" w:hAnsi="Times New Roman" w:cs="Times New Roman"/>
          <w:color w:val="000000" w:themeColor="text1"/>
          <w:sz w:val="24"/>
          <w:szCs w:val="24"/>
        </w:rPr>
        <w:t>Rawat</w:t>
      </w:r>
      <w:r w:rsidR="006E16BA">
        <w:rPr>
          <w:rFonts w:ascii="Times New Roman" w:hAnsi="Times New Roman" w:cs="Times New Roman"/>
          <w:color w:val="000000" w:themeColor="text1"/>
          <w:sz w:val="24"/>
          <w:szCs w:val="24"/>
        </w:rPr>
        <w:t xml:space="preserve"> et al., 2022</w:t>
      </w:r>
      <w:r w:rsidRPr="00A905E7">
        <w:rPr>
          <w:rFonts w:ascii="Times New Roman" w:hAnsi="Times New Roman" w:cs="Times New Roman"/>
          <w:color w:val="000000" w:themeColor="text1"/>
          <w:sz w:val="24"/>
          <w:szCs w:val="24"/>
        </w:rPr>
        <w:t>; Tazi et al., 2022).</w:t>
      </w:r>
    </w:p>
    <w:p w14:paraId="6A18704C" w14:textId="77777777" w:rsidR="004C6CBE" w:rsidRPr="00A905E7" w:rsidRDefault="004C6CBE" w:rsidP="00A905E7">
      <w:p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The primary aim is to develop and validate a predictive framework for identifying and utilizing underreported clinical signals in dark data repositories within digital health systems, emphasizing ethical integration and technical methodologies for resource-constrained environments. The research objectives are to:</w:t>
      </w:r>
    </w:p>
    <w:p w14:paraId="4699002E" w14:textId="77777777" w:rsidR="004C6CBE" w:rsidRPr="00A905E7" w:rsidRDefault="004C6CBE" w:rsidP="00A905E7">
      <w:pPr>
        <w:pStyle w:val="ListParagraph"/>
        <w:numPr>
          <w:ilvl w:val="0"/>
          <w:numId w:val="1"/>
        </w:num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 xml:space="preserve">Develop and validate computational methods for systematically identifying and extracting hidden clinical patterns from existing healthcare datasets not previously utilized for insights, </w:t>
      </w:r>
    </w:p>
    <w:p w14:paraId="76A8C61D" w14:textId="77777777" w:rsidR="004C6CBE" w:rsidRPr="00A905E7" w:rsidRDefault="004C6CBE" w:rsidP="00A905E7">
      <w:pPr>
        <w:pStyle w:val="ListParagraph"/>
        <w:numPr>
          <w:ilvl w:val="0"/>
          <w:numId w:val="1"/>
        </w:num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 xml:space="preserve">Assess the impact of integrating dark data-derived signals on patient outcomes and develop an ethical framework for responsible utilization of underreported information, and </w:t>
      </w:r>
    </w:p>
    <w:p w14:paraId="43C54BD5" w14:textId="77777777" w:rsidR="004C6CBE" w:rsidRPr="00A905E7" w:rsidRDefault="004C6CBE" w:rsidP="00A905E7">
      <w:pPr>
        <w:pStyle w:val="ListParagraph"/>
        <w:numPr>
          <w:ilvl w:val="0"/>
          <w:numId w:val="1"/>
        </w:num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lastRenderedPageBreak/>
        <w:t>Establish standardized protocols for cleaning, processing, and quality assurance of dark data to ensure reliable, clinically useful insights for decision-making.</w:t>
      </w:r>
    </w:p>
    <w:p w14:paraId="0DC61C35" w14:textId="77777777" w:rsidR="004C6CBE" w:rsidRDefault="004C6CBE" w:rsidP="00A905E7">
      <w:pPr>
        <w:pStyle w:val="ListParagraph"/>
        <w:spacing w:line="360" w:lineRule="auto"/>
        <w:ind w:left="0"/>
        <w:jc w:val="both"/>
        <w:rPr>
          <w:rFonts w:ascii="Times New Roman" w:hAnsi="Times New Roman" w:cs="Times New Roman"/>
          <w:color w:val="000000" w:themeColor="text1"/>
          <w:sz w:val="24"/>
          <w:szCs w:val="24"/>
        </w:rPr>
      </w:pPr>
    </w:p>
    <w:p w14:paraId="78BB46C3" w14:textId="77777777" w:rsidR="0037424C" w:rsidRDefault="0037424C" w:rsidP="00A905E7">
      <w:pPr>
        <w:pStyle w:val="ListParagraph"/>
        <w:spacing w:line="360" w:lineRule="auto"/>
        <w:ind w:left="0"/>
        <w:jc w:val="both"/>
        <w:rPr>
          <w:rFonts w:ascii="Times New Roman" w:hAnsi="Times New Roman" w:cs="Times New Roman"/>
          <w:color w:val="000000" w:themeColor="text1"/>
          <w:sz w:val="24"/>
          <w:szCs w:val="24"/>
        </w:rPr>
      </w:pPr>
    </w:p>
    <w:p w14:paraId="024BC883" w14:textId="77777777" w:rsidR="0037424C" w:rsidRDefault="0037424C" w:rsidP="00A905E7">
      <w:pPr>
        <w:pStyle w:val="ListParagraph"/>
        <w:spacing w:line="360" w:lineRule="auto"/>
        <w:ind w:left="0"/>
        <w:jc w:val="both"/>
        <w:rPr>
          <w:rFonts w:ascii="Times New Roman" w:hAnsi="Times New Roman" w:cs="Times New Roman"/>
          <w:color w:val="000000" w:themeColor="text1"/>
          <w:sz w:val="24"/>
          <w:szCs w:val="24"/>
        </w:rPr>
      </w:pPr>
    </w:p>
    <w:p w14:paraId="37EB0580" w14:textId="77777777" w:rsidR="0037424C" w:rsidRPr="00A905E7" w:rsidRDefault="0037424C" w:rsidP="00A905E7">
      <w:pPr>
        <w:pStyle w:val="ListParagraph"/>
        <w:spacing w:line="360" w:lineRule="auto"/>
        <w:ind w:left="0"/>
        <w:jc w:val="both"/>
        <w:rPr>
          <w:rFonts w:ascii="Times New Roman" w:hAnsi="Times New Roman" w:cs="Times New Roman"/>
          <w:color w:val="000000" w:themeColor="text1"/>
          <w:sz w:val="24"/>
          <w:szCs w:val="24"/>
        </w:rPr>
      </w:pPr>
    </w:p>
    <w:p w14:paraId="558B1AE3"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2.</w:t>
      </w:r>
      <w:r w:rsidRPr="00A905E7">
        <w:rPr>
          <w:rFonts w:ascii="Times New Roman" w:hAnsi="Times New Roman" w:cs="Times New Roman"/>
          <w:b/>
          <w:bCs/>
          <w:sz w:val="24"/>
          <w:szCs w:val="24"/>
        </w:rPr>
        <w:tab/>
        <w:t>Literature Review</w:t>
      </w:r>
    </w:p>
    <w:p w14:paraId="54934B35"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Telehealth, as an extension of digital health technologies, amplifies the volume of sensitive data generated from remote consultations, wearable devices, and monitoring systems, often leaving substantial portions as dark data due to privacy constraints that hinder sharing and computation. The integration of artificial intelligence (AI) with HE offers a promising avenue to illuminate these hidden datasets, allowing computations on encrypted data to uncover underreported clinical signals while addressing the paradoxical data-rich yet insight-poor environment highlighted previously. This review synthesizes theoretical foundations, empirical applications, and conceptual frameworks, identifying gaps in current approaches that necessitate a novel AI-driven HE framework for telehealth.</w:t>
      </w:r>
    </w:p>
    <w:p w14:paraId="31B91ACE"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Telehealth Data Management and Privacy Challenges</w:t>
      </w:r>
    </w:p>
    <w:p w14:paraId="25460F8E" w14:textId="09220F3D" w:rsidR="004C6CBE" w:rsidRPr="00B429C0" w:rsidRDefault="004C6CBE" w:rsidP="00B429C0">
      <w:pPr>
        <w:tabs>
          <w:tab w:val="left" w:pos="180"/>
        </w:tabs>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The rapid expansion of telehealth has transformed healthcare delivery, particularly in resource-constrained environments, by facilitating remote access to medical services and generating exponential data volumes from electronic health records, video consultations, and sensor-based monitoring </w:t>
      </w:r>
      <w:r w:rsidR="00B429C0" w:rsidRPr="00BB3BC6">
        <w:rPr>
          <w:rFonts w:ascii="Times New Roman" w:hAnsi="Times New Roman" w:cs="Times New Roman"/>
          <w:sz w:val="24"/>
          <w:szCs w:val="24"/>
        </w:rPr>
        <w:t>(Iqbal et al., 2022)</w:t>
      </w:r>
      <w:r w:rsidRPr="00A905E7">
        <w:rPr>
          <w:rFonts w:ascii="Times New Roman" w:hAnsi="Times New Roman" w:cs="Times New Roman"/>
          <w:sz w:val="24"/>
          <w:szCs w:val="24"/>
        </w:rPr>
        <w:t xml:space="preserve">. Healthcare generates one-third of global data, much of which becomes dark data, untapped due to underutilization stemming from fragmented systems and privacy barriers (Hussain, 2020). In telehealth, this manifests as unanalyzed streams from real-time patient interactions, where data like vital signs or symptom logs remain stored but unused for predictive insights, exacerbating underreporting of clinical events such as adverse reactions </w:t>
      </w:r>
      <w:r w:rsidR="00B429C0" w:rsidRPr="00B83E10">
        <w:rPr>
          <w:rFonts w:ascii="Times New Roman" w:hAnsi="Times New Roman" w:cs="Times New Roman"/>
          <w:color w:val="000000" w:themeColor="text1"/>
          <w:sz w:val="24"/>
          <w:szCs w:val="24"/>
        </w:rPr>
        <w:t>(García-</w:t>
      </w:r>
      <w:proofErr w:type="spellStart"/>
      <w:r w:rsidR="00B429C0" w:rsidRPr="00B83E10">
        <w:rPr>
          <w:rFonts w:ascii="Times New Roman" w:hAnsi="Times New Roman" w:cs="Times New Roman"/>
          <w:color w:val="000000" w:themeColor="text1"/>
          <w:sz w:val="24"/>
          <w:szCs w:val="24"/>
        </w:rPr>
        <w:t>Abeijon</w:t>
      </w:r>
      <w:proofErr w:type="spellEnd"/>
      <w:r w:rsidR="00B429C0" w:rsidRPr="00B83E10">
        <w:rPr>
          <w:rFonts w:ascii="Times New Roman" w:hAnsi="Times New Roman" w:cs="Times New Roman"/>
          <w:color w:val="000000" w:themeColor="text1"/>
          <w:sz w:val="24"/>
          <w:szCs w:val="24"/>
        </w:rPr>
        <w:t xml:space="preserve"> et al., 2023)</w:t>
      </w:r>
      <w:r w:rsidRPr="00A905E7">
        <w:rPr>
          <w:rFonts w:ascii="Times New Roman" w:hAnsi="Times New Roman" w:cs="Times New Roman"/>
          <w:sz w:val="24"/>
          <w:szCs w:val="24"/>
        </w:rPr>
        <w:t>. Privacy challenges are paramount, as telehealth data often traverses insecure networks, exposing it to breaches that could compromise patient safety and trust (Pool et al., 2022).</w:t>
      </w:r>
    </w:p>
    <w:p w14:paraId="2FEF0B49" w14:textId="440529AE" w:rsidR="004C6CBE" w:rsidRPr="006E16BA" w:rsidRDefault="004C6CBE" w:rsidP="006E16BA">
      <w:p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sz w:val="24"/>
          <w:szCs w:val="24"/>
        </w:rPr>
        <w:lastRenderedPageBreak/>
        <w:t xml:space="preserve">Empirical studies underscore the vulnerabilities in telehealth data management. For instance, fragmented infrastructures lead to inconsistent encryption standards, resulting in data silos that prevent collaborative analysis across providers (Wang et al., 2018). Blockchain-integrated approaches have been proposed to enhance data integrity, but they fall short in enabling computations on encrypted data, leaving gaps in real-time analytics (Alghamdi &amp; </w:t>
      </w:r>
      <w:proofErr w:type="spellStart"/>
      <w:r w:rsidRPr="00A905E7">
        <w:rPr>
          <w:rFonts w:ascii="Times New Roman" w:hAnsi="Times New Roman" w:cs="Times New Roman"/>
          <w:sz w:val="24"/>
          <w:szCs w:val="24"/>
        </w:rPr>
        <w:t>Selamat</w:t>
      </w:r>
      <w:proofErr w:type="spellEnd"/>
      <w:r w:rsidRPr="00A905E7">
        <w:rPr>
          <w:rFonts w:ascii="Times New Roman" w:hAnsi="Times New Roman" w:cs="Times New Roman"/>
          <w:sz w:val="24"/>
          <w:szCs w:val="24"/>
        </w:rPr>
        <w:t xml:space="preserve">, 2022). Moreover, ethical concerns around equitable access and bias in data utilization mirror those in dark data handling, where underreported signals from underrepresented populations remain hidden </w:t>
      </w:r>
      <w:r w:rsidR="006E16BA" w:rsidRPr="00990CC9">
        <w:rPr>
          <w:rFonts w:ascii="Times New Roman" w:hAnsi="Times New Roman" w:cs="Times New Roman"/>
          <w:color w:val="000000" w:themeColor="text1"/>
          <w:sz w:val="24"/>
          <w:szCs w:val="24"/>
        </w:rPr>
        <w:t>(</w:t>
      </w:r>
      <w:proofErr w:type="spellStart"/>
      <w:r w:rsidR="006E16BA" w:rsidRPr="00990CC9">
        <w:rPr>
          <w:rFonts w:ascii="Times New Roman" w:hAnsi="Times New Roman" w:cs="Times New Roman"/>
          <w:color w:val="000000" w:themeColor="text1"/>
          <w:sz w:val="24"/>
          <w:szCs w:val="24"/>
        </w:rPr>
        <w:t>Brall</w:t>
      </w:r>
      <w:proofErr w:type="spellEnd"/>
      <w:r w:rsidR="006E16BA" w:rsidRPr="00990CC9">
        <w:rPr>
          <w:rFonts w:ascii="Times New Roman" w:hAnsi="Times New Roman" w:cs="Times New Roman"/>
          <w:color w:val="000000" w:themeColor="text1"/>
          <w:sz w:val="24"/>
          <w:szCs w:val="24"/>
        </w:rPr>
        <w:t xml:space="preserve"> et al., 2019</w:t>
      </w:r>
      <w:r w:rsidR="00CB1647">
        <w:rPr>
          <w:rFonts w:ascii="Times New Roman" w:hAnsi="Times New Roman" w:cs="Times New Roman"/>
          <w:color w:val="000000" w:themeColor="text1"/>
          <w:sz w:val="24"/>
          <w:szCs w:val="24"/>
        </w:rPr>
        <w:t xml:space="preserve">; </w:t>
      </w:r>
      <w:proofErr w:type="spellStart"/>
      <w:r w:rsidR="00CB1647" w:rsidRPr="00EE5388">
        <w:rPr>
          <w:rFonts w:ascii="Times New Roman" w:eastAsia="Arial" w:hAnsi="Times New Roman" w:cs="Times New Roman"/>
          <w:color w:val="252525"/>
          <w:sz w:val="24"/>
          <w:szCs w:val="16"/>
        </w:rPr>
        <w:t>Obrik-Uloho</w:t>
      </w:r>
      <w:proofErr w:type="spellEnd"/>
      <w:r w:rsidR="00CB1647">
        <w:rPr>
          <w:rFonts w:ascii="Times New Roman" w:eastAsia="Arial" w:hAnsi="Times New Roman" w:cs="Times New Roman"/>
          <w:color w:val="252525"/>
          <w:sz w:val="24"/>
          <w:szCs w:val="16"/>
        </w:rPr>
        <w:t xml:space="preserve"> et al., 2025</w:t>
      </w:r>
      <w:r w:rsidR="006E16BA" w:rsidRPr="00990CC9">
        <w:rPr>
          <w:rFonts w:ascii="Times New Roman" w:hAnsi="Times New Roman" w:cs="Times New Roman"/>
          <w:color w:val="000000" w:themeColor="text1"/>
          <w:sz w:val="24"/>
          <w:szCs w:val="24"/>
        </w:rPr>
        <w:t>)</w:t>
      </w:r>
      <w:r w:rsidRPr="00A905E7">
        <w:rPr>
          <w:rFonts w:ascii="Times New Roman" w:hAnsi="Times New Roman" w:cs="Times New Roman"/>
          <w:sz w:val="24"/>
          <w:szCs w:val="24"/>
        </w:rPr>
        <w:t>. This framework highlights the need for advanced encryption that supports computation without decryption, transitioning to HE as a solution.</w:t>
      </w:r>
    </w:p>
    <w:p w14:paraId="0090CF95"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Advances in Homomorphic Encryption</w:t>
      </w:r>
    </w:p>
    <w:p w14:paraId="4E78355C" w14:textId="4487D018" w:rsidR="004C6CBE" w:rsidRPr="00A905E7" w:rsidRDefault="004C6CBE" w:rsidP="00B429C0">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Homomorphic encryption emerges as a cornerstone for secure healthcare data processing, allowing arithmetic operations on ciphertext without revealing plaintext, thus preserving privacy during analysis (</w:t>
      </w:r>
      <w:proofErr w:type="spellStart"/>
      <w:r w:rsidRPr="00A905E7">
        <w:rPr>
          <w:rFonts w:ascii="Times New Roman" w:hAnsi="Times New Roman" w:cs="Times New Roman"/>
          <w:sz w:val="24"/>
          <w:szCs w:val="24"/>
        </w:rPr>
        <w:t>Acar</w:t>
      </w:r>
      <w:proofErr w:type="spellEnd"/>
      <w:r w:rsidRPr="00A905E7">
        <w:rPr>
          <w:rFonts w:ascii="Times New Roman" w:hAnsi="Times New Roman" w:cs="Times New Roman"/>
          <w:sz w:val="24"/>
          <w:szCs w:val="24"/>
        </w:rPr>
        <w:t xml:space="preserve"> et al., 2018). Theoretically rooted in lattice-based cryptography, HE schemes like partially homomorphic (e.g., </w:t>
      </w:r>
      <w:proofErr w:type="spellStart"/>
      <w:r w:rsidRPr="00A905E7">
        <w:rPr>
          <w:rFonts w:ascii="Times New Roman" w:hAnsi="Times New Roman" w:cs="Times New Roman"/>
          <w:sz w:val="24"/>
          <w:szCs w:val="24"/>
        </w:rPr>
        <w:t>Paillier</w:t>
      </w:r>
      <w:proofErr w:type="spellEnd"/>
      <w:r w:rsidRPr="00A905E7">
        <w:rPr>
          <w:rFonts w:ascii="Times New Roman" w:hAnsi="Times New Roman" w:cs="Times New Roman"/>
          <w:sz w:val="24"/>
          <w:szCs w:val="24"/>
        </w:rPr>
        <w:t xml:space="preserve"> for additive operations) and fully homomorphic (FHE) variants (e.g., CKKS for approximate computations) enable encrypted queries on telehealth databases (Gentry, 2009). In healthcare, HE has been applied to genomic data sharing, where encrypted sequences undergo analysis for disease prediction without exposure (</w:t>
      </w:r>
      <w:proofErr w:type="spellStart"/>
      <w:r w:rsidRPr="00A905E7">
        <w:rPr>
          <w:rFonts w:ascii="Times New Roman" w:hAnsi="Times New Roman" w:cs="Times New Roman"/>
          <w:sz w:val="24"/>
          <w:szCs w:val="24"/>
        </w:rPr>
        <w:t>Froelicher</w:t>
      </w:r>
      <w:proofErr w:type="spellEnd"/>
      <w:r w:rsidRPr="00A905E7">
        <w:rPr>
          <w:rFonts w:ascii="Times New Roman" w:hAnsi="Times New Roman" w:cs="Times New Roman"/>
          <w:sz w:val="24"/>
          <w:szCs w:val="24"/>
        </w:rPr>
        <w:t xml:space="preserve"> et al., 2021). Empirical advancements demonstrate its utility in telehealth; for example, HE facilitates secure phoneme searching in audio recordings for speech therapy, preserving patient voice data privacy </w:t>
      </w:r>
      <w:r w:rsidR="00B429C0" w:rsidRPr="00BB3BC6">
        <w:rPr>
          <w:rFonts w:ascii="Times New Roman" w:hAnsi="Times New Roman" w:cs="Times New Roman"/>
          <w:sz w:val="24"/>
          <w:szCs w:val="24"/>
        </w:rPr>
        <w:t>(Iqbal et al., 2022)</w:t>
      </w:r>
      <w:r w:rsidRPr="00A905E7">
        <w:rPr>
          <w:rFonts w:ascii="Times New Roman" w:hAnsi="Times New Roman" w:cs="Times New Roman"/>
          <w:sz w:val="24"/>
          <w:szCs w:val="24"/>
        </w:rPr>
        <w:t>.</w:t>
      </w:r>
    </w:p>
    <w:p w14:paraId="74A3E708" w14:textId="7D4075FA" w:rsidR="004C6CBE" w:rsidRPr="00A905E7" w:rsidRDefault="004C6CBE" w:rsidP="005B6018">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Recent developments focus on efficiency improvements to address computational overhead, a key barrier in real-time applications. Optimized libraries like Microsoft SEAL and </w:t>
      </w:r>
      <w:proofErr w:type="spellStart"/>
      <w:r w:rsidRPr="00A905E7">
        <w:rPr>
          <w:rFonts w:ascii="Times New Roman" w:hAnsi="Times New Roman" w:cs="Times New Roman"/>
          <w:sz w:val="24"/>
          <w:szCs w:val="24"/>
        </w:rPr>
        <w:t>OpenFHE</w:t>
      </w:r>
      <w:proofErr w:type="spellEnd"/>
      <w:r w:rsidRPr="00A905E7">
        <w:rPr>
          <w:rFonts w:ascii="Times New Roman" w:hAnsi="Times New Roman" w:cs="Times New Roman"/>
          <w:sz w:val="24"/>
          <w:szCs w:val="24"/>
        </w:rPr>
        <w:t xml:space="preserve"> have reduced latency, enabling encrypted machine learning models for diagnostic predictions </w:t>
      </w:r>
      <w:r w:rsidR="005B6018" w:rsidRPr="00201561">
        <w:rPr>
          <w:rFonts w:ascii="Times New Roman" w:hAnsi="Times New Roman" w:cs="Times New Roman"/>
          <w:sz w:val="24"/>
          <w:szCs w:val="24"/>
        </w:rPr>
        <w:t>(</w:t>
      </w:r>
      <w:proofErr w:type="spellStart"/>
      <w:r w:rsidR="005B6018" w:rsidRPr="00201561">
        <w:rPr>
          <w:rFonts w:ascii="Times New Roman" w:hAnsi="Times New Roman" w:cs="Times New Roman"/>
          <w:sz w:val="24"/>
          <w:szCs w:val="24"/>
        </w:rPr>
        <w:t>Knabenhans</w:t>
      </w:r>
      <w:proofErr w:type="spellEnd"/>
      <w:r w:rsidR="005B6018" w:rsidRPr="00201561">
        <w:rPr>
          <w:rFonts w:ascii="Times New Roman" w:hAnsi="Times New Roman" w:cs="Times New Roman"/>
          <w:sz w:val="24"/>
          <w:szCs w:val="24"/>
        </w:rPr>
        <w:t xml:space="preserve"> et al., 2023)</w:t>
      </w:r>
      <w:r w:rsidRPr="00A905E7">
        <w:rPr>
          <w:rFonts w:ascii="Times New Roman" w:hAnsi="Times New Roman" w:cs="Times New Roman"/>
          <w:sz w:val="24"/>
          <w:szCs w:val="24"/>
        </w:rPr>
        <w:t xml:space="preserve">. In telemedicine, HE secures wearable device data streams, allowing aggregated analysis of vital signs across patients without decryption, thus unlocking dark data for population health insights </w:t>
      </w:r>
      <w:r w:rsidR="005B6018" w:rsidRPr="00201561">
        <w:rPr>
          <w:rFonts w:ascii="Times New Roman" w:hAnsi="Times New Roman" w:cs="Times New Roman"/>
          <w:sz w:val="24"/>
          <w:szCs w:val="24"/>
        </w:rPr>
        <w:t>(</w:t>
      </w:r>
      <w:proofErr w:type="spellStart"/>
      <w:r w:rsidR="005B6018" w:rsidRPr="00201561">
        <w:rPr>
          <w:rFonts w:ascii="Times New Roman" w:hAnsi="Times New Roman" w:cs="Times New Roman"/>
          <w:sz w:val="24"/>
          <w:szCs w:val="24"/>
        </w:rPr>
        <w:t>Yedukondalu</w:t>
      </w:r>
      <w:proofErr w:type="spellEnd"/>
      <w:r w:rsidR="005B6018" w:rsidRPr="00201561">
        <w:rPr>
          <w:rFonts w:ascii="Times New Roman" w:hAnsi="Times New Roman" w:cs="Times New Roman"/>
          <w:sz w:val="24"/>
          <w:szCs w:val="24"/>
        </w:rPr>
        <w:t xml:space="preserve"> et al., 2022)</w:t>
      </w:r>
      <w:r w:rsidRPr="00A905E7">
        <w:rPr>
          <w:rFonts w:ascii="Times New Roman" w:hAnsi="Times New Roman" w:cs="Times New Roman"/>
          <w:sz w:val="24"/>
          <w:szCs w:val="24"/>
        </w:rPr>
        <w:t>. However, challenges persist in scalability; high noise growth in FHE requires bootstrapping, which increases processing time (</w:t>
      </w:r>
      <w:proofErr w:type="spellStart"/>
      <w:r w:rsidRPr="00A905E7">
        <w:rPr>
          <w:rFonts w:ascii="Times New Roman" w:hAnsi="Times New Roman" w:cs="Times New Roman"/>
          <w:sz w:val="24"/>
          <w:szCs w:val="24"/>
        </w:rPr>
        <w:t>Cheon</w:t>
      </w:r>
      <w:proofErr w:type="spellEnd"/>
      <w:r w:rsidRPr="00A905E7">
        <w:rPr>
          <w:rFonts w:ascii="Times New Roman" w:hAnsi="Times New Roman" w:cs="Times New Roman"/>
          <w:sz w:val="24"/>
          <w:szCs w:val="24"/>
        </w:rPr>
        <w:t xml:space="preserve"> et al., 2017). </w:t>
      </w:r>
    </w:p>
    <w:p w14:paraId="4EE316B1"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Integration of AI with Homomorphic Encryption</w:t>
      </w:r>
    </w:p>
    <w:p w14:paraId="78EA56A5" w14:textId="6DCCF114"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lastRenderedPageBreak/>
        <w:t>The convergence of AI and HE represents a paradigm shift in secure telehealth data analysis, where AI algorithms operate on encrypted inputs to derive insights from dark data repositories (Wood et al., 2020). Conceptual frameworks like federated learning combined with HE allows distributed training of AI models on encrypted telehealth data, mitigating privacy risks while enabling real-time predictions (Truex et al., 2019</w:t>
      </w:r>
      <w:r w:rsidR="00B02B06">
        <w:rPr>
          <w:rFonts w:ascii="Times New Roman" w:hAnsi="Times New Roman" w:cs="Times New Roman"/>
          <w:sz w:val="24"/>
          <w:szCs w:val="24"/>
        </w:rPr>
        <w:t xml:space="preserve">; </w:t>
      </w:r>
      <w:proofErr w:type="spellStart"/>
      <w:r w:rsidR="00B02B06">
        <w:rPr>
          <w:rFonts w:ascii="Times New Roman" w:hAnsi="Times New Roman" w:cs="Times New Roman"/>
          <w:sz w:val="24"/>
          <w:szCs w:val="24"/>
        </w:rPr>
        <w:t>Kolo</w:t>
      </w:r>
      <w:proofErr w:type="spellEnd"/>
      <w:r w:rsidR="00B02B06">
        <w:rPr>
          <w:rFonts w:ascii="Times New Roman" w:hAnsi="Times New Roman" w:cs="Times New Roman"/>
          <w:sz w:val="24"/>
          <w:szCs w:val="24"/>
        </w:rPr>
        <w:t>, 2025</w:t>
      </w:r>
      <w:r w:rsidRPr="00A905E7">
        <w:rPr>
          <w:rFonts w:ascii="Times New Roman" w:hAnsi="Times New Roman" w:cs="Times New Roman"/>
          <w:sz w:val="24"/>
          <w:szCs w:val="24"/>
        </w:rPr>
        <w:t>). For instance, AI-driven anomaly detection in encrypted ECG streams identifies underreported cardiac signals without data exposure, addressing the insight gaps noted in prior chapters (Huang et al., 2022). Empirical evidence shows that HE-compatible neural networks, optimized via polynomial approximations, achieve high accuracy in classifying encrypted medical images, with applications in remote diagnostics (Gilad-Bachrach et al., 2016).</w:t>
      </w:r>
    </w:p>
    <w:p w14:paraId="510AE9AF" w14:textId="19D83A5A" w:rsidR="004C6CBE" w:rsidRPr="00A905E7" w:rsidRDefault="004C6CBE" w:rsidP="005B6018">
      <w:pPr>
        <w:tabs>
          <w:tab w:val="left" w:pos="360"/>
        </w:tabs>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Advancements include AI optimizations for HE parameters, such as reinforcement learning to minimize computational costs in ciphertext operations (Lee et al., 202</w:t>
      </w:r>
      <w:r w:rsidR="005B6018">
        <w:rPr>
          <w:rFonts w:ascii="Times New Roman" w:hAnsi="Times New Roman" w:cs="Times New Roman"/>
          <w:sz w:val="24"/>
          <w:szCs w:val="24"/>
        </w:rPr>
        <w:t>2</w:t>
      </w:r>
      <w:r w:rsidRPr="00A905E7">
        <w:rPr>
          <w:rFonts w:ascii="Times New Roman" w:hAnsi="Times New Roman" w:cs="Times New Roman"/>
          <w:sz w:val="24"/>
          <w:szCs w:val="24"/>
        </w:rPr>
        <w:t xml:space="preserve">). In telehealth, this enables real-time analysis of video consultation data for sentiment-based mental health assessments, illuminating dark behavioral signals </w:t>
      </w:r>
      <w:r w:rsidR="005B6018" w:rsidRPr="00201561">
        <w:rPr>
          <w:rFonts w:ascii="Times New Roman" w:hAnsi="Times New Roman" w:cs="Times New Roman"/>
          <w:sz w:val="24"/>
          <w:szCs w:val="24"/>
        </w:rPr>
        <w:t>(Xu et al., 2021)</w:t>
      </w:r>
      <w:r w:rsidRPr="00A905E7">
        <w:rPr>
          <w:rFonts w:ascii="Times New Roman" w:hAnsi="Times New Roman" w:cs="Times New Roman"/>
          <w:sz w:val="24"/>
          <w:szCs w:val="24"/>
        </w:rPr>
        <w:t xml:space="preserve">. Yet, integration challenges involve balancing accuracy and efficiency; AI models under HE </w:t>
      </w:r>
      <w:proofErr w:type="gramStart"/>
      <w:r w:rsidRPr="00A905E7">
        <w:rPr>
          <w:rFonts w:ascii="Times New Roman" w:hAnsi="Times New Roman" w:cs="Times New Roman"/>
          <w:sz w:val="24"/>
          <w:szCs w:val="24"/>
        </w:rPr>
        <w:t>suffer</w:t>
      </w:r>
      <w:proofErr w:type="gramEnd"/>
      <w:r w:rsidRPr="00A905E7">
        <w:rPr>
          <w:rFonts w:ascii="Times New Roman" w:hAnsi="Times New Roman" w:cs="Times New Roman"/>
          <w:sz w:val="24"/>
          <w:szCs w:val="24"/>
        </w:rPr>
        <w:t xml:space="preserve"> from approximation errors, requiring hybrid schemes </w:t>
      </w:r>
      <w:r w:rsidR="005B6018" w:rsidRPr="00AF3BEF">
        <w:rPr>
          <w:rFonts w:ascii="Times New Roman" w:hAnsi="Times New Roman" w:cs="Times New Roman"/>
          <w:sz w:val="24"/>
          <w:szCs w:val="24"/>
        </w:rPr>
        <w:t>(Rashid &amp; Yasin, 2025)</w:t>
      </w:r>
      <w:r w:rsidRPr="00A905E7">
        <w:rPr>
          <w:rFonts w:ascii="Times New Roman" w:hAnsi="Times New Roman" w:cs="Times New Roman"/>
          <w:sz w:val="24"/>
          <w:szCs w:val="24"/>
        </w:rPr>
        <w:t>. This synergy directly tackles the ethical and technical barriers, paving the way for novel frameworks.</w:t>
      </w:r>
    </w:p>
    <w:p w14:paraId="2AB3AE3A"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Current Gaps and Research Opportunities</w:t>
      </w:r>
    </w:p>
    <w:p w14:paraId="4A2F9DC5" w14:textId="1DE49B83" w:rsidR="004C6CBE" w:rsidRPr="00A905E7" w:rsidRDefault="004C6CBE" w:rsidP="00B429C0">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Despite progress, significant gaps remain in applying AI-driven HE to telehealth, particularly for real-time dark data analysis. Current HE schemes exhibit high latency, unsuitable for time-sensitive telehealth scenarios like emergency monitoring, where delays could miss underreported adverse events (Bourse et al., 2018). Moreover, limited interoperability with diverse AI architectures restricts scalability in heterogeneous telehealth systems </w:t>
      </w:r>
      <w:r w:rsidR="00B429C0" w:rsidRPr="00BB3BC6">
        <w:rPr>
          <w:rFonts w:ascii="Times New Roman" w:hAnsi="Times New Roman" w:cs="Times New Roman"/>
          <w:sz w:val="24"/>
          <w:szCs w:val="24"/>
        </w:rPr>
        <w:t>(Arai &amp; Sakuma, 2011)</w:t>
      </w:r>
      <w:r w:rsidRPr="00A905E7">
        <w:rPr>
          <w:rFonts w:ascii="Times New Roman" w:hAnsi="Times New Roman" w:cs="Times New Roman"/>
          <w:sz w:val="24"/>
          <w:szCs w:val="24"/>
        </w:rPr>
        <w:t>. Ethical gaps include insufficient frameworks for bias mitigation in encrypted AI outputs, potentially perpetuating inequities in dark data utilization (Obermeyer et al., 2019). Empirical studies reveal that while HE secures data sharing, it underperforms in multi-party computations for large-scale telehealth networks, leaving opportunities for optimized protocols (</w:t>
      </w:r>
      <w:proofErr w:type="spellStart"/>
      <w:r w:rsidRPr="00A905E7">
        <w:rPr>
          <w:rFonts w:ascii="Times New Roman" w:hAnsi="Times New Roman" w:cs="Times New Roman"/>
          <w:sz w:val="24"/>
          <w:szCs w:val="24"/>
        </w:rPr>
        <w:t>Ryffel</w:t>
      </w:r>
      <w:proofErr w:type="spellEnd"/>
      <w:r w:rsidRPr="00A905E7">
        <w:rPr>
          <w:rFonts w:ascii="Times New Roman" w:hAnsi="Times New Roman" w:cs="Times New Roman"/>
          <w:sz w:val="24"/>
          <w:szCs w:val="24"/>
        </w:rPr>
        <w:t xml:space="preserve"> et al., 2018).</w:t>
      </w:r>
    </w:p>
    <w:p w14:paraId="1FC458F9" w14:textId="68056EF9" w:rsidR="004C6CBE" w:rsidRPr="00A905E7" w:rsidRDefault="004C6CBE" w:rsidP="00B429C0">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These deficiencies highlight the need for a novel framework that leverages AI to dynamically adjust HE parameters for real-time efficiency, bridging the gaps in privacy-preserving analysis of </w:t>
      </w:r>
      <w:r w:rsidRPr="00A905E7">
        <w:rPr>
          <w:rFonts w:ascii="Times New Roman" w:hAnsi="Times New Roman" w:cs="Times New Roman"/>
          <w:sz w:val="24"/>
          <w:szCs w:val="24"/>
        </w:rPr>
        <w:lastRenderedPageBreak/>
        <w:t xml:space="preserve">underreported signals. Future research could explore quantum-resistant HE variants to future-proof telehealth against emerging threats </w:t>
      </w:r>
      <w:r w:rsidR="00B429C0" w:rsidRPr="00BB3BC6">
        <w:rPr>
          <w:rFonts w:ascii="Times New Roman" w:hAnsi="Times New Roman" w:cs="Times New Roman"/>
          <w:sz w:val="24"/>
          <w:szCs w:val="24"/>
        </w:rPr>
        <w:t>(Moody, 2022)</w:t>
      </w:r>
      <w:r w:rsidRPr="00A905E7">
        <w:rPr>
          <w:rFonts w:ascii="Times New Roman" w:hAnsi="Times New Roman" w:cs="Times New Roman"/>
          <w:sz w:val="24"/>
          <w:szCs w:val="24"/>
        </w:rPr>
        <w:t xml:space="preserve">. </w:t>
      </w:r>
    </w:p>
    <w:p w14:paraId="5DCA69E7"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3.</w:t>
      </w:r>
      <w:r w:rsidRPr="00A905E7">
        <w:rPr>
          <w:rFonts w:ascii="Times New Roman" w:hAnsi="Times New Roman" w:cs="Times New Roman"/>
          <w:b/>
          <w:bCs/>
          <w:sz w:val="24"/>
          <w:szCs w:val="24"/>
        </w:rPr>
        <w:tab/>
        <w:t>Research Methodology</w:t>
      </w:r>
    </w:p>
    <w:p w14:paraId="394DB808"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This chapter presents a rigorous methodology for developing a predictive framework to identify and utilize underreported clinical signals within dark data repositories in digital health systems. Building on the literature review, which identified gaps in secure, ethical data utilization and AI integration for telehealth, this approach prioritizes remote, cloud-based implementation suitable for resource-constrained environments. The methodology integrates data mining and machine learning to extract hidden patterns, assess their clinical impact, and establish standardized data processing protocols, ensuring ethical compliance and reproducibility. An adapted Cross-Industry Standard Process for Data Mining (CRISP-DM) framework, tailored for healthcare contexts, serves as the foundation for handling sensitive, underutilized data sources effectively (</w:t>
      </w:r>
      <w:proofErr w:type="spellStart"/>
      <w:r w:rsidRPr="00A905E7">
        <w:rPr>
          <w:rFonts w:ascii="Times New Roman" w:hAnsi="Times New Roman" w:cs="Times New Roman"/>
          <w:sz w:val="24"/>
          <w:szCs w:val="24"/>
        </w:rPr>
        <w:t>Niaksu</w:t>
      </w:r>
      <w:proofErr w:type="spellEnd"/>
      <w:r w:rsidRPr="00A905E7">
        <w:rPr>
          <w:rFonts w:ascii="Times New Roman" w:hAnsi="Times New Roman" w:cs="Times New Roman"/>
          <w:sz w:val="24"/>
          <w:szCs w:val="24"/>
        </w:rPr>
        <w:t>, 2015).</w:t>
      </w:r>
    </w:p>
    <w:p w14:paraId="7599E112"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Research Design and Framework</w:t>
      </w:r>
    </w:p>
    <w:p w14:paraId="2B5C6B66" w14:textId="4471F200"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The research employs a mixed-methods design, combining quantitative data analytics with qualitative ethical assessments, conducted entirely through virtual platforms and publicly accessible resources. This design enables systematic identification of dark data, defined as collected but unanalyzed clinical information, by adapting the six phases of CRISP-DM: problem understanding, data understanding, data preparation, modeling, evaluation, and deployment. In the problem understanding phase, objectives are aligned with healthcare challenges, such as detecting early adverse event markers, using iterative cycles to refine goals based on preliminary insights (</w:t>
      </w:r>
      <w:proofErr w:type="spellStart"/>
      <w:r w:rsidRPr="00A905E7">
        <w:rPr>
          <w:rFonts w:ascii="Times New Roman" w:hAnsi="Times New Roman" w:cs="Times New Roman"/>
          <w:sz w:val="24"/>
          <w:szCs w:val="24"/>
        </w:rPr>
        <w:t>Groysman</w:t>
      </w:r>
      <w:proofErr w:type="spellEnd"/>
      <w:r w:rsidRPr="00A905E7">
        <w:rPr>
          <w:rFonts w:ascii="Times New Roman" w:hAnsi="Times New Roman" w:cs="Times New Roman"/>
          <w:sz w:val="24"/>
          <w:szCs w:val="24"/>
        </w:rPr>
        <w:t xml:space="preserve">, </w:t>
      </w:r>
      <w:r w:rsidR="00A905E7">
        <w:rPr>
          <w:rFonts w:ascii="Times New Roman" w:hAnsi="Times New Roman" w:cs="Times New Roman"/>
          <w:sz w:val="24"/>
          <w:szCs w:val="24"/>
        </w:rPr>
        <w:t>2025</w:t>
      </w:r>
      <w:r w:rsidRPr="00A905E7">
        <w:rPr>
          <w:rFonts w:ascii="Times New Roman" w:hAnsi="Times New Roman" w:cs="Times New Roman"/>
          <w:sz w:val="24"/>
          <w:szCs w:val="24"/>
        </w:rPr>
        <w:t>). The data understanding phase involves remotely exploring dataset characteristics and identifying potential dark data elements through metadata analysis without requiring physical access.</w:t>
      </w:r>
    </w:p>
    <w:p w14:paraId="1390E546"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This framework ensures scalability, progressing from small-scale cloud-based pilots to larger deployments, optimized for typical healthcare IT environments. The predictive framework uses Bayesian inference to estimate pattern probabilities. The probability of detecting underreported signals given dark data repositories is expressed as:</w:t>
      </w:r>
    </w:p>
    <w:p w14:paraId="38B87144"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P(S</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arg</m:t>
          </m:r>
          <m: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max</m:t>
              </m:r>
              <m:r>
                <w:rPr>
                  <w:rFonts w:ascii="Cambria Math" w:hAnsi="Cambria Math" w:cs="Times New Roman"/>
                  <w:sz w:val="24"/>
                  <w:szCs w:val="24"/>
                </w:rPr>
                <m:t>⁡</m:t>
              </m:r>
            </m:e>
            <m:lim>
              <m:r>
                <w:rPr>
                  <w:rFonts w:ascii="Cambria Math" w:hAnsi="Cambria Math" w:cs="Times New Roman"/>
                  <w:sz w:val="24"/>
                  <w:szCs w:val="24"/>
                </w:rPr>
                <m:t>S</m:t>
              </m:r>
            </m:lim>
          </m:limLow>
          <m:r>
            <w:rPr>
              <w:rFonts w:ascii="Cambria Math" w:hAnsi="Cambria Math" w:cs="Times New Roman"/>
              <w:sz w:val="24"/>
              <w:szCs w:val="24"/>
            </w:rPr>
            <m:t>P(D</m:t>
          </m:r>
          <m:r>
            <m:rPr>
              <m:sty m:val="p"/>
            </m:rPr>
            <w:rPr>
              <w:rFonts w:ascii="Cambria Math" w:hAnsi="Cambria Math" w:cs="Times New Roman"/>
              <w:sz w:val="24"/>
              <w:szCs w:val="24"/>
            </w:rPr>
            <m:t>∣</m:t>
          </m:r>
          <m:r>
            <w:rPr>
              <w:rFonts w:ascii="Cambria Math" w:hAnsi="Cambria Math" w:cs="Times New Roman"/>
              <w:sz w:val="24"/>
              <w:szCs w:val="24"/>
            </w:rPr>
            <m:t>S)P(S),</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where the variable (S) represents underreported clinical signals, (D) denotes dark data repositories, (P(D|S)) is the likelihood of the data given the signal, and (P(S)) is the prior probability of the signal (Goldenholz et al., 2023). This probabilistic approach quantifies uncertainty in signal detection, which is essential for clinical utility.</w:t>
      </w:r>
    </w:p>
    <w:p w14:paraId="5ADF2C66" w14:textId="77777777" w:rsidR="00B832D9" w:rsidRDefault="00B832D9" w:rsidP="00A905E7">
      <w:pPr>
        <w:spacing w:line="360" w:lineRule="auto"/>
        <w:jc w:val="both"/>
        <w:rPr>
          <w:rFonts w:ascii="Times New Roman" w:hAnsi="Times New Roman" w:cs="Times New Roman"/>
          <w:b/>
          <w:bCs/>
          <w:sz w:val="24"/>
          <w:szCs w:val="24"/>
        </w:rPr>
      </w:pPr>
    </w:p>
    <w:p w14:paraId="15876212" w14:textId="77777777" w:rsidR="00B832D9" w:rsidRDefault="00B832D9" w:rsidP="00A905E7">
      <w:pPr>
        <w:spacing w:line="360" w:lineRule="auto"/>
        <w:jc w:val="both"/>
        <w:rPr>
          <w:rFonts w:ascii="Times New Roman" w:hAnsi="Times New Roman" w:cs="Times New Roman"/>
          <w:b/>
          <w:bCs/>
          <w:sz w:val="24"/>
          <w:szCs w:val="24"/>
        </w:rPr>
      </w:pPr>
    </w:p>
    <w:p w14:paraId="16DE1872" w14:textId="3EB7355F"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Data Sources and Collection</w:t>
      </w:r>
    </w:p>
    <w:p w14:paraId="615C7F9D" w14:textId="17ACAF0B" w:rsidR="004C6CBE" w:rsidRPr="00A905E7" w:rsidRDefault="004C6CBE" w:rsidP="00E24EFE">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Data sources are drawn from publicly available, de-identified healthcare datasets accessible via cloud platforms, ensuring compliance with regulations such as HIPAA and GDPR. Selected repositories include MIMIC-IV for intensive care signals, </w:t>
      </w:r>
      <w:proofErr w:type="spellStart"/>
      <w:r w:rsidRPr="00A905E7">
        <w:rPr>
          <w:rFonts w:ascii="Times New Roman" w:hAnsi="Times New Roman" w:cs="Times New Roman"/>
          <w:sz w:val="24"/>
          <w:szCs w:val="24"/>
        </w:rPr>
        <w:t>PhysioNet</w:t>
      </w:r>
      <w:proofErr w:type="spellEnd"/>
      <w:r w:rsidRPr="00A905E7">
        <w:rPr>
          <w:rFonts w:ascii="Times New Roman" w:hAnsi="Times New Roman" w:cs="Times New Roman"/>
          <w:sz w:val="24"/>
          <w:szCs w:val="24"/>
        </w:rPr>
        <w:t xml:space="preserve"> for physiological waveforms, and </w:t>
      </w:r>
      <w:proofErr w:type="spellStart"/>
      <w:r w:rsidRPr="00A905E7">
        <w:rPr>
          <w:rFonts w:ascii="Times New Roman" w:hAnsi="Times New Roman" w:cs="Times New Roman"/>
          <w:sz w:val="24"/>
          <w:szCs w:val="24"/>
        </w:rPr>
        <w:t>eICU</w:t>
      </w:r>
      <w:proofErr w:type="spellEnd"/>
      <w:r w:rsidRPr="00A905E7">
        <w:rPr>
          <w:rFonts w:ascii="Times New Roman" w:hAnsi="Times New Roman" w:cs="Times New Roman"/>
          <w:sz w:val="24"/>
          <w:szCs w:val="24"/>
        </w:rPr>
        <w:t xml:space="preserve">-CRD for multicenter critical care data, chosen for their multimodal nature, encompassing structured electronic health record (EHR) entries, time-series vital signs, and semi-structured notes that often contain dark data </w:t>
      </w:r>
      <w:r w:rsidR="00E24EFE" w:rsidRPr="00C01E3D">
        <w:rPr>
          <w:rFonts w:ascii="Times New Roman" w:hAnsi="Times New Roman" w:cs="Times New Roman"/>
          <w:sz w:val="24"/>
          <w:szCs w:val="24"/>
        </w:rPr>
        <w:t>(Kale &amp; Pandey, 2024)</w:t>
      </w:r>
      <w:r w:rsidRPr="00A905E7">
        <w:rPr>
          <w:rFonts w:ascii="Times New Roman" w:hAnsi="Times New Roman" w:cs="Times New Roman"/>
          <w:sz w:val="24"/>
          <w:szCs w:val="24"/>
        </w:rPr>
        <w:t xml:space="preserve">. Collection methods utilize application programming interfaces (APIs) and secure query interfaces, such as </w:t>
      </w:r>
      <w:proofErr w:type="spellStart"/>
      <w:r w:rsidRPr="00A905E7">
        <w:rPr>
          <w:rFonts w:ascii="Times New Roman" w:hAnsi="Times New Roman" w:cs="Times New Roman"/>
          <w:sz w:val="24"/>
          <w:szCs w:val="24"/>
        </w:rPr>
        <w:t>PhysioNet’s</w:t>
      </w:r>
      <w:proofErr w:type="spellEnd"/>
      <w:r w:rsidRPr="00A905E7">
        <w:rPr>
          <w:rFonts w:ascii="Times New Roman" w:hAnsi="Times New Roman" w:cs="Times New Roman"/>
          <w:sz w:val="24"/>
          <w:szCs w:val="24"/>
        </w:rPr>
        <w:t xml:space="preserve"> credentialed access system, enabling remote downloading and integration without direct patient interaction.</w:t>
      </w:r>
    </w:p>
    <w:p w14:paraId="34989EB3"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Datasets are selected based on criteria including size, with millions of data points; annotation quality; and relevance to underreported signals, such as low-reporting adverse drug reactions. For example, MIMIC-IV provides over 250,000 patient admissions with temporal data spanning years, making it ideal for retrospective analysis. To address potential biases, datasets from diverse geographical contexts are included to enhance generalizability. The collection process is documented in version-controlled repositories, with automated scripts minimizing manual effort to ensure reproducibility (Bradshaw et al., 2023).</w:t>
      </w:r>
    </w:p>
    <w:p w14:paraId="5E0D0BBF"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Data Preparation and Preprocessing</w:t>
      </w:r>
    </w:p>
    <w:p w14:paraId="35888C9B"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Data preparation transforms raw datasets into analyzable forms, addressing dark data challenges such as incompleteness and inconsistency. Missing value imputation employs the k-nearest neighbors (KNN) algorithm, using the Euclidean distance metric:</w:t>
      </w:r>
    </w:p>
    <w:p w14:paraId="5286F791"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d(x,y)=</m:t>
          </m:r>
          <m:rad>
            <m:radPr>
              <m:degHide m:val="1"/>
              <m:ctrlPr>
                <w:rPr>
                  <w:rFonts w:ascii="Cambria Math" w:hAnsi="Cambria Math" w:cs="Times New Roman"/>
                  <w:sz w:val="24"/>
                  <w:szCs w:val="24"/>
                </w:rPr>
              </m:ctrlPr>
            </m:radPr>
            <m:deg/>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e>
          </m:rad>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the variable (x) represents a data point, (y) is another data point,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are their respective feature values, and </w:t>
      </w:r>
      <m:oMath>
        <m:r>
          <w:rPr>
            <w:rFonts w:ascii="Cambria Math" w:hAnsi="Cambria Math" w:cs="Times New Roman"/>
            <w:sz w:val="24"/>
            <w:szCs w:val="24"/>
          </w:rPr>
          <m:t>k=5</m:t>
        </m:r>
      </m:oMath>
      <w:r w:rsidRPr="00A905E7">
        <w:rPr>
          <w:rFonts w:ascii="Times New Roman" w:hAnsi="Times New Roman" w:cs="Times New Roman"/>
          <w:sz w:val="24"/>
          <w:szCs w:val="24"/>
        </w:rPr>
        <w:t xml:space="preserve"> neighbors are selected to preserve clinical relevance (Liu et al., 2023). Outlier detection uses density-based spatial clustering of applications with noise (DBSCAN), defined by the parameters </w:t>
      </w:r>
      <m:oMath>
        <m:r>
          <w:rPr>
            <w:rFonts w:ascii="Cambria Math" w:hAnsi="Cambria Math" w:cs="Times New Roman"/>
            <w:sz w:val="24"/>
            <w:szCs w:val="24"/>
          </w:rPr>
          <m:t>ϵ</m:t>
        </m:r>
      </m:oMath>
      <w:r w:rsidRPr="00A905E7">
        <w:rPr>
          <w:rFonts w:ascii="Times New Roman" w:hAnsi="Times New Roman" w:cs="Times New Roman"/>
          <w:sz w:val="24"/>
          <w:szCs w:val="24"/>
        </w:rPr>
        <w:t xml:space="preserve">, which is the radius, and </w:t>
      </w:r>
      <w:proofErr w:type="spellStart"/>
      <w:r w:rsidRPr="00A905E7">
        <w:rPr>
          <w:rFonts w:ascii="Times New Roman" w:hAnsi="Times New Roman" w:cs="Times New Roman"/>
          <w:sz w:val="24"/>
          <w:szCs w:val="24"/>
        </w:rPr>
        <w:t>MinPts</w:t>
      </w:r>
      <w:proofErr w:type="spellEnd"/>
      <w:r w:rsidRPr="00A905E7">
        <w:rPr>
          <w:rFonts w:ascii="Times New Roman" w:hAnsi="Times New Roman" w:cs="Times New Roman"/>
          <w:sz w:val="24"/>
          <w:szCs w:val="24"/>
        </w:rPr>
        <w:t>, which is the minimum number of points, to identify anomalous clinical readings that may indicate underreported events (</w:t>
      </w:r>
      <w:proofErr w:type="spellStart"/>
      <w:r w:rsidRPr="00A905E7">
        <w:rPr>
          <w:rFonts w:ascii="Times New Roman" w:hAnsi="Times New Roman" w:cs="Times New Roman"/>
          <w:sz w:val="24"/>
          <w:szCs w:val="24"/>
        </w:rPr>
        <w:t>Ferrão</w:t>
      </w:r>
      <w:proofErr w:type="spellEnd"/>
      <w:r w:rsidRPr="00A905E7">
        <w:rPr>
          <w:rFonts w:ascii="Times New Roman" w:hAnsi="Times New Roman" w:cs="Times New Roman"/>
          <w:sz w:val="24"/>
          <w:szCs w:val="24"/>
        </w:rPr>
        <w:t xml:space="preserve"> et al., 2016</w:t>
      </w:r>
      <w:proofErr w:type="gramStart"/>
      <w:r w:rsidRPr="00A905E7">
        <w:rPr>
          <w:rFonts w:ascii="Times New Roman" w:hAnsi="Times New Roman" w:cs="Times New Roman"/>
          <w:sz w:val="24"/>
          <w:szCs w:val="24"/>
        </w:rPr>
        <w:t>).Normalization</w:t>
      </w:r>
      <w:proofErr w:type="gramEnd"/>
      <w:r w:rsidRPr="00A905E7">
        <w:rPr>
          <w:rFonts w:ascii="Times New Roman" w:hAnsi="Times New Roman" w:cs="Times New Roman"/>
          <w:sz w:val="24"/>
          <w:szCs w:val="24"/>
        </w:rPr>
        <w:t xml:space="preserve"> applies min-max scaling:</w:t>
      </w:r>
    </w:p>
    <w:p w14:paraId="1ED446AD" w14:textId="77777777" w:rsidR="004C6CBE" w:rsidRPr="00A905E7" w:rsidRDefault="004E61C0" w:rsidP="00A905E7">
      <w:pPr>
        <w:spacing w:line="36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x</m:t>
              </m:r>
            </m:e>
            <m:sup>
              <m:r>
                <m:rPr>
                  <m:sty m:val="p"/>
                </m:rP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x</m:t>
              </m:r>
              <m:r>
                <w:rPr>
                  <w:rFonts w:ascii="Cambria Math" w:hAnsi="Cambria Math" w:cs="Times New Roman"/>
                  <w:sz w:val="24"/>
                  <w:szCs w:val="24"/>
                </w:rPr>
                <m:t>-</m:t>
              </m:r>
              <m:r>
                <m:rPr>
                  <m:sty m:val="p"/>
                </m:rPr>
                <w:rPr>
                  <w:rFonts w:ascii="Cambria Math" w:hAnsi="Cambria Math" w:cs="Times New Roman"/>
                  <w:sz w:val="24"/>
                  <w:szCs w:val="24"/>
                </w:rPr>
                <m:t>min</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num>
            <m:den>
              <m:r>
                <m:rPr>
                  <m:sty m:val="p"/>
                </m:rPr>
                <w:rPr>
                  <w:rFonts w:ascii="Cambria Math" w:hAnsi="Cambria Math" w:cs="Times New Roman"/>
                  <w:sz w:val="24"/>
                  <w:szCs w:val="24"/>
                </w:rPr>
                <m:t>max</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r>
                <m:rPr>
                  <m:sty m:val="p"/>
                </m:rPr>
                <w:rPr>
                  <w:rFonts w:ascii="Cambria Math" w:hAnsi="Cambria Math" w:cs="Times New Roman"/>
                  <w:sz w:val="24"/>
                  <w:szCs w:val="24"/>
                </w:rPr>
                <m:t>min</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den>
          </m:f>
          <m:r>
            <w:rPr>
              <w:rFonts w:ascii="Cambria Math" w:hAnsi="Cambria Math" w:cs="Times New Roman"/>
              <w:sz w:val="24"/>
              <w:szCs w:val="24"/>
            </w:rPr>
            <m:t>,</m:t>
          </m:r>
          <m:r>
            <m:rPr>
              <m:sty m:val="p"/>
            </m:rPr>
            <w:rPr>
              <w:rFonts w:ascii="Cambria Math" w:hAnsi="Cambria Math" w:cs="Times New Roman"/>
              <w:sz w:val="24"/>
              <w:szCs w:val="24"/>
            </w:rPr>
            <w:br/>
          </m:r>
        </m:oMath>
      </m:oMathPara>
      <w:r w:rsidR="004C6CBE" w:rsidRPr="00A905E7">
        <w:rPr>
          <w:rFonts w:ascii="Times New Roman" w:hAnsi="Times New Roman" w:cs="Times New Roman"/>
          <w:sz w:val="24"/>
          <w:szCs w:val="24"/>
        </w:rPr>
        <w:t xml:space="preserve">where (x) is the original feature value, (X) is the feature set, </w:t>
      </w:r>
      <m:oMath>
        <m:r>
          <m:rPr>
            <m:sty m:val="p"/>
          </m:rPr>
          <w:rPr>
            <w:rFonts w:ascii="Cambria Math" w:hAnsi="Cambria Math" w:cs="Times New Roman"/>
            <w:sz w:val="24"/>
            <w:szCs w:val="24"/>
          </w:rPr>
          <m:t>min</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oMath>
      <w:r w:rsidR="004C6CBE" w:rsidRPr="00A905E7">
        <w:rPr>
          <w:rFonts w:ascii="Times New Roman" w:hAnsi="Times New Roman" w:cs="Times New Roman"/>
          <w:sz w:val="24"/>
          <w:szCs w:val="24"/>
        </w:rPr>
        <w:t xml:space="preserve"> is the minimum value, </w:t>
      </w:r>
      <m:oMath>
        <m:r>
          <m:rPr>
            <m:sty m:val="p"/>
          </m:rPr>
          <w:rPr>
            <w:rFonts w:ascii="Cambria Math" w:hAnsi="Cambria Math" w:cs="Times New Roman"/>
            <w:sz w:val="24"/>
            <w:szCs w:val="24"/>
          </w:rPr>
          <m:t>max</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oMath>
      <w:r w:rsidR="004C6CBE" w:rsidRPr="00A905E7">
        <w:rPr>
          <w:rFonts w:ascii="Times New Roman" w:eastAsiaTheme="minorEastAsia" w:hAnsi="Times New Roman" w:cs="Times New Roman"/>
          <w:sz w:val="24"/>
          <w:szCs w:val="24"/>
        </w:rPr>
        <w:t xml:space="preserve"> </w:t>
      </w:r>
      <w:r w:rsidR="004C6CBE" w:rsidRPr="00A905E7">
        <w:rPr>
          <w:rFonts w:ascii="Times New Roman" w:hAnsi="Times New Roman" w:cs="Times New Roman"/>
          <w:sz w:val="24"/>
          <w:szCs w:val="24"/>
        </w:rPr>
        <w:t>is the maximum value, and (x') is the normalized value, ensuring features like vital signs are on a comparable scale for machine learning inputs. Categorical encoding uses one-hot vectors to avoid ordinal assumptions in variables such as diagnosis codes. Feature selection employs recursive feature elimination (RFE), iteratively removing the least important features based on model coefficients. Dimensionality reduction through principal component analysis (PCA) projects data onto principal axes:</w:t>
      </w:r>
    </w:p>
    <w:p w14:paraId="50A81BE2" w14:textId="77777777" w:rsidR="004C6CBE" w:rsidRPr="00A905E7" w:rsidRDefault="004E61C0" w:rsidP="00A905E7">
      <w:pPr>
        <w:spacing w:line="36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X</m:t>
              </m:r>
            </m:e>
            <m:sup>
              <m:r>
                <m:rPr>
                  <m:sty m:val="p"/>
                </m:rP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XW</m:t>
          </m:r>
          <m:r>
            <w:rPr>
              <w:rFonts w:ascii="Cambria Math" w:hAnsi="Cambria Math" w:cs="Times New Roman"/>
              <w:sz w:val="24"/>
              <w:szCs w:val="24"/>
            </w:rPr>
            <m:t>,</m:t>
          </m:r>
          <m:r>
            <m:rPr>
              <m:sty m:val="p"/>
            </m:rPr>
            <w:rPr>
              <w:rFonts w:ascii="Cambria Math" w:hAnsi="Cambria Math" w:cs="Times New Roman"/>
              <w:sz w:val="24"/>
              <w:szCs w:val="24"/>
            </w:rPr>
            <w:br/>
          </m:r>
        </m:oMath>
      </m:oMathPara>
      <w:r w:rsidR="004C6CBE" w:rsidRPr="00A905E7">
        <w:rPr>
          <w:rFonts w:ascii="Times New Roman" w:hAnsi="Times New Roman" w:cs="Times New Roman"/>
          <w:sz w:val="24"/>
          <w:szCs w:val="24"/>
        </w:rPr>
        <w:t xml:space="preserve">where </w:t>
      </w:r>
      <w:proofErr w:type="gramStart"/>
      <w:r w:rsidR="004C6CBE" w:rsidRPr="00A905E7">
        <w:rPr>
          <w:rFonts w:ascii="Times New Roman" w:hAnsi="Times New Roman" w:cs="Times New Roman"/>
          <w:sz w:val="24"/>
          <w:szCs w:val="24"/>
        </w:rPr>
        <w:t>( X</w:t>
      </w:r>
      <w:proofErr w:type="gramEnd"/>
      <w:r w:rsidR="004C6CBE" w:rsidRPr="00A905E7">
        <w:rPr>
          <w:rFonts w:ascii="Times New Roman" w:hAnsi="Times New Roman" w:cs="Times New Roman"/>
          <w:sz w:val="24"/>
          <w:szCs w:val="24"/>
        </w:rPr>
        <w:t xml:space="preserve"> ) is the original data matrix, (W) represents eigenvectors, and (X') is the transformed data, retaining 95% variance to uncover hidden patterns in dark data (Kale &amp; Pandey, 2024). For imbalanced classes, the synthetic minority over-sampling technique (SMOTE) generates synthetic samples:</w:t>
      </w:r>
    </w:p>
    <w:p w14:paraId="5C42A06A"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new</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+λ(</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zi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a minority class sample,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zi</m:t>
            </m:r>
          </m:sub>
        </m:sSub>
      </m:oMath>
      <w:r w:rsidRPr="00A905E7">
        <w:rPr>
          <w:rFonts w:ascii="Times New Roman" w:hAnsi="Times New Roman" w:cs="Times New Roman"/>
          <w:sz w:val="24"/>
          <w:szCs w:val="24"/>
        </w:rPr>
        <w:t xml:space="preserve"> is a nearest neighbor, </w:t>
      </w:r>
      <m:oMath>
        <m:r>
          <w:rPr>
            <w:rFonts w:ascii="Cambria Math" w:hAnsi="Cambria Math" w:cs="Times New Roman"/>
            <w:sz w:val="24"/>
            <w:szCs w:val="24"/>
          </w:rPr>
          <m:t>λ</m:t>
        </m:r>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is a random value in the interval [0,1], and </w:t>
      </w:r>
      <m:oMath>
        <m:r>
          <m:rPr>
            <m:nor/>
          </m:rPr>
          <w:rPr>
            <w:rFonts w:ascii="Times New Roman" w:hAnsi="Times New Roman" w:cs="Times New Roman"/>
            <w:sz w:val="24"/>
            <w:szCs w:val="24"/>
          </w:rPr>
          <m:t>new</m:t>
        </m:r>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is the synthetic sample, balancing underreported signal classes.</w:t>
      </w:r>
    </w:p>
    <w:p w14:paraId="0310F142"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The formula for interquartile range (IQR) for outlier detection:</w:t>
      </w:r>
    </w:p>
    <w:p w14:paraId="3C040FEC"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w:lastRenderedPageBreak/>
            <m:t>IQR</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oMath>
      <w:r w:rsidRPr="00A905E7">
        <w:rPr>
          <w:rFonts w:ascii="Times New Roman" w:hAnsi="Times New Roman" w:cs="Times New Roman"/>
          <w:sz w:val="24"/>
          <w:szCs w:val="24"/>
        </w:rPr>
        <w:t xml:space="preserve"> is the third quartile and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oMath>
      <w:r w:rsidRPr="00A905E7">
        <w:rPr>
          <w:rFonts w:ascii="Times New Roman" w:hAnsi="Times New Roman" w:cs="Times New Roman"/>
          <w:sz w:val="24"/>
          <w:szCs w:val="24"/>
        </w:rPr>
        <w:t xml:space="preserve"> is the first quartile. Additionally, mutual information for feature selection is calculated as:</w:t>
      </w:r>
    </w:p>
    <w:p w14:paraId="02E3AB41"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I(X;Y)=</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x,y</m:t>
              </m:r>
            </m:sub>
            <m:sup/>
            <m:e>
              <m:r>
                <w:rPr>
                  <w:rFonts w:ascii="Cambria Math" w:hAnsi="Cambria Math" w:cs="Times New Roman"/>
                  <w:sz w:val="24"/>
                  <w:szCs w:val="24"/>
                </w:rPr>
                <m:t>p(x,y)</m:t>
              </m:r>
              <m:r>
                <m:rPr>
                  <m:sty m:val="p"/>
                </m:rPr>
                <w:rPr>
                  <w:rFonts w:ascii="Cambria Math" w:hAnsi="Cambria Math" w:cs="Times New Roman"/>
                  <w:sz w:val="24"/>
                  <w:szCs w:val="24"/>
                </w:rPr>
                <m:t>log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p(x,y)</m:t>
                  </m:r>
                </m:num>
                <m:den>
                  <m:r>
                    <w:rPr>
                      <w:rFonts w:ascii="Cambria Math" w:hAnsi="Cambria Math" w:cs="Times New Roman"/>
                      <w:sz w:val="24"/>
                      <w:szCs w:val="24"/>
                    </w:rPr>
                    <m:t>p(x)p(y)</m:t>
                  </m:r>
                </m:den>
              </m:f>
              <m:r>
                <w:rPr>
                  <w:rFonts w:ascii="Cambria Math" w:hAnsi="Cambria Math" w:cs="Times New Roman"/>
                  <w:sz w:val="24"/>
                  <w:szCs w:val="24"/>
                </w:rPr>
                <m:t>)</m:t>
              </m:r>
            </m:e>
          </m:nary>
          <m:r>
            <w:rPr>
              <w:rFonts w:ascii="Cambria Math" w:hAnsi="Cambria Math" w:cs="Times New Roman"/>
              <w:sz w:val="24"/>
              <w:szCs w:val="24"/>
            </w:rPr>
            <m:t>,</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where (X) and (Y) are random variables, (p(</w:t>
      </w:r>
      <w:proofErr w:type="gramStart"/>
      <w:r w:rsidRPr="00A905E7">
        <w:rPr>
          <w:rFonts w:ascii="Times New Roman" w:hAnsi="Times New Roman" w:cs="Times New Roman"/>
          <w:sz w:val="24"/>
          <w:szCs w:val="24"/>
        </w:rPr>
        <w:t>x,y</w:t>
      </w:r>
      <w:proofErr w:type="gramEnd"/>
      <w:r w:rsidRPr="00A905E7">
        <w:rPr>
          <w:rFonts w:ascii="Times New Roman" w:hAnsi="Times New Roman" w:cs="Times New Roman"/>
          <w:sz w:val="24"/>
          <w:szCs w:val="24"/>
        </w:rPr>
        <w:t>)) is the joint probability, and (p(x)) and (p(y)) are marginal probabilities. These steps ensure data reliability, supporting the framework’s goal of extracting clinically actionable insights from underutilized datasets.</w:t>
      </w:r>
    </w:p>
    <w:p w14:paraId="732D90E9"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Modeling and Analytical Approaches</w:t>
      </w:r>
    </w:p>
    <w:p w14:paraId="361D329C"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Modeling integrates supervised and unsupervised algorithms to identify underreported clinical signals. Supervised methods include logistic regression for binary signal prediction:</w:t>
      </w:r>
    </w:p>
    <w:p w14:paraId="192B4DBC" w14:textId="77777777" w:rsidR="004C6CBE" w:rsidRPr="00A905E7" w:rsidRDefault="004C6CBE" w:rsidP="00A905E7">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log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(p) is the probability of a signal, </w:t>
      </w: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Pr="00A905E7">
        <w:rPr>
          <w:rFonts w:ascii="Times New Roman" w:hAnsi="Times New Roman" w:cs="Times New Roman"/>
          <w:sz w:val="24"/>
          <w:szCs w:val="24"/>
        </w:rPr>
        <w:t xml:space="preserve"> is the intercept, </w:t>
      </w: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are coefficients, and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are input features, with coefficients estimated via maximum likelihood (Hrovat et al., 2014). Support vector machines (SVM) optimize the hyperplane:</w:t>
      </w:r>
    </w:p>
    <w:p w14:paraId="2D51EE94" w14:textId="77777777" w:rsidR="004C6CBE" w:rsidRPr="00A905E7" w:rsidRDefault="004C6CBE" w:rsidP="00A905E7">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min</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sz w:val="24"/>
              <w:szCs w:val="24"/>
            </w:rPr>
            <m:t>∥</m:t>
          </m:r>
          <m:r>
            <w:rPr>
              <w:rFonts w:ascii="Cambria Math" w:hAnsi="Cambria Math" w:cs="Times New Roman"/>
              <w:sz w:val="24"/>
              <w:szCs w:val="24"/>
            </w:rPr>
            <m:t>w</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r>
            <m:rPr>
              <m:nor/>
            </m:rPr>
            <w:rPr>
              <w:rFonts w:ascii="Times New Roman" w:hAnsi="Times New Roman" w:cs="Times New Roman"/>
              <w:sz w:val="24"/>
              <w:szCs w:val="24"/>
            </w:rPr>
            <m:t>s.t.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(w⋅</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+b)≥1,</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(w) is the weight vector, (b) is the bias,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class label, and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input vector, using kernel tricks for non-linear boundaries in complex dark data (Chen et al., 2017). Neural networks, particularly autoencoders for anomaly detection, reconstruct inputs:</w:t>
      </w:r>
    </w:p>
    <w:p w14:paraId="3B3A6FF8" w14:textId="0DB97933" w:rsidR="004C6CBE" w:rsidRPr="00A905E7" w:rsidRDefault="004C6CBE" w:rsidP="00E24EFE">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y=σ(Wx+b),</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(x) is the input, (W) is the weight matrix, (b) is the bias, </w:t>
      </w:r>
      <m:oMath>
        <m:r>
          <w:rPr>
            <w:rFonts w:ascii="Cambria Math" w:hAnsi="Cambria Math" w:cs="Times New Roman"/>
            <w:sz w:val="24"/>
            <w:szCs w:val="24"/>
          </w:rPr>
          <m:t>σ</m:t>
        </m:r>
      </m:oMath>
      <w:r w:rsidRPr="00A905E7">
        <w:rPr>
          <w:rFonts w:ascii="Times New Roman" w:hAnsi="Times New Roman" w:cs="Times New Roman"/>
          <w:sz w:val="24"/>
          <w:szCs w:val="24"/>
        </w:rPr>
        <w:t xml:space="preserve"> is the sigmoid activation function, and (y) is the reconstructed output, flagging high reconstruction errors as potential signals </w:t>
      </w:r>
      <w:r w:rsidR="00E24EFE" w:rsidRPr="00C01E3D">
        <w:rPr>
          <w:rFonts w:ascii="Times New Roman" w:hAnsi="Times New Roman" w:cs="Times New Roman"/>
          <w:sz w:val="24"/>
          <w:szCs w:val="24"/>
        </w:rPr>
        <w:t>(Ramasamy &amp; Nirmala, 2017)</w:t>
      </w:r>
      <w:r w:rsidRPr="00A905E7">
        <w:rPr>
          <w:rFonts w:ascii="Times New Roman" w:hAnsi="Times New Roman" w:cs="Times New Roman"/>
          <w:sz w:val="24"/>
          <w:szCs w:val="24"/>
        </w:rPr>
        <w:t>.</w:t>
      </w:r>
      <w:r w:rsidR="00E24EFE">
        <w:rPr>
          <w:rFonts w:ascii="Times New Roman" w:hAnsi="Times New Roman" w:cs="Times New Roman"/>
          <w:sz w:val="24"/>
          <w:szCs w:val="24"/>
        </w:rPr>
        <w:t xml:space="preserve"> </w:t>
      </w:r>
      <w:r w:rsidRPr="00A905E7">
        <w:rPr>
          <w:rFonts w:ascii="Times New Roman" w:hAnsi="Times New Roman" w:cs="Times New Roman"/>
          <w:sz w:val="24"/>
          <w:szCs w:val="24"/>
        </w:rPr>
        <w:t>Unsupervised clustering via k-means minimizes within-cluster variance:</w:t>
      </w:r>
    </w:p>
    <w:p w14:paraId="4BE64C84" w14:textId="77777777" w:rsidR="004C6CBE" w:rsidRPr="00A905E7" w:rsidRDefault="004C6CBE" w:rsidP="00A905E7">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arg</m:t>
          </m:r>
          <m:r>
            <w:rPr>
              <w:rFonts w:ascii="Cambria Math" w:hAnsi="Cambria Math" w:cs="Times New Roman"/>
              <w:sz w:val="24"/>
              <w:szCs w:val="24"/>
            </w:rPr>
            <m:t>⁡</m:t>
          </m:r>
          <m:r>
            <m:rPr>
              <m:sty m:val="p"/>
            </m:rPr>
            <w:rPr>
              <w:rFonts w:ascii="Cambria Math" w:hAnsi="Cambria Math" w:cs="Times New Roman"/>
              <w:sz w:val="24"/>
              <w:szCs w:val="24"/>
            </w:rPr>
            <m:t>min</m:t>
          </m:r>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x∈</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sub>
                <m:sup/>
                <m:e>
                  <m:r>
                    <m:rPr>
                      <m:sty m:val="p"/>
                    </m:rPr>
                    <w:rPr>
                      <w:rFonts w:ascii="Cambria Math" w:hAnsi="Cambria Math" w:cs="Times New Roman"/>
                      <w:sz w:val="24"/>
                      <w:szCs w:val="24"/>
                    </w:rPr>
                    <m:t>∥</m:t>
                  </m:r>
                  <m:r>
                    <w:rPr>
                      <w:rFonts w:ascii="Cambria Math" w:hAnsi="Cambria Math" w:cs="Times New Roman"/>
                      <w:sz w:val="24"/>
                      <w:szCs w:val="24"/>
                    </w:rPr>
                    <m:t>x-</m:t>
                  </m:r>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e>
              </m:nary>
            </m:e>
          </m:nary>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(i)-th cluster,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cluster centroid, and (x) is a data point, grouping similar clinical patterns to reveal hidden correlations. The workflow uses an 80/20 train-test split with 5-fold cross-validation for robustness:</w:t>
      </w:r>
    </w:p>
    <w:p w14:paraId="5D125279"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CV score</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k</m:t>
              </m:r>
            </m:den>
          </m:f>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sz w:val="24"/>
                      <w:szCs w:val="24"/>
                    </w:rPr>
                  </m:ctrlPr>
                </m:sSubPr>
                <m:e>
                  <m:r>
                    <m:rPr>
                      <m:nor/>
                    </m:rPr>
                    <w:rPr>
                      <w:rFonts w:ascii="Times New Roman" w:hAnsi="Times New Roman" w:cs="Times New Roman"/>
                      <w:sz w:val="24"/>
                      <w:szCs w:val="24"/>
                    </w:rPr>
                    <m:t>error</m:t>
                  </m:r>
                </m:e>
                <m:sub>
                  <m:r>
                    <w:rPr>
                      <w:rFonts w:ascii="Cambria Math" w:hAnsi="Cambria Math" w:cs="Times New Roman"/>
                      <w:sz w:val="24"/>
                      <w:szCs w:val="24"/>
                    </w:rPr>
                    <m:t>i</m:t>
                  </m:r>
                </m:sub>
              </m:sSub>
            </m:e>
          </m:nary>
          <m:r>
            <w:rPr>
              <w:rFonts w:ascii="Cambria Math" w:hAnsi="Cambria Math" w:cs="Times New Roman"/>
              <w:sz w:val="24"/>
              <w:szCs w:val="24"/>
            </w:rPr>
            <m:t>,</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w:t>
      </w:r>
      <w:proofErr w:type="gramStart"/>
      <w:r w:rsidRPr="00A905E7">
        <w:rPr>
          <w:rFonts w:ascii="Times New Roman" w:hAnsi="Times New Roman" w:cs="Times New Roman"/>
          <w:sz w:val="24"/>
          <w:szCs w:val="24"/>
        </w:rPr>
        <w:t>( k</w:t>
      </w:r>
      <w:proofErr w:type="gramEnd"/>
      <w:r w:rsidRPr="00A905E7">
        <w:rPr>
          <w:rFonts w:ascii="Times New Roman" w:hAnsi="Times New Roman" w:cs="Times New Roman"/>
          <w:sz w:val="24"/>
          <w:szCs w:val="24"/>
        </w:rPr>
        <w:t xml:space="preserve"> ) is the number of folds and </w:t>
      </w:r>
      <m:oMath>
        <m:sSub>
          <m:sSubPr>
            <m:ctrlPr>
              <w:rPr>
                <w:rFonts w:ascii="Cambria Math" w:hAnsi="Cambria Math" w:cs="Times New Roman"/>
                <w:sz w:val="24"/>
                <w:szCs w:val="24"/>
              </w:rPr>
            </m:ctrlPr>
          </m:sSubPr>
          <m:e>
            <m:r>
              <m:rPr>
                <m:nor/>
              </m:rPr>
              <w:rPr>
                <w:rFonts w:ascii="Times New Roman" w:hAnsi="Times New Roman" w:cs="Times New Roman"/>
                <w:sz w:val="24"/>
                <w:szCs w:val="24"/>
              </w:rPr>
              <m:t>error</m:t>
            </m:r>
          </m:e>
          <m:sub>
            <m:r>
              <w:rPr>
                <w:rFonts w:ascii="Cambria Math" w:hAnsi="Cambria Math" w:cs="Times New Roman"/>
                <w:sz w:val="24"/>
                <w:szCs w:val="24"/>
              </w:rPr>
              <m:t>i</m:t>
            </m:r>
          </m:sub>
        </m:sSub>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is the error for the (</w:t>
      </w:r>
      <w:proofErr w:type="spellStart"/>
      <w:r w:rsidRPr="00A905E7">
        <w:rPr>
          <w:rFonts w:ascii="Times New Roman" w:hAnsi="Times New Roman" w:cs="Times New Roman"/>
          <w:sz w:val="24"/>
          <w:szCs w:val="24"/>
        </w:rPr>
        <w:t>i</w:t>
      </w:r>
      <w:proofErr w:type="spellEnd"/>
      <w:r w:rsidRPr="00A905E7">
        <w:rPr>
          <w:rFonts w:ascii="Times New Roman" w:hAnsi="Times New Roman" w:cs="Times New Roman"/>
          <w:sz w:val="24"/>
          <w:szCs w:val="24"/>
        </w:rPr>
        <w:t>)-</w:t>
      </w:r>
      <w:proofErr w:type="spellStart"/>
      <w:r w:rsidRPr="00A905E7">
        <w:rPr>
          <w:rFonts w:ascii="Times New Roman" w:hAnsi="Times New Roman" w:cs="Times New Roman"/>
          <w:sz w:val="24"/>
          <w:szCs w:val="24"/>
        </w:rPr>
        <w:t>th</w:t>
      </w:r>
      <w:proofErr w:type="spellEnd"/>
      <w:r w:rsidRPr="00A905E7">
        <w:rPr>
          <w:rFonts w:ascii="Times New Roman" w:hAnsi="Times New Roman" w:cs="Times New Roman"/>
          <w:sz w:val="24"/>
          <w:szCs w:val="24"/>
        </w:rPr>
        <w:t xml:space="preserve"> fold. Hyperparameter tuning employs grid search, optimizing parameters such as the SVM regularization parameter (C) via minimization of cross-entropy loss. Interpretability is enhanced with SHAP (</w:t>
      </w:r>
      <w:proofErr w:type="spellStart"/>
      <w:r w:rsidRPr="00A905E7">
        <w:rPr>
          <w:rFonts w:ascii="Times New Roman" w:hAnsi="Times New Roman" w:cs="Times New Roman"/>
          <w:sz w:val="24"/>
          <w:szCs w:val="24"/>
        </w:rPr>
        <w:t>SHapley</w:t>
      </w:r>
      <w:proofErr w:type="spellEnd"/>
      <w:r w:rsidRPr="00A905E7">
        <w:rPr>
          <w:rFonts w:ascii="Times New Roman" w:hAnsi="Times New Roman" w:cs="Times New Roman"/>
          <w:sz w:val="24"/>
          <w:szCs w:val="24"/>
        </w:rPr>
        <w:t xml:space="preserve"> Additive </w:t>
      </w:r>
      <w:proofErr w:type="spellStart"/>
      <w:r w:rsidRPr="00A905E7">
        <w:rPr>
          <w:rFonts w:ascii="Times New Roman" w:hAnsi="Times New Roman" w:cs="Times New Roman"/>
          <w:sz w:val="24"/>
          <w:szCs w:val="24"/>
        </w:rPr>
        <w:t>exPlanations</w:t>
      </w:r>
      <w:proofErr w:type="spellEnd"/>
      <w:r w:rsidRPr="00A905E7">
        <w:rPr>
          <w:rFonts w:ascii="Times New Roman" w:hAnsi="Times New Roman" w:cs="Times New Roman"/>
          <w:sz w:val="24"/>
          <w:szCs w:val="24"/>
        </w:rPr>
        <w:t>) values:</w:t>
      </w:r>
    </w:p>
    <w:p w14:paraId="22F2C2BA" w14:textId="559A3934" w:rsidR="004C6CBE" w:rsidRPr="00A905E7" w:rsidRDefault="004E61C0" w:rsidP="00A905E7">
      <w:pPr>
        <w:spacing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S</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i</m:t>
              </m:r>
              <m:r>
                <w:rPr>
                  <w:rFonts w:ascii="Cambria Math" w:hAnsi="Cambria Math" w:cs="Times New Roman"/>
                  <w:sz w:val="24"/>
                  <w:szCs w:val="24"/>
                </w:rPr>
                <m:t>}</m:t>
              </m:r>
            </m:sub>
            <m:sup/>
            <m:e>
              <m:f>
                <m:fPr>
                  <m:ctrlPr>
                    <w:rPr>
                      <w:rFonts w:ascii="Cambria Math" w:hAnsi="Cambria Math" w:cs="Times New Roman"/>
                      <w:sz w:val="24"/>
                      <w:szCs w:val="24"/>
                    </w:rPr>
                  </m:ctrlPr>
                </m:fPr>
                <m:num>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S</m:t>
                  </m:r>
                  <m:r>
                    <w:rPr>
                      <w:rFonts w:ascii="Cambria Math" w:hAnsi="Cambria Math" w:cs="Times New Roman"/>
                      <w:sz w:val="24"/>
                      <w:szCs w:val="24"/>
                    </w:rPr>
                    <m:t>∪{</m:t>
                  </m:r>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S</m:t>
                  </m:r>
                  <m:r>
                    <w:rPr>
                      <w:rFonts w:ascii="Cambria Math" w:hAnsi="Cambria Math" w:cs="Times New Roman"/>
                      <w:sz w:val="24"/>
                      <w:szCs w:val="24"/>
                    </w:rPr>
                    <m:t>)</m:t>
                  </m:r>
                </m:num>
                <m:den>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1)!</m:t>
                  </m:r>
                </m:den>
              </m:f>
            </m:e>
          </m:nary>
          <m:r>
            <m:rPr>
              <m:sty m:val="p"/>
            </m:rPr>
            <w:rPr>
              <w:rFonts w:ascii="Cambria Math" w:hAnsi="Cambria Math" w:cs="Times New Roman"/>
              <w:sz w:val="24"/>
              <w:szCs w:val="24"/>
            </w:rPr>
            <w:br/>
          </m:r>
        </m:oMath>
      </m:oMathPara>
      <w:r w:rsidR="004C6CBE" w:rsidRPr="00A905E7">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oMath>
      <w:r w:rsidR="004C6CBE" w:rsidRPr="00A905E7">
        <w:rPr>
          <w:rFonts w:ascii="Times New Roman" w:eastAsiaTheme="minorEastAsia" w:hAnsi="Times New Roman" w:cs="Times New Roman"/>
          <w:sz w:val="24"/>
          <w:szCs w:val="24"/>
        </w:rPr>
        <w:t xml:space="preserve"> </w:t>
      </w:r>
      <w:r w:rsidR="004C6CBE" w:rsidRPr="00A905E7">
        <w:rPr>
          <w:rFonts w:ascii="Times New Roman" w:hAnsi="Times New Roman" w:cs="Times New Roman"/>
          <w:sz w:val="24"/>
          <w:szCs w:val="24"/>
        </w:rPr>
        <w:t>is the contribution of feature (</w:t>
      </w:r>
      <w:proofErr w:type="spellStart"/>
      <w:r w:rsidR="004C6CBE" w:rsidRPr="00A905E7">
        <w:rPr>
          <w:rFonts w:ascii="Times New Roman" w:hAnsi="Times New Roman" w:cs="Times New Roman"/>
          <w:sz w:val="24"/>
          <w:szCs w:val="24"/>
        </w:rPr>
        <w:t>i</w:t>
      </w:r>
      <w:proofErr w:type="spellEnd"/>
      <w:r w:rsidR="004C6CBE" w:rsidRPr="00A905E7">
        <w:rPr>
          <w:rFonts w:ascii="Times New Roman" w:hAnsi="Times New Roman" w:cs="Times New Roman"/>
          <w:sz w:val="24"/>
          <w:szCs w:val="24"/>
        </w:rPr>
        <w:t>), (f) is the model output, (S) is a subset of features, and (N) is the set of all features, explaining feature contributions to predictions (Lundberg &amp; Lee, 201</w:t>
      </w:r>
      <w:r w:rsidR="00E24EFE">
        <w:rPr>
          <w:rFonts w:ascii="Times New Roman" w:hAnsi="Times New Roman" w:cs="Times New Roman"/>
          <w:sz w:val="24"/>
          <w:szCs w:val="24"/>
        </w:rPr>
        <w:t>7</w:t>
      </w:r>
      <w:proofErr w:type="gramStart"/>
      <w:r w:rsidR="004C6CBE" w:rsidRPr="00A905E7">
        <w:rPr>
          <w:rFonts w:ascii="Times New Roman" w:hAnsi="Times New Roman" w:cs="Times New Roman"/>
          <w:sz w:val="24"/>
          <w:szCs w:val="24"/>
        </w:rPr>
        <w:t>).Performance</w:t>
      </w:r>
      <w:proofErr w:type="gramEnd"/>
      <w:r w:rsidR="004C6CBE" w:rsidRPr="00A905E7">
        <w:rPr>
          <w:rFonts w:ascii="Times New Roman" w:hAnsi="Times New Roman" w:cs="Times New Roman"/>
          <w:sz w:val="24"/>
          <w:szCs w:val="24"/>
        </w:rPr>
        <w:t xml:space="preserve"> metrics evaluate model efficacy. The area under the receiver operating characteristic curve (AUC-ROC):</w:t>
      </w:r>
    </w:p>
    <w:p w14:paraId="56251A15"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AUC-ROC</m:t>
          </m:r>
          <m:r>
            <w:rPr>
              <w:rFonts w:ascii="Cambria Math" w:hAnsi="Cambria Math" w:cs="Times New Roman"/>
              <w:sz w:val="24"/>
              <w:szCs w:val="24"/>
            </w:rPr>
            <m:t>=∫</m:t>
          </m:r>
          <m:r>
            <m:rPr>
              <m:nor/>
            </m:rPr>
            <w:rPr>
              <w:rFonts w:ascii="Times New Roman" w:hAnsi="Times New Roman" w:cs="Times New Roman"/>
              <w:sz w:val="24"/>
              <w:szCs w:val="24"/>
            </w:rPr>
            <m:t>TPR</m:t>
          </m:r>
          <m:r>
            <w:rPr>
              <w:rFonts w:ascii="Cambria Math" w:hAnsi="Cambria Math" w:cs="Times New Roman"/>
              <w:sz w:val="24"/>
              <w:szCs w:val="24"/>
            </w:rPr>
            <m:t>d</m:t>
          </m:r>
          <m:r>
            <m:rPr>
              <m:nor/>
            </m:rPr>
            <w:rPr>
              <w:rFonts w:ascii="Times New Roman" w:hAnsi="Times New Roman" w:cs="Times New Roman"/>
              <w:sz w:val="24"/>
              <w:szCs w:val="24"/>
            </w:rPr>
            <m:t>FPR</m:t>
          </m:r>
          <m:r>
            <w:rPr>
              <w:rFonts w:ascii="Cambria Math" w:hAnsi="Cambria Math" w:cs="Times New Roman"/>
              <w:sz w:val="24"/>
              <w:szCs w:val="24"/>
            </w:rPr>
            <m:t>,</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where TPR is the true positive rate and FPR is the false positive rate. The Brier score (BS) is calculated as:</w:t>
      </w:r>
    </w:p>
    <w:p w14:paraId="68668087"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BS</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is the actual outcome,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predicted probability, and (N) is the number of </w:t>
      </w:r>
      <w:proofErr w:type="gramStart"/>
      <w:r w:rsidRPr="00A905E7">
        <w:rPr>
          <w:rFonts w:ascii="Times New Roman" w:hAnsi="Times New Roman" w:cs="Times New Roman"/>
          <w:sz w:val="24"/>
          <w:szCs w:val="24"/>
        </w:rPr>
        <w:t>predictions.</w:t>
      </w:r>
      <w:proofErr w:type="gramEnd"/>
      <w:r w:rsidRPr="00A905E7">
        <w:rPr>
          <w:rFonts w:ascii="Times New Roman" w:hAnsi="Times New Roman" w:cs="Times New Roman"/>
          <w:sz w:val="24"/>
          <w:szCs w:val="24"/>
        </w:rPr>
        <w:t xml:space="preserve"> The F1-score is co</w:t>
      </w:r>
      <w:proofErr w:type="spellStart"/>
      <w:r w:rsidRPr="00A905E7">
        <w:rPr>
          <w:rFonts w:ascii="Times New Roman" w:hAnsi="Times New Roman" w:cs="Times New Roman"/>
          <w:sz w:val="24"/>
          <w:szCs w:val="24"/>
        </w:rPr>
        <w:t>mputed</w:t>
      </w:r>
      <w:proofErr w:type="spellEnd"/>
      <w:r w:rsidRPr="00A905E7">
        <w:rPr>
          <w:rFonts w:ascii="Times New Roman" w:hAnsi="Times New Roman" w:cs="Times New Roman"/>
          <w:sz w:val="24"/>
          <w:szCs w:val="24"/>
        </w:rPr>
        <w:t xml:space="preserve"> as:</w:t>
      </w:r>
    </w:p>
    <w:p w14:paraId="3F5DA045"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w:lastRenderedPageBreak/>
            <m:t>F1</m:t>
          </m:r>
          <m:r>
            <w:rPr>
              <w:rFonts w:ascii="Cambria Math" w:hAnsi="Cambria Math" w:cs="Times New Roman"/>
              <w:sz w:val="24"/>
              <w:szCs w:val="24"/>
            </w:rPr>
            <m:t>=2⋅</m:t>
          </m:r>
          <m:f>
            <m:fPr>
              <m:ctrlPr>
                <w:rPr>
                  <w:rFonts w:ascii="Cambria Math" w:hAnsi="Cambria Math" w:cs="Times New Roman"/>
                  <w:sz w:val="24"/>
                  <w:szCs w:val="24"/>
                </w:rPr>
              </m:ctrlPr>
            </m:fPr>
            <m:num>
              <m:r>
                <m:rPr>
                  <m:nor/>
                </m:rPr>
                <w:rPr>
                  <w:rFonts w:ascii="Times New Roman" w:hAnsi="Times New Roman" w:cs="Times New Roman"/>
                  <w:sz w:val="24"/>
                  <w:szCs w:val="24"/>
                </w:rPr>
                <m:t>precision</m:t>
              </m:r>
              <m:r>
                <w:rPr>
                  <w:rFonts w:ascii="Cambria Math" w:hAnsi="Cambria Math" w:cs="Times New Roman"/>
                  <w:sz w:val="24"/>
                  <w:szCs w:val="24"/>
                </w:rPr>
                <m:t>⋅</m:t>
              </m:r>
              <m:r>
                <m:rPr>
                  <m:nor/>
                </m:rPr>
                <w:rPr>
                  <w:rFonts w:ascii="Times New Roman" w:hAnsi="Times New Roman" w:cs="Times New Roman"/>
                  <w:sz w:val="24"/>
                  <w:szCs w:val="24"/>
                </w:rPr>
                <m:t>recall</m:t>
              </m:r>
            </m:num>
            <m:den>
              <m:r>
                <m:rPr>
                  <m:nor/>
                </m:rPr>
                <w:rPr>
                  <w:rFonts w:ascii="Times New Roman" w:hAnsi="Times New Roman" w:cs="Times New Roman"/>
                  <w:sz w:val="24"/>
                  <w:szCs w:val="24"/>
                </w:rPr>
                <m:t>precision</m:t>
              </m:r>
              <m:r>
                <w:rPr>
                  <w:rFonts w:ascii="Cambria Math" w:hAnsi="Cambria Math" w:cs="Times New Roman"/>
                  <w:sz w:val="24"/>
                  <w:szCs w:val="24"/>
                </w:rPr>
                <m:t>+</m:t>
              </m:r>
              <m:r>
                <m:rPr>
                  <m:nor/>
                </m:rPr>
                <w:rPr>
                  <w:rFonts w:ascii="Times New Roman" w:hAnsi="Times New Roman" w:cs="Times New Roman"/>
                  <w:sz w:val="24"/>
                  <w:szCs w:val="24"/>
                </w:rPr>
                <m:t>recall</m:t>
              </m:r>
            </m:den>
          </m:f>
          <m:r>
            <m:rPr>
              <m:sty m:val="p"/>
            </m:rPr>
            <w:rPr>
              <w:rFonts w:ascii="Cambria Math" w:hAnsi="Cambria Math" w:cs="Times New Roman"/>
              <w:sz w:val="24"/>
              <w:szCs w:val="24"/>
            </w:rPr>
            <w:br/>
          </m:r>
        </m:oMath>
      </m:oMathPara>
      <w:r w:rsidRPr="00A905E7">
        <w:rPr>
          <w:rFonts w:ascii="Times New Roman" w:hAnsi="Times New Roman" w:cs="Times New Roman"/>
          <w:sz w:val="24"/>
          <w:szCs w:val="24"/>
        </w:rPr>
        <w:t>where precision and recall measure classification performance. These metrics quantify the framework’s ability to predict and utilize signals, with thresholds such as AUC &gt; 0.8 for clinical relevance.</w:t>
      </w:r>
    </w:p>
    <w:p w14:paraId="05DA601F"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Validation and Generalizability</w:t>
      </w:r>
    </w:p>
    <w:p w14:paraId="25A62BB4"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Validation employs internal methods like k-fold cross-validation and bootstrapping, resampling with replacement to estimate variance:</w:t>
      </w:r>
    </w:p>
    <w:p w14:paraId="72E752D5"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Bootstrap CI</m:t>
          </m:r>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θ</m:t>
              </m:r>
            </m:e>
            <m:sub>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θ</m:t>
              </m:r>
            </m:e>
            <m:sub>
              <m:r>
                <w:rPr>
                  <w:rFonts w:ascii="Cambria Math" w:hAnsi="Cambria Math" w:cs="Times New Roman"/>
                  <w:sz w:val="24"/>
                  <w:szCs w:val="24"/>
                </w:rPr>
                <m:t>1-α</m:t>
              </m:r>
              <m:r>
                <m:rPr>
                  <m:sty m:val="p"/>
                </m:rPr>
                <w:rPr>
                  <w:rFonts w:ascii="Cambria Math" w:hAnsi="Cambria Math" w:cs="Times New Roman"/>
                  <w:sz w:val="24"/>
                  <w:szCs w:val="24"/>
                </w:rPr>
                <m:t>/</m:t>
              </m:r>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w:t>
      </w:r>
      <m:oMath>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is the bootstrap estimate, </w:t>
      </w:r>
      <m:oMath>
        <m:r>
          <w:rPr>
            <w:rFonts w:ascii="Cambria Math" w:hAnsi="Cambria Math" w:cs="Times New Roman"/>
            <w:sz w:val="24"/>
            <w:szCs w:val="24"/>
          </w:rPr>
          <m:t>α</m:t>
        </m:r>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is the significance level, and CI is the confidence interval, ensuring stable performance estimates (Bradshaw et al., 2023). External validation uses independent datasets, such as transferring models from MIMIC-IV to </w:t>
      </w:r>
      <w:proofErr w:type="spellStart"/>
      <w:r w:rsidRPr="00A905E7">
        <w:rPr>
          <w:rFonts w:ascii="Times New Roman" w:hAnsi="Times New Roman" w:cs="Times New Roman"/>
          <w:sz w:val="24"/>
          <w:szCs w:val="24"/>
        </w:rPr>
        <w:t>eICU</w:t>
      </w:r>
      <w:proofErr w:type="spellEnd"/>
      <w:r w:rsidRPr="00A905E7">
        <w:rPr>
          <w:rFonts w:ascii="Times New Roman" w:hAnsi="Times New Roman" w:cs="Times New Roman"/>
          <w:sz w:val="24"/>
          <w:szCs w:val="24"/>
        </w:rPr>
        <w:t>-CRD, assessing generalizability via AUC drop. Calibration is verified with reliability plots, fitting isotonic regression to align predicted and observed probabilities.</w:t>
      </w:r>
    </w:p>
    <w:p w14:paraId="2F61A94B"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Fairness analysis evaluates performance by subgroups, using demographic parity:</w:t>
      </w:r>
    </w:p>
    <w:p w14:paraId="50A87C16"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P(</m:t>
          </m:r>
          <m:acc>
            <m:accPr>
              <m:ctrlPr>
                <w:rPr>
                  <w:rFonts w:ascii="Cambria Math" w:hAnsi="Cambria Math" w:cs="Times New Roman"/>
                  <w:sz w:val="24"/>
                  <w:szCs w:val="24"/>
                </w:rPr>
              </m:ctrlPr>
            </m:accPr>
            <m:e>
              <m:r>
                <w:rPr>
                  <w:rFonts w:ascii="Cambria Math" w:hAnsi="Cambria Math" w:cs="Times New Roman"/>
                  <w:sz w:val="24"/>
                  <w:szCs w:val="24"/>
                </w:rPr>
                <m:t>y</m:t>
              </m:r>
            </m:e>
          </m:acc>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A=0)=P(</m:t>
          </m:r>
          <m:acc>
            <m:accPr>
              <m:ctrlPr>
                <w:rPr>
                  <w:rFonts w:ascii="Cambria Math" w:hAnsi="Cambria Math" w:cs="Times New Roman"/>
                  <w:sz w:val="24"/>
                  <w:szCs w:val="24"/>
                </w:rPr>
              </m:ctrlPr>
            </m:accPr>
            <m:e>
              <m:r>
                <w:rPr>
                  <w:rFonts w:ascii="Cambria Math" w:hAnsi="Cambria Math" w:cs="Times New Roman"/>
                  <w:sz w:val="24"/>
                  <w:szCs w:val="24"/>
                </w:rPr>
                <m:t>y</m:t>
              </m:r>
            </m:e>
          </m:acc>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A=1),</m:t>
          </m:r>
        </m:oMath>
      </m:oMathPara>
    </w:p>
    <w:p w14:paraId="6AAD29A9" w14:textId="5C69AD2C"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where </w:t>
      </w:r>
      <m:oMath>
        <m:acc>
          <m:accPr>
            <m:ctrlPr>
              <w:rPr>
                <w:rFonts w:ascii="Cambria Math" w:hAnsi="Cambria Math" w:cs="Times New Roman"/>
                <w:sz w:val="24"/>
                <w:szCs w:val="24"/>
              </w:rPr>
            </m:ctrlPr>
          </m:accPr>
          <m:e>
            <m:r>
              <w:rPr>
                <w:rFonts w:ascii="Cambria Math" w:hAnsi="Cambria Math" w:cs="Times New Roman"/>
                <w:sz w:val="24"/>
                <w:szCs w:val="24"/>
              </w:rPr>
              <m:t>y</m:t>
            </m:r>
          </m:e>
        </m:acc>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is the predicted outcome and (A) represents a protected attribute (e.g., gender or race), mitigating bias in signal detection (Obermeyer et al., 2019). Reproducibility is ensured through open-source code on platforms like GitHub, with detailed pipelines and seeded random states for identical runs (Han, 2024). Figure 1 depicts the validation workflow, from data split to fairness checks, ensuring robustness across diverse healthcare contexts.</w:t>
      </w:r>
    </w:p>
    <w:p w14:paraId="769A4EB7" w14:textId="77777777" w:rsidR="00C974A0" w:rsidRPr="00A905E7" w:rsidRDefault="004C6CBE" w:rsidP="00C974A0">
      <w:pPr>
        <w:spacing w:line="360" w:lineRule="auto"/>
        <w:jc w:val="both"/>
        <w:rPr>
          <w:rFonts w:ascii="Times New Roman" w:hAnsi="Times New Roman" w:cs="Times New Roman"/>
          <w:sz w:val="24"/>
          <w:szCs w:val="24"/>
        </w:rPr>
      </w:pPr>
      <w:r w:rsidRPr="00A905E7">
        <w:rPr>
          <w:rFonts w:ascii="Times New Roman" w:hAnsi="Times New Roman" w:cs="Times New Roman"/>
          <w:b/>
          <w:bCs/>
          <w:sz w:val="24"/>
          <w:szCs w:val="24"/>
        </w:rPr>
        <w:t>Figure 1</w:t>
      </w:r>
      <w:r w:rsidR="00C974A0">
        <w:rPr>
          <w:rFonts w:ascii="Times New Roman" w:hAnsi="Times New Roman" w:cs="Times New Roman"/>
          <w:b/>
          <w:bCs/>
          <w:sz w:val="24"/>
          <w:szCs w:val="24"/>
        </w:rPr>
        <w:t xml:space="preserve"> </w:t>
      </w:r>
      <w:r w:rsidR="00C974A0" w:rsidRPr="00A905E7">
        <w:rPr>
          <w:rFonts w:ascii="Times New Roman" w:hAnsi="Times New Roman" w:cs="Times New Roman"/>
          <w:sz w:val="24"/>
          <w:szCs w:val="24"/>
        </w:rPr>
        <w:t>Infographic of Model Validation and Generalizability Techniques in Healthcare Machine Learning.</w:t>
      </w:r>
    </w:p>
    <w:p w14:paraId="10243827" w14:textId="18CABCB1" w:rsidR="004C6CBE" w:rsidRPr="00A905E7" w:rsidRDefault="004C6CBE" w:rsidP="00A905E7">
      <w:pPr>
        <w:spacing w:line="360" w:lineRule="auto"/>
        <w:jc w:val="both"/>
        <w:rPr>
          <w:rFonts w:ascii="Times New Roman" w:hAnsi="Times New Roman" w:cs="Times New Roman"/>
          <w:b/>
          <w:bCs/>
          <w:sz w:val="24"/>
          <w:szCs w:val="24"/>
        </w:rPr>
      </w:pPr>
    </w:p>
    <w:p w14:paraId="618E76A8"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noProof/>
          <w:sz w:val="24"/>
          <w:szCs w:val="24"/>
        </w:rPr>
        <w:lastRenderedPageBreak/>
        <w:drawing>
          <wp:inline distT="0" distB="0" distL="0" distR="0" wp14:anchorId="2C950488" wp14:editId="6BDBA68D">
            <wp:extent cx="4572000" cy="2776152"/>
            <wp:effectExtent l="0" t="0" r="0" b="5715"/>
            <wp:docPr id="1785026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26722" name="Picture 1785026722"/>
                    <pic:cNvPicPr/>
                  </pic:nvPicPr>
                  <pic:blipFill rotWithShape="1">
                    <a:blip r:embed="rId7" cstate="print">
                      <a:extLst>
                        <a:ext uri="{28A0092B-C50C-407E-A947-70E740481C1C}">
                          <a14:useLocalDpi xmlns:a14="http://schemas.microsoft.com/office/drawing/2010/main" val="0"/>
                        </a:ext>
                      </a:extLst>
                    </a:blip>
                    <a:srcRect t="8919"/>
                    <a:stretch>
                      <a:fillRect/>
                    </a:stretch>
                  </pic:blipFill>
                  <pic:spPr bwMode="auto">
                    <a:xfrm>
                      <a:off x="0" y="0"/>
                      <a:ext cx="4577913" cy="2779742"/>
                    </a:xfrm>
                    <a:prstGeom prst="rect">
                      <a:avLst/>
                    </a:prstGeom>
                    <a:ln>
                      <a:noFill/>
                    </a:ln>
                    <a:extLst>
                      <a:ext uri="{53640926-AAD7-44D8-BBD7-CCE9431645EC}">
                        <a14:shadowObscured xmlns:a14="http://schemas.microsoft.com/office/drawing/2010/main"/>
                      </a:ext>
                    </a:extLst>
                  </pic:spPr>
                </pic:pic>
              </a:graphicData>
            </a:graphic>
          </wp:inline>
        </w:drawing>
      </w:r>
    </w:p>
    <w:p w14:paraId="316AFD5F"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Ethical and Operational Considerations</w:t>
      </w:r>
    </w:p>
    <w:p w14:paraId="70870664"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Ethical integration balances beneficence, achieved through enhanced clinical insights, with non-maleficence, minimized by privacy-preserving de-identification:</w:t>
      </w:r>
    </w:p>
    <w:p w14:paraId="070D2537"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A(D)</m:t>
          </m:r>
          <m:r>
            <m:rPr>
              <m:nor/>
            </m:rPr>
            <w:rPr>
              <w:rFonts w:ascii="Times New Roman" w:hAnsi="Times New Roman" w:cs="Times New Roman"/>
              <w:sz w:val="24"/>
              <w:szCs w:val="24"/>
            </w:rPr>
            <m:t xml:space="preserve"> removes identifiers while preserving utility</m:t>
          </m:r>
          <m:r>
            <w:rPr>
              <w:rFonts w:ascii="Cambria Math" w:hAnsi="Cambria Math" w:cs="Times New Roman"/>
              <w:sz w:val="24"/>
              <w:szCs w:val="24"/>
            </w:rPr>
            <m:t>,</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where (A) is the anonymization function and (D) is the dataset (Kaplan, 2020). Autonomy is upheld through transparent processes, informing virtual consultations about data use. Justice ensures equitable access by analyzing subgroup performance to avoid disparities.</w:t>
      </w:r>
    </w:p>
    <w:p w14:paraId="1E595E43"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Operational aspects include cloud-based deployment using platforms like Amazon Web Services (AWS) or Google Cloud for scalable computing, with costs optimized for home-based research. Figure 2 illustrates an ethical decision-making diagram, branching from data collection to deployment with compliance checkpoints.</w:t>
      </w:r>
    </w:p>
    <w:p w14:paraId="4AE61AB0" w14:textId="77777777" w:rsidR="00C974A0" w:rsidRPr="00A905E7" w:rsidRDefault="004C6CBE" w:rsidP="00C974A0">
      <w:pPr>
        <w:spacing w:line="360" w:lineRule="auto"/>
        <w:jc w:val="both"/>
        <w:rPr>
          <w:rFonts w:ascii="Times New Roman" w:hAnsi="Times New Roman" w:cs="Times New Roman"/>
          <w:i/>
          <w:iCs/>
          <w:sz w:val="24"/>
          <w:szCs w:val="24"/>
        </w:rPr>
      </w:pPr>
      <w:r w:rsidRPr="00A905E7">
        <w:rPr>
          <w:rFonts w:ascii="Times New Roman" w:hAnsi="Times New Roman" w:cs="Times New Roman"/>
          <w:b/>
          <w:bCs/>
          <w:sz w:val="24"/>
          <w:szCs w:val="24"/>
        </w:rPr>
        <w:t>Figure 2</w:t>
      </w:r>
      <w:r w:rsidR="00C974A0">
        <w:rPr>
          <w:rFonts w:ascii="Times New Roman" w:hAnsi="Times New Roman" w:cs="Times New Roman"/>
          <w:b/>
          <w:bCs/>
          <w:sz w:val="24"/>
          <w:szCs w:val="24"/>
        </w:rPr>
        <w:t xml:space="preserve"> </w:t>
      </w:r>
      <w:r w:rsidR="00C974A0" w:rsidRPr="00A905E7">
        <w:rPr>
          <w:rFonts w:ascii="Times New Roman" w:hAnsi="Times New Roman" w:cs="Times New Roman"/>
          <w:i/>
          <w:iCs/>
          <w:sz w:val="24"/>
          <w:szCs w:val="24"/>
        </w:rPr>
        <w:t>Ethical Framework for Healthcare Dark Data Research based on four fundamental bioethical principles.</w:t>
      </w:r>
    </w:p>
    <w:p w14:paraId="6581FB6B" w14:textId="789AAB40" w:rsidR="004C6CBE" w:rsidRPr="00A905E7" w:rsidRDefault="004C6CBE" w:rsidP="00A905E7">
      <w:pPr>
        <w:spacing w:line="360" w:lineRule="auto"/>
        <w:jc w:val="both"/>
        <w:rPr>
          <w:rFonts w:ascii="Times New Roman" w:hAnsi="Times New Roman" w:cs="Times New Roman"/>
          <w:b/>
          <w:bCs/>
          <w:sz w:val="24"/>
          <w:szCs w:val="24"/>
        </w:rPr>
      </w:pPr>
    </w:p>
    <w:p w14:paraId="0C27D21C" w14:textId="1EFD4E3C"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i/>
          <w:iCs/>
          <w:noProof/>
          <w:sz w:val="24"/>
          <w:szCs w:val="24"/>
        </w:rPr>
        <w:lastRenderedPageBreak/>
        <w:drawing>
          <wp:inline distT="0" distB="0" distL="0" distR="0" wp14:anchorId="76AF1AD3" wp14:editId="1A84967D">
            <wp:extent cx="4431957" cy="3091808"/>
            <wp:effectExtent l="0" t="0" r="6985" b="0"/>
            <wp:docPr id="1039396345" name="Picture 2" descr="A circular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96345" name="Picture 2" descr="A circular chart with text&#10;&#10;AI-generated content may be incorrect."/>
                    <pic:cNvPicPr/>
                  </pic:nvPicPr>
                  <pic:blipFill rotWithShape="1">
                    <a:blip r:embed="rId8" cstate="print">
                      <a:extLst>
                        <a:ext uri="{28A0092B-C50C-407E-A947-70E740481C1C}">
                          <a14:useLocalDpi xmlns:a14="http://schemas.microsoft.com/office/drawing/2010/main" val="0"/>
                        </a:ext>
                      </a:extLst>
                    </a:blip>
                    <a:srcRect l="13135" t="15380" r="11305" b="5552"/>
                    <a:stretch>
                      <a:fillRect/>
                    </a:stretch>
                  </pic:blipFill>
                  <pic:spPr bwMode="auto">
                    <a:xfrm>
                      <a:off x="0" y="0"/>
                      <a:ext cx="4515910" cy="3150375"/>
                    </a:xfrm>
                    <a:prstGeom prst="rect">
                      <a:avLst/>
                    </a:prstGeom>
                    <a:ln>
                      <a:noFill/>
                    </a:ln>
                    <a:extLst>
                      <a:ext uri="{53640926-AAD7-44D8-BBD7-CCE9431645EC}">
                        <a14:shadowObscured xmlns:a14="http://schemas.microsoft.com/office/drawing/2010/main"/>
                      </a:ext>
                    </a:extLst>
                  </pic:spPr>
                </pic:pic>
              </a:graphicData>
            </a:graphic>
          </wp:inline>
        </w:drawing>
      </w:r>
    </w:p>
    <w:p w14:paraId="51F09512" w14:textId="77777777" w:rsidR="004C6CBE" w:rsidRPr="00A905E7" w:rsidRDefault="004C6CBE" w:rsidP="00A905E7">
      <w:pPr>
        <w:pStyle w:val="ListParagraph"/>
        <w:spacing w:line="360" w:lineRule="auto"/>
        <w:ind w:left="0"/>
        <w:jc w:val="both"/>
        <w:rPr>
          <w:rFonts w:ascii="Times New Roman" w:hAnsi="Times New Roman" w:cs="Times New Roman"/>
          <w:color w:val="000000" w:themeColor="text1"/>
          <w:sz w:val="24"/>
          <w:szCs w:val="24"/>
        </w:rPr>
      </w:pPr>
    </w:p>
    <w:p w14:paraId="624F6576" w14:textId="77777777" w:rsidR="004C6CBE" w:rsidRPr="00A94E9D"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4</w:t>
      </w:r>
      <w:r w:rsidRPr="00A905E7">
        <w:rPr>
          <w:rFonts w:ascii="Times New Roman" w:hAnsi="Times New Roman" w:cs="Times New Roman"/>
          <w:b/>
          <w:bCs/>
          <w:sz w:val="24"/>
          <w:szCs w:val="24"/>
        </w:rPr>
        <w:t>.</w:t>
      </w:r>
      <w:r w:rsidRPr="00A905E7">
        <w:rPr>
          <w:rFonts w:ascii="Times New Roman" w:hAnsi="Times New Roman" w:cs="Times New Roman"/>
          <w:b/>
          <w:bCs/>
          <w:sz w:val="24"/>
          <w:szCs w:val="24"/>
        </w:rPr>
        <w:tab/>
      </w:r>
      <w:r w:rsidRPr="00A94E9D">
        <w:rPr>
          <w:rFonts w:ascii="Times New Roman" w:hAnsi="Times New Roman" w:cs="Times New Roman"/>
          <w:b/>
          <w:bCs/>
          <w:sz w:val="24"/>
          <w:szCs w:val="24"/>
        </w:rPr>
        <w:t>Results and Discussion</w:t>
      </w:r>
    </w:p>
    <w:p w14:paraId="1AF44DDD" w14:textId="77777777" w:rsidR="004C6CBE" w:rsidRPr="00A94E9D"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Presentation of Results</w:t>
      </w:r>
    </w:p>
    <w:p w14:paraId="295BE3A4"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 xml:space="preserve">The application of the predictive framework commenced with thorough data preparation from de-identified sources such as MIMIC-IV and </w:t>
      </w:r>
      <w:proofErr w:type="spellStart"/>
      <w:r w:rsidRPr="00A94E9D">
        <w:rPr>
          <w:rFonts w:ascii="Times New Roman" w:hAnsi="Times New Roman" w:cs="Times New Roman"/>
          <w:sz w:val="24"/>
          <w:szCs w:val="24"/>
        </w:rPr>
        <w:t>PhysioNet</w:t>
      </w:r>
      <w:proofErr w:type="spellEnd"/>
      <w:r w:rsidRPr="00A94E9D">
        <w:rPr>
          <w:rFonts w:ascii="Times New Roman" w:hAnsi="Times New Roman" w:cs="Times New Roman"/>
          <w:sz w:val="24"/>
          <w:szCs w:val="24"/>
        </w:rPr>
        <w:t xml:space="preserve">, which encompassed over 250,000 patient records including time-series vital signs and laboratory results that </w:t>
      </w:r>
      <w:proofErr w:type="gramStart"/>
      <w:r w:rsidRPr="00A94E9D">
        <w:rPr>
          <w:rFonts w:ascii="Times New Roman" w:hAnsi="Times New Roman" w:cs="Times New Roman"/>
          <w:sz w:val="24"/>
          <w:szCs w:val="24"/>
        </w:rPr>
        <w:t>often harbored</w:t>
      </w:r>
      <w:proofErr w:type="gramEnd"/>
      <w:r w:rsidRPr="00A94E9D">
        <w:rPr>
          <w:rFonts w:ascii="Times New Roman" w:hAnsi="Times New Roman" w:cs="Times New Roman"/>
          <w:sz w:val="24"/>
          <w:szCs w:val="24"/>
        </w:rPr>
        <w:t xml:space="preserve"> dark data elements. Preprocessing steps effectively mitigated common issues in these datasets, with KNN imputation filling 12% missing values in clinical parameters like glucose levels, resulting in a completeness rate of 98% as quantified by the ratio of non-null entries post-processing. DBSCAN outlier detection flagged 4.5% anomalous observations in waveform data, which were adjusted using IQR capping to maintain distributional integrity, while min-max scaling unified features across scales, transforming raw values to a 0-1 range for consistent model input. RFE feature selection distilled 120 initial variables to 25 core predictors, preserving 92% of original variance through PCA, and SMOTE oversampling elevated minority class representation for underreported signals from 15% to 50%, enabling balanced training sets.</w:t>
      </w:r>
    </w:p>
    <w:p w14:paraId="4538C193"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 xml:space="preserve">Modeling integrated supervised techniques like logistic regression, which established baseline associations with coefficients revealing a 0.35 beta for elevated troponin in cardiac signal </w:t>
      </w:r>
      <w:r w:rsidRPr="00A94E9D">
        <w:rPr>
          <w:rFonts w:ascii="Times New Roman" w:hAnsi="Times New Roman" w:cs="Times New Roman"/>
          <w:sz w:val="24"/>
          <w:szCs w:val="24"/>
        </w:rPr>
        <w:lastRenderedPageBreak/>
        <w:t xml:space="preserve">prediction, SVM that delineated decision boundaries with a 0.85 margin in high-dimensional spaces, and neural networks employing autoencoders to minimize reconstruction loss at 0.07 for typical patterns versus 0.22 for anomalous </w:t>
      </w:r>
      <w:proofErr w:type="gramStart"/>
      <w:r w:rsidRPr="00A94E9D">
        <w:rPr>
          <w:rFonts w:ascii="Times New Roman" w:hAnsi="Times New Roman" w:cs="Times New Roman"/>
          <w:sz w:val="24"/>
          <w:szCs w:val="24"/>
        </w:rPr>
        <w:t>ones</w:t>
      </w:r>
      <w:proofErr w:type="gramEnd"/>
      <w:r w:rsidRPr="00A94E9D">
        <w:rPr>
          <w:rFonts w:ascii="Times New Roman" w:hAnsi="Times New Roman" w:cs="Times New Roman"/>
          <w:sz w:val="24"/>
          <w:szCs w:val="24"/>
        </w:rPr>
        <w:t xml:space="preserve"> indicative of hidden signals. Unsupervised k-means clustering partitioned data into four groups based on within-cluster sum of squares minimization, identifying 18% of records as clusters with novel co-morbid patterns previously unanalyzed in dark repositories. Workflow efficiency was evident in 70/30 train-test splits, where 10-fold cross-validation yielded stable variance estimates, and grid search optimized hyperparameters such as neural network learning rates to 0.001 for convergence.</w:t>
      </w:r>
    </w:p>
    <w:p w14:paraId="2D670AAE" w14:textId="0F33B77E" w:rsidR="004C6CBE" w:rsidRPr="00A905E7"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Evaluation metrics underscored model strengths, as detailed in Table</w:t>
      </w:r>
      <w:r w:rsidR="0037424C">
        <w:rPr>
          <w:rFonts w:ascii="Times New Roman" w:hAnsi="Times New Roman" w:cs="Times New Roman"/>
          <w:sz w:val="24"/>
          <w:szCs w:val="24"/>
        </w:rPr>
        <w:t xml:space="preserve"> </w:t>
      </w:r>
      <w:r w:rsidRPr="00A94E9D">
        <w:rPr>
          <w:rFonts w:ascii="Times New Roman" w:hAnsi="Times New Roman" w:cs="Times New Roman"/>
          <w:sz w:val="24"/>
          <w:szCs w:val="24"/>
        </w:rPr>
        <w:t>1, which compares discrimination and utility across algorithms on validation sets, showing neural networks leading with an F1-score of 0.90 and Brier score of 0.05, reflecting precise and calibrated predictions for signal utilization. Logistic regression followed with balanced sensitivity and specificity at 81%, while SVM excelled in specificity at 89% but lagged in calibration.</w:t>
      </w:r>
    </w:p>
    <w:p w14:paraId="65118CBA" w14:textId="15F82379" w:rsidR="004C6CBE" w:rsidRPr="00A905E7"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 xml:space="preserve">Table </w:t>
      </w:r>
      <w:proofErr w:type="gramStart"/>
      <w:r w:rsidRPr="00A94E9D">
        <w:rPr>
          <w:rFonts w:ascii="Times New Roman" w:hAnsi="Times New Roman" w:cs="Times New Roman"/>
          <w:b/>
          <w:bCs/>
          <w:sz w:val="24"/>
          <w:szCs w:val="24"/>
        </w:rPr>
        <w:t xml:space="preserve">1 </w:t>
      </w:r>
      <w:r w:rsidR="00C974A0">
        <w:rPr>
          <w:rFonts w:ascii="Times New Roman" w:hAnsi="Times New Roman" w:cs="Times New Roman"/>
          <w:b/>
          <w:bCs/>
          <w:sz w:val="24"/>
          <w:szCs w:val="24"/>
        </w:rPr>
        <w:t xml:space="preserve"> </w:t>
      </w:r>
      <w:r w:rsidR="00C974A0" w:rsidRPr="00A94E9D">
        <w:rPr>
          <w:rFonts w:ascii="Times New Roman" w:hAnsi="Times New Roman" w:cs="Times New Roman"/>
          <w:i/>
          <w:iCs/>
          <w:sz w:val="24"/>
          <w:szCs w:val="24"/>
        </w:rPr>
        <w:t>Comparative</w:t>
      </w:r>
      <w:proofErr w:type="gramEnd"/>
      <w:r w:rsidR="00C974A0" w:rsidRPr="00A94E9D">
        <w:rPr>
          <w:rFonts w:ascii="Times New Roman" w:hAnsi="Times New Roman" w:cs="Times New Roman"/>
          <w:i/>
          <w:iCs/>
          <w:sz w:val="24"/>
          <w:szCs w:val="24"/>
        </w:rPr>
        <w:t xml:space="preserve"> Performance Metrics for Models in Identifying Underreported Signals.</w:t>
      </w:r>
    </w:p>
    <w:p w14:paraId="6D509B67" w14:textId="40A371F6" w:rsidR="004C6CBE" w:rsidRPr="00A94E9D" w:rsidRDefault="004C6CBE" w:rsidP="00A905E7">
      <w:pPr>
        <w:spacing w:line="360" w:lineRule="auto"/>
        <w:jc w:val="both"/>
        <w:rPr>
          <w:rFonts w:ascii="Times New Roman" w:hAnsi="Times New Roman" w:cs="Times New Roman"/>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3"/>
        <w:gridCol w:w="1175"/>
        <w:gridCol w:w="1571"/>
        <w:gridCol w:w="1571"/>
        <w:gridCol w:w="1657"/>
        <w:gridCol w:w="1233"/>
      </w:tblGrid>
      <w:tr w:rsidR="004C6CBE" w:rsidRPr="00A94E9D" w14:paraId="677BA398" w14:textId="77777777" w:rsidTr="0085798A">
        <w:trPr>
          <w:tblHeader/>
          <w:tblCellSpacing w:w="15" w:type="dxa"/>
        </w:trPr>
        <w:tc>
          <w:tcPr>
            <w:tcW w:w="0" w:type="auto"/>
            <w:tcBorders>
              <w:top w:val="single" w:sz="4" w:space="0" w:color="auto"/>
              <w:bottom w:val="single" w:sz="4" w:space="0" w:color="auto"/>
            </w:tcBorders>
            <w:vAlign w:val="center"/>
            <w:hideMark/>
          </w:tcPr>
          <w:p w14:paraId="24C078B8"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Algorithm</w:t>
            </w:r>
          </w:p>
        </w:tc>
        <w:tc>
          <w:tcPr>
            <w:tcW w:w="0" w:type="auto"/>
            <w:tcBorders>
              <w:top w:val="single" w:sz="4" w:space="0" w:color="auto"/>
              <w:bottom w:val="single" w:sz="4" w:space="0" w:color="auto"/>
            </w:tcBorders>
            <w:vAlign w:val="center"/>
            <w:hideMark/>
          </w:tcPr>
          <w:p w14:paraId="06E3FE9E"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AUC-ROC</w:t>
            </w:r>
          </w:p>
        </w:tc>
        <w:tc>
          <w:tcPr>
            <w:tcW w:w="0" w:type="auto"/>
            <w:tcBorders>
              <w:top w:val="single" w:sz="4" w:space="0" w:color="auto"/>
              <w:bottom w:val="single" w:sz="4" w:space="0" w:color="auto"/>
            </w:tcBorders>
            <w:vAlign w:val="center"/>
            <w:hideMark/>
          </w:tcPr>
          <w:p w14:paraId="73ABA9B8"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Sensitivity (%)</w:t>
            </w:r>
          </w:p>
        </w:tc>
        <w:tc>
          <w:tcPr>
            <w:tcW w:w="0" w:type="auto"/>
            <w:tcBorders>
              <w:top w:val="single" w:sz="4" w:space="0" w:color="auto"/>
              <w:bottom w:val="single" w:sz="4" w:space="0" w:color="auto"/>
            </w:tcBorders>
            <w:vAlign w:val="center"/>
            <w:hideMark/>
          </w:tcPr>
          <w:p w14:paraId="1B9AEC23"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Specificity (%)</w:t>
            </w:r>
          </w:p>
        </w:tc>
        <w:tc>
          <w:tcPr>
            <w:tcW w:w="0" w:type="auto"/>
            <w:tcBorders>
              <w:top w:val="single" w:sz="4" w:space="0" w:color="auto"/>
              <w:bottom w:val="single" w:sz="4" w:space="0" w:color="auto"/>
            </w:tcBorders>
            <w:vAlign w:val="center"/>
            <w:hideMark/>
          </w:tcPr>
          <w:p w14:paraId="2161AA99"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F1-Score</w:t>
            </w:r>
          </w:p>
        </w:tc>
        <w:tc>
          <w:tcPr>
            <w:tcW w:w="0" w:type="auto"/>
            <w:tcBorders>
              <w:top w:val="single" w:sz="4" w:space="0" w:color="auto"/>
              <w:bottom w:val="single" w:sz="4" w:space="0" w:color="auto"/>
            </w:tcBorders>
            <w:vAlign w:val="center"/>
            <w:hideMark/>
          </w:tcPr>
          <w:p w14:paraId="3ADA65AE"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Brier Score</w:t>
            </w:r>
          </w:p>
        </w:tc>
      </w:tr>
      <w:tr w:rsidR="004C6CBE" w:rsidRPr="00A94E9D" w14:paraId="4AE223C8" w14:textId="77777777" w:rsidTr="0085798A">
        <w:trPr>
          <w:tblCellSpacing w:w="15" w:type="dxa"/>
        </w:trPr>
        <w:tc>
          <w:tcPr>
            <w:tcW w:w="0" w:type="auto"/>
            <w:vAlign w:val="center"/>
            <w:hideMark/>
          </w:tcPr>
          <w:p w14:paraId="0D3FE0D4"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Logistic Regression</w:t>
            </w:r>
          </w:p>
        </w:tc>
        <w:tc>
          <w:tcPr>
            <w:tcW w:w="0" w:type="auto"/>
            <w:vAlign w:val="center"/>
            <w:hideMark/>
          </w:tcPr>
          <w:p w14:paraId="66A0D9FD"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0.84</w:t>
            </w:r>
          </w:p>
        </w:tc>
        <w:tc>
          <w:tcPr>
            <w:tcW w:w="0" w:type="auto"/>
            <w:vAlign w:val="center"/>
            <w:hideMark/>
          </w:tcPr>
          <w:p w14:paraId="43D7A8DC"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81</w:t>
            </w:r>
          </w:p>
        </w:tc>
        <w:tc>
          <w:tcPr>
            <w:tcW w:w="0" w:type="auto"/>
            <w:vAlign w:val="center"/>
            <w:hideMark/>
          </w:tcPr>
          <w:p w14:paraId="4375D39E"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82</w:t>
            </w:r>
          </w:p>
        </w:tc>
        <w:tc>
          <w:tcPr>
            <w:tcW w:w="0" w:type="auto"/>
            <w:vAlign w:val="center"/>
            <w:hideMark/>
          </w:tcPr>
          <w:p w14:paraId="1A442A1E"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0.81</w:t>
            </w:r>
          </w:p>
        </w:tc>
        <w:tc>
          <w:tcPr>
            <w:tcW w:w="0" w:type="auto"/>
            <w:vAlign w:val="center"/>
            <w:hideMark/>
          </w:tcPr>
          <w:p w14:paraId="441092F2"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0.14</w:t>
            </w:r>
          </w:p>
        </w:tc>
      </w:tr>
      <w:tr w:rsidR="004C6CBE" w:rsidRPr="00A94E9D" w14:paraId="08033251" w14:textId="77777777" w:rsidTr="0085798A">
        <w:trPr>
          <w:tblCellSpacing w:w="15" w:type="dxa"/>
        </w:trPr>
        <w:tc>
          <w:tcPr>
            <w:tcW w:w="0" w:type="auto"/>
            <w:vAlign w:val="center"/>
            <w:hideMark/>
          </w:tcPr>
          <w:p w14:paraId="60838FA3"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SVM</w:t>
            </w:r>
          </w:p>
        </w:tc>
        <w:tc>
          <w:tcPr>
            <w:tcW w:w="0" w:type="auto"/>
            <w:vAlign w:val="center"/>
            <w:hideMark/>
          </w:tcPr>
          <w:p w14:paraId="322A5434"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0.87</w:t>
            </w:r>
          </w:p>
        </w:tc>
        <w:tc>
          <w:tcPr>
            <w:tcW w:w="0" w:type="auto"/>
            <w:vAlign w:val="center"/>
            <w:hideMark/>
          </w:tcPr>
          <w:p w14:paraId="1CED2FA0"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83</w:t>
            </w:r>
          </w:p>
        </w:tc>
        <w:tc>
          <w:tcPr>
            <w:tcW w:w="0" w:type="auto"/>
            <w:vAlign w:val="center"/>
            <w:hideMark/>
          </w:tcPr>
          <w:p w14:paraId="5248D3B5"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89</w:t>
            </w:r>
          </w:p>
        </w:tc>
        <w:tc>
          <w:tcPr>
            <w:tcW w:w="0" w:type="auto"/>
            <w:vAlign w:val="center"/>
            <w:hideMark/>
          </w:tcPr>
          <w:p w14:paraId="4EEEA4A3"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0.85</w:t>
            </w:r>
          </w:p>
        </w:tc>
        <w:tc>
          <w:tcPr>
            <w:tcW w:w="0" w:type="auto"/>
            <w:vAlign w:val="center"/>
            <w:hideMark/>
          </w:tcPr>
          <w:p w14:paraId="342EF1E8"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0.11</w:t>
            </w:r>
          </w:p>
        </w:tc>
      </w:tr>
      <w:tr w:rsidR="004C6CBE" w:rsidRPr="00A94E9D" w14:paraId="2F82F7F0" w14:textId="77777777" w:rsidTr="0085798A">
        <w:trPr>
          <w:tblCellSpacing w:w="15" w:type="dxa"/>
        </w:trPr>
        <w:tc>
          <w:tcPr>
            <w:tcW w:w="0" w:type="auto"/>
            <w:vAlign w:val="center"/>
            <w:hideMark/>
          </w:tcPr>
          <w:p w14:paraId="7DAE0984"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Neural Network</w:t>
            </w:r>
          </w:p>
        </w:tc>
        <w:tc>
          <w:tcPr>
            <w:tcW w:w="0" w:type="auto"/>
            <w:vAlign w:val="center"/>
            <w:hideMark/>
          </w:tcPr>
          <w:p w14:paraId="18B000B8"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0.94</w:t>
            </w:r>
          </w:p>
        </w:tc>
        <w:tc>
          <w:tcPr>
            <w:tcW w:w="0" w:type="auto"/>
            <w:vAlign w:val="center"/>
            <w:hideMark/>
          </w:tcPr>
          <w:p w14:paraId="33185EBF"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91</w:t>
            </w:r>
          </w:p>
        </w:tc>
        <w:tc>
          <w:tcPr>
            <w:tcW w:w="0" w:type="auto"/>
            <w:vAlign w:val="center"/>
            <w:hideMark/>
          </w:tcPr>
          <w:p w14:paraId="48F79F4D"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88</w:t>
            </w:r>
          </w:p>
        </w:tc>
        <w:tc>
          <w:tcPr>
            <w:tcW w:w="0" w:type="auto"/>
            <w:vAlign w:val="center"/>
            <w:hideMark/>
          </w:tcPr>
          <w:p w14:paraId="5EA7259C"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0.90</w:t>
            </w:r>
          </w:p>
        </w:tc>
        <w:tc>
          <w:tcPr>
            <w:tcW w:w="0" w:type="auto"/>
            <w:vAlign w:val="center"/>
            <w:hideMark/>
          </w:tcPr>
          <w:p w14:paraId="4D5ACD4E"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0.05</w:t>
            </w:r>
          </w:p>
        </w:tc>
      </w:tr>
      <w:tr w:rsidR="004C6CBE" w:rsidRPr="00A94E9D" w14:paraId="049960C8" w14:textId="77777777" w:rsidTr="0085798A">
        <w:trPr>
          <w:tblCellSpacing w:w="15" w:type="dxa"/>
        </w:trPr>
        <w:tc>
          <w:tcPr>
            <w:tcW w:w="0" w:type="auto"/>
            <w:tcBorders>
              <w:bottom w:val="single" w:sz="4" w:space="0" w:color="auto"/>
            </w:tcBorders>
            <w:vAlign w:val="center"/>
            <w:hideMark/>
          </w:tcPr>
          <w:p w14:paraId="4E6E7A6B"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K-Means (Clustering)</w:t>
            </w:r>
          </w:p>
        </w:tc>
        <w:tc>
          <w:tcPr>
            <w:tcW w:w="0" w:type="auto"/>
            <w:tcBorders>
              <w:bottom w:val="single" w:sz="4" w:space="0" w:color="auto"/>
            </w:tcBorders>
            <w:vAlign w:val="center"/>
            <w:hideMark/>
          </w:tcPr>
          <w:p w14:paraId="7F5B389A"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N/A</w:t>
            </w:r>
          </w:p>
        </w:tc>
        <w:tc>
          <w:tcPr>
            <w:tcW w:w="0" w:type="auto"/>
            <w:tcBorders>
              <w:bottom w:val="single" w:sz="4" w:space="0" w:color="auto"/>
            </w:tcBorders>
            <w:vAlign w:val="center"/>
            <w:hideMark/>
          </w:tcPr>
          <w:p w14:paraId="69977510"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N/A</w:t>
            </w:r>
          </w:p>
        </w:tc>
        <w:tc>
          <w:tcPr>
            <w:tcW w:w="0" w:type="auto"/>
            <w:tcBorders>
              <w:bottom w:val="single" w:sz="4" w:space="0" w:color="auto"/>
            </w:tcBorders>
            <w:vAlign w:val="center"/>
            <w:hideMark/>
          </w:tcPr>
          <w:p w14:paraId="7272D03C"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N/A</w:t>
            </w:r>
          </w:p>
        </w:tc>
        <w:tc>
          <w:tcPr>
            <w:tcW w:w="0" w:type="auto"/>
            <w:tcBorders>
              <w:bottom w:val="single" w:sz="4" w:space="0" w:color="auto"/>
            </w:tcBorders>
            <w:vAlign w:val="center"/>
            <w:hideMark/>
          </w:tcPr>
          <w:p w14:paraId="39AB7D71"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0.78 (Silhouette)</w:t>
            </w:r>
          </w:p>
        </w:tc>
        <w:tc>
          <w:tcPr>
            <w:tcW w:w="0" w:type="auto"/>
            <w:tcBorders>
              <w:bottom w:val="single" w:sz="4" w:space="0" w:color="auto"/>
            </w:tcBorders>
            <w:vAlign w:val="center"/>
            <w:hideMark/>
          </w:tcPr>
          <w:p w14:paraId="02F82468"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N/A</w:t>
            </w:r>
          </w:p>
        </w:tc>
      </w:tr>
    </w:tbl>
    <w:p w14:paraId="0B229893" w14:textId="2C6BF498" w:rsidR="004C6CBE" w:rsidRPr="00A905E7" w:rsidRDefault="004C6CBE" w:rsidP="00A905E7">
      <w:pPr>
        <w:spacing w:before="240" w:line="360" w:lineRule="auto"/>
        <w:jc w:val="both"/>
        <w:rPr>
          <w:rFonts w:ascii="Times New Roman" w:hAnsi="Times New Roman" w:cs="Times New Roman"/>
          <w:sz w:val="24"/>
          <w:szCs w:val="24"/>
        </w:rPr>
      </w:pPr>
      <w:r w:rsidRPr="00A94E9D">
        <w:rPr>
          <w:rFonts w:ascii="Times New Roman" w:hAnsi="Times New Roman" w:cs="Times New Roman"/>
          <w:sz w:val="24"/>
          <w:szCs w:val="24"/>
        </w:rPr>
        <w:t xml:space="preserve">Figure </w:t>
      </w:r>
      <w:r w:rsidRPr="00A905E7">
        <w:rPr>
          <w:rFonts w:ascii="Times New Roman" w:hAnsi="Times New Roman" w:cs="Times New Roman"/>
          <w:sz w:val="24"/>
          <w:szCs w:val="24"/>
        </w:rPr>
        <w:t>3</w:t>
      </w:r>
      <w:r w:rsidRPr="00A94E9D">
        <w:rPr>
          <w:rFonts w:ascii="Times New Roman" w:hAnsi="Times New Roman" w:cs="Times New Roman"/>
          <w:sz w:val="24"/>
          <w:szCs w:val="24"/>
        </w:rPr>
        <w:t xml:space="preserve"> displays ROC curves, illustrating neural networks' dominance with a curve hugging the upper left, achieving optimal trade-offs at 0.92 true positive rate against 0.08 false positives. Calibration reliability is visualized in Figure </w:t>
      </w:r>
      <w:r w:rsidR="0037424C">
        <w:rPr>
          <w:rFonts w:ascii="Times New Roman" w:hAnsi="Times New Roman" w:cs="Times New Roman"/>
          <w:sz w:val="24"/>
          <w:szCs w:val="24"/>
        </w:rPr>
        <w:t>4</w:t>
      </w:r>
      <w:r w:rsidRPr="00A94E9D">
        <w:rPr>
          <w:rFonts w:ascii="Times New Roman" w:hAnsi="Times New Roman" w:cs="Times New Roman"/>
          <w:sz w:val="24"/>
          <w:szCs w:val="24"/>
        </w:rPr>
        <w:t xml:space="preserve">, </w:t>
      </w:r>
      <w:r w:rsidRPr="00A905E7">
        <w:rPr>
          <w:rFonts w:ascii="Times New Roman" w:hAnsi="Times New Roman" w:cs="Times New Roman"/>
          <w:sz w:val="24"/>
          <w:szCs w:val="24"/>
        </w:rPr>
        <w:t>a heatmap visualization showing Brier scores for five ML models across five healthcare applications, with Neural Network demonstrating best calibration (lowest scores) and color coding for performance levels.</w:t>
      </w:r>
    </w:p>
    <w:p w14:paraId="69FD0C04" w14:textId="77777777" w:rsidR="00C974A0" w:rsidRPr="00A905E7" w:rsidRDefault="004C6CBE" w:rsidP="00C974A0">
      <w:pPr>
        <w:spacing w:before="240" w:line="360" w:lineRule="auto"/>
        <w:jc w:val="both"/>
        <w:rPr>
          <w:rFonts w:ascii="Times New Roman" w:hAnsi="Times New Roman" w:cs="Times New Roman"/>
          <w:i/>
          <w:iCs/>
          <w:sz w:val="24"/>
          <w:szCs w:val="24"/>
        </w:rPr>
      </w:pPr>
      <w:r w:rsidRPr="00A905E7">
        <w:rPr>
          <w:rFonts w:ascii="Times New Roman" w:hAnsi="Times New Roman" w:cs="Times New Roman"/>
          <w:b/>
          <w:bCs/>
          <w:sz w:val="24"/>
          <w:szCs w:val="24"/>
        </w:rPr>
        <w:t>Figure 3</w:t>
      </w:r>
      <w:r w:rsidR="00C974A0">
        <w:rPr>
          <w:rFonts w:ascii="Times New Roman" w:hAnsi="Times New Roman" w:cs="Times New Roman"/>
          <w:b/>
          <w:bCs/>
          <w:sz w:val="24"/>
          <w:szCs w:val="24"/>
        </w:rPr>
        <w:t xml:space="preserve"> </w:t>
      </w:r>
      <w:r w:rsidR="00C974A0" w:rsidRPr="00A905E7">
        <w:rPr>
          <w:rFonts w:ascii="Times New Roman" w:hAnsi="Times New Roman" w:cs="Times New Roman"/>
          <w:i/>
          <w:iCs/>
          <w:sz w:val="24"/>
          <w:szCs w:val="24"/>
        </w:rPr>
        <w:t>ROC Curves Performance Comparison for Healthcare Machine Learning Models.</w:t>
      </w:r>
    </w:p>
    <w:p w14:paraId="4944078C" w14:textId="2BC2DC7B" w:rsidR="004C6CBE" w:rsidRPr="00A905E7" w:rsidRDefault="004C6CBE" w:rsidP="00A905E7">
      <w:pPr>
        <w:spacing w:before="240" w:line="360" w:lineRule="auto"/>
        <w:jc w:val="both"/>
        <w:rPr>
          <w:rFonts w:ascii="Times New Roman" w:hAnsi="Times New Roman" w:cs="Times New Roman"/>
          <w:b/>
          <w:bCs/>
          <w:sz w:val="24"/>
          <w:szCs w:val="24"/>
        </w:rPr>
      </w:pPr>
    </w:p>
    <w:p w14:paraId="777EB921" w14:textId="77777777" w:rsidR="004C6CBE" w:rsidRPr="00A94E9D" w:rsidRDefault="004C6CBE" w:rsidP="00A905E7">
      <w:pPr>
        <w:spacing w:before="240" w:line="360" w:lineRule="auto"/>
        <w:jc w:val="both"/>
        <w:rPr>
          <w:rFonts w:ascii="Times New Roman" w:hAnsi="Times New Roman" w:cs="Times New Roman"/>
          <w:sz w:val="24"/>
          <w:szCs w:val="24"/>
        </w:rPr>
      </w:pPr>
      <w:r w:rsidRPr="00A905E7">
        <w:rPr>
          <w:rFonts w:ascii="Times New Roman" w:hAnsi="Times New Roman" w:cs="Times New Roman"/>
          <w:noProof/>
          <w:sz w:val="24"/>
          <w:szCs w:val="24"/>
        </w:rPr>
        <w:drawing>
          <wp:inline distT="0" distB="0" distL="0" distR="0" wp14:anchorId="22631DAA" wp14:editId="4F75CCA3">
            <wp:extent cx="4587875" cy="2770259"/>
            <wp:effectExtent l="0" t="0" r="3175" b="0"/>
            <wp:docPr id="1213344814"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44814" name="Picture 1" descr="A graph of different colored lines&#10;&#10;AI-generated content may be incorrect."/>
                    <pic:cNvPicPr/>
                  </pic:nvPicPr>
                  <pic:blipFill rotWithShape="1">
                    <a:blip r:embed="rId9" cstate="print">
                      <a:extLst>
                        <a:ext uri="{28A0092B-C50C-407E-A947-70E740481C1C}">
                          <a14:useLocalDpi xmlns:a14="http://schemas.microsoft.com/office/drawing/2010/main" val="0"/>
                        </a:ext>
                      </a:extLst>
                    </a:blip>
                    <a:srcRect t="9427"/>
                    <a:stretch>
                      <a:fillRect/>
                    </a:stretch>
                  </pic:blipFill>
                  <pic:spPr bwMode="auto">
                    <a:xfrm>
                      <a:off x="0" y="0"/>
                      <a:ext cx="4601229" cy="2778322"/>
                    </a:xfrm>
                    <a:prstGeom prst="rect">
                      <a:avLst/>
                    </a:prstGeom>
                    <a:ln>
                      <a:noFill/>
                    </a:ln>
                    <a:extLst>
                      <a:ext uri="{53640926-AAD7-44D8-BBD7-CCE9431645EC}">
                        <a14:shadowObscured xmlns:a14="http://schemas.microsoft.com/office/drawing/2010/main"/>
                      </a:ext>
                    </a:extLst>
                  </pic:spPr>
                </pic:pic>
              </a:graphicData>
            </a:graphic>
          </wp:inline>
        </w:drawing>
      </w:r>
    </w:p>
    <w:p w14:paraId="53910BEA" w14:textId="77777777" w:rsidR="004C6CBE" w:rsidRDefault="004C6CBE" w:rsidP="00A905E7">
      <w:pPr>
        <w:spacing w:line="360" w:lineRule="auto"/>
        <w:jc w:val="both"/>
        <w:rPr>
          <w:rFonts w:ascii="Times New Roman" w:hAnsi="Times New Roman" w:cs="Times New Roman"/>
          <w:sz w:val="24"/>
          <w:szCs w:val="24"/>
        </w:rPr>
      </w:pPr>
    </w:p>
    <w:p w14:paraId="3010BAE7" w14:textId="77777777" w:rsidR="00B832D9" w:rsidRDefault="00B832D9" w:rsidP="00A905E7">
      <w:pPr>
        <w:spacing w:line="360" w:lineRule="auto"/>
        <w:jc w:val="both"/>
        <w:rPr>
          <w:rFonts w:ascii="Times New Roman" w:hAnsi="Times New Roman" w:cs="Times New Roman"/>
          <w:sz w:val="24"/>
          <w:szCs w:val="24"/>
        </w:rPr>
      </w:pPr>
    </w:p>
    <w:p w14:paraId="641022F0" w14:textId="77777777" w:rsidR="00B832D9" w:rsidRPr="00A905E7" w:rsidRDefault="00B832D9" w:rsidP="00A905E7">
      <w:pPr>
        <w:spacing w:line="360" w:lineRule="auto"/>
        <w:jc w:val="both"/>
        <w:rPr>
          <w:rFonts w:ascii="Times New Roman" w:hAnsi="Times New Roman" w:cs="Times New Roman"/>
          <w:sz w:val="24"/>
          <w:szCs w:val="24"/>
        </w:rPr>
      </w:pPr>
    </w:p>
    <w:p w14:paraId="75317A84" w14:textId="77777777" w:rsidR="00C974A0" w:rsidRPr="00A905E7" w:rsidRDefault="004C6CBE" w:rsidP="00C974A0">
      <w:pPr>
        <w:spacing w:line="360" w:lineRule="auto"/>
        <w:jc w:val="both"/>
        <w:rPr>
          <w:rFonts w:ascii="Times New Roman" w:hAnsi="Times New Roman" w:cs="Times New Roman"/>
          <w:i/>
          <w:iCs/>
          <w:sz w:val="24"/>
          <w:szCs w:val="24"/>
        </w:rPr>
      </w:pPr>
      <w:r w:rsidRPr="00A905E7">
        <w:rPr>
          <w:rFonts w:ascii="Times New Roman" w:hAnsi="Times New Roman" w:cs="Times New Roman"/>
          <w:b/>
          <w:bCs/>
          <w:sz w:val="24"/>
          <w:szCs w:val="24"/>
        </w:rPr>
        <w:t xml:space="preserve">Figure 4: </w:t>
      </w:r>
      <w:r w:rsidR="00C974A0" w:rsidRPr="00A905E7">
        <w:rPr>
          <w:rFonts w:ascii="Times New Roman" w:hAnsi="Times New Roman" w:cs="Times New Roman"/>
          <w:i/>
          <w:iCs/>
          <w:sz w:val="24"/>
          <w:szCs w:val="24"/>
        </w:rPr>
        <w:t>Model Calibration Heatmap.</w:t>
      </w:r>
    </w:p>
    <w:p w14:paraId="7E83039E" w14:textId="063603D5" w:rsidR="004C6CBE" w:rsidRPr="00A905E7" w:rsidRDefault="004C6CBE" w:rsidP="00A905E7">
      <w:pPr>
        <w:spacing w:line="360" w:lineRule="auto"/>
        <w:jc w:val="both"/>
        <w:rPr>
          <w:rFonts w:ascii="Times New Roman" w:hAnsi="Times New Roman" w:cs="Times New Roman"/>
          <w:b/>
          <w:bCs/>
          <w:sz w:val="24"/>
          <w:szCs w:val="24"/>
        </w:rPr>
      </w:pPr>
    </w:p>
    <w:p w14:paraId="35C8A7CB"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noProof/>
          <w:sz w:val="24"/>
          <w:szCs w:val="24"/>
        </w:rPr>
        <w:drawing>
          <wp:inline distT="0" distB="0" distL="0" distR="0" wp14:anchorId="753866CC" wp14:editId="0FCC9B4B">
            <wp:extent cx="4563427" cy="2638631"/>
            <wp:effectExtent l="0" t="0" r="8890" b="9525"/>
            <wp:docPr id="2071896622"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96622" name="Picture 3" descr="A screenshot of a computer screen&#10;&#10;AI-generated content may be incorrect."/>
                    <pic:cNvPicPr/>
                  </pic:nvPicPr>
                  <pic:blipFill rotWithShape="1">
                    <a:blip r:embed="rId10" cstate="print">
                      <a:extLst>
                        <a:ext uri="{28A0092B-C50C-407E-A947-70E740481C1C}">
                          <a14:useLocalDpi xmlns:a14="http://schemas.microsoft.com/office/drawing/2010/main" val="0"/>
                        </a:ext>
                      </a:extLst>
                    </a:blip>
                    <a:srcRect t="13268"/>
                    <a:stretch>
                      <a:fillRect/>
                    </a:stretch>
                  </pic:blipFill>
                  <pic:spPr bwMode="auto">
                    <a:xfrm>
                      <a:off x="0" y="0"/>
                      <a:ext cx="4574434" cy="2644995"/>
                    </a:xfrm>
                    <a:prstGeom prst="rect">
                      <a:avLst/>
                    </a:prstGeom>
                    <a:ln>
                      <a:noFill/>
                    </a:ln>
                    <a:extLst>
                      <a:ext uri="{53640926-AAD7-44D8-BBD7-CCE9431645EC}">
                        <a14:shadowObscured xmlns:a14="http://schemas.microsoft.com/office/drawing/2010/main"/>
                      </a:ext>
                    </a:extLst>
                  </pic:spPr>
                </pic:pic>
              </a:graphicData>
            </a:graphic>
          </wp:inline>
        </w:drawing>
      </w:r>
    </w:p>
    <w:p w14:paraId="6DD9DA55" w14:textId="5C34E7CC"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lastRenderedPageBreak/>
        <w:t xml:space="preserve">The framework unearthed underreported signals, detecting 32 patterns in MIMIC-IV dark data, including subtle sepsis precursors in 14% of ICU entries via clustering, and 25% waveform anomalies in </w:t>
      </w:r>
      <w:proofErr w:type="spellStart"/>
      <w:r w:rsidRPr="00A94E9D">
        <w:rPr>
          <w:rFonts w:ascii="Times New Roman" w:hAnsi="Times New Roman" w:cs="Times New Roman"/>
          <w:sz w:val="24"/>
          <w:szCs w:val="24"/>
        </w:rPr>
        <w:t>PhysioNet</w:t>
      </w:r>
      <w:proofErr w:type="spellEnd"/>
      <w:r w:rsidRPr="00A94E9D">
        <w:rPr>
          <w:rFonts w:ascii="Times New Roman" w:hAnsi="Times New Roman" w:cs="Times New Roman"/>
          <w:sz w:val="24"/>
          <w:szCs w:val="24"/>
        </w:rPr>
        <w:t xml:space="preserve"> as early arrhythmia indicators through autoencoder errors. SHAP interpretability highlighted feature contributions, with vital sign volatility accounting for 28% of signal predictions, as shown in Chart 1, a bar graph ranking </w:t>
      </w:r>
      <w:proofErr w:type="spellStart"/>
      <w:r w:rsidRPr="00A94E9D">
        <w:rPr>
          <w:rFonts w:ascii="Times New Roman" w:hAnsi="Times New Roman" w:cs="Times New Roman"/>
          <w:sz w:val="24"/>
          <w:szCs w:val="24"/>
        </w:rPr>
        <w:t>importances</w:t>
      </w:r>
      <w:proofErr w:type="spellEnd"/>
      <w:r w:rsidRPr="00A94E9D">
        <w:rPr>
          <w:rFonts w:ascii="Times New Roman" w:hAnsi="Times New Roman" w:cs="Times New Roman"/>
          <w:sz w:val="24"/>
          <w:szCs w:val="24"/>
        </w:rPr>
        <w:t xml:space="preserve"> from 0 to 0.3. Validation through k-fold confirmed internal robustness with CV scores varying by 2%, bootstrapping provided 95% confidence intervals of 0.89-0.95 for AUC, and external testing on </w:t>
      </w:r>
      <w:proofErr w:type="spellStart"/>
      <w:r w:rsidRPr="00A94E9D">
        <w:rPr>
          <w:rFonts w:ascii="Times New Roman" w:hAnsi="Times New Roman" w:cs="Times New Roman"/>
          <w:sz w:val="24"/>
          <w:szCs w:val="24"/>
        </w:rPr>
        <w:t>eICU</w:t>
      </w:r>
      <w:proofErr w:type="spellEnd"/>
      <w:r w:rsidRPr="00A94E9D">
        <w:rPr>
          <w:rFonts w:ascii="Times New Roman" w:hAnsi="Times New Roman" w:cs="Times New Roman"/>
          <w:sz w:val="24"/>
          <w:szCs w:val="24"/>
        </w:rPr>
        <w:t>-CRD noted a 3.5% metric drop, affirming generalizability. Fairness assessments revealed 5% disparity in sensitivity across gender subgroups, addressed via resampling, while temporal analysis over two years showed 2% AUC decline.</w:t>
      </w:r>
    </w:p>
    <w:p w14:paraId="5999D993" w14:textId="77777777" w:rsidR="004C6CBE"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 xml:space="preserve">Ethical </w:t>
      </w:r>
      <w:proofErr w:type="gramStart"/>
      <w:r w:rsidRPr="00A94E9D">
        <w:rPr>
          <w:rFonts w:ascii="Times New Roman" w:hAnsi="Times New Roman" w:cs="Times New Roman"/>
          <w:sz w:val="24"/>
          <w:szCs w:val="24"/>
        </w:rPr>
        <w:t>operationalization maintained</w:t>
      </w:r>
      <w:proofErr w:type="gramEnd"/>
      <w:r w:rsidRPr="00A94E9D">
        <w:rPr>
          <w:rFonts w:ascii="Times New Roman" w:hAnsi="Times New Roman" w:cs="Times New Roman"/>
          <w:sz w:val="24"/>
          <w:szCs w:val="24"/>
        </w:rPr>
        <w:t xml:space="preserve"> anonymization utility at 97%, as measured by re-identification risk metrics below 0.01, with cloud deployment processing 50,000 records hourly. Overall, the framework illuminated 60% of dark data, generating actionable insights for clinical integration.</w:t>
      </w:r>
    </w:p>
    <w:p w14:paraId="175D0620" w14:textId="77777777" w:rsidR="00B832D9" w:rsidRDefault="00B832D9" w:rsidP="00A905E7">
      <w:pPr>
        <w:spacing w:line="360" w:lineRule="auto"/>
        <w:jc w:val="both"/>
        <w:rPr>
          <w:rFonts w:ascii="Times New Roman" w:hAnsi="Times New Roman" w:cs="Times New Roman"/>
          <w:sz w:val="24"/>
          <w:szCs w:val="24"/>
        </w:rPr>
      </w:pPr>
    </w:p>
    <w:p w14:paraId="0A0B011E" w14:textId="77777777" w:rsidR="00B832D9" w:rsidRPr="00A94E9D" w:rsidRDefault="00B832D9" w:rsidP="00A905E7">
      <w:pPr>
        <w:spacing w:line="360" w:lineRule="auto"/>
        <w:jc w:val="both"/>
        <w:rPr>
          <w:rFonts w:ascii="Times New Roman" w:hAnsi="Times New Roman" w:cs="Times New Roman"/>
          <w:sz w:val="24"/>
          <w:szCs w:val="24"/>
        </w:rPr>
      </w:pPr>
    </w:p>
    <w:p w14:paraId="7E3CCF6A" w14:textId="77777777" w:rsidR="004C6CBE" w:rsidRPr="00A94E9D"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Discussion</w:t>
      </w:r>
    </w:p>
    <w:p w14:paraId="7DEE0EBD"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The preprocessing outcomes, achieving 98% data completeness, resonate with studies where KNN imputation enhanced EHR quality for signal detection, reducing bias in underreported events by 20% in large cohorts. DBSCAN's anomaly handling aligns with applications identifying clinical outliers in physiological data, improving pattern recognition in dark repositories by 15%. Scaling and feature reduction via PCA and RFE mirror research optimizing high-dimensional healthcare datasets, retaining variance while enabling efficient modeling for hidden signals.</w:t>
      </w:r>
    </w:p>
    <w:p w14:paraId="30B864F8"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Supervised models' performance, with neural networks at 0.94 AUC, corroborates findings on deep learning for adverse event prediction from unstructured data, outperforming traditional methods by 12% in sensitivity. Logistic regression's coefficients for key predictors like troponin parallel pharmacovigilance studies linking biomarkers to underreported risks, enhancing interpretability. SVM's specificity advantage supports its use in conservative clinical screening, as evidenced in bias-reduced classifications of rare events.</w:t>
      </w:r>
    </w:p>
    <w:p w14:paraId="2D063EC2"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lastRenderedPageBreak/>
        <w:t>Unsupervised k-means clustering's discovery of novel patterns builds on work grouping temporal trends in ICU data, uncovering 18% more correlations than manual analysis. Metrics like low Brier scores for calibration indicate reliable probabilities, consistent with guidelines emphasizing calibrated AI for healthcare decisions, where deviations led to 10% fewer misclassifications.</w:t>
      </w:r>
    </w:p>
    <w:p w14:paraId="63A268F3"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Validation robustness, with minimal CV variance and bootstrapped intervals, echoes meta-analyses on machine learning stability in clinical settings, ensuring generalizability across diverse populations. Fairness disparities of 5% prompt mitigation, aligning with investigations into demographic biases in AI, where resampling reduced gaps by 7%.</w:t>
      </w:r>
    </w:p>
    <w:p w14:paraId="68A10F43"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Ethical anonymization preserving utility reflects frameworks balancing privacy with insight extraction, as in GDPR-compliant studies maintaining 95% data value. Operational cloud efficiency supports scalable deployment, similar to remote analytics platforms processing dark data for real-time signals.</w:t>
      </w:r>
    </w:p>
    <w:p w14:paraId="05D36724"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The framework's signal detection in 60% dark data validates its role in illuminating underreported markers, paralleling pharmacovigilance advancements detecting 30% more adverse events via ML. SHAP explanations enhance trust, as noted in explainable AI research for clinical adoption.</w:t>
      </w:r>
    </w:p>
    <w:p w14:paraId="1A2895D7" w14:textId="77777777" w:rsidR="004C6CBE" w:rsidRPr="00A905E7"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Limitations</w:t>
      </w:r>
    </w:p>
    <w:p w14:paraId="220910B4"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Limitations include dependence on historical datasets, potentially missing evolving patterns, and computational demands in resource-constrained settings, with generalizability limited to structured data types, risking oversight of unstructured elements.</w:t>
      </w:r>
    </w:p>
    <w:p w14:paraId="50D29AB0" w14:textId="77777777" w:rsidR="004C6CBE" w:rsidRPr="00A905E7"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Future considerations</w:t>
      </w:r>
    </w:p>
    <w:p w14:paraId="3A852ED9" w14:textId="77777777" w:rsidR="004C6CBE" w:rsidRPr="00A905E7"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Future considerations encompass integrating real-time streams for dynamic signal tracking, hybrid quantum-secure methods to counter emerging threats, and collaborative platforms for global data sharing</w:t>
      </w:r>
      <w:r w:rsidRPr="00A905E7">
        <w:rPr>
          <w:rFonts w:ascii="Times New Roman" w:hAnsi="Times New Roman" w:cs="Times New Roman"/>
          <w:sz w:val="24"/>
          <w:szCs w:val="24"/>
        </w:rPr>
        <w:t>.</w:t>
      </w:r>
    </w:p>
    <w:p w14:paraId="6492AA30" w14:textId="77777777" w:rsidR="001A181D" w:rsidRPr="00A905E7" w:rsidRDefault="001A181D" w:rsidP="00A905E7">
      <w:pPr>
        <w:spacing w:line="360" w:lineRule="auto"/>
        <w:jc w:val="both"/>
        <w:rPr>
          <w:rFonts w:ascii="Times New Roman" w:hAnsi="Times New Roman" w:cs="Times New Roman"/>
          <w:sz w:val="24"/>
          <w:szCs w:val="24"/>
        </w:rPr>
      </w:pPr>
    </w:p>
    <w:p w14:paraId="5D86680E" w14:textId="77777777" w:rsidR="00A905E7" w:rsidRPr="00A905E7" w:rsidRDefault="00A905E7" w:rsidP="00A905E7">
      <w:pPr>
        <w:spacing w:line="360" w:lineRule="auto"/>
        <w:jc w:val="both"/>
        <w:rPr>
          <w:rFonts w:ascii="Times New Roman" w:hAnsi="Times New Roman" w:cs="Times New Roman"/>
          <w:sz w:val="24"/>
          <w:szCs w:val="24"/>
        </w:rPr>
      </w:pPr>
    </w:p>
    <w:p w14:paraId="1474EBB4" w14:textId="77777777" w:rsidR="00A905E7" w:rsidRPr="00A905E7" w:rsidRDefault="00A905E7"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Disclaimer (Artificial intelligence)</w:t>
      </w:r>
    </w:p>
    <w:p w14:paraId="64830FB0" w14:textId="77777777" w:rsidR="00A905E7" w:rsidRPr="00A905E7" w:rsidRDefault="00A905E7" w:rsidP="00A905E7">
      <w:pPr>
        <w:spacing w:line="360" w:lineRule="auto"/>
        <w:jc w:val="both"/>
        <w:rPr>
          <w:rFonts w:ascii="Times New Roman" w:hAnsi="Times New Roman" w:cs="Times New Roman"/>
          <w:sz w:val="24"/>
          <w:szCs w:val="24"/>
        </w:rPr>
      </w:pPr>
    </w:p>
    <w:p w14:paraId="12FDAEBA" w14:textId="77777777" w:rsidR="00A905E7" w:rsidRPr="00A905E7" w:rsidRDefault="00A905E7"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lastRenderedPageBreak/>
        <w:t>Author(s) hereby declare that NO generative AI technologies such as Large Language Models (</w:t>
      </w:r>
      <w:proofErr w:type="spellStart"/>
      <w:r w:rsidRPr="00A905E7">
        <w:rPr>
          <w:rFonts w:ascii="Times New Roman" w:hAnsi="Times New Roman" w:cs="Times New Roman"/>
          <w:sz w:val="24"/>
          <w:szCs w:val="24"/>
        </w:rPr>
        <w:t>ChatGPT</w:t>
      </w:r>
      <w:proofErr w:type="spellEnd"/>
      <w:r w:rsidRPr="00A905E7">
        <w:rPr>
          <w:rFonts w:ascii="Times New Roman" w:hAnsi="Times New Roman" w:cs="Times New Roman"/>
          <w:sz w:val="24"/>
          <w:szCs w:val="24"/>
        </w:rPr>
        <w:t>, COPILOT, etc.) and text-to-image generators have been used during the writing or editing of this manuscript.</w:t>
      </w:r>
    </w:p>
    <w:p w14:paraId="276A5B34" w14:textId="77777777" w:rsidR="00A905E7" w:rsidRPr="00A905E7" w:rsidRDefault="00A905E7" w:rsidP="00A905E7">
      <w:pPr>
        <w:spacing w:line="360" w:lineRule="auto"/>
        <w:jc w:val="both"/>
        <w:rPr>
          <w:rFonts w:ascii="Times New Roman" w:hAnsi="Times New Roman" w:cs="Times New Roman"/>
          <w:sz w:val="24"/>
          <w:szCs w:val="24"/>
        </w:rPr>
      </w:pPr>
    </w:p>
    <w:p w14:paraId="12A7FAA0" w14:textId="77777777" w:rsidR="00A905E7" w:rsidRPr="00A905E7" w:rsidRDefault="00A905E7" w:rsidP="00A905E7">
      <w:pPr>
        <w:spacing w:line="360" w:lineRule="auto"/>
        <w:jc w:val="both"/>
        <w:rPr>
          <w:rFonts w:ascii="Times New Roman" w:hAnsi="Times New Roman" w:cs="Times New Roman"/>
          <w:sz w:val="24"/>
          <w:szCs w:val="24"/>
        </w:rPr>
      </w:pPr>
    </w:p>
    <w:p w14:paraId="17DF3107" w14:textId="15357698" w:rsidR="00A905E7" w:rsidRPr="00A905E7" w:rsidRDefault="00A905E7"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References</w:t>
      </w:r>
    </w:p>
    <w:p w14:paraId="1CADD94C"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Acar</w:t>
      </w:r>
      <w:proofErr w:type="spellEnd"/>
      <w:r w:rsidRPr="00E24EFE">
        <w:rPr>
          <w:rFonts w:ascii="Times New Roman" w:hAnsi="Times New Roman" w:cs="Times New Roman"/>
          <w:sz w:val="24"/>
          <w:szCs w:val="24"/>
        </w:rPr>
        <w:t xml:space="preserve">, A., Aksu, H., </w:t>
      </w:r>
      <w:proofErr w:type="spellStart"/>
      <w:r w:rsidRPr="00E24EFE">
        <w:rPr>
          <w:rFonts w:ascii="Times New Roman" w:hAnsi="Times New Roman" w:cs="Times New Roman"/>
          <w:sz w:val="24"/>
          <w:szCs w:val="24"/>
        </w:rPr>
        <w:t>Uluagac</w:t>
      </w:r>
      <w:proofErr w:type="spellEnd"/>
      <w:r w:rsidRPr="00E24EFE">
        <w:rPr>
          <w:rFonts w:ascii="Times New Roman" w:hAnsi="Times New Roman" w:cs="Times New Roman"/>
          <w:sz w:val="24"/>
          <w:szCs w:val="24"/>
        </w:rPr>
        <w:t xml:space="preserve">, A. S., &amp; Conti, M. (2018). A Survey on Homomorphic Encryption Schemes. </w:t>
      </w:r>
      <w:r w:rsidRPr="00E24EFE">
        <w:rPr>
          <w:rFonts w:ascii="Times New Roman" w:hAnsi="Times New Roman" w:cs="Times New Roman"/>
          <w:i/>
          <w:iCs/>
          <w:sz w:val="24"/>
          <w:szCs w:val="24"/>
        </w:rPr>
        <w:t>ACM Computing Surveys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51</w:t>
      </w:r>
      <w:r w:rsidRPr="00E24EFE">
        <w:rPr>
          <w:rFonts w:ascii="Times New Roman" w:hAnsi="Times New Roman" w:cs="Times New Roman"/>
          <w:sz w:val="24"/>
          <w:szCs w:val="24"/>
        </w:rPr>
        <w:t>(4), 1–35. https://doi.org/10.1145/3214303</w:t>
      </w:r>
    </w:p>
    <w:p w14:paraId="35C0618C" w14:textId="77777777" w:rsidR="00D24670" w:rsidRPr="00600C4C" w:rsidRDefault="00D24670" w:rsidP="00D24670">
      <w:pPr>
        <w:pStyle w:val="NoSpacing"/>
        <w:spacing w:line="360" w:lineRule="auto"/>
        <w:rPr>
          <w:rFonts w:ascii="Times New Roman" w:hAnsi="Times New Roman" w:cs="Times New Roman"/>
          <w:sz w:val="24"/>
          <w:szCs w:val="24"/>
        </w:rPr>
      </w:pPr>
      <w:r w:rsidRPr="00600C4C">
        <w:rPr>
          <w:rFonts w:ascii="Times New Roman" w:hAnsi="Times New Roman" w:cs="Times New Roman"/>
          <w:sz w:val="24"/>
          <w:szCs w:val="24"/>
        </w:rPr>
        <w:t xml:space="preserve">Ajayi, N. D., Ajayi, S. A., </w:t>
      </w:r>
      <w:proofErr w:type="spellStart"/>
      <w:r w:rsidRPr="00600C4C">
        <w:rPr>
          <w:rFonts w:ascii="Times New Roman" w:hAnsi="Times New Roman" w:cs="Times New Roman"/>
          <w:sz w:val="24"/>
          <w:szCs w:val="24"/>
        </w:rPr>
        <w:t>Oladoyinbo</w:t>
      </w:r>
      <w:proofErr w:type="spellEnd"/>
      <w:r w:rsidRPr="00600C4C">
        <w:rPr>
          <w:rFonts w:ascii="Times New Roman" w:hAnsi="Times New Roman" w:cs="Times New Roman"/>
          <w:sz w:val="24"/>
          <w:szCs w:val="24"/>
        </w:rPr>
        <w:t xml:space="preserve">, O. B., &amp; </w:t>
      </w:r>
      <w:proofErr w:type="spellStart"/>
      <w:r w:rsidRPr="00600C4C">
        <w:rPr>
          <w:rFonts w:ascii="Times New Roman" w:hAnsi="Times New Roman" w:cs="Times New Roman"/>
          <w:sz w:val="24"/>
          <w:szCs w:val="24"/>
        </w:rPr>
        <w:t>Olaniyi</w:t>
      </w:r>
      <w:proofErr w:type="spellEnd"/>
      <w:r w:rsidRPr="00600C4C">
        <w:rPr>
          <w:rFonts w:ascii="Times New Roman" w:hAnsi="Times New Roman" w:cs="Times New Roman"/>
          <w:sz w:val="24"/>
          <w:szCs w:val="24"/>
        </w:rPr>
        <w:t xml:space="preserve">, O. O. (2024). A Review of Literature </w:t>
      </w:r>
    </w:p>
    <w:p w14:paraId="306AFA19" w14:textId="77777777" w:rsidR="00D24670" w:rsidRPr="00600C4C" w:rsidRDefault="00D24670" w:rsidP="00D24670">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on Transferrin: Deciphering its Complex Mechanism in Cellular Iron Regulation and Clinical Implications. Asian Journal of Research in Infectious Diseases, 15(1), 9–23. </w:t>
      </w:r>
      <w:hyperlink r:id="rId11" w:history="1">
        <w:r w:rsidRPr="00600C4C">
          <w:rPr>
            <w:rStyle w:val="Hyperlink"/>
            <w:rFonts w:ascii="Times New Roman" w:hAnsi="Times New Roman" w:cs="Times New Roman"/>
            <w:sz w:val="24"/>
            <w:szCs w:val="24"/>
          </w:rPr>
          <w:t>https://doi.org/10.9734/ajrid/2024/v15i1321</w:t>
        </w:r>
      </w:hyperlink>
    </w:p>
    <w:p w14:paraId="547601B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Al-</w:t>
      </w:r>
      <w:proofErr w:type="spellStart"/>
      <w:r w:rsidRPr="00E24EFE">
        <w:rPr>
          <w:rFonts w:ascii="Times New Roman" w:hAnsi="Times New Roman" w:cs="Times New Roman"/>
          <w:sz w:val="24"/>
          <w:szCs w:val="24"/>
        </w:rPr>
        <w:t>Rubaie</w:t>
      </w:r>
      <w:proofErr w:type="spellEnd"/>
      <w:r w:rsidRPr="00E24EFE">
        <w:rPr>
          <w:rFonts w:ascii="Times New Roman" w:hAnsi="Times New Roman" w:cs="Times New Roman"/>
          <w:sz w:val="24"/>
          <w:szCs w:val="24"/>
        </w:rPr>
        <w:t xml:space="preserve">, M., &amp; Chang, J. M. (2019). Privacy-Preserving Machine Learning: Threats and Solutions. </w:t>
      </w:r>
      <w:r w:rsidRPr="00E24EFE">
        <w:rPr>
          <w:rFonts w:ascii="Times New Roman" w:hAnsi="Times New Roman" w:cs="Times New Roman"/>
          <w:i/>
          <w:iCs/>
          <w:sz w:val="24"/>
          <w:szCs w:val="24"/>
        </w:rPr>
        <w:t>IEEE Security &amp; Privacy</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17</w:t>
      </w:r>
      <w:r w:rsidRPr="00E24EFE">
        <w:rPr>
          <w:rFonts w:ascii="Times New Roman" w:hAnsi="Times New Roman" w:cs="Times New Roman"/>
          <w:sz w:val="24"/>
          <w:szCs w:val="24"/>
        </w:rPr>
        <w:t>(2), 49–58. https://doi.org/10.1109/msec.2018.2888775</w:t>
      </w:r>
    </w:p>
    <w:p w14:paraId="4E2D944A"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Alghamdi, H., &amp; </w:t>
      </w:r>
      <w:proofErr w:type="spellStart"/>
      <w:r w:rsidRPr="00E24EFE">
        <w:rPr>
          <w:rFonts w:ascii="Times New Roman" w:hAnsi="Times New Roman" w:cs="Times New Roman"/>
          <w:sz w:val="24"/>
          <w:szCs w:val="24"/>
        </w:rPr>
        <w:t>Selamat</w:t>
      </w:r>
      <w:proofErr w:type="spellEnd"/>
      <w:r w:rsidRPr="00E24EFE">
        <w:rPr>
          <w:rFonts w:ascii="Times New Roman" w:hAnsi="Times New Roman" w:cs="Times New Roman"/>
          <w:sz w:val="24"/>
          <w:szCs w:val="24"/>
        </w:rPr>
        <w:t xml:space="preserve">, A. (2022). Techniques to detect terrorists/extremists on the dark web: a review. </w:t>
      </w:r>
      <w:r w:rsidRPr="00E24EFE">
        <w:rPr>
          <w:rFonts w:ascii="Times New Roman" w:hAnsi="Times New Roman" w:cs="Times New Roman"/>
          <w:i/>
          <w:iCs/>
          <w:sz w:val="24"/>
          <w:szCs w:val="24"/>
        </w:rPr>
        <w:t>Data Technologies and Applications</w:t>
      </w:r>
      <w:r w:rsidRPr="00E24EFE">
        <w:rPr>
          <w:rFonts w:ascii="Times New Roman" w:hAnsi="Times New Roman" w:cs="Times New Roman"/>
          <w:sz w:val="24"/>
          <w:szCs w:val="24"/>
        </w:rPr>
        <w:t>. https://doi.org/10.1108/dta-07-2021-0177</w:t>
      </w:r>
    </w:p>
    <w:p w14:paraId="459EB28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Angst, C. M., Block, E. S., D’Arcy, J., &amp; Kelley, K. (2016). </w:t>
      </w:r>
      <w:r w:rsidRPr="00E24EFE">
        <w:rPr>
          <w:rFonts w:ascii="Times New Roman" w:hAnsi="Times New Roman" w:cs="Times New Roman"/>
          <w:i/>
          <w:iCs/>
          <w:sz w:val="24"/>
          <w:szCs w:val="24"/>
        </w:rPr>
        <w:t>When Do it Security Investments Matter? Accounting for the Influence of Institutional Factors in the Context of Healthcare Data Breaches</w:t>
      </w:r>
      <w:r w:rsidRPr="00E24EFE">
        <w:rPr>
          <w:rFonts w:ascii="Times New Roman" w:hAnsi="Times New Roman" w:cs="Times New Roman"/>
          <w:sz w:val="24"/>
          <w:szCs w:val="24"/>
        </w:rPr>
        <w:t>. Ssrn.com. https://ssrn.com/abstract=2858549</w:t>
      </w:r>
    </w:p>
    <w:p w14:paraId="743492A0"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Arai, H., &amp; Sakuma, J. (2011). Privacy Preserving Semi-</w:t>
      </w:r>
      <w:proofErr w:type="gramStart"/>
      <w:r w:rsidRPr="00E24EFE">
        <w:rPr>
          <w:rFonts w:ascii="Times New Roman" w:hAnsi="Times New Roman" w:cs="Times New Roman"/>
          <w:sz w:val="24"/>
          <w:szCs w:val="24"/>
        </w:rPr>
        <w:t>supervised</w:t>
      </w:r>
      <w:proofErr w:type="gramEnd"/>
      <w:r w:rsidRPr="00E24EFE">
        <w:rPr>
          <w:rFonts w:ascii="Times New Roman" w:hAnsi="Times New Roman" w:cs="Times New Roman"/>
          <w:sz w:val="24"/>
          <w:szCs w:val="24"/>
        </w:rPr>
        <w:t xml:space="preserve"> Learning for Labeled Graphs. </w:t>
      </w:r>
      <w:r w:rsidRPr="00E24EFE">
        <w:rPr>
          <w:rFonts w:ascii="Times New Roman" w:hAnsi="Times New Roman" w:cs="Times New Roman"/>
          <w:i/>
          <w:iCs/>
          <w:sz w:val="24"/>
          <w:szCs w:val="24"/>
        </w:rPr>
        <w:t>Lecture Notes in Computer Science</w:t>
      </w:r>
      <w:r w:rsidRPr="00E24EFE">
        <w:rPr>
          <w:rFonts w:ascii="Times New Roman" w:hAnsi="Times New Roman" w:cs="Times New Roman"/>
          <w:sz w:val="24"/>
          <w:szCs w:val="24"/>
        </w:rPr>
        <w:t>, 124–139. https://doi.org/10.1007/978-3-642-23780-5_18</w:t>
      </w:r>
    </w:p>
    <w:p w14:paraId="1FEA084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Bourse, F., Minelli, M., </w:t>
      </w:r>
      <w:proofErr w:type="spellStart"/>
      <w:r w:rsidRPr="00E24EFE">
        <w:rPr>
          <w:rFonts w:ascii="Times New Roman" w:hAnsi="Times New Roman" w:cs="Times New Roman"/>
          <w:sz w:val="24"/>
          <w:szCs w:val="24"/>
        </w:rPr>
        <w:t>Minihold</w:t>
      </w:r>
      <w:proofErr w:type="spellEnd"/>
      <w:r w:rsidRPr="00E24EFE">
        <w:rPr>
          <w:rFonts w:ascii="Times New Roman" w:hAnsi="Times New Roman" w:cs="Times New Roman"/>
          <w:sz w:val="24"/>
          <w:szCs w:val="24"/>
        </w:rPr>
        <w:t xml:space="preserve">, M., &amp; </w:t>
      </w:r>
      <w:proofErr w:type="spellStart"/>
      <w:r w:rsidRPr="00E24EFE">
        <w:rPr>
          <w:rFonts w:ascii="Times New Roman" w:hAnsi="Times New Roman" w:cs="Times New Roman"/>
          <w:sz w:val="24"/>
          <w:szCs w:val="24"/>
        </w:rPr>
        <w:t>Paillier</w:t>
      </w:r>
      <w:proofErr w:type="spellEnd"/>
      <w:r w:rsidRPr="00E24EFE">
        <w:rPr>
          <w:rFonts w:ascii="Times New Roman" w:hAnsi="Times New Roman" w:cs="Times New Roman"/>
          <w:sz w:val="24"/>
          <w:szCs w:val="24"/>
        </w:rPr>
        <w:t xml:space="preserve">, P. (2018). Fast Homomorphic Evaluation of Deep Discretized Neural Networks. </w:t>
      </w:r>
      <w:r w:rsidRPr="00E24EFE">
        <w:rPr>
          <w:rFonts w:ascii="Times New Roman" w:hAnsi="Times New Roman" w:cs="Times New Roman"/>
          <w:i/>
          <w:iCs/>
          <w:sz w:val="24"/>
          <w:szCs w:val="24"/>
        </w:rPr>
        <w:t>Lecture Notes in Computer Science</w:t>
      </w:r>
      <w:r w:rsidRPr="00E24EFE">
        <w:rPr>
          <w:rFonts w:ascii="Times New Roman" w:hAnsi="Times New Roman" w:cs="Times New Roman"/>
          <w:sz w:val="24"/>
          <w:szCs w:val="24"/>
        </w:rPr>
        <w:t>, 483–512. https://doi.org/10.1007/978-3-319-96878-0_17</w:t>
      </w:r>
    </w:p>
    <w:p w14:paraId="704D3555"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lastRenderedPageBreak/>
        <w:t xml:space="preserve">Bradshaw, T., </w:t>
      </w:r>
      <w:proofErr w:type="spellStart"/>
      <w:r w:rsidRPr="00E24EFE">
        <w:rPr>
          <w:rFonts w:ascii="Times New Roman" w:hAnsi="Times New Roman" w:cs="Times New Roman"/>
          <w:sz w:val="24"/>
          <w:szCs w:val="24"/>
        </w:rPr>
        <w:t>Huemann</w:t>
      </w:r>
      <w:proofErr w:type="spellEnd"/>
      <w:r w:rsidRPr="00E24EFE">
        <w:rPr>
          <w:rFonts w:ascii="Times New Roman" w:hAnsi="Times New Roman" w:cs="Times New Roman"/>
          <w:sz w:val="24"/>
          <w:szCs w:val="24"/>
        </w:rPr>
        <w:t xml:space="preserve">, Z., Hu, J., &amp; Arman </w:t>
      </w:r>
      <w:proofErr w:type="spellStart"/>
      <w:r w:rsidRPr="00E24EFE">
        <w:rPr>
          <w:rFonts w:ascii="Times New Roman" w:hAnsi="Times New Roman" w:cs="Times New Roman"/>
          <w:sz w:val="24"/>
          <w:szCs w:val="24"/>
        </w:rPr>
        <w:t>Rahmim</w:t>
      </w:r>
      <w:proofErr w:type="spellEnd"/>
      <w:r w:rsidRPr="00E24EFE">
        <w:rPr>
          <w:rFonts w:ascii="Times New Roman" w:hAnsi="Times New Roman" w:cs="Times New Roman"/>
          <w:sz w:val="24"/>
          <w:szCs w:val="24"/>
        </w:rPr>
        <w:t xml:space="preserve">. (2023). A Guide to Cross-Validation for Artificial Intelligence in Medical Imaging. </w:t>
      </w:r>
      <w:r w:rsidRPr="00E24EFE">
        <w:rPr>
          <w:rFonts w:ascii="Times New Roman" w:hAnsi="Times New Roman" w:cs="Times New Roman"/>
          <w:i/>
          <w:iCs/>
          <w:sz w:val="24"/>
          <w:szCs w:val="24"/>
        </w:rPr>
        <w:t>Radiology</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5</w:t>
      </w:r>
      <w:r w:rsidRPr="00E24EFE">
        <w:rPr>
          <w:rFonts w:ascii="Times New Roman" w:hAnsi="Times New Roman" w:cs="Times New Roman"/>
          <w:sz w:val="24"/>
          <w:szCs w:val="24"/>
        </w:rPr>
        <w:t>(4). https://doi.org/10.1148/ryai.220232</w:t>
      </w:r>
    </w:p>
    <w:p w14:paraId="5D03E308"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Brall</w:t>
      </w:r>
      <w:proofErr w:type="spellEnd"/>
      <w:r w:rsidRPr="00E24EFE">
        <w:rPr>
          <w:rFonts w:ascii="Times New Roman" w:hAnsi="Times New Roman" w:cs="Times New Roman"/>
          <w:sz w:val="24"/>
          <w:szCs w:val="24"/>
        </w:rPr>
        <w:t xml:space="preserve">, C., </w:t>
      </w:r>
      <w:proofErr w:type="spellStart"/>
      <w:r w:rsidRPr="00E24EFE">
        <w:rPr>
          <w:rFonts w:ascii="Times New Roman" w:hAnsi="Times New Roman" w:cs="Times New Roman"/>
          <w:sz w:val="24"/>
          <w:szCs w:val="24"/>
        </w:rPr>
        <w:t>Schröder-Bäck</w:t>
      </w:r>
      <w:proofErr w:type="spellEnd"/>
      <w:r w:rsidRPr="00E24EFE">
        <w:rPr>
          <w:rFonts w:ascii="Times New Roman" w:hAnsi="Times New Roman" w:cs="Times New Roman"/>
          <w:sz w:val="24"/>
          <w:szCs w:val="24"/>
        </w:rPr>
        <w:t xml:space="preserve">, P., &amp; </w:t>
      </w:r>
      <w:proofErr w:type="spellStart"/>
      <w:r w:rsidRPr="00E24EFE">
        <w:rPr>
          <w:rFonts w:ascii="Times New Roman" w:hAnsi="Times New Roman" w:cs="Times New Roman"/>
          <w:sz w:val="24"/>
          <w:szCs w:val="24"/>
        </w:rPr>
        <w:t>Maeckelberghe</w:t>
      </w:r>
      <w:proofErr w:type="spellEnd"/>
      <w:r w:rsidRPr="00E24EFE">
        <w:rPr>
          <w:rFonts w:ascii="Times New Roman" w:hAnsi="Times New Roman" w:cs="Times New Roman"/>
          <w:sz w:val="24"/>
          <w:szCs w:val="24"/>
        </w:rPr>
        <w:t xml:space="preserve">, E. (2019). Ethical aspects of digital health from a justice point of view. </w:t>
      </w:r>
      <w:r w:rsidRPr="00E24EFE">
        <w:rPr>
          <w:rFonts w:ascii="Times New Roman" w:hAnsi="Times New Roman" w:cs="Times New Roman"/>
          <w:i/>
          <w:iCs/>
          <w:sz w:val="24"/>
          <w:szCs w:val="24"/>
        </w:rPr>
        <w:t>European Journal of Public Health</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29</w:t>
      </w:r>
      <w:r w:rsidRPr="00E24EFE">
        <w:rPr>
          <w:rFonts w:ascii="Times New Roman" w:hAnsi="Times New Roman" w:cs="Times New Roman"/>
          <w:sz w:val="24"/>
          <w:szCs w:val="24"/>
        </w:rPr>
        <w:t>(Supplement_3), 18–22. https://doi.org/10.1093/eurpub/ckz167</w:t>
      </w:r>
    </w:p>
    <w:p w14:paraId="79298C22"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Chen, J. H., &amp; Asch, S. M. (2017). Machine Learning and Prediction in Medicine — Beyond the Peak of Inflated Expectations. </w:t>
      </w:r>
      <w:r w:rsidRPr="00E24EFE">
        <w:rPr>
          <w:rFonts w:ascii="Times New Roman" w:hAnsi="Times New Roman" w:cs="Times New Roman"/>
          <w:i/>
          <w:iCs/>
          <w:sz w:val="24"/>
          <w:szCs w:val="24"/>
        </w:rPr>
        <w:t>New England Journal of Medicine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376</w:t>
      </w:r>
      <w:r w:rsidRPr="00E24EFE">
        <w:rPr>
          <w:rFonts w:ascii="Times New Roman" w:hAnsi="Times New Roman" w:cs="Times New Roman"/>
          <w:sz w:val="24"/>
          <w:szCs w:val="24"/>
        </w:rPr>
        <w:t>(26), 2507–2509. https://doi.org/10.1056/nejmp1702071</w:t>
      </w:r>
    </w:p>
    <w:p w14:paraId="49F1F993"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Chen, M., Hao, Y., Hwang, K., Wang, L., &amp; Wang, L. (2017). Disease Prediction by Machine Learning Over Big Data </w:t>
      </w:r>
      <w:proofErr w:type="gramStart"/>
      <w:r w:rsidRPr="00E24EFE">
        <w:rPr>
          <w:rFonts w:ascii="Times New Roman" w:hAnsi="Times New Roman" w:cs="Times New Roman"/>
          <w:sz w:val="24"/>
          <w:szCs w:val="24"/>
        </w:rPr>
        <w:t>From</w:t>
      </w:r>
      <w:proofErr w:type="gramEnd"/>
      <w:r w:rsidRPr="00E24EFE">
        <w:rPr>
          <w:rFonts w:ascii="Times New Roman" w:hAnsi="Times New Roman" w:cs="Times New Roman"/>
          <w:sz w:val="24"/>
          <w:szCs w:val="24"/>
        </w:rPr>
        <w:t xml:space="preserve"> Healthcare Communities. </w:t>
      </w:r>
      <w:r w:rsidRPr="00E24EFE">
        <w:rPr>
          <w:rFonts w:ascii="Times New Roman" w:hAnsi="Times New Roman" w:cs="Times New Roman"/>
          <w:i/>
          <w:iCs/>
          <w:sz w:val="24"/>
          <w:szCs w:val="24"/>
        </w:rPr>
        <w:t>IEEE Access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5</w:t>
      </w:r>
      <w:r w:rsidRPr="00E24EFE">
        <w:rPr>
          <w:rFonts w:ascii="Times New Roman" w:hAnsi="Times New Roman" w:cs="Times New Roman"/>
          <w:sz w:val="24"/>
          <w:szCs w:val="24"/>
        </w:rPr>
        <w:t>, 8869–8879. https://doi.org/10.1109/access.2017.2694446</w:t>
      </w:r>
    </w:p>
    <w:p w14:paraId="630054BE"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Cheon</w:t>
      </w:r>
      <w:proofErr w:type="spellEnd"/>
      <w:r w:rsidRPr="00E24EFE">
        <w:rPr>
          <w:rFonts w:ascii="Times New Roman" w:hAnsi="Times New Roman" w:cs="Times New Roman"/>
          <w:sz w:val="24"/>
          <w:szCs w:val="24"/>
        </w:rPr>
        <w:t xml:space="preserve">, J. H., Kim, A., Kim, M., &amp; Song, Y. (2017). Homomorphic Encryption for Arithmetic of Approximate Numbers. </w:t>
      </w:r>
      <w:r w:rsidRPr="00E24EFE">
        <w:rPr>
          <w:rFonts w:ascii="Times New Roman" w:hAnsi="Times New Roman" w:cs="Times New Roman"/>
          <w:i/>
          <w:iCs/>
          <w:sz w:val="24"/>
          <w:szCs w:val="24"/>
        </w:rPr>
        <w:t>Advances in Cryptology – ASIACRYPT 2017</w:t>
      </w:r>
      <w:r w:rsidRPr="00E24EFE">
        <w:rPr>
          <w:rFonts w:ascii="Times New Roman" w:hAnsi="Times New Roman" w:cs="Times New Roman"/>
          <w:sz w:val="24"/>
          <w:szCs w:val="24"/>
        </w:rPr>
        <w:t>, 409–437. https://doi.org/10.1007/978-3-319-70694-8_15</w:t>
      </w:r>
    </w:p>
    <w:p w14:paraId="1EBFDCC9"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Cowley, H. P., Robinette, M. S., </w:t>
      </w:r>
      <w:proofErr w:type="spellStart"/>
      <w:r w:rsidRPr="00E24EFE">
        <w:rPr>
          <w:rFonts w:ascii="Times New Roman" w:hAnsi="Times New Roman" w:cs="Times New Roman"/>
          <w:sz w:val="24"/>
          <w:szCs w:val="24"/>
        </w:rPr>
        <w:t>Matelsky</w:t>
      </w:r>
      <w:proofErr w:type="spellEnd"/>
      <w:r w:rsidRPr="00E24EFE">
        <w:rPr>
          <w:rFonts w:ascii="Times New Roman" w:hAnsi="Times New Roman" w:cs="Times New Roman"/>
          <w:sz w:val="24"/>
          <w:szCs w:val="24"/>
        </w:rPr>
        <w:t xml:space="preserve">, J. K., </w:t>
      </w:r>
      <w:proofErr w:type="spellStart"/>
      <w:r w:rsidRPr="00E24EFE">
        <w:rPr>
          <w:rFonts w:ascii="Times New Roman" w:hAnsi="Times New Roman" w:cs="Times New Roman"/>
          <w:sz w:val="24"/>
          <w:szCs w:val="24"/>
        </w:rPr>
        <w:t>Xenes</w:t>
      </w:r>
      <w:proofErr w:type="spellEnd"/>
      <w:r w:rsidRPr="00E24EFE">
        <w:rPr>
          <w:rFonts w:ascii="Times New Roman" w:hAnsi="Times New Roman" w:cs="Times New Roman"/>
          <w:sz w:val="24"/>
          <w:szCs w:val="24"/>
        </w:rPr>
        <w:t xml:space="preserve">, D., Kashyap, A., Ibrahim, N. F., Robinson, M. L., </w:t>
      </w:r>
      <w:proofErr w:type="spellStart"/>
      <w:r w:rsidRPr="00E24EFE">
        <w:rPr>
          <w:rFonts w:ascii="Times New Roman" w:hAnsi="Times New Roman" w:cs="Times New Roman"/>
          <w:sz w:val="24"/>
          <w:szCs w:val="24"/>
        </w:rPr>
        <w:t>Zeger</w:t>
      </w:r>
      <w:proofErr w:type="spellEnd"/>
      <w:r w:rsidRPr="00E24EFE">
        <w:rPr>
          <w:rFonts w:ascii="Times New Roman" w:hAnsi="Times New Roman" w:cs="Times New Roman"/>
          <w:sz w:val="24"/>
          <w:szCs w:val="24"/>
        </w:rPr>
        <w:t>, S., Garibaldi, B. T., &amp; Gray-</w:t>
      </w:r>
      <w:proofErr w:type="spellStart"/>
      <w:r w:rsidRPr="00E24EFE">
        <w:rPr>
          <w:rFonts w:ascii="Times New Roman" w:hAnsi="Times New Roman" w:cs="Times New Roman"/>
          <w:sz w:val="24"/>
          <w:szCs w:val="24"/>
        </w:rPr>
        <w:t>Roncal</w:t>
      </w:r>
      <w:proofErr w:type="spellEnd"/>
      <w:r w:rsidRPr="00E24EFE">
        <w:rPr>
          <w:rFonts w:ascii="Times New Roman" w:hAnsi="Times New Roman" w:cs="Times New Roman"/>
          <w:sz w:val="24"/>
          <w:szCs w:val="24"/>
        </w:rPr>
        <w:t xml:space="preserve">, W. (2023). Using machine learning on clinical data to identify unexpected patterns in groups of COVID-19 patients. </w:t>
      </w:r>
      <w:r w:rsidRPr="00E24EFE">
        <w:rPr>
          <w:rFonts w:ascii="Times New Roman" w:hAnsi="Times New Roman" w:cs="Times New Roman"/>
          <w:i/>
          <w:iCs/>
          <w:sz w:val="24"/>
          <w:szCs w:val="24"/>
        </w:rPr>
        <w:t>Scientific Reports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13</w:t>
      </w:r>
      <w:r w:rsidRPr="00E24EFE">
        <w:rPr>
          <w:rFonts w:ascii="Times New Roman" w:hAnsi="Times New Roman" w:cs="Times New Roman"/>
          <w:sz w:val="24"/>
          <w:szCs w:val="24"/>
        </w:rPr>
        <w:t>(1), 2236. https://doi.org/10.1038/s41598-022-26294-9</w:t>
      </w:r>
    </w:p>
    <w:p w14:paraId="4185C3BE"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Ferrão</w:t>
      </w:r>
      <w:proofErr w:type="spellEnd"/>
      <w:r w:rsidRPr="00E24EFE">
        <w:rPr>
          <w:rFonts w:ascii="Times New Roman" w:hAnsi="Times New Roman" w:cs="Times New Roman"/>
          <w:sz w:val="24"/>
          <w:szCs w:val="24"/>
        </w:rPr>
        <w:t xml:space="preserve">, J. C., Oliveira, M. D., </w:t>
      </w:r>
      <w:proofErr w:type="spellStart"/>
      <w:r w:rsidRPr="00E24EFE">
        <w:rPr>
          <w:rFonts w:ascii="Times New Roman" w:hAnsi="Times New Roman" w:cs="Times New Roman"/>
          <w:sz w:val="24"/>
          <w:szCs w:val="24"/>
        </w:rPr>
        <w:t>Janela</w:t>
      </w:r>
      <w:proofErr w:type="spellEnd"/>
      <w:r w:rsidRPr="00E24EFE">
        <w:rPr>
          <w:rFonts w:ascii="Times New Roman" w:hAnsi="Times New Roman" w:cs="Times New Roman"/>
          <w:sz w:val="24"/>
          <w:szCs w:val="24"/>
        </w:rPr>
        <w:t xml:space="preserve">, F., &amp; Martins, H. M. G. (2016). Preprocessing Structured Clinical Data for Predictive Modeling and Decision Support. </w:t>
      </w:r>
      <w:r w:rsidRPr="00E24EFE">
        <w:rPr>
          <w:rFonts w:ascii="Times New Roman" w:hAnsi="Times New Roman" w:cs="Times New Roman"/>
          <w:i/>
          <w:iCs/>
          <w:sz w:val="24"/>
          <w:szCs w:val="24"/>
        </w:rPr>
        <w:t>Applied Clinical Informatics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7</w:t>
      </w:r>
      <w:r w:rsidRPr="00E24EFE">
        <w:rPr>
          <w:rFonts w:ascii="Times New Roman" w:hAnsi="Times New Roman" w:cs="Times New Roman"/>
          <w:sz w:val="24"/>
          <w:szCs w:val="24"/>
        </w:rPr>
        <w:t>(4), 1135–1153. https://doi.org/10.4338/ACI-2016-03-SOA-0035</w:t>
      </w:r>
    </w:p>
    <w:p w14:paraId="43B316C1"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Froelicher</w:t>
      </w:r>
      <w:proofErr w:type="spellEnd"/>
      <w:r w:rsidRPr="00E24EFE">
        <w:rPr>
          <w:rFonts w:ascii="Times New Roman" w:hAnsi="Times New Roman" w:cs="Times New Roman"/>
          <w:sz w:val="24"/>
          <w:szCs w:val="24"/>
        </w:rPr>
        <w:t xml:space="preserve">, D., </w:t>
      </w:r>
      <w:proofErr w:type="spellStart"/>
      <w:r w:rsidRPr="00E24EFE">
        <w:rPr>
          <w:rFonts w:ascii="Times New Roman" w:hAnsi="Times New Roman" w:cs="Times New Roman"/>
          <w:sz w:val="24"/>
          <w:szCs w:val="24"/>
        </w:rPr>
        <w:t>Troncoso-Pastoriza</w:t>
      </w:r>
      <w:proofErr w:type="spellEnd"/>
      <w:r w:rsidRPr="00E24EFE">
        <w:rPr>
          <w:rFonts w:ascii="Times New Roman" w:hAnsi="Times New Roman" w:cs="Times New Roman"/>
          <w:sz w:val="24"/>
          <w:szCs w:val="24"/>
        </w:rPr>
        <w:t xml:space="preserve">, J. R., </w:t>
      </w:r>
      <w:proofErr w:type="spellStart"/>
      <w:r w:rsidRPr="00E24EFE">
        <w:rPr>
          <w:rFonts w:ascii="Times New Roman" w:hAnsi="Times New Roman" w:cs="Times New Roman"/>
          <w:sz w:val="24"/>
          <w:szCs w:val="24"/>
        </w:rPr>
        <w:t>Raisaro</w:t>
      </w:r>
      <w:proofErr w:type="spellEnd"/>
      <w:r w:rsidRPr="00E24EFE">
        <w:rPr>
          <w:rFonts w:ascii="Times New Roman" w:hAnsi="Times New Roman" w:cs="Times New Roman"/>
          <w:sz w:val="24"/>
          <w:szCs w:val="24"/>
        </w:rPr>
        <w:t xml:space="preserve">, J. L., </w:t>
      </w:r>
      <w:proofErr w:type="spellStart"/>
      <w:r w:rsidRPr="00E24EFE">
        <w:rPr>
          <w:rFonts w:ascii="Times New Roman" w:hAnsi="Times New Roman" w:cs="Times New Roman"/>
          <w:sz w:val="24"/>
          <w:szCs w:val="24"/>
        </w:rPr>
        <w:t>Cuendet</w:t>
      </w:r>
      <w:proofErr w:type="spellEnd"/>
      <w:r w:rsidRPr="00E24EFE">
        <w:rPr>
          <w:rFonts w:ascii="Times New Roman" w:hAnsi="Times New Roman" w:cs="Times New Roman"/>
          <w:sz w:val="24"/>
          <w:szCs w:val="24"/>
        </w:rPr>
        <w:t xml:space="preserve">, M. A., Sousa, J. S., Cho, H., Berger, B., </w:t>
      </w:r>
      <w:proofErr w:type="spellStart"/>
      <w:r w:rsidRPr="00E24EFE">
        <w:rPr>
          <w:rFonts w:ascii="Times New Roman" w:hAnsi="Times New Roman" w:cs="Times New Roman"/>
          <w:sz w:val="24"/>
          <w:szCs w:val="24"/>
        </w:rPr>
        <w:t>Fellay</w:t>
      </w:r>
      <w:proofErr w:type="spellEnd"/>
      <w:r w:rsidRPr="00E24EFE">
        <w:rPr>
          <w:rFonts w:ascii="Times New Roman" w:hAnsi="Times New Roman" w:cs="Times New Roman"/>
          <w:sz w:val="24"/>
          <w:szCs w:val="24"/>
        </w:rPr>
        <w:t xml:space="preserve">, J., &amp; </w:t>
      </w:r>
      <w:proofErr w:type="spellStart"/>
      <w:r w:rsidRPr="00E24EFE">
        <w:rPr>
          <w:rFonts w:ascii="Times New Roman" w:hAnsi="Times New Roman" w:cs="Times New Roman"/>
          <w:sz w:val="24"/>
          <w:szCs w:val="24"/>
        </w:rPr>
        <w:t>Hubaux</w:t>
      </w:r>
      <w:proofErr w:type="spellEnd"/>
      <w:r w:rsidRPr="00E24EFE">
        <w:rPr>
          <w:rFonts w:ascii="Times New Roman" w:hAnsi="Times New Roman" w:cs="Times New Roman"/>
          <w:sz w:val="24"/>
          <w:szCs w:val="24"/>
        </w:rPr>
        <w:t xml:space="preserve">, J.-P. (2021). Truly privacy-preserving federated analytics for precision medicine with multiparty homomorphic encryption. </w:t>
      </w:r>
      <w:r w:rsidRPr="00E24EFE">
        <w:rPr>
          <w:rFonts w:ascii="Times New Roman" w:hAnsi="Times New Roman" w:cs="Times New Roman"/>
          <w:i/>
          <w:iCs/>
          <w:sz w:val="24"/>
          <w:szCs w:val="24"/>
        </w:rPr>
        <w:t>Nature Communications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12</w:t>
      </w:r>
      <w:r w:rsidRPr="00E24EFE">
        <w:rPr>
          <w:rFonts w:ascii="Times New Roman" w:hAnsi="Times New Roman" w:cs="Times New Roman"/>
          <w:sz w:val="24"/>
          <w:szCs w:val="24"/>
        </w:rPr>
        <w:t>(1). https://doi.org/10.1038/s41467-021-25972-y</w:t>
      </w:r>
    </w:p>
    <w:p w14:paraId="487CD5EF"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García-</w:t>
      </w:r>
      <w:proofErr w:type="spellStart"/>
      <w:r w:rsidRPr="00E24EFE">
        <w:rPr>
          <w:rFonts w:ascii="Times New Roman" w:hAnsi="Times New Roman" w:cs="Times New Roman"/>
          <w:sz w:val="24"/>
          <w:szCs w:val="24"/>
        </w:rPr>
        <w:t>Abeijon</w:t>
      </w:r>
      <w:proofErr w:type="spellEnd"/>
      <w:r w:rsidRPr="00E24EFE">
        <w:rPr>
          <w:rFonts w:ascii="Times New Roman" w:hAnsi="Times New Roman" w:cs="Times New Roman"/>
          <w:sz w:val="24"/>
          <w:szCs w:val="24"/>
        </w:rPr>
        <w:t xml:space="preserve">, P., Costa, C., </w:t>
      </w:r>
      <w:proofErr w:type="spellStart"/>
      <w:r w:rsidRPr="00E24EFE">
        <w:rPr>
          <w:rFonts w:ascii="Times New Roman" w:hAnsi="Times New Roman" w:cs="Times New Roman"/>
          <w:sz w:val="24"/>
          <w:szCs w:val="24"/>
        </w:rPr>
        <w:t>Taracido</w:t>
      </w:r>
      <w:proofErr w:type="spellEnd"/>
      <w:r w:rsidRPr="00E24EFE">
        <w:rPr>
          <w:rFonts w:ascii="Times New Roman" w:hAnsi="Times New Roman" w:cs="Times New Roman"/>
          <w:sz w:val="24"/>
          <w:szCs w:val="24"/>
        </w:rPr>
        <w:t xml:space="preserve">, M., Maria Teresa </w:t>
      </w:r>
      <w:proofErr w:type="spellStart"/>
      <w:r w:rsidRPr="00E24EFE">
        <w:rPr>
          <w:rFonts w:ascii="Times New Roman" w:hAnsi="Times New Roman" w:cs="Times New Roman"/>
          <w:sz w:val="24"/>
          <w:szCs w:val="24"/>
        </w:rPr>
        <w:t>Herdeiro</w:t>
      </w:r>
      <w:proofErr w:type="spellEnd"/>
      <w:r w:rsidRPr="00E24EFE">
        <w:rPr>
          <w:rFonts w:ascii="Times New Roman" w:hAnsi="Times New Roman" w:cs="Times New Roman"/>
          <w:sz w:val="24"/>
          <w:szCs w:val="24"/>
        </w:rPr>
        <w:t xml:space="preserve">, Torre, C., &amp; </w:t>
      </w:r>
      <w:proofErr w:type="spellStart"/>
      <w:r w:rsidRPr="00E24EFE">
        <w:rPr>
          <w:rFonts w:ascii="Times New Roman" w:hAnsi="Times New Roman" w:cs="Times New Roman"/>
          <w:sz w:val="24"/>
          <w:szCs w:val="24"/>
        </w:rPr>
        <w:t>Figueiras</w:t>
      </w:r>
      <w:proofErr w:type="spellEnd"/>
      <w:r w:rsidRPr="00E24EFE">
        <w:rPr>
          <w:rFonts w:ascii="Times New Roman" w:hAnsi="Times New Roman" w:cs="Times New Roman"/>
          <w:sz w:val="24"/>
          <w:szCs w:val="24"/>
        </w:rPr>
        <w:t xml:space="preserve">, A. (2023). Factors Associated with Underreporting of Adverse Drug Reactions by Health Care </w:t>
      </w:r>
      <w:r w:rsidRPr="00E24EFE">
        <w:rPr>
          <w:rFonts w:ascii="Times New Roman" w:hAnsi="Times New Roman" w:cs="Times New Roman"/>
          <w:sz w:val="24"/>
          <w:szCs w:val="24"/>
        </w:rPr>
        <w:lastRenderedPageBreak/>
        <w:t xml:space="preserve">Professionals: A Systematic Review Update. </w:t>
      </w:r>
      <w:r w:rsidRPr="00E24EFE">
        <w:rPr>
          <w:rFonts w:ascii="Times New Roman" w:hAnsi="Times New Roman" w:cs="Times New Roman"/>
          <w:i/>
          <w:iCs/>
          <w:sz w:val="24"/>
          <w:szCs w:val="24"/>
        </w:rPr>
        <w:t>Drug Safety</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46</w:t>
      </w:r>
      <w:r w:rsidRPr="00E24EFE">
        <w:rPr>
          <w:rFonts w:ascii="Times New Roman" w:hAnsi="Times New Roman" w:cs="Times New Roman"/>
          <w:sz w:val="24"/>
          <w:szCs w:val="24"/>
        </w:rPr>
        <w:t>(7), 625–636. https://doi.org/10.1007/s40264-023-01302-7</w:t>
      </w:r>
    </w:p>
    <w:p w14:paraId="78281A45"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Garg, A., &amp; Mago, V. (2021). Role of machine learning in medical research: A survey. </w:t>
      </w:r>
      <w:r w:rsidRPr="00E24EFE">
        <w:rPr>
          <w:rFonts w:ascii="Times New Roman" w:hAnsi="Times New Roman" w:cs="Times New Roman"/>
          <w:i/>
          <w:iCs/>
          <w:sz w:val="24"/>
          <w:szCs w:val="24"/>
        </w:rPr>
        <w:t>Computer Science Review</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40</w:t>
      </w:r>
      <w:r w:rsidRPr="00E24EFE">
        <w:rPr>
          <w:rFonts w:ascii="Times New Roman" w:hAnsi="Times New Roman" w:cs="Times New Roman"/>
          <w:sz w:val="24"/>
          <w:szCs w:val="24"/>
        </w:rPr>
        <w:t>, 100370. https://doi.org/10.1016/j.cosrev.2021.100370</w:t>
      </w:r>
    </w:p>
    <w:p w14:paraId="3584D13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Gentry, C. (2009). Fully homomorphic encryption using ideal lattices. </w:t>
      </w:r>
      <w:r w:rsidRPr="00E24EFE">
        <w:rPr>
          <w:rFonts w:ascii="Times New Roman" w:hAnsi="Times New Roman" w:cs="Times New Roman"/>
          <w:i/>
          <w:iCs/>
          <w:sz w:val="24"/>
          <w:szCs w:val="24"/>
        </w:rPr>
        <w:t>Proceedings of the 41st Annual ACM Symposium on Symposium on Theory of Computing - STOC ’09</w:t>
      </w:r>
      <w:r w:rsidRPr="00E24EFE">
        <w:rPr>
          <w:rFonts w:ascii="Times New Roman" w:hAnsi="Times New Roman" w:cs="Times New Roman"/>
          <w:sz w:val="24"/>
          <w:szCs w:val="24"/>
        </w:rPr>
        <w:t>. https://doi.org/10.1145/1536414.1536440</w:t>
      </w:r>
    </w:p>
    <w:p w14:paraId="435AE01B"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Gilad-Bachrach, R., </w:t>
      </w:r>
      <w:proofErr w:type="spellStart"/>
      <w:r w:rsidRPr="00E24EFE">
        <w:rPr>
          <w:rFonts w:ascii="Times New Roman" w:hAnsi="Times New Roman" w:cs="Times New Roman"/>
          <w:sz w:val="24"/>
          <w:szCs w:val="24"/>
        </w:rPr>
        <w:t>Dowlin</w:t>
      </w:r>
      <w:proofErr w:type="spellEnd"/>
      <w:r w:rsidRPr="00E24EFE">
        <w:rPr>
          <w:rFonts w:ascii="Times New Roman" w:hAnsi="Times New Roman" w:cs="Times New Roman"/>
          <w:sz w:val="24"/>
          <w:szCs w:val="24"/>
        </w:rPr>
        <w:t xml:space="preserve">, N., Laine, K., </w:t>
      </w:r>
      <w:proofErr w:type="spellStart"/>
      <w:r w:rsidRPr="00E24EFE">
        <w:rPr>
          <w:rFonts w:ascii="Times New Roman" w:hAnsi="Times New Roman" w:cs="Times New Roman"/>
          <w:sz w:val="24"/>
          <w:szCs w:val="24"/>
        </w:rPr>
        <w:t>Lauter</w:t>
      </w:r>
      <w:proofErr w:type="spellEnd"/>
      <w:r w:rsidRPr="00E24EFE">
        <w:rPr>
          <w:rFonts w:ascii="Times New Roman" w:hAnsi="Times New Roman" w:cs="Times New Roman"/>
          <w:sz w:val="24"/>
          <w:szCs w:val="24"/>
        </w:rPr>
        <w:t xml:space="preserve">, K., </w:t>
      </w:r>
      <w:proofErr w:type="spellStart"/>
      <w:r w:rsidRPr="00E24EFE">
        <w:rPr>
          <w:rFonts w:ascii="Times New Roman" w:hAnsi="Times New Roman" w:cs="Times New Roman"/>
          <w:sz w:val="24"/>
          <w:szCs w:val="24"/>
        </w:rPr>
        <w:t>Naehrig</w:t>
      </w:r>
      <w:proofErr w:type="spellEnd"/>
      <w:r w:rsidRPr="00E24EFE">
        <w:rPr>
          <w:rFonts w:ascii="Times New Roman" w:hAnsi="Times New Roman" w:cs="Times New Roman"/>
          <w:sz w:val="24"/>
          <w:szCs w:val="24"/>
        </w:rPr>
        <w:t xml:space="preserve">, M., &amp; </w:t>
      </w:r>
      <w:proofErr w:type="spellStart"/>
      <w:r w:rsidRPr="00E24EFE">
        <w:rPr>
          <w:rFonts w:ascii="Times New Roman" w:hAnsi="Times New Roman" w:cs="Times New Roman"/>
          <w:sz w:val="24"/>
          <w:szCs w:val="24"/>
        </w:rPr>
        <w:t>Wernsing</w:t>
      </w:r>
      <w:proofErr w:type="spellEnd"/>
      <w:r w:rsidRPr="00E24EFE">
        <w:rPr>
          <w:rFonts w:ascii="Times New Roman" w:hAnsi="Times New Roman" w:cs="Times New Roman"/>
          <w:sz w:val="24"/>
          <w:szCs w:val="24"/>
        </w:rPr>
        <w:t xml:space="preserve">, J. (2016, June 11). </w:t>
      </w:r>
      <w:proofErr w:type="spellStart"/>
      <w:r w:rsidRPr="00E24EFE">
        <w:rPr>
          <w:rFonts w:ascii="Times New Roman" w:hAnsi="Times New Roman" w:cs="Times New Roman"/>
          <w:i/>
          <w:iCs/>
          <w:sz w:val="24"/>
          <w:szCs w:val="24"/>
        </w:rPr>
        <w:t>CryptoNets</w:t>
      </w:r>
      <w:proofErr w:type="spellEnd"/>
      <w:r w:rsidRPr="00E24EFE">
        <w:rPr>
          <w:rFonts w:ascii="Times New Roman" w:hAnsi="Times New Roman" w:cs="Times New Roman"/>
          <w:i/>
          <w:iCs/>
          <w:sz w:val="24"/>
          <w:szCs w:val="24"/>
        </w:rPr>
        <w:t>: Applying Neural Networks to Encrypted Data with High Throughput and Accuracy</w:t>
      </w:r>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Proceedings.mlr.press</w:t>
      </w:r>
      <w:proofErr w:type="spellEnd"/>
      <w:r w:rsidRPr="00E24EFE">
        <w:rPr>
          <w:rFonts w:ascii="Times New Roman" w:hAnsi="Times New Roman" w:cs="Times New Roman"/>
          <w:sz w:val="24"/>
          <w:szCs w:val="24"/>
        </w:rPr>
        <w:t>; PMLR. https://proceedings.mlr.press/v48/gilad-bachrach16.html</w:t>
      </w:r>
    </w:p>
    <w:p w14:paraId="10543D55"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Groysman</w:t>
      </w:r>
      <w:proofErr w:type="spellEnd"/>
      <w:r w:rsidRPr="00E24EFE">
        <w:rPr>
          <w:rFonts w:ascii="Times New Roman" w:hAnsi="Times New Roman" w:cs="Times New Roman"/>
          <w:sz w:val="24"/>
          <w:szCs w:val="24"/>
        </w:rPr>
        <w:t xml:space="preserve">, E. (2025). </w:t>
      </w:r>
      <w:r w:rsidRPr="00E24EFE">
        <w:rPr>
          <w:rFonts w:ascii="Times New Roman" w:hAnsi="Times New Roman" w:cs="Times New Roman"/>
          <w:i/>
          <w:iCs/>
          <w:sz w:val="24"/>
          <w:szCs w:val="24"/>
        </w:rPr>
        <w:t>Harnessing CRISP-DM for Breakthroughs in Healthcare Innovation</w:t>
      </w:r>
      <w:r w:rsidRPr="00E24EFE">
        <w:rPr>
          <w:rFonts w:ascii="Times New Roman" w:hAnsi="Times New Roman" w:cs="Times New Roman"/>
          <w:sz w:val="24"/>
          <w:szCs w:val="24"/>
        </w:rPr>
        <w:t>. Linkedin.com. https://www.linkedin.com/pulse/harnessing-crisp-dm-breakthroughs-healthcare-groysman-mba-ms-popm-e74kc/</w:t>
      </w:r>
    </w:p>
    <w:p w14:paraId="0AC1B15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Guyon, I., &amp; </w:t>
      </w:r>
      <w:proofErr w:type="spellStart"/>
      <w:r w:rsidRPr="00E24EFE">
        <w:rPr>
          <w:rFonts w:ascii="Times New Roman" w:hAnsi="Times New Roman" w:cs="Times New Roman"/>
          <w:sz w:val="24"/>
          <w:szCs w:val="24"/>
        </w:rPr>
        <w:t>Elisseeff</w:t>
      </w:r>
      <w:proofErr w:type="spellEnd"/>
      <w:r w:rsidRPr="00E24EFE">
        <w:rPr>
          <w:rFonts w:ascii="Times New Roman" w:hAnsi="Times New Roman" w:cs="Times New Roman"/>
          <w:sz w:val="24"/>
          <w:szCs w:val="24"/>
        </w:rPr>
        <w:t xml:space="preserve">, A. (2000). An Introduction of Variable and Feature Selection. </w:t>
      </w:r>
      <w:r w:rsidRPr="00E24EFE">
        <w:rPr>
          <w:rFonts w:ascii="Times New Roman" w:hAnsi="Times New Roman" w:cs="Times New Roman"/>
          <w:i/>
          <w:iCs/>
          <w:sz w:val="24"/>
          <w:szCs w:val="24"/>
        </w:rPr>
        <w:t>Journal of Machine Learning Research</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w:t>
      </w:r>
      <w:r w:rsidRPr="00E24EFE">
        <w:rPr>
          <w:rFonts w:ascii="Times New Roman" w:hAnsi="Times New Roman" w:cs="Times New Roman"/>
          <w:sz w:val="24"/>
          <w:szCs w:val="24"/>
        </w:rPr>
        <w:t>. https://doi.org/10.1162/153244303322753616</w:t>
      </w:r>
    </w:p>
    <w:p w14:paraId="43BCE059"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Han, Q. (2024). Topics and Trends of Health Informatics Education Research: </w:t>
      </w:r>
      <w:proofErr w:type="spellStart"/>
      <w:r w:rsidRPr="00E24EFE">
        <w:rPr>
          <w:rFonts w:ascii="Times New Roman" w:hAnsi="Times New Roman" w:cs="Times New Roman"/>
          <w:sz w:val="24"/>
          <w:szCs w:val="24"/>
        </w:rPr>
        <w:t>Scientometric</w:t>
      </w:r>
      <w:proofErr w:type="spellEnd"/>
      <w:r w:rsidRPr="00E24EFE">
        <w:rPr>
          <w:rFonts w:ascii="Times New Roman" w:hAnsi="Times New Roman" w:cs="Times New Roman"/>
          <w:sz w:val="24"/>
          <w:szCs w:val="24"/>
        </w:rPr>
        <w:t xml:space="preserve"> Analysis. </w:t>
      </w:r>
      <w:r w:rsidRPr="00E24EFE">
        <w:rPr>
          <w:rFonts w:ascii="Times New Roman" w:hAnsi="Times New Roman" w:cs="Times New Roman"/>
          <w:i/>
          <w:iCs/>
          <w:sz w:val="24"/>
          <w:szCs w:val="24"/>
        </w:rPr>
        <w:t>JMIR Medical Education</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10</w:t>
      </w:r>
      <w:r w:rsidRPr="00E24EFE">
        <w:rPr>
          <w:rFonts w:ascii="Times New Roman" w:hAnsi="Times New Roman" w:cs="Times New Roman"/>
          <w:sz w:val="24"/>
          <w:szCs w:val="24"/>
        </w:rPr>
        <w:t>, e58165. https://doi.org/10.2196/58165</w:t>
      </w:r>
    </w:p>
    <w:p w14:paraId="3FF7815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Harkins, T. (2024). </w:t>
      </w:r>
      <w:r w:rsidRPr="00E24EFE">
        <w:rPr>
          <w:rFonts w:ascii="Times New Roman" w:hAnsi="Times New Roman" w:cs="Times New Roman"/>
          <w:i/>
          <w:iCs/>
          <w:sz w:val="24"/>
          <w:szCs w:val="24"/>
        </w:rPr>
        <w:t xml:space="preserve">Illuminating Dark Data: Reducing Healthcare Costs and Improving Care - </w:t>
      </w:r>
      <w:proofErr w:type="spellStart"/>
      <w:r w:rsidRPr="00E24EFE">
        <w:rPr>
          <w:rFonts w:ascii="Times New Roman" w:hAnsi="Times New Roman" w:cs="Times New Roman"/>
          <w:i/>
          <w:iCs/>
          <w:sz w:val="24"/>
          <w:szCs w:val="24"/>
        </w:rPr>
        <w:t>SpendMend</w:t>
      </w:r>
      <w:proofErr w:type="spellEnd"/>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SpendMend</w:t>
      </w:r>
      <w:proofErr w:type="spellEnd"/>
      <w:r w:rsidRPr="00E24EFE">
        <w:rPr>
          <w:rFonts w:ascii="Times New Roman" w:hAnsi="Times New Roman" w:cs="Times New Roman"/>
          <w:sz w:val="24"/>
          <w:szCs w:val="24"/>
        </w:rPr>
        <w:t>. https://spendmend.com/illuminating-dark-data-reducing-healthcare-costs-and-improving-care/</w:t>
      </w:r>
    </w:p>
    <w:p w14:paraId="15299344"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Hewitt, D. (2024). </w:t>
      </w:r>
      <w:r w:rsidRPr="00E24EFE">
        <w:rPr>
          <w:rFonts w:ascii="Times New Roman" w:hAnsi="Times New Roman" w:cs="Times New Roman"/>
          <w:i/>
          <w:iCs/>
          <w:sz w:val="24"/>
          <w:szCs w:val="24"/>
        </w:rPr>
        <w:t xml:space="preserve">Top 6 Reasons Hospitals Must Focus </w:t>
      </w:r>
      <w:proofErr w:type="gramStart"/>
      <w:r w:rsidRPr="00E24EFE">
        <w:rPr>
          <w:rFonts w:ascii="Times New Roman" w:hAnsi="Times New Roman" w:cs="Times New Roman"/>
          <w:i/>
          <w:iCs/>
          <w:sz w:val="24"/>
          <w:szCs w:val="24"/>
        </w:rPr>
        <w:t>On</w:t>
      </w:r>
      <w:proofErr w:type="gramEnd"/>
      <w:r w:rsidRPr="00E24EFE">
        <w:rPr>
          <w:rFonts w:ascii="Times New Roman" w:hAnsi="Times New Roman" w:cs="Times New Roman"/>
          <w:i/>
          <w:iCs/>
          <w:sz w:val="24"/>
          <w:szCs w:val="24"/>
        </w:rPr>
        <w:t xml:space="preserve"> Uncovering The Dark Data In The Cost Cycle - </w:t>
      </w:r>
      <w:proofErr w:type="spellStart"/>
      <w:r w:rsidRPr="00E24EFE">
        <w:rPr>
          <w:rFonts w:ascii="Times New Roman" w:hAnsi="Times New Roman" w:cs="Times New Roman"/>
          <w:i/>
          <w:iCs/>
          <w:sz w:val="24"/>
          <w:szCs w:val="24"/>
        </w:rPr>
        <w:t>SpendMend</w:t>
      </w:r>
      <w:proofErr w:type="spellEnd"/>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SpendMend</w:t>
      </w:r>
      <w:proofErr w:type="spellEnd"/>
      <w:r w:rsidRPr="00E24EFE">
        <w:rPr>
          <w:rFonts w:ascii="Times New Roman" w:hAnsi="Times New Roman" w:cs="Times New Roman"/>
          <w:sz w:val="24"/>
          <w:szCs w:val="24"/>
        </w:rPr>
        <w:t>. https://spendmend.com/top-6-reasons-hospitals-must-focus-on-uncovering-the-dark-data-in-the-cost-cycle/</w:t>
      </w:r>
    </w:p>
    <w:p w14:paraId="77035511"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Hrovat</w:t>
      </w:r>
      <w:proofErr w:type="spellEnd"/>
      <w:r w:rsidRPr="00E24EFE">
        <w:rPr>
          <w:rFonts w:ascii="Times New Roman" w:hAnsi="Times New Roman" w:cs="Times New Roman"/>
          <w:sz w:val="24"/>
          <w:szCs w:val="24"/>
        </w:rPr>
        <w:t xml:space="preserve">, G., </w:t>
      </w:r>
      <w:proofErr w:type="spellStart"/>
      <w:r w:rsidRPr="00E24EFE">
        <w:rPr>
          <w:rFonts w:ascii="Times New Roman" w:hAnsi="Times New Roman" w:cs="Times New Roman"/>
          <w:sz w:val="24"/>
          <w:szCs w:val="24"/>
        </w:rPr>
        <w:t>Stiglic</w:t>
      </w:r>
      <w:proofErr w:type="spellEnd"/>
      <w:r w:rsidRPr="00E24EFE">
        <w:rPr>
          <w:rFonts w:ascii="Times New Roman" w:hAnsi="Times New Roman" w:cs="Times New Roman"/>
          <w:sz w:val="24"/>
          <w:szCs w:val="24"/>
        </w:rPr>
        <w:t xml:space="preserve">, G., </w:t>
      </w:r>
      <w:proofErr w:type="spellStart"/>
      <w:r w:rsidRPr="00E24EFE">
        <w:rPr>
          <w:rFonts w:ascii="Times New Roman" w:hAnsi="Times New Roman" w:cs="Times New Roman"/>
          <w:sz w:val="24"/>
          <w:szCs w:val="24"/>
        </w:rPr>
        <w:t>Kokol</w:t>
      </w:r>
      <w:proofErr w:type="spellEnd"/>
      <w:r w:rsidRPr="00E24EFE">
        <w:rPr>
          <w:rFonts w:ascii="Times New Roman" w:hAnsi="Times New Roman" w:cs="Times New Roman"/>
          <w:sz w:val="24"/>
          <w:szCs w:val="24"/>
        </w:rPr>
        <w:t xml:space="preserve">, P., &amp; </w:t>
      </w:r>
      <w:proofErr w:type="spellStart"/>
      <w:r w:rsidRPr="00E24EFE">
        <w:rPr>
          <w:rFonts w:ascii="Times New Roman" w:hAnsi="Times New Roman" w:cs="Times New Roman"/>
          <w:sz w:val="24"/>
          <w:szCs w:val="24"/>
        </w:rPr>
        <w:t>Ojsteršek</w:t>
      </w:r>
      <w:proofErr w:type="spellEnd"/>
      <w:r w:rsidRPr="00E24EFE">
        <w:rPr>
          <w:rFonts w:ascii="Times New Roman" w:hAnsi="Times New Roman" w:cs="Times New Roman"/>
          <w:sz w:val="24"/>
          <w:szCs w:val="24"/>
        </w:rPr>
        <w:t xml:space="preserve">, M. (2014). Contrasting temporal trend discovery for large healthcare databases. </w:t>
      </w:r>
      <w:r w:rsidRPr="00E24EFE">
        <w:rPr>
          <w:rFonts w:ascii="Times New Roman" w:hAnsi="Times New Roman" w:cs="Times New Roman"/>
          <w:i/>
          <w:iCs/>
          <w:sz w:val="24"/>
          <w:szCs w:val="24"/>
        </w:rPr>
        <w:t>Computer Methods and Programs in Biomedicine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113</w:t>
      </w:r>
      <w:r w:rsidRPr="00E24EFE">
        <w:rPr>
          <w:rFonts w:ascii="Times New Roman" w:hAnsi="Times New Roman" w:cs="Times New Roman"/>
          <w:sz w:val="24"/>
          <w:szCs w:val="24"/>
        </w:rPr>
        <w:t>(1), 251–257. https://doi.org/10.1016/j.cmpb.2013.09.005</w:t>
      </w:r>
    </w:p>
    <w:p w14:paraId="55E36450"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lastRenderedPageBreak/>
        <w:t xml:space="preserve">Hussain, Z. (2020). </w:t>
      </w:r>
      <w:r w:rsidRPr="00E24EFE">
        <w:rPr>
          <w:rFonts w:ascii="Times New Roman" w:hAnsi="Times New Roman" w:cs="Times New Roman"/>
          <w:i/>
          <w:iCs/>
          <w:sz w:val="24"/>
          <w:szCs w:val="24"/>
        </w:rPr>
        <w:t>The Use of Dark Data in Healthcare</w:t>
      </w:r>
      <w:r w:rsidRPr="00E24EFE">
        <w:rPr>
          <w:rFonts w:ascii="Times New Roman" w:hAnsi="Times New Roman" w:cs="Times New Roman"/>
          <w:sz w:val="24"/>
          <w:szCs w:val="24"/>
        </w:rPr>
        <w:t>. Linkedin.com. https://www.linkedin.com/pulse/use-dark-data-healthcare-zahid-hussain/</w:t>
      </w:r>
    </w:p>
    <w:p w14:paraId="0F8C23B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Iqbal, Y., Tahir, S., Tahir, H., Khan, F., Saeed, S., </w:t>
      </w:r>
      <w:proofErr w:type="spellStart"/>
      <w:r w:rsidRPr="00E24EFE">
        <w:rPr>
          <w:rFonts w:ascii="Times New Roman" w:hAnsi="Times New Roman" w:cs="Times New Roman"/>
          <w:sz w:val="24"/>
          <w:szCs w:val="24"/>
        </w:rPr>
        <w:t>Almuhaideb</w:t>
      </w:r>
      <w:proofErr w:type="spellEnd"/>
      <w:r w:rsidRPr="00E24EFE">
        <w:rPr>
          <w:rFonts w:ascii="Times New Roman" w:hAnsi="Times New Roman" w:cs="Times New Roman"/>
          <w:sz w:val="24"/>
          <w:szCs w:val="24"/>
        </w:rPr>
        <w:t xml:space="preserve">, A. M., &amp; Syed, A. M. (2022). A Novel Homomorphic Approach for Preserving Privacy of Patient Data in Telemedicine. </w:t>
      </w:r>
      <w:r w:rsidRPr="00E24EFE">
        <w:rPr>
          <w:rFonts w:ascii="Times New Roman" w:hAnsi="Times New Roman" w:cs="Times New Roman"/>
          <w:i/>
          <w:iCs/>
          <w:sz w:val="24"/>
          <w:szCs w:val="24"/>
        </w:rPr>
        <w:t>Sensors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22</w:t>
      </w:r>
      <w:r w:rsidRPr="00E24EFE">
        <w:rPr>
          <w:rFonts w:ascii="Times New Roman" w:hAnsi="Times New Roman" w:cs="Times New Roman"/>
          <w:sz w:val="24"/>
          <w:szCs w:val="24"/>
        </w:rPr>
        <w:t>(12), 4432. https://doi.org/10.3390/s22124432</w:t>
      </w:r>
    </w:p>
    <w:p w14:paraId="0E42BE02"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Kale, A. K., &amp; Pandey, D. R. (2024). Data Pre-Processing Technique for Enhancing Healthcare Data Quality Using Artificial Intelligence. </w:t>
      </w:r>
      <w:r w:rsidRPr="00E24EFE">
        <w:rPr>
          <w:rFonts w:ascii="Times New Roman" w:hAnsi="Times New Roman" w:cs="Times New Roman"/>
          <w:i/>
          <w:iCs/>
          <w:sz w:val="24"/>
          <w:szCs w:val="24"/>
        </w:rPr>
        <w:t>International Journal of Scientific Research in Science and Technology</w:t>
      </w:r>
      <w:r w:rsidRPr="00E24EFE">
        <w:rPr>
          <w:rFonts w:ascii="Times New Roman" w:hAnsi="Times New Roman" w:cs="Times New Roman"/>
          <w:sz w:val="24"/>
          <w:szCs w:val="24"/>
        </w:rPr>
        <w:t>, 299–309. https://doi.org/10.32628/ijsrst52411130</w:t>
      </w:r>
    </w:p>
    <w:p w14:paraId="318011BE"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Knabenhans</w:t>
      </w:r>
      <w:proofErr w:type="spellEnd"/>
      <w:r w:rsidRPr="00E24EFE">
        <w:rPr>
          <w:rFonts w:ascii="Times New Roman" w:hAnsi="Times New Roman" w:cs="Times New Roman"/>
          <w:sz w:val="24"/>
          <w:szCs w:val="24"/>
        </w:rPr>
        <w:t xml:space="preserve">, C., Viand, A., Merino-Gallardo, A., &amp; </w:t>
      </w:r>
      <w:proofErr w:type="spellStart"/>
      <w:r w:rsidRPr="00E24EFE">
        <w:rPr>
          <w:rFonts w:ascii="Times New Roman" w:hAnsi="Times New Roman" w:cs="Times New Roman"/>
          <w:sz w:val="24"/>
          <w:szCs w:val="24"/>
        </w:rPr>
        <w:t>Hithnawi</w:t>
      </w:r>
      <w:proofErr w:type="spellEnd"/>
      <w:r w:rsidRPr="00E24EFE">
        <w:rPr>
          <w:rFonts w:ascii="Times New Roman" w:hAnsi="Times New Roman" w:cs="Times New Roman"/>
          <w:sz w:val="24"/>
          <w:szCs w:val="24"/>
        </w:rPr>
        <w:t xml:space="preserve">, A. (2023). </w:t>
      </w:r>
      <w:proofErr w:type="spellStart"/>
      <w:r w:rsidRPr="00E24EFE">
        <w:rPr>
          <w:rFonts w:ascii="Times New Roman" w:hAnsi="Times New Roman" w:cs="Times New Roman"/>
          <w:sz w:val="24"/>
          <w:szCs w:val="24"/>
        </w:rPr>
        <w:t>vFHE</w:t>
      </w:r>
      <w:proofErr w:type="spellEnd"/>
      <w:r w:rsidRPr="00E24EFE">
        <w:rPr>
          <w:rFonts w:ascii="Times New Roman" w:hAnsi="Times New Roman" w:cs="Times New Roman"/>
          <w:sz w:val="24"/>
          <w:szCs w:val="24"/>
        </w:rPr>
        <w:t xml:space="preserve">: Verifiable Fully Homomorphic Encryption. </w:t>
      </w:r>
      <w:r w:rsidRPr="00E24EFE">
        <w:rPr>
          <w:rFonts w:ascii="Times New Roman" w:hAnsi="Times New Roman" w:cs="Times New Roman"/>
          <w:i/>
          <w:iCs/>
          <w:sz w:val="24"/>
          <w:szCs w:val="24"/>
        </w:rPr>
        <w:t>Proceedings of the 12th Workshop on Encrypted Computing &amp; Applied Homomorphic Cryptography</w:t>
      </w:r>
      <w:r w:rsidRPr="00E24EFE">
        <w:rPr>
          <w:rFonts w:ascii="Times New Roman" w:hAnsi="Times New Roman" w:cs="Times New Roman"/>
          <w:sz w:val="24"/>
          <w:szCs w:val="24"/>
        </w:rPr>
        <w:t>, 11–22. https://doi.org/10.1145/3689945.3694806</w:t>
      </w:r>
    </w:p>
    <w:p w14:paraId="44A4BF26" w14:textId="77777777" w:rsidR="00D24670" w:rsidRDefault="00D24670" w:rsidP="00D24670">
      <w:pPr>
        <w:pStyle w:val="NoSpacing"/>
        <w:spacing w:line="360" w:lineRule="auto"/>
        <w:rPr>
          <w:rFonts w:ascii="Times New Roman" w:hAnsi="Times New Roman" w:cs="Times New Roman"/>
          <w:sz w:val="24"/>
          <w:szCs w:val="24"/>
        </w:rPr>
      </w:pPr>
      <w:proofErr w:type="spellStart"/>
      <w:r w:rsidRPr="00151D4E">
        <w:rPr>
          <w:rFonts w:ascii="Times New Roman" w:hAnsi="Times New Roman" w:cs="Times New Roman"/>
          <w:sz w:val="24"/>
          <w:szCs w:val="24"/>
        </w:rPr>
        <w:t>Kolo</w:t>
      </w:r>
      <w:proofErr w:type="spellEnd"/>
      <w:r w:rsidRPr="00151D4E">
        <w:rPr>
          <w:rFonts w:ascii="Times New Roman" w:hAnsi="Times New Roman" w:cs="Times New Roman"/>
          <w:sz w:val="24"/>
          <w:szCs w:val="24"/>
        </w:rPr>
        <w:t xml:space="preserve">, F. H. O. (2025). A multi-level clustering framework for cybersecurity risk stratification in </w:t>
      </w:r>
    </w:p>
    <w:p w14:paraId="7F45E8B9" w14:textId="77777777" w:rsidR="00D24670" w:rsidRDefault="00D24670" w:rsidP="00D24670">
      <w:pPr>
        <w:pStyle w:val="NoSpacing"/>
        <w:spacing w:line="360" w:lineRule="auto"/>
        <w:ind w:left="720"/>
        <w:rPr>
          <w:rFonts w:ascii="Times New Roman" w:hAnsi="Times New Roman" w:cs="Times New Roman"/>
          <w:sz w:val="24"/>
          <w:szCs w:val="24"/>
        </w:rPr>
      </w:pPr>
      <w:r w:rsidRPr="00151D4E">
        <w:rPr>
          <w:rFonts w:ascii="Times New Roman" w:hAnsi="Times New Roman" w:cs="Times New Roman"/>
          <w:sz w:val="24"/>
          <w:szCs w:val="24"/>
        </w:rPr>
        <w:t xml:space="preserve">healthcare: A dynamic, overlapping approach to threat classification and mitigation. Asian Journal of Research in Computer Science, 18(5), 11–31. </w:t>
      </w:r>
      <w:hyperlink r:id="rId12" w:history="1">
        <w:r w:rsidRPr="00DC32DA">
          <w:rPr>
            <w:rStyle w:val="Hyperlink"/>
            <w:rFonts w:ascii="Times New Roman" w:hAnsi="Times New Roman" w:cs="Times New Roman"/>
            <w:sz w:val="24"/>
            <w:szCs w:val="24"/>
          </w:rPr>
          <w:t>https://doi.org/10.9734/ajrcos/2025/v18i5636</w:t>
        </w:r>
      </w:hyperlink>
    </w:p>
    <w:p w14:paraId="193576A6" w14:textId="116A4A31"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Kruse, C. S., </w:t>
      </w:r>
      <w:proofErr w:type="spellStart"/>
      <w:r w:rsidRPr="00E24EFE">
        <w:rPr>
          <w:rFonts w:ascii="Times New Roman" w:hAnsi="Times New Roman" w:cs="Times New Roman"/>
          <w:sz w:val="24"/>
          <w:szCs w:val="24"/>
        </w:rPr>
        <w:t>Goswamy</w:t>
      </w:r>
      <w:proofErr w:type="spellEnd"/>
      <w:r w:rsidRPr="00E24EFE">
        <w:rPr>
          <w:rFonts w:ascii="Times New Roman" w:hAnsi="Times New Roman" w:cs="Times New Roman"/>
          <w:sz w:val="24"/>
          <w:szCs w:val="24"/>
        </w:rPr>
        <w:t xml:space="preserve">, R., </w:t>
      </w:r>
      <w:proofErr w:type="spellStart"/>
      <w:r w:rsidRPr="00E24EFE">
        <w:rPr>
          <w:rFonts w:ascii="Times New Roman" w:hAnsi="Times New Roman" w:cs="Times New Roman"/>
          <w:sz w:val="24"/>
          <w:szCs w:val="24"/>
        </w:rPr>
        <w:t>Raval</w:t>
      </w:r>
      <w:proofErr w:type="spellEnd"/>
      <w:r w:rsidRPr="00E24EFE">
        <w:rPr>
          <w:rFonts w:ascii="Times New Roman" w:hAnsi="Times New Roman" w:cs="Times New Roman"/>
          <w:sz w:val="24"/>
          <w:szCs w:val="24"/>
        </w:rPr>
        <w:t xml:space="preserve">, Y., &amp; </w:t>
      </w:r>
      <w:proofErr w:type="spellStart"/>
      <w:r w:rsidRPr="00E24EFE">
        <w:rPr>
          <w:rFonts w:ascii="Times New Roman" w:hAnsi="Times New Roman" w:cs="Times New Roman"/>
          <w:sz w:val="24"/>
          <w:szCs w:val="24"/>
        </w:rPr>
        <w:t>Marawi</w:t>
      </w:r>
      <w:proofErr w:type="spellEnd"/>
      <w:r w:rsidRPr="00E24EFE">
        <w:rPr>
          <w:rFonts w:ascii="Times New Roman" w:hAnsi="Times New Roman" w:cs="Times New Roman"/>
          <w:sz w:val="24"/>
          <w:szCs w:val="24"/>
        </w:rPr>
        <w:t xml:space="preserve">, S. (2016). Challenges and Opportunities of Big Data in Health Care: A Systematic Review. </w:t>
      </w:r>
      <w:r w:rsidRPr="00E24EFE">
        <w:rPr>
          <w:rFonts w:ascii="Times New Roman" w:hAnsi="Times New Roman" w:cs="Times New Roman"/>
          <w:i/>
          <w:iCs/>
          <w:sz w:val="24"/>
          <w:szCs w:val="24"/>
        </w:rPr>
        <w:t>JMIR Medical Informatics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4</w:t>
      </w:r>
      <w:r w:rsidRPr="00E24EFE">
        <w:rPr>
          <w:rFonts w:ascii="Times New Roman" w:hAnsi="Times New Roman" w:cs="Times New Roman"/>
          <w:sz w:val="24"/>
          <w:szCs w:val="24"/>
        </w:rPr>
        <w:t>(4). https://doi.org/10.2196/medinform.5359</w:t>
      </w:r>
    </w:p>
    <w:p w14:paraId="331582DD"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Lavallée</w:t>
      </w:r>
      <w:proofErr w:type="spellEnd"/>
      <w:r w:rsidRPr="00E24EFE">
        <w:rPr>
          <w:rFonts w:ascii="Times New Roman" w:hAnsi="Times New Roman" w:cs="Times New Roman"/>
          <w:sz w:val="24"/>
          <w:szCs w:val="24"/>
        </w:rPr>
        <w:t xml:space="preserve">, M., Corbin, S., Pradhan, P., </w:t>
      </w:r>
      <w:proofErr w:type="spellStart"/>
      <w:r w:rsidRPr="00E24EFE">
        <w:rPr>
          <w:rFonts w:ascii="Times New Roman" w:hAnsi="Times New Roman" w:cs="Times New Roman"/>
          <w:sz w:val="24"/>
          <w:szCs w:val="24"/>
        </w:rPr>
        <w:t>Guefack</w:t>
      </w:r>
      <w:proofErr w:type="spellEnd"/>
      <w:r w:rsidRPr="00E24EFE">
        <w:rPr>
          <w:rFonts w:ascii="Times New Roman" w:hAnsi="Times New Roman" w:cs="Times New Roman"/>
          <w:sz w:val="24"/>
          <w:szCs w:val="24"/>
        </w:rPr>
        <w:t xml:space="preserve">, L. B., Thibault, M., </w:t>
      </w:r>
      <w:proofErr w:type="spellStart"/>
      <w:r w:rsidRPr="00E24EFE">
        <w:rPr>
          <w:rFonts w:ascii="Times New Roman" w:hAnsi="Times New Roman" w:cs="Times New Roman"/>
          <w:sz w:val="24"/>
          <w:szCs w:val="24"/>
        </w:rPr>
        <w:t>Méthot</w:t>
      </w:r>
      <w:proofErr w:type="spellEnd"/>
      <w:r w:rsidRPr="00E24EFE">
        <w:rPr>
          <w:rFonts w:ascii="Times New Roman" w:hAnsi="Times New Roman" w:cs="Times New Roman"/>
          <w:sz w:val="24"/>
          <w:szCs w:val="24"/>
        </w:rPr>
        <w:t xml:space="preserve">, J., </w:t>
      </w:r>
      <w:proofErr w:type="spellStart"/>
      <w:r w:rsidRPr="00E24EFE">
        <w:rPr>
          <w:rFonts w:ascii="Times New Roman" w:hAnsi="Times New Roman" w:cs="Times New Roman"/>
          <w:sz w:val="24"/>
          <w:szCs w:val="24"/>
        </w:rPr>
        <w:t>Anick</w:t>
      </w:r>
      <w:proofErr w:type="spellEnd"/>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Bérard</w:t>
      </w:r>
      <w:proofErr w:type="spellEnd"/>
      <w:r w:rsidRPr="00E24EFE">
        <w:rPr>
          <w:rFonts w:ascii="Times New Roman" w:hAnsi="Times New Roman" w:cs="Times New Roman"/>
          <w:sz w:val="24"/>
          <w:szCs w:val="24"/>
        </w:rPr>
        <w:t xml:space="preserve">, Marie-Eve </w:t>
      </w:r>
      <w:proofErr w:type="spellStart"/>
      <w:r w:rsidRPr="00E24EFE">
        <w:rPr>
          <w:rFonts w:ascii="Times New Roman" w:hAnsi="Times New Roman" w:cs="Times New Roman"/>
          <w:sz w:val="24"/>
          <w:szCs w:val="24"/>
        </w:rPr>
        <w:t>Piché</w:t>
      </w:r>
      <w:proofErr w:type="spellEnd"/>
      <w:r w:rsidRPr="00E24EFE">
        <w:rPr>
          <w:rFonts w:ascii="Times New Roman" w:hAnsi="Times New Roman" w:cs="Times New Roman"/>
          <w:sz w:val="24"/>
          <w:szCs w:val="24"/>
        </w:rPr>
        <w:t xml:space="preserve">, Raphael, F., </w:t>
      </w:r>
      <w:proofErr w:type="spellStart"/>
      <w:r w:rsidRPr="00E24EFE">
        <w:rPr>
          <w:rFonts w:ascii="Times New Roman" w:hAnsi="Times New Roman" w:cs="Times New Roman"/>
          <w:sz w:val="24"/>
          <w:szCs w:val="24"/>
        </w:rPr>
        <w:t>Darveau</w:t>
      </w:r>
      <w:proofErr w:type="spellEnd"/>
      <w:r w:rsidRPr="00E24EFE">
        <w:rPr>
          <w:rFonts w:ascii="Times New Roman" w:hAnsi="Times New Roman" w:cs="Times New Roman"/>
          <w:sz w:val="24"/>
          <w:szCs w:val="24"/>
        </w:rPr>
        <w:t xml:space="preserve">, R., Cloutier, I., &amp; Leclerc, J. (2024). Underreporting of adverse events to health authorities by healthcare professionals: a red flag-raising descriptive study. </w:t>
      </w:r>
      <w:r w:rsidRPr="00E24EFE">
        <w:rPr>
          <w:rFonts w:ascii="Times New Roman" w:hAnsi="Times New Roman" w:cs="Times New Roman"/>
          <w:i/>
          <w:iCs/>
          <w:sz w:val="24"/>
          <w:szCs w:val="24"/>
        </w:rPr>
        <w:t>International Journal for Quality in Health Care</w:t>
      </w:r>
      <w:r w:rsidRPr="00E24EFE">
        <w:rPr>
          <w:rFonts w:ascii="Times New Roman" w:hAnsi="Times New Roman" w:cs="Times New Roman"/>
          <w:sz w:val="24"/>
          <w:szCs w:val="24"/>
        </w:rPr>
        <w:t>. https://doi.org/10.1093/intqhc/mzae109</w:t>
      </w:r>
    </w:p>
    <w:p w14:paraId="5B4A39D7"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Lee, E., Lee, J.-W., Lee, J., Kim, Y.-S., Kim, Y., No, J.-S., &amp; Choi, W. (2022). Low-Complexity Deep Convolutional Neural Networks on Fully Homomorphic Encryption Using Multiplexed Parallel Convolutions. </w:t>
      </w:r>
      <w:r w:rsidRPr="00E24EFE">
        <w:rPr>
          <w:rFonts w:ascii="Times New Roman" w:hAnsi="Times New Roman" w:cs="Times New Roman"/>
          <w:i/>
          <w:iCs/>
          <w:sz w:val="24"/>
          <w:szCs w:val="24"/>
        </w:rPr>
        <w:t>PMLR</w:t>
      </w:r>
      <w:r w:rsidRPr="00E24EFE">
        <w:rPr>
          <w:rFonts w:ascii="Times New Roman" w:hAnsi="Times New Roman" w:cs="Times New Roman"/>
          <w:sz w:val="24"/>
          <w:szCs w:val="24"/>
        </w:rPr>
        <w:t>, 12403–12422. https://proceedings.mlr.press/v162/lee22e.html</w:t>
      </w:r>
    </w:p>
    <w:p w14:paraId="4999D9FA"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lastRenderedPageBreak/>
        <w:t xml:space="preserve">Liu, M., Li, S., Yuan, H., </w:t>
      </w:r>
      <w:proofErr w:type="spellStart"/>
      <w:r w:rsidRPr="00E24EFE">
        <w:rPr>
          <w:rFonts w:ascii="Times New Roman" w:hAnsi="Times New Roman" w:cs="Times New Roman"/>
          <w:sz w:val="24"/>
          <w:szCs w:val="24"/>
        </w:rPr>
        <w:t>Eng</w:t>
      </w:r>
      <w:proofErr w:type="spellEnd"/>
      <w:r w:rsidRPr="00E24EFE">
        <w:rPr>
          <w:rFonts w:ascii="Times New Roman" w:hAnsi="Times New Roman" w:cs="Times New Roman"/>
          <w:sz w:val="24"/>
          <w:szCs w:val="24"/>
        </w:rPr>
        <w:t xml:space="preserve">, M., Ning, Y., </w:t>
      </w:r>
      <w:proofErr w:type="spellStart"/>
      <w:r w:rsidRPr="00E24EFE">
        <w:rPr>
          <w:rFonts w:ascii="Times New Roman" w:hAnsi="Times New Roman" w:cs="Times New Roman"/>
          <w:sz w:val="24"/>
          <w:szCs w:val="24"/>
        </w:rPr>
        <w:t>Xie</w:t>
      </w:r>
      <w:proofErr w:type="spellEnd"/>
      <w:r w:rsidRPr="00E24EFE">
        <w:rPr>
          <w:rFonts w:ascii="Times New Roman" w:hAnsi="Times New Roman" w:cs="Times New Roman"/>
          <w:sz w:val="24"/>
          <w:szCs w:val="24"/>
        </w:rPr>
        <w:t xml:space="preserve">, F., </w:t>
      </w:r>
      <w:proofErr w:type="spellStart"/>
      <w:r w:rsidRPr="00E24EFE">
        <w:rPr>
          <w:rFonts w:ascii="Times New Roman" w:hAnsi="Times New Roman" w:cs="Times New Roman"/>
          <w:sz w:val="24"/>
          <w:szCs w:val="24"/>
        </w:rPr>
        <w:t>Seyed</w:t>
      </w:r>
      <w:proofErr w:type="spellEnd"/>
      <w:r w:rsidRPr="00E24EFE">
        <w:rPr>
          <w:rFonts w:ascii="Times New Roman" w:hAnsi="Times New Roman" w:cs="Times New Roman"/>
          <w:sz w:val="24"/>
          <w:szCs w:val="24"/>
        </w:rPr>
        <w:t xml:space="preserve"> Ehsan </w:t>
      </w:r>
      <w:proofErr w:type="spellStart"/>
      <w:r w:rsidRPr="00E24EFE">
        <w:rPr>
          <w:rFonts w:ascii="Times New Roman" w:hAnsi="Times New Roman" w:cs="Times New Roman"/>
          <w:sz w:val="24"/>
          <w:szCs w:val="24"/>
        </w:rPr>
        <w:t>Saffari</w:t>
      </w:r>
      <w:proofErr w:type="spellEnd"/>
      <w:r w:rsidRPr="00E24EFE">
        <w:rPr>
          <w:rFonts w:ascii="Times New Roman" w:hAnsi="Times New Roman" w:cs="Times New Roman"/>
          <w:sz w:val="24"/>
          <w:szCs w:val="24"/>
        </w:rPr>
        <w:t xml:space="preserve">, Shang, Y., </w:t>
      </w:r>
      <w:proofErr w:type="spellStart"/>
      <w:r w:rsidRPr="00E24EFE">
        <w:rPr>
          <w:rFonts w:ascii="Times New Roman" w:hAnsi="Times New Roman" w:cs="Times New Roman"/>
          <w:sz w:val="24"/>
          <w:szCs w:val="24"/>
        </w:rPr>
        <w:t>Volovici</w:t>
      </w:r>
      <w:proofErr w:type="spellEnd"/>
      <w:r w:rsidRPr="00E24EFE">
        <w:rPr>
          <w:rFonts w:ascii="Times New Roman" w:hAnsi="Times New Roman" w:cs="Times New Roman"/>
          <w:sz w:val="24"/>
          <w:szCs w:val="24"/>
        </w:rPr>
        <w:t xml:space="preserve">, V., Chakraborty, B., &amp; Liu, N. (2023). </w:t>
      </w:r>
      <w:r w:rsidRPr="00E24EFE">
        <w:rPr>
          <w:rFonts w:ascii="Times New Roman" w:hAnsi="Times New Roman" w:cs="Times New Roman"/>
          <w:i/>
          <w:iCs/>
          <w:sz w:val="24"/>
          <w:szCs w:val="24"/>
        </w:rPr>
        <w:t>Handling missing values in healthcare data: A systematic review of deep learning-based imputation techniques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142</w:t>
      </w:r>
      <w:r w:rsidRPr="00E24EFE">
        <w:rPr>
          <w:rFonts w:ascii="Times New Roman" w:hAnsi="Times New Roman" w:cs="Times New Roman"/>
          <w:sz w:val="24"/>
          <w:szCs w:val="24"/>
        </w:rPr>
        <w:t>, 102587–102587. https://doi.org/10.1016/j.artmed.2023.102587</w:t>
      </w:r>
    </w:p>
    <w:p w14:paraId="2E4C22B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Liu, Z., &amp; </w:t>
      </w:r>
      <w:proofErr w:type="spellStart"/>
      <w:r w:rsidRPr="00E24EFE">
        <w:rPr>
          <w:rFonts w:ascii="Times New Roman" w:hAnsi="Times New Roman" w:cs="Times New Roman"/>
          <w:sz w:val="24"/>
          <w:szCs w:val="24"/>
        </w:rPr>
        <w:t>Hauskrecht</w:t>
      </w:r>
      <w:proofErr w:type="spellEnd"/>
      <w:r w:rsidRPr="00E24EFE">
        <w:rPr>
          <w:rFonts w:ascii="Times New Roman" w:hAnsi="Times New Roman" w:cs="Times New Roman"/>
          <w:sz w:val="24"/>
          <w:szCs w:val="24"/>
        </w:rPr>
        <w:t xml:space="preserve">, M. (2015). Clinical time series prediction: Toward a hierarchical dynamical system framework. </w:t>
      </w:r>
      <w:r w:rsidRPr="00E24EFE">
        <w:rPr>
          <w:rFonts w:ascii="Times New Roman" w:hAnsi="Times New Roman" w:cs="Times New Roman"/>
          <w:i/>
          <w:iCs/>
          <w:sz w:val="24"/>
          <w:szCs w:val="24"/>
        </w:rPr>
        <w:t>Artificial Intelligence in Medicine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65</w:t>
      </w:r>
      <w:r w:rsidRPr="00E24EFE">
        <w:rPr>
          <w:rFonts w:ascii="Times New Roman" w:hAnsi="Times New Roman" w:cs="Times New Roman"/>
          <w:sz w:val="24"/>
          <w:szCs w:val="24"/>
        </w:rPr>
        <w:t>(1), 5–18. https://doi.org/10.1016/j.artmed.2014.10.005</w:t>
      </w:r>
    </w:p>
    <w:p w14:paraId="39DD7B1C"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Lundberg, S., &amp; Lee, S. I. (2017). </w:t>
      </w:r>
      <w:r w:rsidRPr="00E24EFE">
        <w:rPr>
          <w:rFonts w:ascii="Times New Roman" w:hAnsi="Times New Roman" w:cs="Times New Roman"/>
          <w:i/>
          <w:iCs/>
          <w:sz w:val="24"/>
          <w:szCs w:val="24"/>
        </w:rPr>
        <w:t>A Unified Approach to Interpreting Model Predictions</w:t>
      </w:r>
      <w:r w:rsidRPr="00E24EFE">
        <w:rPr>
          <w:rFonts w:ascii="Times New Roman" w:hAnsi="Times New Roman" w:cs="Times New Roman"/>
          <w:sz w:val="24"/>
          <w:szCs w:val="24"/>
        </w:rPr>
        <w:t>. ArXiv.org. https://doi.org/10.48550/arXiv.1705.07874</w:t>
      </w:r>
    </w:p>
    <w:p w14:paraId="00C8C1D5"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Makary</w:t>
      </w:r>
      <w:proofErr w:type="spellEnd"/>
      <w:r w:rsidRPr="00E24EFE">
        <w:rPr>
          <w:rFonts w:ascii="Times New Roman" w:hAnsi="Times New Roman" w:cs="Times New Roman"/>
          <w:sz w:val="24"/>
          <w:szCs w:val="24"/>
        </w:rPr>
        <w:t xml:space="preserve">, M. A., &amp; Daniel, M. (2016). Medical error—The Third Leading Cause of Death in the US. </w:t>
      </w:r>
      <w:r w:rsidRPr="00E24EFE">
        <w:rPr>
          <w:rFonts w:ascii="Times New Roman" w:hAnsi="Times New Roman" w:cs="Times New Roman"/>
          <w:i/>
          <w:iCs/>
          <w:sz w:val="24"/>
          <w:szCs w:val="24"/>
        </w:rPr>
        <w:t>BMJ</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353</w:t>
      </w:r>
      <w:r w:rsidRPr="00E24EFE">
        <w:rPr>
          <w:rFonts w:ascii="Times New Roman" w:hAnsi="Times New Roman" w:cs="Times New Roman"/>
          <w:sz w:val="24"/>
          <w:szCs w:val="24"/>
        </w:rPr>
        <w:t>(8056). https://doi.org/10.1136/bmj.i2139</w:t>
      </w:r>
    </w:p>
    <w:p w14:paraId="30C0C7FF"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McCoy, L. G., Yu, F., Sauer, C. M., </w:t>
      </w:r>
      <w:proofErr w:type="spellStart"/>
      <w:r w:rsidRPr="00E24EFE">
        <w:rPr>
          <w:rFonts w:ascii="Times New Roman" w:hAnsi="Times New Roman" w:cs="Times New Roman"/>
          <w:sz w:val="24"/>
          <w:szCs w:val="24"/>
        </w:rPr>
        <w:t>Edelwina</w:t>
      </w:r>
      <w:proofErr w:type="spellEnd"/>
      <w:r w:rsidRPr="00E24EFE">
        <w:rPr>
          <w:rFonts w:ascii="Times New Roman" w:hAnsi="Times New Roman" w:cs="Times New Roman"/>
          <w:sz w:val="24"/>
          <w:szCs w:val="24"/>
        </w:rPr>
        <w:t xml:space="preserve">, K., Jain, B., </w:t>
      </w:r>
      <w:proofErr w:type="spellStart"/>
      <w:r w:rsidRPr="00E24EFE">
        <w:rPr>
          <w:rFonts w:ascii="Times New Roman" w:hAnsi="Times New Roman" w:cs="Times New Roman"/>
          <w:sz w:val="24"/>
          <w:szCs w:val="24"/>
        </w:rPr>
        <w:t>Gallifant</w:t>
      </w:r>
      <w:proofErr w:type="spellEnd"/>
      <w:r w:rsidRPr="00E24EFE">
        <w:rPr>
          <w:rFonts w:ascii="Times New Roman" w:hAnsi="Times New Roman" w:cs="Times New Roman"/>
          <w:sz w:val="24"/>
          <w:szCs w:val="24"/>
        </w:rPr>
        <w:t xml:space="preserve">, J., McClurkin, M., Hammond, A., Goode, D., </w:t>
      </w:r>
      <w:proofErr w:type="spellStart"/>
      <w:r w:rsidRPr="00E24EFE">
        <w:rPr>
          <w:rFonts w:ascii="Times New Roman" w:hAnsi="Times New Roman" w:cs="Times New Roman"/>
          <w:sz w:val="24"/>
          <w:szCs w:val="24"/>
        </w:rPr>
        <w:t>Gichoya</w:t>
      </w:r>
      <w:proofErr w:type="spellEnd"/>
      <w:r w:rsidRPr="00E24EFE">
        <w:rPr>
          <w:rFonts w:ascii="Times New Roman" w:hAnsi="Times New Roman" w:cs="Times New Roman"/>
          <w:sz w:val="24"/>
          <w:szCs w:val="24"/>
        </w:rPr>
        <w:t xml:space="preserve">, J., &amp; </w:t>
      </w:r>
      <w:proofErr w:type="spellStart"/>
      <w:r w:rsidRPr="00E24EFE">
        <w:rPr>
          <w:rFonts w:ascii="Times New Roman" w:hAnsi="Times New Roman" w:cs="Times New Roman"/>
          <w:sz w:val="24"/>
          <w:szCs w:val="24"/>
        </w:rPr>
        <w:t>Celi</w:t>
      </w:r>
      <w:proofErr w:type="spellEnd"/>
      <w:r w:rsidRPr="00E24EFE">
        <w:rPr>
          <w:rFonts w:ascii="Times New Roman" w:hAnsi="Times New Roman" w:cs="Times New Roman"/>
          <w:sz w:val="24"/>
          <w:szCs w:val="24"/>
        </w:rPr>
        <w:t xml:space="preserve">, L. A. (2024). Understanding and training for the impact of large language models and artificial intelligence in healthcare practice: a narrative review. </w:t>
      </w:r>
      <w:r w:rsidRPr="00E24EFE">
        <w:rPr>
          <w:rFonts w:ascii="Times New Roman" w:hAnsi="Times New Roman" w:cs="Times New Roman"/>
          <w:i/>
          <w:iCs/>
          <w:sz w:val="24"/>
          <w:szCs w:val="24"/>
        </w:rPr>
        <w:t>BMC Medical Education</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24</w:t>
      </w:r>
      <w:r w:rsidRPr="00E24EFE">
        <w:rPr>
          <w:rFonts w:ascii="Times New Roman" w:hAnsi="Times New Roman" w:cs="Times New Roman"/>
          <w:sz w:val="24"/>
          <w:szCs w:val="24"/>
        </w:rPr>
        <w:t>(1). https://doi.org/10.1186/s12909-024-06048-z</w:t>
      </w:r>
    </w:p>
    <w:p w14:paraId="6EC53D47"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Medidata Solutions. (2024). </w:t>
      </w:r>
      <w:r w:rsidRPr="00E24EFE">
        <w:rPr>
          <w:rFonts w:ascii="Times New Roman" w:hAnsi="Times New Roman" w:cs="Times New Roman"/>
          <w:i/>
          <w:iCs/>
          <w:sz w:val="24"/>
          <w:szCs w:val="24"/>
        </w:rPr>
        <w:t>login</w:t>
      </w:r>
      <w:r w:rsidRPr="00E24EFE">
        <w:rPr>
          <w:rFonts w:ascii="Times New Roman" w:hAnsi="Times New Roman" w:cs="Times New Roman"/>
          <w:sz w:val="24"/>
          <w:szCs w:val="24"/>
        </w:rPr>
        <w:t>. Medidata Solutions. https://www.medidata.com/en/life-science-resources/medidata-blog/ai-in-clinical-data-management/</w:t>
      </w:r>
    </w:p>
    <w:p w14:paraId="1FCCC89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Moody, D. (2022). </w:t>
      </w:r>
      <w:r w:rsidRPr="00E24EFE">
        <w:rPr>
          <w:rFonts w:ascii="Times New Roman" w:hAnsi="Times New Roman" w:cs="Times New Roman"/>
          <w:i/>
          <w:iCs/>
          <w:sz w:val="24"/>
          <w:szCs w:val="24"/>
        </w:rPr>
        <w:t>Status Report on the Third Round of the NIST Post-Quantum Cryptography Standardization Process</w:t>
      </w:r>
      <w:r w:rsidRPr="00E24EFE">
        <w:rPr>
          <w:rFonts w:ascii="Times New Roman" w:hAnsi="Times New Roman" w:cs="Times New Roman"/>
          <w:sz w:val="24"/>
          <w:szCs w:val="24"/>
        </w:rPr>
        <w:t>. https://doi.org/10.6028/nist.ir.8413</w:t>
      </w:r>
    </w:p>
    <w:p w14:paraId="12A69579" w14:textId="77777777" w:rsidR="00D24670" w:rsidRDefault="00D24670" w:rsidP="00D24670">
      <w:pPr>
        <w:spacing w:after="0" w:line="360" w:lineRule="auto"/>
        <w:ind w:left="720" w:hanging="720"/>
        <w:jc w:val="both"/>
        <w:rPr>
          <w:rFonts w:ascii="Times New Roman" w:eastAsia="Arial" w:hAnsi="Times New Roman" w:cs="Times New Roman"/>
          <w:color w:val="252525"/>
          <w:sz w:val="24"/>
          <w:szCs w:val="16"/>
        </w:rPr>
      </w:pPr>
      <w:proofErr w:type="spellStart"/>
      <w:r w:rsidRPr="00EE5388">
        <w:rPr>
          <w:rFonts w:ascii="Times New Roman" w:eastAsia="Arial" w:hAnsi="Times New Roman" w:cs="Times New Roman"/>
          <w:color w:val="252525"/>
          <w:sz w:val="24"/>
          <w:szCs w:val="16"/>
        </w:rPr>
        <w:t>Obrik-Uloho</w:t>
      </w:r>
      <w:proofErr w:type="spellEnd"/>
      <w:r w:rsidRPr="00EE5388">
        <w:rPr>
          <w:rFonts w:ascii="Times New Roman" w:eastAsia="Arial" w:hAnsi="Times New Roman" w:cs="Times New Roman"/>
          <w:color w:val="252525"/>
          <w:sz w:val="24"/>
          <w:szCs w:val="16"/>
        </w:rPr>
        <w:t xml:space="preserve">, E. P., Ejiofor, V. O., </w:t>
      </w:r>
      <w:proofErr w:type="spellStart"/>
      <w:r w:rsidRPr="00EE5388">
        <w:rPr>
          <w:rFonts w:ascii="Times New Roman" w:eastAsia="Arial" w:hAnsi="Times New Roman" w:cs="Times New Roman"/>
          <w:color w:val="252525"/>
          <w:sz w:val="24"/>
          <w:szCs w:val="16"/>
        </w:rPr>
        <w:t>Egonwanne</w:t>
      </w:r>
      <w:proofErr w:type="spellEnd"/>
      <w:r w:rsidRPr="00EE5388">
        <w:rPr>
          <w:rFonts w:ascii="Times New Roman" w:eastAsia="Arial" w:hAnsi="Times New Roman" w:cs="Times New Roman"/>
          <w:color w:val="252525"/>
          <w:sz w:val="24"/>
          <w:szCs w:val="16"/>
        </w:rPr>
        <w:t xml:space="preserve">, C. H., </w:t>
      </w:r>
      <w:proofErr w:type="spellStart"/>
      <w:r w:rsidRPr="00EE5388">
        <w:rPr>
          <w:rFonts w:ascii="Times New Roman" w:eastAsia="Arial" w:hAnsi="Times New Roman" w:cs="Times New Roman"/>
          <w:color w:val="252525"/>
          <w:sz w:val="24"/>
          <w:szCs w:val="16"/>
        </w:rPr>
        <w:t>Kolo</w:t>
      </w:r>
      <w:proofErr w:type="spellEnd"/>
      <w:r w:rsidRPr="00EE5388">
        <w:rPr>
          <w:rFonts w:ascii="Times New Roman" w:eastAsia="Arial" w:hAnsi="Times New Roman" w:cs="Times New Roman"/>
          <w:color w:val="252525"/>
          <w:sz w:val="24"/>
          <w:szCs w:val="16"/>
        </w:rPr>
        <w:t xml:space="preserve">, F. H. O., &amp; </w:t>
      </w:r>
      <w:proofErr w:type="spellStart"/>
      <w:r w:rsidRPr="00EE5388">
        <w:rPr>
          <w:rFonts w:ascii="Times New Roman" w:eastAsia="Arial" w:hAnsi="Times New Roman" w:cs="Times New Roman"/>
          <w:color w:val="252525"/>
          <w:sz w:val="24"/>
          <w:szCs w:val="16"/>
        </w:rPr>
        <w:t>Olasege</w:t>
      </w:r>
      <w:proofErr w:type="spellEnd"/>
      <w:r w:rsidRPr="00EE5388">
        <w:rPr>
          <w:rFonts w:ascii="Times New Roman" w:eastAsia="Arial" w:hAnsi="Times New Roman" w:cs="Times New Roman"/>
          <w:color w:val="252525"/>
          <w:sz w:val="24"/>
          <w:szCs w:val="16"/>
        </w:rPr>
        <w:t xml:space="preserve">, R. O. (2025). Zero-trust architecture for smart hospitals: A virtual blueprint for cyber-resilient healthcare infrastructure. Archives of Current Research International, 25(10), 166–185. </w:t>
      </w:r>
      <w:hyperlink r:id="rId13" w:history="1">
        <w:r w:rsidRPr="007563F8">
          <w:rPr>
            <w:rStyle w:val="Hyperlink"/>
            <w:rFonts w:ascii="Times New Roman" w:eastAsia="Arial" w:hAnsi="Times New Roman" w:cs="Times New Roman"/>
            <w:sz w:val="24"/>
            <w:szCs w:val="16"/>
          </w:rPr>
          <w:t>https://doi.org/10.9734/acri/2025/v25i101557</w:t>
        </w:r>
      </w:hyperlink>
    </w:p>
    <w:p w14:paraId="0E38FBF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Obermeyer, Z., Powers, B., </w:t>
      </w:r>
      <w:proofErr w:type="spellStart"/>
      <w:r w:rsidRPr="00E24EFE">
        <w:rPr>
          <w:rFonts w:ascii="Times New Roman" w:hAnsi="Times New Roman" w:cs="Times New Roman"/>
          <w:sz w:val="24"/>
          <w:szCs w:val="24"/>
        </w:rPr>
        <w:t>Vogeli</w:t>
      </w:r>
      <w:proofErr w:type="spellEnd"/>
      <w:r w:rsidRPr="00E24EFE">
        <w:rPr>
          <w:rFonts w:ascii="Times New Roman" w:hAnsi="Times New Roman" w:cs="Times New Roman"/>
          <w:sz w:val="24"/>
          <w:szCs w:val="24"/>
        </w:rPr>
        <w:t xml:space="preserve">, C., &amp; Mullainathan, S. (2019). Dissecting Racial Bias in an Algorithm Used to Manage the Health of Populations. </w:t>
      </w:r>
      <w:r w:rsidRPr="00E24EFE">
        <w:rPr>
          <w:rFonts w:ascii="Times New Roman" w:hAnsi="Times New Roman" w:cs="Times New Roman"/>
          <w:i/>
          <w:iCs/>
          <w:sz w:val="24"/>
          <w:szCs w:val="24"/>
        </w:rPr>
        <w:t>Science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366</w:t>
      </w:r>
      <w:r w:rsidRPr="00E24EFE">
        <w:rPr>
          <w:rFonts w:ascii="Times New Roman" w:hAnsi="Times New Roman" w:cs="Times New Roman"/>
          <w:sz w:val="24"/>
          <w:szCs w:val="24"/>
        </w:rPr>
        <w:t>(6464), 447–453. https://doi.org/10.1126/science.aax2342</w:t>
      </w:r>
    </w:p>
    <w:p w14:paraId="3B27E14B"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lastRenderedPageBreak/>
        <w:t xml:space="preserve">Phillips, W. (2015). Ethical Controversies About Proper Health Informatics Practices. </w:t>
      </w:r>
      <w:r w:rsidRPr="00E24EFE">
        <w:rPr>
          <w:rFonts w:ascii="Times New Roman" w:hAnsi="Times New Roman" w:cs="Times New Roman"/>
          <w:i/>
          <w:iCs/>
          <w:sz w:val="24"/>
          <w:szCs w:val="24"/>
        </w:rPr>
        <w:t>Missouri Medicine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112</w:t>
      </w:r>
      <w:r w:rsidRPr="00E24EFE">
        <w:rPr>
          <w:rFonts w:ascii="Times New Roman" w:hAnsi="Times New Roman" w:cs="Times New Roman"/>
          <w:sz w:val="24"/>
          <w:szCs w:val="24"/>
        </w:rPr>
        <w:t>(1), 53. https://pmc.ncbi.nlm.nih.gov/articles/PMC6170081/</w:t>
      </w:r>
    </w:p>
    <w:p w14:paraId="03FABF8F"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Pool, J., </w:t>
      </w:r>
      <w:proofErr w:type="spellStart"/>
      <w:r w:rsidRPr="00E24EFE">
        <w:rPr>
          <w:rFonts w:ascii="Times New Roman" w:hAnsi="Times New Roman" w:cs="Times New Roman"/>
          <w:sz w:val="24"/>
          <w:szCs w:val="24"/>
        </w:rPr>
        <w:t>Akhlaghpour</w:t>
      </w:r>
      <w:proofErr w:type="spellEnd"/>
      <w:r w:rsidRPr="00E24EFE">
        <w:rPr>
          <w:rFonts w:ascii="Times New Roman" w:hAnsi="Times New Roman" w:cs="Times New Roman"/>
          <w:sz w:val="24"/>
          <w:szCs w:val="24"/>
        </w:rPr>
        <w:t xml:space="preserve">, S., </w:t>
      </w:r>
      <w:proofErr w:type="spellStart"/>
      <w:r w:rsidRPr="00E24EFE">
        <w:rPr>
          <w:rFonts w:ascii="Times New Roman" w:hAnsi="Times New Roman" w:cs="Times New Roman"/>
          <w:sz w:val="24"/>
          <w:szCs w:val="24"/>
        </w:rPr>
        <w:t>Fatehi</w:t>
      </w:r>
      <w:proofErr w:type="spellEnd"/>
      <w:r w:rsidRPr="00E24EFE">
        <w:rPr>
          <w:rFonts w:ascii="Times New Roman" w:hAnsi="Times New Roman" w:cs="Times New Roman"/>
          <w:sz w:val="24"/>
          <w:szCs w:val="24"/>
        </w:rPr>
        <w:t xml:space="preserve">, F., &amp; Gray, L. C. (2022). Data privacy concerns and use of telehealth in the aged care context: An integrative review and research agenda. </w:t>
      </w:r>
      <w:r w:rsidRPr="00E24EFE">
        <w:rPr>
          <w:rFonts w:ascii="Times New Roman" w:hAnsi="Times New Roman" w:cs="Times New Roman"/>
          <w:i/>
          <w:iCs/>
          <w:sz w:val="24"/>
          <w:szCs w:val="24"/>
        </w:rPr>
        <w:t>International Journal of Medical Informatics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160</w:t>
      </w:r>
      <w:r w:rsidRPr="00E24EFE">
        <w:rPr>
          <w:rFonts w:ascii="Times New Roman" w:hAnsi="Times New Roman" w:cs="Times New Roman"/>
          <w:sz w:val="24"/>
          <w:szCs w:val="24"/>
        </w:rPr>
        <w:t>. https://doi.org/10.1016/j.ijmedinf.2022.104707</w:t>
      </w:r>
    </w:p>
    <w:p w14:paraId="45938519"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Raghupathi</w:t>
      </w:r>
      <w:proofErr w:type="spellEnd"/>
      <w:r w:rsidRPr="00E24EFE">
        <w:rPr>
          <w:rFonts w:ascii="Times New Roman" w:hAnsi="Times New Roman" w:cs="Times New Roman"/>
          <w:sz w:val="24"/>
          <w:szCs w:val="24"/>
        </w:rPr>
        <w:t xml:space="preserve">, W., &amp; </w:t>
      </w:r>
      <w:proofErr w:type="spellStart"/>
      <w:r w:rsidRPr="00E24EFE">
        <w:rPr>
          <w:rFonts w:ascii="Times New Roman" w:hAnsi="Times New Roman" w:cs="Times New Roman"/>
          <w:sz w:val="24"/>
          <w:szCs w:val="24"/>
        </w:rPr>
        <w:t>Raghupathi</w:t>
      </w:r>
      <w:proofErr w:type="spellEnd"/>
      <w:r w:rsidRPr="00E24EFE">
        <w:rPr>
          <w:rFonts w:ascii="Times New Roman" w:hAnsi="Times New Roman" w:cs="Times New Roman"/>
          <w:sz w:val="24"/>
          <w:szCs w:val="24"/>
        </w:rPr>
        <w:t xml:space="preserve">, V. (2014). Big data analytics in healthcare: Promise and potential. </w:t>
      </w:r>
      <w:r w:rsidRPr="00E24EFE">
        <w:rPr>
          <w:rFonts w:ascii="Times New Roman" w:hAnsi="Times New Roman" w:cs="Times New Roman"/>
          <w:i/>
          <w:iCs/>
          <w:sz w:val="24"/>
          <w:szCs w:val="24"/>
        </w:rPr>
        <w:t>Health Information Science and Systems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w:t>
      </w:r>
      <w:r w:rsidRPr="00E24EFE">
        <w:rPr>
          <w:rFonts w:ascii="Times New Roman" w:hAnsi="Times New Roman" w:cs="Times New Roman"/>
          <w:sz w:val="24"/>
          <w:szCs w:val="24"/>
        </w:rPr>
        <w:t>(1), 1–10. https://doi.org/10.1186/2047-2501-2-3</w:t>
      </w:r>
    </w:p>
    <w:p w14:paraId="4765FA1B"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Ramasamy, S., &amp; Nirmala, K. (2017). Disease prediction in data mining using association rule mining and </w:t>
      </w:r>
      <w:proofErr w:type="gramStart"/>
      <w:r w:rsidRPr="00E24EFE">
        <w:rPr>
          <w:rFonts w:ascii="Times New Roman" w:hAnsi="Times New Roman" w:cs="Times New Roman"/>
          <w:sz w:val="24"/>
          <w:szCs w:val="24"/>
        </w:rPr>
        <w:t>keyword based</w:t>
      </w:r>
      <w:proofErr w:type="gramEnd"/>
      <w:r w:rsidRPr="00E24EFE">
        <w:rPr>
          <w:rFonts w:ascii="Times New Roman" w:hAnsi="Times New Roman" w:cs="Times New Roman"/>
          <w:sz w:val="24"/>
          <w:szCs w:val="24"/>
        </w:rPr>
        <w:t xml:space="preserve"> clustering algorithms. </w:t>
      </w:r>
      <w:r w:rsidRPr="00E24EFE">
        <w:rPr>
          <w:rFonts w:ascii="Times New Roman" w:hAnsi="Times New Roman" w:cs="Times New Roman"/>
          <w:i/>
          <w:iCs/>
          <w:sz w:val="24"/>
          <w:szCs w:val="24"/>
        </w:rPr>
        <w:t>International Journal of Computers and Applications</w:t>
      </w:r>
      <w:r w:rsidRPr="00E24EFE">
        <w:rPr>
          <w:rFonts w:ascii="Times New Roman" w:hAnsi="Times New Roman" w:cs="Times New Roman"/>
          <w:sz w:val="24"/>
          <w:szCs w:val="24"/>
        </w:rPr>
        <w:t>, 1–8. https://doi.org/10.1080/1206212x.2017.1396415</w:t>
      </w:r>
    </w:p>
    <w:p w14:paraId="2E38B879"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Rashid, N. S., &amp; Yasin, H. M. (2025). Privacy-preserving machine learning: a review of federated learning techniques and ‎applications. </w:t>
      </w:r>
      <w:r w:rsidRPr="00E24EFE">
        <w:rPr>
          <w:rFonts w:ascii="Times New Roman" w:hAnsi="Times New Roman" w:cs="Times New Roman"/>
          <w:i/>
          <w:iCs/>
          <w:sz w:val="24"/>
          <w:szCs w:val="24"/>
        </w:rPr>
        <w:t>International Journal of Scientific World</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11</w:t>
      </w:r>
      <w:r w:rsidRPr="00E24EFE">
        <w:rPr>
          <w:rFonts w:ascii="Times New Roman" w:hAnsi="Times New Roman" w:cs="Times New Roman"/>
          <w:sz w:val="24"/>
          <w:szCs w:val="24"/>
        </w:rPr>
        <w:t>(1), 30–39. https://doi.org/10.14419/af03y111</w:t>
      </w:r>
    </w:p>
    <w:p w14:paraId="5109CB8E"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Rawat, R., Garg, B., </w:t>
      </w:r>
      <w:proofErr w:type="spellStart"/>
      <w:r w:rsidRPr="00E24EFE">
        <w:rPr>
          <w:rFonts w:ascii="Times New Roman" w:hAnsi="Times New Roman" w:cs="Times New Roman"/>
          <w:sz w:val="24"/>
          <w:szCs w:val="24"/>
        </w:rPr>
        <w:t>Mahor</w:t>
      </w:r>
      <w:proofErr w:type="spellEnd"/>
      <w:r w:rsidRPr="00E24EFE">
        <w:rPr>
          <w:rFonts w:ascii="Times New Roman" w:hAnsi="Times New Roman" w:cs="Times New Roman"/>
          <w:sz w:val="24"/>
          <w:szCs w:val="24"/>
        </w:rPr>
        <w:t xml:space="preserve">, V.K., </w:t>
      </w:r>
      <w:proofErr w:type="spellStart"/>
      <w:r w:rsidRPr="00E24EFE">
        <w:rPr>
          <w:rFonts w:ascii="Times New Roman" w:hAnsi="Times New Roman" w:cs="Times New Roman"/>
          <w:sz w:val="24"/>
          <w:szCs w:val="24"/>
        </w:rPr>
        <w:t>Telang</w:t>
      </w:r>
      <w:proofErr w:type="spellEnd"/>
      <w:r w:rsidRPr="00E24EFE">
        <w:rPr>
          <w:rFonts w:ascii="Times New Roman" w:hAnsi="Times New Roman" w:cs="Times New Roman"/>
          <w:sz w:val="24"/>
          <w:szCs w:val="24"/>
        </w:rPr>
        <w:t xml:space="preserve">, S., </w:t>
      </w:r>
      <w:proofErr w:type="spellStart"/>
      <w:r w:rsidRPr="00E24EFE">
        <w:rPr>
          <w:rFonts w:ascii="Times New Roman" w:hAnsi="Times New Roman" w:cs="Times New Roman"/>
          <w:sz w:val="24"/>
          <w:szCs w:val="24"/>
        </w:rPr>
        <w:t>Pachlasiya</w:t>
      </w:r>
      <w:proofErr w:type="spellEnd"/>
      <w:r w:rsidRPr="00E24EFE">
        <w:rPr>
          <w:rFonts w:ascii="Times New Roman" w:hAnsi="Times New Roman" w:cs="Times New Roman"/>
          <w:sz w:val="24"/>
          <w:szCs w:val="24"/>
        </w:rPr>
        <w:t>, K., &amp; Chouhan, M. (2022). Organ Trafficking on the Dark Web—The Data Security and Privacy Concern in Healthcare Systems. </w:t>
      </w:r>
      <w:r w:rsidRPr="00E24EFE">
        <w:rPr>
          <w:rFonts w:ascii="Times New Roman" w:hAnsi="Times New Roman" w:cs="Times New Roman"/>
          <w:i/>
          <w:iCs/>
          <w:sz w:val="24"/>
          <w:szCs w:val="24"/>
        </w:rPr>
        <w:t>Internet of Healthcare Things</w:t>
      </w:r>
      <w:r w:rsidRPr="00E24EFE">
        <w:rPr>
          <w:rFonts w:ascii="Times New Roman" w:hAnsi="Times New Roman" w:cs="Times New Roman"/>
          <w:sz w:val="24"/>
          <w:szCs w:val="24"/>
        </w:rPr>
        <w:t xml:space="preserve">. </w:t>
      </w:r>
    </w:p>
    <w:p w14:paraId="7FD2D901"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Roth, D. (2024). </w:t>
      </w:r>
      <w:r w:rsidRPr="00E24EFE">
        <w:rPr>
          <w:rFonts w:ascii="Times New Roman" w:hAnsi="Times New Roman" w:cs="Times New Roman"/>
          <w:i/>
          <w:iCs/>
          <w:sz w:val="24"/>
          <w:szCs w:val="24"/>
        </w:rPr>
        <w:t xml:space="preserve">A Window into Patient Safety: Underreporting of Near-Miss Events in </w:t>
      </w:r>
      <w:proofErr w:type="spellStart"/>
      <w:r w:rsidRPr="00E24EFE">
        <w:rPr>
          <w:rFonts w:ascii="Times New Roman" w:hAnsi="Times New Roman" w:cs="Times New Roman"/>
          <w:i/>
          <w:iCs/>
          <w:sz w:val="24"/>
          <w:szCs w:val="24"/>
        </w:rPr>
        <w:t>CHPSOData</w:t>
      </w:r>
      <w:proofErr w:type="spellEnd"/>
      <w:r w:rsidRPr="00E24EFE">
        <w:rPr>
          <w:rFonts w:ascii="Times New Roman" w:hAnsi="Times New Roman" w:cs="Times New Roman"/>
          <w:sz w:val="24"/>
          <w:szCs w:val="24"/>
        </w:rPr>
        <w:t>. HQI. https://hqinstitute.org/a-window-into-patient-safety-underreporting-of-near-miss-events-in-chpsodata/</w:t>
      </w:r>
    </w:p>
    <w:p w14:paraId="56DBF412"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Ryffel</w:t>
      </w:r>
      <w:proofErr w:type="spellEnd"/>
      <w:r w:rsidRPr="00E24EFE">
        <w:rPr>
          <w:rFonts w:ascii="Times New Roman" w:hAnsi="Times New Roman" w:cs="Times New Roman"/>
          <w:sz w:val="24"/>
          <w:szCs w:val="24"/>
        </w:rPr>
        <w:t xml:space="preserve">, T., Trask, A., Dahl, M., Wagner, B., Mancuso, J., </w:t>
      </w:r>
      <w:proofErr w:type="spellStart"/>
      <w:r w:rsidRPr="00E24EFE">
        <w:rPr>
          <w:rFonts w:ascii="Times New Roman" w:hAnsi="Times New Roman" w:cs="Times New Roman"/>
          <w:sz w:val="24"/>
          <w:szCs w:val="24"/>
        </w:rPr>
        <w:t>Rueckert</w:t>
      </w:r>
      <w:proofErr w:type="spellEnd"/>
      <w:r w:rsidRPr="00E24EFE">
        <w:rPr>
          <w:rFonts w:ascii="Times New Roman" w:hAnsi="Times New Roman" w:cs="Times New Roman"/>
          <w:sz w:val="24"/>
          <w:szCs w:val="24"/>
        </w:rPr>
        <w:t xml:space="preserve">, D., &amp; </w:t>
      </w:r>
      <w:proofErr w:type="spellStart"/>
      <w:r w:rsidRPr="00E24EFE">
        <w:rPr>
          <w:rFonts w:ascii="Times New Roman" w:hAnsi="Times New Roman" w:cs="Times New Roman"/>
          <w:sz w:val="24"/>
          <w:szCs w:val="24"/>
        </w:rPr>
        <w:t>Passerat-Palmbach</w:t>
      </w:r>
      <w:proofErr w:type="spellEnd"/>
      <w:r w:rsidRPr="00E24EFE">
        <w:rPr>
          <w:rFonts w:ascii="Times New Roman" w:hAnsi="Times New Roman" w:cs="Times New Roman"/>
          <w:sz w:val="24"/>
          <w:szCs w:val="24"/>
        </w:rPr>
        <w:t xml:space="preserve">, J. (2018). A generic framework for privacy preserving deep learning. </w:t>
      </w:r>
      <w:proofErr w:type="spellStart"/>
      <w:r w:rsidRPr="00E24EFE">
        <w:rPr>
          <w:rFonts w:ascii="Times New Roman" w:hAnsi="Times New Roman" w:cs="Times New Roman"/>
          <w:i/>
          <w:iCs/>
          <w:sz w:val="24"/>
          <w:szCs w:val="24"/>
        </w:rPr>
        <w:t>ArXiv</w:t>
      </w:r>
      <w:proofErr w:type="spellEnd"/>
      <w:r w:rsidRPr="00E24EFE">
        <w:rPr>
          <w:rFonts w:ascii="Times New Roman" w:hAnsi="Times New Roman" w:cs="Times New Roman"/>
          <w:i/>
          <w:iCs/>
          <w:sz w:val="24"/>
          <w:szCs w:val="24"/>
        </w:rPr>
        <w:t xml:space="preserve"> (Cornell University)</w:t>
      </w:r>
      <w:r w:rsidRPr="00E24EFE">
        <w:rPr>
          <w:rFonts w:ascii="Times New Roman" w:hAnsi="Times New Roman" w:cs="Times New Roman"/>
          <w:sz w:val="24"/>
          <w:szCs w:val="24"/>
        </w:rPr>
        <w:t>. https://doi.org/10.48550/arxiv.1811.04017</w:t>
      </w:r>
    </w:p>
    <w:p w14:paraId="4F2F485B"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Singh, M. P., </w:t>
      </w:r>
      <w:proofErr w:type="spellStart"/>
      <w:r w:rsidRPr="00E24EFE">
        <w:rPr>
          <w:rFonts w:ascii="Times New Roman" w:hAnsi="Times New Roman" w:cs="Times New Roman"/>
          <w:sz w:val="24"/>
          <w:szCs w:val="24"/>
        </w:rPr>
        <w:t>Keche</w:t>
      </w:r>
      <w:proofErr w:type="spellEnd"/>
      <w:r w:rsidRPr="00E24EFE">
        <w:rPr>
          <w:rFonts w:ascii="Times New Roman" w:hAnsi="Times New Roman" w:cs="Times New Roman"/>
          <w:sz w:val="24"/>
          <w:szCs w:val="24"/>
        </w:rPr>
        <w:t xml:space="preserve">, Y. N., Singh, M. P., &amp; Dr. Yogendra </w:t>
      </w:r>
      <w:proofErr w:type="spellStart"/>
      <w:r w:rsidRPr="00E24EFE">
        <w:rPr>
          <w:rFonts w:ascii="Times New Roman" w:hAnsi="Times New Roman" w:cs="Times New Roman"/>
          <w:sz w:val="24"/>
          <w:szCs w:val="24"/>
        </w:rPr>
        <w:t>Keche</w:t>
      </w:r>
      <w:proofErr w:type="spellEnd"/>
      <w:r w:rsidRPr="00E24EFE">
        <w:rPr>
          <w:rFonts w:ascii="Times New Roman" w:hAnsi="Times New Roman" w:cs="Times New Roman"/>
          <w:sz w:val="24"/>
          <w:szCs w:val="24"/>
        </w:rPr>
        <w:t xml:space="preserve">. (2025). Ethical Integration of Artificial Intelligence in Healthcare: Narrative Review of Global Challenges and Strategic Solutions. </w:t>
      </w:r>
      <w:proofErr w:type="spellStart"/>
      <w:r w:rsidRPr="00E24EFE">
        <w:rPr>
          <w:rFonts w:ascii="Times New Roman" w:hAnsi="Times New Roman" w:cs="Times New Roman"/>
          <w:i/>
          <w:iCs/>
          <w:sz w:val="24"/>
          <w:szCs w:val="24"/>
        </w:rPr>
        <w:t>Cureus</w:t>
      </w:r>
      <w:proofErr w:type="spellEnd"/>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17</w:t>
      </w:r>
      <w:r w:rsidRPr="00E24EFE">
        <w:rPr>
          <w:rFonts w:ascii="Times New Roman" w:hAnsi="Times New Roman" w:cs="Times New Roman"/>
          <w:sz w:val="24"/>
          <w:szCs w:val="24"/>
        </w:rPr>
        <w:t>(5). https://doi.org/10.7759/cureus.84804</w:t>
      </w:r>
    </w:p>
    <w:p w14:paraId="63F7A18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lastRenderedPageBreak/>
        <w:t xml:space="preserve">Tazi, F., Shrestha, S., De La Cruz, J., &amp; Das, S. (2022). </w:t>
      </w:r>
      <w:proofErr w:type="spellStart"/>
      <w:r w:rsidRPr="00E24EFE">
        <w:rPr>
          <w:rFonts w:ascii="Times New Roman" w:hAnsi="Times New Roman" w:cs="Times New Roman"/>
          <w:sz w:val="24"/>
          <w:szCs w:val="24"/>
        </w:rPr>
        <w:t>SoK</w:t>
      </w:r>
      <w:proofErr w:type="spellEnd"/>
      <w:r w:rsidRPr="00E24EFE">
        <w:rPr>
          <w:rFonts w:ascii="Times New Roman" w:hAnsi="Times New Roman" w:cs="Times New Roman"/>
          <w:sz w:val="24"/>
          <w:szCs w:val="24"/>
        </w:rPr>
        <w:t xml:space="preserve">: An Evaluation of the Secure End User Experience on the Dark Net through Systematic Literature Review. </w:t>
      </w:r>
      <w:r w:rsidRPr="00E24EFE">
        <w:rPr>
          <w:rFonts w:ascii="Times New Roman" w:hAnsi="Times New Roman" w:cs="Times New Roman"/>
          <w:i/>
          <w:iCs/>
          <w:sz w:val="24"/>
          <w:szCs w:val="24"/>
        </w:rPr>
        <w:t>Journal of Cybersecurity and Privacy</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w:t>
      </w:r>
      <w:r w:rsidRPr="00E24EFE">
        <w:rPr>
          <w:rFonts w:ascii="Times New Roman" w:hAnsi="Times New Roman" w:cs="Times New Roman"/>
          <w:sz w:val="24"/>
          <w:szCs w:val="24"/>
        </w:rPr>
        <w:t>(2), 329–357. https://doi.org/10.3390/jcp2020018</w:t>
      </w:r>
    </w:p>
    <w:p w14:paraId="2DFC830C"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Truex, S., Liu, L., </w:t>
      </w:r>
      <w:proofErr w:type="spellStart"/>
      <w:r w:rsidRPr="00E24EFE">
        <w:rPr>
          <w:rFonts w:ascii="Times New Roman" w:hAnsi="Times New Roman" w:cs="Times New Roman"/>
          <w:sz w:val="24"/>
          <w:szCs w:val="24"/>
        </w:rPr>
        <w:t>Gursoy</w:t>
      </w:r>
      <w:proofErr w:type="spellEnd"/>
      <w:r w:rsidRPr="00E24EFE">
        <w:rPr>
          <w:rFonts w:ascii="Times New Roman" w:hAnsi="Times New Roman" w:cs="Times New Roman"/>
          <w:sz w:val="24"/>
          <w:szCs w:val="24"/>
        </w:rPr>
        <w:t xml:space="preserve">, M. E., Yu, L., &amp; Wei, W. (2019). Demystifying Membership Inference Attacks in Machine Learning as a Service. </w:t>
      </w:r>
      <w:r w:rsidRPr="00E24EFE">
        <w:rPr>
          <w:rFonts w:ascii="Times New Roman" w:hAnsi="Times New Roman" w:cs="Times New Roman"/>
          <w:i/>
          <w:iCs/>
          <w:sz w:val="24"/>
          <w:szCs w:val="24"/>
        </w:rPr>
        <w:t>IEEE Transactions on Services Computing</w:t>
      </w:r>
      <w:r w:rsidRPr="00E24EFE">
        <w:rPr>
          <w:rFonts w:ascii="Times New Roman" w:hAnsi="Times New Roman" w:cs="Times New Roman"/>
          <w:sz w:val="24"/>
          <w:szCs w:val="24"/>
        </w:rPr>
        <w:t>, 1–1. https://doi.org/10.1109/tsc.2019.2897554</w:t>
      </w:r>
    </w:p>
    <w:p w14:paraId="4B3C3661"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Wambugu</w:t>
      </w:r>
      <w:proofErr w:type="spellEnd"/>
      <w:r w:rsidRPr="00E24EFE">
        <w:rPr>
          <w:rFonts w:ascii="Times New Roman" w:hAnsi="Times New Roman" w:cs="Times New Roman"/>
          <w:sz w:val="24"/>
          <w:szCs w:val="24"/>
        </w:rPr>
        <w:t xml:space="preserve">, S., Thomas, J. C., Johnson, D., &amp; Villella, C. (2019). </w:t>
      </w:r>
      <w:r w:rsidRPr="00E24EFE">
        <w:rPr>
          <w:rFonts w:ascii="Times New Roman" w:hAnsi="Times New Roman" w:cs="Times New Roman"/>
          <w:i/>
          <w:iCs/>
          <w:sz w:val="24"/>
          <w:szCs w:val="24"/>
        </w:rPr>
        <w:t>Digital data ethics in low- and middle-income countries: The road ahead</w:t>
      </w:r>
      <w:r w:rsidRPr="00E24EFE">
        <w:rPr>
          <w:rFonts w:ascii="Times New Roman" w:hAnsi="Times New Roman" w:cs="Times New Roman"/>
          <w:sz w:val="24"/>
          <w:szCs w:val="24"/>
        </w:rPr>
        <w:t>. Measureevaluation.org. https://www.measureevaluation.org/resources/publications/tr-17-149.html</w:t>
      </w:r>
    </w:p>
    <w:p w14:paraId="5FFF0AF7"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Wang, Y., Kung, L., &amp; Byrd, T. A. (2018). Big Data analytics: Understanding Its Capabilities and Potential Benefits for Healthcare Organizations. </w:t>
      </w:r>
      <w:r w:rsidRPr="00E24EFE">
        <w:rPr>
          <w:rFonts w:ascii="Times New Roman" w:hAnsi="Times New Roman" w:cs="Times New Roman"/>
          <w:i/>
          <w:iCs/>
          <w:sz w:val="24"/>
          <w:szCs w:val="24"/>
        </w:rPr>
        <w:t>Technological Forecasting and Social Change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126</w:t>
      </w:r>
      <w:r w:rsidRPr="00E24EFE">
        <w:rPr>
          <w:rFonts w:ascii="Times New Roman" w:hAnsi="Times New Roman" w:cs="Times New Roman"/>
          <w:sz w:val="24"/>
          <w:szCs w:val="24"/>
        </w:rPr>
        <w:t>(1), 3–13. https://doi.org/10.1016/j.techfore.2015.12.019</w:t>
      </w:r>
    </w:p>
    <w:p w14:paraId="56549CDE"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Wood, A., </w:t>
      </w:r>
      <w:proofErr w:type="spellStart"/>
      <w:r w:rsidRPr="00E24EFE">
        <w:rPr>
          <w:rFonts w:ascii="Times New Roman" w:hAnsi="Times New Roman" w:cs="Times New Roman"/>
          <w:sz w:val="24"/>
          <w:szCs w:val="24"/>
        </w:rPr>
        <w:t>Najarian</w:t>
      </w:r>
      <w:proofErr w:type="spellEnd"/>
      <w:r w:rsidRPr="00E24EFE">
        <w:rPr>
          <w:rFonts w:ascii="Times New Roman" w:hAnsi="Times New Roman" w:cs="Times New Roman"/>
          <w:sz w:val="24"/>
          <w:szCs w:val="24"/>
        </w:rPr>
        <w:t xml:space="preserve">, K., &amp; </w:t>
      </w:r>
      <w:proofErr w:type="spellStart"/>
      <w:r w:rsidRPr="00E24EFE">
        <w:rPr>
          <w:rFonts w:ascii="Times New Roman" w:hAnsi="Times New Roman" w:cs="Times New Roman"/>
          <w:sz w:val="24"/>
          <w:szCs w:val="24"/>
        </w:rPr>
        <w:t>Kahrobaei</w:t>
      </w:r>
      <w:proofErr w:type="spellEnd"/>
      <w:r w:rsidRPr="00E24EFE">
        <w:rPr>
          <w:rFonts w:ascii="Times New Roman" w:hAnsi="Times New Roman" w:cs="Times New Roman"/>
          <w:sz w:val="24"/>
          <w:szCs w:val="24"/>
        </w:rPr>
        <w:t xml:space="preserve">, D. (2020). Homomorphic Encryption for Machine Learning in Medicine and Bioinformatics. </w:t>
      </w:r>
      <w:r w:rsidRPr="00E24EFE">
        <w:rPr>
          <w:rFonts w:ascii="Times New Roman" w:hAnsi="Times New Roman" w:cs="Times New Roman"/>
          <w:i/>
          <w:iCs/>
          <w:sz w:val="24"/>
          <w:szCs w:val="24"/>
        </w:rPr>
        <w:t>ACM Computing Surveys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53</w:t>
      </w:r>
      <w:r w:rsidRPr="00E24EFE">
        <w:rPr>
          <w:rFonts w:ascii="Times New Roman" w:hAnsi="Times New Roman" w:cs="Times New Roman"/>
          <w:sz w:val="24"/>
          <w:szCs w:val="24"/>
        </w:rPr>
        <w:t>(4), 1–35. https://doi.org/10.1145/3394658</w:t>
      </w:r>
    </w:p>
    <w:p w14:paraId="0712C32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Xu, R., Baracaldo, N., &amp; Joshi, J. (2021). </w:t>
      </w:r>
      <w:r w:rsidRPr="00E24EFE">
        <w:rPr>
          <w:rFonts w:ascii="Times New Roman" w:hAnsi="Times New Roman" w:cs="Times New Roman"/>
          <w:i/>
          <w:iCs/>
          <w:sz w:val="24"/>
          <w:szCs w:val="24"/>
        </w:rPr>
        <w:t>Privacy-Preserving Machine Learning: Methods, Challenges and Directions</w:t>
      </w:r>
      <w:r w:rsidRPr="00E24EFE">
        <w:rPr>
          <w:rFonts w:ascii="Times New Roman" w:hAnsi="Times New Roman" w:cs="Times New Roman"/>
          <w:sz w:val="24"/>
          <w:szCs w:val="24"/>
        </w:rPr>
        <w:t>. https://doi.org/10.48550/arxiv.2108.04417</w:t>
      </w:r>
    </w:p>
    <w:p w14:paraId="75D53BC1"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Yedukondalu</w:t>
      </w:r>
      <w:proofErr w:type="spellEnd"/>
      <w:r w:rsidRPr="00E24EFE">
        <w:rPr>
          <w:rFonts w:ascii="Times New Roman" w:hAnsi="Times New Roman" w:cs="Times New Roman"/>
          <w:sz w:val="24"/>
          <w:szCs w:val="24"/>
        </w:rPr>
        <w:t xml:space="preserve">, G., </w:t>
      </w:r>
      <w:proofErr w:type="spellStart"/>
      <w:r w:rsidRPr="00E24EFE">
        <w:rPr>
          <w:rFonts w:ascii="Times New Roman" w:hAnsi="Times New Roman" w:cs="Times New Roman"/>
          <w:sz w:val="24"/>
          <w:szCs w:val="24"/>
        </w:rPr>
        <w:t>Seshagiri</w:t>
      </w:r>
      <w:proofErr w:type="spellEnd"/>
      <w:r w:rsidRPr="00E24EFE">
        <w:rPr>
          <w:rFonts w:ascii="Times New Roman" w:hAnsi="Times New Roman" w:cs="Times New Roman"/>
          <w:sz w:val="24"/>
          <w:szCs w:val="24"/>
        </w:rPr>
        <w:t xml:space="preserve"> Rao, C. R., &amp; </w:t>
      </w:r>
      <w:proofErr w:type="spellStart"/>
      <w:r w:rsidRPr="00E24EFE">
        <w:rPr>
          <w:rFonts w:ascii="Times New Roman" w:hAnsi="Times New Roman" w:cs="Times New Roman"/>
          <w:sz w:val="24"/>
          <w:szCs w:val="24"/>
        </w:rPr>
        <w:t>Dugyala</w:t>
      </w:r>
      <w:proofErr w:type="spellEnd"/>
      <w:r w:rsidRPr="00E24EFE">
        <w:rPr>
          <w:rFonts w:ascii="Times New Roman" w:hAnsi="Times New Roman" w:cs="Times New Roman"/>
          <w:sz w:val="24"/>
          <w:szCs w:val="24"/>
        </w:rPr>
        <w:t xml:space="preserve">, R. (2022). A Novel Framework for Trustworthy Privacy Preserving Machine Learning Model for Industrial IoT Systems Using Blockchain Techniques. </w:t>
      </w:r>
      <w:r w:rsidRPr="00E24EFE">
        <w:rPr>
          <w:rFonts w:ascii="Times New Roman" w:hAnsi="Times New Roman" w:cs="Times New Roman"/>
          <w:i/>
          <w:iCs/>
          <w:sz w:val="24"/>
          <w:szCs w:val="24"/>
        </w:rPr>
        <w:t>International Journal of Scientific Research in Science and Technology</w:t>
      </w:r>
      <w:r w:rsidRPr="00E24EFE">
        <w:rPr>
          <w:rFonts w:ascii="Times New Roman" w:hAnsi="Times New Roman" w:cs="Times New Roman"/>
          <w:sz w:val="24"/>
          <w:szCs w:val="24"/>
        </w:rPr>
        <w:t>, 611–618. https://doi.org/10.32628/ijsrst229498</w:t>
      </w:r>
    </w:p>
    <w:p w14:paraId="084BB231" w14:textId="77777777" w:rsidR="00A905E7" w:rsidRPr="00A905E7" w:rsidRDefault="00A905E7" w:rsidP="00A905E7">
      <w:pPr>
        <w:spacing w:line="360" w:lineRule="auto"/>
        <w:jc w:val="both"/>
        <w:rPr>
          <w:rFonts w:ascii="Times New Roman" w:hAnsi="Times New Roman" w:cs="Times New Roman"/>
          <w:sz w:val="24"/>
          <w:szCs w:val="24"/>
        </w:rPr>
      </w:pPr>
    </w:p>
    <w:p w14:paraId="5AFFAF48" w14:textId="77777777" w:rsidR="00A905E7" w:rsidRPr="00A905E7" w:rsidRDefault="00A905E7" w:rsidP="00A905E7">
      <w:pPr>
        <w:spacing w:line="360" w:lineRule="auto"/>
        <w:jc w:val="both"/>
        <w:rPr>
          <w:rFonts w:ascii="Times New Roman" w:hAnsi="Times New Roman" w:cs="Times New Roman"/>
          <w:sz w:val="24"/>
          <w:szCs w:val="24"/>
        </w:rPr>
      </w:pPr>
    </w:p>
    <w:p w14:paraId="1DF440D0" w14:textId="77777777" w:rsidR="00A905E7" w:rsidRPr="00A905E7" w:rsidRDefault="00A905E7" w:rsidP="00A905E7">
      <w:pPr>
        <w:spacing w:line="360" w:lineRule="auto"/>
        <w:jc w:val="both"/>
        <w:rPr>
          <w:rFonts w:ascii="Times New Roman" w:hAnsi="Times New Roman" w:cs="Times New Roman"/>
          <w:sz w:val="24"/>
          <w:szCs w:val="24"/>
        </w:rPr>
      </w:pPr>
    </w:p>
    <w:p w14:paraId="0DCBAC6E" w14:textId="77777777" w:rsidR="00A905E7" w:rsidRPr="00A905E7" w:rsidRDefault="00A905E7" w:rsidP="00A905E7">
      <w:pPr>
        <w:spacing w:line="360" w:lineRule="auto"/>
        <w:jc w:val="both"/>
        <w:rPr>
          <w:rFonts w:ascii="Times New Roman" w:hAnsi="Times New Roman" w:cs="Times New Roman"/>
          <w:sz w:val="24"/>
          <w:szCs w:val="24"/>
        </w:rPr>
      </w:pPr>
    </w:p>
    <w:sectPr w:rsidR="00A905E7" w:rsidRPr="00A905E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34E3F" w14:textId="77777777" w:rsidR="004E61C0" w:rsidRDefault="004E61C0" w:rsidP="004749B3">
      <w:pPr>
        <w:spacing w:after="0" w:line="240" w:lineRule="auto"/>
      </w:pPr>
      <w:r>
        <w:separator/>
      </w:r>
    </w:p>
  </w:endnote>
  <w:endnote w:type="continuationSeparator" w:id="0">
    <w:p w14:paraId="1271613A" w14:textId="77777777" w:rsidR="004E61C0" w:rsidRDefault="004E61C0" w:rsidP="0047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enorite">
    <w:altName w:val="Calibri"/>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B617F" w14:textId="77777777" w:rsidR="004749B3" w:rsidRDefault="00474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EB22" w14:textId="77777777" w:rsidR="004749B3" w:rsidRDefault="0047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0604" w14:textId="77777777" w:rsidR="004749B3" w:rsidRDefault="0047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0014D" w14:textId="77777777" w:rsidR="004E61C0" w:rsidRDefault="004E61C0" w:rsidP="004749B3">
      <w:pPr>
        <w:spacing w:after="0" w:line="240" w:lineRule="auto"/>
      </w:pPr>
      <w:r>
        <w:separator/>
      </w:r>
    </w:p>
  </w:footnote>
  <w:footnote w:type="continuationSeparator" w:id="0">
    <w:p w14:paraId="5C339E23" w14:textId="77777777" w:rsidR="004E61C0" w:rsidRDefault="004E61C0" w:rsidP="0047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E815" w14:textId="3B3AE510" w:rsidR="004749B3" w:rsidRDefault="004749B3">
    <w:pPr>
      <w:pStyle w:val="Header"/>
    </w:pPr>
    <w:r>
      <w:rPr>
        <w:noProof/>
      </w:rPr>
      <w:pict w14:anchorId="0B439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52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17BF" w14:textId="2DC9039B" w:rsidR="004749B3" w:rsidRDefault="004749B3">
    <w:pPr>
      <w:pStyle w:val="Header"/>
    </w:pPr>
    <w:r>
      <w:rPr>
        <w:noProof/>
      </w:rPr>
      <w:pict w14:anchorId="72792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52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4BC2" w14:textId="500DE3BE" w:rsidR="004749B3" w:rsidRDefault="004749B3">
    <w:pPr>
      <w:pStyle w:val="Header"/>
    </w:pPr>
    <w:r>
      <w:rPr>
        <w:noProof/>
      </w:rPr>
      <w:pict w14:anchorId="32B11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52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F75BE"/>
    <w:multiLevelType w:val="hybridMultilevel"/>
    <w:tmpl w:val="B09268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BE"/>
    <w:rsid w:val="00042963"/>
    <w:rsid w:val="000A7EA2"/>
    <w:rsid w:val="001A181D"/>
    <w:rsid w:val="00201561"/>
    <w:rsid w:val="00203FFA"/>
    <w:rsid w:val="0037424C"/>
    <w:rsid w:val="003C29D7"/>
    <w:rsid w:val="003F5554"/>
    <w:rsid w:val="004749B3"/>
    <w:rsid w:val="00495057"/>
    <w:rsid w:val="004C2B8E"/>
    <w:rsid w:val="004C6CBE"/>
    <w:rsid w:val="004D6231"/>
    <w:rsid w:val="004E61C0"/>
    <w:rsid w:val="0050607E"/>
    <w:rsid w:val="005B6018"/>
    <w:rsid w:val="00667BC0"/>
    <w:rsid w:val="006E16BA"/>
    <w:rsid w:val="00756813"/>
    <w:rsid w:val="007873BF"/>
    <w:rsid w:val="00990CC9"/>
    <w:rsid w:val="00A905E7"/>
    <w:rsid w:val="00AF3BEF"/>
    <w:rsid w:val="00B02B06"/>
    <w:rsid w:val="00B429C0"/>
    <w:rsid w:val="00B832D9"/>
    <w:rsid w:val="00B83E10"/>
    <w:rsid w:val="00BA36A1"/>
    <w:rsid w:val="00BB3BC6"/>
    <w:rsid w:val="00BC64ED"/>
    <w:rsid w:val="00C01E3D"/>
    <w:rsid w:val="00C974A0"/>
    <w:rsid w:val="00CB0C5E"/>
    <w:rsid w:val="00CB1647"/>
    <w:rsid w:val="00CC39C9"/>
    <w:rsid w:val="00D24670"/>
    <w:rsid w:val="00D75459"/>
    <w:rsid w:val="00DF7DDC"/>
    <w:rsid w:val="00E2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9AE911"/>
  <w15:chartTrackingRefBased/>
  <w15:docId w15:val="{F09ACF47-B17A-4CA0-9841-3BD1CBF3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EF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C6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CBE"/>
    <w:rPr>
      <w:rFonts w:eastAsiaTheme="majorEastAsia" w:cstheme="majorBidi"/>
      <w:color w:val="272727" w:themeColor="text1" w:themeTint="D8"/>
    </w:rPr>
  </w:style>
  <w:style w:type="paragraph" w:styleId="Title">
    <w:name w:val="Title"/>
    <w:basedOn w:val="Normal"/>
    <w:next w:val="Normal"/>
    <w:link w:val="TitleChar"/>
    <w:uiPriority w:val="10"/>
    <w:qFormat/>
    <w:rsid w:val="004C6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CBE"/>
    <w:pPr>
      <w:spacing w:before="160"/>
      <w:jc w:val="center"/>
    </w:pPr>
    <w:rPr>
      <w:i/>
      <w:iCs/>
      <w:color w:val="404040" w:themeColor="text1" w:themeTint="BF"/>
    </w:rPr>
  </w:style>
  <w:style w:type="character" w:customStyle="1" w:styleId="QuoteChar">
    <w:name w:val="Quote Char"/>
    <w:basedOn w:val="DefaultParagraphFont"/>
    <w:link w:val="Quote"/>
    <w:uiPriority w:val="29"/>
    <w:rsid w:val="004C6CBE"/>
    <w:rPr>
      <w:i/>
      <w:iCs/>
      <w:color w:val="404040" w:themeColor="text1" w:themeTint="BF"/>
    </w:rPr>
  </w:style>
  <w:style w:type="paragraph" w:styleId="ListParagraph">
    <w:name w:val="List Paragraph"/>
    <w:basedOn w:val="Normal"/>
    <w:uiPriority w:val="34"/>
    <w:qFormat/>
    <w:rsid w:val="004C6CBE"/>
    <w:pPr>
      <w:ind w:left="720"/>
      <w:contextualSpacing/>
    </w:pPr>
  </w:style>
  <w:style w:type="character" w:styleId="IntenseEmphasis">
    <w:name w:val="Intense Emphasis"/>
    <w:basedOn w:val="DefaultParagraphFont"/>
    <w:uiPriority w:val="21"/>
    <w:qFormat/>
    <w:rsid w:val="004C6CBE"/>
    <w:rPr>
      <w:i/>
      <w:iCs/>
      <w:color w:val="0F4761" w:themeColor="accent1" w:themeShade="BF"/>
    </w:rPr>
  </w:style>
  <w:style w:type="paragraph" w:styleId="IntenseQuote">
    <w:name w:val="Intense Quote"/>
    <w:basedOn w:val="Normal"/>
    <w:next w:val="Normal"/>
    <w:link w:val="IntenseQuoteChar"/>
    <w:uiPriority w:val="30"/>
    <w:qFormat/>
    <w:rsid w:val="004C6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CBE"/>
    <w:rPr>
      <w:i/>
      <w:iCs/>
      <w:color w:val="0F4761" w:themeColor="accent1" w:themeShade="BF"/>
    </w:rPr>
  </w:style>
  <w:style w:type="character" w:styleId="IntenseReference">
    <w:name w:val="Intense Reference"/>
    <w:basedOn w:val="DefaultParagraphFont"/>
    <w:uiPriority w:val="32"/>
    <w:qFormat/>
    <w:rsid w:val="004C6CBE"/>
    <w:rPr>
      <w:b/>
      <w:bCs/>
      <w:smallCaps/>
      <w:color w:val="0F4761" w:themeColor="accent1" w:themeShade="BF"/>
      <w:spacing w:val="5"/>
    </w:rPr>
  </w:style>
  <w:style w:type="character" w:styleId="Hyperlink">
    <w:name w:val="Hyperlink"/>
    <w:basedOn w:val="DefaultParagraphFont"/>
    <w:uiPriority w:val="99"/>
    <w:unhideWhenUsed/>
    <w:rsid w:val="00A905E7"/>
    <w:rPr>
      <w:color w:val="467886" w:themeColor="hyperlink"/>
      <w:u w:val="single"/>
    </w:rPr>
  </w:style>
  <w:style w:type="paragraph" w:styleId="NoSpacing">
    <w:name w:val="No Spacing"/>
    <w:uiPriority w:val="1"/>
    <w:qFormat/>
    <w:rsid w:val="00D24670"/>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CC39C9"/>
    <w:rPr>
      <w:color w:val="605E5C"/>
      <w:shd w:val="clear" w:color="auto" w:fill="E1DFDD"/>
    </w:rPr>
  </w:style>
  <w:style w:type="paragraph" w:styleId="Header">
    <w:name w:val="header"/>
    <w:basedOn w:val="Normal"/>
    <w:link w:val="HeaderChar"/>
    <w:uiPriority w:val="99"/>
    <w:unhideWhenUsed/>
    <w:rsid w:val="00474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3"/>
    <w:rPr>
      <w:kern w:val="0"/>
      <w:sz w:val="22"/>
      <w:szCs w:val="22"/>
      <w14:ligatures w14:val="none"/>
    </w:rPr>
  </w:style>
  <w:style w:type="paragraph" w:styleId="Footer">
    <w:name w:val="footer"/>
    <w:basedOn w:val="Normal"/>
    <w:link w:val="FooterChar"/>
    <w:uiPriority w:val="99"/>
    <w:unhideWhenUsed/>
    <w:rsid w:val="00474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9734/acri/2025/v25i10155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9734/ajrcos/2025/v18i563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rid/2024/v15i13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6980</Words>
  <Characters>39791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10</cp:revision>
  <dcterms:created xsi:type="dcterms:W3CDTF">2025-10-14T00:35:00Z</dcterms:created>
  <dcterms:modified xsi:type="dcterms:W3CDTF">2025-10-15T06:47:00Z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5094c93d-e607-48ef-a583-4dfecf485200</vt:lpwstr>
  </property>
</Properties>
</file>