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FABF3" w14:textId="77777777" w:rsidR="00787A77" w:rsidRDefault="0019335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 Novel AI-Driven Homomorphic Encryption Framework for Secure Real-Time Telehealth Data Analysis</w:t>
      </w:r>
    </w:p>
    <w:p w14:paraId="1684454C" w14:textId="77777777" w:rsidR="00787A77" w:rsidRDefault="00787A77">
      <w:pPr>
        <w:spacing w:line="360" w:lineRule="auto"/>
        <w:jc w:val="both"/>
        <w:rPr>
          <w:rFonts w:ascii="Times New Roman" w:eastAsia="Times New Roman" w:hAnsi="Times New Roman" w:cs="Times New Roman"/>
          <w:b/>
          <w:sz w:val="24"/>
          <w:szCs w:val="24"/>
        </w:rPr>
      </w:pPr>
    </w:p>
    <w:p w14:paraId="6B633B0A" w14:textId="77777777" w:rsidR="00787A77" w:rsidRDefault="00193355">
      <w:pPr>
        <w:spacing w:line="360" w:lineRule="auto"/>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Abstract</w:t>
      </w:r>
    </w:p>
    <w:p w14:paraId="58DCE4F2" w14:textId="77777777" w:rsidR="00787A77" w:rsidRDefault="0019335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research developed and validated an AI-driven homomorphic encryption framework for secure real-time telehealth data analysis, addressing critical privacy challenges in medical IoT systems. The study focused on designing a proactive threat intelligence system, creating a predictive analytics framework, and guiding secure implementation. The literature reviewed existing cryptographic solutions, identifying gaps in scalability and real-time processing. The methodology outlined a quantitative experimental design, utilizing synthetic datasets mimicking telehealth scenarios, hybrid CKKS-BFV schemes, and neural network optimization for parameter tuning. Implementation leveraged Python with SEAL and TensorFlow, testing across computational, security, and compliance metrics. The results, demonstrating 23.7% overhead reduction, sub-535 </w:t>
      </w:r>
      <w:proofErr w:type="spellStart"/>
      <w:r>
        <w:rPr>
          <w:rFonts w:ascii="Times New Roman" w:eastAsia="Times New Roman" w:hAnsi="Times New Roman" w:cs="Times New Roman"/>
          <w:i/>
          <w:sz w:val="24"/>
          <w:szCs w:val="24"/>
        </w:rPr>
        <w:t>ms</w:t>
      </w:r>
      <w:proofErr w:type="spellEnd"/>
      <w:r>
        <w:rPr>
          <w:rFonts w:ascii="Times New Roman" w:eastAsia="Times New Roman" w:hAnsi="Times New Roman" w:cs="Times New Roman"/>
          <w:i/>
          <w:sz w:val="24"/>
          <w:szCs w:val="24"/>
        </w:rPr>
        <w:t xml:space="preserve"> latencies for 5,000 records/sec, and 96.9% HIPAA compliance, with attack success rates below 6%. Synthetic data achieved 99.3% quality, ensuring robust testing, while statistical significance (p&lt;0.001) confirmed superior performance over AES-256 and </w:t>
      </w:r>
      <w:proofErr w:type="spellStart"/>
      <w:r>
        <w:rPr>
          <w:rFonts w:ascii="Times New Roman" w:eastAsia="Times New Roman" w:hAnsi="Times New Roman" w:cs="Times New Roman"/>
          <w:i/>
          <w:sz w:val="24"/>
          <w:szCs w:val="24"/>
        </w:rPr>
        <w:t>Paillier</w:t>
      </w:r>
      <w:proofErr w:type="spellEnd"/>
      <w:r>
        <w:rPr>
          <w:rFonts w:ascii="Times New Roman" w:eastAsia="Times New Roman" w:hAnsi="Times New Roman" w:cs="Times New Roman"/>
          <w:i/>
          <w:sz w:val="24"/>
          <w:szCs w:val="24"/>
        </w:rPr>
        <w:t>. The hybrid approach outperformed single schemes by 18.4%, supporting scalable, accurate analytics. Limitations included synthetic data constraints and home-based testing, necessitating real-world validation. The research concluded that the framework effectively secures telehealth data, enhancing clinical decision-making. Recommendations include real-world dataset development, explainable AI integration, clinical deployments, standardized metrics, and adaptive algorithms for emerging threats. This framework advances secure telehealth, offering a scalable, privacy-preserving solution for modern healthcare analytics.</w:t>
      </w:r>
    </w:p>
    <w:p w14:paraId="2D47EA90"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 Homomorphic Encryption, Telehealth Security, AI Optimization, Medical IoT, Privacy-Preserving Analytics</w:t>
      </w:r>
    </w:p>
    <w:p w14:paraId="3AFE5733" w14:textId="77777777" w:rsidR="00787A77" w:rsidRDefault="00787A77">
      <w:pPr>
        <w:spacing w:line="360" w:lineRule="auto"/>
        <w:jc w:val="both"/>
        <w:rPr>
          <w:rFonts w:ascii="Times New Roman" w:eastAsia="Times New Roman" w:hAnsi="Times New Roman" w:cs="Times New Roman"/>
          <w:b/>
          <w:sz w:val="24"/>
          <w:szCs w:val="24"/>
        </w:rPr>
      </w:pPr>
    </w:p>
    <w:p w14:paraId="4A6424E8" w14:textId="77777777" w:rsidR="00787A77" w:rsidRDefault="00787A77">
      <w:pPr>
        <w:spacing w:line="360" w:lineRule="auto"/>
        <w:jc w:val="both"/>
        <w:rPr>
          <w:rFonts w:ascii="Times New Roman" w:eastAsia="Times New Roman" w:hAnsi="Times New Roman" w:cs="Times New Roman"/>
          <w:b/>
          <w:sz w:val="24"/>
          <w:szCs w:val="24"/>
        </w:rPr>
      </w:pPr>
    </w:p>
    <w:p w14:paraId="7EE8A8E7" w14:textId="77777777" w:rsidR="00787A77" w:rsidRDefault="00787A77">
      <w:pPr>
        <w:spacing w:line="360" w:lineRule="auto"/>
        <w:jc w:val="both"/>
        <w:rPr>
          <w:rFonts w:ascii="Times New Roman" w:eastAsia="Times New Roman" w:hAnsi="Times New Roman" w:cs="Times New Roman"/>
          <w:b/>
          <w:sz w:val="24"/>
          <w:szCs w:val="24"/>
        </w:rPr>
      </w:pPr>
    </w:p>
    <w:p w14:paraId="3EA490D7"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rPr>
        <w:tab/>
        <w:t>Introduction</w:t>
      </w:r>
    </w:p>
    <w:p w14:paraId="4A5569B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digital transformation of healthcare has revolutionized the collection, processing, and analysis of medical data, offering immense potential for enhancing patient care while simultaneously intensifying concerns over privacy and security. The surge in telehealth services, particularly evident during the COVID-19 pandemic, saw a very high increase in providers in the United States from 2019 to 2020, generating vast quantities of sensitive patient information that demands robust protection to enable effective analysis without compromising confidentiality (Kaiser, 2025; Page et al., 2014). This evolution has been propelled by the integration of artificial intelligence (AI) and machine learning (ML), which facilitate pattern recognition, outcome prediction, and clinical decision-making with remarkable precision and efficiency (</w:t>
      </w:r>
      <w:proofErr w:type="spellStart"/>
      <w:r>
        <w:rPr>
          <w:rFonts w:ascii="Times New Roman" w:eastAsia="Times New Roman" w:hAnsi="Times New Roman" w:cs="Times New Roman"/>
          <w:sz w:val="24"/>
          <w:szCs w:val="24"/>
        </w:rPr>
        <w:t>Alowais</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Vayena</w:t>
      </w:r>
      <w:proofErr w:type="spellEnd"/>
      <w:r>
        <w:rPr>
          <w:rFonts w:ascii="Times New Roman" w:eastAsia="Times New Roman" w:hAnsi="Times New Roman" w:cs="Times New Roman"/>
          <w:sz w:val="24"/>
          <w:szCs w:val="24"/>
        </w:rPr>
        <w:t xml:space="preserve"> et al., 2022). However, these advancements expose vulnerabilities, as healthcare data constitutes about 30% of global data volume, making it a prime target for cyberattacks, with over 40 million U.S. patient records breached annually due to inadequate safeguards (Munjal &amp; Bhatia, 2022; Scheibner et al., 2022). Traditional encryption methods, which necessitate decryption prior to computation, create exposure windows that undermine data integrity in collaborative environments, highlighting the need for innovative solutions that preserve privacy throughout the data lifecycle (Price, 2023; Ara et al., 2017).</w:t>
      </w:r>
    </w:p>
    <w:p w14:paraId="49C64523"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Homomorphic encryption (HE) stands out as a groundbreaking cryptographic technique that permits computations on encrypted data without decryption, effectively bridging the gap between data utility and privacy in healthcare settings (Munjal &amp; Bhatia, 2022; Kim &amp; Lauter, 2015). By enabling secure analysis of sensitive information, HE addresses the challenges posed by real-time telehealth applications, such as remote patient monitoring and emergency responses, where immediate feedback is crucial without sacrificing speed or accuracy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2015). AI-driven optimizations further enhance HE's applicability, allowing for adaptive encryption strategies tailored to diverse data types, including electronic health records, physiological streams, and medical imaging (</w:t>
      </w:r>
      <w:proofErr w:type="spellStart"/>
      <w:r>
        <w:rPr>
          <w:rFonts w:ascii="Times New Roman" w:eastAsia="Times New Roman" w:hAnsi="Times New Roman" w:cs="Times New Roman"/>
          <w:sz w:val="24"/>
          <w:szCs w:val="24"/>
        </w:rPr>
        <w:t>Carpov</w:t>
      </w:r>
      <w:proofErr w:type="spellEnd"/>
      <w:r>
        <w:rPr>
          <w:rFonts w:ascii="Times New Roman" w:eastAsia="Times New Roman" w:hAnsi="Times New Roman" w:cs="Times New Roman"/>
          <w:sz w:val="24"/>
          <w:szCs w:val="24"/>
        </w:rPr>
        <w:t xml:space="preserve"> et al., 2020). Despite these promises, current telehealth security frameworks remain fragmented, often relying on outdated protocols that fail to ensure end-to-end protection, leading to compliance issues with regulations like HIPAA and increased risks in distributed networks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Djatmiko</w:t>
      </w:r>
      <w:proofErr w:type="spellEnd"/>
      <w:r>
        <w:rPr>
          <w:rFonts w:ascii="Times New Roman" w:eastAsia="Times New Roman" w:hAnsi="Times New Roman" w:cs="Times New Roman"/>
          <w:b/>
          <w:sz w:val="24"/>
          <w:szCs w:val="24"/>
        </w:rPr>
        <w:t xml:space="preserve"> et al., 2014).</w:t>
      </w:r>
      <w:r>
        <w:rPr>
          <w:rFonts w:ascii="Times New Roman" w:eastAsia="Times New Roman" w:hAnsi="Times New Roman" w:cs="Times New Roman"/>
          <w:sz w:val="24"/>
          <w:szCs w:val="24"/>
        </w:rPr>
        <w:t xml:space="preserve"> The rapid adoption of telehealth has outpaced security innovations, exacerbating vulnerabilities in home-based and remote delivery </w:t>
      </w:r>
      <w:r>
        <w:rPr>
          <w:rFonts w:ascii="Times New Roman" w:eastAsia="Times New Roman" w:hAnsi="Times New Roman" w:cs="Times New Roman"/>
          <w:sz w:val="24"/>
          <w:szCs w:val="24"/>
        </w:rPr>
        <w:lastRenderedPageBreak/>
        <w:t>systems, where practitioners face operational hurdles in maintaining privacy amid evolving threats (Khedr &amp; Gulak, 2018; Li et al., 2016).</w:t>
      </w:r>
    </w:p>
    <w:p w14:paraId="56572282"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problem lies in the inherent trade-offs of existing security measures, which compromise analytical capabilities for protection or vice versa, particularly in AI-integrated telehealth ecosystems that require unencrypted data access for training and inference, thereby heightening privacy risks and single points of failure (Sharma, 2023; Kar et al., 2017). Fragmented approaches result in ad-hoc implementations ill-equipped against sophisticated attacks, while the lack of standardized frameworks hinders compliance and efficiency in real-time processing (Wang &amp; Zhang, 2015). Moreover, the centralized storage of sensitive data amplifies breach potentials, as seen in the inadequacies exposed by the pandemic, underscoring the urgency for comprehensive solutions that support collaborative analysis without data exposure (</w:t>
      </w:r>
      <w:proofErr w:type="spellStart"/>
      <w:r>
        <w:rPr>
          <w:rFonts w:ascii="Times New Roman" w:eastAsia="Times New Roman" w:hAnsi="Times New Roman" w:cs="Times New Roman"/>
          <w:sz w:val="24"/>
          <w:szCs w:val="24"/>
        </w:rPr>
        <w:t>Vengadapurvaja</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et al., 2016).</w:t>
      </w:r>
    </w:p>
    <w:p w14:paraId="67D3CA6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HE schemes, particularly fully and somewhat homomorphic variants, optimized for telehealth data streams through AI algorithms for parameter tuning and performance enhancement (Munjal &amp; Bhatia, 2022; Bos et al., 2014). Methodologically, it employs mixed approaches including cryptographic analysis, algorithm development, and simulation-based evaluations using synthetic datasets to assess efficiency, security, and scalability, while comparing against traditional methods (Kim &amp; </w:t>
      </w:r>
      <w:proofErr w:type="spellStart"/>
      <w:r>
        <w:rPr>
          <w:rFonts w:ascii="Times New Roman" w:eastAsia="Times New Roman" w:hAnsi="Times New Roman" w:cs="Times New Roman"/>
          <w:sz w:val="24"/>
          <w:szCs w:val="24"/>
        </w:rPr>
        <w:t>Lauter</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Carpov</w:t>
      </w:r>
      <w:proofErr w:type="spellEnd"/>
      <w:r>
        <w:rPr>
          <w:rFonts w:ascii="Times New Roman" w:eastAsia="Times New Roman" w:hAnsi="Times New Roman" w:cs="Times New Roman"/>
          <w:sz w:val="24"/>
          <w:szCs w:val="24"/>
        </w:rPr>
        <w:t xml:space="preserve"> et al., 2020). Applications target remote healthcare scenarios like chronic disease management and consultations, with emphasis on U.S. regulatory compliance, though international standards are considered (Scheibner et al., 2022; Ara et al., 2017).</w:t>
      </w:r>
    </w:p>
    <w:p w14:paraId="430921A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significance of this work spans theoretical, practical, clinical, technological, and societal realms. Theoretically, it advances cryptographic knowledge by integrating AI to optimize HE for healthcare-specific computations, offering insights into efficiency-privacy trade-offs (Munjal &amp; Bhatia, 2022; </w:t>
      </w:r>
      <w:proofErr w:type="spellStart"/>
      <w:r>
        <w:rPr>
          <w:rFonts w:ascii="Times New Roman" w:eastAsia="Times New Roman" w:hAnsi="Times New Roman" w:cs="Times New Roman"/>
          <w:sz w:val="24"/>
          <w:szCs w:val="24"/>
        </w:rPr>
        <w:t>Djatmiko</w:t>
      </w:r>
      <w:proofErr w:type="spellEnd"/>
      <w:r>
        <w:rPr>
          <w:rFonts w:ascii="Times New Roman" w:eastAsia="Times New Roman" w:hAnsi="Times New Roman" w:cs="Times New Roman"/>
          <w:sz w:val="24"/>
          <w:szCs w:val="24"/>
        </w:rPr>
        <w:t xml:space="preserve"> et al., 2014). Practically, it equips providers with tools for secure telehealth, reducing compliance burdens and enabling real-time analytics in home settings (Kaiser, 2025;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xml:space="preserve"> et al., 2015). Clinically, it fosters data-driven decisions and collaborations, enhancing outcomes in monitoring and research without eroding trust (</w:t>
      </w:r>
      <w:proofErr w:type="spellStart"/>
      <w:r>
        <w:rPr>
          <w:rFonts w:ascii="Times New Roman" w:eastAsia="Times New Roman" w:hAnsi="Times New Roman" w:cs="Times New Roman"/>
          <w:sz w:val="24"/>
          <w:szCs w:val="24"/>
        </w:rPr>
        <w:t>Alowais</w:t>
      </w:r>
      <w:proofErr w:type="spellEnd"/>
      <w:r>
        <w:rPr>
          <w:rFonts w:ascii="Times New Roman" w:eastAsia="Times New Roman" w:hAnsi="Times New Roman" w:cs="Times New Roman"/>
          <w:sz w:val="24"/>
          <w:szCs w:val="24"/>
        </w:rPr>
        <w:t xml:space="preserve"> et al., 2023; Kar et al., 2017). Technologically, it paves the way for privacy-by-design systems extendable beyond healthcare </w:t>
      </w:r>
      <w:r>
        <w:rPr>
          <w:rFonts w:ascii="Times New Roman" w:eastAsia="Times New Roman" w:hAnsi="Times New Roman" w:cs="Times New Roman"/>
          <w:sz w:val="24"/>
          <w:szCs w:val="24"/>
        </w:rPr>
        <w:lastRenderedPageBreak/>
        <w:t>(Khedr &amp; Gulak, 2018). Societally, it promotes equitable access to digital health, bolstering public confidence in technologies that democratize care (</w:t>
      </w:r>
      <w:proofErr w:type="spellStart"/>
      <w:r>
        <w:rPr>
          <w:rFonts w:ascii="Times New Roman" w:eastAsia="Times New Roman" w:hAnsi="Times New Roman" w:cs="Times New Roman"/>
          <w:sz w:val="24"/>
          <w:szCs w:val="24"/>
        </w:rPr>
        <w:t>Vayena</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2015).</w:t>
      </w:r>
    </w:p>
    <w:p w14:paraId="505C885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research is to develop and evaluate a novel AI-driven homomorphic encryption framework that enables secure real-time analysis of telehealth data while maintaining patient privacy and regulatory compliance. The research objectives are: </w:t>
      </w:r>
    </w:p>
    <w:p w14:paraId="08E648F2" w14:textId="77777777" w:rsidR="00787A77" w:rsidRDefault="0019335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design and develop a comprehensive homomorphic encryption framework specifically optimized for real-time telehealth data processing, integrating AI-driven optimizations for scalability and compatibility,</w:t>
      </w:r>
    </w:p>
    <w:p w14:paraId="05892444" w14:textId="77777777" w:rsidR="00787A77" w:rsidRDefault="0019335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evaluate the framework's performance in terms of security, computational efficiency, and data processing accuracy using simulated telehealth datasets through standardized benchmarking, and </w:t>
      </w:r>
    </w:p>
    <w:p w14:paraId="7940E897" w14:textId="77777777" w:rsidR="00787A77" w:rsidRDefault="00193355">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framework's compliance with healthcare privacy regulations and its practical feasibility for implementation in remote healthcare delivery systems, including feasibility analysis of resource requirements and adoption barriers.</w:t>
      </w:r>
    </w:p>
    <w:p w14:paraId="4A27E948" w14:textId="77777777" w:rsidR="00787A77" w:rsidRDefault="00787A77">
      <w:pPr>
        <w:spacing w:line="360" w:lineRule="auto"/>
        <w:jc w:val="both"/>
        <w:rPr>
          <w:rFonts w:ascii="Times New Roman" w:eastAsia="Times New Roman" w:hAnsi="Times New Roman" w:cs="Times New Roman"/>
          <w:sz w:val="24"/>
          <w:szCs w:val="24"/>
        </w:rPr>
      </w:pPr>
    </w:p>
    <w:p w14:paraId="782D55E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Literature Review</w:t>
      </w:r>
    </w:p>
    <w:p w14:paraId="7E449A1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delves into the existing body of knowledge on homomorphic encryption (HE) and its integration with artificial intelligence (AI) in healthcare contexts. The review is structured to trace the theoretical underpinnings, explore AI-driven enhancements, examine empirical applications, and highlight persistent gaps that underscore the novelty of the proposed framework. This synthesis not only contextualizes the evolution of privacy-preserving technologies but also illuminates how current approaches fall short in addressing the dynamic demands of telehealth environments, where real-time processing must coexist with stringent data protection.</w:t>
      </w:r>
    </w:p>
    <w:p w14:paraId="28D7456F"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Foundations of Homomorphic Encryption in Healthcare</w:t>
      </w:r>
    </w:p>
    <w:p w14:paraId="658F834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basis of HE in healthcare stems from cryptographic principles that enable computations on encrypted data without decryption, a concept first formalized by Rivest et al. (1978) and fully realized with Gentry's (2009) breakthrough in fully homomorphic encryption </w:t>
      </w:r>
      <w:r>
        <w:rPr>
          <w:rFonts w:ascii="Times New Roman" w:eastAsia="Times New Roman" w:hAnsi="Times New Roman" w:cs="Times New Roman"/>
          <w:sz w:val="24"/>
          <w:szCs w:val="24"/>
        </w:rPr>
        <w:lastRenderedPageBreak/>
        <w:t xml:space="preserve">(FHE). In healthcare, HE addresses the vulnerability of sensitive patient data during analysis, particularly in telehealth systems where data streams from remote devices require continuous protection. Early theoretical work emphasized partial homomorphic schemes, such as </w:t>
      </w:r>
      <w:proofErr w:type="spellStart"/>
      <w:r>
        <w:rPr>
          <w:rFonts w:ascii="Times New Roman" w:eastAsia="Times New Roman" w:hAnsi="Times New Roman" w:cs="Times New Roman"/>
          <w:sz w:val="24"/>
          <w:szCs w:val="24"/>
        </w:rPr>
        <w:t>Paillier</w:t>
      </w:r>
      <w:proofErr w:type="spellEnd"/>
      <w:r>
        <w:rPr>
          <w:rFonts w:ascii="Times New Roman" w:eastAsia="Times New Roman" w:hAnsi="Times New Roman" w:cs="Times New Roman"/>
          <w:sz w:val="24"/>
          <w:szCs w:val="24"/>
        </w:rPr>
        <w:t xml:space="preserve"> (1999), which support additive operations on encrypted data, proving useful for aggregating health metrics like blood pressure readings without exposing individual values (</w:t>
      </w:r>
      <w:proofErr w:type="spellStart"/>
      <w:r>
        <w:rPr>
          <w:rFonts w:ascii="Times New Roman" w:eastAsia="Times New Roman" w:hAnsi="Times New Roman" w:cs="Times New Roman"/>
          <w:sz w:val="24"/>
          <w:szCs w:val="24"/>
        </w:rPr>
        <w:t>Alabdulatif</w:t>
      </w:r>
      <w:proofErr w:type="spellEnd"/>
      <w:r>
        <w:rPr>
          <w:rFonts w:ascii="Times New Roman" w:eastAsia="Times New Roman" w:hAnsi="Times New Roman" w:cs="Times New Roman"/>
          <w:sz w:val="24"/>
          <w:szCs w:val="24"/>
        </w:rPr>
        <w:t xml:space="preserve"> et al., 2022). Subsequent developments in somewhat homomorphic encryption (SHE) extended capabilities to limited multiplicative operations, laying the groundwork for more complex healthcare analytics (Cheon et al., 2017).</w:t>
      </w:r>
    </w:p>
    <w:p w14:paraId="4DABE70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telehealth-specific applications, theoretical models have evolved to incorporate lattice-based cryptography for post-quantum security, as seen in schemes like CKKS (Cheon-Kim-Kim-Song), which approximate real-number computations essential for physiological signal processing (Al-</w:t>
      </w:r>
      <w:proofErr w:type="spellStart"/>
      <w:r>
        <w:rPr>
          <w:rFonts w:ascii="Times New Roman" w:eastAsia="Times New Roman" w:hAnsi="Times New Roman" w:cs="Times New Roman"/>
          <w:sz w:val="24"/>
          <w:szCs w:val="24"/>
        </w:rPr>
        <w:t>Hazaimeh</w:t>
      </w:r>
      <w:proofErr w:type="spellEnd"/>
      <w:r>
        <w:rPr>
          <w:rFonts w:ascii="Times New Roman" w:eastAsia="Times New Roman" w:hAnsi="Times New Roman" w:cs="Times New Roman"/>
          <w:sz w:val="24"/>
          <w:szCs w:val="24"/>
        </w:rPr>
        <w:t xml:space="preserve"> et al., 2023). These foundations highlight HE's potential to maintain data confidentiality throughout the processing pipeline, aligning with regulatory frameworks like HIPAA by minimizing decryption risks. However, theoretical discussions often overlook the computational overhead, where bootstrapping in FHE, a noise-reduction technique can inflate processing times, posing challenges for real-time telehealth scenarios (Alzubi et al., 2024a).</w:t>
      </w:r>
    </w:p>
    <w:p w14:paraId="56C9CB48"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conceptual frameworks integrate HE with blockchain for distributed ledger-based privacy, enhancing theoretical robustness in multi-party telehealth collaborations (Scheibner et al., 2022). Yet, these models primarily focus on static data sets, neglecting the streaming nature of telehealth data, which demands adaptive encryption parameters to balance security and latency.</w:t>
      </w:r>
    </w:p>
    <w:p w14:paraId="168872A8"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 Integration in Privacy-Preserving Data Analysis for Telehealth</w:t>
      </w:r>
    </w:p>
    <w:p w14:paraId="0BA36748"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Advancing from theoretical roots, the integration of AI with HE represents a pivotal shift toward dynamic, optimized privacy-preserving systems in telehealth. AI algorithms, particularly machine learning models, have been employed to automate parameter selection in HE schemes, reducing manual tuning and improving efficiency for real-time applications. For example, neural networks can predict optimal key sizes and noise levels based on data characteristics, as demonstrated in AI-driven optimizations that achieve up to 30% reduction in computational overhead for encrypted medical image analysis (Alzubi et al., 2024b). This synergy allows for federated learning paradigms where AI models train on encrypted telehealth data across distributed nodes, preserving privacy while enabling predictive analytics for conditions like chronic heart disease.</w:t>
      </w:r>
    </w:p>
    <w:p w14:paraId="16BDFD3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Current advances emphasize hybrid AI-HE frameworks, where reinforcement learning refines encryption strategies in response to varying data volumes in telehealth streams (Wood et al., 2021). In one conceptual model, AI agents dynamically adjust homomorphic levels switching between SHE for low-depth operations and FHE for deeper computations to support real-time anomaly detection in patient monitoring data. Empirical integrations, such as those using convolutional neural networks on homomorphically encrypted electrocardiogram signals, have shown promise in maintaining diagnostic accuracy above 95% without data exposure (Froelicher et al., 2021). </w:t>
      </w:r>
    </w:p>
    <w:p w14:paraId="11A8DCF6"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progresses, AI-driven HE in telehealth often grapples with scalability issues, as training AI on encrypted data amplifies resource demands, with studies reporting inference times exceeding 10 seconds for complex models far from real-time requirements (Chatterjee et al., 2023). Moreover, conceptual gaps persist in handling heterogeneous telehealth data types, where AI must adapt to mixed structured and unstructured inputs, such as combining vital signs with video consultations.</w:t>
      </w:r>
    </w:p>
    <w:p w14:paraId="16318E0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Studies and Current Advances</w:t>
      </w:r>
    </w:p>
    <w:p w14:paraId="06217E8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research has validated HE's efficacy in healthcare through numerous case studies, particularly in telehealth data analysis. A landmark study implemented FHE for secure aggregation of remote patient monitoring data, achieving end-to-end encryption in a cohort of 500 patients with minimal accuracy loss in predictive modeling (Jiang et al., 2018). Recent advances extend this to AI-enhanced systems, where deep learning models process encrypted telehealth datasets for disease outbreak forecasting, demonstrating 98% precision in simulated pandemics while complying with GDPR (</w:t>
      </w:r>
      <w:proofErr w:type="spellStart"/>
      <w:r>
        <w:rPr>
          <w:rFonts w:ascii="Times New Roman" w:eastAsia="Times New Roman" w:hAnsi="Times New Roman" w:cs="Times New Roman"/>
          <w:sz w:val="24"/>
          <w:szCs w:val="24"/>
        </w:rPr>
        <w:t>Podschwadt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Takabi</w:t>
      </w:r>
      <w:proofErr w:type="spellEnd"/>
      <w:r>
        <w:rPr>
          <w:rFonts w:ascii="Times New Roman" w:eastAsia="Times New Roman" w:hAnsi="Times New Roman" w:cs="Times New Roman"/>
          <w:sz w:val="24"/>
          <w:szCs w:val="24"/>
        </w:rPr>
        <w:t>, 2020).</w:t>
      </w:r>
    </w:p>
    <w:p w14:paraId="4DFFC36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real-world deployments, blockchain-augmented HE has been tested in telehealth platforms, enabling secure multi-institutional data sharing for AI-driven diagnostics, with one trial reducing breach incidents by 40% (Alzubi et al., 2024a). Advances in hardware acceleration, such as GPU-based HE implementations, have cut processing latencies to under 1 second for basic operations, facilitating real-time feedback in emergency telehealth consultations (Badawi et al., 2020). </w:t>
      </w:r>
    </w:p>
    <w:p w14:paraId="67F92A4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literature also explores hybrid empirical approaches, combining HE with differential privacy to mitigate inference attacks in AI-telehealth systems, yielding robust defenses against adversarial threats in pilot studies (Truex et al., 2019). These advances affirm HE's role in </w:t>
      </w:r>
      <w:r>
        <w:rPr>
          <w:rFonts w:ascii="Times New Roman" w:eastAsia="Times New Roman" w:hAnsi="Times New Roman" w:cs="Times New Roman"/>
          <w:sz w:val="24"/>
          <w:szCs w:val="24"/>
        </w:rPr>
        <w:lastRenderedPageBreak/>
        <w:t>empowering AI for telehealth, yet empirical gaps emerge in longitudinal studies, where long-term data integrity under continuous encryption remains underexplored.</w:t>
      </w:r>
    </w:p>
    <w:p w14:paraId="5CD6CA8A"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Gaps and Research Opportunities</w:t>
      </w:r>
    </w:p>
    <w:p w14:paraId="3725028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literature demonstrates substantial progress, significant gaps hinder the full realization of AI-driven HE for secure real-time telehealth analysis. Theoretically, most frameworks assume ideal network conditions, overlooking latency variations in remote telehealth settings, which can degrade HE performance by up to 50% in empirical tests (Alzubi et al., 2024b). Conceptually, the lack of standardized benchmarks for AI-HE integration results in inconsistent evaluations, with studies varying widely in metrics like throughput and energy consumption (Chatterjee et al., 2023). Empirically, real-time applications are underrepresented; for example, few studies address the noise accumulation in streaming data, leading to accuracy drops over extended monitoring periods (Froelicher et al., 2021).</w:t>
      </w:r>
    </w:p>
    <w:p w14:paraId="21DF9CB6"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critical gap lies in regulatory compliance testing, where HE frameworks rarely incorporate dynamic HIPAA audits for AI-adapted encryption, exposing vulnerabilities in collaborative telehealth (Wood et al., 2021). Moreover, current advances neglect resource-constrained devices common in home-based telehealth, where AI optimizations must contend with limited computing power (</w:t>
      </w:r>
      <w:proofErr w:type="spellStart"/>
      <w:r>
        <w:rPr>
          <w:rFonts w:ascii="Times New Roman" w:eastAsia="Times New Roman" w:hAnsi="Times New Roman" w:cs="Times New Roman"/>
          <w:sz w:val="24"/>
          <w:szCs w:val="24"/>
        </w:rPr>
        <w:t>Podschwadt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Takabi</w:t>
      </w:r>
      <w:proofErr w:type="spellEnd"/>
      <w:r>
        <w:rPr>
          <w:rFonts w:ascii="Times New Roman" w:eastAsia="Times New Roman" w:hAnsi="Times New Roman" w:cs="Times New Roman"/>
          <w:sz w:val="24"/>
          <w:szCs w:val="24"/>
        </w:rPr>
        <w:t>, 2020). These shortcomings create opportunities for novel frameworks that embed AI for adaptive, low-latency HE, as proposed in this study, to bridge the divide between theoretical promise and practical deployment.</w:t>
      </w:r>
    </w:p>
    <w:p w14:paraId="1A8BC285" w14:textId="77777777" w:rsidR="00787A77" w:rsidRDefault="00787A77">
      <w:pPr>
        <w:spacing w:line="360" w:lineRule="auto"/>
        <w:rPr>
          <w:b/>
        </w:rPr>
      </w:pPr>
    </w:p>
    <w:p w14:paraId="7EB217F8"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Methodology</w:t>
      </w:r>
    </w:p>
    <w:p w14:paraId="114E7304"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outlines the methodology employed to develop and validate a novel AI-driven homomorphic encryption framework for secure real-time telehealth data analysis. The study adopts a quantitative experimental research design, grounded in a post-positivist paradigm, to empirically measure performance and security metrics while addressing practical constraints in remote telehealth environments. The methodology integrates design science principles, focusing on iterative artifact creation, with experimental computer science strategies to ensure reproducibility and robustness. </w:t>
      </w:r>
    </w:p>
    <w:p w14:paraId="099F25E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 Design</w:t>
      </w:r>
      <w:r>
        <w:rPr>
          <w:rFonts w:ascii="Times New Roman" w:eastAsia="Times New Roman" w:hAnsi="Times New Roman" w:cs="Times New Roman"/>
          <w:sz w:val="24"/>
          <w:szCs w:val="24"/>
        </w:rPr>
        <w:t xml:space="preserve"> </w:t>
      </w:r>
    </w:p>
    <w:p w14:paraId="397E4418"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employs a quantitative experimental research design centered on simulation-based evaluation to develop and validate the AI-driven homomorphic encryption framework. This design emphasizes empirical measurement of performance and security metrics, balancing theoretical cryptographic analysis with practical implementation constraints suitable for remote telehealth environments. A pragmatic approach, rooted in design science methodology, guides the iterative creation of a hybrid homomorphic encryption scheme optimized by artificial intelligence (AI) algorithms. </w:t>
      </w:r>
    </w:p>
    <w:p w14:paraId="3C072E8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Experimental computer science strategies facilitate controlled experiments, ensuring reproducibility through standardized benchmarking and systematic variation of variables such as dataset size (1,000 to 100,000 records) and security levels (128 to 256 bits). The framework’s architecture leverages lattice-based cryptography, combining the Cheon-Kim-Kim-Song (CKKS) scheme for approximate computations on real-valued telehealth data (e.g., physiological signals) and the </w:t>
      </w:r>
      <w:proofErr w:type="spellStart"/>
      <w:r>
        <w:rPr>
          <w:rFonts w:ascii="Times New Roman" w:eastAsia="Times New Roman" w:hAnsi="Times New Roman" w:cs="Times New Roman"/>
          <w:sz w:val="24"/>
          <w:szCs w:val="24"/>
        </w:rPr>
        <w:t>Brakerski</w:t>
      </w:r>
      <w:proofErr w:type="spellEnd"/>
      <w:r>
        <w:rPr>
          <w:rFonts w:ascii="Times New Roman" w:eastAsia="Times New Roman" w:hAnsi="Times New Roman" w:cs="Times New Roman"/>
          <w:sz w:val="24"/>
          <w:szCs w:val="24"/>
        </w:rPr>
        <w:t>-Fan-</w:t>
      </w:r>
      <w:proofErr w:type="spellStart"/>
      <w:r>
        <w:rPr>
          <w:rFonts w:ascii="Times New Roman" w:eastAsia="Times New Roman" w:hAnsi="Times New Roman" w:cs="Times New Roman"/>
          <w:sz w:val="24"/>
          <w:szCs w:val="24"/>
        </w:rPr>
        <w:t>Vercauteren</w:t>
      </w:r>
      <w:proofErr w:type="spellEnd"/>
      <w:r>
        <w:rPr>
          <w:rFonts w:ascii="Times New Roman" w:eastAsia="Times New Roman" w:hAnsi="Times New Roman" w:cs="Times New Roman"/>
          <w:sz w:val="24"/>
          <w:szCs w:val="24"/>
        </w:rPr>
        <w:t xml:space="preserve"> (BFV) scheme for integer operations (e.g., electronic health record counts). AI integration employs neural networks to dynamically optimize encryption parameters, predicting optimal polynomial degrees and moduli based on input data characteristics. This optimization is modeled by the equation:</w:t>
      </w:r>
    </w:p>
    <w:p w14:paraId="7A8FBFE9" w14:textId="77777777" w:rsidR="00787A77" w:rsidRDefault="00F077F8">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θ</m:t>
                  </m:r>
                </m:e>
              </m:acc>
            </m:e>
            <m:sub>
              <m:r>
                <w:rPr>
                  <w:rFonts w:ascii="Cambria Math" w:eastAsia="Cambria Math" w:hAnsi="Cambria Math" w:cs="Cambria Math"/>
                  <w:sz w:val="24"/>
                  <w:szCs w:val="24"/>
                </w:rPr>
                <m:t>opt</m:t>
              </m:r>
            </m:sub>
          </m:sSub>
          <m:r>
            <w:rPr>
              <w:rFonts w:ascii="Cambria Math" w:eastAsia="Cambria Math" w:hAnsi="Cambria Math" w:cs="Cambria Math"/>
              <w:sz w:val="24"/>
              <w:szCs w:val="24"/>
            </w:rPr>
            <m:t>=</m:t>
          </m:r>
          <m:r>
            <w:rPr>
              <w:rFonts w:ascii="Cambria Math" w:eastAsia="Cambria Math" w:hAnsi="Cambria Math" w:cs="Cambria Math"/>
              <w:sz w:val="24"/>
              <w:szCs w:val="24"/>
            </w:rPr>
            <m:t>NN</m:t>
          </m:r>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features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constraints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requirements</m:t>
              </m:r>
            </m:sub>
          </m:sSub>
        </m:oMath>
      </m:oMathPara>
    </w:p>
    <w:p w14:paraId="77C23E8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t>
      </w:r>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θ</m:t>
                </m:r>
              </m:e>
            </m:acc>
          </m:e>
          <m:sub>
            <m:r>
              <w:rPr>
                <w:rFonts w:ascii="Cambria Math" w:eastAsia="Cambria Math" w:hAnsi="Cambria Math" w:cs="Cambria Math"/>
                <w:sz w:val="24"/>
                <w:szCs w:val="24"/>
              </w:rPr>
              <m:t>opt</m:t>
            </m:r>
          </m:sub>
        </m:sSub>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 xml:space="preserve">represents the optimal parameter set,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features</m:t>
            </m:r>
          </m:sub>
        </m:sSub>
      </m:oMath>
      <w:r>
        <w:rPr>
          <w:rFonts w:ascii="Times New Roman" w:eastAsia="Times New Roman" w:hAnsi="Times New Roman" w:cs="Times New Roman"/>
          <w:sz w:val="24"/>
          <w:szCs w:val="24"/>
        </w:rPr>
        <w:t xml:space="preserve"> includes data characteristics like dimensionality,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constraints</m:t>
            </m:r>
          </m:sub>
        </m:sSub>
      </m:oMath>
      <w:r>
        <w:rPr>
          <w:rFonts w:ascii="Times New Roman" w:eastAsia="Times New Roman" w:hAnsi="Times New Roman" w:cs="Times New Roman"/>
          <w:sz w:val="24"/>
          <w:szCs w:val="24"/>
        </w:rPr>
        <w:t xml:space="preserve"> encompasses latency requirements,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requirements</m:t>
            </m:r>
          </m:sub>
        </m:sSub>
      </m:oMath>
      <w:r>
        <w:rPr>
          <w:rFonts w:ascii="Times New Roman" w:eastAsia="Times New Roman" w:hAnsi="Times New Roman" w:cs="Times New Roman"/>
          <w:sz w:val="24"/>
          <w:szCs w:val="24"/>
        </w:rPr>
        <w:t xml:space="preserve"> specifies security needs such as key strength. This approach ensures real-time processing with end-to-end encryption, aligning with telehealth’s need for low-latency analytics without decryption vulnerabilities. The data validation framework is shown in Figure 1.</w:t>
      </w:r>
    </w:p>
    <w:p w14:paraId="71E6E9F5" w14:textId="77777777" w:rsidR="00787A77" w:rsidRDefault="00787A77">
      <w:pPr>
        <w:spacing w:line="360" w:lineRule="auto"/>
        <w:jc w:val="both"/>
        <w:rPr>
          <w:rFonts w:ascii="Times New Roman" w:eastAsia="Times New Roman" w:hAnsi="Times New Roman" w:cs="Times New Roman"/>
          <w:sz w:val="24"/>
          <w:szCs w:val="24"/>
        </w:rPr>
      </w:pPr>
    </w:p>
    <w:p w14:paraId="42AA5F81" w14:textId="77777777" w:rsidR="00787A77" w:rsidRDefault="00787A77">
      <w:pPr>
        <w:spacing w:line="360" w:lineRule="auto"/>
        <w:jc w:val="both"/>
        <w:rPr>
          <w:rFonts w:ascii="Times New Roman" w:eastAsia="Times New Roman" w:hAnsi="Times New Roman" w:cs="Times New Roman"/>
          <w:sz w:val="24"/>
          <w:szCs w:val="24"/>
        </w:rPr>
      </w:pPr>
    </w:p>
    <w:p w14:paraId="1D1EA950" w14:textId="77777777" w:rsidR="00787A77" w:rsidRDefault="00787A77">
      <w:pPr>
        <w:spacing w:line="360" w:lineRule="auto"/>
        <w:jc w:val="both"/>
        <w:rPr>
          <w:rFonts w:ascii="Times New Roman" w:eastAsia="Times New Roman" w:hAnsi="Times New Roman" w:cs="Times New Roman"/>
          <w:sz w:val="24"/>
          <w:szCs w:val="24"/>
        </w:rPr>
      </w:pPr>
    </w:p>
    <w:p w14:paraId="3C52268C" w14:textId="77777777" w:rsidR="00787A77" w:rsidRDefault="00787A77">
      <w:pPr>
        <w:spacing w:line="360" w:lineRule="auto"/>
        <w:jc w:val="both"/>
        <w:rPr>
          <w:rFonts w:ascii="Times New Roman" w:eastAsia="Times New Roman" w:hAnsi="Times New Roman" w:cs="Times New Roman"/>
          <w:sz w:val="24"/>
          <w:szCs w:val="24"/>
        </w:rPr>
      </w:pPr>
    </w:p>
    <w:p w14:paraId="369DA373" w14:textId="4F66E1D3"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Data Validation Framework</w:t>
      </w:r>
    </w:p>
    <w:p w14:paraId="58943D68" w14:textId="734545D7" w:rsidR="00787A77" w:rsidRDefault="001933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br/>
      </w:r>
      <w:r>
        <w:rPr>
          <w:rFonts w:ascii="Times New Roman" w:eastAsia="Times New Roman" w:hAnsi="Times New Roman" w:cs="Times New Roman"/>
          <w:noProof/>
          <w:sz w:val="24"/>
          <w:szCs w:val="24"/>
        </w:rPr>
        <w:drawing>
          <wp:inline distT="0" distB="0" distL="0" distR="0" wp14:anchorId="4B3C8854" wp14:editId="6C46ED08">
            <wp:extent cx="4588611" cy="35257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88611" cy="3525779"/>
                    </a:xfrm>
                    <a:prstGeom prst="rect">
                      <a:avLst/>
                    </a:prstGeom>
                    <a:ln/>
                  </pic:spPr>
                </pic:pic>
              </a:graphicData>
            </a:graphic>
          </wp:inline>
        </w:drawing>
      </w:r>
    </w:p>
    <w:p w14:paraId="4A049553"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Sources and Collection </w:t>
      </w:r>
    </w:p>
    <w:p w14:paraId="2CE1632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privacy and accessibility, the study uses synthetic datasets that mimic real-world telehealth scenarios, avoiding the need for sensitive patient data. These datasets are generated using established protocols and statistical distributions derived from publicly available anonymized sources, including the Centers for Disease Control and Prevention’s National Health and Nutrition Examination Survey (NHANES) for demographic and clinical parameters, Medicare Claims Synthetic Public Use Files (</w:t>
      </w:r>
      <w:proofErr w:type="spellStart"/>
      <w:r>
        <w:rPr>
          <w:rFonts w:ascii="Times New Roman" w:eastAsia="Times New Roman" w:hAnsi="Times New Roman" w:cs="Times New Roman"/>
          <w:sz w:val="24"/>
          <w:szCs w:val="24"/>
        </w:rPr>
        <w:t>SynPUFs</w:t>
      </w:r>
      <w:proofErr w:type="spellEnd"/>
      <w:r>
        <w:rPr>
          <w:rFonts w:ascii="Times New Roman" w:eastAsia="Times New Roman" w:hAnsi="Times New Roman" w:cs="Times New Roman"/>
          <w:sz w:val="24"/>
          <w:szCs w:val="24"/>
        </w:rPr>
        <w:t>) for utilization patterns, MIMIC-III database aggregates for temporal clinical trends, and PhysioNet challenges for physiological signal characteristics. The datasets encompass remote patient monitoring data (e.g., heart rate streams at 1-100 Hz sampling), structured electronic health records with 50-200 attributes, and real-time sensor outputs, spanning volumes from 1,000 to 100,000 records over 30 to 365 days. The generation process incorporates variability parameters matching epidemiological data, such as patient demographics and condition prevalence, with complexity introduced through temporal dependencies and correlation structures reflecting disease progression. Data quality is assured using three (3) metrics such as:</w:t>
      </w:r>
    </w:p>
    <w:p w14:paraId="5DA49186"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Completeness:</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C=</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complex</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total</m:t>
                </m:r>
              </m:sub>
            </m:sSub>
          </m:den>
        </m:f>
        <m:r>
          <w:rPr>
            <w:rFonts w:ascii="Cambria Math" w:eastAsia="Cambria Math" w:hAnsi="Cambria Math" w:cs="Cambria Math"/>
            <w:color w:val="000000"/>
            <w:sz w:val="24"/>
            <w:szCs w:val="24"/>
          </w:rPr>
          <m:t>×100%</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complex</m:t>
            </m:r>
          </m:sub>
        </m:sSub>
      </m:oMath>
      <w:r>
        <w:rPr>
          <w:rFonts w:ascii="Times New Roman" w:eastAsia="Times New Roman" w:hAnsi="Times New Roman" w:cs="Times New Roman"/>
          <w:color w:val="000000"/>
          <w:sz w:val="24"/>
          <w:szCs w:val="24"/>
        </w:rPr>
        <w:t xml:space="preserve"> is the number of complete records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total</m:t>
            </m:r>
          </m:sub>
        </m:sSub>
      </m:oMath>
      <w:r>
        <w:rPr>
          <w:rFonts w:ascii="Times New Roman" w:eastAsia="Times New Roman" w:hAnsi="Times New Roman" w:cs="Times New Roman"/>
          <w:color w:val="000000"/>
          <w:sz w:val="24"/>
          <w:szCs w:val="24"/>
        </w:rPr>
        <w:t xml:space="preserve"> is the total number of records, ensuring dataset integrity</w:t>
      </w:r>
    </w:p>
    <w:p w14:paraId="0D6FA5CA"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Consistency:</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Cons=1-</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inconsistent</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relationships</m:t>
                </m:r>
              </m:sub>
            </m:sSub>
          </m:den>
        </m:f>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inconsistent</m:t>
            </m:r>
          </m:sub>
        </m:sSub>
      </m:oMath>
      <w:r>
        <w:rPr>
          <w:rFonts w:ascii="Times New Roman" w:eastAsia="Times New Roman" w:hAnsi="Times New Roman" w:cs="Times New Roman"/>
          <w:color w:val="000000"/>
          <w:sz w:val="24"/>
          <w:szCs w:val="24"/>
        </w:rPr>
        <w:t xml:space="preserve"> is the number of inconsistent data points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relationships</m:t>
            </m:r>
          </m:sub>
        </m:sSub>
      </m:oMath>
      <w:r>
        <w:rPr>
          <w:rFonts w:ascii="Times New Roman" w:eastAsia="Times New Roman" w:hAnsi="Times New Roman" w:cs="Times New Roman"/>
          <w:color w:val="000000"/>
          <w:sz w:val="24"/>
          <w:szCs w:val="24"/>
        </w:rPr>
        <w:t xml:space="preserve"> is the total number of relationships, validating data coherence</w:t>
      </w:r>
    </w:p>
    <w:p w14:paraId="0F37DD46"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Accuracy:</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Acc=</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correct</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validated</m:t>
                </m:r>
              </m:sub>
            </m:sSub>
          </m:den>
        </m:f>
        <m:r>
          <w:rPr>
            <w:rFonts w:ascii="Cambria Math" w:eastAsia="Cambria Math" w:hAnsi="Cambria Math" w:cs="Cambria Math"/>
            <w:color w:val="000000"/>
            <w:sz w:val="24"/>
            <w:szCs w:val="24"/>
          </w:rPr>
          <m:t>×100%</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correct</m:t>
            </m:r>
          </m:sub>
        </m:sSub>
      </m:oMath>
      <w:r>
        <w:rPr>
          <w:rFonts w:ascii="Times New Roman" w:eastAsia="Times New Roman" w:hAnsi="Times New Roman" w:cs="Times New Roman"/>
          <w:color w:val="000000"/>
          <w:sz w:val="24"/>
          <w:szCs w:val="24"/>
        </w:rPr>
        <w:t xml:space="preserve"> is the number of correct data points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validated</m:t>
            </m:r>
          </m:sub>
        </m:sSub>
      </m:oMath>
      <w:r>
        <w:rPr>
          <w:rFonts w:ascii="Times New Roman" w:eastAsia="Times New Roman" w:hAnsi="Times New Roman" w:cs="Times New Roman"/>
          <w:color w:val="000000"/>
          <w:sz w:val="24"/>
          <w:szCs w:val="24"/>
        </w:rPr>
        <w:t xml:space="preserve"> is the number validated against source summaries, ensuring representativeness.</w:t>
      </w:r>
    </w:p>
    <w:p w14:paraId="6D30845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Multi-source cross-validation mitigates limitations of synthetic data, enabling scalable experiments without ethical concerns.</w:t>
      </w:r>
    </w:p>
    <w:p w14:paraId="795118F9"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 Analytical Approaches and Algorithm Implementation</w:t>
      </w:r>
      <w:r>
        <w:rPr>
          <w:rFonts w:ascii="Times New Roman" w:eastAsia="Times New Roman" w:hAnsi="Times New Roman" w:cs="Times New Roman"/>
          <w:color w:val="000000"/>
          <w:sz w:val="24"/>
          <w:szCs w:val="24"/>
        </w:rPr>
        <w:t xml:space="preserve"> </w:t>
      </w:r>
    </w:p>
    <w:p w14:paraId="37380AE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analytical framework develops a hybrid homomorphic encryption algorithm, defined as:</w:t>
      </w:r>
    </w:p>
    <w:p w14:paraId="7C074942" w14:textId="77777777" w:rsidR="00787A77" w:rsidRDefault="00F077F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HE</m:t>
            </m:r>
          </m:e>
          <m:sub>
            <m:r>
              <w:rPr>
                <w:rFonts w:ascii="Cambria Math" w:eastAsia="Cambria Math" w:hAnsi="Cambria Math" w:cs="Cambria Math"/>
                <w:color w:val="000000"/>
                <w:sz w:val="24"/>
                <w:szCs w:val="24"/>
              </w:rPr>
              <m:t>h</m:t>
            </m:r>
            <m:r>
              <w:rPr>
                <w:rFonts w:ascii="Cambria Math" w:eastAsia="Cambria Math" w:hAnsi="Cambria Math" w:cs="Cambria Math"/>
                <w:color w:val="000000"/>
                <w:sz w:val="24"/>
                <w:szCs w:val="24"/>
              </w:rPr>
              <m:t>ealt</m:t>
            </m:r>
            <m:r>
              <w:rPr>
                <w:rFonts w:ascii="Cambria Math" w:eastAsia="Cambria Math" w:hAnsi="Cambria Math" w:cs="Cambria Math"/>
                <w:color w:val="000000"/>
                <w:sz w:val="24"/>
                <w:szCs w:val="24"/>
              </w:rPr>
              <m:t>h</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KeyGen</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Encrypt</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Decrypt</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Evaluate</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Optimize</m:t>
        </m:r>
        <m:r>
          <w:rPr>
            <w:rFonts w:ascii="Cambria Math" w:eastAsia="Cambria Math" w:hAnsi="Cambria Math" w:cs="Cambria Math"/>
            <w:color w:val="000000"/>
            <w:sz w:val="24"/>
            <w:szCs w:val="24"/>
          </w:rPr>
          <m:t>)</m:t>
        </m:r>
      </m:oMath>
      <w:r w:rsidR="00193355">
        <w:rPr>
          <w:rFonts w:ascii="Times New Roman" w:eastAsia="Times New Roman" w:hAnsi="Times New Roman" w:cs="Times New Roman"/>
          <w:color w:val="000000"/>
          <w:sz w:val="24"/>
          <w:szCs w:val="24"/>
        </w:rPr>
        <w:t>, tailored for telehealth data, integrating AI-driven optimizations to enhance computational efficiency and adaptability. The framework combines CKKS for real-valued data and BFV for integer arithmetic. For BFV, key generation produces a public key via:</w:t>
      </w:r>
    </w:p>
    <w:p w14:paraId="3E926728"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pk=(-</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a⋅s+e</m:t>
              </m:r>
            </m:e>
          </m:d>
          <m:r>
            <w:rPr>
              <w:rFonts w:ascii="Cambria Math" w:eastAsia="Cambria Math" w:hAnsi="Cambria Math" w:cs="Cambria Math"/>
              <w:color w:val="000000"/>
              <w:sz w:val="24"/>
              <w:szCs w:val="24"/>
            </w:rPr>
            <m:t xml:space="preserve">            modq,a)</m:t>
          </m:r>
        </m:oMath>
      </m:oMathPara>
    </w:p>
    <w:p w14:paraId="118C3EE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Here </w:t>
      </w:r>
      <m:oMath>
        <m:r>
          <w:rPr>
            <w:rFonts w:ascii="Cambria Math" w:eastAsia="Cambria Math" w:hAnsi="Cambria Math" w:cs="Cambria Math"/>
            <w:color w:val="000000"/>
            <w:sz w:val="24"/>
            <w:szCs w:val="24"/>
          </w:rPr>
          <m:t>(s)</m:t>
        </m:r>
      </m:oMath>
      <w:r>
        <w:rPr>
          <w:rFonts w:ascii="Times New Roman" w:eastAsia="Times New Roman" w:hAnsi="Times New Roman" w:cs="Times New Roman"/>
          <w:color w:val="000000"/>
          <w:sz w:val="24"/>
          <w:szCs w:val="24"/>
        </w:rPr>
        <w:t xml:space="preserve"> is the secret key sampled from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key</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(e)</m:t>
        </m:r>
      </m:oMath>
      <w:r>
        <w:rPr>
          <w:rFonts w:ascii="Times New Roman" w:eastAsia="Times New Roman" w:hAnsi="Times New Roman" w:cs="Times New Roman"/>
          <w:color w:val="000000"/>
          <w:sz w:val="24"/>
          <w:szCs w:val="24"/>
        </w:rPr>
        <w:t xml:space="preserve"> is an error from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err</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(a)</m:t>
        </m:r>
      </m:oMath>
      <w:r>
        <w:rPr>
          <w:rFonts w:ascii="Times New Roman" w:eastAsia="Times New Roman" w:hAnsi="Times New Roman" w:cs="Times New Roman"/>
          <w:color w:val="000000"/>
          <w:sz w:val="24"/>
          <w:szCs w:val="24"/>
        </w:rPr>
        <w:t xml:space="preserve"> is a random polynomial in ring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oMath>
      <w:r>
        <w:rPr>
          <w:rFonts w:ascii="Times New Roman" w:eastAsia="Times New Roman" w:hAnsi="Times New Roman" w:cs="Times New Roman"/>
          <w:color w:val="000000"/>
          <w:sz w:val="24"/>
          <w:szCs w:val="24"/>
        </w:rPr>
        <w:t xml:space="preserve">, and </w:t>
      </w:r>
      <m:oMath>
        <m:r>
          <w:rPr>
            <w:rFonts w:ascii="Cambria Math" w:eastAsia="Cambria Math" w:hAnsi="Cambria Math" w:cs="Cambria Math"/>
            <w:color w:val="000000"/>
            <w:sz w:val="24"/>
            <w:szCs w:val="24"/>
          </w:rPr>
          <m:t>(q)</m:t>
        </m:r>
      </m:oMath>
      <w:r>
        <w:rPr>
          <w:rFonts w:ascii="Times New Roman" w:eastAsia="Times New Roman" w:hAnsi="Times New Roman" w:cs="Times New Roman"/>
          <w:color w:val="000000"/>
          <w:sz w:val="24"/>
          <w:szCs w:val="24"/>
        </w:rPr>
        <w:t xml:space="preserve"> is the modulus, ensuring secure encryption. </w:t>
      </w:r>
    </w:p>
    <w:p w14:paraId="4C54ECF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Homomorphic operations include: </w:t>
      </w:r>
    </w:p>
    <w:p w14:paraId="7112C405" w14:textId="77777777" w:rsidR="00787A77" w:rsidRDefault="0019335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Addition: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Add(c</m:t>
            </m:r>
          </m:e>
          <m:sub>
            <m:r>
              <w:rPr>
                <w:rFonts w:ascii="Cambria Math" w:eastAsia="Cambria Math" w:hAnsi="Cambria Math" w:cs="Cambria Math"/>
                <w:color w:val="000000"/>
                <w:sz w:val="24"/>
                <w:szCs w:val="24"/>
              </w:rPr>
              <m:t xml:space="preserve">1, </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1, 0</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2,0</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2,  1</m:t>
                </m:r>
              </m:sub>
            </m:sSub>
          </m:e>
        </m:d>
        <m:r>
          <w:rPr>
            <w:rFonts w:ascii="Cambria Math" w:eastAsia="Cambria Math" w:hAnsi="Cambria Math" w:cs="Cambria Math"/>
            <w:color w:val="000000"/>
            <w:sz w:val="24"/>
            <w:szCs w:val="24"/>
          </w:rPr>
          <m:t xml:space="preserve">         modq</m:t>
        </m:r>
      </m:oMath>
      <w:r>
        <w:rPr>
          <w:rFonts w:ascii="Times New Roman" w:eastAsia="Times New Roman" w:hAnsi="Times New Roman" w:cs="Times New Roman"/>
          <w:color w:val="000000"/>
          <w:sz w:val="24"/>
          <w:szCs w:val="24"/>
        </w:rPr>
        <w:t>, enabling encrypted summation of telehealth data.</w:t>
      </w:r>
    </w:p>
    <w:p w14:paraId="77F6F849" w14:textId="77777777" w:rsidR="00787A77" w:rsidRDefault="0019335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Multiplication:</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Mult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 xml:space="preserve">1, </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)=relinearize</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with relinearization reducing ciphertext size for efficiency. </w:t>
      </w:r>
    </w:p>
    <w:p w14:paraId="58A00E1E"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CKKS, real-valued data encoding is performed as:</w:t>
      </w:r>
    </w:p>
    <w:p w14:paraId="0F4A69A5"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m:t>
          </m:r>
          <m:r>
            <w:rPr>
              <w:rFonts w:ascii="Cambria Math" w:hAnsi="Cambria Math"/>
              <w:color w:val="000000"/>
            </w:rPr>
            <m:t>⌊</m:t>
          </m:r>
          <m:r>
            <w:rPr>
              <w:rFonts w:ascii="Cambria Math" w:eastAsia="Cambria Math" w:hAnsi="Cambria Math" w:cs="Cambria Math"/>
              <w:color w:val="000000"/>
              <w:sz w:val="24"/>
              <w:szCs w:val="24"/>
            </w:rPr>
            <m:t>∆⋅IFFT(v)</m:t>
          </m:r>
          <m:r>
            <w:rPr>
              <w:rFonts w:ascii="Cambria Math" w:hAnsi="Cambria Math"/>
              <w:color w:val="000000"/>
            </w:rPr>
            <m:t>⌋</m:t>
          </m:r>
          <m:r>
            <w:rPr>
              <w:rFonts w:ascii="Cambria Math" w:eastAsia="Cambria Math" w:hAnsi="Cambria Math" w:cs="Cambria Math"/>
              <w:color w:val="000000"/>
              <w:sz w:val="24"/>
              <w:szCs w:val="24"/>
            </w:rPr>
            <m:t xml:space="preserve">           mod(</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X</m:t>
              </m:r>
            </m:e>
            <m:sup>
              <m:r>
                <w:rPr>
                  <w:rFonts w:ascii="Cambria Math" w:eastAsia="Cambria Math" w:hAnsi="Cambria Math" w:cs="Cambria Math"/>
                  <w:color w:val="000000"/>
                  <w:sz w:val="24"/>
                  <w:szCs w:val="24"/>
                </w:rPr>
                <m:t>N</m:t>
              </m:r>
            </m:sup>
          </m:sSup>
          <m:r>
            <w:rPr>
              <w:rFonts w:ascii="Cambria Math" w:eastAsia="Cambria Math" w:hAnsi="Cambria Math" w:cs="Cambria Math"/>
              <w:color w:val="000000"/>
              <w:sz w:val="24"/>
              <w:szCs w:val="24"/>
            </w:rPr>
            <m:t>+1)</m:t>
          </m:r>
        </m:oMath>
      </m:oMathPara>
    </w:p>
    <w:p w14:paraId="34C3A32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r>
          <w:rPr>
            <w:rFonts w:ascii="Cambria Math" w:eastAsia="Cambria Math" w:hAnsi="Cambria Math" w:cs="Cambria Math"/>
            <w:color w:val="000000"/>
            <w:sz w:val="24"/>
            <w:szCs w:val="24"/>
          </w:rPr>
          <m:t>(v)</m:t>
        </m:r>
      </m:oMath>
      <w:r>
        <w:rPr>
          <w:rFonts w:ascii="Times New Roman" w:eastAsia="Times New Roman" w:hAnsi="Times New Roman" w:cs="Times New Roman"/>
          <w:color w:val="000000"/>
          <w:sz w:val="24"/>
          <w:szCs w:val="24"/>
        </w:rPr>
        <w:t xml:space="preserve"> is the input vector, </w:t>
      </w: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FFT</m:t>
            </m:r>
          </m:e>
          <m:sup>
            <m:r>
              <w:rPr>
                <w:rFonts w:ascii="Cambria Math" w:eastAsia="Cambria Math" w:hAnsi="Cambria Math" w:cs="Cambria Math"/>
                <w:color w:val="000000"/>
                <w:sz w:val="24"/>
                <w:szCs w:val="24"/>
              </w:rPr>
              <m:t>-1</m:t>
            </m:r>
          </m:sup>
        </m:sSup>
      </m:oMath>
      <w:r>
        <w:rPr>
          <w:rFonts w:ascii="Times New Roman" w:eastAsia="Times New Roman" w:hAnsi="Times New Roman" w:cs="Times New Roman"/>
          <w:color w:val="000000"/>
          <w:sz w:val="24"/>
          <w:szCs w:val="24"/>
        </w:rPr>
        <w:t xml:space="preserve"> is the inverse Fast Fourier Transform,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is a scaling factor, and </w:t>
      </w: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X</m:t>
            </m:r>
          </m:e>
          <m:sup>
            <m:r>
              <w:rPr>
                <w:rFonts w:ascii="Cambria Math" w:eastAsia="Cambria Math" w:hAnsi="Cambria Math" w:cs="Cambria Math"/>
                <w:color w:val="000000"/>
                <w:sz w:val="24"/>
                <w:szCs w:val="24"/>
              </w:rPr>
              <m:t>N</m:t>
            </m:r>
          </m:sup>
        </m:sSup>
      </m:oMath>
      <w:r>
        <w:rPr>
          <w:rFonts w:ascii="Times New Roman" w:eastAsia="Times New Roman" w:hAnsi="Times New Roman" w:cs="Times New Roman"/>
          <w:color w:val="000000"/>
          <w:sz w:val="24"/>
          <w:szCs w:val="24"/>
        </w:rPr>
        <w:t xml:space="preserve"> is the polynomial ring modulus, supporting approximate computations. Rescaling is performed via:</w:t>
      </w:r>
    </w:p>
    <w:p w14:paraId="5055E7B4" w14:textId="77777777" w:rsidR="00787A77" w:rsidRDefault="00193355">
      <w:pPr>
        <w:jc w:val="center"/>
        <w:rPr>
          <w:color w:val="000000"/>
        </w:rPr>
      </w:pPr>
      <m:oMathPara>
        <m:oMath>
          <m:r>
            <w:rPr>
              <w:rFonts w:ascii="Cambria Math" w:eastAsia="Cambria Math" w:hAnsi="Cambria Math" w:cs="Cambria Math"/>
              <w:color w:val="000000"/>
              <w:sz w:val="24"/>
              <w:szCs w:val="24"/>
            </w:rPr>
            <w:lastRenderedPageBreak/>
            <m:t>Rescale</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c</m:t>
              </m:r>
            </m:e>
          </m:d>
          <m:r>
            <w:rPr>
              <w:rFonts w:ascii="Cambria Math" w:eastAsia="Cambria Math" w:hAnsi="Cambria Math" w:cs="Cambria Math"/>
              <w:color w:val="000000"/>
              <w:sz w:val="24"/>
              <w:szCs w:val="24"/>
            </w:rPr>
            <m:t>=</m:t>
          </m:r>
          <m:r>
            <w:rPr>
              <w:rFonts w:ascii="Cambria Math" w:hAnsi="Cambria Math"/>
              <w:color w:val="000000"/>
            </w:rPr>
            <m:t>⌊</m:t>
          </m:r>
          <m:r>
            <w:rPr>
              <w:rFonts w:ascii="Cambria Math" w:eastAsia="Cambria Math" w:hAnsi="Cambria Math" w:cs="Cambria Math"/>
              <w:color w:val="000000"/>
              <w:sz w:val="24"/>
              <w:szCs w:val="24"/>
            </w:rPr>
            <m:t>c/p</m:t>
          </m:r>
          <m:r>
            <w:rPr>
              <w:rFonts w:ascii="Cambria Math" w:hAnsi="Cambria Math"/>
              <w:color w:val="000000"/>
            </w:rPr>
            <m:t>⌉</m:t>
          </m:r>
        </m:oMath>
      </m:oMathPara>
    </w:p>
    <w:p w14:paraId="0AA6BF82"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r>
          <w:rPr>
            <w:rFonts w:ascii="Cambria Math" w:eastAsia="Cambria Math" w:hAnsi="Cambria Math" w:cs="Cambria Math"/>
            <w:color w:val="000000"/>
            <w:sz w:val="24"/>
            <w:szCs w:val="24"/>
          </w:rPr>
          <m:t>(c)</m:t>
        </m:r>
      </m:oMath>
      <w:r>
        <w:rPr>
          <w:rFonts w:ascii="Times New Roman" w:eastAsia="Times New Roman" w:hAnsi="Times New Roman" w:cs="Times New Roman"/>
          <w:color w:val="000000"/>
          <w:sz w:val="24"/>
          <w:szCs w:val="24"/>
        </w:rPr>
        <w:t xml:space="preserve"> is the ciphertext and </w:t>
      </w:r>
      <m:oMath>
        <m:r>
          <w:rPr>
            <w:rFonts w:ascii="Cambria Math" w:eastAsia="Cambria Math" w:hAnsi="Cambria Math" w:cs="Cambria Math"/>
            <w:color w:val="000000"/>
            <w:sz w:val="24"/>
            <w:szCs w:val="24"/>
          </w:rPr>
          <m:t>(p)</m:t>
        </m:r>
      </m:oMath>
      <w:r>
        <w:rPr>
          <w:rFonts w:ascii="Times New Roman" w:eastAsia="Times New Roman" w:hAnsi="Times New Roman" w:cs="Times New Roman"/>
          <w:color w:val="000000"/>
          <w:sz w:val="24"/>
          <w:szCs w:val="24"/>
        </w:rPr>
        <w:t xml:space="preserve"> is a prime, managing precision and noise. The AI optimization algorithm evaluates parameters using a composite score: </w:t>
      </w:r>
    </w:p>
    <w:p w14:paraId="3A0D8CE8"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Score</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θ</m:t>
                  </m:r>
                </m:e>
                <m:sub>
                  <m:r>
                    <w:rPr>
                      <w:rFonts w:ascii="Cambria Math" w:eastAsia="Cambria Math" w:hAnsi="Cambria Math" w:cs="Cambria Math"/>
                      <w:color w:val="000000"/>
                      <w:sz w:val="24"/>
                      <w:szCs w:val="24"/>
                    </w:rPr>
                    <m:t>i</m:t>
                  </m:r>
                </m:sub>
              </m:sSub>
            </m:e>
          </m:d>
          <m:r>
            <w:rPr>
              <w:rFonts w:ascii="Cambria Math" w:eastAsia="Cambria Math" w:hAnsi="Cambria Math" w:cs="Cambria Math"/>
              <w:color w:val="000000"/>
              <w:sz w:val="24"/>
              <w:szCs w:val="24"/>
            </w:rPr>
            <m:t>=α⋅</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perf</m:t>
              </m:r>
            </m:sub>
          </m:sSub>
          <m:r>
            <w:rPr>
              <w:rFonts w:ascii="Cambria Math" w:eastAsia="Cambria Math" w:hAnsi="Cambria Math" w:cs="Cambria Math"/>
              <w:color w:val="000000"/>
              <w:sz w:val="24"/>
              <w:szCs w:val="24"/>
            </w:rPr>
            <m:t>+β⋅</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sec</m:t>
              </m:r>
            </m:sub>
          </m:sSub>
        </m:oMath>
      </m:oMathPara>
    </w:p>
    <w:p w14:paraId="34E38057"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perf</m:t>
            </m:r>
          </m:sub>
        </m:sSub>
      </m:oMath>
      <w:r>
        <w:rPr>
          <w:rFonts w:ascii="Times New Roman" w:eastAsia="Times New Roman" w:hAnsi="Times New Roman" w:cs="Times New Roman"/>
          <w:color w:val="000000"/>
          <w:sz w:val="24"/>
          <w:szCs w:val="24"/>
        </w:rPr>
        <w:t xml:space="preserve"> measures performance,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sec</m:t>
            </m:r>
          </m:sub>
        </m:sSub>
      </m:oMath>
      <w:r>
        <w:rPr>
          <w:rFonts w:ascii="Times New Roman" w:eastAsia="Times New Roman" w:hAnsi="Times New Roman" w:cs="Times New Roman"/>
          <w:color w:val="000000"/>
          <w:sz w:val="24"/>
          <w:szCs w:val="24"/>
        </w:rPr>
        <w:t xml:space="preserve"> quantifies security, and </w:t>
      </w:r>
      <m:oMath>
        <m:r>
          <w:rPr>
            <w:rFonts w:ascii="Cambria Math" w:hAnsi="Cambria Math"/>
          </w:rPr>
          <m:t>α</m:t>
        </m:r>
      </m:oMath>
      <w:r>
        <w:rPr>
          <w:rFonts w:ascii="Times New Roman" w:eastAsia="Times New Roman" w:hAnsi="Times New Roman" w:cs="Times New Roman"/>
          <w:color w:val="000000"/>
          <w:sz w:val="24"/>
          <w:szCs w:val="24"/>
        </w:rPr>
        <w:t xml:space="preserve"> and </w:t>
      </w:r>
      <m:oMath>
        <m:r>
          <w:rPr>
            <w:rFonts w:ascii="Cambria Math" w:hAnsi="Cambria Math"/>
          </w:rPr>
          <m:t>β</m:t>
        </m:r>
      </m:oMath>
      <w:r>
        <w:rPr>
          <w:rFonts w:ascii="Times New Roman" w:eastAsia="Times New Roman" w:hAnsi="Times New Roman" w:cs="Times New Roman"/>
          <w:color w:val="000000"/>
          <w:sz w:val="24"/>
          <w:szCs w:val="24"/>
        </w:rPr>
        <w:t xml:space="preserve"> are weights, selecting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t>
            </m:r>
          </m:e>
          <m:sub>
            <m:r>
              <w:rPr>
                <w:rFonts w:ascii="Cambria Math" w:eastAsia="Cambria Math" w:hAnsi="Cambria Math" w:cs="Cambria Math"/>
                <w:color w:val="000000"/>
                <w:sz w:val="24"/>
                <w:szCs w:val="24"/>
              </w:rPr>
              <m:t>opt</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argmax</m:t>
            </m:r>
          </m:e>
          <m:sub>
            <m:r>
              <w:rPr>
                <w:rFonts w:ascii="Cambria Math" w:eastAsia="Cambria Math" w:hAnsi="Cambria Math" w:cs="Cambria Math"/>
                <w:color w:val="000000"/>
                <w:sz w:val="24"/>
                <w:szCs w:val="24"/>
              </w:rPr>
              <m:t>θ</m:t>
            </m:r>
          </m:sub>
        </m:sSub>
        <m:r>
          <w:rPr>
            <w:rFonts w:ascii="Cambria Math" w:eastAsia="Cambria Math" w:hAnsi="Cambria Math" w:cs="Cambria Math"/>
            <w:color w:val="000000"/>
            <w:sz w:val="24"/>
            <w:szCs w:val="24"/>
          </w:rPr>
          <m:t>NN(θ, D, P, S)</m:t>
        </m:r>
      </m:oMath>
      <w:r>
        <w:rPr>
          <w:rFonts w:ascii="Times New Roman" w:eastAsia="Times New Roman" w:hAnsi="Times New Roman" w:cs="Times New Roman"/>
          <w:color w:val="000000"/>
          <w:sz w:val="24"/>
          <w:szCs w:val="24"/>
        </w:rPr>
        <w:t>. Adaptive parameter, management monitors the performance gap:</w:t>
      </w:r>
    </w:p>
    <w:p w14:paraId="16BF5E34" w14:textId="77777777" w:rsidR="00787A77" w:rsidRDefault="00F077F8">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performance</m:t>
              </m:r>
            </m:e>
            <m:sub>
              <m:r>
                <w:rPr>
                  <w:rFonts w:ascii="Cambria Math" w:eastAsia="Cambria Math" w:hAnsi="Cambria Math" w:cs="Cambria Math"/>
                  <w:color w:val="000000"/>
                  <w:sz w:val="24"/>
                  <w:szCs w:val="24"/>
                </w:rPr>
                <m:t>gap</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CalculateGap</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M</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T</m:t>
          </m:r>
          <m:r>
            <w:rPr>
              <w:rFonts w:ascii="Cambria Math" w:eastAsia="Cambria Math" w:hAnsi="Cambria Math" w:cs="Cambria Math"/>
              <w:color w:val="000000"/>
              <w:sz w:val="24"/>
              <w:szCs w:val="24"/>
            </w:rPr>
            <m:t>)</m:t>
          </m:r>
        </m:oMath>
      </m:oMathPara>
    </w:p>
    <w:p w14:paraId="468DA723"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adjusting parameters if the gap exceeds threshold </w:t>
      </w:r>
      <m:oMath>
        <m:r>
          <w:rPr>
            <w:rFonts w:ascii="Cambria Math" w:hAnsi="Cambria Math"/>
          </w:rPr>
          <m:t>τ</m:t>
        </m:r>
      </m:oMath>
      <w:r>
        <w:rPr>
          <w:rFonts w:ascii="Times New Roman" w:eastAsia="Times New Roman" w:hAnsi="Times New Roman" w:cs="Times New Roman"/>
          <w:color w:val="000000"/>
          <w:sz w:val="24"/>
          <w:szCs w:val="24"/>
        </w:rPr>
        <w:t xml:space="preserve">. </w:t>
      </w:r>
    </w:p>
    <w:p w14:paraId="4351D709"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Memory optimization minimizes ciphertext size:</w:t>
      </w:r>
    </w:p>
    <w:p w14:paraId="35B34EA2" w14:textId="77777777" w:rsidR="00787A77" w:rsidRDefault="00F077F8">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Risk</m:t>
              </m:r>
            </m:e>
            <m:sub>
              <m:r>
                <w:rPr>
                  <w:rFonts w:ascii="Cambria Math" w:eastAsia="Cambria Math" w:hAnsi="Cambria Math" w:cs="Cambria Math"/>
                  <w:color w:val="000000"/>
                  <w:sz w:val="24"/>
                  <w:szCs w:val="24"/>
                </w:rPr>
                <m:t>total</m:t>
              </m:r>
            </m:sub>
          </m:sSub>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sup/>
            <m:e/>
          </m:nary>
          <m:r>
            <w:rPr>
              <w:rFonts w:ascii="Cambria Math" w:eastAsia="Cambria Math" w:hAnsi="Cambria Math" w:cs="Cambria Math"/>
              <w:color w:val="000000"/>
              <w:sz w:val="24"/>
              <w:szCs w:val="24"/>
            </w:rPr>
            <m:t>P</m:t>
          </m:r>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Attack</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Impact</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Vulnerability</m:t>
              </m:r>
            </m:e>
            <m:sub>
              <m:r>
                <w:rPr>
                  <w:rFonts w:ascii="Cambria Math" w:eastAsia="Cambria Math" w:hAnsi="Cambria Math" w:cs="Cambria Math"/>
                  <w:color w:val="000000"/>
                  <w:sz w:val="24"/>
                  <w:szCs w:val="24"/>
                </w:rPr>
                <m:t>i</m:t>
              </m:r>
            </m:sub>
          </m:sSub>
        </m:oMath>
      </m:oMathPara>
    </w:p>
    <w:p w14:paraId="3ADC78F0"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r>
          <w:rPr>
            <w:rFonts w:ascii="Cambria Math" w:eastAsia="Cambria Math" w:hAnsi="Cambria Math" w:cs="Cambria Math"/>
            <w:color w:val="000000"/>
            <w:sz w:val="24"/>
            <w:szCs w:val="24"/>
          </w:rPr>
          <m:t>P</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Attack</m:t>
                </m:r>
              </m:e>
              <m:sub>
                <m:r>
                  <w:rPr>
                    <w:rFonts w:ascii="Cambria Math" w:eastAsia="Cambria Math" w:hAnsi="Cambria Math" w:cs="Cambria Math"/>
                    <w:color w:val="000000"/>
                    <w:sz w:val="24"/>
                    <w:szCs w:val="24"/>
                  </w:rPr>
                  <m:t>i</m:t>
                </m:r>
              </m:sub>
            </m:sSub>
          </m:e>
        </m:d>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Impact</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Vulnerability</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represent the probability, impact, and vulnerability of each attack. </w:t>
      </w:r>
    </w:p>
    <w:p w14:paraId="3718721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 is evaluated using:</w:t>
      </w:r>
    </w:p>
    <w:p w14:paraId="3FDDD391" w14:textId="77777777" w:rsidR="00787A77" w:rsidRDefault="0019335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Semantic security</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Advantage</m:t>
            </m:r>
          </m:e>
          <m:sub>
            <m:r>
              <w:rPr>
                <w:rFonts w:ascii="Cambria Math" w:eastAsia="Cambria Math" w:hAnsi="Cambria Math" w:cs="Cambria Math"/>
                <w:color w:val="000000"/>
                <w:sz w:val="24"/>
                <w:szCs w:val="24"/>
              </w:rPr>
              <m:t>IND-CPA</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Pr</m:t>
            </m:r>
            <m:d>
              <m:dPr>
                <m:begChr m:val="["/>
                <m:endChr m:val="]"/>
                <m:ctrlPr>
                  <w:rPr>
                    <w:rFonts w:ascii="Cambria Math" w:eastAsia="Cambria Math" w:hAnsi="Cambria Math" w:cs="Cambria Math"/>
                    <w:color w:val="000000"/>
                    <w:sz w:val="24"/>
                    <w:szCs w:val="24"/>
                  </w:rPr>
                </m:ctrlPr>
              </m:dPr>
              <m:e>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b</m:t>
                    </m:r>
                  </m:e>
                  <m:sup>
                    <m:r>
                      <w:rPr>
                        <w:rFonts w:ascii="Cambria Math" w:eastAsia="Cambria Math" w:hAnsi="Cambria Math" w:cs="Cambria Math"/>
                        <w:color w:val="000000"/>
                        <w:sz w:val="24"/>
                        <w:szCs w:val="24"/>
                      </w:rPr>
                      <m:t>'</m:t>
                    </m:r>
                  </m:sup>
                </m:sSup>
                <m:r>
                  <w:rPr>
                    <w:rFonts w:ascii="Cambria Math" w:eastAsia="Cambria Math" w:hAnsi="Cambria Math" w:cs="Cambria Math"/>
                    <w:color w:val="000000"/>
                    <w:sz w:val="24"/>
                    <w:szCs w:val="24"/>
                  </w:rPr>
                  <m:t>=b</m:t>
                </m:r>
              </m:e>
            </m:d>
            <m:r>
              <w:rPr>
                <w:rFonts w:ascii="Cambria Math" w:eastAsia="Cambria Math" w:hAnsi="Cambria Math" w:cs="Cambria Math"/>
                <w:color w:val="000000"/>
                <w:sz w:val="24"/>
                <w:szCs w:val="24"/>
              </w:rPr>
              <m:t>-1/2</m:t>
            </m:r>
          </m:e>
        </m:d>
      </m:oMath>
      <w:r>
        <w:rPr>
          <w:rFonts w:ascii="Times New Roman" w:eastAsia="Times New Roman" w:hAnsi="Times New Roman" w:cs="Times New Roman"/>
          <w:color w:val="000000"/>
          <w:sz w:val="24"/>
          <w:szCs w:val="24"/>
        </w:rPr>
        <w:t xml:space="preserve"> measuring an adversary’s ability to distinguish encrypted data.</w:t>
      </w:r>
    </w:p>
    <w:p w14:paraId="3C0A3B24" w14:textId="77777777" w:rsidR="00787A77" w:rsidRDefault="0019335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Homomorphic Security: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Advantage</m:t>
            </m:r>
          </m:e>
          <m:sub>
            <m:r>
              <w:rPr>
                <w:rFonts w:ascii="Cambria Math" w:eastAsia="Cambria Math" w:hAnsi="Cambria Math" w:cs="Cambria Math"/>
                <w:color w:val="000000"/>
                <w:sz w:val="24"/>
                <w:szCs w:val="24"/>
              </w:rPr>
              <m:t>HOM-SEC</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Pr</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HE.Eval</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f, c</m:t>
                        </m:r>
                      </m:e>
                    </m:d>
                  </m:e>
                </m:d>
                <m:r>
                  <w:rPr>
                    <w:rFonts w:ascii="Cambria Math" w:eastAsia="Cambria Math" w:hAnsi="Cambria Math" w:cs="Cambria Math"/>
                    <w:color w:val="000000"/>
                    <w:sz w:val="24"/>
                    <w:szCs w:val="24"/>
                  </w:rPr>
                  <m:t>=f(m)</m:t>
                </m:r>
              </m:e>
            </m:d>
            <m:r>
              <w:rPr>
                <w:rFonts w:ascii="Cambria Math" w:eastAsia="Cambria Math" w:hAnsi="Cambria Math" w:cs="Cambria Math"/>
                <w:color w:val="000000"/>
                <w:sz w:val="24"/>
                <w:szCs w:val="24"/>
              </w:rPr>
              <m:t>-negl(λ)</m:t>
            </m:r>
          </m:e>
        </m:d>
      </m:oMath>
      <w:r>
        <w:rPr>
          <w:rFonts w:ascii="Times New Roman" w:eastAsia="Times New Roman" w:hAnsi="Times New Roman" w:cs="Times New Roman"/>
          <w:color w:val="000000"/>
          <w:sz w:val="24"/>
          <w:szCs w:val="24"/>
        </w:rPr>
        <w:t xml:space="preserve">, ensuring secure computations, where </w:t>
      </w:r>
      <m:oMath>
        <m:r>
          <w:rPr>
            <w:rFonts w:ascii="Cambria Math" w:hAnsi="Cambria Math"/>
          </w:rPr>
          <m:t>λ</m:t>
        </m:r>
      </m:oMath>
      <w:r>
        <w:rPr>
          <w:rFonts w:ascii="Times New Roman" w:eastAsia="Times New Roman" w:hAnsi="Times New Roman" w:cs="Times New Roman"/>
          <w:color w:val="000000"/>
          <w:sz w:val="24"/>
          <w:szCs w:val="24"/>
        </w:rPr>
        <w:t xml:space="preserve"> is the security parameter.</w:t>
      </w:r>
    </w:p>
    <w:p w14:paraId="6F8BA94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Implementation utilizes python libraries, including Microsoft SEAL for homomorphic operations, </w:t>
      </w:r>
      <w:proofErr w:type="spellStart"/>
      <w:r>
        <w:rPr>
          <w:rFonts w:ascii="Times New Roman" w:eastAsia="Times New Roman" w:hAnsi="Times New Roman" w:cs="Times New Roman"/>
          <w:sz w:val="24"/>
          <w:szCs w:val="24"/>
        </w:rPr>
        <w:t>tensorflow</w:t>
      </w:r>
      <w:proofErr w:type="spellEnd"/>
      <w:r>
        <w:rPr>
          <w:rFonts w:ascii="Times New Roman" w:eastAsia="Times New Roman" w:hAnsi="Times New Roman" w:cs="Times New Roman"/>
          <w:sz w:val="24"/>
          <w:szCs w:val="24"/>
        </w:rPr>
        <w:t xml:space="preserve"> for AI components, and NumPy/SciPy for data processing.</w:t>
      </w:r>
    </w:p>
    <w:p w14:paraId="5BE9AA0F"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Metrics and Statistical Analysis</w:t>
      </w:r>
    </w:p>
    <w:p w14:paraId="2E2DF42A"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Performance evaluation encompasses computational, accuracy, security, and quality-of-service (QoS) metrics, benchmarked against baselines like AES-256 and standard SEAL implementations. Computational metrics include throughput:</w:t>
      </w:r>
    </w:p>
    <w:p w14:paraId="33FCCC9F" w14:textId="77777777" w:rsidR="00787A77" w:rsidRDefault="0019335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Throughtput</w:t>
      </w:r>
      <w:proofErr w:type="spellEnd"/>
      <w:r>
        <w:rPr>
          <w:rFonts w:ascii="Times New Roman" w:eastAsia="Times New Roman" w:hAnsi="Times New Roman" w:cs="Times New Roman"/>
          <w:b/>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Throughtput</m:t>
            </m:r>
          </m:e>
          <m:sub>
            <m:r>
              <w:rPr>
                <w:rFonts w:ascii="Cambria Math" w:eastAsia="Cambria Math" w:hAnsi="Cambria Math" w:cs="Cambria Math"/>
                <w:color w:val="000000"/>
                <w:sz w:val="24"/>
                <w:szCs w:val="24"/>
              </w:rPr>
              <m:t>enc</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Data</m:t>
            </m:r>
          </m:e>
          <m:sub>
            <m:r>
              <w:rPr>
                <w:rFonts w:ascii="Cambria Math" w:eastAsia="Cambria Math" w:hAnsi="Cambria Math" w:cs="Cambria Math"/>
                <w:color w:val="000000"/>
                <w:sz w:val="24"/>
                <w:szCs w:val="24"/>
              </w:rPr>
              <m:t>volume</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Time</m:t>
            </m:r>
          </m:e>
          <m:sub>
            <m:r>
              <w:rPr>
                <w:rFonts w:ascii="Cambria Math" w:eastAsia="Cambria Math" w:hAnsi="Cambria Math" w:cs="Cambria Math"/>
                <w:color w:val="000000"/>
                <w:sz w:val="24"/>
                <w:szCs w:val="24"/>
              </w:rPr>
              <m:t>enc</m:t>
            </m:r>
          </m:sub>
        </m:sSub>
        <m:r>
          <w:rPr>
            <w:rFonts w:ascii="Cambria Math" w:eastAsia="Cambria Math" w:hAnsi="Cambria Math" w:cs="Cambria Math"/>
            <w:color w:val="000000"/>
            <w:sz w:val="24"/>
            <w:szCs w:val="24"/>
          </w:rPr>
          <m:t>,</m:t>
        </m:r>
      </m:oMath>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measuring encryption speed in megabytes per second,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Data</m:t>
            </m:r>
          </m:e>
          <m:sub>
            <m:r>
              <w:rPr>
                <w:rFonts w:ascii="Cambria Math" w:eastAsia="Cambria Math" w:hAnsi="Cambria Math" w:cs="Cambria Math"/>
                <w:color w:val="000000"/>
                <w:sz w:val="24"/>
                <w:szCs w:val="24"/>
              </w:rPr>
              <m:t>volume</m:t>
            </m:r>
          </m:sub>
        </m:sSub>
      </m:oMath>
      <w:r>
        <w:rPr>
          <w:rFonts w:ascii="Times New Roman" w:eastAsia="Times New Roman" w:hAnsi="Times New Roman" w:cs="Times New Roman"/>
          <w:color w:val="000000"/>
          <w:sz w:val="24"/>
          <w:szCs w:val="24"/>
        </w:rPr>
        <w:t xml:space="preserve"> is the processed data size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Time</m:t>
            </m:r>
          </m:e>
          <m:sub>
            <m:r>
              <w:rPr>
                <w:rFonts w:ascii="Cambria Math" w:eastAsia="Cambria Math" w:hAnsi="Cambria Math" w:cs="Cambria Math"/>
                <w:color w:val="000000"/>
                <w:sz w:val="24"/>
                <w:szCs w:val="24"/>
              </w:rPr>
              <m:t>enc</m:t>
            </m:r>
          </m:sub>
        </m:sSub>
      </m:oMath>
      <w:r>
        <w:rPr>
          <w:rFonts w:ascii="Times New Roman" w:eastAsia="Times New Roman" w:hAnsi="Times New Roman" w:cs="Times New Roman"/>
          <w:color w:val="000000"/>
          <w:sz w:val="24"/>
          <w:szCs w:val="24"/>
        </w:rPr>
        <w:t xml:space="preserve"> is the encryption time.</w:t>
      </w:r>
    </w:p>
    <w:p w14:paraId="0442AFAE" w14:textId="77777777" w:rsidR="00787A77" w:rsidRDefault="00193355">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Latency: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Latency</m:t>
            </m:r>
          </m:e>
          <m:sub>
            <m:r>
              <w:rPr>
                <w:rFonts w:ascii="Cambria Math" w:eastAsia="Cambria Math" w:hAnsi="Cambria Math" w:cs="Cambria Math"/>
                <w:color w:val="000000"/>
                <w:sz w:val="24"/>
                <w:szCs w:val="24"/>
              </w:rPr>
              <m:t>avg</m:t>
            </m:r>
          </m:sub>
        </m:sSub>
        <m:r>
          <w:rPr>
            <w:rFonts w:ascii="Cambria Math" w:eastAsia="Cambria Math" w:hAnsi="Cambria Math" w:cs="Cambria Math"/>
            <w:color w:val="000000"/>
            <w:sz w:val="24"/>
            <w:szCs w:val="24"/>
          </w:rPr>
          <m:t>=(1/n)</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averaging operation times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over (n) operations</w:t>
      </w:r>
    </w:p>
    <w:p w14:paraId="0D5A575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Accuracy metrics include: </w:t>
      </w:r>
    </w:p>
    <w:p w14:paraId="5DD66A9E" w14:textId="77777777" w:rsidR="00787A77" w:rsidRDefault="0019335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Relative Error: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Error</m:t>
            </m:r>
          </m:e>
          <m:sub>
            <m:r>
              <w:rPr>
                <w:rFonts w:ascii="Cambria Math" w:eastAsia="Cambria Math" w:hAnsi="Cambria Math" w:cs="Cambria Math"/>
                <w:color w:val="000000"/>
                <w:sz w:val="24"/>
                <w:szCs w:val="24"/>
              </w:rPr>
              <m:t>rel</m:t>
            </m:r>
          </m:sub>
        </m:sSub>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HE</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e>
        </m:d>
        <m:r>
          <w:rPr>
            <w:rFonts w:ascii="Cambria Math" w:eastAsia="Cambria Math" w:hAnsi="Cambria Math" w:cs="Cambria Math"/>
            <w:color w:val="000000"/>
            <w:sz w:val="24"/>
            <w:szCs w:val="24"/>
          </w:rPr>
          <m:t>×100%,</m:t>
        </m:r>
      </m:oMath>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comparing homomorphic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HE</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and plaintext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r>
          <w:rPr>
            <w:rFonts w:ascii="Cambria Math" w:eastAsia="Cambria Math" w:hAnsi="Cambria Math" w:cs="Cambria Math"/>
            <w:color w:val="000000"/>
            <w:sz w:val="24"/>
            <w:szCs w:val="24"/>
          </w:rPr>
          <m:t>) results</m:t>
        </m:r>
      </m:oMath>
      <w:r>
        <w:rPr>
          <w:rFonts w:ascii="Times New Roman" w:eastAsia="Times New Roman" w:hAnsi="Times New Roman" w:cs="Times New Roman"/>
          <w:color w:val="000000"/>
          <w:sz w:val="24"/>
          <w:szCs w:val="24"/>
        </w:rPr>
        <w:t>.</w:t>
      </w:r>
    </w:p>
    <w:p w14:paraId="05C51574" w14:textId="77777777" w:rsidR="00787A77" w:rsidRDefault="00193355">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Mean Squared Error: </w:t>
      </w:r>
      <m:oMath>
        <m:r>
          <w:rPr>
            <w:rFonts w:ascii="Cambria Math" w:eastAsia="Cambria Math" w:hAnsi="Cambria Math" w:cs="Cambria Math"/>
            <w:color w:val="000000"/>
            <w:sz w:val="24"/>
            <w:szCs w:val="24"/>
          </w:rPr>
          <m:t>MSE=(1/n)</m:t>
        </m:r>
        <m:nary>
          <m:naryPr>
            <m:chr m:val="∑"/>
            <m:ctrlPr>
              <w:rPr>
                <w:rFonts w:ascii="Cambria Math" w:eastAsia="Cambria Math" w:hAnsi="Cambria Math" w:cs="Cambria Math"/>
                <w:color w:val="000000"/>
                <w:sz w:val="24"/>
                <w:szCs w:val="24"/>
              </w:rPr>
            </m:ctrlPr>
          </m:naryPr>
          <m:sub/>
          <m:sup/>
          <m:e/>
        </m:nary>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y</m:t>
                    </m:r>
                  </m:e>
                </m:acc>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oMath>
      <w:r>
        <w:rPr>
          <w:rFonts w:ascii="Times New Roman" w:eastAsia="Times New Roman" w:hAnsi="Times New Roman" w:cs="Times New Roman"/>
          <w:color w:val="000000"/>
          <w:sz w:val="24"/>
          <w:szCs w:val="24"/>
        </w:rPr>
        <w:t xml:space="preserve">, quantifying precision between actual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and predicted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y</m:t>
                </m:r>
              </m:e>
            </m:acc>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values.</w:t>
      </w:r>
    </w:p>
    <w:p w14:paraId="74D4C5C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metrics include:</w:t>
      </w:r>
    </w:p>
    <w:p w14:paraId="21B342F3" w14:textId="77777777" w:rsidR="00787A77" w:rsidRDefault="0019335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 Entropy: </w:t>
      </w:r>
      <m:oMath>
        <m:r>
          <w:rPr>
            <w:rFonts w:ascii="Cambria Math" w:eastAsia="Cambria Math" w:hAnsi="Cambria Math" w:cs="Cambria Math"/>
            <w:color w:val="000000"/>
            <w:sz w:val="24"/>
            <w:szCs w:val="24"/>
          </w:rPr>
          <m:t>Entropy=-</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r>
          <w:rPr>
            <w:rFonts w:ascii="Cambria Math" w:hAnsi="Cambria Math"/>
            <w:color w:val="000000"/>
          </w:rPr>
          <m:t xml:space="preserve"> </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is the probability of each key state, ensuring randomness.</w:t>
      </w:r>
    </w:p>
    <w:p w14:paraId="751C22D7"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QoS metrics include response time distribution, availability, and scalability. Descriptive statistics summarize data with mean, median, variance, and coefficient of variation, while normality is tested using Shapiro-Wilk. Inferential analysis employs paired t-tests, ANOVA, and regression, with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and RMSE for model fit. Time-series autocorrelation and non-parametric tests (Mann-Whitney U, Kruskal-Wallis) assess real-time performance. Figure 2 displays the Workflow of chaotic ACM encryption for secure health data transmission and validation</w:t>
      </w:r>
    </w:p>
    <w:p w14:paraId="537185A5"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520E861"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7F9820"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BFBB0A9"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1B4FD3D"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63EFB1"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EF2DBE"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BAC70F"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738004"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F02CCC7"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976D865"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A37D92" w14:textId="77777777" w:rsidR="001154FC" w:rsidRDefault="00193355" w:rsidP="001154FC">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Figure 2</w:t>
      </w:r>
      <w:r w:rsidR="001154FC">
        <w:rPr>
          <w:rFonts w:ascii="Times New Roman" w:eastAsia="Times New Roman" w:hAnsi="Times New Roman" w:cs="Times New Roman"/>
          <w:b/>
          <w:color w:val="000000"/>
          <w:sz w:val="24"/>
          <w:szCs w:val="24"/>
        </w:rPr>
        <w:t xml:space="preserve"> </w:t>
      </w:r>
      <w:r w:rsidR="001154FC">
        <w:rPr>
          <w:rFonts w:ascii="Times New Roman" w:eastAsia="Times New Roman" w:hAnsi="Times New Roman" w:cs="Times New Roman"/>
          <w:i/>
          <w:color w:val="000000"/>
          <w:sz w:val="24"/>
          <w:szCs w:val="24"/>
        </w:rPr>
        <w:t>Workflow of chaotic ACM encryption for secure health data transmission and validation.</w:t>
      </w:r>
    </w:p>
    <w:p w14:paraId="4F5855F6" w14:textId="30150E86"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98FB044"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78004909" wp14:editId="3DFEC54C">
            <wp:extent cx="4573496" cy="54217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73496" cy="5421760"/>
                    </a:xfrm>
                    <a:prstGeom prst="rect">
                      <a:avLst/>
                    </a:prstGeom>
                    <a:ln/>
                  </pic:spPr>
                </pic:pic>
              </a:graphicData>
            </a:graphic>
          </wp:inline>
        </w:drawing>
      </w:r>
    </w:p>
    <w:p w14:paraId="2869EF8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Validation and Ethical Considerations</w:t>
      </w:r>
      <w:r>
        <w:rPr>
          <w:rFonts w:ascii="Times New Roman" w:eastAsia="Times New Roman" w:hAnsi="Times New Roman" w:cs="Times New Roman"/>
          <w:color w:val="000000"/>
          <w:sz w:val="24"/>
          <w:szCs w:val="24"/>
        </w:rPr>
        <w:t xml:space="preserve"> </w:t>
      </w:r>
    </w:p>
    <w:p w14:paraId="0316EB2F"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Validation follows a hierarchical framework, testing cryptographic primitives at the unit level, workflows at the integration level, workloads at the system level, and telehealth scenarios at the domain-specific level. Hypothesis testing compares performance against baselines using t-tests and ANOVA, with sample size calculated as:</w:t>
      </w:r>
    </w:p>
    <w:p w14:paraId="21491516"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Z</m:t>
                  </m:r>
                </m:e>
                <m:sub>
                  <m:r>
                    <w:rPr>
                      <w:rFonts w:ascii="Cambria Math" w:eastAsia="Cambria Math" w:hAnsi="Cambria Math" w:cs="Cambria Math"/>
                      <w:color w:val="000000"/>
                      <w:sz w:val="24"/>
                      <w:szCs w:val="24"/>
                    </w:rPr>
                    <m:t>α/2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Z</m:t>
                  </m:r>
                </m:e>
                <m:sub>
                  <m:r>
                    <w:rPr>
                      <w:rFonts w:ascii="Cambria Math" w:eastAsia="Cambria Math" w:hAnsi="Cambria Math" w:cs="Cambria Math"/>
                      <w:color w:val="000000"/>
                      <w:sz w:val="24"/>
                      <w:szCs w:val="24"/>
                    </w:rPr>
                    <m:t>β</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×2</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σ</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μ</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μ</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oMath>
      </m:oMathPara>
    </w:p>
    <w:p w14:paraId="0BBAAA84"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Reproducibility is ensured through seed-based randomization and Docker containers. Ethical compliance aligns with HIPAA via safeguards like encryption and audit logs, with a privacy score:</w:t>
      </w:r>
    </w:p>
    <w:p w14:paraId="132C32F1" w14:textId="77777777" w:rsidR="00787A77" w:rsidRDefault="00F077F8">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Privacy</m:t>
              </m:r>
            </m:e>
            <m:sub>
              <m:r>
                <w:rPr>
                  <w:rFonts w:ascii="Cambria Math" w:eastAsia="Cambria Math" w:hAnsi="Cambria Math" w:cs="Cambria Math"/>
                  <w:color w:val="000000"/>
                  <w:sz w:val="24"/>
                  <w:szCs w:val="24"/>
                </w:rPr>
                <m:t>score</m:t>
              </m:r>
            </m:sub>
          </m:sSub>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Privacy</m:t>
              </m:r>
            </m:e>
            <m: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component</m:t>
                  </m:r>
                </m:e>
                <m:sub>
                  <m:r>
                    <w:rPr>
                      <w:rFonts w:ascii="Cambria Math" w:eastAsia="Cambria Math" w:hAnsi="Cambria Math" w:cs="Cambria Math"/>
                      <w:color w:val="000000"/>
                      <w:sz w:val="24"/>
                      <w:szCs w:val="24"/>
                    </w:rPr>
                    <m:t>i</m:t>
                  </m:r>
                </m:sub>
              </m:sSub>
            </m:sub>
          </m:sSub>
        </m:oMath>
      </m:oMathPara>
    </w:p>
    <w:p w14:paraId="21AB08BE"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weights components like access control. GDPR principles ensure data minimization and purpose limitation. Scientific integrity includes conflict declarations and peer review. </w:t>
      </w:r>
    </w:p>
    <w:p w14:paraId="397B158D"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Limitations and Mitigation Strategies</w:t>
      </w:r>
    </w:p>
    <w:p w14:paraId="41F6825D"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Synthetic datasets may not fully capture real-world nuances, mitigated by multi-source validation and sensitivity analysis. Computational constraints in remote setups are addressed using cloud resources and efficient algorithms. Challenges in reproducing production environments are countered with standardized protocols and statistical accounting for variations. A risk management matrix assesses probability and impact, with mitigation strategies like code reviews and monitoring. </w:t>
      </w:r>
    </w:p>
    <w:p w14:paraId="28F3EFD8" w14:textId="77777777" w:rsidR="00787A77" w:rsidRDefault="00787A7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14504F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Results and Discussion</w:t>
      </w:r>
    </w:p>
    <w:p w14:paraId="3FDB525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evaluation, conducted through simulation-based testing as outlined in the methodology, provides comprehensive insights into the performance of the AI-driven homomorphic encryption framework for secure real-time telehealth data analysis. Following the quantitative design, results were derived from synthetic datasets generated to replicate telehealth scenarios, including remote monitoring streams and electronic health records, validated against anonymized summaries from sources like NHANES and MIMIC-III. The hybrid scheme integrating CKKS and BFV, optimized via neural networks, was benchmarked across computational, security, and quality metrics using Python with SEAL and TensorFlow on a multi-core setup.</w:t>
      </w:r>
    </w:p>
    <w:p w14:paraId="5BF39832"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assessing computational performance, the framework exhibited efficient encryption and decryption across varying dataset sizes and security levels. As shown in Table 1, which details mean times with standard deviations from 100 runs per condition, encryption times ranged from 45.2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for 1K records at 128-bit security to 1,876.3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for 100K records at 256-bit, with throughputs up to 634.2 MB/s. The Encryption Time Performance vs Dataset Size for Different Security Levels is shown in Figure 3. The AI optimization reduced overhead by 23.7% compared to non-optimized baselines, evident in the linear scaling that maintained sub-linear memory growth.</w:t>
      </w:r>
    </w:p>
    <w:p w14:paraId="2B228AE9" w14:textId="6D9028E3"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Encryption/Decryption Performance Metrics</w:t>
      </w:r>
    </w:p>
    <w:p w14:paraId="6737D0D4" w14:textId="4ACBE6D2" w:rsidR="00787A77" w:rsidRDefault="00787A77">
      <w:pPr>
        <w:spacing w:line="360" w:lineRule="auto"/>
        <w:jc w:val="both"/>
        <w:rPr>
          <w:rFonts w:ascii="Times New Roman" w:eastAsia="Times New Roman" w:hAnsi="Times New Roman" w:cs="Times New Roman"/>
          <w:i/>
          <w:sz w:val="24"/>
          <w:szCs w:val="24"/>
        </w:rPr>
      </w:pPr>
    </w:p>
    <w:tbl>
      <w:tblPr>
        <w:tblStyle w:val="a"/>
        <w:tblW w:w="9360" w:type="dxa"/>
        <w:tblInd w:w="0" w:type="dxa"/>
        <w:tblLayout w:type="fixed"/>
        <w:tblLook w:val="0400" w:firstRow="0" w:lastRow="0" w:firstColumn="0" w:lastColumn="0" w:noHBand="0" w:noVBand="1"/>
      </w:tblPr>
      <w:tblGrid>
        <w:gridCol w:w="1440"/>
        <w:gridCol w:w="1080"/>
        <w:gridCol w:w="1800"/>
        <w:gridCol w:w="1800"/>
        <w:gridCol w:w="1890"/>
        <w:gridCol w:w="1350"/>
      </w:tblGrid>
      <w:tr w:rsidR="00787A77" w14:paraId="6EF422CC" w14:textId="77777777">
        <w:trPr>
          <w:tblHeader/>
        </w:trPr>
        <w:tc>
          <w:tcPr>
            <w:tcW w:w="1440" w:type="dxa"/>
            <w:tcBorders>
              <w:top w:val="single" w:sz="4" w:space="0" w:color="000000"/>
              <w:bottom w:val="single" w:sz="4" w:space="0" w:color="000000"/>
            </w:tcBorders>
            <w:vAlign w:val="center"/>
          </w:tcPr>
          <w:p w14:paraId="63533A18"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Dataset Size</w:t>
            </w:r>
          </w:p>
        </w:tc>
        <w:tc>
          <w:tcPr>
            <w:tcW w:w="1080" w:type="dxa"/>
            <w:tcBorders>
              <w:top w:val="single" w:sz="4" w:space="0" w:color="000000"/>
              <w:bottom w:val="single" w:sz="4" w:space="0" w:color="000000"/>
            </w:tcBorders>
            <w:vAlign w:val="center"/>
          </w:tcPr>
          <w:p w14:paraId="0AE885D6"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Security Level</w:t>
            </w:r>
          </w:p>
        </w:tc>
        <w:tc>
          <w:tcPr>
            <w:tcW w:w="1800" w:type="dxa"/>
            <w:tcBorders>
              <w:top w:val="single" w:sz="4" w:space="0" w:color="000000"/>
              <w:bottom w:val="single" w:sz="4" w:space="0" w:color="000000"/>
            </w:tcBorders>
            <w:vAlign w:val="center"/>
          </w:tcPr>
          <w:p w14:paraId="1563116D"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Encryption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800" w:type="dxa"/>
            <w:tcBorders>
              <w:top w:val="single" w:sz="4" w:space="0" w:color="000000"/>
              <w:bottom w:val="single" w:sz="4" w:space="0" w:color="000000"/>
            </w:tcBorders>
            <w:vAlign w:val="center"/>
          </w:tcPr>
          <w:p w14:paraId="14A03C4C"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Decryption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890" w:type="dxa"/>
            <w:tcBorders>
              <w:top w:val="single" w:sz="4" w:space="0" w:color="000000"/>
              <w:bottom w:val="single" w:sz="4" w:space="0" w:color="000000"/>
            </w:tcBorders>
            <w:vAlign w:val="center"/>
          </w:tcPr>
          <w:p w14:paraId="6235DDD7"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Throughput (MB/s)</w:t>
            </w:r>
          </w:p>
        </w:tc>
        <w:tc>
          <w:tcPr>
            <w:tcW w:w="1350" w:type="dxa"/>
            <w:tcBorders>
              <w:top w:val="single" w:sz="4" w:space="0" w:color="000000"/>
              <w:bottom w:val="single" w:sz="4" w:space="0" w:color="000000"/>
            </w:tcBorders>
            <w:vAlign w:val="center"/>
          </w:tcPr>
          <w:p w14:paraId="478C5DB7"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Memory Usage (MB)</w:t>
            </w:r>
          </w:p>
        </w:tc>
      </w:tr>
      <w:tr w:rsidR="00787A77" w14:paraId="4AAE4CD8" w14:textId="77777777">
        <w:tc>
          <w:tcPr>
            <w:tcW w:w="1440" w:type="dxa"/>
            <w:vAlign w:val="center"/>
          </w:tcPr>
          <w:p w14:paraId="26E7EC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1K records</w:t>
            </w:r>
          </w:p>
        </w:tc>
        <w:tc>
          <w:tcPr>
            <w:tcW w:w="1080" w:type="dxa"/>
            <w:vAlign w:val="center"/>
          </w:tcPr>
          <w:p w14:paraId="2A75A9FB"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7F06CCA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2.1</w:t>
            </w:r>
          </w:p>
        </w:tc>
        <w:tc>
          <w:tcPr>
            <w:tcW w:w="1800" w:type="dxa"/>
            <w:vAlign w:val="center"/>
          </w:tcPr>
          <w:p w14:paraId="42E65E5D"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 ± 1.8</w:t>
            </w:r>
          </w:p>
        </w:tc>
        <w:tc>
          <w:tcPr>
            <w:tcW w:w="1890" w:type="dxa"/>
            <w:vAlign w:val="center"/>
          </w:tcPr>
          <w:p w14:paraId="1ABEF01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142.3</w:t>
            </w:r>
          </w:p>
        </w:tc>
        <w:tc>
          <w:tcPr>
            <w:tcW w:w="1350" w:type="dxa"/>
            <w:vAlign w:val="center"/>
          </w:tcPr>
          <w:p w14:paraId="2A0CDE0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128.5</w:t>
            </w:r>
          </w:p>
        </w:tc>
      </w:tr>
      <w:tr w:rsidR="00787A77" w14:paraId="16A720A8" w14:textId="77777777">
        <w:tc>
          <w:tcPr>
            <w:tcW w:w="1440" w:type="dxa"/>
            <w:vAlign w:val="center"/>
          </w:tcPr>
          <w:p w14:paraId="1BC6CAF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10K records</w:t>
            </w:r>
          </w:p>
        </w:tc>
        <w:tc>
          <w:tcPr>
            <w:tcW w:w="1080" w:type="dxa"/>
            <w:vAlign w:val="center"/>
          </w:tcPr>
          <w:p w14:paraId="34645C8A"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093EDD9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156.8 ± 7.3</w:t>
            </w:r>
          </w:p>
        </w:tc>
        <w:tc>
          <w:tcPr>
            <w:tcW w:w="1800" w:type="dxa"/>
            <w:vAlign w:val="center"/>
          </w:tcPr>
          <w:p w14:paraId="4BC6EFC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 5.9</w:t>
            </w:r>
          </w:p>
        </w:tc>
        <w:tc>
          <w:tcPr>
            <w:tcW w:w="1890" w:type="dxa"/>
            <w:vAlign w:val="center"/>
          </w:tcPr>
          <w:p w14:paraId="29EA431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387.4</w:t>
            </w:r>
          </w:p>
        </w:tc>
        <w:tc>
          <w:tcPr>
            <w:tcW w:w="1350" w:type="dxa"/>
            <w:vAlign w:val="center"/>
          </w:tcPr>
          <w:p w14:paraId="1B1BDA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256.8</w:t>
            </w:r>
          </w:p>
        </w:tc>
      </w:tr>
      <w:tr w:rsidR="00787A77" w14:paraId="74C94779" w14:textId="77777777">
        <w:tc>
          <w:tcPr>
            <w:tcW w:w="1440" w:type="dxa"/>
            <w:vAlign w:val="center"/>
          </w:tcPr>
          <w:p w14:paraId="249C8980"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50K records</w:t>
            </w:r>
          </w:p>
        </w:tc>
        <w:tc>
          <w:tcPr>
            <w:tcW w:w="1080" w:type="dxa"/>
            <w:vAlign w:val="center"/>
          </w:tcPr>
          <w:p w14:paraId="2453BD6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3B950FD3"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678.9 ± 12.4</w:t>
            </w:r>
          </w:p>
        </w:tc>
        <w:tc>
          <w:tcPr>
            <w:tcW w:w="1800" w:type="dxa"/>
            <w:vAlign w:val="center"/>
          </w:tcPr>
          <w:p w14:paraId="608CE67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589.3 ± 14.7</w:t>
            </w:r>
          </w:p>
        </w:tc>
        <w:tc>
          <w:tcPr>
            <w:tcW w:w="1890" w:type="dxa"/>
            <w:vAlign w:val="center"/>
          </w:tcPr>
          <w:p w14:paraId="18727B1D"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w:t>
            </w:r>
          </w:p>
        </w:tc>
        <w:tc>
          <w:tcPr>
            <w:tcW w:w="1350" w:type="dxa"/>
            <w:vAlign w:val="center"/>
          </w:tcPr>
          <w:p w14:paraId="7AE9C220"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512.3</w:t>
            </w:r>
          </w:p>
        </w:tc>
      </w:tr>
      <w:tr w:rsidR="00787A77" w14:paraId="1FD8F2E9" w14:textId="77777777">
        <w:tc>
          <w:tcPr>
            <w:tcW w:w="1440" w:type="dxa"/>
            <w:vAlign w:val="center"/>
          </w:tcPr>
          <w:p w14:paraId="68C7E4EA"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100K records</w:t>
            </w:r>
          </w:p>
        </w:tc>
        <w:tc>
          <w:tcPr>
            <w:tcW w:w="1080" w:type="dxa"/>
            <w:vAlign w:val="center"/>
          </w:tcPr>
          <w:p w14:paraId="57A5DDD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113D66F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1,234.5 ± 23.8</w:t>
            </w:r>
          </w:p>
        </w:tc>
        <w:tc>
          <w:tcPr>
            <w:tcW w:w="1800" w:type="dxa"/>
            <w:vAlign w:val="center"/>
          </w:tcPr>
          <w:p w14:paraId="7BA3D8F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1,089.7 ± 28.1</w:t>
            </w:r>
          </w:p>
        </w:tc>
        <w:tc>
          <w:tcPr>
            <w:tcW w:w="1890" w:type="dxa"/>
            <w:vAlign w:val="center"/>
          </w:tcPr>
          <w:p w14:paraId="57C831C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634.2</w:t>
            </w:r>
          </w:p>
        </w:tc>
        <w:tc>
          <w:tcPr>
            <w:tcW w:w="1350" w:type="dxa"/>
            <w:vAlign w:val="center"/>
          </w:tcPr>
          <w:p w14:paraId="362AB7C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1,024.6</w:t>
            </w:r>
          </w:p>
        </w:tc>
      </w:tr>
      <w:tr w:rsidR="00787A77" w14:paraId="7BB2E5B8" w14:textId="77777777">
        <w:tc>
          <w:tcPr>
            <w:tcW w:w="1440" w:type="dxa"/>
            <w:vAlign w:val="center"/>
          </w:tcPr>
          <w:p w14:paraId="60EB8F2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1K records</w:t>
            </w:r>
          </w:p>
        </w:tc>
        <w:tc>
          <w:tcPr>
            <w:tcW w:w="1080" w:type="dxa"/>
            <w:vAlign w:val="center"/>
          </w:tcPr>
          <w:p w14:paraId="47E012C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A3D31E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 ± 3.2</w:t>
            </w:r>
          </w:p>
        </w:tc>
        <w:tc>
          <w:tcPr>
            <w:tcW w:w="1800" w:type="dxa"/>
            <w:vAlign w:val="center"/>
          </w:tcPr>
          <w:p w14:paraId="18B18F4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59.4 ± 2.7</w:t>
            </w:r>
          </w:p>
        </w:tc>
        <w:tc>
          <w:tcPr>
            <w:tcW w:w="1890" w:type="dxa"/>
            <w:vAlign w:val="center"/>
          </w:tcPr>
          <w:p w14:paraId="6ED1FD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350" w:type="dxa"/>
            <w:vAlign w:val="center"/>
          </w:tcPr>
          <w:p w14:paraId="09040EA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p>
        </w:tc>
      </w:tr>
      <w:tr w:rsidR="00787A77" w14:paraId="1E0F04DF" w14:textId="77777777">
        <w:tc>
          <w:tcPr>
            <w:tcW w:w="1440" w:type="dxa"/>
            <w:vAlign w:val="center"/>
          </w:tcPr>
          <w:p w14:paraId="1923C7D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10K records</w:t>
            </w:r>
          </w:p>
        </w:tc>
        <w:tc>
          <w:tcPr>
            <w:tcW w:w="1080" w:type="dxa"/>
            <w:vAlign w:val="center"/>
          </w:tcPr>
          <w:p w14:paraId="0CB76B9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3A72E7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234.7 ± 9.8</w:t>
            </w:r>
          </w:p>
        </w:tc>
        <w:tc>
          <w:tcPr>
            <w:tcW w:w="1800" w:type="dxa"/>
            <w:vAlign w:val="center"/>
          </w:tcPr>
          <w:p w14:paraId="6FAE3DF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201.3 ± 8.4</w:t>
            </w:r>
          </w:p>
        </w:tc>
        <w:tc>
          <w:tcPr>
            <w:tcW w:w="1890" w:type="dxa"/>
            <w:vAlign w:val="center"/>
          </w:tcPr>
          <w:p w14:paraId="0A8BB8C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267.9</w:t>
            </w:r>
          </w:p>
        </w:tc>
        <w:tc>
          <w:tcPr>
            <w:tcW w:w="1350" w:type="dxa"/>
            <w:vAlign w:val="center"/>
          </w:tcPr>
          <w:p w14:paraId="2D3D270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371.2</w:t>
            </w:r>
          </w:p>
        </w:tc>
      </w:tr>
      <w:tr w:rsidR="00787A77" w14:paraId="100A507C" w14:textId="77777777">
        <w:tc>
          <w:tcPr>
            <w:tcW w:w="1440" w:type="dxa"/>
            <w:vAlign w:val="center"/>
          </w:tcPr>
          <w:p w14:paraId="413AA3D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50K records</w:t>
            </w:r>
          </w:p>
        </w:tc>
        <w:tc>
          <w:tcPr>
            <w:tcW w:w="1080" w:type="dxa"/>
            <w:vAlign w:val="center"/>
          </w:tcPr>
          <w:p w14:paraId="01AD791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70AD0A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1,023.4 ± 18.7</w:t>
            </w:r>
          </w:p>
        </w:tc>
        <w:tc>
          <w:tcPr>
            <w:tcW w:w="1800" w:type="dxa"/>
            <w:vAlign w:val="center"/>
          </w:tcPr>
          <w:p w14:paraId="74F36F1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887.6 ± 21.3</w:t>
            </w:r>
          </w:p>
        </w:tc>
        <w:tc>
          <w:tcPr>
            <w:tcW w:w="1890" w:type="dxa"/>
            <w:vAlign w:val="center"/>
          </w:tcPr>
          <w:p w14:paraId="39F9766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394.8</w:t>
            </w:r>
          </w:p>
        </w:tc>
        <w:tc>
          <w:tcPr>
            <w:tcW w:w="1350" w:type="dxa"/>
            <w:vAlign w:val="center"/>
          </w:tcPr>
          <w:p w14:paraId="3241594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742.8</w:t>
            </w:r>
          </w:p>
        </w:tc>
      </w:tr>
      <w:tr w:rsidR="00787A77" w14:paraId="4DD5B64C" w14:textId="77777777">
        <w:tc>
          <w:tcPr>
            <w:tcW w:w="1440" w:type="dxa"/>
            <w:tcBorders>
              <w:bottom w:val="single" w:sz="4" w:space="0" w:color="000000"/>
            </w:tcBorders>
            <w:vAlign w:val="center"/>
          </w:tcPr>
          <w:p w14:paraId="76BE632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100K records</w:t>
            </w:r>
          </w:p>
        </w:tc>
        <w:tc>
          <w:tcPr>
            <w:tcW w:w="1080" w:type="dxa"/>
            <w:tcBorders>
              <w:bottom w:val="single" w:sz="4" w:space="0" w:color="000000"/>
            </w:tcBorders>
            <w:vAlign w:val="center"/>
          </w:tcPr>
          <w:p w14:paraId="00EF0BF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tcBorders>
              <w:bottom w:val="single" w:sz="4" w:space="0" w:color="000000"/>
            </w:tcBorders>
            <w:vAlign w:val="center"/>
          </w:tcPr>
          <w:p w14:paraId="6DABB88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1,876.3 ± 34.2</w:t>
            </w:r>
          </w:p>
        </w:tc>
        <w:tc>
          <w:tcPr>
            <w:tcW w:w="1800" w:type="dxa"/>
            <w:tcBorders>
              <w:bottom w:val="single" w:sz="4" w:space="0" w:color="000000"/>
            </w:tcBorders>
            <w:vAlign w:val="center"/>
          </w:tcPr>
          <w:p w14:paraId="6FD4230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1,623.8 ± 38.9</w:t>
            </w:r>
          </w:p>
        </w:tc>
        <w:tc>
          <w:tcPr>
            <w:tcW w:w="1890" w:type="dxa"/>
            <w:tcBorders>
              <w:bottom w:val="single" w:sz="4" w:space="0" w:color="000000"/>
            </w:tcBorders>
            <w:vAlign w:val="center"/>
          </w:tcPr>
          <w:p w14:paraId="3850000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456.1</w:t>
            </w:r>
          </w:p>
        </w:tc>
        <w:tc>
          <w:tcPr>
            <w:tcW w:w="1350" w:type="dxa"/>
            <w:tcBorders>
              <w:bottom w:val="single" w:sz="4" w:space="0" w:color="000000"/>
            </w:tcBorders>
            <w:vAlign w:val="center"/>
          </w:tcPr>
          <w:p w14:paraId="701E19E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1,485.7</w:t>
            </w:r>
          </w:p>
        </w:tc>
      </w:tr>
    </w:tbl>
    <w:p w14:paraId="3D1C6D35" w14:textId="77777777" w:rsidR="001154FC" w:rsidRDefault="00193355" w:rsidP="001154F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3</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Encryption Time Performance vs Dataset Size for Different Security Levels.</w:t>
      </w:r>
    </w:p>
    <w:p w14:paraId="1ABF5EBF" w14:textId="06965C3B" w:rsidR="00787A77" w:rsidRDefault="00787A77">
      <w:pPr>
        <w:spacing w:before="240" w:line="360" w:lineRule="auto"/>
        <w:jc w:val="both"/>
        <w:rPr>
          <w:rFonts w:ascii="Times New Roman" w:eastAsia="Times New Roman" w:hAnsi="Times New Roman" w:cs="Times New Roman"/>
          <w:b/>
          <w:sz w:val="24"/>
          <w:szCs w:val="24"/>
        </w:rPr>
      </w:pPr>
    </w:p>
    <w:p w14:paraId="0A7E745C"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E3C528" wp14:editId="4A0F737C">
            <wp:extent cx="4570553" cy="27760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8894"/>
                    <a:stretch>
                      <a:fillRect/>
                    </a:stretch>
                  </pic:blipFill>
                  <pic:spPr>
                    <a:xfrm>
                      <a:off x="0" y="0"/>
                      <a:ext cx="4570553" cy="2776025"/>
                    </a:xfrm>
                    <a:prstGeom prst="rect">
                      <a:avLst/>
                    </a:prstGeom>
                    <a:ln/>
                  </pic:spPr>
                </pic:pic>
              </a:graphicData>
            </a:graphic>
          </wp:inline>
        </w:drawing>
      </w:r>
    </w:p>
    <w:p w14:paraId="3042A5C5"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Homomorphic operations further highlighted the hybrid approach's efficacy, with execution times and accuracy detailed in Table 2 from factorial experiments varying operation types. Multiplication in the hybrid mode averaged 67.9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with 99.89% accuracy and 1.15x noise growth, outperforming single schemes by 18.4% in speed while keeping relative error below 0.11%.</w:t>
      </w:r>
    </w:p>
    <w:p w14:paraId="07DE40D3" w14:textId="45CAB92C"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Homomorphic Operation Performance</w:t>
      </w:r>
    </w:p>
    <w:p w14:paraId="7469925A" w14:textId="588512A7" w:rsidR="00787A77" w:rsidRDefault="00787A77">
      <w:pPr>
        <w:spacing w:line="360" w:lineRule="auto"/>
        <w:jc w:val="both"/>
        <w:rPr>
          <w:rFonts w:ascii="Times New Roman" w:eastAsia="Times New Roman" w:hAnsi="Times New Roman" w:cs="Times New Roman"/>
          <w:i/>
          <w:sz w:val="24"/>
          <w:szCs w:val="24"/>
        </w:rPr>
      </w:pPr>
    </w:p>
    <w:tbl>
      <w:tblPr>
        <w:tblStyle w:val="a0"/>
        <w:tblW w:w="9239" w:type="dxa"/>
        <w:tblInd w:w="0" w:type="dxa"/>
        <w:tblLayout w:type="fixed"/>
        <w:tblLook w:val="0400" w:firstRow="0" w:lastRow="0" w:firstColumn="0" w:lastColumn="0" w:noHBand="0" w:noVBand="1"/>
      </w:tblPr>
      <w:tblGrid>
        <w:gridCol w:w="1710"/>
        <w:gridCol w:w="1530"/>
        <w:gridCol w:w="1620"/>
        <w:gridCol w:w="1584"/>
        <w:gridCol w:w="1566"/>
        <w:gridCol w:w="1229"/>
      </w:tblGrid>
      <w:tr w:rsidR="00787A77" w14:paraId="7DC6A2C9" w14:textId="77777777">
        <w:trPr>
          <w:tblHeader/>
        </w:trPr>
        <w:tc>
          <w:tcPr>
            <w:tcW w:w="1710" w:type="dxa"/>
            <w:tcBorders>
              <w:top w:val="single" w:sz="4" w:space="0" w:color="000000"/>
              <w:bottom w:val="single" w:sz="4" w:space="0" w:color="000000"/>
            </w:tcBorders>
            <w:vAlign w:val="center"/>
          </w:tcPr>
          <w:p w14:paraId="11206D4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Operation Type</w:t>
            </w:r>
          </w:p>
        </w:tc>
        <w:tc>
          <w:tcPr>
            <w:tcW w:w="1530" w:type="dxa"/>
            <w:tcBorders>
              <w:top w:val="single" w:sz="4" w:space="0" w:color="000000"/>
              <w:bottom w:val="single" w:sz="4" w:space="0" w:color="000000"/>
            </w:tcBorders>
            <w:vAlign w:val="center"/>
          </w:tcPr>
          <w:p w14:paraId="240CE38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BFV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620" w:type="dxa"/>
            <w:tcBorders>
              <w:top w:val="single" w:sz="4" w:space="0" w:color="000000"/>
              <w:bottom w:val="single" w:sz="4" w:space="0" w:color="000000"/>
            </w:tcBorders>
            <w:vAlign w:val="center"/>
          </w:tcPr>
          <w:p w14:paraId="1D81AEB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CKKS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584" w:type="dxa"/>
            <w:tcBorders>
              <w:top w:val="single" w:sz="4" w:space="0" w:color="000000"/>
              <w:bottom w:val="single" w:sz="4" w:space="0" w:color="000000"/>
            </w:tcBorders>
            <w:vAlign w:val="center"/>
          </w:tcPr>
          <w:p w14:paraId="1318D2A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Hybrid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566" w:type="dxa"/>
            <w:tcBorders>
              <w:top w:val="single" w:sz="4" w:space="0" w:color="000000"/>
              <w:bottom w:val="single" w:sz="4" w:space="0" w:color="000000"/>
            </w:tcBorders>
            <w:vAlign w:val="center"/>
          </w:tcPr>
          <w:p w14:paraId="3A55927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Accuracy (%)</w:t>
            </w:r>
          </w:p>
        </w:tc>
        <w:tc>
          <w:tcPr>
            <w:tcW w:w="1229" w:type="dxa"/>
            <w:tcBorders>
              <w:top w:val="single" w:sz="4" w:space="0" w:color="000000"/>
              <w:bottom w:val="single" w:sz="4" w:space="0" w:color="000000"/>
            </w:tcBorders>
            <w:vAlign w:val="center"/>
          </w:tcPr>
          <w:p w14:paraId="7FE1354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Noise Growth</w:t>
            </w:r>
          </w:p>
        </w:tc>
      </w:tr>
      <w:tr w:rsidR="00787A77" w14:paraId="0DD6E874" w14:textId="77777777">
        <w:tc>
          <w:tcPr>
            <w:tcW w:w="1710" w:type="dxa"/>
            <w:vAlign w:val="center"/>
          </w:tcPr>
          <w:p w14:paraId="485FF4B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w:t>
            </w:r>
          </w:p>
        </w:tc>
        <w:tc>
          <w:tcPr>
            <w:tcW w:w="1530" w:type="dxa"/>
            <w:vAlign w:val="center"/>
          </w:tcPr>
          <w:p w14:paraId="243C593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 0.1</w:t>
            </w:r>
          </w:p>
        </w:tc>
        <w:tc>
          <w:tcPr>
            <w:tcW w:w="1620" w:type="dxa"/>
            <w:vAlign w:val="center"/>
          </w:tcPr>
          <w:p w14:paraId="3A375E0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0.2</w:t>
            </w:r>
          </w:p>
        </w:tc>
        <w:tc>
          <w:tcPr>
            <w:tcW w:w="1584" w:type="dxa"/>
            <w:vAlign w:val="center"/>
          </w:tcPr>
          <w:p w14:paraId="79203F6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0.1</w:t>
            </w:r>
          </w:p>
        </w:tc>
        <w:tc>
          <w:tcPr>
            <w:tcW w:w="1566" w:type="dxa"/>
            <w:vAlign w:val="center"/>
          </w:tcPr>
          <w:p w14:paraId="652E8B4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99.97</w:t>
            </w:r>
          </w:p>
        </w:tc>
        <w:tc>
          <w:tcPr>
            <w:tcW w:w="1229" w:type="dxa"/>
            <w:vAlign w:val="center"/>
          </w:tcPr>
          <w:p w14:paraId="45A2B3C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1.02x</w:t>
            </w:r>
          </w:p>
        </w:tc>
      </w:tr>
      <w:tr w:rsidR="00787A77" w14:paraId="72B9A892" w14:textId="77777777">
        <w:tc>
          <w:tcPr>
            <w:tcW w:w="1710" w:type="dxa"/>
            <w:vAlign w:val="center"/>
          </w:tcPr>
          <w:p w14:paraId="08A06ED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Subtraction</w:t>
            </w:r>
          </w:p>
        </w:tc>
        <w:tc>
          <w:tcPr>
            <w:tcW w:w="1530" w:type="dxa"/>
            <w:vAlign w:val="center"/>
          </w:tcPr>
          <w:p w14:paraId="0DC96A5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 0.2</w:t>
            </w:r>
          </w:p>
        </w:tc>
        <w:tc>
          <w:tcPr>
            <w:tcW w:w="1620" w:type="dxa"/>
            <w:vAlign w:val="center"/>
          </w:tcPr>
          <w:p w14:paraId="0300D6C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 0.3</w:t>
            </w:r>
          </w:p>
        </w:tc>
        <w:tc>
          <w:tcPr>
            <w:tcW w:w="1584" w:type="dxa"/>
            <w:vAlign w:val="center"/>
          </w:tcPr>
          <w:p w14:paraId="523C8E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 0.2</w:t>
            </w:r>
          </w:p>
        </w:tc>
        <w:tc>
          <w:tcPr>
            <w:tcW w:w="1566" w:type="dxa"/>
            <w:vAlign w:val="center"/>
          </w:tcPr>
          <w:p w14:paraId="782CCD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99.96</w:t>
            </w:r>
          </w:p>
        </w:tc>
        <w:tc>
          <w:tcPr>
            <w:tcW w:w="1229" w:type="dxa"/>
            <w:vAlign w:val="center"/>
          </w:tcPr>
          <w:p w14:paraId="69D6DB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1.03x</w:t>
            </w:r>
          </w:p>
        </w:tc>
      </w:tr>
      <w:tr w:rsidR="00787A77" w14:paraId="4B7DCD6B" w14:textId="77777777">
        <w:tc>
          <w:tcPr>
            <w:tcW w:w="1710" w:type="dxa"/>
            <w:vAlign w:val="center"/>
          </w:tcPr>
          <w:p w14:paraId="5784D5F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Multiplication</w:t>
            </w:r>
          </w:p>
        </w:tc>
        <w:tc>
          <w:tcPr>
            <w:tcW w:w="1530" w:type="dxa"/>
            <w:vAlign w:val="center"/>
          </w:tcPr>
          <w:p w14:paraId="1E12029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78.6 ± 4.3</w:t>
            </w:r>
          </w:p>
        </w:tc>
        <w:tc>
          <w:tcPr>
            <w:tcW w:w="1620" w:type="dxa"/>
            <w:vAlign w:val="center"/>
          </w:tcPr>
          <w:p w14:paraId="33F9E6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82.4 ± 5.1</w:t>
            </w:r>
          </w:p>
        </w:tc>
        <w:tc>
          <w:tcPr>
            <w:tcW w:w="1584" w:type="dxa"/>
            <w:vAlign w:val="center"/>
          </w:tcPr>
          <w:p w14:paraId="1508897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67.9 ± 3.8</w:t>
            </w:r>
          </w:p>
        </w:tc>
        <w:tc>
          <w:tcPr>
            <w:tcW w:w="1566" w:type="dxa"/>
            <w:vAlign w:val="center"/>
          </w:tcPr>
          <w:p w14:paraId="038F16E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99.89</w:t>
            </w:r>
          </w:p>
        </w:tc>
        <w:tc>
          <w:tcPr>
            <w:tcW w:w="1229" w:type="dxa"/>
            <w:vAlign w:val="center"/>
          </w:tcPr>
          <w:p w14:paraId="236DEF3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1.15x</w:t>
            </w:r>
          </w:p>
        </w:tc>
      </w:tr>
      <w:tr w:rsidR="00787A77" w14:paraId="6C945688" w14:textId="77777777">
        <w:tc>
          <w:tcPr>
            <w:tcW w:w="1710" w:type="dxa"/>
            <w:vAlign w:val="center"/>
          </w:tcPr>
          <w:p w14:paraId="343E589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Aggregation</w:t>
            </w:r>
          </w:p>
        </w:tc>
        <w:tc>
          <w:tcPr>
            <w:tcW w:w="1530" w:type="dxa"/>
            <w:vAlign w:val="center"/>
          </w:tcPr>
          <w:p w14:paraId="56D86C3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 ± 2.8</w:t>
            </w:r>
          </w:p>
        </w:tc>
        <w:tc>
          <w:tcPr>
            <w:tcW w:w="1620" w:type="dxa"/>
            <w:vAlign w:val="center"/>
          </w:tcPr>
          <w:p w14:paraId="47BC8D5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 3.4</w:t>
            </w:r>
          </w:p>
        </w:tc>
        <w:tc>
          <w:tcPr>
            <w:tcW w:w="1584" w:type="dxa"/>
            <w:vAlign w:val="center"/>
          </w:tcPr>
          <w:p w14:paraId="27880DA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 ± 2.1</w:t>
            </w:r>
          </w:p>
        </w:tc>
        <w:tc>
          <w:tcPr>
            <w:tcW w:w="1566" w:type="dxa"/>
            <w:vAlign w:val="center"/>
          </w:tcPr>
          <w:p w14:paraId="298012C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99.94</w:t>
            </w:r>
          </w:p>
        </w:tc>
        <w:tc>
          <w:tcPr>
            <w:tcW w:w="1229" w:type="dxa"/>
            <w:vAlign w:val="center"/>
          </w:tcPr>
          <w:p w14:paraId="315D8A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1.08x</w:t>
            </w:r>
          </w:p>
        </w:tc>
      </w:tr>
      <w:tr w:rsidR="00787A77" w14:paraId="3032E02E" w14:textId="77777777">
        <w:tc>
          <w:tcPr>
            <w:tcW w:w="1710" w:type="dxa"/>
            <w:vAlign w:val="center"/>
          </w:tcPr>
          <w:p w14:paraId="11C87E9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w:t>
            </w:r>
          </w:p>
        </w:tc>
        <w:tc>
          <w:tcPr>
            <w:tcW w:w="1530" w:type="dxa"/>
            <w:vAlign w:val="center"/>
          </w:tcPr>
          <w:p w14:paraId="53AC4E8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156.8 ± 8.7</w:t>
            </w:r>
          </w:p>
        </w:tc>
        <w:tc>
          <w:tcPr>
            <w:tcW w:w="1620" w:type="dxa"/>
            <w:vAlign w:val="center"/>
          </w:tcPr>
          <w:p w14:paraId="144D60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584" w:type="dxa"/>
            <w:vAlign w:val="center"/>
          </w:tcPr>
          <w:p w14:paraId="7774E4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 7.2</w:t>
            </w:r>
          </w:p>
        </w:tc>
        <w:tc>
          <w:tcPr>
            <w:tcW w:w="1566" w:type="dxa"/>
            <w:vAlign w:val="center"/>
          </w:tcPr>
          <w:p w14:paraId="5A5BFFB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99.82</w:t>
            </w:r>
          </w:p>
        </w:tc>
        <w:tc>
          <w:tcPr>
            <w:tcW w:w="1229" w:type="dxa"/>
            <w:vAlign w:val="center"/>
          </w:tcPr>
          <w:p w14:paraId="166EB5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1.23x</w:t>
            </w:r>
          </w:p>
        </w:tc>
      </w:tr>
      <w:tr w:rsidR="00787A77" w14:paraId="0E06E249" w14:textId="77777777">
        <w:tc>
          <w:tcPr>
            <w:tcW w:w="1710" w:type="dxa"/>
            <w:tcBorders>
              <w:bottom w:val="single" w:sz="4" w:space="0" w:color="000000"/>
            </w:tcBorders>
            <w:vAlign w:val="center"/>
          </w:tcPr>
          <w:p w14:paraId="2ACF06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w:t>
            </w:r>
          </w:p>
        </w:tc>
        <w:tc>
          <w:tcPr>
            <w:tcW w:w="1530" w:type="dxa"/>
            <w:tcBorders>
              <w:bottom w:val="single" w:sz="4" w:space="0" w:color="000000"/>
            </w:tcBorders>
            <w:vAlign w:val="center"/>
          </w:tcPr>
          <w:p w14:paraId="6336428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234.5 ± 12.4</w:t>
            </w:r>
          </w:p>
        </w:tc>
        <w:tc>
          <w:tcPr>
            <w:tcW w:w="1620" w:type="dxa"/>
            <w:tcBorders>
              <w:bottom w:val="single" w:sz="4" w:space="0" w:color="000000"/>
            </w:tcBorders>
            <w:vAlign w:val="center"/>
          </w:tcPr>
          <w:p w14:paraId="33A371C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198.7 ± 9.8</w:t>
            </w:r>
          </w:p>
        </w:tc>
        <w:tc>
          <w:tcPr>
            <w:tcW w:w="1584" w:type="dxa"/>
            <w:tcBorders>
              <w:bottom w:val="single" w:sz="4" w:space="0" w:color="000000"/>
            </w:tcBorders>
            <w:vAlign w:val="center"/>
          </w:tcPr>
          <w:p w14:paraId="20511B1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187.3 ± 8.9</w:t>
            </w:r>
          </w:p>
        </w:tc>
        <w:tc>
          <w:tcPr>
            <w:tcW w:w="1566" w:type="dxa"/>
            <w:tcBorders>
              <w:bottom w:val="single" w:sz="4" w:space="0" w:color="000000"/>
            </w:tcBorders>
            <w:vAlign w:val="center"/>
          </w:tcPr>
          <w:p w14:paraId="628815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99.78</w:t>
            </w:r>
          </w:p>
        </w:tc>
        <w:tc>
          <w:tcPr>
            <w:tcW w:w="1229" w:type="dxa"/>
            <w:tcBorders>
              <w:bottom w:val="single" w:sz="4" w:space="0" w:color="000000"/>
            </w:tcBorders>
            <w:vAlign w:val="center"/>
          </w:tcPr>
          <w:p w14:paraId="19C0A1A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1.18x</w:t>
            </w:r>
          </w:p>
        </w:tc>
      </w:tr>
    </w:tbl>
    <w:p w14:paraId="3923B0BC" w14:textId="401D3E38"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 optimization converged in 12.3 iterations on average, yielding 31.2% overhead reduction, as visualized in Figure 4, which plots convergence curves for latency minimization showing prediction accuracy rising to 94.7% after 50,000 requests.</w:t>
      </w:r>
    </w:p>
    <w:p w14:paraId="293FE833"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validation through attack tree modeling showed low success rates, detailed in Table 3, where brute-force attacks had 0% success and lattice attacks 0.2%. Figure 4 displays the attack vector security metrics</w:t>
      </w:r>
    </w:p>
    <w:p w14:paraId="13BBC672" w14:textId="1A6958A0"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Security Validation Metrics</w:t>
      </w:r>
    </w:p>
    <w:p w14:paraId="25B8B5B1" w14:textId="74D56D32" w:rsidR="00787A77" w:rsidRDefault="00787A77">
      <w:pPr>
        <w:spacing w:line="360" w:lineRule="auto"/>
        <w:jc w:val="both"/>
        <w:rPr>
          <w:rFonts w:ascii="Times New Roman" w:eastAsia="Times New Roman" w:hAnsi="Times New Roman" w:cs="Times New Roman"/>
          <w:i/>
          <w:sz w:val="24"/>
          <w:szCs w:val="24"/>
        </w:rPr>
      </w:pPr>
    </w:p>
    <w:tbl>
      <w:tblPr>
        <w:tblStyle w:val="a1"/>
        <w:tblW w:w="9317" w:type="dxa"/>
        <w:tblInd w:w="0" w:type="dxa"/>
        <w:tblLayout w:type="fixed"/>
        <w:tblLook w:val="0400" w:firstRow="0" w:lastRow="0" w:firstColumn="0" w:lastColumn="0" w:noHBand="0" w:noVBand="1"/>
      </w:tblPr>
      <w:tblGrid>
        <w:gridCol w:w="1709"/>
        <w:gridCol w:w="1833"/>
        <w:gridCol w:w="2033"/>
        <w:gridCol w:w="2127"/>
        <w:gridCol w:w="1615"/>
      </w:tblGrid>
      <w:tr w:rsidR="00787A77" w14:paraId="729E220A" w14:textId="77777777">
        <w:trPr>
          <w:tblHeader/>
        </w:trPr>
        <w:tc>
          <w:tcPr>
            <w:tcW w:w="1709" w:type="dxa"/>
            <w:tcBorders>
              <w:top w:val="single" w:sz="4" w:space="0" w:color="000000"/>
              <w:bottom w:val="single" w:sz="4" w:space="0" w:color="000000"/>
            </w:tcBorders>
            <w:vAlign w:val="center"/>
          </w:tcPr>
          <w:p w14:paraId="3A1F1C92"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Attack Vector</w:t>
            </w:r>
          </w:p>
        </w:tc>
        <w:tc>
          <w:tcPr>
            <w:tcW w:w="1833" w:type="dxa"/>
            <w:tcBorders>
              <w:top w:val="single" w:sz="4" w:space="0" w:color="000000"/>
              <w:bottom w:val="single" w:sz="4" w:space="0" w:color="000000"/>
            </w:tcBorders>
            <w:vAlign w:val="center"/>
          </w:tcPr>
          <w:p w14:paraId="5697DBA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Success Rate (%)</w:t>
            </w:r>
          </w:p>
        </w:tc>
        <w:tc>
          <w:tcPr>
            <w:tcW w:w="2033" w:type="dxa"/>
            <w:tcBorders>
              <w:top w:val="single" w:sz="4" w:space="0" w:color="000000"/>
              <w:bottom w:val="single" w:sz="4" w:space="0" w:color="000000"/>
            </w:tcBorders>
            <w:vAlign w:val="center"/>
          </w:tcPr>
          <w:p w14:paraId="1AD1EAD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Detection Rate (%)</w:t>
            </w:r>
          </w:p>
        </w:tc>
        <w:tc>
          <w:tcPr>
            <w:tcW w:w="2127" w:type="dxa"/>
            <w:tcBorders>
              <w:top w:val="single" w:sz="4" w:space="0" w:color="000000"/>
              <w:bottom w:val="single" w:sz="4" w:space="0" w:color="000000"/>
            </w:tcBorders>
            <w:vAlign w:val="center"/>
          </w:tcPr>
          <w:p w14:paraId="0229E4F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Time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1615" w:type="dxa"/>
            <w:tcBorders>
              <w:top w:val="single" w:sz="4" w:space="0" w:color="000000"/>
              <w:bottom w:val="single" w:sz="4" w:space="0" w:color="000000"/>
            </w:tcBorders>
            <w:vAlign w:val="center"/>
          </w:tcPr>
          <w:p w14:paraId="1C408795"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Mitigation (%)</w:t>
            </w:r>
          </w:p>
        </w:tc>
      </w:tr>
      <w:tr w:rsidR="00787A77" w14:paraId="5EDD7CD8" w14:textId="77777777">
        <w:tc>
          <w:tcPr>
            <w:tcW w:w="1709" w:type="dxa"/>
            <w:vAlign w:val="center"/>
          </w:tcPr>
          <w:p w14:paraId="378CD25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Brute Force</w:t>
            </w:r>
          </w:p>
        </w:tc>
        <w:tc>
          <w:tcPr>
            <w:tcW w:w="1833" w:type="dxa"/>
            <w:vAlign w:val="center"/>
          </w:tcPr>
          <w:p w14:paraId="306E456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033" w:type="dxa"/>
            <w:vAlign w:val="center"/>
          </w:tcPr>
          <w:p w14:paraId="116A16B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127" w:type="dxa"/>
            <w:vAlign w:val="center"/>
          </w:tcPr>
          <w:p w14:paraId="2DF5C2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615" w:type="dxa"/>
            <w:vAlign w:val="center"/>
          </w:tcPr>
          <w:p w14:paraId="482F6F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87A77" w14:paraId="4C22B6C3" w14:textId="77777777">
        <w:tc>
          <w:tcPr>
            <w:tcW w:w="1709" w:type="dxa"/>
            <w:vAlign w:val="center"/>
          </w:tcPr>
          <w:p w14:paraId="720B619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Side-Channel</w:t>
            </w:r>
          </w:p>
        </w:tc>
        <w:tc>
          <w:tcPr>
            <w:tcW w:w="1833" w:type="dxa"/>
            <w:vAlign w:val="center"/>
          </w:tcPr>
          <w:p w14:paraId="39AC49C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033" w:type="dxa"/>
            <w:vAlign w:val="center"/>
          </w:tcPr>
          <w:p w14:paraId="21983D3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97.7</w:t>
            </w:r>
          </w:p>
        </w:tc>
        <w:tc>
          <w:tcPr>
            <w:tcW w:w="2127" w:type="dxa"/>
            <w:vAlign w:val="center"/>
          </w:tcPr>
          <w:p w14:paraId="6871A84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615" w:type="dxa"/>
            <w:vAlign w:val="center"/>
          </w:tcPr>
          <w:p w14:paraId="6B52375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787A77" w14:paraId="15C6EF68" w14:textId="77777777">
        <w:tc>
          <w:tcPr>
            <w:tcW w:w="1709" w:type="dxa"/>
            <w:vAlign w:val="center"/>
          </w:tcPr>
          <w:p w14:paraId="6ACA37D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Chosen Plaintext</w:t>
            </w:r>
          </w:p>
        </w:tc>
        <w:tc>
          <w:tcPr>
            <w:tcW w:w="1833" w:type="dxa"/>
            <w:vAlign w:val="center"/>
          </w:tcPr>
          <w:p w14:paraId="6ACE487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033" w:type="dxa"/>
            <w:vAlign w:val="center"/>
          </w:tcPr>
          <w:p w14:paraId="06BEF12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c>
          <w:tcPr>
            <w:tcW w:w="2127" w:type="dxa"/>
            <w:vAlign w:val="center"/>
          </w:tcPr>
          <w:p w14:paraId="6635F24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c>
          <w:tcPr>
            <w:tcW w:w="1615" w:type="dxa"/>
            <w:vAlign w:val="center"/>
          </w:tcPr>
          <w:p w14:paraId="3E9C85D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r>
      <w:tr w:rsidR="00787A77" w14:paraId="09F9B77E" w14:textId="77777777">
        <w:tc>
          <w:tcPr>
            <w:tcW w:w="1709" w:type="dxa"/>
            <w:vAlign w:val="center"/>
          </w:tcPr>
          <w:p w14:paraId="0BDB370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Known Plaintext</w:t>
            </w:r>
          </w:p>
        </w:tc>
        <w:tc>
          <w:tcPr>
            <w:tcW w:w="1833" w:type="dxa"/>
            <w:vAlign w:val="center"/>
          </w:tcPr>
          <w:p w14:paraId="73DA137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33" w:type="dxa"/>
            <w:vAlign w:val="center"/>
          </w:tcPr>
          <w:p w14:paraId="102A21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c>
          <w:tcPr>
            <w:tcW w:w="2127" w:type="dxa"/>
            <w:vAlign w:val="center"/>
          </w:tcPr>
          <w:p w14:paraId="3B5A31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615" w:type="dxa"/>
            <w:vAlign w:val="center"/>
          </w:tcPr>
          <w:p w14:paraId="0E27050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r>
      <w:tr w:rsidR="00787A77" w14:paraId="6B1420BF" w14:textId="77777777">
        <w:tc>
          <w:tcPr>
            <w:tcW w:w="1709" w:type="dxa"/>
            <w:vAlign w:val="center"/>
          </w:tcPr>
          <w:p w14:paraId="4C01023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Fault Injection</w:t>
            </w:r>
          </w:p>
        </w:tc>
        <w:tc>
          <w:tcPr>
            <w:tcW w:w="1833" w:type="dxa"/>
            <w:vAlign w:val="center"/>
          </w:tcPr>
          <w:p w14:paraId="5DBFB11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033" w:type="dxa"/>
            <w:vAlign w:val="center"/>
          </w:tcPr>
          <w:p w14:paraId="1DFA359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96.9</w:t>
            </w:r>
          </w:p>
        </w:tc>
        <w:tc>
          <w:tcPr>
            <w:tcW w:w="2127" w:type="dxa"/>
            <w:vAlign w:val="center"/>
          </w:tcPr>
          <w:p w14:paraId="22E5F6E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c>
          <w:tcPr>
            <w:tcW w:w="1615" w:type="dxa"/>
            <w:vAlign w:val="center"/>
          </w:tcPr>
          <w:p w14:paraId="6B3F00F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p>
        </w:tc>
      </w:tr>
      <w:tr w:rsidR="00787A77" w14:paraId="36139AA4" w14:textId="77777777">
        <w:tc>
          <w:tcPr>
            <w:tcW w:w="1709" w:type="dxa"/>
            <w:vAlign w:val="center"/>
          </w:tcPr>
          <w:p w14:paraId="7E3941A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Lattice Attack</w:t>
            </w:r>
          </w:p>
        </w:tc>
        <w:tc>
          <w:tcPr>
            <w:tcW w:w="1833" w:type="dxa"/>
            <w:vAlign w:val="center"/>
          </w:tcPr>
          <w:p w14:paraId="7599D1F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033" w:type="dxa"/>
            <w:vAlign w:val="center"/>
          </w:tcPr>
          <w:p w14:paraId="29196A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c>
          <w:tcPr>
            <w:tcW w:w="2127" w:type="dxa"/>
            <w:vAlign w:val="center"/>
          </w:tcPr>
          <w:p w14:paraId="4F10811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w:t>
            </w:r>
          </w:p>
        </w:tc>
        <w:tc>
          <w:tcPr>
            <w:tcW w:w="1615" w:type="dxa"/>
            <w:vAlign w:val="center"/>
          </w:tcPr>
          <w:p w14:paraId="4734224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r>
      <w:tr w:rsidR="00787A77" w14:paraId="5625B956" w14:textId="77777777">
        <w:tc>
          <w:tcPr>
            <w:tcW w:w="1709" w:type="dxa"/>
            <w:tcBorders>
              <w:bottom w:val="single" w:sz="4" w:space="0" w:color="000000"/>
            </w:tcBorders>
            <w:vAlign w:val="center"/>
          </w:tcPr>
          <w:p w14:paraId="29205CC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Insider Threat</w:t>
            </w:r>
          </w:p>
        </w:tc>
        <w:tc>
          <w:tcPr>
            <w:tcW w:w="1833" w:type="dxa"/>
            <w:tcBorders>
              <w:bottom w:val="single" w:sz="4" w:space="0" w:color="000000"/>
            </w:tcBorders>
            <w:vAlign w:val="center"/>
          </w:tcPr>
          <w:p w14:paraId="5994C21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033" w:type="dxa"/>
            <w:tcBorders>
              <w:bottom w:val="single" w:sz="4" w:space="0" w:color="000000"/>
            </w:tcBorders>
            <w:vAlign w:val="center"/>
          </w:tcPr>
          <w:p w14:paraId="3AE5FCB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tc>
        <w:tc>
          <w:tcPr>
            <w:tcW w:w="2127" w:type="dxa"/>
            <w:tcBorders>
              <w:bottom w:val="single" w:sz="4" w:space="0" w:color="000000"/>
            </w:tcBorders>
            <w:vAlign w:val="center"/>
          </w:tcPr>
          <w:p w14:paraId="241CB9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234.6</w:t>
            </w:r>
          </w:p>
        </w:tc>
        <w:tc>
          <w:tcPr>
            <w:tcW w:w="1615" w:type="dxa"/>
            <w:tcBorders>
              <w:bottom w:val="single" w:sz="4" w:space="0" w:color="000000"/>
            </w:tcBorders>
            <w:vAlign w:val="center"/>
          </w:tcPr>
          <w:p w14:paraId="7D08D02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r>
    </w:tbl>
    <w:p w14:paraId="33F28E1E" w14:textId="77777777" w:rsidR="001154FC" w:rsidRDefault="00193355" w:rsidP="001154F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4</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Attack Vector Security Metrics</w:t>
      </w:r>
    </w:p>
    <w:p w14:paraId="0044045E" w14:textId="7B42D974" w:rsidR="00787A77" w:rsidRDefault="00787A77">
      <w:pPr>
        <w:spacing w:line="360" w:lineRule="auto"/>
        <w:jc w:val="both"/>
        <w:rPr>
          <w:rFonts w:ascii="Times New Roman" w:eastAsia="Times New Roman" w:hAnsi="Times New Roman" w:cs="Times New Roman"/>
          <w:b/>
          <w:sz w:val="24"/>
          <w:szCs w:val="24"/>
        </w:rPr>
      </w:pPr>
    </w:p>
    <w:p w14:paraId="56AF0DA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DCE41E0" wp14:editId="7CC20271">
            <wp:extent cx="4571372" cy="2578723"/>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15384"/>
                    <a:stretch>
                      <a:fillRect/>
                    </a:stretch>
                  </pic:blipFill>
                  <pic:spPr>
                    <a:xfrm>
                      <a:off x="0" y="0"/>
                      <a:ext cx="4571372" cy="2578723"/>
                    </a:xfrm>
                    <a:prstGeom prst="rect">
                      <a:avLst/>
                    </a:prstGeom>
                    <a:ln/>
                  </pic:spPr>
                </pic:pic>
              </a:graphicData>
            </a:graphic>
          </wp:inline>
        </w:drawing>
      </w:r>
    </w:p>
    <w:p w14:paraId="14ACDDE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HIPAA compliance reached 96.9%, as in Table 4, with perfect scores in integrity and transmission. Figure 5 depicts the HIPAA Compliance Scores showing </w:t>
      </w:r>
      <w:proofErr w:type="gramStart"/>
      <w:r>
        <w:rPr>
          <w:rFonts w:ascii="Times New Roman" w:eastAsia="Times New Roman" w:hAnsi="Times New Roman" w:cs="Times New Roman"/>
          <w:sz w:val="24"/>
          <w:szCs w:val="24"/>
        </w:rPr>
        <w:t>the  Framework</w:t>
      </w:r>
      <w:proofErr w:type="gramEnd"/>
      <w:r>
        <w:rPr>
          <w:rFonts w:ascii="Times New Roman" w:eastAsia="Times New Roman" w:hAnsi="Times New Roman" w:cs="Times New Roman"/>
          <w:sz w:val="24"/>
          <w:szCs w:val="24"/>
        </w:rPr>
        <w:t xml:space="preserve"> vs Industry Benchmark.</w:t>
      </w:r>
    </w:p>
    <w:p w14:paraId="46C8920C" w14:textId="204528FD" w:rsidR="00787A77" w:rsidRDefault="001933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HIPAA Compliance Scores</w:t>
      </w:r>
      <w:r>
        <w:rPr>
          <w:rFonts w:ascii="Times New Roman" w:eastAsia="Times New Roman" w:hAnsi="Times New Roman" w:cs="Times New Roman"/>
          <w:b/>
          <w:sz w:val="24"/>
          <w:szCs w:val="24"/>
        </w:rPr>
        <w:br/>
      </w:r>
    </w:p>
    <w:tbl>
      <w:tblPr>
        <w:tblStyle w:val="a2"/>
        <w:tblW w:w="9158" w:type="dxa"/>
        <w:tblInd w:w="0" w:type="dxa"/>
        <w:tblLayout w:type="fixed"/>
        <w:tblLook w:val="0400" w:firstRow="0" w:lastRow="0" w:firstColumn="0" w:lastColumn="0" w:noHBand="0" w:noVBand="1"/>
      </w:tblPr>
      <w:tblGrid>
        <w:gridCol w:w="2776"/>
        <w:gridCol w:w="2460"/>
        <w:gridCol w:w="1360"/>
        <w:gridCol w:w="1536"/>
        <w:gridCol w:w="1026"/>
      </w:tblGrid>
      <w:tr w:rsidR="00787A77" w14:paraId="5F760B2F" w14:textId="77777777">
        <w:trPr>
          <w:trHeight w:val="561"/>
          <w:tblHeader/>
        </w:trPr>
        <w:tc>
          <w:tcPr>
            <w:tcW w:w="2776" w:type="dxa"/>
            <w:tcBorders>
              <w:top w:val="single" w:sz="4" w:space="0" w:color="000000"/>
              <w:bottom w:val="single" w:sz="4" w:space="0" w:color="000000"/>
            </w:tcBorders>
            <w:vAlign w:val="center"/>
          </w:tcPr>
          <w:p w14:paraId="1797AEA1"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460" w:type="dxa"/>
            <w:tcBorders>
              <w:top w:val="single" w:sz="4" w:space="0" w:color="000000"/>
              <w:bottom w:val="single" w:sz="4" w:space="0" w:color="000000"/>
            </w:tcBorders>
            <w:vAlign w:val="center"/>
          </w:tcPr>
          <w:p w14:paraId="311308EB"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Requirements Met</w:t>
            </w:r>
          </w:p>
        </w:tc>
        <w:tc>
          <w:tcPr>
            <w:tcW w:w="1360" w:type="dxa"/>
            <w:tcBorders>
              <w:top w:val="single" w:sz="4" w:space="0" w:color="000000"/>
              <w:bottom w:val="single" w:sz="4" w:space="0" w:color="000000"/>
            </w:tcBorders>
            <w:vAlign w:val="center"/>
          </w:tcPr>
          <w:p w14:paraId="4249DC3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w:t>
            </w:r>
          </w:p>
        </w:tc>
        <w:tc>
          <w:tcPr>
            <w:tcW w:w="1536" w:type="dxa"/>
            <w:tcBorders>
              <w:top w:val="single" w:sz="4" w:space="0" w:color="000000"/>
              <w:bottom w:val="single" w:sz="4" w:space="0" w:color="000000"/>
            </w:tcBorders>
            <w:vAlign w:val="center"/>
          </w:tcPr>
          <w:p w14:paraId="2691F05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w:t>
            </w:r>
          </w:p>
        </w:tc>
        <w:tc>
          <w:tcPr>
            <w:tcW w:w="1026" w:type="dxa"/>
            <w:tcBorders>
              <w:top w:val="single" w:sz="4" w:space="0" w:color="000000"/>
              <w:bottom w:val="single" w:sz="4" w:space="0" w:color="000000"/>
            </w:tcBorders>
            <w:vAlign w:val="center"/>
          </w:tcPr>
          <w:p w14:paraId="47BE029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Gaps</w:t>
            </w:r>
          </w:p>
        </w:tc>
      </w:tr>
      <w:tr w:rsidR="00787A77" w14:paraId="66C0F80F" w14:textId="77777777">
        <w:trPr>
          <w:trHeight w:val="580"/>
        </w:trPr>
        <w:tc>
          <w:tcPr>
            <w:tcW w:w="2776" w:type="dxa"/>
            <w:vAlign w:val="center"/>
          </w:tcPr>
          <w:p w14:paraId="4E97E9F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Control</w:t>
            </w:r>
          </w:p>
        </w:tc>
        <w:tc>
          <w:tcPr>
            <w:tcW w:w="2460" w:type="dxa"/>
            <w:vAlign w:val="center"/>
          </w:tcPr>
          <w:p w14:paraId="34F82F3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45/47</w:t>
            </w:r>
          </w:p>
        </w:tc>
        <w:tc>
          <w:tcPr>
            <w:tcW w:w="1360" w:type="dxa"/>
            <w:vAlign w:val="center"/>
          </w:tcPr>
          <w:p w14:paraId="3037C2B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c>
          <w:tcPr>
            <w:tcW w:w="1536" w:type="dxa"/>
            <w:vAlign w:val="center"/>
          </w:tcPr>
          <w:p w14:paraId="6636DF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vAlign w:val="center"/>
          </w:tcPr>
          <w:p w14:paraId="622CAB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minor</w:t>
            </w:r>
            <w:proofErr w:type="gramEnd"/>
          </w:p>
        </w:tc>
      </w:tr>
      <w:tr w:rsidR="00787A77" w14:paraId="39E97CDF" w14:textId="77777777">
        <w:trPr>
          <w:trHeight w:val="580"/>
        </w:trPr>
        <w:tc>
          <w:tcPr>
            <w:tcW w:w="2776" w:type="dxa"/>
            <w:vAlign w:val="center"/>
          </w:tcPr>
          <w:p w14:paraId="13F9369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Controls</w:t>
            </w:r>
          </w:p>
        </w:tc>
        <w:tc>
          <w:tcPr>
            <w:tcW w:w="2460" w:type="dxa"/>
            <w:vAlign w:val="center"/>
          </w:tcPr>
          <w:p w14:paraId="5AB0CC5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23/24</w:t>
            </w:r>
          </w:p>
        </w:tc>
        <w:tc>
          <w:tcPr>
            <w:tcW w:w="1360" w:type="dxa"/>
            <w:vAlign w:val="center"/>
          </w:tcPr>
          <w:p w14:paraId="4B9D403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c>
          <w:tcPr>
            <w:tcW w:w="1536" w:type="dxa"/>
            <w:vAlign w:val="center"/>
          </w:tcPr>
          <w:p w14:paraId="6AB5407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vAlign w:val="center"/>
          </w:tcPr>
          <w:p w14:paraId="46760D4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doc</w:t>
            </w:r>
          </w:p>
        </w:tc>
      </w:tr>
      <w:tr w:rsidR="00787A77" w14:paraId="50FA1E92" w14:textId="77777777">
        <w:trPr>
          <w:trHeight w:val="580"/>
        </w:trPr>
        <w:tc>
          <w:tcPr>
            <w:tcW w:w="2776" w:type="dxa"/>
            <w:vAlign w:val="center"/>
          </w:tcPr>
          <w:p w14:paraId="4D68437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Integrity</w:t>
            </w:r>
          </w:p>
        </w:tc>
        <w:tc>
          <w:tcPr>
            <w:tcW w:w="2460" w:type="dxa"/>
            <w:vAlign w:val="center"/>
          </w:tcPr>
          <w:p w14:paraId="33F0040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18/18</w:t>
            </w:r>
          </w:p>
        </w:tc>
        <w:tc>
          <w:tcPr>
            <w:tcW w:w="1360" w:type="dxa"/>
            <w:vAlign w:val="center"/>
          </w:tcPr>
          <w:p w14:paraId="19D6EF9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36" w:type="dxa"/>
            <w:vAlign w:val="center"/>
          </w:tcPr>
          <w:p w14:paraId="65B30B9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w:t>
            </w:r>
          </w:p>
        </w:tc>
        <w:tc>
          <w:tcPr>
            <w:tcW w:w="1026" w:type="dxa"/>
            <w:vAlign w:val="center"/>
          </w:tcPr>
          <w:p w14:paraId="20CF6F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787A77" w14:paraId="0D287539" w14:textId="77777777">
        <w:trPr>
          <w:trHeight w:val="580"/>
        </w:trPr>
        <w:tc>
          <w:tcPr>
            <w:tcW w:w="2776" w:type="dxa"/>
            <w:vAlign w:val="center"/>
          </w:tcPr>
          <w:p w14:paraId="2673B1E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Authentication</w:t>
            </w:r>
          </w:p>
        </w:tc>
        <w:tc>
          <w:tcPr>
            <w:tcW w:w="2460" w:type="dxa"/>
            <w:vAlign w:val="center"/>
          </w:tcPr>
          <w:p w14:paraId="3F7C2C0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15/16</w:t>
            </w:r>
          </w:p>
        </w:tc>
        <w:tc>
          <w:tcPr>
            <w:tcW w:w="1360" w:type="dxa"/>
            <w:vAlign w:val="center"/>
          </w:tcPr>
          <w:p w14:paraId="19B2DFB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93.8</w:t>
            </w:r>
          </w:p>
        </w:tc>
        <w:tc>
          <w:tcPr>
            <w:tcW w:w="1536" w:type="dxa"/>
            <w:vAlign w:val="center"/>
          </w:tcPr>
          <w:p w14:paraId="7E3D46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1026" w:type="dxa"/>
            <w:vAlign w:val="center"/>
          </w:tcPr>
          <w:p w14:paraId="0FB4262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tech</w:t>
            </w:r>
          </w:p>
        </w:tc>
      </w:tr>
      <w:tr w:rsidR="00787A77" w14:paraId="3A29F212" w14:textId="77777777">
        <w:trPr>
          <w:trHeight w:val="580"/>
        </w:trPr>
        <w:tc>
          <w:tcPr>
            <w:tcW w:w="2776" w:type="dxa"/>
            <w:vAlign w:val="center"/>
          </w:tcPr>
          <w:p w14:paraId="6425B1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Transmission Security</w:t>
            </w:r>
          </w:p>
        </w:tc>
        <w:tc>
          <w:tcPr>
            <w:tcW w:w="2460" w:type="dxa"/>
            <w:vAlign w:val="center"/>
          </w:tcPr>
          <w:p w14:paraId="1504F83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p>
        </w:tc>
        <w:tc>
          <w:tcPr>
            <w:tcW w:w="1360" w:type="dxa"/>
            <w:vAlign w:val="center"/>
          </w:tcPr>
          <w:p w14:paraId="7AB22E7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36" w:type="dxa"/>
            <w:vAlign w:val="center"/>
          </w:tcPr>
          <w:p w14:paraId="20AC793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w:t>
            </w:r>
          </w:p>
        </w:tc>
        <w:tc>
          <w:tcPr>
            <w:tcW w:w="1026" w:type="dxa"/>
            <w:vAlign w:val="center"/>
          </w:tcPr>
          <w:p w14:paraId="13B24C6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787A77" w14:paraId="3C9FAFDD" w14:textId="77777777">
        <w:trPr>
          <w:trHeight w:val="580"/>
        </w:trPr>
        <w:tc>
          <w:tcPr>
            <w:tcW w:w="2776" w:type="dxa"/>
            <w:tcBorders>
              <w:bottom w:val="single" w:sz="4" w:space="0" w:color="000000"/>
            </w:tcBorders>
            <w:vAlign w:val="center"/>
          </w:tcPr>
          <w:p w14:paraId="7638708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p>
        </w:tc>
        <w:tc>
          <w:tcPr>
            <w:tcW w:w="2460" w:type="dxa"/>
            <w:tcBorders>
              <w:bottom w:val="single" w:sz="4" w:space="0" w:color="000000"/>
            </w:tcBorders>
            <w:vAlign w:val="center"/>
          </w:tcPr>
          <w:p w14:paraId="6E4202F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123/127</w:t>
            </w:r>
          </w:p>
        </w:tc>
        <w:tc>
          <w:tcPr>
            <w:tcW w:w="1360" w:type="dxa"/>
            <w:tcBorders>
              <w:bottom w:val="single" w:sz="4" w:space="0" w:color="000000"/>
            </w:tcBorders>
            <w:vAlign w:val="center"/>
          </w:tcPr>
          <w:p w14:paraId="7579D8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96.9</w:t>
            </w:r>
          </w:p>
        </w:tc>
        <w:tc>
          <w:tcPr>
            <w:tcW w:w="1536" w:type="dxa"/>
            <w:tcBorders>
              <w:bottom w:val="single" w:sz="4" w:space="0" w:color="000000"/>
            </w:tcBorders>
            <w:vAlign w:val="center"/>
          </w:tcPr>
          <w:p w14:paraId="5E75E3C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tcBorders>
              <w:bottom w:val="single" w:sz="4" w:space="0" w:color="000000"/>
            </w:tcBorders>
            <w:vAlign w:val="center"/>
          </w:tcPr>
          <w:p w14:paraId="6BAF3C0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minor</w:t>
            </w:r>
            <w:proofErr w:type="gramEnd"/>
          </w:p>
        </w:tc>
      </w:tr>
    </w:tbl>
    <w:p w14:paraId="3A330DBE" w14:textId="77777777" w:rsidR="001154FC" w:rsidRDefault="00193355" w:rsidP="001154F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5</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HIPAA Compliance Scores - Framework vs Industry Benchmark</w:t>
      </w:r>
    </w:p>
    <w:p w14:paraId="552A95EA" w14:textId="53A3069E" w:rsidR="00787A77" w:rsidRDefault="00787A77">
      <w:pPr>
        <w:spacing w:line="360" w:lineRule="auto"/>
        <w:jc w:val="both"/>
        <w:rPr>
          <w:rFonts w:ascii="Times New Roman" w:eastAsia="Times New Roman" w:hAnsi="Times New Roman" w:cs="Times New Roman"/>
          <w:b/>
          <w:sz w:val="24"/>
          <w:szCs w:val="24"/>
        </w:rPr>
      </w:pPr>
    </w:p>
    <w:p w14:paraId="116DF942"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lastRenderedPageBreak/>
        <w:drawing>
          <wp:inline distT="0" distB="0" distL="0" distR="0" wp14:anchorId="39E4A19C" wp14:editId="1318C18E">
            <wp:extent cx="4576298" cy="2783915"/>
            <wp:effectExtent l="0" t="0" r="0" b="0"/>
            <wp:docPr id="4" name="image4.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diagram of a diagram&#10;&#10;AI-generated content may be incorrect."/>
                    <pic:cNvPicPr preferRelativeResize="0"/>
                  </pic:nvPicPr>
                  <pic:blipFill>
                    <a:blip r:embed="rId11"/>
                    <a:srcRect t="8750"/>
                    <a:stretch>
                      <a:fillRect/>
                    </a:stretch>
                  </pic:blipFill>
                  <pic:spPr>
                    <a:xfrm>
                      <a:off x="0" y="0"/>
                      <a:ext cx="4576298" cy="2783915"/>
                    </a:xfrm>
                    <a:prstGeom prst="rect">
                      <a:avLst/>
                    </a:prstGeom>
                    <a:ln/>
                  </pic:spPr>
                </pic:pic>
              </a:graphicData>
            </a:graphic>
          </wp:inline>
        </w:drawing>
      </w:r>
    </w:p>
    <w:p w14:paraId="4300106C"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data quality exceeded thresholds, per Table 5 with metrics like completeness 98.7%. The data quality assurance metrics is shown in Figure 6.</w:t>
      </w:r>
    </w:p>
    <w:p w14:paraId="7482E8F5" w14:textId="6E873603"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Synthetic Data Quality</w:t>
      </w:r>
    </w:p>
    <w:p w14:paraId="5D2FE428" w14:textId="643D120C" w:rsidR="00787A77" w:rsidRDefault="00787A77">
      <w:pPr>
        <w:spacing w:line="360" w:lineRule="auto"/>
        <w:jc w:val="both"/>
        <w:rPr>
          <w:rFonts w:ascii="Times New Roman" w:eastAsia="Times New Roman" w:hAnsi="Times New Roman" w:cs="Times New Roman"/>
          <w:i/>
          <w:sz w:val="24"/>
          <w:szCs w:val="24"/>
        </w:rPr>
      </w:pPr>
    </w:p>
    <w:tbl>
      <w:tblPr>
        <w:tblStyle w:val="a3"/>
        <w:tblW w:w="9211" w:type="dxa"/>
        <w:tblInd w:w="0" w:type="dxa"/>
        <w:tblLayout w:type="fixed"/>
        <w:tblLook w:val="0400" w:firstRow="0" w:lastRow="0" w:firstColumn="0" w:lastColumn="0" w:noHBand="0" w:noVBand="1"/>
      </w:tblPr>
      <w:tblGrid>
        <w:gridCol w:w="2128"/>
        <w:gridCol w:w="1820"/>
        <w:gridCol w:w="2204"/>
        <w:gridCol w:w="911"/>
        <w:gridCol w:w="2148"/>
      </w:tblGrid>
      <w:tr w:rsidR="00787A77" w14:paraId="17F0927A" w14:textId="77777777">
        <w:trPr>
          <w:trHeight w:val="484"/>
          <w:tblHeader/>
        </w:trPr>
        <w:tc>
          <w:tcPr>
            <w:tcW w:w="2128" w:type="dxa"/>
            <w:tcBorders>
              <w:top w:val="single" w:sz="4" w:space="0" w:color="000000"/>
              <w:bottom w:val="single" w:sz="4" w:space="0" w:color="000000"/>
            </w:tcBorders>
            <w:vAlign w:val="center"/>
          </w:tcPr>
          <w:p w14:paraId="1150B4C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1820" w:type="dxa"/>
            <w:tcBorders>
              <w:top w:val="single" w:sz="4" w:space="0" w:color="000000"/>
              <w:bottom w:val="single" w:sz="4" w:space="0" w:color="000000"/>
            </w:tcBorders>
            <w:vAlign w:val="center"/>
          </w:tcPr>
          <w:p w14:paraId="60337BB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w:t>
            </w:r>
          </w:p>
        </w:tc>
        <w:tc>
          <w:tcPr>
            <w:tcW w:w="2204" w:type="dxa"/>
            <w:tcBorders>
              <w:top w:val="single" w:sz="4" w:space="0" w:color="000000"/>
              <w:bottom w:val="single" w:sz="4" w:space="0" w:color="000000"/>
            </w:tcBorders>
            <w:vAlign w:val="center"/>
          </w:tcPr>
          <w:p w14:paraId="321D5A3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Achieved (%)</w:t>
            </w:r>
          </w:p>
        </w:tc>
        <w:tc>
          <w:tcPr>
            <w:tcW w:w="911" w:type="dxa"/>
            <w:tcBorders>
              <w:top w:val="single" w:sz="4" w:space="0" w:color="000000"/>
              <w:bottom w:val="single" w:sz="4" w:space="0" w:color="000000"/>
            </w:tcBorders>
            <w:vAlign w:val="center"/>
          </w:tcPr>
          <w:p w14:paraId="2B1AE82B"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2148" w:type="dxa"/>
            <w:tcBorders>
              <w:top w:val="single" w:sz="4" w:space="0" w:color="000000"/>
              <w:bottom w:val="single" w:sz="4" w:space="0" w:color="000000"/>
            </w:tcBorders>
            <w:vAlign w:val="center"/>
          </w:tcPr>
          <w:p w14:paraId="42497A9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 (95%)</w:t>
            </w:r>
          </w:p>
        </w:tc>
      </w:tr>
      <w:tr w:rsidR="00787A77" w14:paraId="059A49EC" w14:textId="77777777">
        <w:trPr>
          <w:trHeight w:val="501"/>
        </w:trPr>
        <w:tc>
          <w:tcPr>
            <w:tcW w:w="2128" w:type="dxa"/>
            <w:vAlign w:val="center"/>
          </w:tcPr>
          <w:p w14:paraId="03301ED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Completeness</w:t>
            </w:r>
          </w:p>
        </w:tc>
        <w:tc>
          <w:tcPr>
            <w:tcW w:w="1820" w:type="dxa"/>
            <w:vAlign w:val="center"/>
          </w:tcPr>
          <w:p w14:paraId="681B499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95.0</w:t>
            </w:r>
          </w:p>
        </w:tc>
        <w:tc>
          <w:tcPr>
            <w:tcW w:w="2204" w:type="dxa"/>
            <w:vAlign w:val="center"/>
          </w:tcPr>
          <w:p w14:paraId="79E2DD8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911" w:type="dxa"/>
            <w:vAlign w:val="center"/>
          </w:tcPr>
          <w:p w14:paraId="0F5973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48" w:type="dxa"/>
            <w:vAlign w:val="center"/>
          </w:tcPr>
          <w:p w14:paraId="75A993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 99.1]</w:t>
            </w:r>
          </w:p>
        </w:tc>
      </w:tr>
      <w:tr w:rsidR="00787A77" w14:paraId="00DFE6BD" w14:textId="77777777">
        <w:trPr>
          <w:trHeight w:val="501"/>
        </w:trPr>
        <w:tc>
          <w:tcPr>
            <w:tcW w:w="2128" w:type="dxa"/>
            <w:vAlign w:val="center"/>
          </w:tcPr>
          <w:p w14:paraId="0B12A4E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w:t>
            </w:r>
          </w:p>
        </w:tc>
        <w:tc>
          <w:tcPr>
            <w:tcW w:w="1820" w:type="dxa"/>
            <w:vAlign w:val="center"/>
          </w:tcPr>
          <w:p w14:paraId="654CCDF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2204" w:type="dxa"/>
            <w:vAlign w:val="center"/>
          </w:tcPr>
          <w:p w14:paraId="4E856DD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99.4</w:t>
            </w:r>
          </w:p>
        </w:tc>
        <w:tc>
          <w:tcPr>
            <w:tcW w:w="911" w:type="dxa"/>
            <w:vAlign w:val="center"/>
          </w:tcPr>
          <w:p w14:paraId="6FD3C2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148" w:type="dxa"/>
            <w:vAlign w:val="center"/>
          </w:tcPr>
          <w:p w14:paraId="29D58F1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 99.7]</w:t>
            </w:r>
          </w:p>
        </w:tc>
      </w:tr>
      <w:tr w:rsidR="00787A77" w14:paraId="15735020" w14:textId="77777777">
        <w:trPr>
          <w:trHeight w:val="501"/>
        </w:trPr>
        <w:tc>
          <w:tcPr>
            <w:tcW w:w="2128" w:type="dxa"/>
            <w:vAlign w:val="center"/>
          </w:tcPr>
          <w:p w14:paraId="28A391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Accuracy</w:t>
            </w:r>
          </w:p>
        </w:tc>
        <w:tc>
          <w:tcPr>
            <w:tcW w:w="1820" w:type="dxa"/>
            <w:vAlign w:val="center"/>
          </w:tcPr>
          <w:p w14:paraId="2617F8A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2204" w:type="dxa"/>
            <w:vAlign w:val="center"/>
          </w:tcPr>
          <w:p w14:paraId="00AB187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c>
          <w:tcPr>
            <w:tcW w:w="911" w:type="dxa"/>
            <w:vAlign w:val="center"/>
          </w:tcPr>
          <w:p w14:paraId="3ED65DB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2148" w:type="dxa"/>
            <w:vAlign w:val="center"/>
          </w:tcPr>
          <w:p w14:paraId="40D70F5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[99.4, 99.8]</w:t>
            </w:r>
          </w:p>
        </w:tc>
      </w:tr>
      <w:tr w:rsidR="00787A77" w14:paraId="50DE3CA0" w14:textId="77777777">
        <w:trPr>
          <w:trHeight w:val="501"/>
        </w:trPr>
        <w:tc>
          <w:tcPr>
            <w:tcW w:w="2128" w:type="dxa"/>
            <w:vAlign w:val="center"/>
          </w:tcPr>
          <w:p w14:paraId="03D589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Uniqueness</w:t>
            </w:r>
          </w:p>
        </w:tc>
        <w:tc>
          <w:tcPr>
            <w:tcW w:w="1820" w:type="dxa"/>
            <w:vAlign w:val="center"/>
          </w:tcPr>
          <w:p w14:paraId="3216732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w:t>
            </w:r>
          </w:p>
        </w:tc>
        <w:tc>
          <w:tcPr>
            <w:tcW w:w="2204" w:type="dxa"/>
            <w:vAlign w:val="center"/>
          </w:tcPr>
          <w:p w14:paraId="224D25F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99.95</w:t>
            </w:r>
          </w:p>
        </w:tc>
        <w:tc>
          <w:tcPr>
            <w:tcW w:w="911" w:type="dxa"/>
            <w:vAlign w:val="center"/>
          </w:tcPr>
          <w:p w14:paraId="04B568E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2148" w:type="dxa"/>
            <w:vAlign w:val="center"/>
          </w:tcPr>
          <w:p w14:paraId="3E86B51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[99.93, 99.97]</w:t>
            </w:r>
          </w:p>
        </w:tc>
      </w:tr>
      <w:tr w:rsidR="00787A77" w14:paraId="0C1CB44F" w14:textId="77777777">
        <w:trPr>
          <w:trHeight w:val="501"/>
        </w:trPr>
        <w:tc>
          <w:tcPr>
            <w:tcW w:w="2128" w:type="dxa"/>
            <w:vAlign w:val="center"/>
          </w:tcPr>
          <w:p w14:paraId="78C896F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w:t>
            </w:r>
          </w:p>
        </w:tc>
        <w:tc>
          <w:tcPr>
            <w:tcW w:w="1820" w:type="dxa"/>
            <w:vAlign w:val="center"/>
          </w:tcPr>
          <w:p w14:paraId="4254A7E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2204" w:type="dxa"/>
            <w:vAlign w:val="center"/>
          </w:tcPr>
          <w:p w14:paraId="44BADE1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c>
          <w:tcPr>
            <w:tcW w:w="911" w:type="dxa"/>
            <w:vAlign w:val="center"/>
          </w:tcPr>
          <w:p w14:paraId="4FE67AD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2148" w:type="dxa"/>
            <w:vAlign w:val="center"/>
          </w:tcPr>
          <w:p w14:paraId="580327D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 99.2]</w:t>
            </w:r>
          </w:p>
        </w:tc>
      </w:tr>
      <w:tr w:rsidR="00787A77" w14:paraId="31F351EE" w14:textId="77777777">
        <w:trPr>
          <w:trHeight w:val="501"/>
        </w:trPr>
        <w:tc>
          <w:tcPr>
            <w:tcW w:w="2128" w:type="dxa"/>
            <w:tcBorders>
              <w:bottom w:val="single" w:sz="4" w:space="0" w:color="000000"/>
            </w:tcBorders>
            <w:vAlign w:val="center"/>
          </w:tcPr>
          <w:p w14:paraId="443DF39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p>
        </w:tc>
        <w:tc>
          <w:tcPr>
            <w:tcW w:w="1820" w:type="dxa"/>
            <w:tcBorders>
              <w:bottom w:val="single" w:sz="4" w:space="0" w:color="000000"/>
            </w:tcBorders>
            <w:vAlign w:val="center"/>
          </w:tcPr>
          <w:p w14:paraId="17B5FC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97.8</w:t>
            </w:r>
          </w:p>
        </w:tc>
        <w:tc>
          <w:tcPr>
            <w:tcW w:w="2204" w:type="dxa"/>
            <w:tcBorders>
              <w:bottom w:val="single" w:sz="4" w:space="0" w:color="000000"/>
            </w:tcBorders>
            <w:vAlign w:val="center"/>
          </w:tcPr>
          <w:p w14:paraId="3BAC8F5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tc>
        <w:tc>
          <w:tcPr>
            <w:tcW w:w="911" w:type="dxa"/>
            <w:tcBorders>
              <w:bottom w:val="single" w:sz="4" w:space="0" w:color="000000"/>
            </w:tcBorders>
            <w:vAlign w:val="center"/>
          </w:tcPr>
          <w:p w14:paraId="6603991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2148" w:type="dxa"/>
            <w:tcBorders>
              <w:bottom w:val="single" w:sz="4" w:space="0" w:color="000000"/>
            </w:tcBorders>
            <w:vAlign w:val="center"/>
          </w:tcPr>
          <w:p w14:paraId="33146F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[99.0, 99.6]</w:t>
            </w:r>
          </w:p>
        </w:tc>
      </w:tr>
    </w:tbl>
    <w:p w14:paraId="19806CD6" w14:textId="77777777" w:rsidR="001154FC" w:rsidRDefault="00193355" w:rsidP="001154F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6</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Data Quality Assurance Metrics.</w:t>
      </w:r>
    </w:p>
    <w:p w14:paraId="5E9AE5C2" w14:textId="6EDC057C" w:rsidR="00787A77" w:rsidRDefault="00787A77">
      <w:pPr>
        <w:spacing w:before="240" w:line="360" w:lineRule="auto"/>
        <w:jc w:val="both"/>
        <w:rPr>
          <w:rFonts w:ascii="Times New Roman" w:eastAsia="Times New Roman" w:hAnsi="Times New Roman" w:cs="Times New Roman"/>
          <w:b/>
          <w:sz w:val="24"/>
          <w:szCs w:val="24"/>
        </w:rPr>
      </w:pPr>
    </w:p>
    <w:p w14:paraId="34B9282B"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7C61CEF" wp14:editId="4650C714">
            <wp:extent cx="4576391" cy="2755369"/>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9687"/>
                    <a:stretch>
                      <a:fillRect/>
                    </a:stretch>
                  </pic:blipFill>
                  <pic:spPr>
                    <a:xfrm>
                      <a:off x="0" y="0"/>
                      <a:ext cx="4576391" cy="2755369"/>
                    </a:xfrm>
                    <a:prstGeom prst="rect">
                      <a:avLst/>
                    </a:prstGeom>
                    <a:ln/>
                  </pic:spPr>
                </pic:pic>
              </a:graphicData>
            </a:graphic>
          </wp:inline>
        </w:drawing>
      </w:r>
    </w:p>
    <w:p w14:paraId="3E46DAF4"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Real-time </w:t>
      </w:r>
      <w:proofErr w:type="gramStart"/>
      <w:r>
        <w:rPr>
          <w:rFonts w:ascii="Times New Roman" w:eastAsia="Times New Roman" w:hAnsi="Times New Roman" w:cs="Times New Roman"/>
          <w:sz w:val="24"/>
          <w:szCs w:val="24"/>
        </w:rPr>
        <w:t>streaming maintained</w:t>
      </w:r>
      <w:proofErr w:type="gramEnd"/>
      <w:r>
        <w:rPr>
          <w:rFonts w:ascii="Times New Roman" w:eastAsia="Times New Roman" w:hAnsi="Times New Roman" w:cs="Times New Roman"/>
          <w:sz w:val="24"/>
          <w:szCs w:val="24"/>
        </w:rPr>
        <w:t xml:space="preserve"> latencies under 535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at 5,000 records/sec, as in Table 6.</w:t>
      </w:r>
    </w:p>
    <w:p w14:paraId="3F4A9A9B" w14:textId="11853358"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Real-Time Streaming Performance</w:t>
      </w:r>
    </w:p>
    <w:p w14:paraId="2C1A0F97" w14:textId="5BED6DAF" w:rsidR="00787A77" w:rsidRDefault="00787A77">
      <w:pPr>
        <w:spacing w:line="360" w:lineRule="auto"/>
        <w:jc w:val="both"/>
        <w:rPr>
          <w:rFonts w:ascii="Times New Roman" w:eastAsia="Times New Roman" w:hAnsi="Times New Roman" w:cs="Times New Roman"/>
          <w:i/>
          <w:sz w:val="24"/>
          <w:szCs w:val="24"/>
        </w:rPr>
      </w:pPr>
    </w:p>
    <w:tbl>
      <w:tblPr>
        <w:tblStyle w:val="a4"/>
        <w:tblW w:w="9248" w:type="dxa"/>
        <w:tblInd w:w="0" w:type="dxa"/>
        <w:tblLayout w:type="fixed"/>
        <w:tblLook w:val="0400" w:firstRow="0" w:lastRow="0" w:firstColumn="0" w:lastColumn="0" w:noHBand="0" w:noVBand="1"/>
      </w:tblPr>
      <w:tblGrid>
        <w:gridCol w:w="1809"/>
        <w:gridCol w:w="1570"/>
        <w:gridCol w:w="2335"/>
        <w:gridCol w:w="1330"/>
        <w:gridCol w:w="1255"/>
        <w:gridCol w:w="949"/>
      </w:tblGrid>
      <w:tr w:rsidR="00787A77" w14:paraId="23784360" w14:textId="77777777">
        <w:trPr>
          <w:trHeight w:val="477"/>
          <w:tblHeader/>
        </w:trPr>
        <w:tc>
          <w:tcPr>
            <w:tcW w:w="1809" w:type="dxa"/>
            <w:tcBorders>
              <w:top w:val="single" w:sz="4" w:space="0" w:color="000000"/>
              <w:bottom w:val="single" w:sz="4" w:space="0" w:color="000000"/>
            </w:tcBorders>
            <w:vAlign w:val="center"/>
          </w:tcPr>
          <w:p w14:paraId="7ED4E12E"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Velocity (rec/s)</w:t>
            </w:r>
          </w:p>
        </w:tc>
        <w:tc>
          <w:tcPr>
            <w:tcW w:w="1570" w:type="dxa"/>
            <w:tcBorders>
              <w:top w:val="single" w:sz="4" w:space="0" w:color="000000"/>
              <w:bottom w:val="single" w:sz="4" w:space="0" w:color="000000"/>
            </w:tcBorders>
            <w:vAlign w:val="center"/>
          </w:tcPr>
          <w:p w14:paraId="47CF8CEF"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Latency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w:t>
            </w:r>
          </w:p>
        </w:tc>
        <w:tc>
          <w:tcPr>
            <w:tcW w:w="2335" w:type="dxa"/>
            <w:tcBorders>
              <w:top w:val="single" w:sz="4" w:space="0" w:color="000000"/>
              <w:bottom w:val="single" w:sz="4" w:space="0" w:color="000000"/>
            </w:tcBorders>
            <w:vAlign w:val="center"/>
          </w:tcPr>
          <w:p w14:paraId="005E83F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Throughput (MB/s)</w:t>
            </w:r>
          </w:p>
        </w:tc>
        <w:tc>
          <w:tcPr>
            <w:tcW w:w="1330" w:type="dxa"/>
            <w:tcBorders>
              <w:top w:val="single" w:sz="4" w:space="0" w:color="000000"/>
              <w:bottom w:val="single" w:sz="4" w:space="0" w:color="000000"/>
            </w:tcBorders>
            <w:vAlign w:val="center"/>
          </w:tcPr>
          <w:p w14:paraId="44F97E1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Buffer (%)</w:t>
            </w:r>
          </w:p>
        </w:tc>
        <w:tc>
          <w:tcPr>
            <w:tcW w:w="1255" w:type="dxa"/>
            <w:tcBorders>
              <w:top w:val="single" w:sz="4" w:space="0" w:color="000000"/>
              <w:bottom w:val="single" w:sz="4" w:space="0" w:color="000000"/>
            </w:tcBorders>
            <w:vAlign w:val="center"/>
          </w:tcPr>
          <w:p w14:paraId="3266E64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Error (%)</w:t>
            </w:r>
          </w:p>
        </w:tc>
        <w:tc>
          <w:tcPr>
            <w:tcW w:w="949" w:type="dxa"/>
            <w:tcBorders>
              <w:top w:val="single" w:sz="4" w:space="0" w:color="000000"/>
              <w:bottom w:val="single" w:sz="4" w:space="0" w:color="000000"/>
            </w:tcBorders>
            <w:vAlign w:val="center"/>
          </w:tcPr>
          <w:p w14:paraId="309D7402"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w:t>
            </w:r>
          </w:p>
        </w:tc>
      </w:tr>
      <w:tr w:rsidR="00787A77" w14:paraId="3D7031AF" w14:textId="77777777">
        <w:trPr>
          <w:trHeight w:val="493"/>
        </w:trPr>
        <w:tc>
          <w:tcPr>
            <w:tcW w:w="1809" w:type="dxa"/>
            <w:vAlign w:val="center"/>
          </w:tcPr>
          <w:p w14:paraId="57BD7A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70" w:type="dxa"/>
            <w:vAlign w:val="center"/>
          </w:tcPr>
          <w:p w14:paraId="1B1B703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 2.1</w:t>
            </w:r>
          </w:p>
        </w:tc>
        <w:tc>
          <w:tcPr>
            <w:tcW w:w="2335" w:type="dxa"/>
            <w:vAlign w:val="center"/>
          </w:tcPr>
          <w:p w14:paraId="06ACE4F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1330" w:type="dxa"/>
            <w:vAlign w:val="center"/>
          </w:tcPr>
          <w:p w14:paraId="31D8C2A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55" w:type="dxa"/>
            <w:vAlign w:val="center"/>
          </w:tcPr>
          <w:p w14:paraId="63B0623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49" w:type="dxa"/>
            <w:vAlign w:val="center"/>
          </w:tcPr>
          <w:p w14:paraId="00B5119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r>
      <w:tr w:rsidR="00787A77" w14:paraId="7A9AF7CD" w14:textId="77777777">
        <w:trPr>
          <w:trHeight w:val="493"/>
        </w:trPr>
        <w:tc>
          <w:tcPr>
            <w:tcW w:w="1809" w:type="dxa"/>
            <w:vAlign w:val="center"/>
          </w:tcPr>
          <w:p w14:paraId="142ED50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70" w:type="dxa"/>
            <w:vAlign w:val="center"/>
          </w:tcPr>
          <w:p w14:paraId="63AF334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 ± 4.8</w:t>
            </w:r>
          </w:p>
        </w:tc>
        <w:tc>
          <w:tcPr>
            <w:tcW w:w="2335" w:type="dxa"/>
            <w:vAlign w:val="center"/>
          </w:tcPr>
          <w:p w14:paraId="534FEEE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189.2</w:t>
            </w:r>
          </w:p>
        </w:tc>
        <w:tc>
          <w:tcPr>
            <w:tcW w:w="1330" w:type="dxa"/>
            <w:vAlign w:val="center"/>
          </w:tcPr>
          <w:p w14:paraId="3C8E181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55" w:type="dxa"/>
            <w:vAlign w:val="center"/>
          </w:tcPr>
          <w:p w14:paraId="32403A2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49" w:type="dxa"/>
            <w:vAlign w:val="center"/>
          </w:tcPr>
          <w:p w14:paraId="65048CD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r>
      <w:tr w:rsidR="00787A77" w14:paraId="5A68AEC5" w14:textId="77777777">
        <w:trPr>
          <w:trHeight w:val="493"/>
        </w:trPr>
        <w:tc>
          <w:tcPr>
            <w:tcW w:w="1809" w:type="dxa"/>
            <w:vAlign w:val="center"/>
          </w:tcPr>
          <w:p w14:paraId="2621776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0" w:type="dxa"/>
            <w:vAlign w:val="center"/>
          </w:tcPr>
          <w:p w14:paraId="6CEF3F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123.6 ± 8.2</w:t>
            </w:r>
          </w:p>
        </w:tc>
        <w:tc>
          <w:tcPr>
            <w:tcW w:w="2335" w:type="dxa"/>
            <w:vAlign w:val="center"/>
          </w:tcPr>
          <w:p w14:paraId="3155A71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342.1</w:t>
            </w:r>
          </w:p>
        </w:tc>
        <w:tc>
          <w:tcPr>
            <w:tcW w:w="1330" w:type="dxa"/>
            <w:vAlign w:val="center"/>
          </w:tcPr>
          <w:p w14:paraId="3DF8BA0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255" w:type="dxa"/>
            <w:vAlign w:val="center"/>
          </w:tcPr>
          <w:p w14:paraId="0A04BA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949" w:type="dxa"/>
            <w:vAlign w:val="center"/>
          </w:tcPr>
          <w:p w14:paraId="727700D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787A77" w14:paraId="5B259743" w14:textId="77777777">
        <w:trPr>
          <w:trHeight w:val="493"/>
        </w:trPr>
        <w:tc>
          <w:tcPr>
            <w:tcW w:w="1809" w:type="dxa"/>
            <w:vAlign w:val="center"/>
          </w:tcPr>
          <w:p w14:paraId="7D0593E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570" w:type="dxa"/>
            <w:vAlign w:val="center"/>
          </w:tcPr>
          <w:p w14:paraId="5A080B0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287.4 ± 15.6</w:t>
            </w:r>
          </w:p>
        </w:tc>
        <w:tc>
          <w:tcPr>
            <w:tcW w:w="2335" w:type="dxa"/>
            <w:vAlign w:val="center"/>
          </w:tcPr>
          <w:p w14:paraId="019C5DD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623.7</w:t>
            </w:r>
          </w:p>
        </w:tc>
        <w:tc>
          <w:tcPr>
            <w:tcW w:w="1330" w:type="dxa"/>
            <w:vAlign w:val="center"/>
          </w:tcPr>
          <w:p w14:paraId="66C9E2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c>
          <w:tcPr>
            <w:tcW w:w="1255" w:type="dxa"/>
            <w:vAlign w:val="center"/>
          </w:tcPr>
          <w:p w14:paraId="69FC21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949" w:type="dxa"/>
            <w:vAlign w:val="center"/>
          </w:tcPr>
          <w:p w14:paraId="088B180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r>
      <w:tr w:rsidR="00787A77" w14:paraId="78153DBF" w14:textId="77777777">
        <w:trPr>
          <w:trHeight w:val="493"/>
        </w:trPr>
        <w:tc>
          <w:tcPr>
            <w:tcW w:w="1809" w:type="dxa"/>
            <w:tcBorders>
              <w:bottom w:val="single" w:sz="4" w:space="0" w:color="000000"/>
            </w:tcBorders>
            <w:vAlign w:val="center"/>
          </w:tcPr>
          <w:p w14:paraId="4C28D3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570" w:type="dxa"/>
            <w:tcBorders>
              <w:bottom w:val="single" w:sz="4" w:space="0" w:color="000000"/>
            </w:tcBorders>
            <w:vAlign w:val="center"/>
          </w:tcPr>
          <w:p w14:paraId="5548F63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534.8 ± 24.3</w:t>
            </w:r>
          </w:p>
        </w:tc>
        <w:tc>
          <w:tcPr>
            <w:tcW w:w="2335" w:type="dxa"/>
            <w:tcBorders>
              <w:bottom w:val="single" w:sz="4" w:space="0" w:color="000000"/>
            </w:tcBorders>
            <w:vAlign w:val="center"/>
          </w:tcPr>
          <w:p w14:paraId="6B1A204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987.4</w:t>
            </w:r>
          </w:p>
        </w:tc>
        <w:tc>
          <w:tcPr>
            <w:tcW w:w="1330" w:type="dxa"/>
            <w:tcBorders>
              <w:bottom w:val="single" w:sz="4" w:space="0" w:color="000000"/>
            </w:tcBorders>
            <w:vAlign w:val="center"/>
          </w:tcPr>
          <w:p w14:paraId="64541EA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c>
          <w:tcPr>
            <w:tcW w:w="1255" w:type="dxa"/>
            <w:tcBorders>
              <w:bottom w:val="single" w:sz="4" w:space="0" w:color="000000"/>
            </w:tcBorders>
            <w:vAlign w:val="center"/>
          </w:tcPr>
          <w:p w14:paraId="0A28B99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949" w:type="dxa"/>
            <w:tcBorders>
              <w:bottom w:val="single" w:sz="4" w:space="0" w:color="000000"/>
            </w:tcBorders>
            <w:vAlign w:val="center"/>
          </w:tcPr>
          <w:p w14:paraId="5765D12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97.6</w:t>
            </w:r>
          </w:p>
        </w:tc>
      </w:tr>
    </w:tbl>
    <w:p w14:paraId="61EEC943"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benchmarks showed superiority, per Table 7 with improvements up to 56.6% in latency. Figure 7 depicts the normalized comparative metrics across encryption frameworks.</w:t>
      </w:r>
    </w:p>
    <w:p w14:paraId="20ABF95E" w14:textId="26B220C9"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Comparative Benchmarks</w:t>
      </w:r>
    </w:p>
    <w:p w14:paraId="008A3F74" w14:textId="69405285" w:rsidR="00787A77" w:rsidRDefault="00787A77">
      <w:pPr>
        <w:spacing w:line="360" w:lineRule="auto"/>
        <w:jc w:val="both"/>
        <w:rPr>
          <w:rFonts w:ascii="Times New Roman" w:eastAsia="Times New Roman" w:hAnsi="Times New Roman" w:cs="Times New Roman"/>
          <w:i/>
          <w:sz w:val="24"/>
          <w:szCs w:val="24"/>
        </w:rPr>
      </w:pPr>
    </w:p>
    <w:tbl>
      <w:tblPr>
        <w:tblStyle w:val="a5"/>
        <w:tblW w:w="9360" w:type="dxa"/>
        <w:tblInd w:w="0" w:type="dxa"/>
        <w:tblLayout w:type="fixed"/>
        <w:tblLook w:val="0400" w:firstRow="0" w:lastRow="0" w:firstColumn="0" w:lastColumn="0" w:noHBand="0" w:noVBand="1"/>
      </w:tblPr>
      <w:tblGrid>
        <w:gridCol w:w="2150"/>
        <w:gridCol w:w="1079"/>
        <w:gridCol w:w="1253"/>
        <w:gridCol w:w="1522"/>
        <w:gridCol w:w="1881"/>
        <w:gridCol w:w="1475"/>
      </w:tblGrid>
      <w:tr w:rsidR="00787A77" w14:paraId="2E67D625" w14:textId="77777777">
        <w:trPr>
          <w:tblHeader/>
        </w:trPr>
        <w:tc>
          <w:tcPr>
            <w:tcW w:w="2150" w:type="dxa"/>
            <w:tcBorders>
              <w:top w:val="single" w:sz="4" w:space="0" w:color="000000"/>
              <w:bottom w:val="single" w:sz="4" w:space="0" w:color="000000"/>
            </w:tcBorders>
            <w:vAlign w:val="center"/>
          </w:tcPr>
          <w:p w14:paraId="52B0F06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Metric</w:t>
            </w:r>
          </w:p>
        </w:tc>
        <w:tc>
          <w:tcPr>
            <w:tcW w:w="1079" w:type="dxa"/>
            <w:tcBorders>
              <w:top w:val="single" w:sz="4" w:space="0" w:color="000000"/>
              <w:bottom w:val="single" w:sz="4" w:space="0" w:color="000000"/>
            </w:tcBorders>
            <w:vAlign w:val="center"/>
          </w:tcPr>
          <w:p w14:paraId="6902654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w:t>
            </w:r>
          </w:p>
        </w:tc>
        <w:tc>
          <w:tcPr>
            <w:tcW w:w="1253" w:type="dxa"/>
            <w:tcBorders>
              <w:top w:val="single" w:sz="4" w:space="0" w:color="000000"/>
              <w:bottom w:val="single" w:sz="4" w:space="0" w:color="000000"/>
            </w:tcBorders>
            <w:vAlign w:val="center"/>
          </w:tcPr>
          <w:p w14:paraId="1BF4F26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AES-256</w:t>
            </w:r>
          </w:p>
        </w:tc>
        <w:tc>
          <w:tcPr>
            <w:tcW w:w="1522" w:type="dxa"/>
            <w:tcBorders>
              <w:top w:val="single" w:sz="4" w:space="0" w:color="000000"/>
              <w:bottom w:val="single" w:sz="4" w:space="0" w:color="000000"/>
            </w:tcBorders>
            <w:vAlign w:val="center"/>
          </w:tcPr>
          <w:p w14:paraId="1F04DC99" w14:textId="77777777" w:rsidR="00787A77" w:rsidRDefault="00193355">
            <w:pPr>
              <w:spacing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Paillier</w:t>
            </w:r>
            <w:proofErr w:type="spellEnd"/>
          </w:p>
        </w:tc>
        <w:tc>
          <w:tcPr>
            <w:tcW w:w="1881" w:type="dxa"/>
            <w:tcBorders>
              <w:top w:val="single" w:sz="4" w:space="0" w:color="000000"/>
              <w:bottom w:val="single" w:sz="4" w:space="0" w:color="000000"/>
            </w:tcBorders>
            <w:vAlign w:val="center"/>
          </w:tcPr>
          <w:p w14:paraId="188F986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FHE</w:t>
            </w:r>
          </w:p>
        </w:tc>
        <w:tc>
          <w:tcPr>
            <w:tcW w:w="1475" w:type="dxa"/>
            <w:tcBorders>
              <w:top w:val="single" w:sz="4" w:space="0" w:color="000000"/>
              <w:bottom w:val="single" w:sz="4" w:space="0" w:color="000000"/>
            </w:tcBorders>
            <w:vAlign w:val="center"/>
          </w:tcPr>
          <w:p w14:paraId="57D5569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Improvement (%)</w:t>
            </w:r>
          </w:p>
        </w:tc>
      </w:tr>
      <w:tr w:rsidR="00787A77" w14:paraId="4081B8CA" w14:textId="77777777">
        <w:tc>
          <w:tcPr>
            <w:tcW w:w="2150" w:type="dxa"/>
            <w:vAlign w:val="center"/>
          </w:tcPr>
          <w:p w14:paraId="608F038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Encryption Speed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/MB)</w:t>
            </w:r>
          </w:p>
        </w:tc>
        <w:tc>
          <w:tcPr>
            <w:tcW w:w="1079" w:type="dxa"/>
            <w:vAlign w:val="center"/>
          </w:tcPr>
          <w:p w14:paraId="698689A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 1.8</w:t>
            </w:r>
          </w:p>
        </w:tc>
        <w:tc>
          <w:tcPr>
            <w:tcW w:w="1253" w:type="dxa"/>
            <w:vAlign w:val="center"/>
          </w:tcPr>
          <w:p w14:paraId="695C06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 ± 3.2</w:t>
            </w:r>
          </w:p>
        </w:tc>
        <w:tc>
          <w:tcPr>
            <w:tcW w:w="1522" w:type="dxa"/>
            <w:vAlign w:val="center"/>
          </w:tcPr>
          <w:p w14:paraId="0A7C560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234.6 ± 18.4</w:t>
            </w:r>
          </w:p>
        </w:tc>
        <w:tc>
          <w:tcPr>
            <w:tcW w:w="1881" w:type="dxa"/>
            <w:vAlign w:val="center"/>
          </w:tcPr>
          <w:p w14:paraId="5EFD600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1,234.7 ± 87.3</w:t>
            </w:r>
          </w:p>
        </w:tc>
        <w:tc>
          <w:tcPr>
            <w:tcW w:w="1475" w:type="dxa"/>
            <w:vAlign w:val="center"/>
          </w:tcPr>
          <w:p w14:paraId="3959AE5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r>
      <w:tr w:rsidR="00787A77" w14:paraId="76BF7CD7" w14:textId="77777777">
        <w:tc>
          <w:tcPr>
            <w:tcW w:w="2150" w:type="dxa"/>
            <w:vAlign w:val="center"/>
          </w:tcPr>
          <w:p w14:paraId="4B9AE2E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Latency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w:t>
            </w:r>
          </w:p>
        </w:tc>
        <w:tc>
          <w:tcPr>
            <w:tcW w:w="1079" w:type="dxa"/>
            <w:vAlign w:val="center"/>
          </w:tcPr>
          <w:p w14:paraId="10001A6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 ± 4.2</w:t>
            </w:r>
          </w:p>
        </w:tc>
        <w:tc>
          <w:tcPr>
            <w:tcW w:w="1253" w:type="dxa"/>
            <w:vAlign w:val="center"/>
          </w:tcPr>
          <w:p w14:paraId="6F02A54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156.3 ± 9.7</w:t>
            </w:r>
          </w:p>
        </w:tc>
        <w:tc>
          <w:tcPr>
            <w:tcW w:w="1522" w:type="dxa"/>
            <w:vAlign w:val="center"/>
          </w:tcPr>
          <w:p w14:paraId="538AB0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2,345.8 ± 156.2</w:t>
            </w:r>
          </w:p>
        </w:tc>
        <w:tc>
          <w:tcPr>
            <w:tcW w:w="1881" w:type="dxa"/>
            <w:vAlign w:val="center"/>
          </w:tcPr>
          <w:p w14:paraId="0AAC165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15,678.4 ± 1,234.6</w:t>
            </w:r>
          </w:p>
        </w:tc>
        <w:tc>
          <w:tcPr>
            <w:tcW w:w="1475" w:type="dxa"/>
            <w:vAlign w:val="center"/>
          </w:tcPr>
          <w:p w14:paraId="06E0BD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r>
      <w:tr w:rsidR="00787A77" w14:paraId="276CBE02" w14:textId="77777777">
        <w:tc>
          <w:tcPr>
            <w:tcW w:w="2150" w:type="dxa"/>
            <w:vAlign w:val="center"/>
          </w:tcPr>
          <w:p w14:paraId="2B254E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Memory Efficiency (%)</w:t>
            </w:r>
          </w:p>
        </w:tc>
        <w:tc>
          <w:tcPr>
            <w:tcW w:w="1079" w:type="dxa"/>
            <w:vAlign w:val="center"/>
          </w:tcPr>
          <w:p w14:paraId="5132EB9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87.3 ± 3.1</w:t>
            </w:r>
          </w:p>
        </w:tc>
        <w:tc>
          <w:tcPr>
            <w:tcW w:w="1253" w:type="dxa"/>
            <w:vAlign w:val="center"/>
          </w:tcPr>
          <w:p w14:paraId="298471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76.4 ± 4.8</w:t>
            </w:r>
          </w:p>
        </w:tc>
        <w:tc>
          <w:tcPr>
            <w:tcW w:w="1522" w:type="dxa"/>
            <w:vAlign w:val="center"/>
          </w:tcPr>
          <w:p w14:paraId="58FC277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7.3</w:t>
            </w:r>
          </w:p>
        </w:tc>
        <w:tc>
          <w:tcPr>
            <w:tcW w:w="1881" w:type="dxa"/>
            <w:vAlign w:val="center"/>
          </w:tcPr>
          <w:p w14:paraId="5C83B1F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 ± 5.2</w:t>
            </w:r>
          </w:p>
        </w:tc>
        <w:tc>
          <w:tcPr>
            <w:tcW w:w="1475" w:type="dxa"/>
            <w:vAlign w:val="center"/>
          </w:tcPr>
          <w:p w14:paraId="434E21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r>
      <w:tr w:rsidR="00787A77" w14:paraId="065BA520" w14:textId="77777777">
        <w:tc>
          <w:tcPr>
            <w:tcW w:w="2150" w:type="dxa"/>
            <w:vAlign w:val="center"/>
          </w:tcPr>
          <w:p w14:paraId="11C226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Score</w:t>
            </w:r>
          </w:p>
        </w:tc>
        <w:tc>
          <w:tcPr>
            <w:tcW w:w="1079" w:type="dxa"/>
            <w:vAlign w:val="center"/>
          </w:tcPr>
          <w:p w14:paraId="603D537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96.7 ± 1.2</w:t>
            </w:r>
          </w:p>
        </w:tc>
        <w:tc>
          <w:tcPr>
            <w:tcW w:w="1253" w:type="dxa"/>
            <w:vAlign w:val="center"/>
          </w:tcPr>
          <w:p w14:paraId="2BB805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89.4 ± 2.1</w:t>
            </w:r>
          </w:p>
        </w:tc>
        <w:tc>
          <w:tcPr>
            <w:tcW w:w="1522" w:type="dxa"/>
            <w:vAlign w:val="center"/>
          </w:tcPr>
          <w:p w14:paraId="4DA970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92.3 ± 1.8</w:t>
            </w:r>
          </w:p>
        </w:tc>
        <w:tc>
          <w:tcPr>
            <w:tcW w:w="1881" w:type="dxa"/>
            <w:vAlign w:val="center"/>
          </w:tcPr>
          <w:p w14:paraId="7860AE5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 ± 1.5</w:t>
            </w:r>
          </w:p>
        </w:tc>
        <w:tc>
          <w:tcPr>
            <w:tcW w:w="1475" w:type="dxa"/>
            <w:vAlign w:val="center"/>
          </w:tcPr>
          <w:p w14:paraId="300D394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787A77" w14:paraId="4C9B7532" w14:textId="77777777">
        <w:tc>
          <w:tcPr>
            <w:tcW w:w="2150" w:type="dxa"/>
            <w:tcBorders>
              <w:bottom w:val="single" w:sz="4" w:space="0" w:color="000000"/>
            </w:tcBorders>
            <w:vAlign w:val="center"/>
          </w:tcPr>
          <w:p w14:paraId="04DA7CE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Factor</w:t>
            </w:r>
          </w:p>
        </w:tc>
        <w:tc>
          <w:tcPr>
            <w:tcW w:w="1079" w:type="dxa"/>
            <w:tcBorders>
              <w:bottom w:val="single" w:sz="4" w:space="0" w:color="000000"/>
            </w:tcBorders>
            <w:vAlign w:val="center"/>
          </w:tcPr>
          <w:p w14:paraId="4CF6F1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 0.18</w:t>
            </w:r>
          </w:p>
        </w:tc>
        <w:tc>
          <w:tcPr>
            <w:tcW w:w="1253" w:type="dxa"/>
            <w:tcBorders>
              <w:bottom w:val="single" w:sz="4" w:space="0" w:color="000000"/>
            </w:tcBorders>
            <w:vAlign w:val="center"/>
          </w:tcPr>
          <w:p w14:paraId="38887E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 ± 0.23</w:t>
            </w:r>
          </w:p>
        </w:tc>
        <w:tc>
          <w:tcPr>
            <w:tcW w:w="1522" w:type="dxa"/>
            <w:tcBorders>
              <w:bottom w:val="single" w:sz="4" w:space="0" w:color="000000"/>
            </w:tcBorders>
            <w:vAlign w:val="center"/>
          </w:tcPr>
          <w:p w14:paraId="676D4EC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 0.34</w:t>
            </w:r>
          </w:p>
        </w:tc>
        <w:tc>
          <w:tcPr>
            <w:tcW w:w="1881" w:type="dxa"/>
            <w:tcBorders>
              <w:bottom w:val="single" w:sz="4" w:space="0" w:color="000000"/>
            </w:tcBorders>
            <w:vAlign w:val="center"/>
          </w:tcPr>
          <w:p w14:paraId="677426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 0.28</w:t>
            </w:r>
          </w:p>
        </w:tc>
        <w:tc>
          <w:tcPr>
            <w:tcW w:w="1475" w:type="dxa"/>
            <w:tcBorders>
              <w:bottom w:val="single" w:sz="4" w:space="0" w:color="000000"/>
            </w:tcBorders>
            <w:vAlign w:val="center"/>
          </w:tcPr>
          <w:p w14:paraId="6DE3861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r>
    </w:tbl>
    <w:p w14:paraId="02EBE765" w14:textId="77777777" w:rsidR="00787A77" w:rsidRDefault="00787A77">
      <w:pPr>
        <w:spacing w:line="360" w:lineRule="auto"/>
        <w:jc w:val="both"/>
        <w:rPr>
          <w:rFonts w:ascii="Times New Roman" w:eastAsia="Times New Roman" w:hAnsi="Times New Roman" w:cs="Times New Roman"/>
          <w:sz w:val="24"/>
          <w:szCs w:val="24"/>
        </w:rPr>
      </w:pPr>
    </w:p>
    <w:p w14:paraId="7626AE7E" w14:textId="77777777" w:rsidR="001154FC" w:rsidRDefault="00193355" w:rsidP="001154F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7</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Normalized Comparative Metrics across Encryption Frameworks</w:t>
      </w:r>
    </w:p>
    <w:p w14:paraId="2F18B435" w14:textId="450112BB" w:rsidR="00787A77" w:rsidRDefault="00787A77">
      <w:pPr>
        <w:spacing w:line="360" w:lineRule="auto"/>
        <w:jc w:val="both"/>
        <w:rPr>
          <w:rFonts w:ascii="Times New Roman" w:eastAsia="Times New Roman" w:hAnsi="Times New Roman" w:cs="Times New Roman"/>
          <w:b/>
          <w:sz w:val="24"/>
          <w:szCs w:val="24"/>
        </w:rPr>
      </w:pPr>
    </w:p>
    <w:p w14:paraId="07607E8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F22455" wp14:editId="1B689118">
            <wp:extent cx="4604034" cy="2792923"/>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9006"/>
                    <a:stretch>
                      <a:fillRect/>
                    </a:stretch>
                  </pic:blipFill>
                  <pic:spPr>
                    <a:xfrm>
                      <a:off x="0" y="0"/>
                      <a:ext cx="4604034" cy="2792923"/>
                    </a:xfrm>
                    <a:prstGeom prst="rect">
                      <a:avLst/>
                    </a:prstGeom>
                    <a:ln/>
                  </pic:spPr>
                </pic:pic>
              </a:graphicData>
            </a:graphic>
          </wp:inline>
        </w:drawing>
      </w:r>
    </w:p>
    <w:p w14:paraId="1BE3DEA9"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significance was confirmed, as in Table 8 with p&lt;0.001 and large Cohen's d.</w:t>
      </w:r>
    </w:p>
    <w:p w14:paraId="0FE1C167" w14:textId="066FE440"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1154FC">
        <w:rPr>
          <w:rFonts w:ascii="Times New Roman" w:eastAsia="Times New Roman" w:hAnsi="Times New Roman" w:cs="Times New Roman"/>
          <w:sz w:val="24"/>
          <w:szCs w:val="24"/>
        </w:rPr>
        <w:t xml:space="preserve"> </w:t>
      </w:r>
      <w:r w:rsidR="001154FC">
        <w:rPr>
          <w:rFonts w:ascii="Times New Roman" w:eastAsia="Times New Roman" w:hAnsi="Times New Roman" w:cs="Times New Roman"/>
          <w:i/>
          <w:sz w:val="24"/>
          <w:szCs w:val="24"/>
        </w:rPr>
        <w:t>Statistical</w:t>
      </w:r>
      <w:proofErr w:type="gramEnd"/>
      <w:r w:rsidR="001154FC">
        <w:rPr>
          <w:rFonts w:ascii="Times New Roman" w:eastAsia="Times New Roman" w:hAnsi="Times New Roman" w:cs="Times New Roman"/>
          <w:i/>
          <w:sz w:val="24"/>
          <w:szCs w:val="24"/>
        </w:rPr>
        <w:t xml:space="preserve"> Tests</w:t>
      </w:r>
    </w:p>
    <w:p w14:paraId="62C5553F" w14:textId="70ABDDAF" w:rsidR="00787A77" w:rsidRDefault="00787A77">
      <w:pPr>
        <w:spacing w:line="360" w:lineRule="auto"/>
        <w:jc w:val="both"/>
        <w:rPr>
          <w:rFonts w:ascii="Times New Roman" w:eastAsia="Times New Roman" w:hAnsi="Times New Roman" w:cs="Times New Roman"/>
          <w:i/>
          <w:sz w:val="24"/>
          <w:szCs w:val="24"/>
        </w:rPr>
      </w:pPr>
    </w:p>
    <w:tbl>
      <w:tblPr>
        <w:tblStyle w:val="a6"/>
        <w:tblW w:w="9427" w:type="dxa"/>
        <w:tblInd w:w="0" w:type="dxa"/>
        <w:tblLayout w:type="fixed"/>
        <w:tblLook w:val="0400" w:firstRow="0" w:lastRow="0" w:firstColumn="0" w:lastColumn="0" w:noHBand="0" w:noVBand="1"/>
      </w:tblPr>
      <w:tblGrid>
        <w:gridCol w:w="2160"/>
        <w:gridCol w:w="2070"/>
        <w:gridCol w:w="810"/>
        <w:gridCol w:w="1440"/>
        <w:gridCol w:w="1259"/>
        <w:gridCol w:w="1594"/>
        <w:gridCol w:w="94"/>
      </w:tblGrid>
      <w:tr w:rsidR="00787A77" w14:paraId="14F72766" w14:textId="77777777">
        <w:trPr>
          <w:trHeight w:val="518"/>
          <w:tblHeader/>
        </w:trPr>
        <w:tc>
          <w:tcPr>
            <w:tcW w:w="2160" w:type="dxa"/>
            <w:tcBorders>
              <w:top w:val="single" w:sz="4" w:space="0" w:color="000000"/>
              <w:bottom w:val="single" w:sz="4" w:space="0" w:color="000000"/>
            </w:tcBorders>
            <w:vAlign w:val="center"/>
          </w:tcPr>
          <w:p w14:paraId="47644101"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Comparison</w:t>
            </w:r>
          </w:p>
        </w:tc>
        <w:tc>
          <w:tcPr>
            <w:tcW w:w="2070" w:type="dxa"/>
            <w:tcBorders>
              <w:top w:val="single" w:sz="4" w:space="0" w:color="000000"/>
              <w:bottom w:val="single" w:sz="4" w:space="0" w:color="000000"/>
            </w:tcBorders>
            <w:vAlign w:val="center"/>
          </w:tcPr>
          <w:p w14:paraId="6C1EAB8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Type</w:t>
            </w:r>
          </w:p>
        </w:tc>
        <w:tc>
          <w:tcPr>
            <w:tcW w:w="810" w:type="dxa"/>
            <w:tcBorders>
              <w:top w:val="single" w:sz="4" w:space="0" w:color="000000"/>
              <w:bottom w:val="single" w:sz="4" w:space="0" w:color="000000"/>
            </w:tcBorders>
            <w:vAlign w:val="center"/>
          </w:tcPr>
          <w:p w14:paraId="6FA6ACD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Size</w:t>
            </w:r>
          </w:p>
        </w:tc>
        <w:tc>
          <w:tcPr>
            <w:tcW w:w="1440" w:type="dxa"/>
            <w:tcBorders>
              <w:top w:val="single" w:sz="4" w:space="0" w:color="000000"/>
              <w:bottom w:val="single" w:sz="4" w:space="0" w:color="000000"/>
            </w:tcBorders>
            <w:vAlign w:val="center"/>
          </w:tcPr>
          <w:p w14:paraId="68425FE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Cohen's d</w:t>
            </w:r>
          </w:p>
        </w:tc>
        <w:tc>
          <w:tcPr>
            <w:tcW w:w="1259" w:type="dxa"/>
            <w:tcBorders>
              <w:top w:val="single" w:sz="4" w:space="0" w:color="000000"/>
              <w:bottom w:val="single" w:sz="4" w:space="0" w:color="000000"/>
            </w:tcBorders>
            <w:vAlign w:val="center"/>
          </w:tcPr>
          <w:p w14:paraId="5565A44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1594" w:type="dxa"/>
            <w:tcBorders>
              <w:top w:val="single" w:sz="4" w:space="0" w:color="000000"/>
              <w:bottom w:val="single" w:sz="4" w:space="0" w:color="000000"/>
            </w:tcBorders>
            <w:vAlign w:val="center"/>
          </w:tcPr>
          <w:p w14:paraId="375C8B6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w:t>
            </w:r>
          </w:p>
        </w:tc>
        <w:tc>
          <w:tcPr>
            <w:tcW w:w="94" w:type="dxa"/>
            <w:tcBorders>
              <w:top w:val="single" w:sz="4" w:space="0" w:color="000000"/>
              <w:bottom w:val="single" w:sz="4" w:space="0" w:color="000000"/>
            </w:tcBorders>
            <w:vAlign w:val="center"/>
          </w:tcPr>
          <w:p w14:paraId="745C535E" w14:textId="77777777" w:rsidR="00787A77" w:rsidRDefault="00787A77">
            <w:pPr>
              <w:spacing w:line="240" w:lineRule="auto"/>
              <w:jc w:val="both"/>
              <w:rPr>
                <w:rFonts w:ascii="Times New Roman" w:eastAsia="Times New Roman" w:hAnsi="Times New Roman" w:cs="Times New Roman"/>
                <w:b/>
                <w:sz w:val="24"/>
                <w:szCs w:val="24"/>
              </w:rPr>
            </w:pPr>
          </w:p>
        </w:tc>
      </w:tr>
      <w:tr w:rsidR="00787A77" w14:paraId="15A90B00" w14:textId="77777777">
        <w:trPr>
          <w:trHeight w:val="518"/>
        </w:trPr>
        <w:tc>
          <w:tcPr>
            <w:tcW w:w="2160" w:type="dxa"/>
            <w:vAlign w:val="center"/>
          </w:tcPr>
          <w:p w14:paraId="68AF3D6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 AES-256</w:t>
            </w:r>
          </w:p>
        </w:tc>
        <w:tc>
          <w:tcPr>
            <w:tcW w:w="2070" w:type="dxa"/>
            <w:vAlign w:val="center"/>
          </w:tcPr>
          <w:p w14:paraId="25D3B8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Paired t</w:t>
            </w:r>
          </w:p>
        </w:tc>
        <w:tc>
          <w:tcPr>
            <w:tcW w:w="810" w:type="dxa"/>
            <w:vAlign w:val="center"/>
          </w:tcPr>
          <w:p w14:paraId="4652C6B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709EBC7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259" w:type="dxa"/>
            <w:vAlign w:val="center"/>
          </w:tcPr>
          <w:p w14:paraId="14B0F47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639FBE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2.12]</w:t>
            </w:r>
          </w:p>
        </w:tc>
        <w:tc>
          <w:tcPr>
            <w:tcW w:w="94" w:type="dxa"/>
            <w:vAlign w:val="center"/>
          </w:tcPr>
          <w:p w14:paraId="02627181"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2529639C" w14:textId="77777777">
        <w:trPr>
          <w:trHeight w:val="518"/>
        </w:trPr>
        <w:tc>
          <w:tcPr>
            <w:tcW w:w="2160" w:type="dxa"/>
            <w:vAlign w:val="center"/>
          </w:tcPr>
          <w:p w14:paraId="1117CE2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vs. </w:t>
            </w:r>
            <w:proofErr w:type="spellStart"/>
            <w:r>
              <w:rPr>
                <w:rFonts w:ascii="Times New Roman" w:eastAsia="Times New Roman" w:hAnsi="Times New Roman" w:cs="Times New Roman"/>
                <w:sz w:val="24"/>
                <w:szCs w:val="24"/>
              </w:rPr>
              <w:t>Paillier</w:t>
            </w:r>
            <w:proofErr w:type="spellEnd"/>
          </w:p>
        </w:tc>
        <w:tc>
          <w:tcPr>
            <w:tcW w:w="2070" w:type="dxa"/>
            <w:vAlign w:val="center"/>
          </w:tcPr>
          <w:p w14:paraId="594B8B4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Mann-Whitney</w:t>
            </w:r>
          </w:p>
        </w:tc>
        <w:tc>
          <w:tcPr>
            <w:tcW w:w="810" w:type="dxa"/>
            <w:vAlign w:val="center"/>
          </w:tcPr>
          <w:p w14:paraId="422ADA9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01119F3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59" w:type="dxa"/>
            <w:vAlign w:val="center"/>
          </w:tcPr>
          <w:p w14:paraId="1C16B7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2E927E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2.67]</w:t>
            </w:r>
          </w:p>
        </w:tc>
        <w:tc>
          <w:tcPr>
            <w:tcW w:w="94" w:type="dxa"/>
            <w:vAlign w:val="center"/>
          </w:tcPr>
          <w:p w14:paraId="4513D6EF"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4E471C0B" w14:textId="77777777">
        <w:trPr>
          <w:trHeight w:val="518"/>
        </w:trPr>
        <w:tc>
          <w:tcPr>
            <w:tcW w:w="2160" w:type="dxa"/>
            <w:vAlign w:val="center"/>
          </w:tcPr>
          <w:p w14:paraId="3FDF0C1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 Standard FHE</w:t>
            </w:r>
          </w:p>
        </w:tc>
        <w:tc>
          <w:tcPr>
            <w:tcW w:w="2070" w:type="dxa"/>
            <w:vAlign w:val="center"/>
          </w:tcPr>
          <w:p w14:paraId="6AE0E0C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Paired t</w:t>
            </w:r>
          </w:p>
        </w:tc>
        <w:tc>
          <w:tcPr>
            <w:tcW w:w="810" w:type="dxa"/>
            <w:vAlign w:val="center"/>
          </w:tcPr>
          <w:p w14:paraId="501CBC4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797036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259" w:type="dxa"/>
            <w:vAlign w:val="center"/>
          </w:tcPr>
          <w:p w14:paraId="60D9624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0E9B68E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3.28]</w:t>
            </w:r>
          </w:p>
        </w:tc>
        <w:tc>
          <w:tcPr>
            <w:tcW w:w="94" w:type="dxa"/>
            <w:vAlign w:val="center"/>
          </w:tcPr>
          <w:p w14:paraId="7B14211C"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15397C41" w14:textId="77777777">
        <w:trPr>
          <w:trHeight w:val="518"/>
        </w:trPr>
        <w:tc>
          <w:tcPr>
            <w:tcW w:w="2160" w:type="dxa"/>
            <w:vAlign w:val="center"/>
          </w:tcPr>
          <w:p w14:paraId="190BA8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tc>
        <w:tc>
          <w:tcPr>
            <w:tcW w:w="2070" w:type="dxa"/>
            <w:vAlign w:val="center"/>
          </w:tcPr>
          <w:p w14:paraId="6F5EC75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ANOVA</w:t>
            </w:r>
          </w:p>
        </w:tc>
        <w:tc>
          <w:tcPr>
            <w:tcW w:w="810" w:type="dxa"/>
            <w:vAlign w:val="center"/>
          </w:tcPr>
          <w:p w14:paraId="2211BE0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440" w:type="dxa"/>
            <w:vAlign w:val="center"/>
          </w:tcPr>
          <w:p w14:paraId="1DB4DF2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259" w:type="dxa"/>
            <w:vAlign w:val="center"/>
          </w:tcPr>
          <w:p w14:paraId="3EE19A4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6FE7AD9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1.69]</w:t>
            </w:r>
          </w:p>
        </w:tc>
        <w:tc>
          <w:tcPr>
            <w:tcW w:w="94" w:type="dxa"/>
            <w:vAlign w:val="center"/>
          </w:tcPr>
          <w:p w14:paraId="25FA7A7B"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61A15C60" w14:textId="77777777">
        <w:trPr>
          <w:trHeight w:val="518"/>
        </w:trPr>
        <w:tc>
          <w:tcPr>
            <w:tcW w:w="2160" w:type="dxa"/>
            <w:tcBorders>
              <w:bottom w:val="single" w:sz="4" w:space="0" w:color="000000"/>
            </w:tcBorders>
            <w:vAlign w:val="center"/>
          </w:tcPr>
          <w:p w14:paraId="59608C9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w:t>
            </w:r>
          </w:p>
        </w:tc>
        <w:tc>
          <w:tcPr>
            <w:tcW w:w="2070" w:type="dxa"/>
            <w:tcBorders>
              <w:bottom w:val="single" w:sz="4" w:space="0" w:color="000000"/>
            </w:tcBorders>
            <w:vAlign w:val="center"/>
          </w:tcPr>
          <w:p w14:paraId="67FEB24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810" w:type="dxa"/>
            <w:tcBorders>
              <w:bottom w:val="single" w:sz="4" w:space="0" w:color="000000"/>
            </w:tcBorders>
            <w:vAlign w:val="center"/>
          </w:tcPr>
          <w:p w14:paraId="31095E4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40" w:type="dxa"/>
            <w:tcBorders>
              <w:bottom w:val="single" w:sz="4" w:space="0" w:color="000000"/>
            </w:tcBorders>
            <w:vAlign w:val="center"/>
          </w:tcPr>
          <w:p w14:paraId="4F737F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259" w:type="dxa"/>
            <w:tcBorders>
              <w:bottom w:val="single" w:sz="4" w:space="0" w:color="000000"/>
            </w:tcBorders>
            <w:vAlign w:val="center"/>
          </w:tcPr>
          <w:p w14:paraId="1CDCD4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tcBorders>
              <w:bottom w:val="single" w:sz="4" w:space="0" w:color="000000"/>
            </w:tcBorders>
            <w:vAlign w:val="center"/>
          </w:tcPr>
          <w:p w14:paraId="5EDEC0E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 1.98]</w:t>
            </w:r>
          </w:p>
        </w:tc>
        <w:tc>
          <w:tcPr>
            <w:tcW w:w="94" w:type="dxa"/>
            <w:tcBorders>
              <w:bottom w:val="single" w:sz="4" w:space="0" w:color="000000"/>
            </w:tcBorders>
            <w:vAlign w:val="center"/>
          </w:tcPr>
          <w:p w14:paraId="229C4F77" w14:textId="77777777" w:rsidR="00787A77" w:rsidRDefault="00787A77">
            <w:pPr>
              <w:spacing w:line="240" w:lineRule="auto"/>
              <w:jc w:val="both"/>
              <w:rPr>
                <w:rFonts w:ascii="Times New Roman" w:eastAsia="Times New Roman" w:hAnsi="Times New Roman" w:cs="Times New Roman"/>
                <w:sz w:val="24"/>
                <w:szCs w:val="24"/>
              </w:rPr>
            </w:pPr>
          </w:p>
        </w:tc>
      </w:tr>
    </w:tbl>
    <w:p w14:paraId="0661A80B" w14:textId="77777777" w:rsidR="00787A77" w:rsidRDefault="00787A77">
      <w:pPr>
        <w:spacing w:line="360" w:lineRule="auto"/>
        <w:jc w:val="both"/>
        <w:rPr>
          <w:rFonts w:ascii="Times New Roman" w:eastAsia="Times New Roman" w:hAnsi="Times New Roman" w:cs="Times New Roman"/>
          <w:sz w:val="24"/>
          <w:szCs w:val="24"/>
        </w:rPr>
      </w:pPr>
    </w:p>
    <w:p w14:paraId="6B786750"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520668C"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affirm the framework's effectiveness in designing an optimized homomorphic encryption system for telehealth, with hybrid schemes and AI yielding 23.7% overhead reduction, aligning with studies on lattice-based optimizations in healthcare data (Alzubi et al., 2024). Computational efficiencies, such as throughputs up to 987.4 MB/s in streaming, enable real-time analytics without decryption, addressing gaps in traditional methods where latencies hinder clinical decisions (Badawi et al., 2020). This supports scalable telehealth, as evidenced by sub-0.2% error rates, consistent with benchmarks showing HE's potential for physiological data processing (Cheon et al., 2017).</w:t>
      </w:r>
    </w:p>
    <w:p w14:paraId="470AAD59"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outcomes, with attack success below 6% and 96.9% HIPAA compliance, surpass prior frameworks, where insider threats often exceed 10% vulnerability (Froelicher et al., 2021). The adaptive AI parameters enhance resistance to lattice attacks (0.2% success), echoing research on dynamic encryption in medical imaging (Al-</w:t>
      </w:r>
      <w:proofErr w:type="spellStart"/>
      <w:r>
        <w:rPr>
          <w:rFonts w:ascii="Times New Roman" w:eastAsia="Times New Roman" w:hAnsi="Times New Roman" w:cs="Times New Roman"/>
          <w:sz w:val="24"/>
          <w:szCs w:val="24"/>
        </w:rPr>
        <w:t>Hazaimeh</w:t>
      </w:r>
      <w:proofErr w:type="spellEnd"/>
      <w:r>
        <w:rPr>
          <w:rFonts w:ascii="Times New Roman" w:eastAsia="Times New Roman" w:hAnsi="Times New Roman" w:cs="Times New Roman"/>
          <w:sz w:val="24"/>
          <w:szCs w:val="24"/>
        </w:rPr>
        <w:t xml:space="preserve"> et al., 2023). Data quality at 99.3% validates synthetic generation for simulation, mirroring real-world patterns without privacy risks, as in genomic data studies (Munjal &amp; Bhatia, 2022).</w:t>
      </w:r>
    </w:p>
    <w:p w14:paraId="7FA91AC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advantages, like 56.6% latency improvement over AES-256, highlight practical superiority, backed by statistical significance (p&lt;0.001), similar to evaluations showing HE's edge in cloud healthcare (Jiang et al., 2018). These imply clinical benefits, enabling secure collaborative analytics for better outcomes in chronic care, as per federated learning integrations (</w:t>
      </w:r>
      <w:proofErr w:type="spellStart"/>
      <w:r>
        <w:rPr>
          <w:rFonts w:ascii="Times New Roman" w:eastAsia="Times New Roman" w:hAnsi="Times New Roman" w:cs="Times New Roman"/>
          <w:sz w:val="24"/>
          <w:szCs w:val="24"/>
        </w:rPr>
        <w:t>Podschwadt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Takabi</w:t>
      </w:r>
      <w:proofErr w:type="spellEnd"/>
      <w:r>
        <w:rPr>
          <w:rFonts w:ascii="Times New Roman" w:eastAsia="Times New Roman" w:hAnsi="Times New Roman" w:cs="Times New Roman"/>
          <w:sz w:val="24"/>
          <w:szCs w:val="24"/>
        </w:rPr>
        <w:t>, 2020).</w:t>
      </w:r>
    </w:p>
    <w:p w14:paraId="15753044"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Limitations</w:t>
      </w:r>
    </w:p>
    <w:p w14:paraId="4BC970C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include reliance on synthetic data, potentially overlooking rare clinical anomalies in actual deployments, and home-based constraints limiting live validations, though mitigated by rigorous simulations (80 words).</w:t>
      </w:r>
    </w:p>
    <w:p w14:paraId="09F948FC"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Considerations</w:t>
      </w:r>
    </w:p>
    <w:p w14:paraId="3B719D3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considerations involve integrating differential privacy for enhanced robustness and piloting in hospitals to assess quantum threats, informing recommendations like hybrid implementations. Overall, the framework advances privacy-preserving telehealth, with implications for equitable access and reduced breach costs, paving for AI-HE hybrids in emerging regulations (Truex et al., 2019; Halevi et al., 2019).</w:t>
      </w:r>
    </w:p>
    <w:p w14:paraId="10A97DF5" w14:textId="77777777" w:rsidR="00787A77" w:rsidRDefault="00787A77">
      <w:pPr>
        <w:spacing w:line="360" w:lineRule="auto"/>
        <w:jc w:val="both"/>
        <w:rPr>
          <w:rFonts w:ascii="Times New Roman" w:eastAsia="Times New Roman" w:hAnsi="Times New Roman" w:cs="Times New Roman"/>
          <w:sz w:val="24"/>
          <w:szCs w:val="24"/>
        </w:rPr>
      </w:pPr>
    </w:p>
    <w:p w14:paraId="5151E935"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Conclusions and Recommendations</w:t>
      </w:r>
    </w:p>
    <w:p w14:paraId="4E6C81DA"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33BE5BB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developed an AI-driven homomorphic encryption framework for secure telehealth data analysis, integrating hybrid CKKS-BFV schemes and neural network optimization. The system achieved 23.7% overhead reduction, processing latencies below 535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for 5,000 records/sec, and 96.9% HIPAA compliance. Synthetic datasets, validated at 99.3% quality, enabled robust testing, with security assessments showing attack success rates below 6%. Despite efficiencies, limitations include synthetic data constraints and home-based testing, requiring real-world validation. The framework effectively supports secure, scalable telehealth analytics, enhancing patient data protection and clinical decision-making.</w:t>
      </w:r>
    </w:p>
    <w:p w14:paraId="28D24FCE"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274C6C2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researchers should develop real-world telehealth datasets to enhance framework generalizability. Integrating explainable AI techniques can improve transparency in encryption parameter decisions, fostering trust. Deploying the framework in clinical settings, such as telemedicine platforms, will validate real-time performance and scalability. Collaborative efforts among healthcare providers, tech developers, and regulators should establish standardized security metrics for medical IoT. Exploring adaptive algorithms to counter evolving threats, like quantum </w:t>
      </w:r>
      <w:r>
        <w:rPr>
          <w:rFonts w:ascii="Times New Roman" w:eastAsia="Times New Roman" w:hAnsi="Times New Roman" w:cs="Times New Roman"/>
          <w:sz w:val="24"/>
          <w:szCs w:val="24"/>
        </w:rPr>
        <w:lastRenderedPageBreak/>
        <w:t>attacks, will ensure long-term resilience. These steps will strengthen secure telehealth deployment, aligning with evolving privacy needs and clinical demands.</w:t>
      </w:r>
    </w:p>
    <w:p w14:paraId="39DCDCBF" w14:textId="77777777" w:rsidR="00787A77" w:rsidRDefault="00787A77">
      <w:pPr>
        <w:spacing w:line="360" w:lineRule="auto"/>
        <w:jc w:val="both"/>
        <w:rPr>
          <w:rFonts w:ascii="Times New Roman" w:eastAsia="Times New Roman" w:hAnsi="Times New Roman" w:cs="Times New Roman"/>
          <w:sz w:val="24"/>
          <w:szCs w:val="24"/>
        </w:rPr>
      </w:pPr>
    </w:p>
    <w:p w14:paraId="690D4C0C"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14:paraId="3E2B5F32" w14:textId="77777777" w:rsidR="00787A77" w:rsidRDefault="00787A77">
      <w:pPr>
        <w:spacing w:line="360" w:lineRule="auto"/>
        <w:jc w:val="both"/>
        <w:rPr>
          <w:rFonts w:ascii="Times New Roman" w:eastAsia="Times New Roman" w:hAnsi="Times New Roman" w:cs="Times New Roman"/>
          <w:sz w:val="24"/>
          <w:szCs w:val="24"/>
        </w:rPr>
      </w:pPr>
    </w:p>
    <w:p w14:paraId="20EFDE2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D2A419B" w14:textId="77777777" w:rsidR="00787A77" w:rsidRDefault="00787A77">
      <w:pPr>
        <w:spacing w:line="360" w:lineRule="auto"/>
        <w:jc w:val="both"/>
        <w:rPr>
          <w:rFonts w:ascii="Times New Roman" w:eastAsia="Times New Roman" w:hAnsi="Times New Roman" w:cs="Times New Roman"/>
          <w:sz w:val="24"/>
          <w:szCs w:val="24"/>
        </w:rPr>
      </w:pPr>
    </w:p>
    <w:p w14:paraId="49239D11" w14:textId="77777777" w:rsidR="00787A77" w:rsidRDefault="00787A77">
      <w:pPr>
        <w:spacing w:line="360" w:lineRule="auto"/>
        <w:jc w:val="both"/>
        <w:rPr>
          <w:rFonts w:ascii="Times New Roman" w:eastAsia="Times New Roman" w:hAnsi="Times New Roman" w:cs="Times New Roman"/>
          <w:sz w:val="24"/>
          <w:szCs w:val="24"/>
        </w:rPr>
      </w:pPr>
    </w:p>
    <w:p w14:paraId="764D7322"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1446D704"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Alowais</w:t>
      </w:r>
      <w:proofErr w:type="spellEnd"/>
      <w:r>
        <w:rPr>
          <w:rFonts w:ascii="Times New Roman" w:eastAsia="Times New Roman" w:hAnsi="Times New Roman" w:cs="Times New Roman"/>
          <w:sz w:val="24"/>
          <w:szCs w:val="24"/>
        </w:rPr>
        <w:t xml:space="preserve">, S. A., Alghamdi, S. S., </w:t>
      </w:r>
      <w:proofErr w:type="spellStart"/>
      <w:r>
        <w:rPr>
          <w:rFonts w:ascii="Times New Roman" w:eastAsia="Times New Roman" w:hAnsi="Times New Roman" w:cs="Times New Roman"/>
          <w:sz w:val="24"/>
          <w:szCs w:val="24"/>
        </w:rPr>
        <w:t>Alsuhebany</w:t>
      </w:r>
      <w:proofErr w:type="spellEnd"/>
      <w:r>
        <w:rPr>
          <w:rFonts w:ascii="Times New Roman" w:eastAsia="Times New Roman" w:hAnsi="Times New Roman" w:cs="Times New Roman"/>
          <w:sz w:val="24"/>
          <w:szCs w:val="24"/>
        </w:rPr>
        <w:t xml:space="preserve">, N., Alqahtani, T., Alshaya, A. I., </w:t>
      </w:r>
      <w:proofErr w:type="spellStart"/>
      <w:r>
        <w:rPr>
          <w:rFonts w:ascii="Times New Roman" w:eastAsia="Times New Roman" w:hAnsi="Times New Roman" w:cs="Times New Roman"/>
          <w:sz w:val="24"/>
          <w:szCs w:val="24"/>
        </w:rPr>
        <w:t>Almohareb</w:t>
      </w:r>
      <w:proofErr w:type="spellEnd"/>
      <w:r>
        <w:rPr>
          <w:rFonts w:ascii="Times New Roman" w:eastAsia="Times New Roman" w:hAnsi="Times New Roman" w:cs="Times New Roman"/>
          <w:sz w:val="24"/>
          <w:szCs w:val="24"/>
        </w:rPr>
        <w:t xml:space="preserve">, S. N., </w:t>
      </w:r>
      <w:proofErr w:type="spellStart"/>
      <w:r>
        <w:rPr>
          <w:rFonts w:ascii="Times New Roman" w:eastAsia="Times New Roman" w:hAnsi="Times New Roman" w:cs="Times New Roman"/>
          <w:sz w:val="24"/>
          <w:szCs w:val="24"/>
        </w:rPr>
        <w:t>Aldairem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Alrashed</w:t>
      </w:r>
      <w:proofErr w:type="spellEnd"/>
      <w:r>
        <w:rPr>
          <w:rFonts w:ascii="Times New Roman" w:eastAsia="Times New Roman" w:hAnsi="Times New Roman" w:cs="Times New Roman"/>
          <w:sz w:val="24"/>
          <w:szCs w:val="24"/>
        </w:rPr>
        <w:t xml:space="preserve">, M., bin Saleh, K., Badreldin, H. A., Al Yami, M. S., Al Harbi, S., &amp; </w:t>
      </w:r>
      <w:proofErr w:type="spellStart"/>
      <w:r>
        <w:rPr>
          <w:rFonts w:ascii="Times New Roman" w:eastAsia="Times New Roman" w:hAnsi="Times New Roman" w:cs="Times New Roman"/>
          <w:sz w:val="24"/>
          <w:szCs w:val="24"/>
        </w:rPr>
        <w:t>Albekairy</w:t>
      </w:r>
      <w:proofErr w:type="spellEnd"/>
      <w:r>
        <w:rPr>
          <w:rFonts w:ascii="Times New Roman" w:eastAsia="Times New Roman" w:hAnsi="Times New Roman" w:cs="Times New Roman"/>
          <w:sz w:val="24"/>
          <w:szCs w:val="24"/>
        </w:rPr>
        <w:t>, A. M. (2023). Revolutionizing healthcare: The role of artificial intelligence in clinical practice. BMC Medical Education, 23(1), Article 698. https://doi.org/10.1186/s12909-023-04698-z</w:t>
      </w:r>
    </w:p>
    <w:p w14:paraId="7CB36B13"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 A., Al-</w:t>
      </w:r>
      <w:proofErr w:type="spellStart"/>
      <w:r>
        <w:rPr>
          <w:rFonts w:ascii="Times New Roman" w:eastAsia="Times New Roman" w:hAnsi="Times New Roman" w:cs="Times New Roman"/>
          <w:sz w:val="24"/>
          <w:szCs w:val="24"/>
        </w:rPr>
        <w:t>Rodhaan</w:t>
      </w:r>
      <w:proofErr w:type="spellEnd"/>
      <w:r>
        <w:rPr>
          <w:rFonts w:ascii="Times New Roman" w:eastAsia="Times New Roman" w:hAnsi="Times New Roman" w:cs="Times New Roman"/>
          <w:sz w:val="24"/>
          <w:szCs w:val="24"/>
        </w:rPr>
        <w:t>, M., Tian, Y., &amp; Al-</w:t>
      </w:r>
      <w:proofErr w:type="spellStart"/>
      <w:r>
        <w:rPr>
          <w:rFonts w:ascii="Times New Roman" w:eastAsia="Times New Roman" w:hAnsi="Times New Roman" w:cs="Times New Roman"/>
          <w:sz w:val="24"/>
          <w:szCs w:val="24"/>
        </w:rPr>
        <w:t>Dhelaan</w:t>
      </w:r>
      <w:proofErr w:type="spellEnd"/>
      <w:r>
        <w:rPr>
          <w:rFonts w:ascii="Times New Roman" w:eastAsia="Times New Roman" w:hAnsi="Times New Roman" w:cs="Times New Roman"/>
          <w:sz w:val="24"/>
          <w:szCs w:val="24"/>
        </w:rPr>
        <w:t>, A. (2017). A secure privacy-preserving data aggregation scheme based on bilinear ElGamal cryptosystem for remote health monitoring systems. IEEE Access, 5, 12601-12617. https://doi.org/10.1109/ACCESS.2017.2716439</w:t>
      </w:r>
    </w:p>
    <w:p w14:paraId="0A1FA1B4"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 J. W., Lauter, K., &amp; </w:t>
      </w:r>
      <w:proofErr w:type="spellStart"/>
      <w:r>
        <w:rPr>
          <w:rFonts w:ascii="Times New Roman" w:eastAsia="Times New Roman" w:hAnsi="Times New Roman" w:cs="Times New Roman"/>
          <w:sz w:val="24"/>
          <w:szCs w:val="24"/>
        </w:rPr>
        <w:t>Naehrig</w:t>
      </w:r>
      <w:proofErr w:type="spellEnd"/>
      <w:r>
        <w:rPr>
          <w:rFonts w:ascii="Times New Roman" w:eastAsia="Times New Roman" w:hAnsi="Times New Roman" w:cs="Times New Roman"/>
          <w:sz w:val="24"/>
          <w:szCs w:val="24"/>
        </w:rPr>
        <w:t>, M. (2014). Private predictive analysis on encrypted medical data. Journal of Biomedical Informatics, 50, 234-243. https://doi.org/10.1016/j.jbi.2014.04.003</w:t>
      </w:r>
    </w:p>
    <w:p w14:paraId="7A8B3C25"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Carpov, S., Gama, N., Georgieva, M., &amp; Troncoso-Pastoriza, J. R. (2020). Privacy-preserving semi-parallel logistic regression training with fully homomorphic encryption. BMC Medical Genomics, 13(Suppl 7), Article 88. https://doi.org/10.1186/s12920-020-0743-0</w:t>
      </w:r>
    </w:p>
    <w:p w14:paraId="4A8F5BC4"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Djatmiko, M., Friedman, A., </w:t>
      </w:r>
      <w:proofErr w:type="spellStart"/>
      <w:r>
        <w:rPr>
          <w:rFonts w:ascii="Times New Roman" w:eastAsia="Times New Roman" w:hAnsi="Times New Roman" w:cs="Times New Roman"/>
          <w:sz w:val="24"/>
          <w:szCs w:val="24"/>
        </w:rPr>
        <w:t>Boreli</w:t>
      </w:r>
      <w:proofErr w:type="spellEnd"/>
      <w:r>
        <w:rPr>
          <w:rFonts w:ascii="Times New Roman" w:eastAsia="Times New Roman" w:hAnsi="Times New Roman" w:cs="Times New Roman"/>
          <w:sz w:val="24"/>
          <w:szCs w:val="24"/>
        </w:rPr>
        <w:t>, R., Lawrence, F., Thorne, B., &amp; Hardy, S. (2014). Secure evaluation protocol for personalized medicine. In Proceedings of the 13th Workshop on Privacy in the Electronic Society (pp. 159-162). ACM. https://doi.org/10.1145/2665943.2665958</w:t>
      </w:r>
    </w:p>
    <w:p w14:paraId="78C03FA6"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Kaiser, L. (2025). New method to analyze safely encrypted medical data using AI. University at Buffalo. https://www.buffalo.edu/grad/news.host.html/content/shared/university/news/ub-reporter-articles/stories/2025/01/medical-data-encryption.detail.html</w:t>
      </w:r>
    </w:p>
    <w:p w14:paraId="0256AE28"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 D. M., Lazrig, I., Ray, I., &amp; Ray, I. (2017). </w:t>
      </w:r>
      <w:proofErr w:type="spellStart"/>
      <w:r>
        <w:rPr>
          <w:rFonts w:ascii="Times New Roman" w:eastAsia="Times New Roman" w:hAnsi="Times New Roman" w:cs="Times New Roman"/>
          <w:sz w:val="24"/>
          <w:szCs w:val="24"/>
        </w:rPr>
        <w:t>Priremat</w:t>
      </w:r>
      <w:proofErr w:type="spellEnd"/>
      <w:r>
        <w:rPr>
          <w:rFonts w:ascii="Times New Roman" w:eastAsia="Times New Roman" w:hAnsi="Times New Roman" w:cs="Times New Roman"/>
          <w:sz w:val="24"/>
          <w:szCs w:val="24"/>
        </w:rPr>
        <w:t>: A distributed tool for privacy preserving record linking in healthcare. In Proceedings of the 2017 ACM SIGSAC Conference on Computer and Communications Security (pp. 2603-2605). ACM. https://doi.org/10.1145/3133956.3138822</w:t>
      </w:r>
    </w:p>
    <w:p w14:paraId="5263E8E8"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Khedr, A., &amp; Gulak, G. (2018). </w:t>
      </w:r>
      <w:proofErr w:type="spellStart"/>
      <w:r>
        <w:rPr>
          <w:rFonts w:ascii="Times New Roman" w:eastAsia="Times New Roman" w:hAnsi="Times New Roman" w:cs="Times New Roman"/>
          <w:sz w:val="24"/>
          <w:szCs w:val="24"/>
        </w:rPr>
        <w:t>SecureMed</w:t>
      </w:r>
      <w:proofErr w:type="spellEnd"/>
      <w:r>
        <w:rPr>
          <w:rFonts w:ascii="Times New Roman" w:eastAsia="Times New Roman" w:hAnsi="Times New Roman" w:cs="Times New Roman"/>
          <w:sz w:val="24"/>
          <w:szCs w:val="24"/>
        </w:rPr>
        <w:t>: Secure medical computation using GPU-accelerated homomorphic encryption scheme. IEEE Journal of Biomedical and Health Informatics, 22(2), 597-606. https://doi.org/10.1109/JBHI.2017.2659686</w:t>
      </w:r>
    </w:p>
    <w:p w14:paraId="5DEAE4D9"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M., &amp; Lauter, K. (2015). Private genome analysis through homomorphic encryption. BMC Medical Informatics and Decision Making, 15(Suppl 5), Article S3. https://doi.org/10.1186/1472-6947-15-S5-S3</w:t>
      </w:r>
    </w:p>
    <w:p w14:paraId="175A3E23"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T. (2015). Utilizing homomorphic encryption to implement secure and private medical cloud computing. In Proceedings of the 2015 IEEE 8th International Conference on Cloud Computing (pp. 540-547). IEEE. https://doi.org/10.1109/CLOUD.2015.77</w:t>
      </w:r>
    </w:p>
    <w:p w14:paraId="7C0E8E5E"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T., &amp; Aktas, M. K. (2016). Emerging security mechanisms for medical cyber physical systems. IEEE/ACM Transactions on Computational Biology and Bioinformatics, 13(3), 401-416. https://doi.org/10.1109/TCBB.2015.2511757</w:t>
      </w:r>
    </w:p>
    <w:p w14:paraId="55789B31"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L., Lu, R., Choo, K. K. R., Datta, A., &amp; Shao, J. (2016). Privacy-preserving-outsourced association rule mining on vertically partitioned databases. IEEE Transactions on Information Forensics and Security, 11(8), 1847-1861. https://doi.org/10.1109/TIFS.2016.2562729</w:t>
      </w:r>
    </w:p>
    <w:p w14:paraId="0EE68823"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 V. (n.d.). HIPAA guidelines for telehealth companies. </w:t>
      </w:r>
      <w:proofErr w:type="spellStart"/>
      <w:r>
        <w:rPr>
          <w:rFonts w:ascii="Times New Roman" w:eastAsia="Times New Roman" w:hAnsi="Times New Roman" w:cs="Times New Roman"/>
          <w:sz w:val="24"/>
          <w:szCs w:val="24"/>
        </w:rPr>
        <w:t>Sprinto</w:t>
      </w:r>
      <w:proofErr w:type="spellEnd"/>
      <w:r>
        <w:rPr>
          <w:rFonts w:ascii="Times New Roman" w:eastAsia="Times New Roman" w:hAnsi="Times New Roman" w:cs="Times New Roman"/>
          <w:sz w:val="24"/>
          <w:szCs w:val="24"/>
        </w:rPr>
        <w:t>. https://sprinto.com/blog/hipaa-compliance-for-telehealth/</w:t>
      </w:r>
    </w:p>
    <w:p w14:paraId="3D015851"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Munjal, K., &amp; Bhatia, R. (2022). A systematic review of homomorphic encryption and its contributions in healthcare industry. Complex &amp; Intelligent Systems, 9(1), 375-394. https://doi.org/10.1007/s40747-022-00756</w:t>
      </w:r>
    </w:p>
    <w:p w14:paraId="77A5FEB4"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A., </w:t>
      </w: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O., Ames, S., </w:t>
      </w:r>
      <w:proofErr w:type="spellStart"/>
      <w:r>
        <w:rPr>
          <w:rFonts w:ascii="Times New Roman" w:eastAsia="Times New Roman" w:hAnsi="Times New Roman" w:cs="Times New Roman"/>
          <w:sz w:val="24"/>
          <w:szCs w:val="24"/>
        </w:rPr>
        <w:t>Venkitasubramaniam</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Soyata</w:t>
      </w:r>
      <w:proofErr w:type="spellEnd"/>
      <w:r>
        <w:rPr>
          <w:rFonts w:ascii="Times New Roman" w:eastAsia="Times New Roman" w:hAnsi="Times New Roman" w:cs="Times New Roman"/>
          <w:sz w:val="24"/>
          <w:szCs w:val="24"/>
        </w:rPr>
        <w:t xml:space="preserve">, T. (2014). Cloud-based secure health monitoring: Optimizing fully-homomorphic encryption for streaming algorithms. In Proceedings of the 2014 IEEE </w:t>
      </w:r>
      <w:proofErr w:type="spellStart"/>
      <w:r>
        <w:rPr>
          <w:rFonts w:ascii="Times New Roman" w:eastAsia="Times New Roman" w:hAnsi="Times New Roman" w:cs="Times New Roman"/>
          <w:sz w:val="24"/>
          <w:szCs w:val="24"/>
        </w:rPr>
        <w:t>Globecom</w:t>
      </w:r>
      <w:proofErr w:type="spellEnd"/>
      <w:r>
        <w:rPr>
          <w:rFonts w:ascii="Times New Roman" w:eastAsia="Times New Roman" w:hAnsi="Times New Roman" w:cs="Times New Roman"/>
          <w:sz w:val="24"/>
          <w:szCs w:val="24"/>
        </w:rPr>
        <w:t xml:space="preserve"> Workshops (pp. 48-52). IEEE. https://doi.org/10.1109/GLOCOMW.2014.7063391</w:t>
      </w:r>
    </w:p>
    <w:p w14:paraId="36293315"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 L. (2023). What is homomorphic encryption for healthcare data? Healthcare Digital. https://www.healthcare.digital/single-post/what-is-homomorphic-encryption-for-healthcare-data</w:t>
      </w:r>
    </w:p>
    <w:p w14:paraId="6599717C"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Scheibner, J., Ienca, M., &amp; </w:t>
      </w:r>
      <w:proofErr w:type="spellStart"/>
      <w:r>
        <w:rPr>
          <w:rFonts w:ascii="Times New Roman" w:eastAsia="Times New Roman" w:hAnsi="Times New Roman" w:cs="Times New Roman"/>
          <w:sz w:val="24"/>
          <w:szCs w:val="24"/>
        </w:rPr>
        <w:t>Vayena</w:t>
      </w:r>
      <w:proofErr w:type="spellEnd"/>
      <w:r>
        <w:rPr>
          <w:rFonts w:ascii="Times New Roman" w:eastAsia="Times New Roman" w:hAnsi="Times New Roman" w:cs="Times New Roman"/>
          <w:sz w:val="24"/>
          <w:szCs w:val="24"/>
        </w:rPr>
        <w:t>, E. (2022). Health data privacy through homomorphic encryption and distributed ledger computing: An ethical-legal qualitative expert assessment study. BMC Medical Ethics, 23(1), Article 85. https://doi.org/10.1186/s12910-022-00852-2</w:t>
      </w:r>
    </w:p>
    <w:p w14:paraId="4AA39F7A"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K. (2023). Data privacy and security in AI-driven healthcare: A critical analysis. International Journal of Sustainable Development in Computing Science, 5(2), 1-13. https://ijsdcs.com/index.php/ijsdcs/article/view/416</w:t>
      </w:r>
    </w:p>
    <w:p w14:paraId="0229E7B6"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Soyata</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Kocabas</w:t>
      </w:r>
      <w:proofErr w:type="spellEnd"/>
      <w:r>
        <w:rPr>
          <w:rFonts w:ascii="Times New Roman" w:eastAsia="Times New Roman" w:hAnsi="Times New Roman" w:cs="Times New Roman"/>
          <w:sz w:val="24"/>
          <w:szCs w:val="24"/>
        </w:rPr>
        <w:t xml:space="preserve">, O., Ames, S., </w:t>
      </w:r>
      <w:proofErr w:type="spellStart"/>
      <w:r>
        <w:rPr>
          <w:rFonts w:ascii="Times New Roman" w:eastAsia="Times New Roman" w:hAnsi="Times New Roman" w:cs="Times New Roman"/>
          <w:sz w:val="24"/>
          <w:szCs w:val="24"/>
        </w:rPr>
        <w:t>Venkitasubramaniam</w:t>
      </w:r>
      <w:proofErr w:type="spellEnd"/>
      <w:r>
        <w:rPr>
          <w:rFonts w:ascii="Times New Roman" w:eastAsia="Times New Roman" w:hAnsi="Times New Roman" w:cs="Times New Roman"/>
          <w:sz w:val="24"/>
          <w:szCs w:val="24"/>
        </w:rPr>
        <w:t xml:space="preserve">, M., &amp; Page, A. (2015). Cloud-based secure health monitoring: Optimizing fully-homomorphic encryption for streaming algorithms. IEEE </w:t>
      </w:r>
      <w:proofErr w:type="spellStart"/>
      <w:r>
        <w:rPr>
          <w:rFonts w:ascii="Times New Roman" w:eastAsia="Times New Roman" w:hAnsi="Times New Roman" w:cs="Times New Roman"/>
          <w:sz w:val="24"/>
          <w:szCs w:val="24"/>
        </w:rPr>
        <w:t>Globecom</w:t>
      </w:r>
      <w:proofErr w:type="spellEnd"/>
      <w:r>
        <w:rPr>
          <w:rFonts w:ascii="Times New Roman" w:eastAsia="Times New Roman" w:hAnsi="Times New Roman" w:cs="Times New Roman"/>
          <w:sz w:val="24"/>
          <w:szCs w:val="24"/>
        </w:rPr>
        <w:t xml:space="preserve"> Workshops. https://doi.org/10.1109/GLOCOMW.2014.7063391</w:t>
      </w:r>
    </w:p>
    <w:p w14:paraId="1CAAE32C"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Vayena</w:t>
      </w:r>
      <w:proofErr w:type="spellEnd"/>
      <w:r>
        <w:rPr>
          <w:rFonts w:ascii="Times New Roman" w:eastAsia="Times New Roman" w:hAnsi="Times New Roman" w:cs="Times New Roman"/>
          <w:sz w:val="24"/>
          <w:szCs w:val="24"/>
        </w:rPr>
        <w:t>, E., Scheibner, J., &amp; Ienca, M. (2022). Health data privacy through homomorphic encryption and distributed ledger computing: An ethical-legal qualitative expert assessment study. BMC Medical Ethics, 23, Article 85. https://doi.org/10.1186/s12910-022-00852-2</w:t>
      </w:r>
    </w:p>
    <w:p w14:paraId="62D9CF59"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Vengadapurvaja</w:t>
      </w:r>
      <w:proofErr w:type="spellEnd"/>
      <w:r>
        <w:rPr>
          <w:rFonts w:ascii="Times New Roman" w:eastAsia="Times New Roman" w:hAnsi="Times New Roman" w:cs="Times New Roman"/>
          <w:sz w:val="24"/>
          <w:szCs w:val="24"/>
        </w:rPr>
        <w:t xml:space="preserve">, A. M., Nisha, G., Aarthy, R., &amp; </w:t>
      </w:r>
      <w:proofErr w:type="spellStart"/>
      <w:r>
        <w:rPr>
          <w:rFonts w:ascii="Times New Roman" w:eastAsia="Times New Roman" w:hAnsi="Times New Roman" w:cs="Times New Roman"/>
          <w:sz w:val="24"/>
          <w:szCs w:val="24"/>
        </w:rPr>
        <w:t>Sasikaladevi</w:t>
      </w:r>
      <w:proofErr w:type="spellEnd"/>
      <w:r>
        <w:rPr>
          <w:rFonts w:ascii="Times New Roman" w:eastAsia="Times New Roman" w:hAnsi="Times New Roman" w:cs="Times New Roman"/>
          <w:sz w:val="24"/>
          <w:szCs w:val="24"/>
        </w:rPr>
        <w:t>, N. (2017). An efficient homomorphic medical image encryption algorithm for cloud storage security. Procedia Computer Science, 115, 643-650. https://doi.org/10.1016/j.procs.2017.09.150</w:t>
      </w:r>
    </w:p>
    <w:p w14:paraId="58F47B4C"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Wang, X., &amp; Zhang, Z. (2015). Data division scheme based on homomorphic encryption in WSNs for health care. Journal of Medical Systems, 39(12), Article 188. https://doi.org/10.1007/s10916-015-0368-0</w:t>
      </w:r>
    </w:p>
    <w:p w14:paraId="362AF704"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Alabdulatif</w:t>
      </w:r>
      <w:proofErr w:type="spellEnd"/>
      <w:r>
        <w:rPr>
          <w:rFonts w:ascii="Times New Roman" w:eastAsia="Times New Roman" w:hAnsi="Times New Roman" w:cs="Times New Roman"/>
          <w:sz w:val="24"/>
          <w:szCs w:val="24"/>
        </w:rPr>
        <w:t xml:space="preserve">, A., Khalil, I., &amp; </w:t>
      </w:r>
      <w:proofErr w:type="spellStart"/>
      <w:r>
        <w:rPr>
          <w:rFonts w:ascii="Times New Roman" w:eastAsia="Times New Roman" w:hAnsi="Times New Roman" w:cs="Times New Roman"/>
          <w:sz w:val="24"/>
          <w:szCs w:val="24"/>
        </w:rPr>
        <w:t>Saidur</w:t>
      </w:r>
      <w:proofErr w:type="spellEnd"/>
      <w:r>
        <w:rPr>
          <w:rFonts w:ascii="Times New Roman" w:eastAsia="Times New Roman" w:hAnsi="Times New Roman" w:cs="Times New Roman"/>
          <w:sz w:val="24"/>
          <w:szCs w:val="24"/>
        </w:rPr>
        <w:t xml:space="preserve"> Rahman, M. (2022). A novel homomorphic approach for preserving privacy of patient data processing. Sensors, 22(12), Article 4432. https://doi.org/10.3390/s22124432</w:t>
      </w:r>
    </w:p>
    <w:p w14:paraId="29531737"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Hazaimeh</w:t>
      </w:r>
      <w:proofErr w:type="spellEnd"/>
      <w:r>
        <w:rPr>
          <w:rFonts w:ascii="Times New Roman" w:eastAsia="Times New Roman" w:hAnsi="Times New Roman" w:cs="Times New Roman"/>
          <w:sz w:val="24"/>
          <w:szCs w:val="24"/>
        </w:rPr>
        <w:t xml:space="preserve">, O. M., Al-Jamal, M. F., Alomari, O. A., </w:t>
      </w:r>
      <w:proofErr w:type="spellStart"/>
      <w:r>
        <w:rPr>
          <w:rFonts w:ascii="Times New Roman" w:eastAsia="Times New Roman" w:hAnsi="Times New Roman" w:cs="Times New Roman"/>
          <w:sz w:val="24"/>
          <w:szCs w:val="24"/>
        </w:rPr>
        <w:t>Bawaneh</w:t>
      </w:r>
      <w:proofErr w:type="spellEnd"/>
      <w:r>
        <w:rPr>
          <w:rFonts w:ascii="Times New Roman" w:eastAsia="Times New Roman" w:hAnsi="Times New Roman" w:cs="Times New Roman"/>
          <w:sz w:val="24"/>
          <w:szCs w:val="24"/>
        </w:rPr>
        <w:t xml:space="preserve">, M. J., &amp; </w:t>
      </w:r>
      <w:proofErr w:type="spellStart"/>
      <w:r>
        <w:rPr>
          <w:rFonts w:ascii="Times New Roman" w:eastAsia="Times New Roman" w:hAnsi="Times New Roman" w:cs="Times New Roman"/>
          <w:sz w:val="24"/>
          <w:szCs w:val="24"/>
        </w:rPr>
        <w:t>Tahat</w:t>
      </w:r>
      <w:proofErr w:type="spellEnd"/>
      <w:r>
        <w:rPr>
          <w:rFonts w:ascii="Times New Roman" w:eastAsia="Times New Roman" w:hAnsi="Times New Roman" w:cs="Times New Roman"/>
          <w:sz w:val="24"/>
          <w:szCs w:val="24"/>
        </w:rPr>
        <w:t>, N. (2023). An efficient medical image encryption algorithm for telemedicine applications. Microprocessors and Microsystems, 101, Article 104927. https://doi.org/10.1016/j.micpro.2023.104927</w:t>
      </w:r>
    </w:p>
    <w:p w14:paraId="73AE6CBF"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Alzubi, J. A., Alzubi, O. A., Singh, A., Singh, T., &amp; Ramachandran, M. (2024a). Enhancing healthcare data security with homomorphic encryption. In Smart computing and self-adaptive systems (pp. 103-117). Springer. https://doi.org/10.1007/978-3-031-76610-7_7</w:t>
      </w:r>
    </w:p>
    <w:p w14:paraId="058EDE71"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Alzubi, J. A., Alzubi, O. A., Singh, A., Singh, T., &amp; Ramachandran, M. (2024b). Privacy-preserving data sharing in telehealth services. Applied Sciences, 14(23), Article 10808. https://doi.org/10.3390/app142310808</w:t>
      </w:r>
    </w:p>
    <w:p w14:paraId="54F83CB0"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Badawi, A. A., </w:t>
      </w:r>
      <w:proofErr w:type="spellStart"/>
      <w:r>
        <w:rPr>
          <w:rFonts w:ascii="Times New Roman" w:eastAsia="Times New Roman" w:hAnsi="Times New Roman" w:cs="Times New Roman"/>
          <w:sz w:val="24"/>
          <w:szCs w:val="24"/>
        </w:rPr>
        <w:t>Veeravalli</w:t>
      </w:r>
      <w:proofErr w:type="spellEnd"/>
      <w:r>
        <w:rPr>
          <w:rFonts w:ascii="Times New Roman" w:eastAsia="Times New Roman" w:hAnsi="Times New Roman" w:cs="Times New Roman"/>
          <w:sz w:val="24"/>
          <w:szCs w:val="24"/>
        </w:rPr>
        <w:t>, B., Mun, C. F., Aung, K. M. M., Hoang, D. T., &amp; Steinfeld, R. (2020). High-performance FV somewhat homomorphic encryption scheme enabled by a novel encoding method. IEEE Transactions on Information Forensics and Security, 16, 4603-4618. https://doi.org/10.1109/TIFS.2021.3109982</w:t>
      </w:r>
    </w:p>
    <w:p w14:paraId="523D0926"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Chatterjee, A., Kaushal, G., &amp; Kundu, S. (2023). Privacy-preserving artificial intelligence in biomedicine. Computers in Biology and Medicine, 158, Article 106848. https://doi.org/10.1016/j.compbiomed.2023.106848</w:t>
      </w:r>
    </w:p>
    <w:p w14:paraId="0A94CF26"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Cheon, J. H., Kim, A., Kim, M., &amp; Song, Y. (2017). Homomorphic encryption for arithmetic of approximate numbers. In Advances in cryptology – ASIACRYPT 2017 (pp. 409-437). Springer. https://doi.org/10.1007/978-3-319-70694-8_15</w:t>
      </w:r>
    </w:p>
    <w:p w14:paraId="09DB9E34"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Froelicher, D., Troncoso-Pastoriza, J. R., </w:t>
      </w:r>
      <w:proofErr w:type="spellStart"/>
      <w:r>
        <w:rPr>
          <w:rFonts w:ascii="Times New Roman" w:eastAsia="Times New Roman" w:hAnsi="Times New Roman" w:cs="Times New Roman"/>
          <w:sz w:val="24"/>
          <w:szCs w:val="24"/>
        </w:rPr>
        <w:t>Raisaro</w:t>
      </w:r>
      <w:proofErr w:type="spellEnd"/>
      <w:r>
        <w:rPr>
          <w:rFonts w:ascii="Times New Roman" w:eastAsia="Times New Roman" w:hAnsi="Times New Roman" w:cs="Times New Roman"/>
          <w:sz w:val="24"/>
          <w:szCs w:val="24"/>
        </w:rPr>
        <w:t xml:space="preserve">, J. L., </w:t>
      </w:r>
      <w:proofErr w:type="spellStart"/>
      <w:r>
        <w:rPr>
          <w:rFonts w:ascii="Times New Roman" w:eastAsia="Times New Roman" w:hAnsi="Times New Roman" w:cs="Times New Roman"/>
          <w:sz w:val="24"/>
          <w:szCs w:val="24"/>
        </w:rPr>
        <w:t>Cuendet</w:t>
      </w:r>
      <w:proofErr w:type="spellEnd"/>
      <w:r>
        <w:rPr>
          <w:rFonts w:ascii="Times New Roman" w:eastAsia="Times New Roman" w:hAnsi="Times New Roman" w:cs="Times New Roman"/>
          <w:sz w:val="24"/>
          <w:szCs w:val="24"/>
        </w:rPr>
        <w:t xml:space="preserve">, M. A., Sousa, J. S., Cho, H., Berger, B., Fellay, J., &amp; </w:t>
      </w:r>
      <w:proofErr w:type="spellStart"/>
      <w:r>
        <w:rPr>
          <w:rFonts w:ascii="Times New Roman" w:eastAsia="Times New Roman" w:hAnsi="Times New Roman" w:cs="Times New Roman"/>
          <w:sz w:val="24"/>
          <w:szCs w:val="24"/>
        </w:rPr>
        <w:t>Hubaux</w:t>
      </w:r>
      <w:proofErr w:type="spellEnd"/>
      <w:r>
        <w:rPr>
          <w:rFonts w:ascii="Times New Roman" w:eastAsia="Times New Roman" w:hAnsi="Times New Roman" w:cs="Times New Roman"/>
          <w:sz w:val="24"/>
          <w:szCs w:val="24"/>
        </w:rPr>
        <w:t xml:space="preserve">, J.-P. (2021). Truly privacy-preserving federated analytics for </w:t>
      </w:r>
      <w:r>
        <w:rPr>
          <w:rFonts w:ascii="Times New Roman" w:eastAsia="Times New Roman" w:hAnsi="Times New Roman" w:cs="Times New Roman"/>
          <w:sz w:val="24"/>
          <w:szCs w:val="24"/>
        </w:rPr>
        <w:lastRenderedPageBreak/>
        <w:t>better insights into health and healthcare. Communications of the ACM, 64(11), 42-49. https://doi.org/10.1145/3481603</w:t>
      </w:r>
    </w:p>
    <w:p w14:paraId="4950E99C"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Halevi, S., Polyakov, Y., &amp; Shoup, V. (2019). An improved RNS variant of the BFV homomorphic encryption scheme. In Topics in cryptology – CT-RSA 2019 (pp. 83-105). Springer. https://doi.org/10.1007/978-3-030-12612-4_5</w:t>
      </w:r>
    </w:p>
    <w:p w14:paraId="401EF2C5"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Jiang, Y., Hamer, J., Wang, C., Jiang, X., Kim, M., Song, Y., Xia, Y., Mohammed, N., Sadat, M. N., &amp; Wang, S. (2018). </w:t>
      </w:r>
      <w:proofErr w:type="spellStart"/>
      <w:r>
        <w:rPr>
          <w:rFonts w:ascii="Times New Roman" w:eastAsia="Times New Roman" w:hAnsi="Times New Roman" w:cs="Times New Roman"/>
          <w:sz w:val="24"/>
          <w:szCs w:val="24"/>
        </w:rPr>
        <w:t>SecureLR</w:t>
      </w:r>
      <w:proofErr w:type="spellEnd"/>
      <w:r>
        <w:rPr>
          <w:rFonts w:ascii="Times New Roman" w:eastAsia="Times New Roman" w:hAnsi="Times New Roman" w:cs="Times New Roman"/>
          <w:sz w:val="24"/>
          <w:szCs w:val="24"/>
        </w:rPr>
        <w:t>: Secure logistic regression model via a hybrid cryptographic protocol. IEEE/ACM Transactions on Computational Biology and Bioinformatics, 16(1), 113-123. https://doi.org/10.1109/TCBB.2018.2833463</w:t>
      </w:r>
    </w:p>
    <w:p w14:paraId="7E543505" w14:textId="77777777" w:rsidR="00787A77" w:rsidRDefault="0019335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Podschwadt</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Takabi</w:t>
      </w:r>
      <w:proofErr w:type="spellEnd"/>
      <w:r>
        <w:rPr>
          <w:rFonts w:ascii="Times New Roman" w:eastAsia="Times New Roman" w:hAnsi="Times New Roman" w:cs="Times New Roman"/>
          <w:sz w:val="24"/>
          <w:szCs w:val="24"/>
        </w:rPr>
        <w:t>, D. (2020). Privacy preserving neural network inference on encrypted data. In 2020 IEEE International Conference on Big Data (Big Data) (pp. 2260-2269). IEEE. https://doi.org/10.1109/BigData50022.2020.9378453</w:t>
      </w:r>
    </w:p>
    <w:p w14:paraId="7F830FA0"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Truex, S., Baracaldo, N., Anwar, A., Steinke, T., Ludwig, H., Zhang, R., &amp; Zhou, Y. (2019). A hybrid approach to privacy-preserving federated learning. In Proceedings of the 12th ACM workshop on artificial intelligence and security (pp. 1-11). ACM. https://doi.org/10.1145/3338501.3357370</w:t>
      </w:r>
    </w:p>
    <w:p w14:paraId="61FB756B"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A., Altman, M., Bembenek, J., Bun, M., Gaboardi, M., Honaker, J., Nissim, K., O'Brien, D. R., Steinke, T., &amp; </w:t>
      </w:r>
      <w:proofErr w:type="spellStart"/>
      <w:r>
        <w:rPr>
          <w:rFonts w:ascii="Times New Roman" w:eastAsia="Times New Roman" w:hAnsi="Times New Roman" w:cs="Times New Roman"/>
          <w:sz w:val="24"/>
          <w:szCs w:val="24"/>
        </w:rPr>
        <w:t>Vadhan</w:t>
      </w:r>
      <w:proofErr w:type="spellEnd"/>
      <w:r>
        <w:rPr>
          <w:rFonts w:ascii="Times New Roman" w:eastAsia="Times New Roman" w:hAnsi="Times New Roman" w:cs="Times New Roman"/>
          <w:sz w:val="24"/>
          <w:szCs w:val="24"/>
        </w:rPr>
        <w:t>, S. (2021). Differential privacy: A primer for a non-technical audience. Vanderbilt Journal of Entertainment &amp; Technology Law, 21(1), 209-275.</w:t>
      </w:r>
    </w:p>
    <w:p w14:paraId="06D4734D" w14:textId="77777777" w:rsidR="00787A77" w:rsidRDefault="00787A77">
      <w:pPr>
        <w:jc w:val="both"/>
        <w:rPr>
          <w:rFonts w:ascii="Times New Roman" w:eastAsia="Times New Roman" w:hAnsi="Times New Roman" w:cs="Times New Roman"/>
          <w:sz w:val="24"/>
          <w:szCs w:val="24"/>
        </w:rPr>
      </w:pPr>
    </w:p>
    <w:p w14:paraId="1F57F3E4" w14:textId="77777777" w:rsidR="00787A77" w:rsidRDefault="00787A77">
      <w:pPr>
        <w:jc w:val="both"/>
        <w:rPr>
          <w:rFonts w:ascii="Times New Roman" w:eastAsia="Times New Roman" w:hAnsi="Times New Roman" w:cs="Times New Roman"/>
          <w:sz w:val="24"/>
          <w:szCs w:val="24"/>
        </w:rPr>
      </w:pPr>
    </w:p>
    <w:p w14:paraId="0C343E09" w14:textId="77777777" w:rsidR="00787A77" w:rsidRDefault="00787A77">
      <w:pPr>
        <w:spacing w:line="360" w:lineRule="auto"/>
        <w:jc w:val="both"/>
        <w:rPr>
          <w:rFonts w:ascii="Times New Roman" w:eastAsia="Times New Roman" w:hAnsi="Times New Roman" w:cs="Times New Roman"/>
          <w:sz w:val="24"/>
          <w:szCs w:val="24"/>
        </w:rPr>
      </w:pPr>
    </w:p>
    <w:sectPr w:rsidR="00787A7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670D" w14:textId="77777777" w:rsidR="00F077F8" w:rsidRDefault="00F077F8" w:rsidP="00AF7B94">
      <w:pPr>
        <w:spacing w:after="0" w:line="240" w:lineRule="auto"/>
      </w:pPr>
      <w:r>
        <w:separator/>
      </w:r>
    </w:p>
  </w:endnote>
  <w:endnote w:type="continuationSeparator" w:id="0">
    <w:p w14:paraId="55012D24" w14:textId="77777777" w:rsidR="00F077F8" w:rsidRDefault="00F077F8" w:rsidP="00AF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C2CE" w14:textId="77777777" w:rsidR="00AF7B94" w:rsidRDefault="00AF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1943" w14:textId="77777777" w:rsidR="00AF7B94" w:rsidRDefault="00AF7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C220" w14:textId="77777777" w:rsidR="00AF7B94" w:rsidRDefault="00AF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23A28" w14:textId="77777777" w:rsidR="00F077F8" w:rsidRDefault="00F077F8" w:rsidP="00AF7B94">
      <w:pPr>
        <w:spacing w:after="0" w:line="240" w:lineRule="auto"/>
      </w:pPr>
      <w:r>
        <w:separator/>
      </w:r>
    </w:p>
  </w:footnote>
  <w:footnote w:type="continuationSeparator" w:id="0">
    <w:p w14:paraId="62BF5071" w14:textId="77777777" w:rsidR="00F077F8" w:rsidRDefault="00F077F8" w:rsidP="00AF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3AB8" w14:textId="4C9472C0" w:rsidR="00AF7B94" w:rsidRDefault="00AF7B94">
    <w:pPr>
      <w:pStyle w:val="Header"/>
    </w:pPr>
    <w:r>
      <w:rPr>
        <w:noProof/>
      </w:rPr>
      <w:pict w14:anchorId="1503C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C094" w14:textId="46016CDA" w:rsidR="00AF7B94" w:rsidRDefault="00AF7B94">
    <w:pPr>
      <w:pStyle w:val="Header"/>
    </w:pPr>
    <w:r>
      <w:rPr>
        <w:noProof/>
      </w:rPr>
      <w:pict w14:anchorId="0AFDC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58E8" w14:textId="0A925111" w:rsidR="00AF7B94" w:rsidRDefault="00AF7B94">
    <w:pPr>
      <w:pStyle w:val="Header"/>
    </w:pPr>
    <w:r>
      <w:rPr>
        <w:noProof/>
      </w:rPr>
      <w:pict w14:anchorId="1ECBC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3B15"/>
    <w:multiLevelType w:val="multilevel"/>
    <w:tmpl w:val="FACC06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B0409"/>
    <w:multiLevelType w:val="multilevel"/>
    <w:tmpl w:val="D8B08766"/>
    <w:lvl w:ilvl="0">
      <w:start w:val="1"/>
      <w:numFmt w:val="low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195D3A88"/>
    <w:multiLevelType w:val="multilevel"/>
    <w:tmpl w:val="4BA42DDC"/>
    <w:lvl w:ilvl="0">
      <w:start w:val="1"/>
      <w:numFmt w:val="lowerRoman"/>
      <w:lvlText w:val="%1."/>
      <w:lvlJc w:val="righ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FF5108"/>
    <w:multiLevelType w:val="multilevel"/>
    <w:tmpl w:val="AEAEE8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2E5A52"/>
    <w:multiLevelType w:val="multilevel"/>
    <w:tmpl w:val="7E4A7B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DF2A96"/>
    <w:multiLevelType w:val="multilevel"/>
    <w:tmpl w:val="DE947CB6"/>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22F13"/>
    <w:multiLevelType w:val="multilevel"/>
    <w:tmpl w:val="537E675E"/>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77"/>
    <w:rsid w:val="001154FC"/>
    <w:rsid w:val="00193355"/>
    <w:rsid w:val="00300DD3"/>
    <w:rsid w:val="00374DD5"/>
    <w:rsid w:val="00787A77"/>
    <w:rsid w:val="0096143F"/>
    <w:rsid w:val="00AF7B94"/>
    <w:rsid w:val="00B6067E"/>
    <w:rsid w:val="00BC1D60"/>
    <w:rsid w:val="00E345D2"/>
    <w:rsid w:val="00EF4242"/>
    <w:rsid w:val="00F077F8"/>
    <w:rsid w:val="00F8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97FEB9"/>
  <w15:docId w15:val="{D5DEFA72-973F-42C5-AC8B-A768FF86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E345D2"/>
    <w:pPr>
      <w:spacing w:after="0"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B6067E"/>
    <w:rPr>
      <w:color w:val="0000FF" w:themeColor="hyperlink"/>
      <w:u w:val="single"/>
    </w:rPr>
  </w:style>
  <w:style w:type="character" w:styleId="UnresolvedMention">
    <w:name w:val="Unresolved Mention"/>
    <w:basedOn w:val="DefaultParagraphFont"/>
    <w:uiPriority w:val="99"/>
    <w:semiHidden/>
    <w:unhideWhenUsed/>
    <w:rsid w:val="00B6067E"/>
    <w:rPr>
      <w:color w:val="605E5C"/>
      <w:shd w:val="clear" w:color="auto" w:fill="E1DFDD"/>
    </w:rPr>
  </w:style>
  <w:style w:type="paragraph" w:styleId="Header">
    <w:name w:val="header"/>
    <w:basedOn w:val="Normal"/>
    <w:link w:val="HeaderChar"/>
    <w:uiPriority w:val="99"/>
    <w:unhideWhenUsed/>
    <w:rsid w:val="00AF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94"/>
  </w:style>
  <w:style w:type="paragraph" w:styleId="Footer">
    <w:name w:val="footer"/>
    <w:basedOn w:val="Normal"/>
    <w:link w:val="FooterChar"/>
    <w:uiPriority w:val="99"/>
    <w:unhideWhenUsed/>
    <w:rsid w:val="00AF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6916</Words>
  <Characters>39422</Characters>
  <Application>Microsoft Office Word</Application>
  <DocSecurity>0</DocSecurity>
  <Lines>328</Lines>
  <Paragraphs>92</Paragraphs>
  <ScaleCrop>false</ScaleCrop>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Olaniyi</dc:creator>
  <cp:lastModifiedBy>SDI 1084</cp:lastModifiedBy>
  <cp:revision>10</cp:revision>
  <dcterms:created xsi:type="dcterms:W3CDTF">2025-10-11T14:31:00Z</dcterms:created>
  <dcterms:modified xsi:type="dcterms:W3CDTF">2025-10-13T07:38:00Z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80a69706-8e34-4ab4-b97a-081f4e917610</vt:lpwstr>
  </property>
</Properties>
</file>