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4D21" w14:textId="77777777" w:rsidR="00754C9A" w:rsidRPr="00290EBF" w:rsidRDefault="00754C9A" w:rsidP="00441B6F">
      <w:pPr>
        <w:pStyle w:val="Title"/>
        <w:spacing w:after="0"/>
        <w:jc w:val="both"/>
        <w:rPr>
          <w:rFonts w:ascii="Arial" w:hAnsi="Arial" w:cs="Arial"/>
        </w:rPr>
      </w:pPr>
    </w:p>
    <w:p w14:paraId="1C5FCC8C" w14:textId="01DC0588" w:rsidR="00163BC4" w:rsidRPr="00290EBF" w:rsidRDefault="008045E5" w:rsidP="00441B6F">
      <w:pPr>
        <w:pStyle w:val="Author"/>
        <w:spacing w:line="240" w:lineRule="auto"/>
        <w:rPr>
          <w:rFonts w:ascii="Arial" w:hAnsi="Arial" w:cs="Arial"/>
          <w:bCs/>
          <w:iCs/>
          <w:kern w:val="28"/>
          <w:sz w:val="36"/>
        </w:rPr>
      </w:pPr>
      <w:r w:rsidRPr="00290EBF">
        <w:rPr>
          <w:rFonts w:ascii="Arial" w:hAnsi="Arial" w:cs="Arial"/>
          <w:bCs/>
          <w:iCs/>
          <w:kern w:val="28"/>
          <w:sz w:val="36"/>
        </w:rPr>
        <w:t>GENERATIVE AI IN SUPPLY CHAIN: A SYSTEMATIC REVIEW OF OPPORTUNITIES, BENEFITS, AND CHALLENGES</w:t>
      </w:r>
      <w:r w:rsidR="00231920" w:rsidRPr="00290EBF">
        <w:rPr>
          <w:rFonts w:ascii="Arial" w:hAnsi="Arial" w:cs="Arial"/>
          <w:bCs/>
          <w:iCs/>
          <w:kern w:val="28"/>
          <w:sz w:val="36"/>
        </w:rPr>
        <w:t xml:space="preserve"> </w:t>
      </w:r>
    </w:p>
    <w:p w14:paraId="4CD751E0" w14:textId="77777777" w:rsidR="00790ADA" w:rsidRPr="00290EBF" w:rsidRDefault="00790ADA" w:rsidP="00441B6F">
      <w:pPr>
        <w:pStyle w:val="Affiliation"/>
        <w:spacing w:after="0" w:line="240" w:lineRule="auto"/>
        <w:jc w:val="both"/>
        <w:rPr>
          <w:rFonts w:ascii="Arial" w:hAnsi="Arial" w:cs="Arial"/>
        </w:rPr>
      </w:pPr>
    </w:p>
    <w:p w14:paraId="7B6CE300" w14:textId="77777777" w:rsidR="002C57D2" w:rsidRPr="00290EBF" w:rsidRDefault="002C57D2" w:rsidP="00441B6F">
      <w:pPr>
        <w:pStyle w:val="Affiliation"/>
        <w:spacing w:after="0" w:line="240" w:lineRule="auto"/>
        <w:jc w:val="both"/>
        <w:rPr>
          <w:rFonts w:ascii="Arial" w:hAnsi="Arial" w:cs="Arial"/>
        </w:rPr>
      </w:pPr>
    </w:p>
    <w:p w14:paraId="1B4D7508" w14:textId="77777777" w:rsidR="00B01FCD" w:rsidRPr="00290EBF" w:rsidRDefault="00F8027E" w:rsidP="00441B6F">
      <w:pPr>
        <w:pStyle w:val="Copyright"/>
        <w:spacing w:after="0" w:line="240" w:lineRule="auto"/>
        <w:jc w:val="both"/>
        <w:rPr>
          <w:rFonts w:ascii="Arial" w:hAnsi="Arial" w:cs="Arial"/>
        </w:rPr>
        <w:sectPr w:rsidR="00B01FCD" w:rsidRPr="00290EBF" w:rsidSect="00DC72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A20E5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0EBF">
        <w:rPr>
          <w:rFonts w:ascii="Arial" w:hAnsi="Arial" w:cs="Arial"/>
        </w:rPr>
        <w:t>.</w:t>
      </w:r>
    </w:p>
    <w:p w14:paraId="058F7B77" w14:textId="04679104" w:rsidR="00B01FCD" w:rsidRPr="00290EBF" w:rsidRDefault="00B01FCD" w:rsidP="00441B6F">
      <w:pPr>
        <w:pStyle w:val="AbstHead"/>
        <w:spacing w:after="0"/>
        <w:jc w:val="both"/>
        <w:rPr>
          <w:rFonts w:ascii="Arial" w:hAnsi="Arial" w:cs="Arial"/>
        </w:rPr>
      </w:pPr>
      <w:r w:rsidRPr="00290EBF">
        <w:rPr>
          <w:rFonts w:ascii="Arial" w:hAnsi="Arial" w:cs="Arial"/>
        </w:rPr>
        <w:t>ABSTRACT</w:t>
      </w:r>
    </w:p>
    <w:p w14:paraId="6C80499D" w14:textId="77777777" w:rsidR="00790ADA" w:rsidRPr="00290EB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90EBF" w14:paraId="7C2A2916" w14:textId="77777777" w:rsidTr="001E44FE">
        <w:tc>
          <w:tcPr>
            <w:tcW w:w="9576" w:type="dxa"/>
            <w:shd w:val="clear" w:color="auto" w:fill="F2F2F2"/>
          </w:tcPr>
          <w:p w14:paraId="60ACF894"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szCs w:val="22"/>
              </w:rPr>
              <w:t>This systematic review investigates the impact of Generative Artificial Intelligence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on supply chain management (SCM). Though there is an acknowledgment of </w:t>
            </w:r>
            <w:proofErr w:type="spellStart"/>
            <w:r w:rsidRPr="00290EBF">
              <w:rPr>
                <w:rFonts w:ascii="Arial" w:eastAsia="Calibri" w:hAnsi="Arial" w:cs="Arial"/>
                <w:szCs w:val="22"/>
              </w:rPr>
              <w:t>GenAI’s</w:t>
            </w:r>
            <w:proofErr w:type="spellEnd"/>
            <w:r w:rsidRPr="00290EBF">
              <w:rPr>
                <w:rFonts w:ascii="Arial" w:eastAsia="Calibri" w:hAnsi="Arial" w:cs="Arial"/>
                <w:szCs w:val="22"/>
              </w:rPr>
              <w:t xml:space="preserve"> potential in SCM, there remains a lack of research that thoroughly examines the opportunities, tangible advantages, and challenges associated with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adoption in SCM. This literature review seeks to analyze the role of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in SCM and fulfill three primary objectives. First, it identifies the key opportunities for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implementation in SCM, encompassing its applications in demand forecasting, inventory control, and decision-making support systems. Second, it assesses the tangible benefits observed from current implementations, such as cost savings and enhanced operational efficiency. Third, the study investigates the challenges and obstacles to effective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adoption, focusing on technical limitations, data quality concerns, workforce skill deficiencies, and ethical issues. This research followed the systematic review methodology, reviewing and synthesizing information from 24 peer-reviewed articles published between 2023 to 2024. The findings reveal substantial potential for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in areas like demand forecasting, inventory optimization, and risk management while emphasizing significant data quality, integration, and organizational preparedness challenges. The study offers two practical implications: a) the findings provide actionable insights for supply chain professionals, highlighting how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can be integrated into SCM; b) the research underscores the necessity for strong data governance, ethical AI usage policies, and adherence to evolving regulations.</w:t>
            </w:r>
          </w:p>
          <w:p w14:paraId="4DE24291"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Objective</w:t>
            </w:r>
            <w:r w:rsidRPr="00290EBF">
              <w:rPr>
                <w:rFonts w:ascii="Arial" w:eastAsia="Calibri" w:hAnsi="Arial" w:cs="Arial"/>
                <w:szCs w:val="22"/>
              </w:rPr>
              <w:t xml:space="preserve">: The objective of this study is to investigate the impact of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on SCM, with the aim to identify key opportunities for implementing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in supply chain processes, analyze the tangible benefits reported in existing implementations and examine the challenges and barriers to successful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adoption.</w:t>
            </w:r>
          </w:p>
          <w:p w14:paraId="062B0519"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Method</w:t>
            </w:r>
            <w:r w:rsidRPr="00290EBF">
              <w:rPr>
                <w:rFonts w:ascii="Arial" w:eastAsia="Calibri" w:hAnsi="Arial" w:cs="Arial"/>
                <w:szCs w:val="22"/>
              </w:rPr>
              <w:t xml:space="preserve">: This review adhered to PRISMA guidelines, applying rigorous inclusion and exclusion criteria across multiple databases to yield 24 peer-reviewed articles from 2023–2024. Data extraction, quality assessment, and synthesis were conducted systematically to ensure unbiased insights into </w:t>
            </w:r>
            <w:proofErr w:type="spellStart"/>
            <w:r w:rsidRPr="00290EBF">
              <w:rPr>
                <w:rFonts w:ascii="Arial" w:eastAsia="Calibri" w:hAnsi="Arial" w:cs="Arial"/>
                <w:szCs w:val="22"/>
              </w:rPr>
              <w:t>GenAI's</w:t>
            </w:r>
            <w:proofErr w:type="spellEnd"/>
            <w:r w:rsidRPr="00290EBF">
              <w:rPr>
                <w:rFonts w:ascii="Arial" w:eastAsia="Calibri" w:hAnsi="Arial" w:cs="Arial"/>
                <w:szCs w:val="22"/>
              </w:rPr>
              <w:t xml:space="preserve"> impact on supply chain management.</w:t>
            </w:r>
          </w:p>
          <w:p w14:paraId="35772285"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Results and Discussion</w:t>
            </w:r>
            <w:r w:rsidRPr="00290EBF">
              <w:rPr>
                <w:rFonts w:ascii="Arial" w:eastAsia="Calibri" w:hAnsi="Arial" w:cs="Arial"/>
                <w:szCs w:val="22"/>
              </w:rPr>
              <w:t xml:space="preserve">: The results reveal that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significantly enhances SCM processes such as demand forecasting, inventory optimization, and risk management, while also exposing challenges in data quality, system integration, and organizational readiness. The discussion contextualizes these findings within the theoretical framework, emphasizing practical implications and addressing study discrepancies and limitations.</w:t>
            </w:r>
          </w:p>
          <w:p w14:paraId="1F9172BE"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Research Implications</w:t>
            </w:r>
            <w:r w:rsidRPr="00290EBF">
              <w:rPr>
                <w:rFonts w:ascii="Arial" w:eastAsia="Calibri" w:hAnsi="Arial" w:cs="Arial"/>
                <w:szCs w:val="22"/>
              </w:rPr>
              <w:t xml:space="preserve">: This research expands the exploration of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in SCM and encourages further investigation into emerging technologies to optimize supply chains. For SCM industry, it highlights a strategic approach to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adoption, emphasizing technology investments, workforce training, data integrity, and ethical practices to boost operational </w:t>
            </w:r>
            <w:r w:rsidRPr="00290EBF">
              <w:rPr>
                <w:rFonts w:ascii="Arial" w:eastAsia="Calibri" w:hAnsi="Arial" w:cs="Arial"/>
                <w:szCs w:val="22"/>
              </w:rPr>
              <w:lastRenderedPageBreak/>
              <w:t>efficiency and resilience.</w:t>
            </w:r>
          </w:p>
          <w:p w14:paraId="60ECEC17" w14:textId="480A5A6E" w:rsidR="00505F06" w:rsidRPr="00290EBF" w:rsidRDefault="008045E5" w:rsidP="00441B6F">
            <w:pPr>
              <w:pStyle w:val="Body"/>
              <w:spacing w:after="0"/>
              <w:rPr>
                <w:rFonts w:ascii="Arial" w:eastAsia="Calibri" w:hAnsi="Arial" w:cs="Arial"/>
                <w:szCs w:val="22"/>
              </w:rPr>
            </w:pPr>
            <w:r w:rsidRPr="00290EBF">
              <w:rPr>
                <w:rFonts w:ascii="Arial" w:eastAsia="Calibri" w:hAnsi="Arial" w:cs="Arial"/>
                <w:b/>
                <w:bCs/>
                <w:szCs w:val="22"/>
              </w:rPr>
              <w:t>Originality/Value</w:t>
            </w:r>
            <w:r w:rsidRPr="00290EBF">
              <w:rPr>
                <w:rFonts w:ascii="Arial" w:eastAsia="Calibri" w:hAnsi="Arial" w:cs="Arial"/>
                <w:szCs w:val="22"/>
              </w:rPr>
              <w:t xml:space="preserve">: This study contributes to the literature by examining the practical integration of </w:t>
            </w:r>
            <w:proofErr w:type="spellStart"/>
            <w:r w:rsidRPr="00290EBF">
              <w:rPr>
                <w:rFonts w:ascii="Arial" w:eastAsia="Calibri" w:hAnsi="Arial" w:cs="Arial"/>
                <w:szCs w:val="22"/>
              </w:rPr>
              <w:t>GenAI</w:t>
            </w:r>
            <w:proofErr w:type="spellEnd"/>
            <w:r w:rsidRPr="00290EBF">
              <w:rPr>
                <w:rFonts w:ascii="Arial" w:eastAsia="Calibri" w:hAnsi="Arial" w:cs="Arial"/>
                <w:szCs w:val="22"/>
              </w:rPr>
              <w:t xml:space="preserve"> into supply chain management, addressing underexplored technical, organizational, and ethical challenges. The relevance and value of this research are evidenced by its actionable insights, which can guide practitioners and policymakers in enhancing operational efficiency, innovation, and resilience in supply chains.</w:t>
            </w:r>
          </w:p>
        </w:tc>
      </w:tr>
    </w:tbl>
    <w:p w14:paraId="78771F0F" w14:textId="77777777" w:rsidR="00636EB2" w:rsidRPr="00290EBF" w:rsidRDefault="00636EB2" w:rsidP="00441B6F">
      <w:pPr>
        <w:pStyle w:val="Body"/>
        <w:spacing w:after="0"/>
        <w:rPr>
          <w:rFonts w:ascii="Arial" w:hAnsi="Arial" w:cs="Arial"/>
          <w:i/>
        </w:rPr>
      </w:pPr>
    </w:p>
    <w:p w14:paraId="0CEF7C36" w14:textId="4B263BAF" w:rsidR="00A24E7E" w:rsidRPr="00290EBF" w:rsidRDefault="00A24E7E" w:rsidP="00441B6F">
      <w:pPr>
        <w:pStyle w:val="Body"/>
        <w:spacing w:after="0"/>
        <w:rPr>
          <w:rFonts w:ascii="Arial" w:hAnsi="Arial" w:cs="Arial"/>
          <w:i/>
        </w:rPr>
      </w:pPr>
      <w:r w:rsidRPr="00290EBF">
        <w:rPr>
          <w:rFonts w:ascii="Arial" w:hAnsi="Arial" w:cs="Arial"/>
          <w:i/>
        </w:rPr>
        <w:t xml:space="preserve">Keywords: </w:t>
      </w:r>
      <w:r w:rsidR="00E73188" w:rsidRPr="00290EBF">
        <w:rPr>
          <w:rFonts w:ascii="Arial" w:hAnsi="Arial" w:cs="Arial"/>
          <w:i/>
        </w:rPr>
        <w:t>Generative Artificial Intelligence (</w:t>
      </w:r>
      <w:proofErr w:type="spellStart"/>
      <w:r w:rsidR="00E73188" w:rsidRPr="00290EBF">
        <w:rPr>
          <w:rFonts w:ascii="Arial" w:hAnsi="Arial" w:cs="Arial"/>
          <w:i/>
        </w:rPr>
        <w:t>GenAI</w:t>
      </w:r>
      <w:proofErr w:type="spellEnd"/>
      <w:r w:rsidR="00E73188" w:rsidRPr="00290EBF">
        <w:rPr>
          <w:rFonts w:ascii="Arial" w:hAnsi="Arial" w:cs="Arial"/>
          <w:i/>
        </w:rPr>
        <w:t xml:space="preserve">), Supply Chain Management (SCM), Demand Forecasting, Inventory Optimization, Operational Efficiency, Ethical AI. </w:t>
      </w:r>
    </w:p>
    <w:p w14:paraId="5A7CDD89" w14:textId="77777777" w:rsidR="00790ADA" w:rsidRPr="00290EBF" w:rsidRDefault="00790ADA" w:rsidP="00441B6F">
      <w:pPr>
        <w:pStyle w:val="Body"/>
        <w:spacing w:after="0"/>
        <w:rPr>
          <w:rFonts w:ascii="Arial" w:hAnsi="Arial" w:cs="Arial"/>
          <w:i/>
        </w:rPr>
      </w:pPr>
    </w:p>
    <w:p w14:paraId="59E0A20D" w14:textId="3FED95E0" w:rsidR="007F7B32" w:rsidRPr="00290EBF" w:rsidRDefault="00902823" w:rsidP="00290EBF">
      <w:pPr>
        <w:pStyle w:val="AbstHead"/>
        <w:spacing w:after="0" w:line="480" w:lineRule="auto"/>
        <w:jc w:val="both"/>
        <w:rPr>
          <w:rFonts w:ascii="Arial" w:hAnsi="Arial" w:cs="Arial"/>
        </w:rPr>
      </w:pPr>
      <w:r w:rsidRPr="00290EBF">
        <w:rPr>
          <w:rFonts w:ascii="Arial" w:hAnsi="Arial" w:cs="Arial"/>
        </w:rPr>
        <w:t xml:space="preserve">1. </w:t>
      </w:r>
      <w:r w:rsidR="00B01FCD" w:rsidRPr="00290EBF">
        <w:rPr>
          <w:rFonts w:ascii="Arial" w:hAnsi="Arial" w:cs="Arial"/>
        </w:rPr>
        <w:t>INTRODUCTION</w:t>
      </w:r>
      <w:r w:rsidR="007F7B32" w:rsidRPr="00290EBF">
        <w:rPr>
          <w:rFonts w:ascii="Arial" w:hAnsi="Arial" w:cs="Arial"/>
        </w:rPr>
        <w:t xml:space="preserve"> </w:t>
      </w:r>
    </w:p>
    <w:p w14:paraId="3C024A5A" w14:textId="3B361A70" w:rsidR="00B01FCD" w:rsidRPr="00290EBF" w:rsidRDefault="00E73188" w:rsidP="00290EBF">
      <w:pPr>
        <w:pStyle w:val="Body"/>
        <w:rPr>
          <w:rFonts w:ascii="Arial" w:hAnsi="Arial" w:cs="Arial"/>
        </w:rPr>
      </w:pPr>
      <w:r w:rsidRPr="00290EBF">
        <w:rPr>
          <w:rFonts w:ascii="Arial" w:hAnsi="Arial" w:cs="Arial"/>
        </w:rPr>
        <w:t>The advancement in digital technologies and artificial intelligence (AI) has significantly influenced supply chain management (SCM), and with the evolution and adoption of Generative AI (</w:t>
      </w:r>
      <w:proofErr w:type="spellStart"/>
      <w:r w:rsidRPr="00290EBF">
        <w:rPr>
          <w:rFonts w:ascii="Arial" w:hAnsi="Arial" w:cs="Arial"/>
        </w:rPr>
        <w:t>GenAI</w:t>
      </w:r>
      <w:proofErr w:type="spellEnd"/>
      <w:r w:rsidRPr="00290EBF">
        <w:rPr>
          <w:rFonts w:ascii="Arial" w:hAnsi="Arial" w:cs="Arial"/>
        </w:rPr>
        <w:t xml:space="preserve">), the landscape is changing fast. </w:t>
      </w:r>
      <w:proofErr w:type="spellStart"/>
      <w:r w:rsidRPr="00290EBF">
        <w:rPr>
          <w:rFonts w:ascii="Arial" w:hAnsi="Arial" w:cs="Arial"/>
        </w:rPr>
        <w:t>GenAI</w:t>
      </w:r>
      <w:proofErr w:type="spellEnd"/>
      <w:r w:rsidRPr="00290EBF">
        <w:rPr>
          <w:rFonts w:ascii="Arial" w:hAnsi="Arial" w:cs="Arial"/>
        </w:rPr>
        <w:t xml:space="preserve"> brings capabilities such as large datasets analysis, generating predictive insights, and automating complex processes. By integrating </w:t>
      </w:r>
      <w:proofErr w:type="spellStart"/>
      <w:r w:rsidRPr="00290EBF">
        <w:rPr>
          <w:rFonts w:ascii="Arial" w:hAnsi="Arial" w:cs="Arial"/>
        </w:rPr>
        <w:t>GenAI</w:t>
      </w:r>
      <w:proofErr w:type="spellEnd"/>
      <w:r w:rsidRPr="00290EBF">
        <w:rPr>
          <w:rFonts w:ascii="Arial" w:hAnsi="Arial" w:cs="Arial"/>
        </w:rPr>
        <w:t xml:space="preserve"> into the existing processes, organizations can increase operational efficiency, optimize costs, and improve organizational decision-making. The adoption also positions </w:t>
      </w:r>
      <w:proofErr w:type="spellStart"/>
      <w:r w:rsidRPr="00290EBF">
        <w:rPr>
          <w:rFonts w:ascii="Arial" w:hAnsi="Arial" w:cs="Arial"/>
        </w:rPr>
        <w:t>GenAI</w:t>
      </w:r>
      <w:proofErr w:type="spellEnd"/>
      <w:r w:rsidRPr="00290EBF">
        <w:rPr>
          <w:rFonts w:ascii="Arial" w:hAnsi="Arial" w:cs="Arial"/>
        </w:rPr>
        <w:t xml:space="preserve"> as a critical enabler in addressing the growing demands for agile, resilient, and sustainable supply chains. Existing literature highlights the potential of </w:t>
      </w:r>
      <w:proofErr w:type="spellStart"/>
      <w:r w:rsidRPr="00290EBF">
        <w:rPr>
          <w:rFonts w:ascii="Arial" w:hAnsi="Arial" w:cs="Arial"/>
        </w:rPr>
        <w:t>GenAI</w:t>
      </w:r>
      <w:proofErr w:type="spellEnd"/>
      <w:r w:rsidRPr="00290EBF">
        <w:rPr>
          <w:rFonts w:ascii="Arial" w:hAnsi="Arial" w:cs="Arial"/>
        </w:rPr>
        <w:t xml:space="preserve"> to revolutionize various aspects of SCM. Several authors, such as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Shekhar et al., 2024), have discussed </w:t>
      </w:r>
      <w:proofErr w:type="spellStart"/>
      <w:r w:rsidRPr="00290EBF">
        <w:rPr>
          <w:rFonts w:ascii="Arial" w:hAnsi="Arial" w:cs="Arial"/>
        </w:rPr>
        <w:t>GenAI’s</w:t>
      </w:r>
      <w:proofErr w:type="spellEnd"/>
      <w:r w:rsidRPr="00290EBF">
        <w:rPr>
          <w:rFonts w:ascii="Arial" w:hAnsi="Arial" w:cs="Arial"/>
        </w:rPr>
        <w:t xml:space="preserve"> role in SCM processes and how early adopters have demonstrated tangible benefits from </w:t>
      </w:r>
      <w:proofErr w:type="spellStart"/>
      <w:r w:rsidRPr="00290EBF">
        <w:rPr>
          <w:rFonts w:ascii="Arial" w:hAnsi="Arial" w:cs="Arial"/>
        </w:rPr>
        <w:t>GenAI’s</w:t>
      </w:r>
      <w:proofErr w:type="spellEnd"/>
      <w:r w:rsidRPr="00290EBF">
        <w:rPr>
          <w:rFonts w:ascii="Arial" w:hAnsi="Arial" w:cs="Arial"/>
        </w:rPr>
        <w:t xml:space="preserve"> adoption. However, despite the recent advancements, significant gaps remain in understanding </w:t>
      </w:r>
      <w:proofErr w:type="spellStart"/>
      <w:r w:rsidRPr="00290EBF">
        <w:rPr>
          <w:rFonts w:ascii="Arial" w:hAnsi="Arial" w:cs="Arial"/>
        </w:rPr>
        <w:t>GenAI’s</w:t>
      </w:r>
      <w:proofErr w:type="spellEnd"/>
      <w:r w:rsidRPr="00290EBF">
        <w:rPr>
          <w:rFonts w:ascii="Arial" w:hAnsi="Arial" w:cs="Arial"/>
        </w:rPr>
        <w:t xml:space="preserve"> practical integration into supply chain systems. Also, technological challenges, e.g., data quality issues, integration with legacy systems, and organizational challenges, e.g., readiness for AI adoption, have not been comprehensively addressed in the literature.</w:t>
      </w:r>
    </w:p>
    <w:p w14:paraId="4E3EFFCC" w14:textId="6A60A3EC" w:rsidR="00E73188" w:rsidRPr="00290EBF" w:rsidRDefault="00E73188" w:rsidP="00E73188">
      <w:pPr>
        <w:pStyle w:val="Body"/>
        <w:rPr>
          <w:rFonts w:ascii="Arial" w:hAnsi="Arial" w:cs="Arial"/>
          <w:b/>
          <w:bCs/>
        </w:rPr>
      </w:pPr>
      <w:r w:rsidRPr="00290EBF">
        <w:rPr>
          <w:rFonts w:ascii="Arial" w:hAnsi="Arial" w:cs="Arial"/>
          <w:b/>
          <w:bCs/>
        </w:rPr>
        <w:t>1.1 PROBLEM STATEMENT</w:t>
      </w:r>
    </w:p>
    <w:p w14:paraId="213B934D" w14:textId="77777777" w:rsidR="00E73188" w:rsidRPr="00290EBF" w:rsidRDefault="00E73188" w:rsidP="00E73188">
      <w:pPr>
        <w:pStyle w:val="Body"/>
        <w:rPr>
          <w:rFonts w:ascii="Arial" w:hAnsi="Arial" w:cs="Arial"/>
        </w:rPr>
      </w:pPr>
      <w:proofErr w:type="spellStart"/>
      <w:r w:rsidRPr="00290EBF">
        <w:rPr>
          <w:rFonts w:ascii="Arial" w:hAnsi="Arial" w:cs="Arial"/>
        </w:rPr>
        <w:t>GenAI’s</w:t>
      </w:r>
      <w:proofErr w:type="spellEnd"/>
      <w:r w:rsidRPr="00290EBF">
        <w:rPr>
          <w:rFonts w:ascii="Arial" w:hAnsi="Arial" w:cs="Arial"/>
        </w:rPr>
        <w:t xml:space="preserve"> potential in improving the processes is well known, and SCM is no exception. However, its adoption is hindered by technical, organizational, and ethical challenges. Also, a lack of value realization is a significant challenge and requires detailed exploration. This systematic review aims to perform a holistic analysis of the opportunities, measurable benefits, and barriers associated with </w:t>
      </w:r>
      <w:proofErr w:type="spellStart"/>
      <w:r w:rsidRPr="00290EBF">
        <w:rPr>
          <w:rFonts w:ascii="Arial" w:hAnsi="Arial" w:cs="Arial"/>
        </w:rPr>
        <w:t>GenAI</w:t>
      </w:r>
      <w:proofErr w:type="spellEnd"/>
      <w:r w:rsidRPr="00290EBF">
        <w:rPr>
          <w:rFonts w:ascii="Arial" w:hAnsi="Arial" w:cs="Arial"/>
        </w:rPr>
        <w:t xml:space="preserve"> implementation in SCM. Through a comprehensive review, this study addresses a critical gap in the literature and provides guidance to organizations in identifying the opportunities, realizing the benefits, and addressing potential challenges by successfully leveraging </w:t>
      </w:r>
      <w:proofErr w:type="spellStart"/>
      <w:r w:rsidRPr="00290EBF">
        <w:rPr>
          <w:rFonts w:ascii="Arial" w:hAnsi="Arial" w:cs="Arial"/>
        </w:rPr>
        <w:t>GenAI</w:t>
      </w:r>
      <w:proofErr w:type="spellEnd"/>
      <w:r w:rsidRPr="00290EBF">
        <w:rPr>
          <w:rFonts w:ascii="Arial" w:hAnsi="Arial" w:cs="Arial"/>
        </w:rPr>
        <w:t xml:space="preserve"> while transforming organizations’ supply chains.</w:t>
      </w:r>
    </w:p>
    <w:p w14:paraId="4F529E67" w14:textId="11BDB908" w:rsidR="00E73188" w:rsidRPr="00290EBF" w:rsidRDefault="00E73188" w:rsidP="00E73188">
      <w:pPr>
        <w:pStyle w:val="Body"/>
        <w:rPr>
          <w:rFonts w:ascii="Arial" w:hAnsi="Arial" w:cs="Arial"/>
          <w:b/>
          <w:bCs/>
        </w:rPr>
      </w:pPr>
      <w:r w:rsidRPr="00290EBF">
        <w:rPr>
          <w:rFonts w:ascii="Arial" w:hAnsi="Arial" w:cs="Arial"/>
          <w:b/>
          <w:bCs/>
        </w:rPr>
        <w:t xml:space="preserve">1.2 RESEARCH OBJECTIVES </w:t>
      </w:r>
    </w:p>
    <w:p w14:paraId="3C84472D" w14:textId="484295BD" w:rsidR="00E73188" w:rsidRPr="00290EBF" w:rsidRDefault="00E73188" w:rsidP="00E73188">
      <w:pPr>
        <w:pStyle w:val="Body"/>
        <w:rPr>
          <w:rFonts w:ascii="Arial" w:hAnsi="Arial" w:cs="Arial"/>
        </w:rPr>
      </w:pPr>
      <w:r w:rsidRPr="00290EBF">
        <w:rPr>
          <w:rFonts w:ascii="Arial" w:hAnsi="Arial" w:cs="Arial"/>
        </w:rPr>
        <w:t xml:space="preserve">This study aims to provide a thorough understanding of </w:t>
      </w:r>
      <w:proofErr w:type="spellStart"/>
      <w:r w:rsidRPr="00290EBF">
        <w:rPr>
          <w:rFonts w:ascii="Arial" w:hAnsi="Arial" w:cs="Arial"/>
        </w:rPr>
        <w:t>GenAI’s</w:t>
      </w:r>
      <w:proofErr w:type="spellEnd"/>
      <w:r w:rsidRPr="00290EBF">
        <w:rPr>
          <w:rFonts w:ascii="Arial" w:hAnsi="Arial" w:cs="Arial"/>
        </w:rPr>
        <w:t xml:space="preserve"> role in SCM, and it seeks to: a) Identify key opportunities for implementing </w:t>
      </w:r>
      <w:proofErr w:type="spellStart"/>
      <w:r w:rsidRPr="00290EBF">
        <w:rPr>
          <w:rFonts w:ascii="Arial" w:hAnsi="Arial" w:cs="Arial"/>
        </w:rPr>
        <w:t>GenAI</w:t>
      </w:r>
      <w:proofErr w:type="spellEnd"/>
      <w:r w:rsidRPr="00290EBF">
        <w:rPr>
          <w:rFonts w:ascii="Arial" w:hAnsi="Arial" w:cs="Arial"/>
        </w:rPr>
        <w:t xml:space="preserve"> in supply chain processes, b) Analyze the tangible benefits reported in existing implementations, and c) Examine the challenges and barriers to successful </w:t>
      </w:r>
      <w:proofErr w:type="spellStart"/>
      <w:r w:rsidRPr="00290EBF">
        <w:rPr>
          <w:rFonts w:ascii="Arial" w:hAnsi="Arial" w:cs="Arial"/>
        </w:rPr>
        <w:t>GenAI</w:t>
      </w:r>
      <w:proofErr w:type="spellEnd"/>
      <w:r w:rsidRPr="00290EBF">
        <w:rPr>
          <w:rFonts w:ascii="Arial" w:hAnsi="Arial" w:cs="Arial"/>
        </w:rPr>
        <w:t xml:space="preserve"> adoption. The study findings contribute to the existing body of knowledge on </w:t>
      </w:r>
      <w:proofErr w:type="spellStart"/>
      <w:r w:rsidRPr="00290EBF">
        <w:rPr>
          <w:rFonts w:ascii="Arial" w:hAnsi="Arial" w:cs="Arial"/>
        </w:rPr>
        <w:t>GenAI</w:t>
      </w:r>
      <w:proofErr w:type="spellEnd"/>
      <w:r w:rsidRPr="00290EBF">
        <w:rPr>
          <w:rFonts w:ascii="Arial" w:hAnsi="Arial" w:cs="Arial"/>
        </w:rPr>
        <w:t xml:space="preserve"> adoption in SCM, offering businesses, researchers, and policymaker actionable insights to unlock </w:t>
      </w:r>
      <w:proofErr w:type="spellStart"/>
      <w:r w:rsidRPr="00290EBF">
        <w:rPr>
          <w:rFonts w:ascii="Arial" w:hAnsi="Arial" w:cs="Arial"/>
        </w:rPr>
        <w:t>GenAI’s</w:t>
      </w:r>
      <w:proofErr w:type="spellEnd"/>
      <w:r w:rsidRPr="00290EBF">
        <w:rPr>
          <w:rFonts w:ascii="Arial" w:hAnsi="Arial" w:cs="Arial"/>
        </w:rPr>
        <w:t xml:space="preserve"> potential in driving supply chain innovation.</w:t>
      </w:r>
    </w:p>
    <w:p w14:paraId="5E63AE48" w14:textId="0C09E6FC" w:rsidR="007F7B32" w:rsidRPr="00290EBF" w:rsidRDefault="00902823" w:rsidP="00290EBF">
      <w:pPr>
        <w:pStyle w:val="AbstHead"/>
        <w:spacing w:after="0" w:line="480" w:lineRule="auto"/>
        <w:jc w:val="both"/>
        <w:rPr>
          <w:rFonts w:ascii="Arial" w:hAnsi="Arial" w:cs="Arial"/>
        </w:rPr>
      </w:pPr>
      <w:r w:rsidRPr="00290EBF">
        <w:rPr>
          <w:rFonts w:ascii="Arial" w:hAnsi="Arial" w:cs="Arial"/>
        </w:rPr>
        <w:lastRenderedPageBreak/>
        <w:t xml:space="preserve">2. </w:t>
      </w:r>
      <w:r w:rsidR="006B57D0" w:rsidRPr="00290EBF">
        <w:rPr>
          <w:rFonts w:ascii="Arial" w:hAnsi="Arial" w:cs="Arial"/>
        </w:rPr>
        <w:t>methodology</w:t>
      </w:r>
    </w:p>
    <w:p w14:paraId="5DF54A5A" w14:textId="6C683490" w:rsidR="00554020" w:rsidRPr="00290EBF" w:rsidRDefault="00554020" w:rsidP="00290EBF">
      <w:pPr>
        <w:pStyle w:val="Body"/>
        <w:rPr>
          <w:rFonts w:ascii="Arial" w:hAnsi="Arial" w:cs="Arial"/>
        </w:rPr>
      </w:pPr>
      <w:r w:rsidRPr="00290EBF">
        <w:rPr>
          <w:rFonts w:ascii="Arial" w:hAnsi="Arial" w:cs="Arial"/>
        </w:rPr>
        <w:t xml:space="preserve">This systematic review has utilized the methodology presented by </w:t>
      </w:r>
      <w:proofErr w:type="spellStart"/>
      <w:r w:rsidRPr="00290EBF">
        <w:rPr>
          <w:rFonts w:ascii="Arial" w:hAnsi="Arial" w:cs="Arial"/>
        </w:rPr>
        <w:t>Tranfield</w:t>
      </w:r>
      <w:proofErr w:type="spellEnd"/>
      <w:r w:rsidRPr="00290EBF">
        <w:rPr>
          <w:rFonts w:ascii="Arial" w:hAnsi="Arial" w:cs="Arial"/>
        </w:rPr>
        <w:t xml:space="preserve"> et al. (2003) to ensure transparency and objectivity while reporting recent progress in the literature review on </w:t>
      </w:r>
      <w:proofErr w:type="spellStart"/>
      <w:r w:rsidRPr="00290EBF">
        <w:rPr>
          <w:rFonts w:ascii="Arial" w:hAnsi="Arial" w:cs="Arial"/>
        </w:rPr>
        <w:t>GenAI’s</w:t>
      </w:r>
      <w:proofErr w:type="spellEnd"/>
      <w:r w:rsidRPr="00290EBF">
        <w:rPr>
          <w:rFonts w:ascii="Arial" w:hAnsi="Arial" w:cs="Arial"/>
        </w:rPr>
        <w:t xml:space="preserve"> usage within SCM. This systematic review aims first to identify the current opportunities in SCM with </w:t>
      </w:r>
      <w:proofErr w:type="spellStart"/>
      <w:r w:rsidRPr="00290EBF">
        <w:rPr>
          <w:rFonts w:ascii="Arial" w:hAnsi="Arial" w:cs="Arial"/>
        </w:rPr>
        <w:t>GenAI</w:t>
      </w:r>
      <w:proofErr w:type="spellEnd"/>
      <w:r w:rsidRPr="00290EBF">
        <w:rPr>
          <w:rFonts w:ascii="Arial" w:hAnsi="Arial" w:cs="Arial"/>
        </w:rPr>
        <w:t xml:space="preserve">, the benefits </w:t>
      </w:r>
      <w:proofErr w:type="spellStart"/>
      <w:r w:rsidRPr="00290EBF">
        <w:rPr>
          <w:rFonts w:ascii="Arial" w:hAnsi="Arial" w:cs="Arial"/>
        </w:rPr>
        <w:t>GenAI</w:t>
      </w:r>
      <w:proofErr w:type="spellEnd"/>
      <w:r w:rsidRPr="00290EBF">
        <w:rPr>
          <w:rFonts w:ascii="Arial" w:hAnsi="Arial" w:cs="Arial"/>
        </w:rPr>
        <w:t xml:space="preserve"> has to offer, and the challenges in the successful adoption. This study follows the Preferred Reporting Items for Systematic Reviews and Meta-Analysis (PRISMA). PRISMA model allows for a comprehensive and transparent approach to systematic reviews and inclusion of relevant studies. Table 1 highlights the paper selected from major databases and Figure 1 describes the PRISMA approach taken for system literature review selection.</w:t>
      </w:r>
    </w:p>
    <w:p w14:paraId="0DBB9ED9" w14:textId="77777777" w:rsidR="00554020" w:rsidRPr="00290EBF" w:rsidRDefault="00554020" w:rsidP="00554020">
      <w:pPr>
        <w:pStyle w:val="Body"/>
        <w:keepNext/>
        <w:tabs>
          <w:tab w:val="left" w:pos="2195"/>
        </w:tabs>
        <w:spacing w:after="0"/>
        <w:jc w:val="center"/>
        <w:rPr>
          <w:rFonts w:ascii="Arial" w:hAnsi="Arial" w:cs="Arial"/>
        </w:rPr>
      </w:pPr>
      <w:r w:rsidRPr="00290EBF">
        <w:rPr>
          <w:rFonts w:ascii="Arial" w:hAnsi="Arial" w:cs="Arial"/>
          <w:noProof/>
        </w:rPr>
        <w:drawing>
          <wp:inline distT="0" distB="0" distL="0" distR="0" wp14:anchorId="7869FF40" wp14:editId="46AF2645">
            <wp:extent cx="2897127" cy="3197955"/>
            <wp:effectExtent l="0" t="0" r="0" b="0"/>
            <wp:docPr id="1953358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3223" cy="3248838"/>
                    </a:xfrm>
                    <a:prstGeom prst="rect">
                      <a:avLst/>
                    </a:prstGeom>
                    <a:noFill/>
                    <a:ln>
                      <a:noFill/>
                    </a:ln>
                  </pic:spPr>
                </pic:pic>
              </a:graphicData>
            </a:graphic>
          </wp:inline>
        </w:drawing>
      </w:r>
    </w:p>
    <w:p w14:paraId="09A0FA43" w14:textId="27B591B6" w:rsidR="00790ADA" w:rsidRPr="00290EBF" w:rsidRDefault="00554020" w:rsidP="00554020">
      <w:pPr>
        <w:pStyle w:val="Caption"/>
        <w:jc w:val="center"/>
        <w:rPr>
          <w:rFonts w:ascii="Arial" w:hAnsi="Arial" w:cs="Arial"/>
          <w:b/>
          <w:bCs/>
          <w:i w:val="0"/>
          <w:iCs w:val="0"/>
        </w:rPr>
      </w:pPr>
      <w:r w:rsidRPr="00290EBF">
        <w:rPr>
          <w:rFonts w:ascii="Arial" w:hAnsi="Arial" w:cs="Arial"/>
          <w:b/>
          <w:bCs/>
          <w:i w:val="0"/>
          <w:iCs w:val="0"/>
        </w:rPr>
        <w:t xml:space="preserve">Figure </w:t>
      </w:r>
      <w:r w:rsidRPr="00290EBF">
        <w:rPr>
          <w:rFonts w:ascii="Arial" w:hAnsi="Arial" w:cs="Arial"/>
          <w:b/>
          <w:bCs/>
          <w:i w:val="0"/>
          <w:iCs w:val="0"/>
        </w:rPr>
        <w:fldChar w:fldCharType="begin"/>
      </w:r>
      <w:r w:rsidRPr="00290EBF">
        <w:rPr>
          <w:rFonts w:ascii="Arial" w:hAnsi="Arial" w:cs="Arial"/>
          <w:b/>
          <w:bCs/>
          <w:i w:val="0"/>
          <w:iCs w:val="0"/>
        </w:rPr>
        <w:instrText xml:space="preserve"> SEQ Figure \* ARABIC </w:instrText>
      </w:r>
      <w:r w:rsidRPr="00290EBF">
        <w:rPr>
          <w:rFonts w:ascii="Arial" w:hAnsi="Arial" w:cs="Arial"/>
          <w:b/>
          <w:bCs/>
          <w:i w:val="0"/>
          <w:iCs w:val="0"/>
        </w:rPr>
        <w:fldChar w:fldCharType="separate"/>
      </w:r>
      <w:r w:rsidRPr="00290EBF">
        <w:rPr>
          <w:rFonts w:ascii="Arial" w:hAnsi="Arial" w:cs="Arial"/>
          <w:b/>
          <w:bCs/>
          <w:i w:val="0"/>
          <w:iCs w:val="0"/>
          <w:noProof/>
        </w:rPr>
        <w:t>1</w:t>
      </w:r>
      <w:r w:rsidRPr="00290EBF">
        <w:rPr>
          <w:rFonts w:ascii="Arial" w:hAnsi="Arial" w:cs="Arial"/>
          <w:b/>
          <w:bCs/>
          <w:i w:val="0"/>
          <w:iCs w:val="0"/>
        </w:rPr>
        <w:fldChar w:fldCharType="end"/>
      </w:r>
      <w:r w:rsidRPr="00290EBF">
        <w:rPr>
          <w:rFonts w:ascii="Arial" w:hAnsi="Arial" w:cs="Arial"/>
          <w:b/>
          <w:bCs/>
          <w:i w:val="0"/>
          <w:iCs w:val="0"/>
        </w:rPr>
        <w:t>.</w:t>
      </w:r>
      <w:r w:rsidRPr="00290EBF">
        <w:rPr>
          <w:rFonts w:ascii="Arial" w:hAnsi="Arial" w:cs="Arial"/>
          <w:b/>
          <w:bCs/>
          <w:i w:val="0"/>
          <w:iCs w:val="0"/>
          <w:noProof/>
        </w:rPr>
        <w:t xml:space="preserve"> PRISMA Flow Diagram illustrating the systematic review process</w:t>
      </w:r>
    </w:p>
    <w:p w14:paraId="71841574" w14:textId="681AE50A" w:rsidR="00554020" w:rsidRPr="00290EBF" w:rsidRDefault="00554020" w:rsidP="00554020">
      <w:pPr>
        <w:pStyle w:val="Body"/>
        <w:tabs>
          <w:tab w:val="left" w:pos="2195"/>
        </w:tabs>
        <w:rPr>
          <w:rFonts w:ascii="Arial" w:hAnsi="Arial" w:cs="Arial"/>
        </w:rPr>
      </w:pPr>
      <w:r w:rsidRPr="00290EBF">
        <w:rPr>
          <w:rFonts w:ascii="Arial" w:hAnsi="Arial" w:cs="Arial"/>
        </w:rPr>
        <w:t xml:space="preserve">We conducted a systematic search across major databases, including IEEE Xplore, ACM, Springer, </w:t>
      </w:r>
      <w:proofErr w:type="spellStart"/>
      <w:r w:rsidRPr="00290EBF">
        <w:rPr>
          <w:rFonts w:ascii="Arial" w:hAnsi="Arial" w:cs="Arial"/>
        </w:rPr>
        <w:t>Apress</w:t>
      </w:r>
      <w:proofErr w:type="spellEnd"/>
      <w:r w:rsidRPr="00290EBF">
        <w:rPr>
          <w:rFonts w:ascii="Arial" w:hAnsi="Arial" w:cs="Arial"/>
        </w:rPr>
        <w:t>, Wiley, and Elsevier. The search period covered 2023 to 2024 to ensure the study covered the advancement in fast-moving machine learning and AI space. The search terms included a combination (“generative AI” OR “generative artificial intelligence” OR “</w:t>
      </w:r>
      <w:proofErr w:type="spellStart"/>
      <w:r w:rsidRPr="00290EBF">
        <w:rPr>
          <w:rFonts w:ascii="Arial" w:hAnsi="Arial" w:cs="Arial"/>
        </w:rPr>
        <w:t>GenAI</w:t>
      </w:r>
      <w:proofErr w:type="spellEnd"/>
      <w:r w:rsidRPr="00290EBF">
        <w:rPr>
          <w:rFonts w:ascii="Arial" w:hAnsi="Arial" w:cs="Arial"/>
        </w:rPr>
        <w:t>” OR “large language model*” AND “supply chain*” OR “SCM” OR “logistics” OR “procurement” OR “inventory management”).</w:t>
      </w:r>
    </w:p>
    <w:p w14:paraId="17E21729" w14:textId="7E85FC10" w:rsidR="00554020" w:rsidRPr="00554020" w:rsidRDefault="00554020" w:rsidP="00554020">
      <w:pPr>
        <w:pStyle w:val="Body"/>
        <w:tabs>
          <w:tab w:val="left" w:pos="2195"/>
        </w:tabs>
        <w:rPr>
          <w:rFonts w:ascii="Arial" w:hAnsi="Arial" w:cs="Arial"/>
          <w:i/>
        </w:rPr>
      </w:pPr>
      <w:r w:rsidRPr="00554020">
        <w:rPr>
          <w:rFonts w:ascii="Arial" w:hAnsi="Arial" w:cs="Arial"/>
          <w:b/>
          <w:bCs/>
          <w:iCs/>
        </w:rPr>
        <w:t xml:space="preserve">Table </w:t>
      </w:r>
      <w:r w:rsidRPr="00554020">
        <w:rPr>
          <w:rFonts w:ascii="Arial" w:hAnsi="Arial" w:cs="Arial"/>
          <w:b/>
          <w:bCs/>
          <w:iCs/>
        </w:rPr>
        <w:fldChar w:fldCharType="begin"/>
      </w:r>
      <w:r w:rsidRPr="00554020">
        <w:rPr>
          <w:rFonts w:ascii="Arial" w:hAnsi="Arial" w:cs="Arial"/>
          <w:b/>
          <w:bCs/>
          <w:iCs/>
        </w:rPr>
        <w:instrText xml:space="preserve"> SEQ Table \* ARABIC </w:instrText>
      </w:r>
      <w:r w:rsidRPr="00554020">
        <w:rPr>
          <w:rFonts w:ascii="Arial" w:hAnsi="Arial" w:cs="Arial"/>
          <w:b/>
          <w:bCs/>
          <w:iCs/>
        </w:rPr>
        <w:fldChar w:fldCharType="separate"/>
      </w:r>
      <w:r w:rsidRPr="00554020">
        <w:rPr>
          <w:rFonts w:ascii="Arial" w:hAnsi="Arial" w:cs="Arial"/>
          <w:b/>
          <w:bCs/>
          <w:iCs/>
        </w:rPr>
        <w:t>1</w:t>
      </w:r>
      <w:r w:rsidRPr="00554020">
        <w:rPr>
          <w:rFonts w:ascii="Arial" w:hAnsi="Arial" w:cs="Arial"/>
        </w:rPr>
        <w:fldChar w:fldCharType="end"/>
      </w:r>
      <w:r w:rsidRPr="00290EBF">
        <w:rPr>
          <w:rFonts w:ascii="Arial" w:hAnsi="Arial" w:cs="Arial"/>
        </w:rPr>
        <w:t>.</w:t>
      </w:r>
      <w:r w:rsidRPr="00554020">
        <w:rPr>
          <w:rFonts w:ascii="Arial" w:hAnsi="Arial" w:cs="Arial"/>
          <w:b/>
          <w:bCs/>
          <w:iCs/>
        </w:rPr>
        <w:t xml:space="preserve"> </w:t>
      </w:r>
      <w:r w:rsidR="00845D25" w:rsidRPr="00290EBF">
        <w:rPr>
          <w:rFonts w:ascii="Arial" w:hAnsi="Arial" w:cs="Arial"/>
          <w:b/>
          <w:bCs/>
          <w:iCs/>
        </w:rPr>
        <w:t>N</w:t>
      </w:r>
      <w:r w:rsidRPr="00554020">
        <w:rPr>
          <w:rFonts w:ascii="Arial" w:hAnsi="Arial" w:cs="Arial"/>
          <w:b/>
          <w:bCs/>
          <w:iCs/>
        </w:rPr>
        <w:t>umber of articles retrieved from respective journals</w:t>
      </w:r>
    </w:p>
    <w:tbl>
      <w:tblPr>
        <w:tblW w:w="4945" w:type="dxa"/>
        <w:jc w:val="center"/>
        <w:tblLook w:val="04A0" w:firstRow="1" w:lastRow="0" w:firstColumn="1" w:lastColumn="0" w:noHBand="0" w:noVBand="1"/>
      </w:tblPr>
      <w:tblGrid>
        <w:gridCol w:w="2670"/>
        <w:gridCol w:w="2275"/>
      </w:tblGrid>
      <w:tr w:rsidR="00554020" w:rsidRPr="00554020" w14:paraId="5B88E987" w14:textId="77777777" w:rsidTr="00343C30">
        <w:trPr>
          <w:trHeight w:val="300"/>
          <w:jc w:val="center"/>
        </w:trPr>
        <w:tc>
          <w:tcPr>
            <w:tcW w:w="2670" w:type="dxa"/>
            <w:tcBorders>
              <w:top w:val="single" w:sz="4" w:space="0" w:color="auto"/>
              <w:bottom w:val="single" w:sz="4" w:space="0" w:color="auto"/>
            </w:tcBorders>
            <w:noWrap/>
            <w:vAlign w:val="center"/>
            <w:hideMark/>
          </w:tcPr>
          <w:p w14:paraId="579F3611" w14:textId="77777777" w:rsidR="00554020" w:rsidRPr="00554020" w:rsidRDefault="00554020" w:rsidP="00554020">
            <w:pPr>
              <w:pStyle w:val="Body"/>
              <w:tabs>
                <w:tab w:val="left" w:pos="2195"/>
              </w:tabs>
              <w:rPr>
                <w:rFonts w:ascii="Arial" w:hAnsi="Arial" w:cs="Arial"/>
                <w:b/>
                <w:bCs/>
                <w:lang w:val="pt-BR"/>
              </w:rPr>
            </w:pPr>
            <w:r w:rsidRPr="00554020">
              <w:rPr>
                <w:rFonts w:ascii="Arial" w:hAnsi="Arial" w:cs="Arial"/>
                <w:b/>
                <w:bCs/>
                <w:lang w:val="pt-BR"/>
              </w:rPr>
              <w:t>Publisher</w:t>
            </w:r>
          </w:p>
        </w:tc>
        <w:tc>
          <w:tcPr>
            <w:tcW w:w="2275" w:type="dxa"/>
            <w:tcBorders>
              <w:top w:val="single" w:sz="4" w:space="0" w:color="auto"/>
              <w:bottom w:val="single" w:sz="4" w:space="0" w:color="auto"/>
            </w:tcBorders>
            <w:noWrap/>
            <w:vAlign w:val="center"/>
            <w:hideMark/>
          </w:tcPr>
          <w:p w14:paraId="11EA1088" w14:textId="77777777" w:rsidR="00554020" w:rsidRPr="00554020" w:rsidRDefault="00554020" w:rsidP="00554020">
            <w:pPr>
              <w:pStyle w:val="Body"/>
              <w:tabs>
                <w:tab w:val="left" w:pos="2195"/>
              </w:tabs>
              <w:rPr>
                <w:rFonts w:ascii="Arial" w:hAnsi="Arial" w:cs="Arial"/>
                <w:b/>
                <w:bCs/>
                <w:lang w:val="pt-BR"/>
              </w:rPr>
            </w:pPr>
            <w:r w:rsidRPr="00554020">
              <w:rPr>
                <w:rFonts w:ascii="Arial" w:hAnsi="Arial" w:cs="Arial"/>
                <w:b/>
                <w:bCs/>
                <w:lang w:val="pt-BR"/>
              </w:rPr>
              <w:t>Count</w:t>
            </w:r>
          </w:p>
        </w:tc>
      </w:tr>
      <w:tr w:rsidR="00554020" w:rsidRPr="00554020" w14:paraId="1D6BB097" w14:textId="77777777" w:rsidTr="00554020">
        <w:trPr>
          <w:trHeight w:val="215"/>
          <w:jc w:val="center"/>
        </w:trPr>
        <w:tc>
          <w:tcPr>
            <w:tcW w:w="0" w:type="auto"/>
            <w:tcBorders>
              <w:top w:val="single" w:sz="4" w:space="0" w:color="auto"/>
            </w:tcBorders>
            <w:noWrap/>
            <w:hideMark/>
          </w:tcPr>
          <w:p w14:paraId="2E73BBC2"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ACM</w:t>
            </w:r>
          </w:p>
        </w:tc>
        <w:tc>
          <w:tcPr>
            <w:tcW w:w="0" w:type="auto"/>
            <w:tcBorders>
              <w:top w:val="single" w:sz="4" w:space="0" w:color="auto"/>
            </w:tcBorders>
            <w:noWrap/>
            <w:hideMark/>
          </w:tcPr>
          <w:p w14:paraId="28F6C18B"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23</w:t>
            </w:r>
          </w:p>
        </w:tc>
      </w:tr>
      <w:tr w:rsidR="00554020" w:rsidRPr="00554020" w14:paraId="26998BE5" w14:textId="77777777" w:rsidTr="00554020">
        <w:trPr>
          <w:trHeight w:val="279"/>
          <w:jc w:val="center"/>
        </w:trPr>
        <w:tc>
          <w:tcPr>
            <w:tcW w:w="0" w:type="auto"/>
            <w:noWrap/>
            <w:hideMark/>
          </w:tcPr>
          <w:p w14:paraId="4762421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Elsevier</w:t>
            </w:r>
          </w:p>
        </w:tc>
        <w:tc>
          <w:tcPr>
            <w:tcW w:w="0" w:type="auto"/>
            <w:noWrap/>
            <w:hideMark/>
          </w:tcPr>
          <w:p w14:paraId="1F8E066F"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133</w:t>
            </w:r>
          </w:p>
        </w:tc>
      </w:tr>
      <w:tr w:rsidR="00554020" w:rsidRPr="00554020" w14:paraId="284DCC94" w14:textId="77777777" w:rsidTr="00554020">
        <w:trPr>
          <w:jc w:val="center"/>
        </w:trPr>
        <w:tc>
          <w:tcPr>
            <w:tcW w:w="0" w:type="auto"/>
            <w:noWrap/>
            <w:hideMark/>
          </w:tcPr>
          <w:p w14:paraId="6B98932D"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IEEE</w:t>
            </w:r>
          </w:p>
        </w:tc>
        <w:tc>
          <w:tcPr>
            <w:tcW w:w="0" w:type="auto"/>
            <w:noWrap/>
            <w:hideMark/>
          </w:tcPr>
          <w:p w14:paraId="57530E0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25</w:t>
            </w:r>
          </w:p>
        </w:tc>
      </w:tr>
      <w:tr w:rsidR="00554020" w:rsidRPr="00554020" w14:paraId="7175D826" w14:textId="77777777" w:rsidTr="00554020">
        <w:trPr>
          <w:jc w:val="center"/>
        </w:trPr>
        <w:tc>
          <w:tcPr>
            <w:tcW w:w="0" w:type="auto"/>
            <w:noWrap/>
            <w:hideMark/>
          </w:tcPr>
          <w:p w14:paraId="4BAE1FC8"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lastRenderedPageBreak/>
              <w:t>Springer</w:t>
            </w:r>
          </w:p>
        </w:tc>
        <w:tc>
          <w:tcPr>
            <w:tcW w:w="0" w:type="auto"/>
            <w:noWrap/>
            <w:hideMark/>
          </w:tcPr>
          <w:p w14:paraId="72062993"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132</w:t>
            </w:r>
          </w:p>
        </w:tc>
      </w:tr>
      <w:tr w:rsidR="00554020" w:rsidRPr="00554020" w14:paraId="4E431EEC" w14:textId="77777777" w:rsidTr="00554020">
        <w:trPr>
          <w:jc w:val="center"/>
        </w:trPr>
        <w:tc>
          <w:tcPr>
            <w:tcW w:w="0" w:type="auto"/>
            <w:noWrap/>
            <w:hideMark/>
          </w:tcPr>
          <w:p w14:paraId="50F20B70"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Wiley</w:t>
            </w:r>
          </w:p>
        </w:tc>
        <w:tc>
          <w:tcPr>
            <w:tcW w:w="0" w:type="auto"/>
            <w:noWrap/>
            <w:hideMark/>
          </w:tcPr>
          <w:p w14:paraId="70AD953C"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25</w:t>
            </w:r>
          </w:p>
        </w:tc>
      </w:tr>
      <w:tr w:rsidR="00554020" w:rsidRPr="00554020" w14:paraId="33F55A2E" w14:textId="77777777" w:rsidTr="00554020">
        <w:trPr>
          <w:jc w:val="center"/>
        </w:trPr>
        <w:tc>
          <w:tcPr>
            <w:tcW w:w="0" w:type="auto"/>
            <w:noWrap/>
            <w:hideMark/>
          </w:tcPr>
          <w:p w14:paraId="000634F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Apress</w:t>
            </w:r>
          </w:p>
        </w:tc>
        <w:tc>
          <w:tcPr>
            <w:tcW w:w="0" w:type="auto"/>
            <w:noWrap/>
            <w:hideMark/>
          </w:tcPr>
          <w:p w14:paraId="092A39B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127</w:t>
            </w:r>
          </w:p>
        </w:tc>
      </w:tr>
      <w:tr w:rsidR="00554020" w:rsidRPr="00554020" w14:paraId="0BE8FF83" w14:textId="77777777" w:rsidTr="00554020">
        <w:trPr>
          <w:jc w:val="center"/>
        </w:trPr>
        <w:tc>
          <w:tcPr>
            <w:tcW w:w="0" w:type="auto"/>
            <w:noWrap/>
            <w:hideMark/>
          </w:tcPr>
          <w:p w14:paraId="66917463"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Emerald</w:t>
            </w:r>
          </w:p>
        </w:tc>
        <w:tc>
          <w:tcPr>
            <w:tcW w:w="0" w:type="auto"/>
            <w:noWrap/>
            <w:hideMark/>
          </w:tcPr>
          <w:p w14:paraId="752AF43F"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10</w:t>
            </w:r>
          </w:p>
        </w:tc>
      </w:tr>
      <w:tr w:rsidR="00554020" w:rsidRPr="00554020" w14:paraId="5895CC8B" w14:textId="77777777" w:rsidTr="00554020">
        <w:trPr>
          <w:jc w:val="center"/>
        </w:trPr>
        <w:tc>
          <w:tcPr>
            <w:tcW w:w="0" w:type="auto"/>
            <w:noWrap/>
            <w:hideMark/>
          </w:tcPr>
          <w:p w14:paraId="049F0A5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Routledge</w:t>
            </w:r>
          </w:p>
        </w:tc>
        <w:tc>
          <w:tcPr>
            <w:tcW w:w="0" w:type="auto"/>
            <w:noWrap/>
            <w:hideMark/>
          </w:tcPr>
          <w:p w14:paraId="645CD64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44</w:t>
            </w:r>
          </w:p>
        </w:tc>
      </w:tr>
      <w:tr w:rsidR="00554020" w:rsidRPr="00554020" w14:paraId="50B9DDEA" w14:textId="77777777" w:rsidTr="00554020">
        <w:trPr>
          <w:jc w:val="center"/>
        </w:trPr>
        <w:tc>
          <w:tcPr>
            <w:tcW w:w="0" w:type="auto"/>
            <w:noWrap/>
            <w:hideMark/>
          </w:tcPr>
          <w:p w14:paraId="05D4CD69"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IGI Global</w:t>
            </w:r>
          </w:p>
        </w:tc>
        <w:tc>
          <w:tcPr>
            <w:tcW w:w="0" w:type="auto"/>
            <w:noWrap/>
            <w:hideMark/>
          </w:tcPr>
          <w:p w14:paraId="4FD8F19C"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95</w:t>
            </w:r>
          </w:p>
        </w:tc>
      </w:tr>
      <w:tr w:rsidR="00554020" w:rsidRPr="00554020" w14:paraId="7CC725C8" w14:textId="77777777" w:rsidTr="00554020">
        <w:trPr>
          <w:jc w:val="center"/>
        </w:trPr>
        <w:tc>
          <w:tcPr>
            <w:tcW w:w="0" w:type="auto"/>
            <w:tcBorders>
              <w:bottom w:val="single" w:sz="4" w:space="0" w:color="auto"/>
            </w:tcBorders>
            <w:noWrap/>
            <w:hideMark/>
          </w:tcPr>
          <w:p w14:paraId="05833799"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MDPI</w:t>
            </w:r>
          </w:p>
        </w:tc>
        <w:tc>
          <w:tcPr>
            <w:tcW w:w="0" w:type="auto"/>
            <w:tcBorders>
              <w:bottom w:val="single" w:sz="4" w:space="0" w:color="auto"/>
            </w:tcBorders>
            <w:noWrap/>
            <w:hideMark/>
          </w:tcPr>
          <w:p w14:paraId="15F8970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11</w:t>
            </w:r>
          </w:p>
        </w:tc>
      </w:tr>
    </w:tbl>
    <w:p w14:paraId="37E07930" w14:textId="35E1B8DD" w:rsidR="00554020" w:rsidRPr="00290EBF" w:rsidRDefault="00554020" w:rsidP="00554020">
      <w:pPr>
        <w:pStyle w:val="Body"/>
        <w:tabs>
          <w:tab w:val="left" w:pos="2195"/>
        </w:tabs>
        <w:rPr>
          <w:rFonts w:ascii="Arial" w:hAnsi="Arial" w:cs="Arial"/>
        </w:rPr>
      </w:pPr>
      <w:r w:rsidRPr="00290EBF">
        <w:rPr>
          <w:rFonts w:ascii="Arial" w:hAnsi="Arial" w:cs="Arial"/>
        </w:rPr>
        <w:br/>
        <w:t>Data extraction utilized a thoughtful analysis of individual papers to identify the relevancy of the research objective. The study considered the research subject as the key criteria and extracted the studies based on relevancy with abstract, title, authors, and research technique. Key findings and methodological details were also collected.</w:t>
      </w:r>
    </w:p>
    <w:p w14:paraId="7337F8DA" w14:textId="2D2BF360" w:rsidR="00554020" w:rsidRPr="00290EBF" w:rsidRDefault="00554020" w:rsidP="00554020">
      <w:pPr>
        <w:pStyle w:val="Body"/>
        <w:tabs>
          <w:tab w:val="left" w:pos="2195"/>
        </w:tabs>
        <w:rPr>
          <w:rFonts w:ascii="Arial" w:hAnsi="Arial" w:cs="Arial"/>
        </w:rPr>
      </w:pPr>
      <w:r w:rsidRPr="00290EBF">
        <w:rPr>
          <w:rFonts w:ascii="Arial" w:hAnsi="Arial" w:cs="Arial"/>
        </w:rPr>
        <w:t xml:space="preserve">Table 2 defines the inclusion and exclusion criteria utilized during the study for research and filtering out the selected papers. This study explicitly selected the articles focused on the supply chain domain with the intervention of the </w:t>
      </w:r>
      <w:proofErr w:type="spellStart"/>
      <w:r w:rsidRPr="00290EBF">
        <w:rPr>
          <w:rFonts w:ascii="Arial" w:hAnsi="Arial" w:cs="Arial"/>
        </w:rPr>
        <w:t>GenAI</w:t>
      </w:r>
      <w:proofErr w:type="spellEnd"/>
      <w:r w:rsidRPr="00290EBF">
        <w:rPr>
          <w:rFonts w:ascii="Arial" w:hAnsi="Arial" w:cs="Arial"/>
        </w:rPr>
        <w:t xml:space="preserve"> application. The review study addresses </w:t>
      </w:r>
      <w:proofErr w:type="spellStart"/>
      <w:r w:rsidRPr="00290EBF">
        <w:rPr>
          <w:rFonts w:ascii="Arial" w:hAnsi="Arial" w:cs="Arial"/>
        </w:rPr>
        <w:t>GenAI</w:t>
      </w:r>
      <w:proofErr w:type="spellEnd"/>
      <w:r w:rsidRPr="00290EBF">
        <w:rPr>
          <w:rFonts w:ascii="Arial" w:hAnsi="Arial" w:cs="Arial"/>
        </w:rPr>
        <w:t xml:space="preserve"> advancements and its impact on supply chain processes. The review excluded theoretical discussions, opinion pieces, editorials, or non-peer-reviewed sources to reduce subjectivity and potential bias. Table 3 provides the distribution of various studies identified during the literature search.</w:t>
      </w:r>
    </w:p>
    <w:p w14:paraId="0F04A9AF" w14:textId="31DC004F" w:rsidR="00554020" w:rsidRPr="00554020" w:rsidRDefault="00554020" w:rsidP="00554020">
      <w:pPr>
        <w:pStyle w:val="Body"/>
        <w:tabs>
          <w:tab w:val="left" w:pos="2195"/>
        </w:tabs>
        <w:rPr>
          <w:rFonts w:ascii="Arial" w:hAnsi="Arial" w:cs="Arial"/>
          <w:i/>
        </w:rPr>
      </w:pPr>
      <w:r w:rsidRPr="00554020">
        <w:rPr>
          <w:rFonts w:ascii="Arial" w:hAnsi="Arial" w:cs="Arial"/>
          <w:b/>
          <w:bCs/>
          <w:iCs/>
        </w:rPr>
        <w:t xml:space="preserve">Table </w:t>
      </w:r>
      <w:r w:rsidRPr="00554020">
        <w:rPr>
          <w:rFonts w:ascii="Arial" w:hAnsi="Arial" w:cs="Arial"/>
          <w:b/>
          <w:bCs/>
          <w:iCs/>
        </w:rPr>
        <w:fldChar w:fldCharType="begin"/>
      </w:r>
      <w:r w:rsidRPr="00554020">
        <w:rPr>
          <w:rFonts w:ascii="Arial" w:hAnsi="Arial" w:cs="Arial"/>
          <w:b/>
          <w:bCs/>
          <w:iCs/>
        </w:rPr>
        <w:instrText xml:space="preserve"> SEQ Table \* ARABIC </w:instrText>
      </w:r>
      <w:r w:rsidRPr="00554020">
        <w:rPr>
          <w:rFonts w:ascii="Arial" w:hAnsi="Arial" w:cs="Arial"/>
          <w:b/>
          <w:bCs/>
          <w:iCs/>
        </w:rPr>
        <w:fldChar w:fldCharType="separate"/>
      </w:r>
      <w:r w:rsidRPr="00554020">
        <w:rPr>
          <w:rFonts w:ascii="Arial" w:hAnsi="Arial" w:cs="Arial"/>
          <w:b/>
          <w:bCs/>
          <w:iCs/>
        </w:rPr>
        <w:t>2</w:t>
      </w:r>
      <w:r w:rsidRPr="00554020">
        <w:rPr>
          <w:rFonts w:ascii="Arial" w:hAnsi="Arial" w:cs="Arial"/>
        </w:rPr>
        <w:fldChar w:fldCharType="end"/>
      </w:r>
      <w:r w:rsidRPr="00290EBF">
        <w:rPr>
          <w:rFonts w:ascii="Arial" w:hAnsi="Arial" w:cs="Arial"/>
        </w:rPr>
        <w:t>.</w:t>
      </w:r>
      <w:r w:rsidRPr="00554020">
        <w:rPr>
          <w:rFonts w:ascii="Arial" w:hAnsi="Arial" w:cs="Arial"/>
          <w:b/>
          <w:bCs/>
          <w:iCs/>
        </w:rPr>
        <w:t xml:space="preserve"> Inclusion and Exclusion Criteria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554020" w:rsidRPr="00554020" w14:paraId="7E9773BF" w14:textId="77777777" w:rsidTr="00343C30">
        <w:trPr>
          <w:jc w:val="center"/>
        </w:trPr>
        <w:tc>
          <w:tcPr>
            <w:tcW w:w="4675" w:type="dxa"/>
            <w:tcBorders>
              <w:top w:val="single" w:sz="4" w:space="0" w:color="auto"/>
              <w:bottom w:val="single" w:sz="4" w:space="0" w:color="auto"/>
            </w:tcBorders>
          </w:tcPr>
          <w:p w14:paraId="40EE6994" w14:textId="77777777" w:rsidR="00554020" w:rsidRPr="00554020" w:rsidRDefault="00554020" w:rsidP="00554020">
            <w:pPr>
              <w:pStyle w:val="Body"/>
              <w:tabs>
                <w:tab w:val="left" w:pos="2195"/>
              </w:tabs>
              <w:rPr>
                <w:rFonts w:ascii="Arial" w:eastAsia="Times New Roman" w:hAnsi="Arial" w:cs="Arial"/>
                <w:b/>
                <w:bCs/>
                <w:sz w:val="20"/>
                <w:szCs w:val="20"/>
                <w:lang w:val="pt-BR"/>
              </w:rPr>
            </w:pPr>
            <w:r w:rsidRPr="00554020">
              <w:rPr>
                <w:rFonts w:ascii="Arial" w:eastAsia="Times New Roman" w:hAnsi="Arial" w:cs="Arial"/>
                <w:b/>
                <w:bCs/>
                <w:sz w:val="20"/>
                <w:szCs w:val="20"/>
                <w:lang w:val="pt-BR"/>
              </w:rPr>
              <w:t>Inclusion Criteria</w:t>
            </w:r>
          </w:p>
        </w:tc>
        <w:tc>
          <w:tcPr>
            <w:tcW w:w="4675" w:type="dxa"/>
            <w:tcBorders>
              <w:top w:val="single" w:sz="4" w:space="0" w:color="auto"/>
              <w:bottom w:val="single" w:sz="4" w:space="0" w:color="auto"/>
            </w:tcBorders>
          </w:tcPr>
          <w:p w14:paraId="155525CA" w14:textId="77777777" w:rsidR="00554020" w:rsidRPr="00554020" w:rsidRDefault="00554020" w:rsidP="00554020">
            <w:pPr>
              <w:pStyle w:val="Body"/>
              <w:tabs>
                <w:tab w:val="left" w:pos="2195"/>
              </w:tabs>
              <w:rPr>
                <w:rFonts w:ascii="Arial" w:eastAsia="Times New Roman" w:hAnsi="Arial" w:cs="Arial"/>
                <w:b/>
                <w:bCs/>
                <w:sz w:val="20"/>
                <w:szCs w:val="20"/>
                <w:lang w:val="pt-BR"/>
              </w:rPr>
            </w:pPr>
            <w:r w:rsidRPr="00554020">
              <w:rPr>
                <w:rFonts w:ascii="Arial" w:eastAsia="Times New Roman" w:hAnsi="Arial" w:cs="Arial"/>
                <w:b/>
                <w:bCs/>
                <w:sz w:val="20"/>
                <w:szCs w:val="20"/>
                <w:lang w:val="pt-BR"/>
              </w:rPr>
              <w:t>Exclusion Criteria</w:t>
            </w:r>
          </w:p>
        </w:tc>
      </w:tr>
      <w:tr w:rsidR="00554020" w:rsidRPr="00554020" w14:paraId="5D894767" w14:textId="77777777" w:rsidTr="00343C30">
        <w:trPr>
          <w:jc w:val="center"/>
        </w:trPr>
        <w:tc>
          <w:tcPr>
            <w:tcW w:w="4675" w:type="dxa"/>
            <w:tcBorders>
              <w:top w:val="single" w:sz="4" w:space="0" w:color="auto"/>
            </w:tcBorders>
          </w:tcPr>
          <w:p w14:paraId="13405D87"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published after 2023 till 2024</w:t>
            </w:r>
          </w:p>
        </w:tc>
        <w:tc>
          <w:tcPr>
            <w:tcW w:w="4675" w:type="dxa"/>
            <w:tcBorders>
              <w:top w:val="single" w:sz="4" w:space="0" w:color="auto"/>
            </w:tcBorders>
          </w:tcPr>
          <w:p w14:paraId="2750B054"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 xml:space="preserve">Papers published prior to 2023 due to the fast-changing landscape of GenAI solutions. </w:t>
            </w:r>
          </w:p>
        </w:tc>
      </w:tr>
      <w:tr w:rsidR="00554020" w:rsidRPr="00554020" w14:paraId="61DFE1DB" w14:textId="77777777" w:rsidTr="00343C30">
        <w:trPr>
          <w:jc w:val="center"/>
        </w:trPr>
        <w:tc>
          <w:tcPr>
            <w:tcW w:w="4675" w:type="dxa"/>
          </w:tcPr>
          <w:p w14:paraId="76851FCB"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Cited papers.</w:t>
            </w:r>
          </w:p>
        </w:tc>
        <w:tc>
          <w:tcPr>
            <w:tcW w:w="4675" w:type="dxa"/>
          </w:tcPr>
          <w:p w14:paraId="6C21A5BB"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without citations.</w:t>
            </w:r>
          </w:p>
        </w:tc>
      </w:tr>
      <w:tr w:rsidR="00554020" w:rsidRPr="00554020" w14:paraId="5416D796" w14:textId="77777777" w:rsidTr="00343C30">
        <w:trPr>
          <w:jc w:val="center"/>
        </w:trPr>
        <w:tc>
          <w:tcPr>
            <w:tcW w:w="4675" w:type="dxa"/>
          </w:tcPr>
          <w:p w14:paraId="64E87030"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published in peer-reviewed journals and conferences.</w:t>
            </w:r>
          </w:p>
        </w:tc>
        <w:tc>
          <w:tcPr>
            <w:tcW w:w="4675" w:type="dxa"/>
          </w:tcPr>
          <w:p w14:paraId="4424D547"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 written in languages other than English.</w:t>
            </w:r>
          </w:p>
        </w:tc>
      </w:tr>
      <w:tr w:rsidR="00554020" w:rsidRPr="00554020" w14:paraId="3A0EB1B4" w14:textId="77777777" w:rsidTr="00343C30">
        <w:trPr>
          <w:jc w:val="center"/>
        </w:trPr>
        <w:tc>
          <w:tcPr>
            <w:tcW w:w="4675" w:type="dxa"/>
            <w:tcBorders>
              <w:bottom w:val="single" w:sz="4" w:space="0" w:color="auto"/>
            </w:tcBorders>
          </w:tcPr>
          <w:p w14:paraId="0B598AAF"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focused on GenAI applications in SCM</w:t>
            </w:r>
          </w:p>
        </w:tc>
        <w:tc>
          <w:tcPr>
            <w:tcW w:w="4675" w:type="dxa"/>
            <w:tcBorders>
              <w:bottom w:val="single" w:sz="4" w:space="0" w:color="auto"/>
            </w:tcBorders>
          </w:tcPr>
          <w:p w14:paraId="052A125A"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not directly related to the SCM</w:t>
            </w:r>
          </w:p>
        </w:tc>
      </w:tr>
    </w:tbl>
    <w:p w14:paraId="28A78F47" w14:textId="77777777" w:rsidR="00554020" w:rsidRPr="00290EBF" w:rsidRDefault="00554020" w:rsidP="00845D25">
      <w:pPr>
        <w:pStyle w:val="Body"/>
        <w:tabs>
          <w:tab w:val="left" w:pos="2195"/>
        </w:tabs>
        <w:spacing w:after="0"/>
        <w:rPr>
          <w:rFonts w:ascii="Arial" w:hAnsi="Arial" w:cs="Arial"/>
        </w:rPr>
      </w:pPr>
    </w:p>
    <w:p w14:paraId="16846DD3" w14:textId="2DE1C110" w:rsidR="00845D25" w:rsidRPr="00290EBF" w:rsidRDefault="00845D25" w:rsidP="00845D25">
      <w:pPr>
        <w:spacing w:line="480" w:lineRule="auto"/>
        <w:rPr>
          <w:rFonts w:ascii="Arial" w:hAnsi="Arial" w:cs="Arial"/>
          <w:i/>
        </w:rPr>
      </w:pPr>
      <w:r w:rsidRPr="00290EBF">
        <w:rPr>
          <w:rFonts w:ascii="Arial" w:hAnsi="Arial" w:cs="Arial"/>
          <w:b/>
          <w:bCs/>
          <w:iCs/>
        </w:rPr>
        <w:t xml:space="preserve">Table </w:t>
      </w:r>
      <w:r w:rsidRPr="00290EBF">
        <w:rPr>
          <w:rFonts w:ascii="Arial" w:hAnsi="Arial" w:cs="Arial"/>
          <w:b/>
          <w:bCs/>
          <w:iCs/>
        </w:rPr>
        <w:fldChar w:fldCharType="begin"/>
      </w:r>
      <w:r w:rsidRPr="00290EBF">
        <w:rPr>
          <w:rFonts w:ascii="Arial" w:hAnsi="Arial" w:cs="Arial"/>
          <w:b/>
          <w:bCs/>
          <w:iCs/>
        </w:rPr>
        <w:instrText xml:space="preserve"> SEQ Table \* ARABIC </w:instrText>
      </w:r>
      <w:r w:rsidRPr="00290EBF">
        <w:rPr>
          <w:rFonts w:ascii="Arial" w:hAnsi="Arial" w:cs="Arial"/>
          <w:b/>
          <w:bCs/>
          <w:iCs/>
        </w:rPr>
        <w:fldChar w:fldCharType="separate"/>
      </w:r>
      <w:r w:rsidRPr="00290EBF">
        <w:rPr>
          <w:rFonts w:ascii="Arial" w:hAnsi="Arial" w:cs="Arial"/>
          <w:b/>
          <w:bCs/>
          <w:iCs/>
        </w:rPr>
        <w:t>3</w:t>
      </w:r>
      <w:r w:rsidRPr="00290EBF">
        <w:rPr>
          <w:rFonts w:ascii="Arial" w:hAnsi="Arial" w:cs="Arial"/>
          <w:b/>
          <w:bCs/>
          <w:iCs/>
        </w:rPr>
        <w:fldChar w:fldCharType="end"/>
      </w:r>
      <w:r w:rsidRPr="00290EBF">
        <w:rPr>
          <w:rFonts w:ascii="Arial" w:hAnsi="Arial" w:cs="Arial"/>
          <w:b/>
          <w:bCs/>
          <w:iCs/>
        </w:rPr>
        <w:t>. Distribution of different studies identified in the literature search</w:t>
      </w:r>
    </w:p>
    <w:tbl>
      <w:tblPr>
        <w:tblW w:w="5220" w:type="dxa"/>
        <w:jc w:val="center"/>
        <w:tblLook w:val="04A0" w:firstRow="1" w:lastRow="0" w:firstColumn="1" w:lastColumn="0" w:noHBand="0" w:noVBand="1"/>
      </w:tblPr>
      <w:tblGrid>
        <w:gridCol w:w="3568"/>
        <w:gridCol w:w="1652"/>
      </w:tblGrid>
      <w:tr w:rsidR="00845D25" w:rsidRPr="00290EBF" w14:paraId="78A2B570" w14:textId="77777777" w:rsidTr="00343C30">
        <w:trPr>
          <w:trHeight w:val="300"/>
          <w:jc w:val="center"/>
        </w:trPr>
        <w:tc>
          <w:tcPr>
            <w:tcW w:w="3568" w:type="dxa"/>
            <w:tcBorders>
              <w:top w:val="single" w:sz="4" w:space="0" w:color="auto"/>
              <w:bottom w:val="single" w:sz="4" w:space="0" w:color="auto"/>
            </w:tcBorders>
            <w:noWrap/>
            <w:vAlign w:val="center"/>
            <w:hideMark/>
          </w:tcPr>
          <w:p w14:paraId="7175F71D" w14:textId="77777777" w:rsidR="00845D25" w:rsidRPr="00290EBF" w:rsidRDefault="00845D25" w:rsidP="00343C30">
            <w:pPr>
              <w:jc w:val="center"/>
              <w:rPr>
                <w:rFonts w:ascii="Arial" w:eastAsia="Arial" w:hAnsi="Arial" w:cs="Arial"/>
                <w:b/>
                <w:bCs/>
              </w:rPr>
            </w:pPr>
            <w:r w:rsidRPr="00290EBF">
              <w:rPr>
                <w:rFonts w:ascii="Arial" w:eastAsia="Arial" w:hAnsi="Arial" w:cs="Arial"/>
                <w:b/>
                <w:bCs/>
              </w:rPr>
              <w:t>Type of Publication</w:t>
            </w:r>
          </w:p>
        </w:tc>
        <w:tc>
          <w:tcPr>
            <w:tcW w:w="1652" w:type="dxa"/>
            <w:tcBorders>
              <w:top w:val="single" w:sz="4" w:space="0" w:color="auto"/>
              <w:bottom w:val="single" w:sz="4" w:space="0" w:color="auto"/>
            </w:tcBorders>
            <w:noWrap/>
            <w:vAlign w:val="center"/>
            <w:hideMark/>
          </w:tcPr>
          <w:p w14:paraId="55960DF8" w14:textId="77777777" w:rsidR="00845D25" w:rsidRPr="00290EBF" w:rsidRDefault="00845D25" w:rsidP="00343C30">
            <w:pPr>
              <w:jc w:val="center"/>
              <w:rPr>
                <w:rFonts w:ascii="Arial" w:eastAsia="Arial" w:hAnsi="Arial" w:cs="Arial"/>
                <w:b/>
                <w:bCs/>
              </w:rPr>
            </w:pPr>
            <w:r w:rsidRPr="00290EBF">
              <w:rPr>
                <w:rFonts w:ascii="Arial" w:eastAsia="Arial" w:hAnsi="Arial" w:cs="Arial"/>
                <w:b/>
                <w:bCs/>
              </w:rPr>
              <w:t>Count</w:t>
            </w:r>
          </w:p>
        </w:tc>
      </w:tr>
      <w:tr w:rsidR="00845D25" w:rsidRPr="00290EBF" w14:paraId="78290FBB" w14:textId="77777777" w:rsidTr="00343C30">
        <w:trPr>
          <w:trHeight w:val="300"/>
          <w:jc w:val="center"/>
        </w:trPr>
        <w:tc>
          <w:tcPr>
            <w:tcW w:w="3568" w:type="dxa"/>
            <w:tcBorders>
              <w:top w:val="single" w:sz="4" w:space="0" w:color="auto"/>
            </w:tcBorders>
            <w:noWrap/>
            <w:vAlign w:val="bottom"/>
            <w:hideMark/>
          </w:tcPr>
          <w:p w14:paraId="15177B6E" w14:textId="77777777" w:rsidR="00845D25" w:rsidRPr="00290EBF" w:rsidRDefault="00845D25" w:rsidP="00343C30">
            <w:pPr>
              <w:rPr>
                <w:rFonts w:ascii="Arial" w:eastAsia="Arial" w:hAnsi="Arial" w:cs="Arial"/>
              </w:rPr>
            </w:pPr>
            <w:r w:rsidRPr="00290EBF">
              <w:rPr>
                <w:rFonts w:ascii="Arial" w:eastAsia="Arial" w:hAnsi="Arial" w:cs="Arial"/>
              </w:rPr>
              <w:t>Book Section</w:t>
            </w:r>
          </w:p>
        </w:tc>
        <w:tc>
          <w:tcPr>
            <w:tcW w:w="1652" w:type="dxa"/>
            <w:tcBorders>
              <w:top w:val="single" w:sz="4" w:space="0" w:color="auto"/>
            </w:tcBorders>
            <w:noWrap/>
            <w:vAlign w:val="bottom"/>
            <w:hideMark/>
          </w:tcPr>
          <w:p w14:paraId="40E6FA9C" w14:textId="77777777" w:rsidR="00845D25" w:rsidRPr="00290EBF" w:rsidRDefault="00845D25" w:rsidP="00343C30">
            <w:pPr>
              <w:jc w:val="center"/>
              <w:rPr>
                <w:rFonts w:ascii="Arial" w:eastAsia="Arial" w:hAnsi="Arial" w:cs="Arial"/>
              </w:rPr>
            </w:pPr>
            <w:r w:rsidRPr="00290EBF">
              <w:rPr>
                <w:rFonts w:ascii="Arial" w:eastAsia="Arial" w:hAnsi="Arial" w:cs="Arial"/>
              </w:rPr>
              <w:t>513</w:t>
            </w:r>
          </w:p>
        </w:tc>
      </w:tr>
      <w:tr w:rsidR="00845D25" w:rsidRPr="00290EBF" w14:paraId="428E2AC0" w14:textId="77777777" w:rsidTr="00343C30">
        <w:trPr>
          <w:trHeight w:val="300"/>
          <w:jc w:val="center"/>
        </w:trPr>
        <w:tc>
          <w:tcPr>
            <w:tcW w:w="3568" w:type="dxa"/>
            <w:noWrap/>
            <w:vAlign w:val="bottom"/>
            <w:hideMark/>
          </w:tcPr>
          <w:p w14:paraId="5A4D69B3" w14:textId="77777777" w:rsidR="00845D25" w:rsidRPr="00290EBF" w:rsidRDefault="00845D25" w:rsidP="00343C30">
            <w:pPr>
              <w:rPr>
                <w:rFonts w:ascii="Arial" w:eastAsia="Arial" w:hAnsi="Arial" w:cs="Arial"/>
              </w:rPr>
            </w:pPr>
            <w:r w:rsidRPr="00290EBF">
              <w:rPr>
                <w:rFonts w:ascii="Arial" w:eastAsia="Arial" w:hAnsi="Arial" w:cs="Arial"/>
              </w:rPr>
              <w:t>Journal Article</w:t>
            </w:r>
          </w:p>
        </w:tc>
        <w:tc>
          <w:tcPr>
            <w:tcW w:w="1652" w:type="dxa"/>
            <w:noWrap/>
            <w:vAlign w:val="bottom"/>
            <w:hideMark/>
          </w:tcPr>
          <w:p w14:paraId="66DCE01A" w14:textId="77777777" w:rsidR="00845D25" w:rsidRPr="00290EBF" w:rsidRDefault="00845D25" w:rsidP="00343C30">
            <w:pPr>
              <w:jc w:val="center"/>
              <w:rPr>
                <w:rFonts w:ascii="Arial" w:eastAsia="Arial" w:hAnsi="Arial" w:cs="Arial"/>
              </w:rPr>
            </w:pPr>
            <w:r w:rsidRPr="00290EBF">
              <w:rPr>
                <w:rFonts w:ascii="Arial" w:eastAsia="Arial" w:hAnsi="Arial" w:cs="Arial"/>
              </w:rPr>
              <w:t>304</w:t>
            </w:r>
          </w:p>
        </w:tc>
      </w:tr>
      <w:tr w:rsidR="00845D25" w:rsidRPr="00290EBF" w14:paraId="592BCF0C" w14:textId="77777777" w:rsidTr="00343C30">
        <w:trPr>
          <w:trHeight w:val="300"/>
          <w:jc w:val="center"/>
        </w:trPr>
        <w:tc>
          <w:tcPr>
            <w:tcW w:w="3568" w:type="dxa"/>
            <w:noWrap/>
            <w:vAlign w:val="bottom"/>
            <w:hideMark/>
          </w:tcPr>
          <w:p w14:paraId="630AD167" w14:textId="77777777" w:rsidR="00845D25" w:rsidRPr="00290EBF" w:rsidRDefault="00845D25" w:rsidP="00343C30">
            <w:pPr>
              <w:rPr>
                <w:rFonts w:ascii="Arial" w:eastAsia="Arial" w:hAnsi="Arial" w:cs="Arial"/>
              </w:rPr>
            </w:pPr>
            <w:r w:rsidRPr="00290EBF">
              <w:rPr>
                <w:rFonts w:ascii="Arial" w:eastAsia="Arial" w:hAnsi="Arial" w:cs="Arial"/>
              </w:rPr>
              <w:t>dataset</w:t>
            </w:r>
          </w:p>
        </w:tc>
        <w:tc>
          <w:tcPr>
            <w:tcW w:w="1652" w:type="dxa"/>
            <w:noWrap/>
            <w:vAlign w:val="bottom"/>
            <w:hideMark/>
          </w:tcPr>
          <w:p w14:paraId="31104B77" w14:textId="77777777" w:rsidR="00845D25" w:rsidRPr="00290EBF" w:rsidRDefault="00845D25" w:rsidP="00343C30">
            <w:pPr>
              <w:jc w:val="center"/>
              <w:rPr>
                <w:rFonts w:ascii="Arial" w:eastAsia="Arial" w:hAnsi="Arial" w:cs="Arial"/>
              </w:rPr>
            </w:pPr>
            <w:r w:rsidRPr="00290EBF">
              <w:rPr>
                <w:rFonts w:ascii="Arial" w:eastAsia="Arial" w:hAnsi="Arial" w:cs="Arial"/>
              </w:rPr>
              <w:t>8</w:t>
            </w:r>
          </w:p>
        </w:tc>
      </w:tr>
      <w:tr w:rsidR="00845D25" w:rsidRPr="00290EBF" w14:paraId="21733E03" w14:textId="77777777" w:rsidTr="00343C30">
        <w:trPr>
          <w:trHeight w:val="300"/>
          <w:jc w:val="center"/>
        </w:trPr>
        <w:tc>
          <w:tcPr>
            <w:tcW w:w="3568" w:type="dxa"/>
            <w:noWrap/>
            <w:vAlign w:val="bottom"/>
            <w:hideMark/>
          </w:tcPr>
          <w:p w14:paraId="00B2EFC2" w14:textId="77777777" w:rsidR="00845D25" w:rsidRPr="00290EBF" w:rsidRDefault="00845D25" w:rsidP="00343C30">
            <w:pPr>
              <w:rPr>
                <w:rFonts w:ascii="Arial" w:eastAsia="Arial" w:hAnsi="Arial" w:cs="Arial"/>
              </w:rPr>
            </w:pPr>
            <w:r w:rsidRPr="00290EBF">
              <w:rPr>
                <w:rFonts w:ascii="Arial" w:eastAsia="Arial" w:hAnsi="Arial" w:cs="Arial"/>
              </w:rPr>
              <w:t>Conference Proceedings</w:t>
            </w:r>
          </w:p>
        </w:tc>
        <w:tc>
          <w:tcPr>
            <w:tcW w:w="1652" w:type="dxa"/>
            <w:noWrap/>
            <w:vAlign w:val="bottom"/>
            <w:hideMark/>
          </w:tcPr>
          <w:p w14:paraId="6BA48445" w14:textId="77777777" w:rsidR="00845D25" w:rsidRPr="00290EBF" w:rsidRDefault="00845D25" w:rsidP="00343C30">
            <w:pPr>
              <w:jc w:val="center"/>
              <w:rPr>
                <w:rFonts w:ascii="Arial" w:eastAsia="Arial" w:hAnsi="Arial" w:cs="Arial"/>
              </w:rPr>
            </w:pPr>
            <w:r w:rsidRPr="00290EBF">
              <w:rPr>
                <w:rFonts w:ascii="Arial" w:eastAsia="Arial" w:hAnsi="Arial" w:cs="Arial"/>
              </w:rPr>
              <w:t>43</w:t>
            </w:r>
          </w:p>
        </w:tc>
      </w:tr>
      <w:tr w:rsidR="00845D25" w:rsidRPr="00290EBF" w14:paraId="64B2DB38" w14:textId="77777777" w:rsidTr="00343C30">
        <w:trPr>
          <w:trHeight w:val="300"/>
          <w:jc w:val="center"/>
        </w:trPr>
        <w:tc>
          <w:tcPr>
            <w:tcW w:w="3568" w:type="dxa"/>
            <w:noWrap/>
            <w:vAlign w:val="bottom"/>
            <w:hideMark/>
          </w:tcPr>
          <w:p w14:paraId="5D1EAA2B" w14:textId="77777777" w:rsidR="00845D25" w:rsidRPr="00290EBF" w:rsidRDefault="00845D25" w:rsidP="00343C30">
            <w:pPr>
              <w:rPr>
                <w:rFonts w:ascii="Arial" w:eastAsia="Arial" w:hAnsi="Arial" w:cs="Arial"/>
              </w:rPr>
            </w:pPr>
            <w:r w:rsidRPr="00290EBF">
              <w:rPr>
                <w:rFonts w:ascii="Arial" w:eastAsia="Arial" w:hAnsi="Arial" w:cs="Arial"/>
              </w:rPr>
              <w:lastRenderedPageBreak/>
              <w:t>Posted Content</w:t>
            </w:r>
          </w:p>
        </w:tc>
        <w:tc>
          <w:tcPr>
            <w:tcW w:w="1652" w:type="dxa"/>
            <w:noWrap/>
            <w:vAlign w:val="bottom"/>
            <w:hideMark/>
          </w:tcPr>
          <w:p w14:paraId="7C730C7C" w14:textId="77777777" w:rsidR="00845D25" w:rsidRPr="00290EBF" w:rsidRDefault="00845D25" w:rsidP="00343C30">
            <w:pPr>
              <w:jc w:val="center"/>
              <w:rPr>
                <w:rFonts w:ascii="Arial" w:eastAsia="Arial" w:hAnsi="Arial" w:cs="Arial"/>
              </w:rPr>
            </w:pPr>
            <w:r w:rsidRPr="00290EBF">
              <w:rPr>
                <w:rFonts w:ascii="Arial" w:eastAsia="Arial" w:hAnsi="Arial" w:cs="Arial"/>
              </w:rPr>
              <w:t>95</w:t>
            </w:r>
          </w:p>
        </w:tc>
      </w:tr>
      <w:tr w:rsidR="00845D25" w:rsidRPr="00290EBF" w14:paraId="16884021" w14:textId="77777777" w:rsidTr="00343C30">
        <w:trPr>
          <w:trHeight w:val="300"/>
          <w:jc w:val="center"/>
        </w:trPr>
        <w:tc>
          <w:tcPr>
            <w:tcW w:w="3568" w:type="dxa"/>
            <w:tcBorders>
              <w:bottom w:val="single" w:sz="4" w:space="0" w:color="auto"/>
            </w:tcBorders>
            <w:noWrap/>
            <w:vAlign w:val="bottom"/>
            <w:hideMark/>
          </w:tcPr>
          <w:p w14:paraId="3C90DC05" w14:textId="77777777" w:rsidR="00845D25" w:rsidRPr="00290EBF" w:rsidRDefault="00845D25" w:rsidP="00343C30">
            <w:pPr>
              <w:rPr>
                <w:rFonts w:ascii="Arial" w:eastAsia="Arial" w:hAnsi="Arial" w:cs="Arial"/>
              </w:rPr>
            </w:pPr>
            <w:r w:rsidRPr="00290EBF">
              <w:rPr>
                <w:rFonts w:ascii="Arial" w:eastAsia="Arial" w:hAnsi="Arial" w:cs="Arial"/>
              </w:rPr>
              <w:t>report</w:t>
            </w:r>
          </w:p>
        </w:tc>
        <w:tc>
          <w:tcPr>
            <w:tcW w:w="1652" w:type="dxa"/>
            <w:tcBorders>
              <w:bottom w:val="single" w:sz="4" w:space="0" w:color="auto"/>
            </w:tcBorders>
            <w:noWrap/>
            <w:vAlign w:val="bottom"/>
            <w:hideMark/>
          </w:tcPr>
          <w:p w14:paraId="1C557C24" w14:textId="77777777" w:rsidR="00845D25" w:rsidRPr="00290EBF" w:rsidRDefault="00845D25" w:rsidP="00343C30">
            <w:pPr>
              <w:jc w:val="center"/>
              <w:rPr>
                <w:rFonts w:ascii="Arial" w:eastAsia="Arial" w:hAnsi="Arial" w:cs="Arial"/>
              </w:rPr>
            </w:pPr>
            <w:r w:rsidRPr="00290EBF">
              <w:rPr>
                <w:rFonts w:ascii="Arial" w:eastAsia="Arial" w:hAnsi="Arial" w:cs="Arial"/>
              </w:rPr>
              <w:t>13</w:t>
            </w:r>
          </w:p>
        </w:tc>
      </w:tr>
    </w:tbl>
    <w:p w14:paraId="50124418" w14:textId="77777777" w:rsidR="00845D25" w:rsidRPr="00290EBF" w:rsidRDefault="00845D25" w:rsidP="00845D25">
      <w:pPr>
        <w:pStyle w:val="Body"/>
        <w:tabs>
          <w:tab w:val="left" w:pos="2195"/>
        </w:tabs>
        <w:spacing w:after="0"/>
        <w:rPr>
          <w:rFonts w:ascii="Arial" w:hAnsi="Arial" w:cs="Arial"/>
        </w:rPr>
      </w:pPr>
    </w:p>
    <w:p w14:paraId="5CAEB07D" w14:textId="77777777" w:rsidR="00902823" w:rsidRPr="00290EBF" w:rsidRDefault="00000F8F" w:rsidP="008D7053">
      <w:pPr>
        <w:pStyle w:val="Head1"/>
        <w:spacing w:after="0" w:line="480" w:lineRule="auto"/>
        <w:jc w:val="both"/>
        <w:rPr>
          <w:rFonts w:ascii="Arial" w:hAnsi="Arial" w:cs="Arial"/>
        </w:rPr>
      </w:pPr>
      <w:r w:rsidRPr="00290EBF">
        <w:rPr>
          <w:rFonts w:ascii="Arial" w:hAnsi="Arial" w:cs="Arial"/>
        </w:rPr>
        <w:t>3</w:t>
      </w:r>
      <w:r w:rsidR="00902823" w:rsidRPr="00290EBF">
        <w:rPr>
          <w:rFonts w:ascii="Arial" w:hAnsi="Arial" w:cs="Arial"/>
        </w:rPr>
        <w:t xml:space="preserve">. </w:t>
      </w:r>
      <w:r w:rsidRPr="00290EBF">
        <w:rPr>
          <w:rFonts w:ascii="Arial" w:hAnsi="Arial" w:cs="Arial"/>
        </w:rPr>
        <w:t>results and discussion</w:t>
      </w:r>
    </w:p>
    <w:p w14:paraId="1977E4D9" w14:textId="4625AA4A" w:rsidR="00845D25" w:rsidRPr="00290EBF" w:rsidRDefault="00845D25" w:rsidP="008D7053">
      <w:pPr>
        <w:pStyle w:val="Body"/>
        <w:rPr>
          <w:rFonts w:ascii="Arial" w:hAnsi="Arial" w:cs="Arial"/>
        </w:rPr>
      </w:pPr>
      <w:r w:rsidRPr="00290EBF">
        <w:rPr>
          <w:rFonts w:ascii="Arial" w:hAnsi="Arial" w:cs="Arial"/>
        </w:rPr>
        <w:t xml:space="preserve">The review identified several areas of interest for </w:t>
      </w:r>
      <w:proofErr w:type="spellStart"/>
      <w:r w:rsidRPr="00290EBF">
        <w:rPr>
          <w:rFonts w:ascii="Arial" w:hAnsi="Arial" w:cs="Arial"/>
        </w:rPr>
        <w:t>GenAI</w:t>
      </w:r>
      <w:proofErr w:type="spellEnd"/>
      <w:r w:rsidRPr="00290EBF">
        <w:rPr>
          <w:rFonts w:ascii="Arial" w:hAnsi="Arial" w:cs="Arial"/>
        </w:rPr>
        <w:t xml:space="preserve"> use cases. However, to avoid a prolonged review, this paper focused on the fundamental areas of SCM where </w:t>
      </w:r>
      <w:proofErr w:type="spellStart"/>
      <w:r w:rsidRPr="00290EBF">
        <w:rPr>
          <w:rFonts w:ascii="Arial" w:hAnsi="Arial" w:cs="Arial"/>
        </w:rPr>
        <w:t>GenAI</w:t>
      </w:r>
      <w:proofErr w:type="spellEnd"/>
      <w:r w:rsidRPr="00290EBF">
        <w:rPr>
          <w:rFonts w:ascii="Arial" w:hAnsi="Arial" w:cs="Arial"/>
        </w:rPr>
        <w:t xml:space="preserve"> adoption can have a higher impact and value realization. The results and discussion section focused on listing the findings and discussions objectively. The section is divided into three areas and offers insights on potential opportunities, benefits, and challenges associated with </w:t>
      </w:r>
      <w:proofErr w:type="spellStart"/>
      <w:r w:rsidRPr="00290EBF">
        <w:rPr>
          <w:rFonts w:ascii="Arial" w:hAnsi="Arial" w:cs="Arial"/>
        </w:rPr>
        <w:t>GenAI</w:t>
      </w:r>
      <w:proofErr w:type="spellEnd"/>
      <w:r w:rsidRPr="00290EBF">
        <w:rPr>
          <w:rFonts w:ascii="Arial" w:hAnsi="Arial" w:cs="Arial"/>
        </w:rPr>
        <w:t xml:space="preserve"> adoption.</w:t>
      </w:r>
    </w:p>
    <w:p w14:paraId="472C9E03" w14:textId="77777777" w:rsidR="00845D25" w:rsidRPr="00290EBF" w:rsidRDefault="00845D25" w:rsidP="008D7053">
      <w:pPr>
        <w:spacing w:line="480" w:lineRule="auto"/>
        <w:rPr>
          <w:rFonts w:ascii="Arial" w:eastAsia="Arial" w:hAnsi="Arial" w:cs="Arial"/>
          <w:b/>
          <w:bCs/>
        </w:rPr>
      </w:pPr>
      <w:r w:rsidRPr="00290EBF">
        <w:rPr>
          <w:rFonts w:ascii="Arial" w:eastAsia="Arial" w:hAnsi="Arial" w:cs="Arial"/>
          <w:b/>
          <w:bCs/>
        </w:rPr>
        <w:t>3.1 OPPORTUNITIES</w:t>
      </w:r>
    </w:p>
    <w:p w14:paraId="587087DE" w14:textId="77777777" w:rsidR="00845D25" w:rsidRPr="00290EBF" w:rsidRDefault="00845D25" w:rsidP="008D7053">
      <w:pPr>
        <w:spacing w:line="480" w:lineRule="auto"/>
        <w:rPr>
          <w:rFonts w:ascii="Arial" w:eastAsia="Arial" w:hAnsi="Arial" w:cs="Arial"/>
          <w:b/>
          <w:bCs/>
        </w:rPr>
      </w:pPr>
      <w:r w:rsidRPr="00290EBF">
        <w:rPr>
          <w:rFonts w:ascii="Arial" w:eastAsia="Arial" w:hAnsi="Arial" w:cs="Arial"/>
          <w:b/>
          <w:bCs/>
        </w:rPr>
        <w:t>3.1.1 ENHANCING PROCUREMENT PROCESSES</w:t>
      </w:r>
    </w:p>
    <w:p w14:paraId="36B8F50B" w14:textId="37484272" w:rsidR="00845D25" w:rsidRPr="00290EBF" w:rsidRDefault="00845D25" w:rsidP="008D7053">
      <w:pPr>
        <w:pStyle w:val="Body"/>
        <w:rPr>
          <w:rFonts w:ascii="Arial" w:hAnsi="Arial" w:cs="Arial"/>
        </w:rPr>
      </w:pPr>
      <w:r w:rsidRPr="00290EBF">
        <w:rPr>
          <w:rFonts w:ascii="Arial" w:hAnsi="Arial" w:cs="Arial"/>
        </w:rPr>
        <w:t xml:space="preserve">The procurement process within SCM encompasses supplier evaluation, purchasing, sourcing, supplier performance, and the receipt of goods and services. </w:t>
      </w:r>
      <w:proofErr w:type="spellStart"/>
      <w:r w:rsidRPr="00290EBF">
        <w:rPr>
          <w:rFonts w:ascii="Arial" w:hAnsi="Arial" w:cs="Arial"/>
        </w:rPr>
        <w:t>GenAI</w:t>
      </w:r>
      <w:proofErr w:type="spellEnd"/>
      <w:r w:rsidRPr="00290EBF">
        <w:rPr>
          <w:rFonts w:ascii="Arial" w:hAnsi="Arial" w:cs="Arial"/>
        </w:rPr>
        <w:t xml:space="preserve"> can expedite the suppliers’ evaluation process, aligning with the organization’s criteria by applying it to the available datasets. Organizations can assess potential suppliers based on several factors, such as pricing, quality, lead times, and sustainability performance (Shekhar et al., 2024). Additionally, </w:t>
      </w:r>
      <w:proofErr w:type="spellStart"/>
      <w:r w:rsidRPr="00290EBF">
        <w:rPr>
          <w:rFonts w:ascii="Arial" w:hAnsi="Arial" w:cs="Arial"/>
        </w:rPr>
        <w:t>GenAI</w:t>
      </w:r>
      <w:proofErr w:type="spellEnd"/>
      <w:r w:rsidRPr="00290EBF">
        <w:rPr>
          <w:rFonts w:ascii="Arial" w:hAnsi="Arial" w:cs="Arial"/>
        </w:rPr>
        <w:t xml:space="preserve"> enhances procurement processes by analyzing historical data and market trends, thus revealing opportunities for negotiation and optimizing contract terms (Shekhar et al., 2024). Integrating </w:t>
      </w:r>
      <w:proofErr w:type="spellStart"/>
      <w:r w:rsidRPr="00290EBF">
        <w:rPr>
          <w:rFonts w:ascii="Arial" w:hAnsi="Arial" w:cs="Arial"/>
        </w:rPr>
        <w:t>GenAI</w:t>
      </w:r>
      <w:proofErr w:type="spellEnd"/>
      <w:r w:rsidRPr="00290EBF">
        <w:rPr>
          <w:rFonts w:ascii="Arial" w:hAnsi="Arial" w:cs="Arial"/>
        </w:rPr>
        <w:t xml:space="preserve"> into the procurement process can also automate repetitive tasks, including tendering, contract generation, comprehension of contract terms, and purchase orders within sourcing lifecycle management. These automation capabilities reduce manual effort and enable procurement teams to dedicate more time to strategic initiatives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w:t>
      </w: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2024).</w:t>
      </w:r>
    </w:p>
    <w:p w14:paraId="76A9613F" w14:textId="245DB592" w:rsidR="00845D25" w:rsidRPr="00290EBF" w:rsidRDefault="00845D25" w:rsidP="008D7053">
      <w:pPr>
        <w:pStyle w:val="Body"/>
        <w:spacing w:after="0" w:line="480" w:lineRule="auto"/>
        <w:rPr>
          <w:rFonts w:ascii="Arial" w:hAnsi="Arial" w:cs="Arial"/>
          <w:b/>
          <w:bCs/>
        </w:rPr>
      </w:pPr>
      <w:r w:rsidRPr="00290EBF">
        <w:rPr>
          <w:rFonts w:ascii="Arial" w:eastAsia="Arial" w:hAnsi="Arial" w:cs="Arial"/>
          <w:b/>
          <w:bCs/>
        </w:rPr>
        <w:t>3.1.2 DEMAND FORECASTING AND PLANNING</w:t>
      </w:r>
    </w:p>
    <w:p w14:paraId="07646B5E" w14:textId="77777777" w:rsidR="00845D25" w:rsidRPr="00290EBF" w:rsidRDefault="00845D25" w:rsidP="00845D25">
      <w:pPr>
        <w:pStyle w:val="Body"/>
        <w:rPr>
          <w:rFonts w:ascii="Arial" w:hAnsi="Arial" w:cs="Arial"/>
        </w:rPr>
      </w:pPr>
      <w:r w:rsidRPr="00290EBF">
        <w:rPr>
          <w:rFonts w:ascii="Arial" w:hAnsi="Arial" w:cs="Arial"/>
        </w:rPr>
        <w:t xml:space="preserve">Accurate demand forecasting is crucial in supply chain management (SCM). </w:t>
      </w:r>
      <w:proofErr w:type="spellStart"/>
      <w:r w:rsidRPr="00290EBF">
        <w:rPr>
          <w:rFonts w:ascii="Arial" w:hAnsi="Arial" w:cs="Arial"/>
        </w:rPr>
        <w:t>GenAI</w:t>
      </w:r>
      <w:proofErr w:type="spellEnd"/>
      <w:r w:rsidRPr="00290EBF">
        <w:rPr>
          <w:rFonts w:ascii="Arial" w:hAnsi="Arial" w:cs="Arial"/>
        </w:rPr>
        <w:t xml:space="preserve"> models utilize vast datasets to analyze historical sales, market dynamics, and external factors like seasonality and promotions, resulting in precise demand forecasts (Shekhar et al., 2024; Singh, 2023; Wang et al., 2022). The forecasting capability helps organizations predict demand fluctuations, optimize inventory, and minimize stockouts or overstock risks. By incorporating customer preferences and real-time feedback, </w:t>
      </w:r>
      <w:proofErr w:type="spellStart"/>
      <w:r w:rsidRPr="00290EBF">
        <w:rPr>
          <w:rFonts w:ascii="Arial" w:hAnsi="Arial" w:cs="Arial"/>
        </w:rPr>
        <w:t>GenAI</w:t>
      </w:r>
      <w:proofErr w:type="spellEnd"/>
      <w:r w:rsidRPr="00290EBF">
        <w:rPr>
          <w:rFonts w:ascii="Arial" w:hAnsi="Arial" w:cs="Arial"/>
        </w:rPr>
        <w:t xml:space="preserve"> can enhance personalized demand planning, improving customer satisfaction (Shekhar et al., 2024). Technologies like Recurrent Neural Networks (RNNs) further enable detailed product-level forecasting, addressing specific scenarios such as seasonal trends (</w:t>
      </w:r>
      <w:proofErr w:type="spellStart"/>
      <w:r w:rsidRPr="00290EBF">
        <w:rPr>
          <w:rFonts w:ascii="Arial" w:hAnsi="Arial" w:cs="Arial"/>
        </w:rPr>
        <w:t>Khlie</w:t>
      </w:r>
      <w:proofErr w:type="spellEnd"/>
      <w:r w:rsidRPr="00290EBF">
        <w:rPr>
          <w:rFonts w:ascii="Arial" w:hAnsi="Arial" w:cs="Arial"/>
        </w:rPr>
        <w:t xml:space="preserve"> et al., 2024). Authors Jackson et al. (2024) noted a ~30% increase in forecasting accuracy with </w:t>
      </w:r>
      <w:proofErr w:type="spellStart"/>
      <w:r w:rsidRPr="00290EBF">
        <w:rPr>
          <w:rFonts w:ascii="Arial" w:hAnsi="Arial" w:cs="Arial"/>
        </w:rPr>
        <w:t>GenAI</w:t>
      </w:r>
      <w:proofErr w:type="spellEnd"/>
      <w:r w:rsidRPr="00290EBF">
        <w:rPr>
          <w:rFonts w:ascii="Arial" w:hAnsi="Arial" w:cs="Arial"/>
        </w:rPr>
        <w:t xml:space="preserve"> compared to traditional methods. </w:t>
      </w:r>
    </w:p>
    <w:p w14:paraId="1549FF5E" w14:textId="327797D7" w:rsidR="00845D25" w:rsidRPr="00290EBF" w:rsidRDefault="00845D25" w:rsidP="008D7053">
      <w:pPr>
        <w:pStyle w:val="Body"/>
        <w:rPr>
          <w:rFonts w:ascii="Arial" w:hAnsi="Arial" w:cs="Arial"/>
        </w:rPr>
      </w:pPr>
      <w:r w:rsidRPr="00290EBF">
        <w:rPr>
          <w:rFonts w:ascii="Arial" w:hAnsi="Arial" w:cs="Arial"/>
        </w:rPr>
        <w:t>In scenarios, where data availability is sparse, Generative Adversarial Networks (GANs) can generate synthetic data (</w:t>
      </w:r>
      <w:proofErr w:type="spellStart"/>
      <w:r w:rsidRPr="00290EBF">
        <w:rPr>
          <w:rFonts w:ascii="Arial" w:hAnsi="Arial" w:cs="Arial"/>
        </w:rPr>
        <w:t>Khlie</w:t>
      </w:r>
      <w:proofErr w:type="spellEnd"/>
      <w:r w:rsidRPr="00290EBF">
        <w:rPr>
          <w:rFonts w:ascii="Arial" w:hAnsi="Arial" w:cs="Arial"/>
        </w:rPr>
        <w:t xml:space="preserve"> et al., 2024). Data visualization and decision support tools, such as Variational Autoencoders (VAEs), are also vital for effective analysis (</w:t>
      </w:r>
      <w:proofErr w:type="spellStart"/>
      <w:r w:rsidRPr="00290EBF">
        <w:rPr>
          <w:rFonts w:ascii="Arial" w:hAnsi="Arial" w:cs="Arial"/>
        </w:rPr>
        <w:t>Khlie</w:t>
      </w:r>
      <w:proofErr w:type="spellEnd"/>
      <w:r w:rsidRPr="00290EBF">
        <w:rPr>
          <w:rFonts w:ascii="Arial" w:hAnsi="Arial" w:cs="Arial"/>
        </w:rPr>
        <w:t xml:space="preserve"> et al., 2024). Together, these </w:t>
      </w:r>
      <w:proofErr w:type="spellStart"/>
      <w:r w:rsidRPr="00290EBF">
        <w:rPr>
          <w:rFonts w:ascii="Arial" w:hAnsi="Arial" w:cs="Arial"/>
        </w:rPr>
        <w:t>GenAI</w:t>
      </w:r>
      <w:proofErr w:type="spellEnd"/>
      <w:r w:rsidRPr="00290EBF">
        <w:rPr>
          <w:rFonts w:ascii="Arial" w:hAnsi="Arial" w:cs="Arial"/>
        </w:rPr>
        <w:t xml:space="preserve"> advancements boost forecasting accuracy and adaptability, improving inventory optimization and mitigating stocking risks, ultimately enhancing supply chain efficiency and consumer satisfaction (Reddy </w:t>
      </w:r>
      <w:proofErr w:type="spellStart"/>
      <w:r w:rsidRPr="00290EBF">
        <w:rPr>
          <w:rFonts w:ascii="Arial" w:hAnsi="Arial" w:cs="Arial"/>
        </w:rPr>
        <w:t>Gayam</w:t>
      </w:r>
      <w:proofErr w:type="spellEnd"/>
      <w:r w:rsidRPr="00290EBF">
        <w:rPr>
          <w:rFonts w:ascii="Arial" w:hAnsi="Arial" w:cs="Arial"/>
        </w:rPr>
        <w:t xml:space="preserve"> et al., 2021).  </w:t>
      </w:r>
    </w:p>
    <w:p w14:paraId="7E02A883" w14:textId="0A56E607" w:rsidR="00845D25" w:rsidRPr="00290EBF" w:rsidRDefault="007C3049" w:rsidP="008D7053">
      <w:pPr>
        <w:pStyle w:val="Body"/>
        <w:spacing w:after="0" w:line="480" w:lineRule="auto"/>
        <w:rPr>
          <w:rFonts w:ascii="Arial" w:hAnsi="Arial" w:cs="Arial"/>
          <w:b/>
          <w:bCs/>
        </w:rPr>
      </w:pPr>
      <w:r w:rsidRPr="00290EBF">
        <w:rPr>
          <w:rFonts w:ascii="Arial" w:hAnsi="Arial" w:cs="Arial"/>
          <w:b/>
          <w:bCs/>
        </w:rPr>
        <w:t>3.1.3 INVENTORY AND LOGISTICS OPTIMIZATION</w:t>
      </w:r>
    </w:p>
    <w:p w14:paraId="10C8AD2D" w14:textId="77777777" w:rsidR="007C3049" w:rsidRPr="00290EBF" w:rsidRDefault="007C3049" w:rsidP="007C3049">
      <w:pPr>
        <w:pStyle w:val="Body"/>
        <w:rPr>
          <w:rFonts w:ascii="Arial" w:hAnsi="Arial" w:cs="Arial"/>
        </w:rPr>
      </w:pPr>
      <w:r w:rsidRPr="00290EBF">
        <w:rPr>
          <w:rFonts w:ascii="Arial" w:hAnsi="Arial" w:cs="Arial"/>
        </w:rPr>
        <w:lastRenderedPageBreak/>
        <w:t xml:space="preserve">Achieving optimal inventory levels is crucial in supply chain management (SCM), balancing product availability with costs. Insufficient inventory can lead to lost sales and dissatisfied customers, while overstocking increases storage fees and carries the risk of obsolescence. Utilizing </w:t>
      </w:r>
      <w:proofErr w:type="spellStart"/>
      <w:r w:rsidRPr="00290EBF">
        <w:rPr>
          <w:rFonts w:ascii="Arial" w:hAnsi="Arial" w:cs="Arial"/>
        </w:rPr>
        <w:t>GenAI</w:t>
      </w:r>
      <w:proofErr w:type="spellEnd"/>
      <w:r w:rsidRPr="00290EBF">
        <w:rPr>
          <w:rFonts w:ascii="Arial" w:hAnsi="Arial" w:cs="Arial"/>
        </w:rPr>
        <w:t xml:space="preserve"> for inventory optimization addresses these issues through advanced algorithms and machine learning (ML). ML algorithms evaluate demand forecasts, supplier capabilities, and lead times to set effective inventory thresholds, while reinforcement learning simulates scenarios for adaptable strategies. This aids in reducing costs and enhancing supply chain efficiency (Reddy </w:t>
      </w:r>
      <w:proofErr w:type="spellStart"/>
      <w:r w:rsidRPr="00290EBF">
        <w:rPr>
          <w:rFonts w:ascii="Arial" w:hAnsi="Arial" w:cs="Arial"/>
        </w:rPr>
        <w:t>Gayam</w:t>
      </w:r>
      <w:proofErr w:type="spellEnd"/>
      <w:r w:rsidRPr="00290EBF">
        <w:rPr>
          <w:rFonts w:ascii="Arial" w:hAnsi="Arial" w:cs="Arial"/>
        </w:rPr>
        <w:t xml:space="preserve"> et al., 2021). </w:t>
      </w:r>
    </w:p>
    <w:p w14:paraId="08442AD3" w14:textId="7DA84C78" w:rsidR="007C3049" w:rsidRPr="00290EBF" w:rsidRDefault="007C3049" w:rsidP="008D7053">
      <w:pPr>
        <w:pStyle w:val="Body"/>
        <w:rPr>
          <w:rFonts w:ascii="Arial" w:hAnsi="Arial" w:cs="Arial"/>
        </w:rPr>
      </w:pPr>
      <w:r w:rsidRPr="00290EBF">
        <w:rPr>
          <w:rFonts w:ascii="Arial" w:hAnsi="Arial" w:cs="Arial"/>
        </w:rPr>
        <w:t xml:space="preserve">Routing and scheduling are also vital. Analyzing transportation and logistics data, including traffic patterns and delivery constraints, helps businesses achieve cost savings and environmental sustainability (Jackson et al., 2024; Shekhar et al., 2024). In warehousing, </w:t>
      </w:r>
      <w:proofErr w:type="spellStart"/>
      <w:r w:rsidRPr="00290EBF">
        <w:rPr>
          <w:rFonts w:ascii="Arial" w:hAnsi="Arial" w:cs="Arial"/>
        </w:rPr>
        <w:t>GenAI</w:t>
      </w:r>
      <w:proofErr w:type="spellEnd"/>
      <w:r w:rsidRPr="00290EBF">
        <w:rPr>
          <w:rFonts w:ascii="Arial" w:hAnsi="Arial" w:cs="Arial"/>
        </w:rPr>
        <w:t xml:space="preserve"> enhances efficiency by optimizing layouts, automating processes, and improving inventory forecasting, which reduces costs and enhances order fulfillment (Shekhar et al., 2024; Singh, 2023). Its ability to adjust logistics plans in real time allows organizations to respond to disruptions, ensuring timely deliveries and optimal resource allocation (Shekhar et al., 2024). Together, these capabilities improve the resilience, efficiency, and sustainability of supply chain operations.</w:t>
      </w:r>
    </w:p>
    <w:p w14:paraId="1664E069" w14:textId="60097023" w:rsidR="007C3049" w:rsidRPr="00290EBF" w:rsidRDefault="007C3049" w:rsidP="008D7053">
      <w:pPr>
        <w:pStyle w:val="Body"/>
        <w:spacing w:after="0" w:line="480" w:lineRule="auto"/>
        <w:rPr>
          <w:rFonts w:ascii="Arial" w:hAnsi="Arial" w:cs="Arial"/>
          <w:b/>
          <w:bCs/>
        </w:rPr>
      </w:pPr>
      <w:r w:rsidRPr="00290EBF">
        <w:rPr>
          <w:rFonts w:ascii="Arial" w:hAnsi="Arial" w:cs="Arial"/>
          <w:b/>
          <w:bCs/>
        </w:rPr>
        <w:t>3.1.4 RISK MANAGEMENT</w:t>
      </w:r>
    </w:p>
    <w:p w14:paraId="24CF3D5B" w14:textId="77777777" w:rsidR="007C3049" w:rsidRPr="00290EBF" w:rsidRDefault="007C3049" w:rsidP="007C3049">
      <w:pPr>
        <w:pStyle w:val="Body"/>
        <w:rPr>
          <w:rFonts w:ascii="Arial" w:hAnsi="Arial" w:cs="Arial"/>
        </w:rPr>
      </w:pPr>
      <w:r w:rsidRPr="00290EBF">
        <w:rPr>
          <w:rFonts w:ascii="Arial" w:hAnsi="Arial" w:cs="Arial"/>
        </w:rPr>
        <w:t xml:space="preserve">The current economy environments are deeply interconnected and competitive, featuring complex supply chain networks designed to deliver products and services. To effectively tackle the challenges arising from geopolitical tensions, technological advancements, natural disasters, and pandemics, supply chains must be built with a critical level of resilience. This adaptability enables organizations to swiftly respond to ever changing circumstances and mitigate impacts. </w:t>
      </w:r>
      <w:proofErr w:type="spellStart"/>
      <w:r w:rsidRPr="00290EBF">
        <w:rPr>
          <w:rFonts w:ascii="Arial" w:hAnsi="Arial" w:cs="Arial"/>
        </w:rPr>
        <w:t>GenAI</w:t>
      </w:r>
      <w:proofErr w:type="spellEnd"/>
      <w:r w:rsidRPr="00290EBF">
        <w:rPr>
          <w:rFonts w:ascii="Arial" w:hAnsi="Arial" w:cs="Arial"/>
        </w:rPr>
        <w:t xml:space="preserve"> plays a pivotal role in strengthening supply chain networks, offering flexible, agile, efficient, transparent, and adaptable solutions to manage demand and supply challenges without incurring significant risks (</w:t>
      </w:r>
      <w:proofErr w:type="spellStart"/>
      <w:r w:rsidRPr="00290EBF">
        <w:rPr>
          <w:rFonts w:ascii="Arial" w:hAnsi="Arial" w:cs="Arial"/>
        </w:rPr>
        <w:t>Riad</w:t>
      </w:r>
      <w:proofErr w:type="spellEnd"/>
      <w:r w:rsidRPr="00290EBF">
        <w:rPr>
          <w:rFonts w:ascii="Arial" w:hAnsi="Arial" w:cs="Arial"/>
        </w:rPr>
        <w:t xml:space="preserve"> et al., 2024). By utilizing </w:t>
      </w:r>
      <w:proofErr w:type="spellStart"/>
      <w:r w:rsidRPr="00290EBF">
        <w:rPr>
          <w:rFonts w:ascii="Arial" w:hAnsi="Arial" w:cs="Arial"/>
        </w:rPr>
        <w:t>GenAI</w:t>
      </w:r>
      <w:proofErr w:type="spellEnd"/>
      <w:r w:rsidRPr="00290EBF">
        <w:rPr>
          <w:rFonts w:ascii="Arial" w:hAnsi="Arial" w:cs="Arial"/>
        </w:rPr>
        <w:t xml:space="preserve"> to filter through historical data, real-time events, and external influences, organizations can pinpoint potential disruptions and evaluate the likelihood of negative incidents (Shekhar et al., 2024). Identifying these risk events allows businesses to proactively implement mitigation strategies, fostering the development of resilient supply chain systems (Shekhar et al., 2024). </w:t>
      </w:r>
    </w:p>
    <w:p w14:paraId="3D719869" w14:textId="77777777" w:rsidR="007C3049" w:rsidRPr="00290EBF" w:rsidRDefault="007C3049" w:rsidP="007C3049">
      <w:pPr>
        <w:pStyle w:val="Body"/>
        <w:rPr>
          <w:rFonts w:ascii="Arial" w:hAnsi="Arial" w:cs="Arial"/>
        </w:rPr>
      </w:pPr>
      <w:r w:rsidRPr="00290EBF">
        <w:rPr>
          <w:rFonts w:ascii="Arial" w:hAnsi="Arial" w:cs="Arial"/>
        </w:rPr>
        <w:t xml:space="preserve">Furthermore, </w:t>
      </w:r>
      <w:proofErr w:type="spellStart"/>
      <w:r w:rsidRPr="00290EBF">
        <w:rPr>
          <w:rFonts w:ascii="Arial" w:hAnsi="Arial" w:cs="Arial"/>
        </w:rPr>
        <w:t>GenAI</w:t>
      </w:r>
      <w:proofErr w:type="spellEnd"/>
      <w:r w:rsidRPr="00290EBF">
        <w:rPr>
          <w:rFonts w:ascii="Arial" w:hAnsi="Arial" w:cs="Arial"/>
        </w:rPr>
        <w:t xml:space="preserve"> enables organizations to simulate various risk scenarios, allowing them to evaluate potential impacts and identify contingency plans to address these challenges (Shekhar et al., 2024). Real-time anomaly detection and risk monitoring enhance these simulations by generating alerts and presenting actionable recommendations for corrective actions. This proactive approach ensures agile responses, minimizes disruption severity, and maintains continuity within the supply chain (Shekhar et al., 2024). Additionally, Variational Autoencoder (VAE) models facilitate risk distribution analysis, helping companies highlight key risk factors and prioritize their mitigation efforts (</w:t>
      </w:r>
      <w:proofErr w:type="spellStart"/>
      <w:r w:rsidRPr="00290EBF">
        <w:rPr>
          <w:rFonts w:ascii="Arial" w:hAnsi="Arial" w:cs="Arial"/>
        </w:rPr>
        <w:t>Khlie</w:t>
      </w:r>
      <w:proofErr w:type="spellEnd"/>
      <w:r w:rsidRPr="00290EBF">
        <w:rPr>
          <w:rFonts w:ascii="Arial" w:hAnsi="Arial" w:cs="Arial"/>
        </w:rPr>
        <w:t xml:space="preserve"> et al., 2024). Together, these tools enhance risk visibility, streamline management processes, and bolster the overall resilience of supply chain operations.</w:t>
      </w:r>
    </w:p>
    <w:p w14:paraId="0C2D0C23" w14:textId="49F0D181" w:rsidR="007C3049" w:rsidRPr="00290EBF" w:rsidRDefault="007C3049" w:rsidP="008D7053">
      <w:pPr>
        <w:pStyle w:val="Body"/>
        <w:rPr>
          <w:rFonts w:ascii="Arial" w:hAnsi="Arial" w:cs="Arial"/>
        </w:rPr>
      </w:pPr>
      <w:r w:rsidRPr="00290EBF">
        <w:rPr>
          <w:rFonts w:ascii="Arial" w:hAnsi="Arial" w:cs="Arial"/>
        </w:rPr>
        <w:t xml:space="preserve">Table 4 provides a summarized view of various opportunities to use </w:t>
      </w:r>
      <w:proofErr w:type="spellStart"/>
      <w:r w:rsidRPr="00290EBF">
        <w:rPr>
          <w:rFonts w:ascii="Arial" w:hAnsi="Arial" w:cs="Arial"/>
        </w:rPr>
        <w:t>GenAI</w:t>
      </w:r>
      <w:proofErr w:type="spellEnd"/>
      <w:r w:rsidRPr="00290EBF">
        <w:rPr>
          <w:rFonts w:ascii="Arial" w:hAnsi="Arial" w:cs="Arial"/>
        </w:rPr>
        <w:t xml:space="preserve"> within the SCM. </w:t>
      </w:r>
      <w:proofErr w:type="spellStart"/>
      <w:r w:rsidRPr="00290EBF">
        <w:rPr>
          <w:rFonts w:ascii="Arial" w:hAnsi="Arial" w:cs="Arial"/>
        </w:rPr>
        <w:t>GenAI</w:t>
      </w:r>
      <w:proofErr w:type="spellEnd"/>
      <w:r w:rsidRPr="00290EBF">
        <w:rPr>
          <w:rFonts w:ascii="Arial" w:hAnsi="Arial" w:cs="Arial"/>
        </w:rPr>
        <w:t xml:space="preserve"> offers a powerful toolkit for optimizing, automating, and transforming SCM. Early adopters are already experiencing tangible benefits, and as the technology matures, its impact is expected to grow exponentially. Companies that embrace </w:t>
      </w:r>
      <w:proofErr w:type="spellStart"/>
      <w:r w:rsidRPr="00290EBF">
        <w:rPr>
          <w:rFonts w:ascii="Arial" w:hAnsi="Arial" w:cs="Arial"/>
        </w:rPr>
        <w:t>GenAI</w:t>
      </w:r>
      <w:proofErr w:type="spellEnd"/>
      <w:r w:rsidRPr="00290EBF">
        <w:rPr>
          <w:rFonts w:ascii="Arial" w:hAnsi="Arial" w:cs="Arial"/>
        </w:rPr>
        <w:t xml:space="preserve"> and effectively address implementation challenges will be well-positioned to gain a competitive edge in the evolving landscape of global commerce.</w:t>
      </w:r>
    </w:p>
    <w:p w14:paraId="41AD96BB" w14:textId="4A97A540" w:rsidR="007C3049" w:rsidRPr="007C3049" w:rsidRDefault="007C3049" w:rsidP="007C3049">
      <w:pPr>
        <w:pStyle w:val="Body"/>
        <w:rPr>
          <w:rFonts w:ascii="Arial" w:hAnsi="Arial" w:cs="Arial"/>
          <w:i/>
        </w:rPr>
      </w:pPr>
      <w:r w:rsidRPr="007C3049">
        <w:rPr>
          <w:rFonts w:ascii="Arial" w:hAnsi="Arial" w:cs="Arial"/>
          <w:b/>
          <w:bCs/>
          <w:iCs/>
        </w:rPr>
        <w:lastRenderedPageBreak/>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4</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 xml:space="preserve">Highlights the areas of opportunities with </w:t>
      </w:r>
      <w:proofErr w:type="spellStart"/>
      <w:r w:rsidRPr="007C3049">
        <w:rPr>
          <w:rFonts w:ascii="Arial" w:hAnsi="Arial" w:cs="Arial"/>
          <w:b/>
          <w:bCs/>
          <w:iCs/>
        </w:rPr>
        <w:t>GenAI</w:t>
      </w:r>
      <w:proofErr w:type="spellEnd"/>
      <w:r w:rsidRPr="007C3049">
        <w:rPr>
          <w:rFonts w:ascii="Arial" w:hAnsi="Arial" w:cs="Arial"/>
          <w:b/>
          <w:bCs/>
          <w:iCs/>
        </w:rPr>
        <w:t xml:space="preserve"> Adoption</w:t>
      </w:r>
    </w:p>
    <w:tbl>
      <w:tblPr>
        <w:tblW w:w="8385" w:type="dxa"/>
        <w:tblLayout w:type="fixed"/>
        <w:tblLook w:val="06A0" w:firstRow="1" w:lastRow="0" w:firstColumn="1" w:lastColumn="0" w:noHBand="1" w:noVBand="1"/>
      </w:tblPr>
      <w:tblGrid>
        <w:gridCol w:w="1940"/>
        <w:gridCol w:w="4375"/>
        <w:gridCol w:w="2070"/>
      </w:tblGrid>
      <w:tr w:rsidR="007C3049" w:rsidRPr="007C3049" w14:paraId="75582CF6" w14:textId="77777777" w:rsidTr="007C3049">
        <w:trPr>
          <w:trHeight w:val="425"/>
        </w:trPr>
        <w:tc>
          <w:tcPr>
            <w:tcW w:w="1940" w:type="dxa"/>
            <w:tcBorders>
              <w:top w:val="single" w:sz="4" w:space="0" w:color="auto"/>
              <w:bottom w:val="single" w:sz="4" w:space="0" w:color="auto"/>
            </w:tcBorders>
            <w:shd w:val="clear" w:color="auto" w:fill="FFFFFF" w:themeFill="background1"/>
            <w:tcMar>
              <w:top w:w="15" w:type="dxa"/>
              <w:left w:w="15" w:type="dxa"/>
              <w:right w:w="15" w:type="dxa"/>
            </w:tcMar>
          </w:tcPr>
          <w:p w14:paraId="3B7C4ABE"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Implementation Areas</w:t>
            </w:r>
          </w:p>
        </w:tc>
        <w:tc>
          <w:tcPr>
            <w:tcW w:w="4375" w:type="dxa"/>
            <w:tcBorders>
              <w:top w:val="single" w:sz="4" w:space="0" w:color="auto"/>
              <w:bottom w:val="single" w:sz="4" w:space="0" w:color="auto"/>
            </w:tcBorders>
            <w:shd w:val="clear" w:color="auto" w:fill="FFFFFF" w:themeFill="background1"/>
            <w:tcMar>
              <w:top w:w="15" w:type="dxa"/>
              <w:left w:w="15" w:type="dxa"/>
              <w:right w:w="15" w:type="dxa"/>
            </w:tcMar>
          </w:tcPr>
          <w:p w14:paraId="2A4C2774"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Opportunities</w:t>
            </w:r>
          </w:p>
        </w:tc>
        <w:tc>
          <w:tcPr>
            <w:tcW w:w="2070" w:type="dxa"/>
            <w:tcBorders>
              <w:top w:val="single" w:sz="4" w:space="0" w:color="auto"/>
              <w:bottom w:val="single" w:sz="4" w:space="0" w:color="auto"/>
            </w:tcBorders>
            <w:shd w:val="clear" w:color="auto" w:fill="FFFFFF" w:themeFill="background1"/>
            <w:tcMar>
              <w:top w:w="15" w:type="dxa"/>
              <w:left w:w="15" w:type="dxa"/>
              <w:right w:w="15" w:type="dxa"/>
            </w:tcMar>
          </w:tcPr>
          <w:p w14:paraId="46924B1B"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References</w:t>
            </w:r>
          </w:p>
        </w:tc>
      </w:tr>
      <w:tr w:rsidR="007C3049" w:rsidRPr="007C3049" w14:paraId="7613A4F8" w14:textId="77777777" w:rsidTr="007C3049">
        <w:trPr>
          <w:trHeight w:val="1592"/>
        </w:trPr>
        <w:tc>
          <w:tcPr>
            <w:tcW w:w="1940" w:type="dxa"/>
            <w:tcBorders>
              <w:top w:val="single" w:sz="4" w:space="0" w:color="auto"/>
            </w:tcBorders>
            <w:shd w:val="clear" w:color="auto" w:fill="FFFFFF" w:themeFill="background1"/>
            <w:tcMar>
              <w:top w:w="15" w:type="dxa"/>
              <w:left w:w="15" w:type="dxa"/>
              <w:right w:w="15" w:type="dxa"/>
            </w:tcMar>
            <w:vAlign w:val="center"/>
          </w:tcPr>
          <w:p w14:paraId="52C1D79F"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Enhancing Procurement Processes</w:t>
            </w:r>
          </w:p>
        </w:tc>
        <w:tc>
          <w:tcPr>
            <w:tcW w:w="4375" w:type="dxa"/>
            <w:tcBorders>
              <w:top w:val="single" w:sz="4" w:space="0" w:color="auto"/>
            </w:tcBorders>
            <w:shd w:val="clear" w:color="auto" w:fill="FFFFFF" w:themeFill="background1"/>
            <w:tcMar>
              <w:top w:w="15" w:type="dxa"/>
              <w:left w:w="15" w:type="dxa"/>
              <w:right w:w="15" w:type="dxa"/>
            </w:tcMar>
            <w:vAlign w:val="center"/>
          </w:tcPr>
          <w:p w14:paraId="7179CB25"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Sourcing Assessment &amp; Supplier Selection: Analyze Supplier data for strategic Sourcing decisions.</w:t>
            </w:r>
          </w:p>
          <w:p w14:paraId="6873493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Automating Procurement Tasks: Automate tendering, contracts, and purchase order management.</w:t>
            </w:r>
          </w:p>
          <w:p w14:paraId="29CCD012"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Negotiation &amp; Contract Management: Analyze data for Negotiation strategies and Contract optimization.</w:t>
            </w:r>
          </w:p>
        </w:tc>
        <w:sdt>
          <w:sdtPr>
            <w:rPr>
              <w:rFonts w:ascii="Arial" w:hAnsi="Arial" w:cs="Arial"/>
              <w:lang w:val="pt-BR"/>
            </w:rPr>
            <w:tag w:val="MENDELEY_CITATION_v3_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MDkzMDkiLCJJU1NOIjoiMDAyMC03NTQzIiwiaXNzdWVkIjp7ImRhdGUtcGFydHMiOltbMjAyNCw5LDMxXV19LCJwYWdlIjoiNjEyMC02MTQ1IiwiaXNzdWUiOiIxNyIsInZvbHVtZSI6IjYyIn0sImlzVGVtcG9yYXJ5IjpmYWxzZSwic3VwcHJlc3MtYXV0aG9yIjpmYWxzZSwiY29tcG9zaXRlIjpmYWxzZSwiYXV0aG9yLW9ubHkiOmZhbHNlfV19"/>
            <w:id w:val="-1802307371"/>
            <w:placeholder>
              <w:docPart w:val="B81E1C84CCA64D71804D0022905BB788"/>
            </w:placeholder>
          </w:sdtPr>
          <w:sdtEndPr/>
          <w:sdtContent>
            <w:tc>
              <w:tcPr>
                <w:tcW w:w="2070" w:type="dxa"/>
                <w:tcBorders>
                  <w:top w:val="single" w:sz="4" w:space="0" w:color="auto"/>
                </w:tcBorders>
                <w:shd w:val="clear" w:color="auto" w:fill="FFFFFF" w:themeFill="background1"/>
                <w:tcMar>
                  <w:top w:w="15" w:type="dxa"/>
                  <w:left w:w="15" w:type="dxa"/>
                  <w:right w:w="15" w:type="dxa"/>
                </w:tcMar>
                <w:vAlign w:val="center"/>
              </w:tcPr>
              <w:p w14:paraId="31571D81"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(Jackson et al., 2024)</w:t>
                </w:r>
              </w:p>
            </w:tc>
          </w:sdtContent>
        </w:sdt>
      </w:tr>
      <w:tr w:rsidR="007C3049" w:rsidRPr="007C3049" w14:paraId="43CF65FE" w14:textId="77777777" w:rsidTr="007C3049">
        <w:trPr>
          <w:trHeight w:val="891"/>
        </w:trPr>
        <w:tc>
          <w:tcPr>
            <w:tcW w:w="1940" w:type="dxa"/>
            <w:shd w:val="clear" w:color="auto" w:fill="FFFFFF" w:themeFill="background1"/>
            <w:tcMar>
              <w:top w:w="15" w:type="dxa"/>
              <w:left w:w="15" w:type="dxa"/>
              <w:right w:w="15" w:type="dxa"/>
            </w:tcMar>
            <w:vAlign w:val="center"/>
          </w:tcPr>
          <w:p w14:paraId="6AACA664" w14:textId="71CA0595" w:rsidR="007C3049" w:rsidRPr="007C3049" w:rsidRDefault="007C3049" w:rsidP="007C3049">
            <w:pPr>
              <w:pStyle w:val="Body"/>
              <w:jc w:val="left"/>
              <w:rPr>
                <w:rFonts w:ascii="Arial" w:hAnsi="Arial" w:cs="Arial"/>
                <w:lang w:val="pt-BR"/>
              </w:rPr>
            </w:pPr>
            <w:r w:rsidRPr="007C3049">
              <w:rPr>
                <w:rFonts w:ascii="Arial" w:hAnsi="Arial" w:cs="Arial"/>
                <w:lang w:val="pt-BR"/>
              </w:rPr>
              <w:t>Mitigating</w:t>
            </w:r>
            <w:r w:rsidRPr="00290EBF">
              <w:rPr>
                <w:rFonts w:ascii="Arial" w:hAnsi="Arial" w:cs="Arial"/>
                <w:lang w:val="pt-BR"/>
              </w:rPr>
              <w:t xml:space="preserve"> </w:t>
            </w:r>
            <w:r w:rsidRPr="007C3049">
              <w:rPr>
                <w:rFonts w:ascii="Arial" w:hAnsi="Arial" w:cs="Arial"/>
                <w:lang w:val="pt-BR"/>
              </w:rPr>
              <w:t>Supply Chain Risks</w:t>
            </w:r>
          </w:p>
        </w:tc>
        <w:tc>
          <w:tcPr>
            <w:tcW w:w="4375" w:type="dxa"/>
            <w:shd w:val="clear" w:color="auto" w:fill="FFFFFF" w:themeFill="background1"/>
            <w:tcMar>
              <w:top w:w="15" w:type="dxa"/>
              <w:left w:w="15" w:type="dxa"/>
              <w:right w:w="15" w:type="dxa"/>
            </w:tcMar>
            <w:vAlign w:val="center"/>
          </w:tcPr>
          <w:p w14:paraId="7C78448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Predictive Risk Analysis: Identify and predict potential disruptions based on historical data and real-time events.</w:t>
            </w:r>
          </w:p>
          <w:p w14:paraId="2CEA1F6D"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Scenario Planning &amp; Simulation: Simulate Risk scenarios for impact Assessment and contingency planning.</w:t>
            </w:r>
          </w:p>
          <w:p w14:paraId="2CC4628E"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Real-time Risk Monitoring &amp; Response: Monitor supply chain data for anomalies and recommend actions.</w:t>
            </w:r>
          </w:p>
        </w:tc>
        <w:tc>
          <w:tcPr>
            <w:tcW w:w="2070" w:type="dxa"/>
            <w:shd w:val="clear" w:color="auto" w:fill="FFFFFF" w:themeFill="background1"/>
            <w:tcMar>
              <w:top w:w="15" w:type="dxa"/>
              <w:left w:w="15" w:type="dxa"/>
              <w:right w:w="15" w:type="dxa"/>
            </w:tcMar>
            <w:vAlign w:val="center"/>
          </w:tcPr>
          <w:sdt>
            <w:sdtPr>
              <w:rPr>
                <w:rFonts w:ascii="Arial" w:hAnsi="Arial" w:cs="Arial"/>
                <w:lang w:val="pt-BR"/>
              </w:rPr>
              <w:tag w:val="MENDELEY_CITATION_v3_eyJjaXRhdGlvbklEIjoiTUVOREVMRVlfQ0lUQVRJT05fNzliNzk2MjItYjc1NS00NjdlLTg0MGMtZTNjODA0Mzg3NzhhIiwicHJvcGVydGllcyI6eyJub3RlSW5kZXgiOjB9LCJpc0VkaXRlZCI6ZmFsc2UsIm1hbnVhbE92ZXJyaWRlIjp7ImlzTWFudWFsbHlPdmVycmlkZGVuIjpmYWxzZSwiY2l0ZXByb2NUZXh0IjoiKFF1ICYjMzg7IEtpbSwgMjAyNCkiLCJtYW51YWxPdmVycmlkZVRleHQiOiIifSwiY2l0YXRpb25JdGVtcyI6W3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UsInN1cHByZXNzLWF1dGhvciI6ZmFsc2UsImNvbXBvc2l0ZSI6ZmFsc2UsImF1dGhvci1vbmx5IjpmYWxzZX1dfQ=="/>
              <w:id w:val="-1827657884"/>
              <w:placeholder>
                <w:docPart w:val="B81E1C84CCA64D71804D0022905BB788"/>
              </w:placeholder>
            </w:sdtPr>
            <w:sdtEndPr/>
            <w:sdtContent>
              <w:p w14:paraId="05059FC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(Qu &amp; Kim, 2024)</w:t>
                </w:r>
              </w:p>
            </w:sdtContent>
          </w:sdt>
        </w:tc>
      </w:tr>
      <w:tr w:rsidR="007C3049" w:rsidRPr="007C3049" w14:paraId="0226EFBA" w14:textId="77777777" w:rsidTr="007C3049">
        <w:trPr>
          <w:trHeight w:val="1566"/>
        </w:trPr>
        <w:tc>
          <w:tcPr>
            <w:tcW w:w="1940" w:type="dxa"/>
            <w:shd w:val="clear" w:color="auto" w:fill="FFFFFF" w:themeFill="background1"/>
            <w:tcMar>
              <w:top w:w="15" w:type="dxa"/>
              <w:left w:w="15" w:type="dxa"/>
              <w:right w:w="15" w:type="dxa"/>
            </w:tcMar>
            <w:vAlign w:val="center"/>
          </w:tcPr>
          <w:p w14:paraId="06888CCE"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Inventory and Logistics Optimization</w:t>
            </w:r>
          </w:p>
        </w:tc>
        <w:tc>
          <w:tcPr>
            <w:tcW w:w="4375" w:type="dxa"/>
            <w:shd w:val="clear" w:color="auto" w:fill="FFFFFF" w:themeFill="background1"/>
            <w:tcMar>
              <w:top w:w="15" w:type="dxa"/>
              <w:left w:w="15" w:type="dxa"/>
              <w:right w:w="15" w:type="dxa"/>
            </w:tcMar>
            <w:vAlign w:val="center"/>
          </w:tcPr>
          <w:p w14:paraId="3F8E71E9"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Route Optimization &amp; Transportation Planning: Optimize transportation routes and schedules based on data analysis.</w:t>
            </w:r>
          </w:p>
          <w:p w14:paraId="56B4BE87"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Warehouse Automation &amp; Inventory Management: Optimize warehouse layout, automate processes, and improve inventory forecasting.</w:t>
            </w:r>
          </w:p>
          <w:p w14:paraId="6EFE1470"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Dynamic Logistics Coordination: Adjust logistics plans in real time based on unforeseen events.</w:t>
            </w:r>
          </w:p>
        </w:tc>
        <w:tc>
          <w:tcPr>
            <w:tcW w:w="2070" w:type="dxa"/>
            <w:shd w:val="clear" w:color="auto" w:fill="FFFFFF" w:themeFill="background1"/>
            <w:tcMar>
              <w:top w:w="15" w:type="dxa"/>
              <w:left w:w="15" w:type="dxa"/>
              <w:right w:w="15" w:type="dxa"/>
            </w:tcMar>
            <w:vAlign w:val="center"/>
          </w:tcPr>
          <w:p w14:paraId="2462ECE6"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Martin et al., 2023</w:t>
            </w:r>
          </w:p>
        </w:tc>
      </w:tr>
      <w:tr w:rsidR="007C3049" w:rsidRPr="007C3049" w14:paraId="094104FF" w14:textId="77777777" w:rsidTr="007C3049">
        <w:trPr>
          <w:trHeight w:val="891"/>
        </w:trPr>
        <w:tc>
          <w:tcPr>
            <w:tcW w:w="1940" w:type="dxa"/>
            <w:tcBorders>
              <w:bottom w:val="single" w:sz="4" w:space="0" w:color="auto"/>
            </w:tcBorders>
            <w:shd w:val="clear" w:color="auto" w:fill="FFFFFF" w:themeFill="background1"/>
            <w:tcMar>
              <w:top w:w="15" w:type="dxa"/>
              <w:left w:w="15" w:type="dxa"/>
              <w:right w:w="15" w:type="dxa"/>
            </w:tcMar>
            <w:vAlign w:val="center"/>
          </w:tcPr>
          <w:p w14:paraId="2AC76094"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Improving Demand Forecasting &amp; Planning</w:t>
            </w:r>
          </w:p>
        </w:tc>
        <w:tc>
          <w:tcPr>
            <w:tcW w:w="4375" w:type="dxa"/>
            <w:tcBorders>
              <w:bottom w:val="single" w:sz="4" w:space="0" w:color="auto"/>
            </w:tcBorders>
            <w:shd w:val="clear" w:color="auto" w:fill="FFFFFF" w:themeFill="background1"/>
            <w:tcMar>
              <w:top w:w="15" w:type="dxa"/>
              <w:left w:w="15" w:type="dxa"/>
              <w:right w:w="15" w:type="dxa"/>
            </w:tcMar>
            <w:vAlign w:val="center"/>
          </w:tcPr>
          <w:p w14:paraId="3DD0D57A"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Enhanced Demand Forecasting Accuracy: Generate accurate demand forecasts based on sales data, market trends, and external factors.</w:t>
            </w:r>
          </w:p>
          <w:p w14:paraId="0F9A6D49"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Personalized Demand Planning: Tailor plans to individual customer preferences and purchasing patterns.</w:t>
            </w:r>
          </w:p>
        </w:tc>
        <w:tc>
          <w:tcPr>
            <w:tcW w:w="2070" w:type="dxa"/>
            <w:tcBorders>
              <w:bottom w:val="single" w:sz="4" w:space="0" w:color="auto"/>
            </w:tcBorders>
            <w:shd w:val="clear" w:color="auto" w:fill="FFFFFF" w:themeFill="background1"/>
            <w:tcMar>
              <w:top w:w="15" w:type="dxa"/>
              <w:left w:w="15" w:type="dxa"/>
              <w:right w:w="15" w:type="dxa"/>
            </w:tcMar>
            <w:vAlign w:val="center"/>
          </w:tcPr>
          <w:sdt>
            <w:sdtPr>
              <w:rPr>
                <w:rFonts w:ascii="Arial" w:hAnsi="Arial" w:cs="Arial"/>
                <w:lang w:val="pt-BR"/>
              </w:rPr>
              <w:tag w:val="MENDELEY_CITATION_v3_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"/>
              <w:id w:val="-318577389"/>
              <w:placeholder>
                <w:docPart w:val="B81E1C84CCA64D71804D0022905BB788"/>
              </w:placeholder>
            </w:sdtPr>
            <w:sdtEndPr/>
            <w:sdtContent>
              <w:p w14:paraId="325F3355"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(Feizabadi, 2022)</w:t>
                </w:r>
              </w:p>
            </w:sdtContent>
          </w:sdt>
        </w:tc>
      </w:tr>
    </w:tbl>
    <w:p w14:paraId="72D9C26B" w14:textId="77777777" w:rsidR="007C3049" w:rsidRPr="00290EBF" w:rsidRDefault="007C3049" w:rsidP="00845D25">
      <w:pPr>
        <w:pStyle w:val="Body"/>
        <w:spacing w:after="0"/>
        <w:rPr>
          <w:rFonts w:ascii="Arial" w:hAnsi="Arial" w:cs="Arial"/>
        </w:rPr>
      </w:pPr>
    </w:p>
    <w:p w14:paraId="4E0DD866" w14:textId="5AD9D21A" w:rsidR="007C3049" w:rsidRPr="00290EBF" w:rsidRDefault="007C3049" w:rsidP="008D7053">
      <w:pPr>
        <w:pStyle w:val="Body"/>
        <w:spacing w:after="0" w:line="480" w:lineRule="auto"/>
        <w:rPr>
          <w:rFonts w:ascii="Arial" w:hAnsi="Arial" w:cs="Arial"/>
          <w:b/>
          <w:bCs/>
        </w:rPr>
      </w:pPr>
      <w:r w:rsidRPr="00290EBF">
        <w:rPr>
          <w:rFonts w:ascii="Arial" w:hAnsi="Arial" w:cs="Arial"/>
          <w:b/>
          <w:bCs/>
        </w:rPr>
        <w:t>3.2 BENEFITS</w:t>
      </w:r>
    </w:p>
    <w:p w14:paraId="50BCD67B" w14:textId="1D00701A" w:rsidR="007C3049" w:rsidRPr="00290EBF" w:rsidRDefault="007C3049" w:rsidP="008D7053">
      <w:pPr>
        <w:pStyle w:val="Body"/>
        <w:rPr>
          <w:rFonts w:ascii="Arial" w:hAnsi="Arial" w:cs="Arial"/>
        </w:rPr>
      </w:pPr>
      <w:r w:rsidRPr="00290EBF">
        <w:rPr>
          <w:rFonts w:ascii="Arial" w:hAnsi="Arial" w:cs="Arial"/>
        </w:rPr>
        <w:lastRenderedPageBreak/>
        <w:t xml:space="preserve">Our systematic literature review suggests that organizations are utilizing </w:t>
      </w:r>
      <w:proofErr w:type="spellStart"/>
      <w:r w:rsidRPr="00290EBF">
        <w:rPr>
          <w:rFonts w:ascii="Arial" w:hAnsi="Arial" w:cs="Arial"/>
        </w:rPr>
        <w:t>GenAI</w:t>
      </w:r>
      <w:proofErr w:type="spellEnd"/>
      <w:r w:rsidRPr="00290EBF">
        <w:rPr>
          <w:rFonts w:ascii="Arial" w:hAnsi="Arial" w:cs="Arial"/>
        </w:rPr>
        <w:t xml:space="preserve"> in SCM to gain benefits in several areas. These are often utilizing </w:t>
      </w:r>
      <w:proofErr w:type="spellStart"/>
      <w:r w:rsidRPr="00290EBF">
        <w:rPr>
          <w:rFonts w:ascii="Arial" w:hAnsi="Arial" w:cs="Arial"/>
        </w:rPr>
        <w:t>GenAI’s</w:t>
      </w:r>
      <w:proofErr w:type="spellEnd"/>
      <w:r w:rsidRPr="00290EBF">
        <w:rPr>
          <w:rFonts w:ascii="Arial" w:hAnsi="Arial" w:cs="Arial"/>
        </w:rPr>
        <w:t xml:space="preserve"> capabilities to automate tasks, analyze data, and provide insights to support decision-making. Organizations anticipate using </w:t>
      </w:r>
      <w:proofErr w:type="spellStart"/>
      <w:r w:rsidRPr="00290EBF">
        <w:rPr>
          <w:rFonts w:ascii="Arial" w:hAnsi="Arial" w:cs="Arial"/>
        </w:rPr>
        <w:t>GenAI</w:t>
      </w:r>
      <w:proofErr w:type="spellEnd"/>
      <w:r w:rsidRPr="00290EBF">
        <w:rPr>
          <w:rFonts w:ascii="Arial" w:hAnsi="Arial" w:cs="Arial"/>
        </w:rPr>
        <w:t xml:space="preserve"> for applications beyond operation efficiencies. Literature highlights the use cases involving strategic implementation to drive innovation, and transform business models.</w:t>
      </w:r>
    </w:p>
    <w:p w14:paraId="21997CF5" w14:textId="2A97C936" w:rsidR="007C3049" w:rsidRPr="00290EBF" w:rsidRDefault="007C3049" w:rsidP="008D7053">
      <w:pPr>
        <w:pStyle w:val="Body"/>
        <w:spacing w:after="0" w:line="480" w:lineRule="auto"/>
        <w:rPr>
          <w:rFonts w:ascii="Arial" w:hAnsi="Arial" w:cs="Arial"/>
          <w:b/>
          <w:bCs/>
        </w:rPr>
      </w:pPr>
      <w:r w:rsidRPr="00290EBF">
        <w:rPr>
          <w:rFonts w:ascii="Arial" w:hAnsi="Arial" w:cs="Arial"/>
          <w:b/>
          <w:bCs/>
        </w:rPr>
        <w:t>3.2.1 OPERATIONAL EFFICIENCY</w:t>
      </w:r>
    </w:p>
    <w:p w14:paraId="14BD7439" w14:textId="77777777" w:rsidR="007C3049" w:rsidRPr="00290EBF" w:rsidRDefault="007C3049" w:rsidP="007C3049">
      <w:pPr>
        <w:pStyle w:val="Body"/>
        <w:rPr>
          <w:rFonts w:ascii="Arial" w:hAnsi="Arial" w:cs="Arial"/>
        </w:rPr>
      </w:pPr>
      <w:r w:rsidRPr="00290EBF">
        <w:rPr>
          <w:rFonts w:ascii="Arial" w:hAnsi="Arial" w:cs="Arial"/>
        </w:rPr>
        <w:t xml:space="preserve">Recent research demonstrates that organizations leveraging </w:t>
      </w:r>
      <w:proofErr w:type="spellStart"/>
      <w:r w:rsidRPr="00290EBF">
        <w:rPr>
          <w:rFonts w:ascii="Arial" w:hAnsi="Arial" w:cs="Arial"/>
        </w:rPr>
        <w:t>GenAI</w:t>
      </w:r>
      <w:proofErr w:type="spellEnd"/>
      <w:r w:rsidRPr="00290EBF">
        <w:rPr>
          <w:rFonts w:ascii="Arial" w:hAnsi="Arial" w:cs="Arial"/>
        </w:rPr>
        <w:t xml:space="preserve"> are achieving notable advancements in operational efficiency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w:t>
      </w:r>
      <w:proofErr w:type="spellStart"/>
      <w:r w:rsidRPr="00290EBF">
        <w:rPr>
          <w:rFonts w:ascii="Arial" w:hAnsi="Arial" w:cs="Arial"/>
        </w:rPr>
        <w:t>GenAI</w:t>
      </w:r>
      <w:proofErr w:type="spellEnd"/>
      <w:r w:rsidRPr="00290EBF">
        <w:rPr>
          <w:rFonts w:ascii="Arial" w:hAnsi="Arial" w:cs="Arial"/>
        </w:rPr>
        <w:t>-powered tools optimize planning and scheduling processes, reducing lead times and improving overall productivity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In quality control, </w:t>
      </w:r>
      <w:proofErr w:type="spellStart"/>
      <w:r w:rsidRPr="00290EBF">
        <w:rPr>
          <w:rFonts w:ascii="Arial" w:hAnsi="Arial" w:cs="Arial"/>
        </w:rPr>
        <w:t>GenAI</w:t>
      </w:r>
      <w:proofErr w:type="spellEnd"/>
      <w:r w:rsidRPr="00290EBF">
        <w:rPr>
          <w:rFonts w:ascii="Arial" w:hAnsi="Arial" w:cs="Arial"/>
        </w:rPr>
        <w:t xml:space="preserve"> facilitates the detection of defects and inconsistencies, enhancing product quality and reducing material waste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Also, </w:t>
      </w:r>
      <w:proofErr w:type="spellStart"/>
      <w:r w:rsidRPr="00290EBF">
        <w:rPr>
          <w:rFonts w:ascii="Arial" w:hAnsi="Arial" w:cs="Arial"/>
        </w:rPr>
        <w:t>GenAI</w:t>
      </w:r>
      <w:proofErr w:type="spellEnd"/>
      <w:r w:rsidRPr="00290EBF">
        <w:rPr>
          <w:rFonts w:ascii="Arial" w:hAnsi="Arial" w:cs="Arial"/>
        </w:rPr>
        <w:t xml:space="preserve"> enables efficient resource allocation, minimizes equipment downtime, and optimizes workforce scheduling, resulting in streamlined operations and cost savings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Jackson et al., 2024; Shekhar et al., 2024).</w:t>
      </w:r>
    </w:p>
    <w:p w14:paraId="605F8678" w14:textId="43205EA9" w:rsidR="007C3049" w:rsidRPr="00290EBF" w:rsidRDefault="007C3049" w:rsidP="008D7053">
      <w:pPr>
        <w:pStyle w:val="Body"/>
        <w:rPr>
          <w:rFonts w:ascii="Arial" w:hAnsi="Arial" w:cs="Arial"/>
        </w:rPr>
      </w:pPr>
      <w:proofErr w:type="spellStart"/>
      <w:r w:rsidRPr="00290EBF">
        <w:rPr>
          <w:rFonts w:ascii="Arial" w:hAnsi="Arial" w:cs="Arial"/>
        </w:rPr>
        <w:t>GenAI</w:t>
      </w:r>
      <w:proofErr w:type="spellEnd"/>
      <w:r w:rsidRPr="00290EBF">
        <w:rPr>
          <w:rFonts w:ascii="Arial" w:hAnsi="Arial" w:cs="Arial"/>
        </w:rPr>
        <w:t xml:space="preserve"> is poised to handle increasingly complex tasks, reshaping operational processes and enabling human employees to focus on high-value strategic activities (Qu &amp; Kim, 2024). Future applications are expected to include automated decision-making, advanced risk management, and enhanced optimization of global supply chain networks. These capabilities have the potential to further amplify operational efficiency while enhancing organizational agility and resilience.</w:t>
      </w:r>
    </w:p>
    <w:p w14:paraId="32C27BDE" w14:textId="67DD61AE" w:rsidR="007C3049" w:rsidRPr="00290EBF" w:rsidRDefault="007C3049" w:rsidP="008D7053">
      <w:pPr>
        <w:pStyle w:val="Body"/>
        <w:spacing w:after="0" w:line="480" w:lineRule="auto"/>
        <w:rPr>
          <w:rFonts w:ascii="Arial" w:hAnsi="Arial" w:cs="Arial"/>
          <w:b/>
          <w:bCs/>
        </w:rPr>
      </w:pPr>
      <w:r w:rsidRPr="00290EBF">
        <w:rPr>
          <w:rFonts w:ascii="Arial" w:hAnsi="Arial" w:cs="Arial"/>
          <w:b/>
          <w:bCs/>
        </w:rPr>
        <w:t>3.2.2 COST REDUCTION</w:t>
      </w:r>
    </w:p>
    <w:p w14:paraId="0AC07CA2" w14:textId="77777777" w:rsidR="007C3049" w:rsidRPr="00290EBF" w:rsidRDefault="007C3049" w:rsidP="007C3049">
      <w:pPr>
        <w:pStyle w:val="Body"/>
        <w:rPr>
          <w:rFonts w:ascii="Arial" w:hAnsi="Arial" w:cs="Arial"/>
        </w:rPr>
      </w:pPr>
      <w:proofErr w:type="spellStart"/>
      <w:r w:rsidRPr="00290EBF">
        <w:rPr>
          <w:rFonts w:ascii="Arial" w:hAnsi="Arial" w:cs="Arial"/>
        </w:rPr>
        <w:t>GenAI</w:t>
      </w:r>
      <w:proofErr w:type="spellEnd"/>
      <w:r w:rsidRPr="00290EBF">
        <w:rPr>
          <w:rFonts w:ascii="Arial" w:hAnsi="Arial" w:cs="Arial"/>
        </w:rPr>
        <w:t xml:space="preserve"> is revolutionizing cost management in supply chains by enabling precise identification and execution of cost-saving opportunities. Leveraging advanced algorithms, </w:t>
      </w:r>
      <w:proofErr w:type="spellStart"/>
      <w:r w:rsidRPr="00290EBF">
        <w:rPr>
          <w:rFonts w:ascii="Arial" w:hAnsi="Arial" w:cs="Arial"/>
        </w:rPr>
        <w:t>GenAI</w:t>
      </w:r>
      <w:proofErr w:type="spellEnd"/>
      <w:r w:rsidRPr="00290EBF">
        <w:rPr>
          <w:rFonts w:ascii="Arial" w:hAnsi="Arial" w:cs="Arial"/>
        </w:rPr>
        <w:t xml:space="preserve"> analyzes extensive supplier performance data to uncover inefficiencies and trends that traditional methods may overlook. It empowers organizations to make data-driven sourcing decisions, negotiate favorable contracts, and optimize procurement processes, collectively enhancing supplier relationships and reducing operational costs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For example, by pinpointing suppliers with inconsistent quality or inefficient lead times, businesses can reallocate resources to more dependable partners, improving supply chain reliability and efficiency. </w:t>
      </w:r>
    </w:p>
    <w:p w14:paraId="073E21C0" w14:textId="157A0CA0" w:rsidR="007C3049" w:rsidRPr="008D7053" w:rsidRDefault="007C3049" w:rsidP="008D7053">
      <w:pPr>
        <w:pStyle w:val="Body"/>
        <w:rPr>
          <w:rFonts w:ascii="Arial" w:hAnsi="Arial" w:cs="Arial"/>
        </w:rPr>
      </w:pPr>
      <w:proofErr w:type="spellStart"/>
      <w:r w:rsidRPr="00290EBF">
        <w:rPr>
          <w:rFonts w:ascii="Arial" w:hAnsi="Arial" w:cs="Arial"/>
        </w:rPr>
        <w:t>GenAI</w:t>
      </w:r>
      <w:proofErr w:type="spellEnd"/>
      <w:r w:rsidRPr="00290EBF">
        <w:rPr>
          <w:rFonts w:ascii="Arial" w:hAnsi="Arial" w:cs="Arial"/>
        </w:rPr>
        <w:t xml:space="preserve"> also contributes to cost reduction through advanced inventory management solutions. By integrating historical data, market trends, and real-time demand signals, </w:t>
      </w:r>
      <w:proofErr w:type="spellStart"/>
      <w:r w:rsidRPr="00290EBF">
        <w:rPr>
          <w:rFonts w:ascii="Arial" w:hAnsi="Arial" w:cs="Arial"/>
        </w:rPr>
        <w:t>GenAI</w:t>
      </w:r>
      <w:proofErr w:type="spellEnd"/>
      <w:r w:rsidRPr="00290EBF">
        <w:rPr>
          <w:rFonts w:ascii="Arial" w:hAnsi="Arial" w:cs="Arial"/>
        </w:rPr>
        <w:t xml:space="preserve"> generates predictive insights that enable businesses to maintain optimal inventory levels. </w:t>
      </w:r>
      <w:proofErr w:type="spellStart"/>
      <w:r w:rsidRPr="00290EBF">
        <w:rPr>
          <w:rFonts w:ascii="Arial" w:hAnsi="Arial" w:cs="Arial"/>
        </w:rPr>
        <w:t>GenAI</w:t>
      </w:r>
      <w:proofErr w:type="spellEnd"/>
      <w:r w:rsidRPr="00290EBF">
        <w:rPr>
          <w:rFonts w:ascii="Arial" w:hAnsi="Arial" w:cs="Arial"/>
        </w:rPr>
        <w:t xml:space="preserve"> minimizes storage expenses, prevents losses due to overstocking or stockouts, and consistently fulfills customer demands (Shekhar et al., 2024). </w:t>
      </w:r>
      <w:proofErr w:type="spellStart"/>
      <w:r w:rsidRPr="00290EBF">
        <w:rPr>
          <w:rFonts w:ascii="Arial" w:hAnsi="Arial" w:cs="Arial"/>
        </w:rPr>
        <w:t>GenAI</w:t>
      </w:r>
      <w:proofErr w:type="spellEnd"/>
      <w:r w:rsidRPr="00290EBF">
        <w:rPr>
          <w:rFonts w:ascii="Arial" w:hAnsi="Arial" w:cs="Arial"/>
        </w:rPr>
        <w:t xml:space="preserve">-powered tools like </w:t>
      </w:r>
      <w:proofErr w:type="spellStart"/>
      <w:r w:rsidRPr="00290EBF">
        <w:rPr>
          <w:rFonts w:ascii="Arial" w:hAnsi="Arial" w:cs="Arial"/>
        </w:rPr>
        <w:t>ChatGPT</w:t>
      </w:r>
      <w:proofErr w:type="spellEnd"/>
      <w:r w:rsidRPr="00290EBF">
        <w:rPr>
          <w:rFonts w:ascii="Arial" w:hAnsi="Arial" w:cs="Arial"/>
        </w:rPr>
        <w:t xml:space="preserve"> automate labor-intensive tasks such as contract generation and purchase order management, reducing administrative overhead and allowing resources to be redirected toward strategic initiatives. These capabilities collectively deliver significant cost savings while enhancing operational agility and efficiency (Jackson et al., 2024).</w:t>
      </w:r>
    </w:p>
    <w:p w14:paraId="69810753" w14:textId="38F9DAB5" w:rsidR="007C3049" w:rsidRPr="00290EBF" w:rsidRDefault="007C3049" w:rsidP="008D7053">
      <w:pPr>
        <w:pStyle w:val="Body"/>
        <w:spacing w:after="0" w:line="480" w:lineRule="auto"/>
        <w:rPr>
          <w:rFonts w:ascii="Arial" w:hAnsi="Arial" w:cs="Arial"/>
          <w:b/>
          <w:bCs/>
        </w:rPr>
      </w:pPr>
      <w:r w:rsidRPr="00290EBF">
        <w:rPr>
          <w:rFonts w:ascii="Arial" w:hAnsi="Arial" w:cs="Arial"/>
          <w:b/>
          <w:bCs/>
        </w:rPr>
        <w:t>3.2.3 DECISION SUPPORT</w:t>
      </w:r>
    </w:p>
    <w:p w14:paraId="2739AB83" w14:textId="77777777" w:rsidR="007C3049" w:rsidRPr="00290EBF" w:rsidRDefault="007C3049" w:rsidP="007C3049">
      <w:pPr>
        <w:pStyle w:val="Body"/>
        <w:rPr>
          <w:rFonts w:ascii="Arial" w:hAnsi="Arial" w:cs="Arial"/>
        </w:rPr>
      </w:pPr>
      <w:proofErr w:type="spellStart"/>
      <w:r w:rsidRPr="00290EBF">
        <w:rPr>
          <w:rFonts w:ascii="Arial" w:hAnsi="Arial" w:cs="Arial"/>
        </w:rPr>
        <w:t>GenAI</w:t>
      </w:r>
      <w:proofErr w:type="spellEnd"/>
      <w:r w:rsidRPr="00290EBF">
        <w:rPr>
          <w:rFonts w:ascii="Arial" w:hAnsi="Arial" w:cs="Arial"/>
        </w:rPr>
        <w:t xml:space="preserve"> is emerging as a tool for delivering real-time insights and data-driven recommendations to enhance decision-making across supply chain operations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Walter, 2023). By integrating sophisticated decision support systems, </w:t>
      </w:r>
      <w:proofErr w:type="spellStart"/>
      <w:r w:rsidRPr="00290EBF">
        <w:rPr>
          <w:rFonts w:ascii="Arial" w:hAnsi="Arial" w:cs="Arial"/>
        </w:rPr>
        <w:t>GenAI</w:t>
      </w:r>
      <w:proofErr w:type="spellEnd"/>
      <w:r w:rsidRPr="00290EBF">
        <w:rPr>
          <w:rFonts w:ascii="Arial" w:hAnsi="Arial" w:cs="Arial"/>
        </w:rPr>
        <w:t xml:space="preserve"> analyzes large datasets to predict potential disruptions and recommends proactive </w:t>
      </w:r>
      <w:r w:rsidRPr="00290EBF">
        <w:rPr>
          <w:rFonts w:ascii="Arial" w:hAnsi="Arial" w:cs="Arial"/>
        </w:rPr>
        <w:lastRenderedPageBreak/>
        <w:t>strategies, enabling organizations to respond swiftly and effectively to dynamic supply chain challenges (Qu &amp; Kim, 2024). Beyond operational decisions, GAI supports strategic planning by identifying opportunities for new product development, accelerating time-to-market, and adapting to evolving consumer needs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w:t>
      </w:r>
    </w:p>
    <w:p w14:paraId="049F656A" w14:textId="6A757CFB" w:rsidR="007C3049" w:rsidRDefault="007C3049" w:rsidP="008D7053">
      <w:pPr>
        <w:pStyle w:val="Body"/>
        <w:rPr>
          <w:rFonts w:ascii="Arial" w:hAnsi="Arial" w:cs="Arial"/>
        </w:rPr>
      </w:pPr>
      <w:r w:rsidRPr="00290EBF">
        <w:rPr>
          <w:rFonts w:ascii="Arial" w:hAnsi="Arial" w:cs="Arial"/>
        </w:rPr>
        <w:t xml:space="preserve">Table 5 highlights the areas receiving the benefits from </w:t>
      </w:r>
      <w:proofErr w:type="spellStart"/>
      <w:r w:rsidRPr="00290EBF">
        <w:rPr>
          <w:rFonts w:ascii="Arial" w:hAnsi="Arial" w:cs="Arial"/>
        </w:rPr>
        <w:t>GenAI</w:t>
      </w:r>
      <w:proofErr w:type="spellEnd"/>
      <w:r w:rsidRPr="00290EBF">
        <w:rPr>
          <w:rFonts w:ascii="Arial" w:hAnsi="Arial" w:cs="Arial"/>
        </w:rPr>
        <w:t xml:space="preserve"> adoption. These applications illustrate that, despite its relative novelty, </w:t>
      </w:r>
      <w:proofErr w:type="spellStart"/>
      <w:r w:rsidRPr="00290EBF">
        <w:rPr>
          <w:rFonts w:ascii="Arial" w:hAnsi="Arial" w:cs="Arial"/>
        </w:rPr>
        <w:t>GenAI</w:t>
      </w:r>
      <w:proofErr w:type="spellEnd"/>
      <w:r w:rsidRPr="00290EBF">
        <w:rPr>
          <w:rFonts w:ascii="Arial" w:hAnsi="Arial" w:cs="Arial"/>
        </w:rPr>
        <w:t xml:space="preserve"> is already producing measurable benefits in SCM. Companies report improvements in customer satisfaction, cost reduction, and process efficiency, underscoring the potential of </w:t>
      </w:r>
      <w:proofErr w:type="spellStart"/>
      <w:r w:rsidRPr="00290EBF">
        <w:rPr>
          <w:rFonts w:ascii="Arial" w:hAnsi="Arial" w:cs="Arial"/>
        </w:rPr>
        <w:t>GenAI</w:t>
      </w:r>
      <w:proofErr w:type="spellEnd"/>
      <w:r w:rsidRPr="00290EBF">
        <w:rPr>
          <w:rFonts w:ascii="Arial" w:hAnsi="Arial" w:cs="Arial"/>
        </w:rPr>
        <w:t xml:space="preserve"> to drive innovation and operational excellence. These tangible results are encouraging further exploration and investment in </w:t>
      </w:r>
      <w:proofErr w:type="spellStart"/>
      <w:r w:rsidRPr="00290EBF">
        <w:rPr>
          <w:rFonts w:ascii="Arial" w:hAnsi="Arial" w:cs="Arial"/>
        </w:rPr>
        <w:t>GenAI</w:t>
      </w:r>
      <w:proofErr w:type="spellEnd"/>
      <w:r w:rsidRPr="00290EBF">
        <w:rPr>
          <w:rFonts w:ascii="Arial" w:hAnsi="Arial" w:cs="Arial"/>
        </w:rPr>
        <w:t>-driven solutions for supply chain optimization.</w:t>
      </w:r>
    </w:p>
    <w:p w14:paraId="4D30C23D" w14:textId="5AD23399" w:rsidR="007C3049" w:rsidRPr="007C3049" w:rsidRDefault="007C3049" w:rsidP="007C3049">
      <w:pPr>
        <w:pStyle w:val="Body"/>
        <w:rPr>
          <w:rFonts w:ascii="Arial" w:hAnsi="Arial" w:cs="Arial"/>
          <w:i/>
        </w:rPr>
      </w:pPr>
      <w:r w:rsidRPr="007C3049">
        <w:rPr>
          <w:rFonts w:ascii="Arial" w:hAnsi="Arial" w:cs="Arial"/>
          <w:b/>
          <w:bCs/>
          <w:iCs/>
        </w:rPr>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5</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 xml:space="preserve">Highlights the benefits offered by </w:t>
      </w:r>
      <w:proofErr w:type="spellStart"/>
      <w:r w:rsidRPr="007C3049">
        <w:rPr>
          <w:rFonts w:ascii="Arial" w:hAnsi="Arial" w:cs="Arial"/>
          <w:b/>
          <w:bCs/>
          <w:iCs/>
        </w:rPr>
        <w:t>GenAI</w:t>
      </w:r>
      <w:proofErr w:type="spellEnd"/>
      <w:r w:rsidRPr="007C3049">
        <w:rPr>
          <w:rFonts w:ascii="Arial" w:hAnsi="Arial" w:cs="Arial"/>
          <w:b/>
          <w:bCs/>
          <w:iCs/>
        </w:rPr>
        <w:t xml:space="preserve"> Adoption in SCM</w:t>
      </w:r>
    </w:p>
    <w:tbl>
      <w:tblPr>
        <w:tblW w:w="8205" w:type="dxa"/>
        <w:tblLayout w:type="fixed"/>
        <w:tblLook w:val="06A0" w:firstRow="1" w:lastRow="0" w:firstColumn="1" w:lastColumn="0" w:noHBand="1" w:noVBand="1"/>
      </w:tblPr>
      <w:tblGrid>
        <w:gridCol w:w="3617"/>
        <w:gridCol w:w="4588"/>
      </w:tblGrid>
      <w:tr w:rsidR="007C3049" w:rsidRPr="007C3049" w14:paraId="7FA1F36E" w14:textId="77777777" w:rsidTr="007C3049">
        <w:trPr>
          <w:trHeight w:val="300"/>
        </w:trPr>
        <w:tc>
          <w:tcPr>
            <w:tcW w:w="3617" w:type="dxa"/>
            <w:tcBorders>
              <w:top w:val="single" w:sz="4" w:space="0" w:color="auto"/>
              <w:bottom w:val="single" w:sz="4" w:space="0" w:color="auto"/>
            </w:tcBorders>
            <w:tcMar>
              <w:top w:w="15" w:type="dxa"/>
              <w:left w:w="15" w:type="dxa"/>
              <w:right w:w="15" w:type="dxa"/>
            </w:tcMar>
            <w:vAlign w:val="center"/>
          </w:tcPr>
          <w:p w14:paraId="62987380"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Benefits</w:t>
            </w:r>
          </w:p>
        </w:tc>
        <w:tc>
          <w:tcPr>
            <w:tcW w:w="4588" w:type="dxa"/>
            <w:tcBorders>
              <w:top w:val="single" w:sz="4" w:space="0" w:color="auto"/>
              <w:bottom w:val="single" w:sz="4" w:space="0" w:color="auto"/>
            </w:tcBorders>
            <w:tcMar>
              <w:top w:w="15" w:type="dxa"/>
              <w:left w:w="15" w:type="dxa"/>
              <w:right w:w="15" w:type="dxa"/>
            </w:tcMar>
            <w:vAlign w:val="center"/>
          </w:tcPr>
          <w:p w14:paraId="0D93F16F"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Author(s)</w:t>
            </w:r>
          </w:p>
        </w:tc>
      </w:tr>
      <w:tr w:rsidR="007C3049" w:rsidRPr="007C3049" w14:paraId="34AB5E9F" w14:textId="77777777" w:rsidTr="007C3049">
        <w:trPr>
          <w:trHeight w:val="300"/>
        </w:trPr>
        <w:tc>
          <w:tcPr>
            <w:tcW w:w="3617" w:type="dxa"/>
            <w:tcBorders>
              <w:top w:val="single" w:sz="4" w:space="0" w:color="auto"/>
            </w:tcBorders>
            <w:tcMar>
              <w:top w:w="15" w:type="dxa"/>
              <w:left w:w="15" w:type="dxa"/>
              <w:right w:w="15" w:type="dxa"/>
            </w:tcMar>
            <w:vAlign w:val="center"/>
          </w:tcPr>
          <w:p w14:paraId="0304C770"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customer satisfaction</w:t>
            </w:r>
          </w:p>
        </w:tc>
        <w:tc>
          <w:tcPr>
            <w:tcW w:w="4588" w:type="dxa"/>
            <w:tcBorders>
              <w:top w:val="single" w:sz="4" w:space="0" w:color="auto"/>
            </w:tcBorders>
            <w:tcMar>
              <w:top w:w="15" w:type="dxa"/>
              <w:left w:w="15" w:type="dxa"/>
              <w:right w:w="15" w:type="dxa"/>
            </w:tcMar>
            <w:vAlign w:val="center"/>
          </w:tcPr>
          <w:sdt>
            <w:sdtPr>
              <w:rPr>
                <w:rFonts w:ascii="Arial" w:hAnsi="Arial" w:cs="Arial"/>
                <w:lang w:val="pt-BR"/>
              </w:rPr>
              <w:tag w:val="MENDELEY_CITATION_v3_eyJjaXRhdGlvbklEIjoiTUVOREVMRVlfQ0lUQVRJT05fZTYzZTI1MDItYjFlZi00ZjI5LWI0OGMtMjM2YjE2Mzg1NTI5IiwicHJvcGVydGllcyI6eyJub3RlSW5kZXgiOjB9LCJpc0VkaXRlZCI6ZmFsc2UsIm1hbnVhbE92ZXJyaWRlIjp7ImlzTWFudWFsbHlPdmVycmlkZGVuIjpmYWxzZSwiY2l0ZXByb2NUZXh0IjoiKEZvc3NvIFdhbWJhIGV0IGFsLiwgMjAyNDsgSGVuZHJpa3NlbiwgMjAyMy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"/>
              <w:id w:val="-1027708567"/>
              <w:placeholder>
                <w:docPart w:val="C90936AC17E94BC9BDEB171585AFC97C"/>
              </w:placeholder>
            </w:sdtPr>
            <w:sdtEndPr/>
            <w:sdtContent>
              <w:p w14:paraId="6963CC8E"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Hendriksen, 2023)</w:t>
                </w:r>
              </w:p>
            </w:sdtContent>
          </w:sdt>
        </w:tc>
      </w:tr>
      <w:tr w:rsidR="007C3049" w:rsidRPr="007C3049" w14:paraId="55D95CFD" w14:textId="77777777" w:rsidTr="007C3049">
        <w:trPr>
          <w:trHeight w:val="300"/>
        </w:trPr>
        <w:tc>
          <w:tcPr>
            <w:tcW w:w="3617" w:type="dxa"/>
            <w:tcMar>
              <w:top w:w="15" w:type="dxa"/>
              <w:left w:w="15" w:type="dxa"/>
              <w:right w:w="15" w:type="dxa"/>
            </w:tcMar>
            <w:vAlign w:val="center"/>
          </w:tcPr>
          <w:p w14:paraId="2D59CDFC"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Cost savings</w:t>
            </w:r>
          </w:p>
        </w:tc>
        <w:tc>
          <w:tcPr>
            <w:tcW w:w="4588" w:type="dxa"/>
            <w:tcMar>
              <w:top w:w="15" w:type="dxa"/>
              <w:left w:w="15" w:type="dxa"/>
              <w:right w:w="15" w:type="dxa"/>
            </w:tcMar>
            <w:vAlign w:val="center"/>
          </w:tcPr>
          <w:sdt>
            <w:sdtPr>
              <w:rPr>
                <w:rFonts w:ascii="Arial" w:hAnsi="Arial" w:cs="Arial"/>
                <w:lang w:val="pt-BR"/>
              </w:rPr>
              <w:tag w:val="MENDELEY_CITATION_v3_eyJjaXRhdGlvbklEIjoiTUVOREVMRVlfQ0lUQVRJT05fZWRhZWIyYWMtNWJlMy00NWI1LTljZjAtY2JkZGZjZDg0NTNh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1950309346"/>
              <w:placeholder>
                <w:docPart w:val="C90936AC17E94BC9BDEB171585AFC97C"/>
              </w:placeholder>
            </w:sdtPr>
            <w:sdtEndPr/>
            <w:sdtContent>
              <w:p w14:paraId="693FF65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07A05898" w14:textId="77777777" w:rsidTr="007C3049">
        <w:trPr>
          <w:trHeight w:val="300"/>
        </w:trPr>
        <w:tc>
          <w:tcPr>
            <w:tcW w:w="3617" w:type="dxa"/>
            <w:tcMar>
              <w:top w:w="15" w:type="dxa"/>
              <w:left w:w="15" w:type="dxa"/>
              <w:right w:w="15" w:type="dxa"/>
            </w:tcMar>
            <w:vAlign w:val="center"/>
          </w:tcPr>
          <w:p w14:paraId="0ED12E6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Process efficiencies</w:t>
            </w:r>
          </w:p>
        </w:tc>
        <w:tc>
          <w:tcPr>
            <w:tcW w:w="4588" w:type="dxa"/>
            <w:tcMar>
              <w:top w:w="15" w:type="dxa"/>
              <w:left w:w="15" w:type="dxa"/>
              <w:right w:w="15" w:type="dxa"/>
            </w:tcMar>
            <w:vAlign w:val="center"/>
          </w:tcPr>
          <w:sdt>
            <w:sdtPr>
              <w:rPr>
                <w:rFonts w:ascii="Arial" w:hAnsi="Arial" w:cs="Arial"/>
                <w:lang w:val="pt-BR"/>
              </w:rPr>
              <w:tag w:val="MENDELEY_CITATION_v3_eyJjaXRhdGlvbklEIjoiTUVOREVMRVlfQ0lUQVRJT05fYzhiNjZkYjQtZTVkMC00ZDcyLWFiM2QtODc5MTRkYjcyMTY1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290135224"/>
              <w:placeholder>
                <w:docPart w:val="C90936AC17E94BC9BDEB171585AFC97C"/>
              </w:placeholder>
            </w:sdtPr>
            <w:sdtEndPr/>
            <w:sdtContent>
              <w:p w14:paraId="09EDECC1"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sdtContent>
          </w:sdt>
        </w:tc>
      </w:tr>
      <w:tr w:rsidR="007C3049" w:rsidRPr="007C3049" w14:paraId="51657570" w14:textId="77777777" w:rsidTr="007C3049">
        <w:trPr>
          <w:trHeight w:val="300"/>
        </w:trPr>
        <w:tc>
          <w:tcPr>
            <w:tcW w:w="3617" w:type="dxa"/>
            <w:tcMar>
              <w:top w:w="15" w:type="dxa"/>
              <w:left w:w="15" w:type="dxa"/>
              <w:right w:w="15" w:type="dxa"/>
            </w:tcMar>
            <w:vAlign w:val="center"/>
          </w:tcPr>
          <w:p w14:paraId="2D7386B4"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Reduced errors</w:t>
            </w:r>
          </w:p>
        </w:tc>
        <w:sdt>
          <w:sdtPr>
            <w:rPr>
              <w:rFonts w:ascii="Arial" w:hAnsi="Arial" w:cs="Arial"/>
              <w:lang w:val="pt-BR"/>
            </w:rPr>
            <w:tag w:val="MENDELEY_CITATION_v3_eyJjaXRhdGlvbklEIjoiTUVOREVMRVlfQ0lUQVRJT05fZTgyNmI5OWMtMzRhZC00OTU5LTgyZjUtNmJiNDcyZmIxOTkw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330453778"/>
            <w:placeholder>
              <w:docPart w:val="C90936AC17E94BC9BDEB171585AFC97C"/>
            </w:placeholder>
          </w:sdtPr>
          <w:sdtEndPr/>
          <w:sdtContent>
            <w:tc>
              <w:tcPr>
                <w:tcW w:w="4588" w:type="dxa"/>
                <w:tcMar>
                  <w:top w:w="15" w:type="dxa"/>
                  <w:left w:w="15" w:type="dxa"/>
                  <w:right w:w="15" w:type="dxa"/>
                </w:tcMar>
                <w:vAlign w:val="center"/>
              </w:tcPr>
              <w:p w14:paraId="440365CE"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631BA3D0" w14:textId="77777777" w:rsidTr="007C3049">
        <w:trPr>
          <w:trHeight w:val="600"/>
        </w:trPr>
        <w:tc>
          <w:tcPr>
            <w:tcW w:w="3617" w:type="dxa"/>
            <w:tcMar>
              <w:top w:w="15" w:type="dxa"/>
              <w:left w:w="15" w:type="dxa"/>
              <w:right w:w="15" w:type="dxa"/>
            </w:tcMar>
            <w:vAlign w:val="center"/>
          </w:tcPr>
          <w:p w14:paraId="3C572F3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inventory management</w:t>
            </w:r>
          </w:p>
        </w:tc>
        <w:sdt>
          <w:sdtPr>
            <w:rPr>
              <w:rFonts w:ascii="Arial" w:hAnsi="Arial" w:cs="Arial"/>
              <w:lang w:val="pt-BR"/>
            </w:rPr>
            <w:tag w:val="MENDELEY_CITATION_v3_eyJjaXRhdGlvbklEIjoiTUVOREVMRVlfQ0lUQVRJT05fMDA0MjBjMTYtMjNjZC00MDVhLTkxYzYtM2QyNjY2NWZkNDQw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1913230336"/>
            <w:placeholder>
              <w:docPart w:val="C90936AC17E94BC9BDEB171585AFC97C"/>
            </w:placeholder>
          </w:sdtPr>
          <w:sdtEndPr/>
          <w:sdtContent>
            <w:tc>
              <w:tcPr>
                <w:tcW w:w="4588" w:type="dxa"/>
                <w:tcMar>
                  <w:top w:w="15" w:type="dxa"/>
                  <w:left w:w="15" w:type="dxa"/>
                  <w:right w:w="15" w:type="dxa"/>
                </w:tcMar>
                <w:vAlign w:val="center"/>
              </w:tcPr>
              <w:p w14:paraId="77BB2F89"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31782C48" w14:textId="77777777" w:rsidTr="007C3049">
        <w:trPr>
          <w:trHeight w:val="300"/>
        </w:trPr>
        <w:tc>
          <w:tcPr>
            <w:tcW w:w="3617" w:type="dxa"/>
            <w:tcMar>
              <w:top w:w="15" w:type="dxa"/>
              <w:left w:w="15" w:type="dxa"/>
              <w:right w:w="15" w:type="dxa"/>
            </w:tcMar>
            <w:vAlign w:val="center"/>
          </w:tcPr>
          <w:p w14:paraId="366844F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Time savings</w:t>
            </w:r>
          </w:p>
        </w:tc>
        <w:sdt>
          <w:sdtPr>
            <w:rPr>
              <w:rFonts w:ascii="Arial" w:hAnsi="Arial" w:cs="Arial"/>
              <w:lang w:val="pt-BR"/>
            </w:rPr>
            <w:tag w:val="MENDELEY_CITATION_v3_eyJjaXRhdGlvbklEIjoiTUVOREVMRVlfQ0lUQVRJT05fZjBkZWUyN2MtYzNmYy00M2Q1LWFhOGEtZWIyYWQ5ZjVjZGM0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991327126"/>
            <w:placeholder>
              <w:docPart w:val="6F66013E926144099BB07211334DC9D6"/>
            </w:placeholder>
          </w:sdtPr>
          <w:sdtEndPr/>
          <w:sdtContent>
            <w:tc>
              <w:tcPr>
                <w:tcW w:w="4588" w:type="dxa"/>
                <w:tcMar>
                  <w:top w:w="15" w:type="dxa"/>
                  <w:left w:w="15" w:type="dxa"/>
                  <w:right w:w="15" w:type="dxa"/>
                </w:tcMar>
                <w:vAlign w:val="center"/>
              </w:tcPr>
              <w:p w14:paraId="5929BE58"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3AC34FB2" w14:textId="77777777" w:rsidTr="007C3049">
        <w:trPr>
          <w:trHeight w:val="600"/>
        </w:trPr>
        <w:tc>
          <w:tcPr>
            <w:tcW w:w="3617" w:type="dxa"/>
            <w:tcMar>
              <w:top w:w="15" w:type="dxa"/>
              <w:left w:w="15" w:type="dxa"/>
              <w:right w:w="15" w:type="dxa"/>
            </w:tcMar>
            <w:vAlign w:val="center"/>
          </w:tcPr>
          <w:p w14:paraId="6A4798BA"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Risk management</w:t>
            </w:r>
          </w:p>
        </w:tc>
        <w:sdt>
          <w:sdtPr>
            <w:rPr>
              <w:rFonts w:ascii="Arial" w:hAnsi="Arial" w:cs="Arial"/>
              <w:lang w:val="pt-BR"/>
            </w:rPr>
            <w:tag w:val="MENDELEY_CITATION_v3_eyJjaXRhdGlvbklEIjoiTUVOREVMRVlfQ0lUQVRJT05fMTEyYTYzYjktM2IxYy00OTJhLWFlZGEtN2RlN2Q4ZDA5ZWVj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692965479"/>
            <w:placeholder>
              <w:docPart w:val="FFB6F29CC6B040A19CD0FA19E5E4A86F"/>
            </w:placeholder>
          </w:sdtPr>
          <w:sdtEndPr/>
          <w:sdtContent>
            <w:tc>
              <w:tcPr>
                <w:tcW w:w="4588" w:type="dxa"/>
                <w:tcMar>
                  <w:top w:w="15" w:type="dxa"/>
                  <w:left w:w="15" w:type="dxa"/>
                  <w:right w:w="15" w:type="dxa"/>
                </w:tcMar>
                <w:vAlign w:val="center"/>
              </w:tcPr>
              <w:p w14:paraId="57BAF7DA"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6ABCFE4D" w14:textId="77777777" w:rsidTr="007C3049">
        <w:trPr>
          <w:trHeight w:val="300"/>
        </w:trPr>
        <w:tc>
          <w:tcPr>
            <w:tcW w:w="3617" w:type="dxa"/>
            <w:tcMar>
              <w:top w:w="15" w:type="dxa"/>
              <w:left w:w="15" w:type="dxa"/>
              <w:right w:w="15" w:type="dxa"/>
            </w:tcMar>
            <w:vAlign w:val="center"/>
          </w:tcPr>
          <w:p w14:paraId="71D52FE9"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Real-time information access</w:t>
            </w:r>
          </w:p>
        </w:tc>
        <w:tc>
          <w:tcPr>
            <w:tcW w:w="4588" w:type="dxa"/>
            <w:tcMar>
              <w:top w:w="15" w:type="dxa"/>
              <w:left w:w="15" w:type="dxa"/>
              <w:right w:w="15" w:type="dxa"/>
            </w:tcMar>
            <w:vAlign w:val="center"/>
          </w:tcPr>
          <w:p w14:paraId="1A9BEC17" w14:textId="77777777" w:rsidR="007C3049" w:rsidRPr="007C3049" w:rsidRDefault="00F8027E" w:rsidP="007C3049">
            <w:pPr>
              <w:pStyle w:val="Body"/>
              <w:rPr>
                <w:rFonts w:ascii="Arial" w:hAnsi="Arial" w:cs="Arial"/>
                <w:lang w:val="pt-BR"/>
              </w:rPr>
            </w:pPr>
            <w:sdt>
              <w:sdtPr>
                <w:rPr>
                  <w:rFonts w:ascii="Arial" w:hAnsi="Arial" w:cs="Arial"/>
                  <w:lang w:val="pt-BR"/>
                </w:rPr>
                <w:tag w:val="MENDELEY_CITATION_v3_eyJjaXRhdGlvbklEIjoiTUVOREVMRVlfQ0lUQVRJT05fYTMwNGNmN2EtNGJmOS00ODgxLWJmODItYzI2ZGZhZjA5MWI0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88235069"/>
                <w:placeholder>
                  <w:docPart w:val="B9763A36F5304CB982EAF2A006E575BC"/>
                </w:placeholder>
              </w:sdtPr>
              <w:sdtEndPr/>
              <w:sdtContent>
                <w:r w:rsidR="007C3049" w:rsidRPr="007C3049">
                  <w:rPr>
                    <w:rFonts w:ascii="Arial" w:hAnsi="Arial" w:cs="Arial"/>
                    <w:lang w:val="pt-BR"/>
                  </w:rPr>
                  <w:t>(Fosso Wamba et al., 2024)</w:t>
                </w:r>
              </w:sdtContent>
            </w:sdt>
          </w:p>
        </w:tc>
      </w:tr>
      <w:tr w:rsidR="007C3049" w:rsidRPr="007C3049" w14:paraId="002219E4" w14:textId="77777777" w:rsidTr="007C3049">
        <w:trPr>
          <w:trHeight w:val="600"/>
        </w:trPr>
        <w:tc>
          <w:tcPr>
            <w:tcW w:w="3617" w:type="dxa"/>
            <w:tcMar>
              <w:top w:w="15" w:type="dxa"/>
              <w:left w:w="15" w:type="dxa"/>
              <w:right w:w="15" w:type="dxa"/>
            </w:tcMar>
            <w:vAlign w:val="center"/>
          </w:tcPr>
          <w:p w14:paraId="6F74C8E8"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Enhanced decision-making</w:t>
            </w:r>
          </w:p>
        </w:tc>
        <w:sdt>
          <w:sdtPr>
            <w:rPr>
              <w:rFonts w:ascii="Arial" w:hAnsi="Arial" w:cs="Arial"/>
              <w:lang w:val="pt-BR"/>
            </w:rPr>
            <w:tag w:val="MENDELEY_CITATION_v3_eyJjaXRhdGlvbklEIjoiTUVOREVMRVlfQ0lUQVRJT05fNTEzNDhkOGEtZTczNC00OGFmLWJiNGMtNjY3ZTQ0MjQ0ODZi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796801269"/>
            <w:placeholder>
              <w:docPart w:val="E47F819C4C0B4F7EB3EAF9F714DD842B"/>
            </w:placeholder>
          </w:sdtPr>
          <w:sdtEndPr/>
          <w:sdtContent>
            <w:tc>
              <w:tcPr>
                <w:tcW w:w="4588" w:type="dxa"/>
                <w:tcMar>
                  <w:top w:w="15" w:type="dxa"/>
                  <w:left w:w="15" w:type="dxa"/>
                  <w:right w:w="15" w:type="dxa"/>
                </w:tcMar>
                <w:vAlign w:val="center"/>
              </w:tcPr>
              <w:p w14:paraId="6E4C4C9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43CB2938" w14:textId="77777777" w:rsidTr="007C3049">
        <w:trPr>
          <w:trHeight w:val="300"/>
        </w:trPr>
        <w:tc>
          <w:tcPr>
            <w:tcW w:w="3617" w:type="dxa"/>
            <w:tcMar>
              <w:top w:w="15" w:type="dxa"/>
              <w:left w:w="15" w:type="dxa"/>
              <w:right w:w="15" w:type="dxa"/>
            </w:tcMar>
            <w:vAlign w:val="center"/>
          </w:tcPr>
          <w:p w14:paraId="3747F0C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Increased automation</w:t>
            </w:r>
          </w:p>
        </w:tc>
        <w:tc>
          <w:tcPr>
            <w:tcW w:w="4588" w:type="dxa"/>
            <w:tcMar>
              <w:top w:w="15" w:type="dxa"/>
              <w:left w:w="15" w:type="dxa"/>
              <w:right w:w="15" w:type="dxa"/>
            </w:tcMar>
            <w:vAlign w:val="center"/>
          </w:tcPr>
          <w:p w14:paraId="5DEC0D68" w14:textId="77777777" w:rsidR="007C3049" w:rsidRPr="007C3049" w:rsidRDefault="00F8027E" w:rsidP="007C3049">
            <w:pPr>
              <w:pStyle w:val="Body"/>
              <w:rPr>
                <w:rFonts w:ascii="Arial" w:hAnsi="Arial" w:cs="Arial"/>
                <w:lang w:val="pt-BR"/>
              </w:rPr>
            </w:pPr>
            <w:sdt>
              <w:sdtPr>
                <w:rPr>
                  <w:rFonts w:ascii="Arial" w:hAnsi="Arial" w:cs="Arial"/>
                  <w:lang w:val="pt-BR"/>
                </w:rPr>
                <w:tag w:val="MENDELEY_CITATION_v3_eyJjaXRhdGlvbklEIjoiTUVOREVMRVlfQ0lUQVRJT05fOThiNmVjN2QtZmE4Mi00YzE1LWFiOWEtNzI2YmI0OWZkNzZmIiwicHJvcGVydGllcyI6eyJub3RlSW5kZXgiOjB9LCJpc0VkaXRlZCI6ZmFsc2UsIm1hbnVhbE92ZXJyaWRlIjp7ImlzTWFudWFsbHlPdmVycmlkZGVuIjpmYWxzZSwiY2l0ZXByb2NUZXh0IjoiKEZvc3NvIFdhbWJhIGV0IGFsLiwgMjAyNDsgUXUgJiMzODsgS2lt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V9XX0="/>
                <w:id w:val="1565533556"/>
                <w:placeholder>
                  <w:docPart w:val="BD81694917BF4922A513D4C8AC6B8CE2"/>
                </w:placeholder>
              </w:sdtPr>
              <w:sdtEndPr/>
              <w:sdtContent>
                <w:r w:rsidR="007C3049" w:rsidRPr="007C3049">
                  <w:rPr>
                    <w:rFonts w:ascii="Arial" w:hAnsi="Arial" w:cs="Arial"/>
                    <w:lang w:val="pt-BR"/>
                  </w:rPr>
                  <w:t>(Fosso Wamba et al., 2024; Qu &amp; Kim, 2024)</w:t>
                </w:r>
              </w:sdtContent>
            </w:sdt>
          </w:p>
        </w:tc>
      </w:tr>
      <w:tr w:rsidR="007C3049" w:rsidRPr="007C3049" w14:paraId="6A50C053" w14:textId="77777777" w:rsidTr="007C3049">
        <w:trPr>
          <w:trHeight w:val="300"/>
        </w:trPr>
        <w:tc>
          <w:tcPr>
            <w:tcW w:w="3617" w:type="dxa"/>
            <w:tcMar>
              <w:top w:w="15" w:type="dxa"/>
              <w:left w:w="15" w:type="dxa"/>
              <w:right w:w="15" w:type="dxa"/>
            </w:tcMar>
            <w:vAlign w:val="center"/>
          </w:tcPr>
          <w:p w14:paraId="63F92C6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sustainability</w:t>
            </w:r>
          </w:p>
        </w:tc>
        <w:tc>
          <w:tcPr>
            <w:tcW w:w="4588" w:type="dxa"/>
            <w:tcMar>
              <w:top w:w="15" w:type="dxa"/>
              <w:left w:w="15" w:type="dxa"/>
              <w:right w:w="15" w:type="dxa"/>
            </w:tcMar>
            <w:vAlign w:val="center"/>
          </w:tcPr>
          <w:p w14:paraId="692923D6" w14:textId="77777777" w:rsidR="007C3049" w:rsidRPr="007C3049" w:rsidRDefault="00F8027E" w:rsidP="007C3049">
            <w:pPr>
              <w:pStyle w:val="Body"/>
              <w:rPr>
                <w:rFonts w:ascii="Arial" w:hAnsi="Arial" w:cs="Arial"/>
                <w:lang w:val="pt-BR"/>
              </w:rPr>
            </w:pPr>
            <w:sdt>
              <w:sdtPr>
                <w:rPr>
                  <w:rFonts w:ascii="Arial" w:hAnsi="Arial" w:cs="Arial"/>
                  <w:lang w:val="pt-BR"/>
                </w:rPr>
                <w:tag w:val="MENDELEY_CITATION_v3_eyJjaXRhdGlvbklEIjoiTUVOREVMRVlfQ0lUQVRJT05fYjhkNDA4NDktYmQ0Zi00YTFmLWJkNWEtN2RjZTQ2YTdmMmY0IiwicHJvcGVydGllcyI6eyJub3RlSW5kZXgiOjB9LCJpc0VkaXRlZCI6ZmFsc2UsIm1hbnVhbE92ZXJyaWRlIjp7ImlzTWFudWFsbHlPdmVycmlkZGVuIjpmYWxzZSwiY2l0ZXByb2NUZXh0IjoiKEZvc3NvIFdhbWJhIGV0IGFsLiwgMjAyNDsgUXUgJiMzODsgS2lt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V9XX0="/>
                <w:id w:val="1889220107"/>
                <w:placeholder>
                  <w:docPart w:val="70920F4268A743569117D81AC113AE0F"/>
                </w:placeholder>
              </w:sdtPr>
              <w:sdtEndPr/>
              <w:sdtContent>
                <w:r w:rsidR="007C3049" w:rsidRPr="007C3049">
                  <w:rPr>
                    <w:rFonts w:ascii="Arial" w:hAnsi="Arial" w:cs="Arial"/>
                    <w:lang w:val="pt-BR"/>
                  </w:rPr>
                  <w:t>(Fosso Wamba et al., 2024; Qu &amp; Kim, 2024)</w:t>
                </w:r>
              </w:sdtContent>
            </w:sdt>
          </w:p>
        </w:tc>
      </w:tr>
      <w:tr w:rsidR="007C3049" w:rsidRPr="007C3049" w14:paraId="02EC3103" w14:textId="77777777" w:rsidTr="007C3049">
        <w:trPr>
          <w:trHeight w:val="300"/>
        </w:trPr>
        <w:tc>
          <w:tcPr>
            <w:tcW w:w="3617" w:type="dxa"/>
            <w:tcMar>
              <w:top w:w="15" w:type="dxa"/>
              <w:left w:w="15" w:type="dxa"/>
              <w:right w:w="15" w:type="dxa"/>
            </w:tcMar>
            <w:vAlign w:val="center"/>
          </w:tcPr>
          <w:p w14:paraId="36EF2C7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Growth in website traffic</w:t>
            </w:r>
          </w:p>
        </w:tc>
        <w:sdt>
          <w:sdtPr>
            <w:rPr>
              <w:rFonts w:ascii="Arial" w:hAnsi="Arial" w:cs="Arial"/>
              <w:lang w:val="pt-BR"/>
            </w:rPr>
            <w:tag w:val="MENDELEY_CITATION_v3_eyJjaXRhdGlvbklEIjoiTUVOREVMRVlfQ0lUQVRJT05fZmM1NDhmMDItMDU0Ni00NTA4LTk0MDQtMDIwYTRhZDczNmEx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473915819"/>
            <w:placeholder>
              <w:docPart w:val="C90936AC17E94BC9BDEB171585AFC97C"/>
            </w:placeholder>
          </w:sdtPr>
          <w:sdtEndPr/>
          <w:sdtContent>
            <w:tc>
              <w:tcPr>
                <w:tcW w:w="4588" w:type="dxa"/>
                <w:tcMar>
                  <w:top w:w="15" w:type="dxa"/>
                  <w:left w:w="15" w:type="dxa"/>
                  <w:right w:w="15" w:type="dxa"/>
                </w:tcMar>
                <w:vAlign w:val="center"/>
              </w:tcPr>
              <w:p w14:paraId="10896B75"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24630D1F" w14:textId="77777777" w:rsidTr="007C3049">
        <w:trPr>
          <w:trHeight w:val="600"/>
        </w:trPr>
        <w:tc>
          <w:tcPr>
            <w:tcW w:w="3617" w:type="dxa"/>
            <w:tcMar>
              <w:top w:w="15" w:type="dxa"/>
              <w:left w:w="15" w:type="dxa"/>
              <w:right w:w="15" w:type="dxa"/>
            </w:tcMar>
            <w:vAlign w:val="center"/>
          </w:tcPr>
          <w:p w14:paraId="3A20FAD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Faster and more reliable ERP implementations</w:t>
            </w:r>
          </w:p>
        </w:tc>
        <w:tc>
          <w:tcPr>
            <w:tcW w:w="4588" w:type="dxa"/>
            <w:tcMar>
              <w:top w:w="15" w:type="dxa"/>
              <w:left w:w="15" w:type="dxa"/>
              <w:right w:w="15" w:type="dxa"/>
            </w:tcMar>
            <w:vAlign w:val="bottom"/>
          </w:tcPr>
          <w:sdt>
            <w:sdtPr>
              <w:rPr>
                <w:rFonts w:ascii="Arial" w:hAnsi="Arial" w:cs="Arial"/>
                <w:lang w:val="pt-BR"/>
              </w:rPr>
              <w:tag w:val="MENDELEY_CITATION_v3_eyJjaXRhdGlvbklEIjoiTUVOREVMRVlfQ0lUQVRJT05fZDQ5OGJjYjAtYjRjMC00OGYxLWFlNmEtZWZkNGQxNTgzNTVm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681042686"/>
              <w:placeholder>
                <w:docPart w:val="C90936AC17E94BC9BDEB171585AFC97C"/>
              </w:placeholder>
            </w:sdtPr>
            <w:sdtEndPr/>
            <w:sdtContent>
              <w:p w14:paraId="1E43A6CF"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r w:rsidR="007C3049" w:rsidRPr="007C3049" w14:paraId="218D766B" w14:textId="77777777" w:rsidTr="007C3049">
        <w:trPr>
          <w:trHeight w:val="600"/>
        </w:trPr>
        <w:tc>
          <w:tcPr>
            <w:tcW w:w="3617" w:type="dxa"/>
            <w:tcMar>
              <w:top w:w="15" w:type="dxa"/>
              <w:left w:w="15" w:type="dxa"/>
              <w:right w:w="15" w:type="dxa"/>
            </w:tcMar>
            <w:vAlign w:val="center"/>
          </w:tcPr>
          <w:p w14:paraId="06FB216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accuracy and efficiency in data management</w:t>
            </w:r>
          </w:p>
        </w:tc>
        <w:tc>
          <w:tcPr>
            <w:tcW w:w="4588" w:type="dxa"/>
            <w:tcMar>
              <w:top w:w="15" w:type="dxa"/>
              <w:left w:w="15" w:type="dxa"/>
              <w:right w:w="15" w:type="dxa"/>
            </w:tcMar>
            <w:vAlign w:val="bottom"/>
          </w:tcPr>
          <w:sdt>
            <w:sdtPr>
              <w:rPr>
                <w:rFonts w:ascii="Arial" w:hAnsi="Arial" w:cs="Arial"/>
                <w:lang w:val="pt-BR"/>
              </w:rPr>
              <w:tag w:val="MENDELEY_CITATION_v3_eyJjaXRhdGlvbklEIjoiTUVOREVMRVlfQ0lUQVRJT05fZDA0ODQzNzQtNjA3NS00M2VmLTk4MzItM2JhYmUzNjk3YmJj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733077262"/>
              <w:placeholder>
                <w:docPart w:val="C90936AC17E94BC9BDEB171585AFC97C"/>
              </w:placeholder>
            </w:sdtPr>
            <w:sdtEndPr/>
            <w:sdtContent>
              <w:p w14:paraId="6B3D164D"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r w:rsidR="007C3049" w:rsidRPr="007C3049" w14:paraId="3851A035" w14:textId="77777777" w:rsidTr="007C3049">
        <w:trPr>
          <w:trHeight w:val="600"/>
        </w:trPr>
        <w:tc>
          <w:tcPr>
            <w:tcW w:w="3617" w:type="dxa"/>
            <w:tcBorders>
              <w:bottom w:val="single" w:sz="4" w:space="0" w:color="auto"/>
            </w:tcBorders>
            <w:tcMar>
              <w:top w:w="15" w:type="dxa"/>
              <w:left w:w="15" w:type="dxa"/>
              <w:right w:w="15" w:type="dxa"/>
            </w:tcMar>
            <w:vAlign w:val="center"/>
          </w:tcPr>
          <w:p w14:paraId="4B04B6D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 xml:space="preserve">Identifying effective disruption mitigation </w:t>
            </w:r>
            <w:r w:rsidRPr="007C3049">
              <w:rPr>
                <w:rFonts w:ascii="Arial" w:hAnsi="Arial" w:cs="Arial"/>
                <w:lang w:val="pt-BR"/>
              </w:rPr>
              <w:lastRenderedPageBreak/>
              <w:t>techniques</w:t>
            </w:r>
          </w:p>
        </w:tc>
        <w:tc>
          <w:tcPr>
            <w:tcW w:w="4588" w:type="dxa"/>
            <w:tcBorders>
              <w:bottom w:val="single" w:sz="4" w:space="0" w:color="auto"/>
            </w:tcBorders>
            <w:tcMar>
              <w:top w:w="15" w:type="dxa"/>
              <w:left w:w="15" w:type="dxa"/>
              <w:right w:w="15" w:type="dxa"/>
            </w:tcMar>
            <w:vAlign w:val="bottom"/>
          </w:tcPr>
          <w:sdt>
            <w:sdtPr>
              <w:rPr>
                <w:rFonts w:ascii="Arial" w:hAnsi="Arial" w:cs="Arial"/>
                <w:lang w:val="pt-BR"/>
              </w:rPr>
              <w:tag w:val="MENDELEY_CITATION_v3_eyJjaXRhdGlvbklEIjoiTUVOREVMRVlfQ0lUQVRJT05fN2U5ZTVhYzAtYjY2Zi00NGE2LWE2MGItYTRjZGFkYzhlODNm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1845976063"/>
              <w:placeholder>
                <w:docPart w:val="C90936AC17E94BC9BDEB171585AFC97C"/>
              </w:placeholder>
            </w:sdtPr>
            <w:sdtEndPr/>
            <w:sdtContent>
              <w:p w14:paraId="0EE668DD"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bl>
    <w:p w14:paraId="45E1F156" w14:textId="77777777" w:rsidR="007C3049" w:rsidRPr="00290EBF" w:rsidRDefault="007C3049" w:rsidP="007C3049">
      <w:pPr>
        <w:pStyle w:val="Body"/>
        <w:spacing w:after="0"/>
        <w:rPr>
          <w:rFonts w:ascii="Arial" w:hAnsi="Arial" w:cs="Arial"/>
        </w:rPr>
      </w:pPr>
    </w:p>
    <w:p w14:paraId="2482A329" w14:textId="6553AC43" w:rsidR="007C3049" w:rsidRPr="00290EBF" w:rsidRDefault="007C3049" w:rsidP="00290EBF">
      <w:pPr>
        <w:pStyle w:val="Body"/>
        <w:spacing w:after="0" w:line="480" w:lineRule="auto"/>
        <w:rPr>
          <w:rFonts w:ascii="Arial" w:hAnsi="Arial" w:cs="Arial"/>
          <w:b/>
          <w:bCs/>
        </w:rPr>
      </w:pPr>
      <w:r w:rsidRPr="00290EBF">
        <w:rPr>
          <w:rFonts w:ascii="Arial" w:hAnsi="Arial" w:cs="Arial"/>
          <w:b/>
          <w:bCs/>
        </w:rPr>
        <w:t>3.3 CHALLENGES</w:t>
      </w:r>
    </w:p>
    <w:p w14:paraId="43A82F18" w14:textId="6E1CBEDA" w:rsidR="007C3049" w:rsidRPr="00290EBF" w:rsidRDefault="007C3049" w:rsidP="00290EBF">
      <w:pPr>
        <w:pStyle w:val="Body"/>
        <w:rPr>
          <w:rFonts w:ascii="Arial" w:hAnsi="Arial" w:cs="Arial"/>
        </w:rPr>
      </w:pPr>
      <w:r w:rsidRPr="00290EBF">
        <w:rPr>
          <w:rFonts w:ascii="Arial" w:hAnsi="Arial" w:cs="Arial"/>
        </w:rPr>
        <w:t xml:space="preserve">It is imperative to address the challenges related to </w:t>
      </w:r>
      <w:proofErr w:type="spellStart"/>
      <w:r w:rsidRPr="00290EBF">
        <w:rPr>
          <w:rFonts w:ascii="Arial" w:hAnsi="Arial" w:cs="Arial"/>
        </w:rPr>
        <w:t>GenAI’s</w:t>
      </w:r>
      <w:proofErr w:type="spellEnd"/>
      <w:r w:rsidRPr="00290EBF">
        <w:rPr>
          <w:rFonts w:ascii="Arial" w:hAnsi="Arial" w:cs="Arial"/>
        </w:rPr>
        <w:t xml:space="preserve"> implementation to realize the organizational value and achieve the previously described benefits. This review identifies adoption challenges such as the availability of high-quality data, seamless access, effective management of organizational changes, and cultivation of a culture that supports AI-human collaboration. As organizations deepen their experience with </w:t>
      </w:r>
      <w:proofErr w:type="spellStart"/>
      <w:r w:rsidRPr="00290EBF">
        <w:rPr>
          <w:rFonts w:ascii="Arial" w:hAnsi="Arial" w:cs="Arial"/>
        </w:rPr>
        <w:t>GenAI</w:t>
      </w:r>
      <w:proofErr w:type="spellEnd"/>
      <w:r w:rsidRPr="00290EBF">
        <w:rPr>
          <w:rFonts w:ascii="Arial" w:hAnsi="Arial" w:cs="Arial"/>
        </w:rPr>
        <w:t>, they will gain a more nuanced understanding of both its transformative potential and its inherent limitations, enabling more strategic and effective utilization.</w:t>
      </w:r>
    </w:p>
    <w:p w14:paraId="3E150133" w14:textId="1DF41912" w:rsidR="007C3049" w:rsidRPr="00290EBF" w:rsidRDefault="007C3049" w:rsidP="00290EBF">
      <w:pPr>
        <w:pStyle w:val="Body"/>
        <w:spacing w:after="0" w:line="480" w:lineRule="auto"/>
        <w:rPr>
          <w:rFonts w:ascii="Arial" w:hAnsi="Arial" w:cs="Arial"/>
          <w:b/>
          <w:bCs/>
        </w:rPr>
      </w:pPr>
      <w:r w:rsidRPr="00290EBF">
        <w:rPr>
          <w:rFonts w:ascii="Arial" w:hAnsi="Arial" w:cs="Arial"/>
          <w:b/>
          <w:bCs/>
        </w:rPr>
        <w:t>3.3.1 TECHNICAL CHALLENGES</w:t>
      </w:r>
    </w:p>
    <w:p w14:paraId="6D309ACD" w14:textId="77777777" w:rsidR="007C3049" w:rsidRPr="00290EBF" w:rsidRDefault="007C3049" w:rsidP="007C3049">
      <w:pPr>
        <w:pStyle w:val="Body"/>
        <w:rPr>
          <w:rFonts w:ascii="Arial" w:hAnsi="Arial" w:cs="Arial"/>
        </w:rPr>
      </w:pPr>
      <w:r w:rsidRPr="00290EBF">
        <w:rPr>
          <w:rFonts w:ascii="Arial" w:hAnsi="Arial" w:cs="Arial"/>
        </w:rPr>
        <w:t xml:space="preserve">While </w:t>
      </w:r>
      <w:proofErr w:type="spellStart"/>
      <w:r w:rsidRPr="00290EBF">
        <w:rPr>
          <w:rFonts w:ascii="Arial" w:hAnsi="Arial" w:cs="Arial"/>
        </w:rPr>
        <w:t>GenAI</w:t>
      </w:r>
      <w:proofErr w:type="spellEnd"/>
      <w:r w:rsidRPr="00290EBF">
        <w:rPr>
          <w:rFonts w:ascii="Arial" w:hAnsi="Arial" w:cs="Arial"/>
        </w:rPr>
        <w:t xml:space="preserve"> presents numerous opportunities, its adoption in SCM is accompanied by significant technical challenges. A key issue is data availability and quality, as </w:t>
      </w:r>
      <w:proofErr w:type="spellStart"/>
      <w:r w:rsidRPr="00290EBF">
        <w:rPr>
          <w:rFonts w:ascii="Arial" w:hAnsi="Arial" w:cs="Arial"/>
        </w:rPr>
        <w:t>GenAI</w:t>
      </w:r>
      <w:proofErr w:type="spellEnd"/>
      <w:r w:rsidRPr="00290EBF">
        <w:rPr>
          <w:rFonts w:ascii="Arial" w:hAnsi="Arial" w:cs="Arial"/>
        </w:rPr>
        <w:t xml:space="preserve"> models require large volumes of accurate, consistent, and relevant data for training and operation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Hendriksen, 2023). Supply chain complexities often makes it difficult for organizations to access and integrate data from diverse sources such as suppliers, logistics providers, and customers. Inconsistent or fragmented data can lead to flawed predictions and suboptimal decisions. The findings suggest greater emphasis and the need for robust data governance policies and regular data audits to maintain data quality and integrity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Singh, 2023).</w:t>
      </w:r>
    </w:p>
    <w:p w14:paraId="7EB18658" w14:textId="7CAF9445" w:rsidR="007C3049" w:rsidRPr="00290EBF" w:rsidRDefault="007C3049" w:rsidP="008D7053">
      <w:pPr>
        <w:pStyle w:val="Body"/>
        <w:rPr>
          <w:rFonts w:ascii="Arial" w:hAnsi="Arial" w:cs="Arial"/>
        </w:rPr>
      </w:pPr>
      <w:r w:rsidRPr="00290EBF">
        <w:rPr>
          <w:rFonts w:ascii="Arial" w:hAnsi="Arial" w:cs="Arial"/>
        </w:rPr>
        <w:t xml:space="preserve">The availability of specialized expertise required to understand, develop, and implement </w:t>
      </w:r>
      <w:proofErr w:type="spellStart"/>
      <w:r w:rsidRPr="00290EBF">
        <w:rPr>
          <w:rFonts w:ascii="Arial" w:hAnsi="Arial" w:cs="Arial"/>
        </w:rPr>
        <w:t>GenAI</w:t>
      </w:r>
      <w:proofErr w:type="spellEnd"/>
      <w:r w:rsidRPr="00290EBF">
        <w:rPr>
          <w:rFonts w:ascii="Arial" w:hAnsi="Arial" w:cs="Arial"/>
        </w:rPr>
        <w:t xml:space="preserve"> models effectively is another area of concern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Many organizations face a shortage of skilled personnel capable of managing and customizing </w:t>
      </w:r>
      <w:proofErr w:type="spellStart"/>
      <w:r w:rsidRPr="00290EBF">
        <w:rPr>
          <w:rFonts w:ascii="Arial" w:hAnsi="Arial" w:cs="Arial"/>
        </w:rPr>
        <w:t>GenAI</w:t>
      </w:r>
      <w:proofErr w:type="spellEnd"/>
      <w:r w:rsidRPr="00290EBF">
        <w:rPr>
          <w:rFonts w:ascii="Arial" w:hAnsi="Arial" w:cs="Arial"/>
        </w:rPr>
        <w:t xml:space="preserve">-integrated systems to meet specific operational needs. Businesses reliant on legacy systems encounter significant hurdles in integrating </w:t>
      </w:r>
      <w:proofErr w:type="spellStart"/>
      <w:r w:rsidRPr="00290EBF">
        <w:rPr>
          <w:rFonts w:ascii="Arial" w:hAnsi="Arial" w:cs="Arial"/>
        </w:rPr>
        <w:t>GenAI</w:t>
      </w:r>
      <w:proofErr w:type="spellEnd"/>
      <w:r w:rsidRPr="00290EBF">
        <w:rPr>
          <w:rFonts w:ascii="Arial" w:hAnsi="Arial" w:cs="Arial"/>
        </w:rPr>
        <w:t xml:space="preserve"> solutions, which leads to compatibility issues (Hendriksen, 2023; Singh, 2023). Findings suggest modular </w:t>
      </w:r>
      <w:proofErr w:type="spellStart"/>
      <w:r w:rsidRPr="00290EBF">
        <w:rPr>
          <w:rFonts w:ascii="Arial" w:hAnsi="Arial" w:cs="Arial"/>
        </w:rPr>
        <w:t>GenAI</w:t>
      </w:r>
      <w:proofErr w:type="spellEnd"/>
      <w:r w:rsidRPr="00290EBF">
        <w:rPr>
          <w:rFonts w:ascii="Arial" w:hAnsi="Arial" w:cs="Arial"/>
        </w:rPr>
        <w:t xml:space="preserve"> solutions and robust IT support are essential to overcome integration challenges and ensuring seamless adaptation to existing processes.</w:t>
      </w:r>
    </w:p>
    <w:p w14:paraId="5B130495" w14:textId="58ECFD16" w:rsidR="007C3049" w:rsidRPr="00290EBF" w:rsidRDefault="007C3049" w:rsidP="005B159F">
      <w:pPr>
        <w:pStyle w:val="Body"/>
        <w:spacing w:after="0" w:line="480" w:lineRule="auto"/>
        <w:rPr>
          <w:rFonts w:ascii="Arial" w:hAnsi="Arial" w:cs="Arial"/>
          <w:b/>
          <w:bCs/>
        </w:rPr>
      </w:pPr>
      <w:r w:rsidRPr="00290EBF">
        <w:rPr>
          <w:rFonts w:ascii="Arial" w:hAnsi="Arial" w:cs="Arial"/>
          <w:b/>
          <w:bCs/>
        </w:rPr>
        <w:t>3.3.2 ORGANIZATIONAL CHALLENGES</w:t>
      </w:r>
    </w:p>
    <w:p w14:paraId="69F8F766" w14:textId="3AB803D5" w:rsidR="007C3049" w:rsidRPr="00290EBF" w:rsidRDefault="007C3049" w:rsidP="008D7053">
      <w:pPr>
        <w:pStyle w:val="Body"/>
        <w:rPr>
          <w:rFonts w:ascii="Arial" w:hAnsi="Arial" w:cs="Arial"/>
        </w:rPr>
      </w:pPr>
      <w:r w:rsidRPr="00290EBF">
        <w:rPr>
          <w:rFonts w:ascii="Arial" w:hAnsi="Arial" w:cs="Arial"/>
        </w:rPr>
        <w:t xml:space="preserve">The review suggests organizations face resource upskilling as a major challenge while adopting </w:t>
      </w:r>
      <w:proofErr w:type="spellStart"/>
      <w:r w:rsidRPr="00290EBF">
        <w:rPr>
          <w:rFonts w:ascii="Arial" w:hAnsi="Arial" w:cs="Arial"/>
        </w:rPr>
        <w:t>GenAI</w:t>
      </w:r>
      <w:proofErr w:type="spellEnd"/>
      <w:r w:rsidRPr="00290EBF">
        <w:rPr>
          <w:rFonts w:ascii="Arial" w:hAnsi="Arial" w:cs="Arial"/>
        </w:rPr>
        <w:t>. Employee resistance due to concerns about job displacement is another challenge. Lack of understanding, and skepticism regarding the capabilities of AI are other areas of concerns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Hendriksen, 2023). Overcoming these challenges requires comprehensive strategies, including employee training and clear communication on the benefits and impact of </w:t>
      </w:r>
      <w:proofErr w:type="spellStart"/>
      <w:r w:rsidRPr="00290EBF">
        <w:rPr>
          <w:rFonts w:ascii="Arial" w:hAnsi="Arial" w:cs="Arial"/>
        </w:rPr>
        <w:t>GenAI</w:t>
      </w:r>
      <w:proofErr w:type="spellEnd"/>
      <w:r w:rsidRPr="00290EBF">
        <w:rPr>
          <w:rFonts w:ascii="Arial" w:hAnsi="Arial" w:cs="Arial"/>
        </w:rPr>
        <w:t xml:space="preserve">. Ethical and safe usage of </w:t>
      </w:r>
      <w:proofErr w:type="spellStart"/>
      <w:r w:rsidRPr="00290EBF">
        <w:rPr>
          <w:rFonts w:ascii="Arial" w:hAnsi="Arial" w:cs="Arial"/>
        </w:rPr>
        <w:t>GenAI</w:t>
      </w:r>
      <w:proofErr w:type="spellEnd"/>
      <w:r w:rsidRPr="00290EBF">
        <w:rPr>
          <w:rFonts w:ascii="Arial" w:hAnsi="Arial" w:cs="Arial"/>
        </w:rPr>
        <w:t xml:space="preserve"> is another area of concern that emerged during the review. The finding suggests algorithmic bias, transparency in decision-making, and accountability for AI-driven outcomes are other challenges organizations face with </w:t>
      </w:r>
      <w:proofErr w:type="spellStart"/>
      <w:r w:rsidRPr="00290EBF">
        <w:rPr>
          <w:rFonts w:ascii="Arial" w:hAnsi="Arial" w:cs="Arial"/>
        </w:rPr>
        <w:t>GenAI</w:t>
      </w:r>
      <w:proofErr w:type="spellEnd"/>
      <w:r w:rsidRPr="00290EBF">
        <w:rPr>
          <w:rFonts w:ascii="Arial" w:hAnsi="Arial" w:cs="Arial"/>
        </w:rPr>
        <w:t xml:space="preserve"> adoption (Hendriksen, 2023). To address the ethical challenges, organizations must establish ethical guidelines for </w:t>
      </w:r>
      <w:proofErr w:type="spellStart"/>
      <w:r w:rsidRPr="00290EBF">
        <w:rPr>
          <w:rFonts w:ascii="Arial" w:hAnsi="Arial" w:cs="Arial"/>
        </w:rPr>
        <w:t>GenAI</w:t>
      </w:r>
      <w:proofErr w:type="spellEnd"/>
      <w:r w:rsidRPr="00290EBF">
        <w:rPr>
          <w:rFonts w:ascii="Arial" w:hAnsi="Arial" w:cs="Arial"/>
        </w:rPr>
        <w:t xml:space="preserve"> usage that include fairness, transparency, and accountability. Additionally, the successful adoption of </w:t>
      </w:r>
      <w:proofErr w:type="spellStart"/>
      <w:r w:rsidRPr="00290EBF">
        <w:rPr>
          <w:rFonts w:ascii="Arial" w:hAnsi="Arial" w:cs="Arial"/>
        </w:rPr>
        <w:t>GenAI</w:t>
      </w:r>
      <w:proofErr w:type="spellEnd"/>
      <w:r w:rsidRPr="00290EBF">
        <w:rPr>
          <w:rFonts w:ascii="Arial" w:hAnsi="Arial" w:cs="Arial"/>
        </w:rPr>
        <w:t xml:space="preserve"> requires a well-defined strategic organization vision and a detailed roadmap for integration (Walter, 2023). The vision and roadmap must include objectives, suitable use cases, and a phased implementation plan to maximize the value derived from </w:t>
      </w:r>
      <w:proofErr w:type="spellStart"/>
      <w:r w:rsidRPr="00290EBF">
        <w:rPr>
          <w:rFonts w:ascii="Arial" w:hAnsi="Arial" w:cs="Arial"/>
        </w:rPr>
        <w:t>GenAI</w:t>
      </w:r>
      <w:proofErr w:type="spellEnd"/>
      <w:r w:rsidRPr="00290EBF">
        <w:rPr>
          <w:rFonts w:ascii="Arial" w:hAnsi="Arial" w:cs="Arial"/>
        </w:rPr>
        <w:t xml:space="preserve"> technologies.</w:t>
      </w:r>
    </w:p>
    <w:p w14:paraId="15A834AF" w14:textId="3EEB7819" w:rsidR="007C3049" w:rsidRPr="00290EBF" w:rsidRDefault="007C3049" w:rsidP="005B159F">
      <w:pPr>
        <w:pStyle w:val="Body"/>
        <w:spacing w:after="0" w:line="480" w:lineRule="auto"/>
        <w:rPr>
          <w:rFonts w:ascii="Arial" w:hAnsi="Arial" w:cs="Arial"/>
          <w:b/>
          <w:bCs/>
        </w:rPr>
      </w:pPr>
      <w:r w:rsidRPr="00290EBF">
        <w:rPr>
          <w:rFonts w:ascii="Arial" w:hAnsi="Arial" w:cs="Arial"/>
          <w:b/>
          <w:bCs/>
        </w:rPr>
        <w:lastRenderedPageBreak/>
        <w:t>3.3.3 DATA PRIVACY AND SECURITY CHALLENGES</w:t>
      </w:r>
    </w:p>
    <w:p w14:paraId="67FFCFD6" w14:textId="77777777" w:rsidR="007C3049" w:rsidRPr="00290EBF" w:rsidRDefault="007C3049" w:rsidP="007C3049">
      <w:pPr>
        <w:pStyle w:val="Body"/>
        <w:rPr>
          <w:rFonts w:ascii="Arial" w:hAnsi="Arial" w:cs="Arial"/>
        </w:rPr>
      </w:pPr>
      <w:r w:rsidRPr="00290EBF">
        <w:rPr>
          <w:rFonts w:ascii="Arial" w:hAnsi="Arial" w:cs="Arial"/>
        </w:rPr>
        <w:t>The SCM processes contain sensitive data such as customer information, financial records, and proprietary business data (Singh, 2023). This sensitive data requires safe and secure handling. Ensuring robust data privacy and security is essential to prevent breaches that could result in severe legal, financial, and reputational consequences. Organizations must comply with data protection regulations, as data breaches can lead to legal ramifications and brand damage (</w:t>
      </w: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2024; Singh, 2023). In addition to data security concerns, evolving regulations, restrictions on ethical AI usage, and industry-specific guidelines may have significant implications for organizations (</w:t>
      </w: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et al., 2024; Qu &amp; Kim, 2024). </w:t>
      </w:r>
    </w:p>
    <w:p w14:paraId="666F86E3" w14:textId="5BD52147" w:rsidR="007C3049" w:rsidRPr="00290EBF" w:rsidRDefault="007C3049" w:rsidP="008D7053">
      <w:pPr>
        <w:pStyle w:val="Body"/>
        <w:rPr>
          <w:rFonts w:ascii="Arial" w:hAnsi="Arial" w:cs="Arial"/>
        </w:rPr>
      </w:pPr>
      <w:r w:rsidRPr="00290EBF">
        <w:rPr>
          <w:rFonts w:ascii="Arial" w:hAnsi="Arial" w:cs="Arial"/>
        </w:rPr>
        <w:t xml:space="preserve">The successful implementation of </w:t>
      </w:r>
      <w:proofErr w:type="spellStart"/>
      <w:r w:rsidRPr="00290EBF">
        <w:rPr>
          <w:rFonts w:ascii="Arial" w:hAnsi="Arial" w:cs="Arial"/>
        </w:rPr>
        <w:t>GenAI</w:t>
      </w:r>
      <w:proofErr w:type="spellEnd"/>
      <w:r w:rsidRPr="00290EBF">
        <w:rPr>
          <w:rFonts w:ascii="Arial" w:hAnsi="Arial" w:cs="Arial"/>
        </w:rPr>
        <w:t xml:space="preserve"> in SCM hinges on a well-planned strategy to address the technology, organization, and data security concerns. Organizations must invest in robust data infrastructure, talent development, and change management initiatives while carefully considering the ethical implications and potential risks. Table 6 below presents a comprehensive list of challenges with </w:t>
      </w:r>
      <w:proofErr w:type="spellStart"/>
      <w:r w:rsidRPr="00290EBF">
        <w:rPr>
          <w:rFonts w:ascii="Arial" w:hAnsi="Arial" w:cs="Arial"/>
        </w:rPr>
        <w:t>GenAI</w:t>
      </w:r>
      <w:proofErr w:type="spellEnd"/>
      <w:r w:rsidRPr="00290EBF">
        <w:rPr>
          <w:rFonts w:ascii="Arial" w:hAnsi="Arial" w:cs="Arial"/>
        </w:rPr>
        <w:t xml:space="preserve"> adoption in SCM. By mitigating these challenges, businesses can unlock the transformative potential of </w:t>
      </w:r>
      <w:proofErr w:type="spellStart"/>
      <w:r w:rsidRPr="00290EBF">
        <w:rPr>
          <w:rFonts w:ascii="Arial" w:hAnsi="Arial" w:cs="Arial"/>
        </w:rPr>
        <w:t>GenAI</w:t>
      </w:r>
      <w:proofErr w:type="spellEnd"/>
      <w:r w:rsidRPr="00290EBF">
        <w:rPr>
          <w:rFonts w:ascii="Arial" w:hAnsi="Arial" w:cs="Arial"/>
        </w:rPr>
        <w:t xml:space="preserve"> and realize substantial benefits in supply chain operations.</w:t>
      </w:r>
    </w:p>
    <w:p w14:paraId="10B264AA" w14:textId="44F4092C" w:rsidR="007C3049" w:rsidRPr="007C3049" w:rsidRDefault="007C3049" w:rsidP="007C3049">
      <w:pPr>
        <w:pStyle w:val="Body"/>
        <w:rPr>
          <w:rFonts w:ascii="Arial" w:hAnsi="Arial" w:cs="Arial"/>
          <w:i/>
        </w:rPr>
      </w:pPr>
      <w:r w:rsidRPr="007C3049">
        <w:rPr>
          <w:rFonts w:ascii="Arial" w:hAnsi="Arial" w:cs="Arial"/>
          <w:b/>
          <w:bCs/>
          <w:iCs/>
        </w:rPr>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6</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 xml:space="preserve">Challenges with </w:t>
      </w:r>
      <w:proofErr w:type="spellStart"/>
      <w:r w:rsidRPr="007C3049">
        <w:rPr>
          <w:rFonts w:ascii="Arial" w:hAnsi="Arial" w:cs="Arial"/>
          <w:b/>
          <w:bCs/>
          <w:iCs/>
        </w:rPr>
        <w:t>GenAI</w:t>
      </w:r>
      <w:proofErr w:type="spellEnd"/>
      <w:r w:rsidRPr="007C3049">
        <w:rPr>
          <w:rFonts w:ascii="Arial" w:hAnsi="Arial" w:cs="Arial"/>
          <w:b/>
          <w:bCs/>
          <w:iCs/>
        </w:rPr>
        <w:t xml:space="preserve"> adoption in SCM</w:t>
      </w:r>
    </w:p>
    <w:tbl>
      <w:tblPr>
        <w:tblW w:w="8205" w:type="dxa"/>
        <w:tblLayout w:type="fixed"/>
        <w:tblLook w:val="06A0" w:firstRow="1" w:lastRow="0" w:firstColumn="1" w:lastColumn="0" w:noHBand="1" w:noVBand="1"/>
      </w:tblPr>
      <w:tblGrid>
        <w:gridCol w:w="4045"/>
        <w:gridCol w:w="4160"/>
      </w:tblGrid>
      <w:tr w:rsidR="007C3049" w:rsidRPr="007C3049" w14:paraId="32213C05" w14:textId="77777777" w:rsidTr="007C3049">
        <w:trPr>
          <w:trHeight w:val="300"/>
        </w:trPr>
        <w:tc>
          <w:tcPr>
            <w:tcW w:w="4045" w:type="dxa"/>
            <w:tcBorders>
              <w:top w:val="single" w:sz="4" w:space="0" w:color="auto"/>
              <w:bottom w:val="single" w:sz="4" w:space="0" w:color="auto"/>
            </w:tcBorders>
            <w:shd w:val="clear" w:color="auto" w:fill="FFFFFF" w:themeFill="background1"/>
            <w:tcMar>
              <w:top w:w="15" w:type="dxa"/>
              <w:left w:w="15" w:type="dxa"/>
              <w:right w:w="15" w:type="dxa"/>
            </w:tcMar>
            <w:vAlign w:val="center"/>
          </w:tcPr>
          <w:p w14:paraId="26CC8761"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Challenges</w:t>
            </w:r>
          </w:p>
        </w:tc>
        <w:tc>
          <w:tcPr>
            <w:tcW w:w="4160" w:type="dxa"/>
            <w:tcBorders>
              <w:top w:val="single" w:sz="4" w:space="0" w:color="auto"/>
              <w:bottom w:val="single" w:sz="4" w:space="0" w:color="auto"/>
            </w:tcBorders>
            <w:shd w:val="clear" w:color="auto" w:fill="FFFFFF" w:themeFill="background1"/>
            <w:tcMar>
              <w:top w:w="15" w:type="dxa"/>
              <w:left w:w="15" w:type="dxa"/>
              <w:right w:w="15" w:type="dxa"/>
            </w:tcMar>
            <w:vAlign w:val="center"/>
          </w:tcPr>
          <w:p w14:paraId="0F7261DE"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Author(s)</w:t>
            </w:r>
          </w:p>
        </w:tc>
      </w:tr>
      <w:tr w:rsidR="007C3049" w:rsidRPr="007C3049" w14:paraId="3B2117E1" w14:textId="77777777" w:rsidTr="00C84C46">
        <w:trPr>
          <w:trHeight w:val="425"/>
        </w:trPr>
        <w:tc>
          <w:tcPr>
            <w:tcW w:w="4045" w:type="dxa"/>
            <w:tcBorders>
              <w:top w:val="single" w:sz="4" w:space="0" w:color="auto"/>
            </w:tcBorders>
            <w:shd w:val="clear" w:color="auto" w:fill="FFFFFF" w:themeFill="background1"/>
            <w:tcMar>
              <w:top w:w="15" w:type="dxa"/>
              <w:left w:w="15" w:type="dxa"/>
              <w:right w:w="15" w:type="dxa"/>
            </w:tcMar>
          </w:tcPr>
          <w:p w14:paraId="40085266" w14:textId="77777777" w:rsidR="007C3049" w:rsidRPr="007C3049" w:rsidRDefault="007C3049" w:rsidP="007C3049">
            <w:pPr>
              <w:pStyle w:val="Body"/>
              <w:rPr>
                <w:rFonts w:ascii="Arial" w:hAnsi="Arial" w:cs="Arial"/>
                <w:lang w:val="pt-BR"/>
              </w:rPr>
            </w:pPr>
            <w:r w:rsidRPr="007C3049">
              <w:rPr>
                <w:rFonts w:ascii="Arial" w:hAnsi="Arial" w:cs="Arial"/>
                <w:lang w:val="pt-BR"/>
              </w:rPr>
              <w:t>Data Quality and Integrity</w:t>
            </w:r>
          </w:p>
        </w:tc>
        <w:tc>
          <w:tcPr>
            <w:tcW w:w="4160" w:type="dxa"/>
            <w:tcBorders>
              <w:top w:val="single" w:sz="4" w:space="0" w:color="auto"/>
            </w:tcBorders>
            <w:tcMar>
              <w:top w:w="15" w:type="dxa"/>
              <w:left w:w="15" w:type="dxa"/>
              <w:right w:w="15" w:type="dxa"/>
            </w:tcMar>
            <w:vAlign w:val="center"/>
          </w:tcPr>
          <w:sdt>
            <w:sdtPr>
              <w:rPr>
                <w:rFonts w:ascii="Arial" w:hAnsi="Arial" w:cs="Arial"/>
                <w:lang w:val="pt-BR"/>
              </w:rPr>
              <w:tag w:val="MENDELEY_CITATION_v3_eyJjaXRhdGlvbklEIjoiTUVOREVMRVlfQ0lUQVRJT05fOWM5YjliNjAtZDc2NC00NjM0LWI1ZDMtZGY3Mzc2YmIyM2I4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646512125"/>
              <w:placeholder>
                <w:docPart w:val="D1D2281112FB4AD186A59614D8A2C112"/>
              </w:placeholder>
            </w:sdtPr>
            <w:sdtEndPr/>
            <w:sdtContent>
              <w:p w14:paraId="1A4DF0F1"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tc>
      </w:tr>
      <w:tr w:rsidR="007C3049" w:rsidRPr="007C3049" w14:paraId="5FB64DB2" w14:textId="77777777" w:rsidTr="007C3049">
        <w:trPr>
          <w:trHeight w:val="468"/>
        </w:trPr>
        <w:tc>
          <w:tcPr>
            <w:tcW w:w="4045" w:type="dxa"/>
            <w:shd w:val="clear" w:color="auto" w:fill="FFFFFF" w:themeFill="background1"/>
            <w:tcMar>
              <w:top w:w="15" w:type="dxa"/>
              <w:left w:w="15" w:type="dxa"/>
              <w:right w:w="15" w:type="dxa"/>
            </w:tcMar>
          </w:tcPr>
          <w:p w14:paraId="7F9DF3C4" w14:textId="77777777" w:rsidR="007C3049" w:rsidRPr="007C3049" w:rsidRDefault="007C3049" w:rsidP="007C3049">
            <w:pPr>
              <w:pStyle w:val="Body"/>
              <w:rPr>
                <w:rFonts w:ascii="Arial" w:hAnsi="Arial" w:cs="Arial"/>
                <w:lang w:val="pt-BR"/>
              </w:rPr>
            </w:pPr>
            <w:r w:rsidRPr="007C3049">
              <w:rPr>
                <w:rFonts w:ascii="Arial" w:hAnsi="Arial" w:cs="Arial"/>
                <w:lang w:val="pt-BR"/>
              </w:rPr>
              <w:t>Data Privacy and Security Concerns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mQyNjkyMWYtOTQ0MS00MTFmLWJiMTAtMTFiYTc4OWI3NmI2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2084979913"/>
              <w:placeholder>
                <w:docPart w:val="DF4795A8E10B4878897BF8D8D15FA11E"/>
              </w:placeholder>
            </w:sdtPr>
            <w:sdtEndPr/>
            <w:sdtContent>
              <w:p w14:paraId="699DAF05"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p w14:paraId="615046BB" w14:textId="77777777" w:rsidR="007C3049" w:rsidRPr="007C3049" w:rsidRDefault="007C3049" w:rsidP="007C3049">
            <w:pPr>
              <w:pStyle w:val="Body"/>
              <w:rPr>
                <w:rFonts w:ascii="Arial" w:hAnsi="Arial" w:cs="Arial"/>
                <w:lang w:val="pt-BR"/>
              </w:rPr>
            </w:pPr>
          </w:p>
        </w:tc>
      </w:tr>
      <w:tr w:rsidR="007C3049" w:rsidRPr="007C3049" w14:paraId="42939FFA" w14:textId="77777777" w:rsidTr="007C3049">
        <w:trPr>
          <w:trHeight w:val="300"/>
        </w:trPr>
        <w:tc>
          <w:tcPr>
            <w:tcW w:w="4045" w:type="dxa"/>
            <w:shd w:val="clear" w:color="auto" w:fill="FFFFFF" w:themeFill="background1"/>
            <w:tcMar>
              <w:top w:w="15" w:type="dxa"/>
              <w:left w:w="15" w:type="dxa"/>
              <w:right w:w="15" w:type="dxa"/>
            </w:tcMar>
          </w:tcPr>
          <w:p w14:paraId="6FCF96BA" w14:textId="77777777" w:rsidR="007C3049" w:rsidRPr="007C3049" w:rsidRDefault="007C3049" w:rsidP="007C3049">
            <w:pPr>
              <w:pStyle w:val="Body"/>
              <w:rPr>
                <w:rFonts w:ascii="Arial" w:hAnsi="Arial" w:cs="Arial"/>
                <w:lang w:val="pt-BR"/>
              </w:rPr>
            </w:pPr>
            <w:r w:rsidRPr="007C3049">
              <w:rPr>
                <w:rFonts w:ascii="Arial" w:hAnsi="Arial" w:cs="Arial"/>
                <w:lang w:val="pt-BR"/>
              </w:rPr>
              <w:t>Model Complexity and Selection</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YTk2NTdlNDktY2FkMS00YjllLWI4N2UtMGI5NWRkOTkwZGM1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1269425027"/>
              <w:placeholder>
                <w:docPart w:val="AEA63519224C4F93B39A50159788FF35"/>
              </w:placeholder>
            </w:sdtPr>
            <w:sdtEndPr/>
            <w:sdtContent>
              <w:p w14:paraId="09D66173"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p w14:paraId="00652045" w14:textId="77777777" w:rsidR="007C3049" w:rsidRPr="007C3049" w:rsidRDefault="007C3049" w:rsidP="007C3049">
            <w:pPr>
              <w:pStyle w:val="Body"/>
              <w:rPr>
                <w:rFonts w:ascii="Arial" w:hAnsi="Arial" w:cs="Arial"/>
                <w:lang w:val="pt-BR"/>
              </w:rPr>
            </w:pPr>
          </w:p>
        </w:tc>
      </w:tr>
      <w:tr w:rsidR="007C3049" w:rsidRPr="007C3049" w14:paraId="45FCE2E5" w14:textId="77777777" w:rsidTr="007C3049">
        <w:trPr>
          <w:trHeight w:val="300"/>
        </w:trPr>
        <w:tc>
          <w:tcPr>
            <w:tcW w:w="4045" w:type="dxa"/>
            <w:shd w:val="clear" w:color="auto" w:fill="FFFFFF" w:themeFill="background1"/>
            <w:tcMar>
              <w:top w:w="15" w:type="dxa"/>
              <w:left w:w="15" w:type="dxa"/>
              <w:right w:w="15" w:type="dxa"/>
            </w:tcMar>
          </w:tcPr>
          <w:p w14:paraId="346D1A68" w14:textId="77777777" w:rsidR="007C3049" w:rsidRPr="007C3049" w:rsidRDefault="007C3049" w:rsidP="007C3049">
            <w:pPr>
              <w:pStyle w:val="Body"/>
              <w:rPr>
                <w:rFonts w:ascii="Arial" w:hAnsi="Arial" w:cs="Arial"/>
                <w:lang w:val="pt-BR"/>
              </w:rPr>
            </w:pPr>
            <w:r w:rsidRPr="007C3049">
              <w:rPr>
                <w:rFonts w:ascii="Arial" w:hAnsi="Arial" w:cs="Arial"/>
                <w:lang w:val="pt-BR"/>
              </w:rPr>
              <w:t>Integration with Legacy Systems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GVhOWExMzItOWYxMS00OTc3LWE2NmUtODNlMGRmOTdkZTA5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914363229"/>
              <w:placeholder>
                <w:docPart w:val="D1D2281112FB4AD186A59614D8A2C112"/>
              </w:placeholder>
            </w:sdtPr>
            <w:sdtEndPr/>
            <w:sdtContent>
              <w:p w14:paraId="589ACED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333A50E4" w14:textId="77777777" w:rsidTr="007C3049">
        <w:trPr>
          <w:trHeight w:val="245"/>
        </w:trPr>
        <w:tc>
          <w:tcPr>
            <w:tcW w:w="4045" w:type="dxa"/>
            <w:shd w:val="clear" w:color="auto" w:fill="FFFFFF" w:themeFill="background1"/>
            <w:tcMar>
              <w:top w:w="15" w:type="dxa"/>
              <w:left w:w="15" w:type="dxa"/>
              <w:right w:w="15" w:type="dxa"/>
            </w:tcMar>
          </w:tcPr>
          <w:p w14:paraId="11994329" w14:textId="77777777" w:rsidR="007C3049" w:rsidRPr="007C3049" w:rsidRDefault="007C3049" w:rsidP="007C3049">
            <w:pPr>
              <w:pStyle w:val="Body"/>
              <w:rPr>
                <w:rFonts w:ascii="Arial" w:hAnsi="Arial" w:cs="Arial"/>
                <w:lang w:val="pt-BR"/>
              </w:rPr>
            </w:pPr>
            <w:r w:rsidRPr="007C3049">
              <w:rPr>
                <w:rFonts w:ascii="Arial" w:hAnsi="Arial" w:cs="Arial"/>
                <w:lang w:val="pt-BR"/>
              </w:rPr>
              <w:t>Staff Resistance and Training/Skills Gap</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zU5ODFmMzAtOTg2NS00N2NkLTg2N2MtN2JiN2IwYWQ4Mzdh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344056592"/>
              <w:placeholder>
                <w:docPart w:val="5FE216FA97AD4C0189D41DCAE7862D3F"/>
              </w:placeholder>
            </w:sdtPr>
            <w:sdtEndPr/>
            <w:sdtContent>
              <w:p w14:paraId="3FB238D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186634C1" w14:textId="77777777" w:rsidTr="007C3049">
        <w:trPr>
          <w:trHeight w:val="300"/>
        </w:trPr>
        <w:tc>
          <w:tcPr>
            <w:tcW w:w="4045" w:type="dxa"/>
            <w:shd w:val="clear" w:color="auto" w:fill="FFFFFF" w:themeFill="background1"/>
            <w:tcMar>
              <w:top w:w="15" w:type="dxa"/>
              <w:left w:w="15" w:type="dxa"/>
              <w:right w:w="15" w:type="dxa"/>
            </w:tcMar>
          </w:tcPr>
          <w:p w14:paraId="5F3DFFB0" w14:textId="77777777" w:rsidR="007C3049" w:rsidRPr="007C3049" w:rsidRDefault="007C3049" w:rsidP="007C3049">
            <w:pPr>
              <w:pStyle w:val="Body"/>
              <w:rPr>
                <w:rFonts w:ascii="Arial" w:hAnsi="Arial" w:cs="Arial"/>
                <w:lang w:val="pt-BR"/>
              </w:rPr>
            </w:pPr>
            <w:r w:rsidRPr="007C3049">
              <w:rPr>
                <w:rFonts w:ascii="Arial" w:hAnsi="Arial" w:cs="Arial"/>
                <w:lang w:val="pt-BR"/>
              </w:rPr>
              <w:t>Scalability Issues</w:t>
            </w:r>
          </w:p>
        </w:tc>
        <w:sdt>
          <w:sdtPr>
            <w:rPr>
              <w:rFonts w:ascii="Arial" w:hAnsi="Arial" w:cs="Arial"/>
              <w:lang w:val="pt-BR"/>
            </w:rPr>
            <w:tag w:val="MENDELEY_CITATION_v3_eyJjaXRhdGlvbklEIjoiTUVOREVMRVlfQ0lUQVRJT05fMjM4OWViNjMtYWNhMi00YjYwLTgwOTMtNzcwZmNhYWMxZjJhIiwicHJvcGVydGllcyI6eyJub3RlSW5kZXgiOjB9LCJpc0VkaXRlZCI6ZmFsc2UsIm1hbnVhbE92ZXJyaWRlIjp7ImlzTWFudWFsbHlPdmVycmlkZGVuIjpmYWxzZSwiY2l0ZXByb2NUZXh0IjoiKFNoZWtoYXIgZXQgYWwuLCAyMDI0KSIsIm1hbnVhbE92ZXJyaWRlVGV4dCI6IiJ9LCJjaXRhdGlvbkl0ZW1zIjpb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Swic3VwcHJlc3MtYXV0aG9yIjpmYWxzZSwiY29tcG9zaXRlIjpmYWxzZSwiYXV0aG9yLW9ubHkiOmZhbHNlfV19"/>
            <w:id w:val="-1084679675"/>
            <w:placeholder>
              <w:docPart w:val="D1D2281112FB4AD186A59614D8A2C112"/>
            </w:placeholder>
          </w:sdtPr>
          <w:sdtEndPr/>
          <w:sdtContent>
            <w:tc>
              <w:tcPr>
                <w:tcW w:w="4160" w:type="dxa"/>
                <w:tcMar>
                  <w:top w:w="15" w:type="dxa"/>
                  <w:left w:w="15" w:type="dxa"/>
                  <w:right w:w="15" w:type="dxa"/>
                </w:tcMar>
                <w:vAlign w:val="center"/>
              </w:tcPr>
              <w:p w14:paraId="6886DA01" w14:textId="77777777" w:rsidR="007C3049" w:rsidRPr="007C3049" w:rsidRDefault="007C3049" w:rsidP="007C3049">
                <w:pPr>
                  <w:pStyle w:val="Body"/>
                  <w:rPr>
                    <w:rFonts w:ascii="Arial" w:hAnsi="Arial" w:cs="Arial"/>
                    <w:lang w:val="pt-BR"/>
                  </w:rPr>
                </w:pPr>
                <w:r w:rsidRPr="007C3049">
                  <w:rPr>
                    <w:rFonts w:ascii="Arial" w:hAnsi="Arial" w:cs="Arial"/>
                    <w:lang w:val="pt-BR"/>
                  </w:rPr>
                  <w:t>(Shekhar et al., 2024)</w:t>
                </w:r>
              </w:p>
            </w:tc>
          </w:sdtContent>
        </w:sdt>
      </w:tr>
      <w:tr w:rsidR="007C3049" w:rsidRPr="007C3049" w14:paraId="68637D82" w14:textId="77777777" w:rsidTr="007C3049">
        <w:trPr>
          <w:trHeight w:val="300"/>
        </w:trPr>
        <w:tc>
          <w:tcPr>
            <w:tcW w:w="4045" w:type="dxa"/>
            <w:shd w:val="clear" w:color="auto" w:fill="FFFFFF" w:themeFill="background1"/>
            <w:tcMar>
              <w:top w:w="15" w:type="dxa"/>
              <w:left w:w="15" w:type="dxa"/>
              <w:right w:w="15" w:type="dxa"/>
            </w:tcMar>
          </w:tcPr>
          <w:p w14:paraId="2402822B" w14:textId="77777777" w:rsidR="007C3049" w:rsidRPr="007C3049" w:rsidRDefault="007C3049" w:rsidP="007C3049">
            <w:pPr>
              <w:pStyle w:val="Body"/>
              <w:rPr>
                <w:rFonts w:ascii="Arial" w:hAnsi="Arial" w:cs="Arial"/>
                <w:lang w:val="pt-BR"/>
              </w:rPr>
            </w:pPr>
            <w:r w:rsidRPr="007C3049">
              <w:rPr>
                <w:rFonts w:ascii="Arial" w:hAnsi="Arial" w:cs="Arial"/>
                <w:lang w:val="pt-BR"/>
              </w:rPr>
              <w:t>Ethical Considerations and Bias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1dfQ=="/>
              <w:id w:val="-2113118158"/>
              <w:placeholder>
                <w:docPart w:val="D1D2281112FB4AD186A59614D8A2C112"/>
              </w:placeholder>
            </w:sdtPr>
            <w:sdtEndPr/>
            <w:sdtContent>
              <w:p w14:paraId="0F486BFD"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Shekhar et al., 2024)</w:t>
                </w:r>
              </w:p>
            </w:sdtContent>
          </w:sdt>
        </w:tc>
      </w:tr>
      <w:tr w:rsidR="007C3049" w:rsidRPr="007C3049" w14:paraId="745DB493" w14:textId="77777777" w:rsidTr="007C3049">
        <w:trPr>
          <w:trHeight w:val="570"/>
        </w:trPr>
        <w:tc>
          <w:tcPr>
            <w:tcW w:w="4045" w:type="dxa"/>
            <w:shd w:val="clear" w:color="auto" w:fill="FFFFFF" w:themeFill="background1"/>
            <w:tcMar>
              <w:top w:w="15" w:type="dxa"/>
              <w:left w:w="15" w:type="dxa"/>
              <w:right w:w="15" w:type="dxa"/>
            </w:tcMar>
          </w:tcPr>
          <w:p w14:paraId="4BD2D1B2" w14:textId="77777777" w:rsidR="007C3049" w:rsidRPr="007C3049" w:rsidRDefault="007C3049" w:rsidP="007C3049">
            <w:pPr>
              <w:pStyle w:val="Body"/>
              <w:rPr>
                <w:rFonts w:ascii="Arial" w:hAnsi="Arial" w:cs="Arial"/>
                <w:lang w:val="pt-BR"/>
              </w:rPr>
            </w:pPr>
            <w:r w:rsidRPr="007C3049">
              <w:rPr>
                <w:rFonts w:ascii="Arial" w:hAnsi="Arial" w:cs="Arial"/>
                <w:lang w:val="pt-BR"/>
              </w:rPr>
              <w:t>High Initial Time and Cost of Implementation</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YjBhNmE5MTEtNWY2OS00NzdmLWFiYjAtNzg4ZDYyNmI3NDQ4IiwicHJvcGVydGllcyI6eyJub3RlSW5kZXgiOjB9LCJpc0VkaXRlZCI6ZmFsc2UsIm1hbnVhbE92ZXJyaWRlIjp7ImlzTWFudWFsbHlPdmVycmlkZGVuIjpmYWxzZSwiY2l0ZXByb2NUZXh0IjoiKEZvc3NvIFdhbWJhIGV0IGFsLiwgMjAyNDsgV2FsdGVyLCAyMDIz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"/>
              <w:id w:val="-1088313185"/>
              <w:placeholder>
                <w:docPart w:val="D1D2281112FB4AD186A59614D8A2C112"/>
              </w:placeholder>
            </w:sdtPr>
            <w:sdtEndPr/>
            <w:sdtContent>
              <w:p w14:paraId="71C381F6"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Walter, 2023)</w:t>
                </w:r>
              </w:p>
            </w:sdtContent>
          </w:sdt>
        </w:tc>
      </w:tr>
      <w:tr w:rsidR="007C3049" w:rsidRPr="007C3049" w14:paraId="5A8A29FE" w14:textId="77777777" w:rsidTr="007C3049">
        <w:trPr>
          <w:trHeight w:val="300"/>
        </w:trPr>
        <w:tc>
          <w:tcPr>
            <w:tcW w:w="4045" w:type="dxa"/>
            <w:shd w:val="clear" w:color="auto" w:fill="FFFFFF" w:themeFill="background1"/>
            <w:tcMar>
              <w:top w:w="15" w:type="dxa"/>
              <w:left w:w="15" w:type="dxa"/>
              <w:right w:w="15" w:type="dxa"/>
            </w:tcMar>
          </w:tcPr>
          <w:p w14:paraId="49E54F22" w14:textId="77777777" w:rsidR="007C3049" w:rsidRPr="007C3049" w:rsidRDefault="007C3049" w:rsidP="007C3049">
            <w:pPr>
              <w:pStyle w:val="Body"/>
              <w:rPr>
                <w:rFonts w:ascii="Arial" w:hAnsi="Arial" w:cs="Arial"/>
                <w:lang w:val="pt-BR"/>
              </w:rPr>
            </w:pPr>
            <w:r w:rsidRPr="007C3049">
              <w:rPr>
                <w:rFonts w:ascii="Arial" w:hAnsi="Arial" w:cs="Arial"/>
                <w:lang w:val="pt-BR"/>
              </w:rPr>
              <w:t>Legal and Regulatory Implications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ZmUyODViMTYtNDM3MS00NDQ3LTkxM2QtNzcxOGNkN2VmNDRk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654141615"/>
              <w:placeholder>
                <w:docPart w:val="D1D2281112FB4AD186A59614D8A2C112"/>
              </w:placeholder>
            </w:sdtPr>
            <w:sdtEndPr/>
            <w:sdtContent>
              <w:p w14:paraId="7D199C32"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sdtContent>
          </w:sdt>
        </w:tc>
      </w:tr>
      <w:tr w:rsidR="007C3049" w:rsidRPr="007C3049" w14:paraId="2B82C235" w14:textId="77777777" w:rsidTr="007C3049">
        <w:trPr>
          <w:trHeight w:val="300"/>
        </w:trPr>
        <w:tc>
          <w:tcPr>
            <w:tcW w:w="4045" w:type="dxa"/>
            <w:shd w:val="clear" w:color="auto" w:fill="FFFFFF" w:themeFill="background1"/>
            <w:tcMar>
              <w:top w:w="15" w:type="dxa"/>
              <w:left w:w="15" w:type="dxa"/>
              <w:right w:w="15" w:type="dxa"/>
            </w:tcMar>
          </w:tcPr>
          <w:p w14:paraId="0179CA9F" w14:textId="77777777" w:rsidR="007C3049" w:rsidRPr="007C3049" w:rsidRDefault="007C3049" w:rsidP="007C3049">
            <w:pPr>
              <w:pStyle w:val="Body"/>
              <w:rPr>
                <w:rFonts w:ascii="Arial" w:hAnsi="Arial" w:cs="Arial"/>
                <w:lang w:val="pt-BR"/>
              </w:rPr>
            </w:pPr>
            <w:r w:rsidRPr="007C3049">
              <w:rPr>
                <w:rFonts w:ascii="Arial" w:hAnsi="Arial" w:cs="Arial"/>
                <w:lang w:val="pt-BR"/>
              </w:rPr>
              <w:lastRenderedPageBreak/>
              <w:t>Lack of Understanding of AI Technology</w:t>
            </w:r>
          </w:p>
        </w:tc>
        <w:sdt>
          <w:sdtPr>
            <w:rPr>
              <w:rFonts w:ascii="Arial" w:hAnsi="Arial" w:cs="Arial"/>
              <w:lang w:val="pt-BR"/>
            </w:rPr>
            <w:tag w:val="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"/>
            <w:id w:val="699128347"/>
            <w:placeholder>
              <w:docPart w:val="D1D2281112FB4AD186A59614D8A2C112"/>
            </w:placeholder>
          </w:sdtPr>
          <w:sdtEndPr/>
          <w:sdtContent>
            <w:tc>
              <w:tcPr>
                <w:tcW w:w="4160" w:type="dxa"/>
                <w:shd w:val="clear" w:color="auto" w:fill="FFFFFF" w:themeFill="background1"/>
                <w:tcMar>
                  <w:top w:w="15" w:type="dxa"/>
                  <w:left w:w="15" w:type="dxa"/>
                  <w:right w:w="15" w:type="dxa"/>
                </w:tcMar>
                <w:vAlign w:val="center"/>
              </w:tcPr>
              <w:p w14:paraId="385EE4F8" w14:textId="77777777" w:rsidR="007C3049" w:rsidRPr="007C3049" w:rsidRDefault="007C3049" w:rsidP="007C3049">
                <w:pPr>
                  <w:pStyle w:val="Body"/>
                  <w:rPr>
                    <w:rFonts w:ascii="Arial" w:hAnsi="Arial" w:cs="Arial"/>
                    <w:lang w:val="pt-BR"/>
                  </w:rPr>
                </w:pPr>
                <w:r w:rsidRPr="007C3049">
                  <w:rPr>
                    <w:rFonts w:ascii="Arial" w:hAnsi="Arial" w:cs="Arial"/>
                    <w:lang w:val="pt-BR"/>
                  </w:rPr>
                  <w:t>(Chukwu et al., 2024; Walter, 2023)</w:t>
                </w:r>
              </w:p>
            </w:tc>
          </w:sdtContent>
        </w:sdt>
      </w:tr>
      <w:tr w:rsidR="007C3049" w:rsidRPr="007C3049" w14:paraId="420D99BD" w14:textId="77777777" w:rsidTr="007C3049">
        <w:trPr>
          <w:trHeight w:val="300"/>
        </w:trPr>
        <w:tc>
          <w:tcPr>
            <w:tcW w:w="4045" w:type="dxa"/>
            <w:tcBorders>
              <w:bottom w:val="single" w:sz="4" w:space="0" w:color="auto"/>
            </w:tcBorders>
            <w:shd w:val="clear" w:color="auto" w:fill="FFFFFF" w:themeFill="background1"/>
            <w:tcMar>
              <w:top w:w="15" w:type="dxa"/>
              <w:left w:w="15" w:type="dxa"/>
              <w:right w:w="15" w:type="dxa"/>
            </w:tcMar>
          </w:tcPr>
          <w:p w14:paraId="52612E77" w14:textId="77777777" w:rsidR="007C3049" w:rsidRPr="007C3049" w:rsidRDefault="007C3049" w:rsidP="007C3049">
            <w:pPr>
              <w:pStyle w:val="Body"/>
              <w:rPr>
                <w:rFonts w:ascii="Arial" w:hAnsi="Arial" w:cs="Arial"/>
                <w:lang w:val="pt-BR"/>
              </w:rPr>
            </w:pPr>
            <w:r w:rsidRPr="007C3049">
              <w:rPr>
                <w:rFonts w:ascii="Arial" w:hAnsi="Arial" w:cs="Arial"/>
                <w:lang w:val="pt-BR"/>
              </w:rPr>
              <w:t>Limited Availability of Skilled Personnel</w:t>
            </w:r>
          </w:p>
        </w:tc>
        <w:sdt>
          <w:sdtPr>
            <w:rPr>
              <w:rFonts w:ascii="Arial" w:hAnsi="Arial" w:cs="Arial"/>
              <w:lang w:val="pt-BR"/>
            </w:rPr>
            <w:tag w:val="MENDELEY_CITATION_v3_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"/>
            <w:id w:val="-953932417"/>
            <w:placeholder>
              <w:docPart w:val="D1D2281112FB4AD186A59614D8A2C112"/>
            </w:placeholder>
          </w:sdtPr>
          <w:sdtEndPr/>
          <w:sdtContent>
            <w:tc>
              <w:tcPr>
                <w:tcW w:w="4160" w:type="dxa"/>
                <w:tcBorders>
                  <w:bottom w:val="single" w:sz="4" w:space="0" w:color="auto"/>
                </w:tcBorders>
                <w:shd w:val="clear" w:color="auto" w:fill="FFFFFF" w:themeFill="background1"/>
                <w:tcMar>
                  <w:top w:w="15" w:type="dxa"/>
                  <w:left w:w="15" w:type="dxa"/>
                  <w:right w:w="15" w:type="dxa"/>
                </w:tcMar>
                <w:vAlign w:val="center"/>
              </w:tcPr>
              <w:p w14:paraId="75406272" w14:textId="77777777" w:rsidR="007C3049" w:rsidRPr="007C3049" w:rsidRDefault="007C3049" w:rsidP="007C3049">
                <w:pPr>
                  <w:pStyle w:val="Body"/>
                  <w:rPr>
                    <w:rFonts w:ascii="Arial" w:hAnsi="Arial" w:cs="Arial"/>
                    <w:lang w:val="pt-BR"/>
                  </w:rPr>
                </w:pPr>
                <w:r w:rsidRPr="007C3049">
                  <w:rPr>
                    <w:rFonts w:ascii="Arial" w:hAnsi="Arial" w:cs="Arial"/>
                    <w:lang w:val="pt-BR"/>
                  </w:rPr>
                  <w:t>(Chukwu et al., 2024)</w:t>
                </w:r>
              </w:p>
            </w:tc>
          </w:sdtContent>
        </w:sdt>
      </w:tr>
    </w:tbl>
    <w:p w14:paraId="17B314B9" w14:textId="77777777" w:rsidR="007C3049" w:rsidRPr="00290EBF" w:rsidRDefault="007C3049" w:rsidP="007C3049">
      <w:pPr>
        <w:pStyle w:val="Body"/>
        <w:spacing w:after="0"/>
        <w:rPr>
          <w:rFonts w:ascii="Arial" w:hAnsi="Arial" w:cs="Arial"/>
        </w:rPr>
      </w:pPr>
    </w:p>
    <w:p w14:paraId="57A57871" w14:textId="77777777" w:rsidR="00B01FCD" w:rsidRPr="00290EBF" w:rsidRDefault="00000F8F" w:rsidP="005B159F">
      <w:pPr>
        <w:pStyle w:val="ConcHead"/>
        <w:spacing w:after="0" w:line="480" w:lineRule="auto"/>
        <w:jc w:val="both"/>
        <w:rPr>
          <w:rFonts w:ascii="Arial" w:hAnsi="Arial" w:cs="Arial"/>
        </w:rPr>
      </w:pPr>
      <w:r w:rsidRPr="00290EBF">
        <w:rPr>
          <w:rFonts w:ascii="Arial" w:hAnsi="Arial" w:cs="Arial"/>
        </w:rPr>
        <w:t xml:space="preserve">4. </w:t>
      </w:r>
      <w:r w:rsidR="00B01FCD" w:rsidRPr="00290EBF">
        <w:rPr>
          <w:rFonts w:ascii="Arial" w:hAnsi="Arial" w:cs="Arial"/>
        </w:rPr>
        <w:t>Conclusion</w:t>
      </w:r>
    </w:p>
    <w:p w14:paraId="23A7C0A0" w14:textId="5D033619" w:rsidR="00C84C46" w:rsidRPr="00290EBF" w:rsidRDefault="00C84C46" w:rsidP="00C84C46">
      <w:pPr>
        <w:pStyle w:val="Body"/>
        <w:rPr>
          <w:rFonts w:ascii="Arial" w:hAnsi="Arial" w:cs="Arial"/>
        </w:rPr>
      </w:pPr>
      <w:r w:rsidRPr="00290EBF">
        <w:rPr>
          <w:rFonts w:ascii="Arial" w:hAnsi="Arial" w:cs="Arial"/>
        </w:rPr>
        <w:t xml:space="preserve">This review highlights the significant potential of </w:t>
      </w:r>
      <w:proofErr w:type="spellStart"/>
      <w:r w:rsidRPr="00290EBF">
        <w:rPr>
          <w:rFonts w:ascii="Arial" w:hAnsi="Arial" w:cs="Arial"/>
        </w:rPr>
        <w:t>GenAI</w:t>
      </w:r>
      <w:proofErr w:type="spellEnd"/>
      <w:r w:rsidRPr="00290EBF">
        <w:rPr>
          <w:rFonts w:ascii="Arial" w:hAnsi="Arial" w:cs="Arial"/>
        </w:rPr>
        <w:t xml:space="preserve"> in transforming supply chain operations while acknowledging important implementation challenges. Future research should focus on a) developing industry-specific implementation frameworks, b) addressing data privacy concerns, c) measuring long-term ROI of </w:t>
      </w:r>
      <w:proofErr w:type="spellStart"/>
      <w:r w:rsidRPr="00290EBF">
        <w:rPr>
          <w:rFonts w:ascii="Arial" w:hAnsi="Arial" w:cs="Arial"/>
        </w:rPr>
        <w:t>GenAI</w:t>
      </w:r>
      <w:proofErr w:type="spellEnd"/>
      <w:r w:rsidRPr="00290EBF">
        <w:rPr>
          <w:rFonts w:ascii="Arial" w:hAnsi="Arial" w:cs="Arial"/>
        </w:rPr>
        <w:t xml:space="preserve"> implementations, and d) Exploring Hybrid human-AI Decision-making Models. </w:t>
      </w:r>
      <w:proofErr w:type="spellStart"/>
      <w:r w:rsidRPr="00290EBF">
        <w:rPr>
          <w:rFonts w:ascii="Arial" w:hAnsi="Arial" w:cs="Arial"/>
        </w:rPr>
        <w:t>GenAI</w:t>
      </w:r>
      <w:proofErr w:type="spellEnd"/>
      <w:r w:rsidRPr="00290EBF">
        <w:rPr>
          <w:rFonts w:ascii="Arial" w:hAnsi="Arial" w:cs="Arial"/>
        </w:rPr>
        <w:t xml:space="preserve"> has the transformative potential to optimizing various facets of SCM, including procurement, inventory management, risk mitigation, operational efficiency, and decision support. By performing a comprehensive review of </w:t>
      </w:r>
      <w:proofErr w:type="spellStart"/>
      <w:r w:rsidRPr="00290EBF">
        <w:rPr>
          <w:rFonts w:ascii="Arial" w:hAnsi="Arial" w:cs="Arial"/>
        </w:rPr>
        <w:t>GenAI</w:t>
      </w:r>
      <w:proofErr w:type="spellEnd"/>
      <w:r w:rsidRPr="00290EBF">
        <w:rPr>
          <w:rFonts w:ascii="Arial" w:hAnsi="Arial" w:cs="Arial"/>
        </w:rPr>
        <w:t xml:space="preserve"> applications and challenges, the study underscores how </w:t>
      </w:r>
      <w:proofErr w:type="spellStart"/>
      <w:r w:rsidRPr="00290EBF">
        <w:rPr>
          <w:rFonts w:ascii="Arial" w:hAnsi="Arial" w:cs="Arial"/>
        </w:rPr>
        <w:t>GenAI</w:t>
      </w:r>
      <w:proofErr w:type="spellEnd"/>
      <w:r w:rsidRPr="00290EBF">
        <w:rPr>
          <w:rFonts w:ascii="Arial" w:hAnsi="Arial" w:cs="Arial"/>
        </w:rPr>
        <w:t xml:space="preserve"> can drive significant improvements in supply chain. Key benefits such as cost reduction, enhanced forecasting accuracy, real-time adaptability, and streamlined processes have been identified as pivotal to the effective integration of </w:t>
      </w:r>
      <w:proofErr w:type="spellStart"/>
      <w:r w:rsidRPr="00290EBF">
        <w:rPr>
          <w:rFonts w:ascii="Arial" w:hAnsi="Arial" w:cs="Arial"/>
        </w:rPr>
        <w:t>GenAI</w:t>
      </w:r>
      <w:proofErr w:type="spellEnd"/>
      <w:r w:rsidRPr="00290EBF">
        <w:rPr>
          <w:rFonts w:ascii="Arial" w:hAnsi="Arial" w:cs="Arial"/>
        </w:rPr>
        <w:t xml:space="preserve"> in SCM.</w:t>
      </w:r>
    </w:p>
    <w:p w14:paraId="7595904A" w14:textId="77777777" w:rsidR="00C84C46" w:rsidRPr="00290EBF" w:rsidRDefault="00C84C46" w:rsidP="00C84C46">
      <w:pPr>
        <w:pStyle w:val="Body"/>
        <w:rPr>
          <w:rFonts w:ascii="Arial" w:hAnsi="Arial" w:cs="Arial"/>
        </w:rPr>
      </w:pPr>
      <w:r w:rsidRPr="00290EBF">
        <w:rPr>
          <w:rFonts w:ascii="Arial" w:hAnsi="Arial" w:cs="Arial"/>
        </w:rPr>
        <w:t xml:space="preserve">Despite the promising outcomes, this review also emphasizes several challenges associated with </w:t>
      </w:r>
      <w:proofErr w:type="spellStart"/>
      <w:r w:rsidRPr="00290EBF">
        <w:rPr>
          <w:rFonts w:ascii="Arial" w:hAnsi="Arial" w:cs="Arial"/>
        </w:rPr>
        <w:t>GenAI</w:t>
      </w:r>
      <w:proofErr w:type="spellEnd"/>
      <w:r w:rsidRPr="00290EBF">
        <w:rPr>
          <w:rFonts w:ascii="Arial" w:hAnsi="Arial" w:cs="Arial"/>
        </w:rPr>
        <w:t xml:space="preserve"> implementation, including issues with data quality, integration with legacy systems, and the need for skilled personnel. Additionally, organizational barriers, including resistance to change and concerns about AI ethics, must be addressed for the successful adoption of </w:t>
      </w:r>
      <w:proofErr w:type="spellStart"/>
      <w:r w:rsidRPr="00290EBF">
        <w:rPr>
          <w:rFonts w:ascii="Arial" w:hAnsi="Arial" w:cs="Arial"/>
        </w:rPr>
        <w:t>GenAI</w:t>
      </w:r>
      <w:proofErr w:type="spellEnd"/>
      <w:r w:rsidRPr="00290EBF">
        <w:rPr>
          <w:rFonts w:ascii="Arial" w:hAnsi="Arial" w:cs="Arial"/>
        </w:rPr>
        <w:t xml:space="preserve"> technologies. Therefore, companies must adopt a holistic approach that integrates technological, organizational, and ethical considerations to fully leverage the potential of </w:t>
      </w:r>
      <w:proofErr w:type="spellStart"/>
      <w:r w:rsidRPr="00290EBF">
        <w:rPr>
          <w:rFonts w:ascii="Arial" w:hAnsi="Arial" w:cs="Arial"/>
        </w:rPr>
        <w:t>GenAI</w:t>
      </w:r>
      <w:proofErr w:type="spellEnd"/>
      <w:r w:rsidRPr="00290EBF">
        <w:rPr>
          <w:rFonts w:ascii="Arial" w:hAnsi="Arial" w:cs="Arial"/>
        </w:rPr>
        <w:t xml:space="preserve"> in their supply chain operations.</w:t>
      </w:r>
    </w:p>
    <w:p w14:paraId="2E57FE60" w14:textId="05CD62BE" w:rsidR="00790ADA" w:rsidRPr="00290EBF" w:rsidRDefault="00C84C46" w:rsidP="008D7053">
      <w:pPr>
        <w:pStyle w:val="Body"/>
        <w:rPr>
          <w:rFonts w:ascii="Arial" w:hAnsi="Arial" w:cs="Arial"/>
        </w:rPr>
      </w:pPr>
      <w:r w:rsidRPr="00290EBF">
        <w:rPr>
          <w:rFonts w:ascii="Arial" w:hAnsi="Arial" w:cs="Arial"/>
        </w:rPr>
        <w:t xml:space="preserve">The findings of this research provide valuable Implications for both academic scholars and industry practitioners. Academically, this study contributes to the growing body of literature on AI in SCM, offering new insights into the strategic role of </w:t>
      </w:r>
      <w:proofErr w:type="spellStart"/>
      <w:r w:rsidRPr="00290EBF">
        <w:rPr>
          <w:rFonts w:ascii="Arial" w:hAnsi="Arial" w:cs="Arial"/>
        </w:rPr>
        <w:t>GenAI</w:t>
      </w:r>
      <w:proofErr w:type="spellEnd"/>
      <w:r w:rsidRPr="00290EBF">
        <w:rPr>
          <w:rFonts w:ascii="Arial" w:hAnsi="Arial" w:cs="Arial"/>
        </w:rPr>
        <w:t xml:space="preserve"> in decision-making, risk management, and operational agility. For practitioners, the research offers practical guidance on overcoming the challenges associated with </w:t>
      </w:r>
      <w:proofErr w:type="spellStart"/>
      <w:r w:rsidRPr="00290EBF">
        <w:rPr>
          <w:rFonts w:ascii="Arial" w:hAnsi="Arial" w:cs="Arial"/>
        </w:rPr>
        <w:t>GenAI</w:t>
      </w:r>
      <w:proofErr w:type="spellEnd"/>
      <w:r w:rsidRPr="00290EBF">
        <w:rPr>
          <w:rFonts w:ascii="Arial" w:hAnsi="Arial" w:cs="Arial"/>
        </w:rPr>
        <w:t xml:space="preserve"> adoption and maximizing its value in supply chain optimization.</w:t>
      </w:r>
    </w:p>
    <w:p w14:paraId="4DFBB6E7" w14:textId="77777777" w:rsidR="00C84C46" w:rsidRPr="00290EBF" w:rsidRDefault="00C84C46" w:rsidP="00C84C46">
      <w:pPr>
        <w:pStyle w:val="Body"/>
        <w:rPr>
          <w:rFonts w:ascii="Arial" w:hAnsi="Arial" w:cs="Arial"/>
          <w:b/>
          <w:bCs/>
        </w:rPr>
      </w:pPr>
      <w:r w:rsidRPr="00290EBF">
        <w:rPr>
          <w:rFonts w:ascii="Arial" w:hAnsi="Arial" w:cs="Arial"/>
          <w:b/>
          <w:bCs/>
        </w:rPr>
        <w:t xml:space="preserve">5.1 LIMITATIONS </w:t>
      </w:r>
    </w:p>
    <w:p w14:paraId="60A7A9EF" w14:textId="77777777" w:rsidR="00C84C46" w:rsidRPr="00290EBF" w:rsidRDefault="00C84C46" w:rsidP="00C84C46">
      <w:pPr>
        <w:pStyle w:val="Body"/>
        <w:rPr>
          <w:rFonts w:ascii="Arial" w:hAnsi="Arial" w:cs="Arial"/>
        </w:rPr>
      </w:pPr>
      <w:r w:rsidRPr="00290EBF">
        <w:rPr>
          <w:rFonts w:ascii="Arial" w:hAnsi="Arial" w:cs="Arial"/>
        </w:rPr>
        <w:t xml:space="preserve">The authors would like to recognize the limitations of the study, knowing SCM is a vast field of study and has several critical areas where </w:t>
      </w:r>
      <w:proofErr w:type="spellStart"/>
      <w:r w:rsidRPr="00290EBF">
        <w:rPr>
          <w:rFonts w:ascii="Arial" w:hAnsi="Arial" w:cs="Arial"/>
        </w:rPr>
        <w:t>GenAI</w:t>
      </w:r>
      <w:proofErr w:type="spellEnd"/>
      <w:r w:rsidRPr="00290EBF">
        <w:rPr>
          <w:rFonts w:ascii="Arial" w:hAnsi="Arial" w:cs="Arial"/>
        </w:rPr>
        <w:t xml:space="preserve"> can be applied. However, the primary limitation of this systematic analysis is four core areas of SCM: a) Procurement, b) Demand Forecasting, c) Inventory Optimization, and d) Risk Management. </w:t>
      </w:r>
    </w:p>
    <w:p w14:paraId="774220E2" w14:textId="77777777" w:rsidR="00C84C46" w:rsidRPr="00290EBF" w:rsidRDefault="00C84C46" w:rsidP="00C84C46">
      <w:pPr>
        <w:pStyle w:val="Body"/>
        <w:rPr>
          <w:rFonts w:ascii="Arial" w:hAnsi="Arial" w:cs="Arial"/>
          <w:b/>
          <w:bCs/>
        </w:rPr>
      </w:pPr>
      <w:r w:rsidRPr="00290EBF">
        <w:rPr>
          <w:rFonts w:ascii="Arial" w:hAnsi="Arial" w:cs="Arial"/>
          <w:b/>
          <w:bCs/>
        </w:rPr>
        <w:t xml:space="preserve">5.2 FUTURE DIRECTIONS FOR RESEARCH </w:t>
      </w:r>
    </w:p>
    <w:p w14:paraId="44C96638" w14:textId="77777777" w:rsidR="00C84C46" w:rsidRPr="00290EBF" w:rsidRDefault="00C84C46" w:rsidP="00C84C46">
      <w:pPr>
        <w:pStyle w:val="Body"/>
        <w:rPr>
          <w:rFonts w:ascii="Arial" w:hAnsi="Arial" w:cs="Arial"/>
        </w:rPr>
      </w:pPr>
      <w:r w:rsidRPr="00290EBF">
        <w:rPr>
          <w:rFonts w:ascii="Arial" w:hAnsi="Arial" w:cs="Arial"/>
        </w:rPr>
        <w:t xml:space="preserve">While the study has explored </w:t>
      </w:r>
      <w:proofErr w:type="spellStart"/>
      <w:r w:rsidRPr="00290EBF">
        <w:rPr>
          <w:rFonts w:ascii="Arial" w:hAnsi="Arial" w:cs="Arial"/>
        </w:rPr>
        <w:t>GenAI</w:t>
      </w:r>
      <w:proofErr w:type="spellEnd"/>
      <w:r w:rsidRPr="00290EBF">
        <w:rPr>
          <w:rFonts w:ascii="Arial" w:hAnsi="Arial" w:cs="Arial"/>
        </w:rPr>
        <w:t xml:space="preserve"> opportunities, benefits, and challenges in supply chain management, future research is recommended in several areas. First, future investigations should investigate the ethical implications of </w:t>
      </w:r>
      <w:proofErr w:type="spellStart"/>
      <w:r w:rsidRPr="00290EBF">
        <w:rPr>
          <w:rFonts w:ascii="Arial" w:hAnsi="Arial" w:cs="Arial"/>
        </w:rPr>
        <w:t>GenAI</w:t>
      </w:r>
      <w:proofErr w:type="spellEnd"/>
      <w:r w:rsidRPr="00290EBF">
        <w:rPr>
          <w:rFonts w:ascii="Arial" w:hAnsi="Arial" w:cs="Arial"/>
        </w:rPr>
        <w:t xml:space="preserve"> adoption, focusing on issues such as algorithmic bias and decision-making transparency. As </w:t>
      </w:r>
      <w:proofErr w:type="spellStart"/>
      <w:r w:rsidRPr="00290EBF">
        <w:rPr>
          <w:rFonts w:ascii="Arial" w:hAnsi="Arial" w:cs="Arial"/>
        </w:rPr>
        <w:t>GenAI</w:t>
      </w:r>
      <w:proofErr w:type="spellEnd"/>
      <w:r w:rsidRPr="00290EBF">
        <w:rPr>
          <w:rFonts w:ascii="Arial" w:hAnsi="Arial" w:cs="Arial"/>
        </w:rPr>
        <w:t xml:space="preserve"> and related technologies evolve, developing adaptive frameworks for responsible deployment is essential to mitigate risks and build trust (Wang et al., 2021). Second, the long-term impact of </w:t>
      </w:r>
      <w:proofErr w:type="spellStart"/>
      <w:r w:rsidRPr="00290EBF">
        <w:rPr>
          <w:rFonts w:ascii="Arial" w:hAnsi="Arial" w:cs="Arial"/>
        </w:rPr>
        <w:t>GenAI</w:t>
      </w:r>
      <w:proofErr w:type="spellEnd"/>
      <w:r w:rsidRPr="00290EBF">
        <w:rPr>
          <w:rFonts w:ascii="Arial" w:hAnsi="Arial" w:cs="Arial"/>
        </w:rPr>
        <w:t xml:space="preserve"> on organizational culture and human-AI collaboration remains underexplored and an area of exploration. Future studies can focus on </w:t>
      </w:r>
      <w:proofErr w:type="spellStart"/>
      <w:r w:rsidRPr="00290EBF">
        <w:rPr>
          <w:rFonts w:ascii="Arial" w:hAnsi="Arial" w:cs="Arial"/>
        </w:rPr>
        <w:t>GenAI</w:t>
      </w:r>
      <w:proofErr w:type="spellEnd"/>
      <w:r w:rsidRPr="00290EBF">
        <w:rPr>
          <w:rFonts w:ascii="Arial" w:hAnsi="Arial" w:cs="Arial"/>
        </w:rPr>
        <w:t xml:space="preserve">-driven changes in workforce roles and organizational structures, offering insights into managing the transition toward more AI-integrated work environments. Third, the potential synergies realized from integrating </w:t>
      </w:r>
      <w:proofErr w:type="spellStart"/>
      <w:r w:rsidRPr="00290EBF">
        <w:rPr>
          <w:rFonts w:ascii="Arial" w:hAnsi="Arial" w:cs="Arial"/>
        </w:rPr>
        <w:t>GenAI</w:t>
      </w:r>
      <w:proofErr w:type="spellEnd"/>
      <w:r w:rsidRPr="00290EBF">
        <w:rPr>
          <w:rFonts w:ascii="Arial" w:hAnsi="Arial" w:cs="Arial"/>
        </w:rPr>
        <w:t xml:space="preserve"> </w:t>
      </w:r>
      <w:r w:rsidRPr="00290EBF">
        <w:rPr>
          <w:rFonts w:ascii="Arial" w:hAnsi="Arial" w:cs="Arial"/>
        </w:rPr>
        <w:lastRenderedPageBreak/>
        <w:t xml:space="preserve">with emerging technologies like blockchain, IoT, and advanced robotics will need investigation. The new research in emerging areas could identify strategies to enhance supply chain resilience, transparency, and efficiency (Christopher, 2016). Finally, further empirical case studies on </w:t>
      </w:r>
      <w:proofErr w:type="spellStart"/>
      <w:r w:rsidRPr="00290EBF">
        <w:rPr>
          <w:rFonts w:ascii="Arial" w:hAnsi="Arial" w:cs="Arial"/>
        </w:rPr>
        <w:t>GenAI</w:t>
      </w:r>
      <w:proofErr w:type="spellEnd"/>
      <w:r w:rsidRPr="00290EBF">
        <w:rPr>
          <w:rFonts w:ascii="Arial" w:hAnsi="Arial" w:cs="Arial"/>
        </w:rPr>
        <w:t xml:space="preserve"> are needed to identify best practices for overcoming technical, organizational, and regulatory barriers in the complex SCM domain.</w:t>
      </w:r>
    </w:p>
    <w:p w14:paraId="63F029F2" w14:textId="77777777" w:rsidR="00C84C46" w:rsidRPr="00290EBF" w:rsidRDefault="00C84C46" w:rsidP="00C84C46">
      <w:pPr>
        <w:pStyle w:val="Body"/>
        <w:rPr>
          <w:rFonts w:ascii="Arial" w:hAnsi="Arial" w:cs="Arial"/>
          <w:b/>
          <w:bCs/>
        </w:rPr>
      </w:pPr>
      <w:r w:rsidRPr="00290EBF">
        <w:rPr>
          <w:rFonts w:ascii="Arial" w:hAnsi="Arial" w:cs="Arial"/>
          <w:b/>
          <w:bCs/>
        </w:rPr>
        <w:t xml:space="preserve">5.3 IMPLICATIONS </w:t>
      </w:r>
    </w:p>
    <w:p w14:paraId="24BCA56C" w14:textId="77777777" w:rsidR="00C84C46" w:rsidRPr="00290EBF" w:rsidRDefault="00C84C46" w:rsidP="00C84C46">
      <w:pPr>
        <w:pStyle w:val="Body"/>
        <w:rPr>
          <w:rFonts w:ascii="Arial" w:hAnsi="Arial" w:cs="Arial"/>
        </w:rPr>
      </w:pPr>
      <w:r w:rsidRPr="00290EBF">
        <w:rPr>
          <w:rFonts w:ascii="Arial" w:hAnsi="Arial" w:cs="Arial"/>
        </w:rPr>
        <w:t xml:space="preserve">The implications of this research for both academic inquiry and industry practice are substantial. For researchers, it opens avenues for examining the interplay between emerging technologies and their application in SCM. By advancing the theoretical framework for </w:t>
      </w:r>
      <w:proofErr w:type="spellStart"/>
      <w:r w:rsidRPr="00290EBF">
        <w:rPr>
          <w:rFonts w:ascii="Arial" w:hAnsi="Arial" w:cs="Arial"/>
        </w:rPr>
        <w:t>GenAI</w:t>
      </w:r>
      <w:proofErr w:type="spellEnd"/>
      <w:r w:rsidRPr="00290EBF">
        <w:rPr>
          <w:rFonts w:ascii="Arial" w:hAnsi="Arial" w:cs="Arial"/>
        </w:rPr>
        <w:t xml:space="preserve"> in SCM, scholars can further contribute to the understanding of AI’s role in optimizing supply chains, thereby driving innovation in both research and practice. For industry professionals, the research highlights the importance of a strategic approach to </w:t>
      </w:r>
      <w:proofErr w:type="spellStart"/>
      <w:r w:rsidRPr="00290EBF">
        <w:rPr>
          <w:rFonts w:ascii="Arial" w:hAnsi="Arial" w:cs="Arial"/>
        </w:rPr>
        <w:t>GenAI</w:t>
      </w:r>
      <w:proofErr w:type="spellEnd"/>
      <w:r w:rsidRPr="00290EBF">
        <w:rPr>
          <w:rFonts w:ascii="Arial" w:hAnsi="Arial" w:cs="Arial"/>
        </w:rPr>
        <w:t xml:space="preserve"> adoption. The findings suggest that organizations must not only focus on technological investment but also on training their workforce, ensuring data integrity, and establishing ethical guidelines. Furthermore, this study provides a foundation for future research that can guide companies through the practical challenges of </w:t>
      </w:r>
      <w:proofErr w:type="spellStart"/>
      <w:r w:rsidRPr="00290EBF">
        <w:rPr>
          <w:rFonts w:ascii="Arial" w:hAnsi="Arial" w:cs="Arial"/>
        </w:rPr>
        <w:t>GenAI</w:t>
      </w:r>
      <w:proofErr w:type="spellEnd"/>
      <w:r w:rsidRPr="00290EBF">
        <w:rPr>
          <w:rFonts w:ascii="Arial" w:hAnsi="Arial" w:cs="Arial"/>
        </w:rPr>
        <w:t xml:space="preserve"> integration, offering recommendations for enhancing operational efficiency, cost-effectiveness, and supply chain resilience.</w:t>
      </w:r>
    </w:p>
    <w:p w14:paraId="57294381" w14:textId="7422EFE1" w:rsidR="00C84C46" w:rsidRPr="00290EBF" w:rsidRDefault="00C84C46" w:rsidP="00C84C46">
      <w:pPr>
        <w:pStyle w:val="Body"/>
        <w:spacing w:after="0"/>
        <w:rPr>
          <w:rFonts w:ascii="Arial" w:hAnsi="Arial" w:cs="Arial"/>
        </w:rPr>
      </w:pPr>
      <w:r w:rsidRPr="00290EBF">
        <w:rPr>
          <w:rFonts w:ascii="Arial" w:hAnsi="Arial" w:cs="Arial"/>
        </w:rPr>
        <w:t xml:space="preserve">In conclusion, the integration of </w:t>
      </w:r>
      <w:proofErr w:type="spellStart"/>
      <w:r w:rsidRPr="00290EBF">
        <w:rPr>
          <w:rFonts w:ascii="Arial" w:hAnsi="Arial" w:cs="Arial"/>
        </w:rPr>
        <w:t>GenAI</w:t>
      </w:r>
      <w:proofErr w:type="spellEnd"/>
      <w:r w:rsidRPr="00290EBF">
        <w:rPr>
          <w:rFonts w:ascii="Arial" w:hAnsi="Arial" w:cs="Arial"/>
        </w:rPr>
        <w:t xml:space="preserve"> in supply chain management offers immense potential for optimizing operations and driving competitive advantage. However, for organizations to fully harness these benefits, they must navigate the technical, organizational, and ethical challenges outlined in this study. As research in this area continues to evolve, the future of supply chain management will likely be characterized by increasingly sophisticated AI-driven systems that enable real-time decision-making, enhanced efficiency, and a more agile and resilient supply chain ecosystem.</w:t>
      </w:r>
    </w:p>
    <w:p w14:paraId="51C5A1F6" w14:textId="77777777" w:rsidR="00C84C46" w:rsidRPr="00290EBF" w:rsidRDefault="00C84C46" w:rsidP="00C84C46">
      <w:pPr>
        <w:pStyle w:val="Body"/>
        <w:spacing w:after="0"/>
        <w:rPr>
          <w:rFonts w:ascii="Arial" w:hAnsi="Arial" w:cs="Arial"/>
        </w:rPr>
      </w:pPr>
    </w:p>
    <w:p w14:paraId="31FA891A" w14:textId="77777777" w:rsidR="005B159F" w:rsidRPr="00290EBF" w:rsidRDefault="00C84C46" w:rsidP="005B159F">
      <w:pPr>
        <w:spacing w:line="480" w:lineRule="auto"/>
        <w:rPr>
          <w:rFonts w:ascii="Arial" w:hAnsi="Arial" w:cs="Arial"/>
          <w:b/>
          <w:bCs/>
          <w:caps/>
        </w:rPr>
      </w:pPr>
      <w:r w:rsidRPr="00290EBF">
        <w:rPr>
          <w:rFonts w:ascii="Arial" w:hAnsi="Arial" w:cs="Arial"/>
          <w:b/>
          <w:bCs/>
          <w:caps/>
        </w:rPr>
        <w:t>DISCLAIMER (ARTIFICIAL INTELLIGENCE)</w:t>
      </w:r>
    </w:p>
    <w:p w14:paraId="43CDA2F4" w14:textId="3D31F39A" w:rsidR="00315186" w:rsidRPr="00290EBF" w:rsidRDefault="00C84C46" w:rsidP="008D7053">
      <w:pPr>
        <w:pStyle w:val="Body"/>
        <w:rPr>
          <w:rFonts w:ascii="Arial" w:hAnsi="Arial" w:cs="Arial"/>
        </w:rPr>
      </w:pPr>
      <w:r w:rsidRPr="00290EBF">
        <w:rPr>
          <w:rFonts w:ascii="Arial" w:hAnsi="Arial" w:cs="Arial"/>
        </w:rPr>
        <w:t>The author acknowledges using Grammarly's AI tools to proofread and refine the grammar, clarity, and conciseness of this document. All content and original ideas are the author's own.</w:t>
      </w:r>
    </w:p>
    <w:p w14:paraId="1F2DCB49" w14:textId="77777777" w:rsidR="00DC7251" w:rsidRDefault="00DC7251" w:rsidP="00C84C46">
      <w:pPr>
        <w:pStyle w:val="ReferHead"/>
        <w:spacing w:after="0" w:line="480" w:lineRule="auto"/>
        <w:jc w:val="both"/>
        <w:rPr>
          <w:rFonts w:ascii="Arial" w:hAnsi="Arial" w:cs="Arial"/>
          <w:sz w:val="20"/>
        </w:rPr>
      </w:pPr>
    </w:p>
    <w:p w14:paraId="4420578D" w14:textId="54676F83" w:rsidR="00B01FCD" w:rsidRPr="00290EBF" w:rsidRDefault="00B01FCD" w:rsidP="00C84C46">
      <w:pPr>
        <w:pStyle w:val="ReferHead"/>
        <w:spacing w:after="0" w:line="480" w:lineRule="auto"/>
        <w:jc w:val="both"/>
        <w:rPr>
          <w:rFonts w:ascii="Arial" w:hAnsi="Arial" w:cs="Arial"/>
          <w:sz w:val="20"/>
        </w:rPr>
      </w:pPr>
      <w:r w:rsidRPr="00290EBF">
        <w:rPr>
          <w:rFonts w:ascii="Arial" w:hAnsi="Arial" w:cs="Arial"/>
          <w:sz w:val="20"/>
        </w:rPr>
        <w:t>References</w:t>
      </w:r>
    </w:p>
    <w:p w14:paraId="75A2D821" w14:textId="48DD85BB" w:rsidR="00C84C46" w:rsidRPr="00290EBF" w:rsidRDefault="00C84C46" w:rsidP="00C84C46">
      <w:pPr>
        <w:pStyle w:val="Body"/>
        <w:rPr>
          <w:rFonts w:ascii="Arial" w:hAnsi="Arial" w:cs="Arial"/>
        </w:rPr>
      </w:pPr>
      <w:r w:rsidRPr="00290EBF">
        <w:rPr>
          <w:rFonts w:ascii="Arial" w:hAnsi="Arial" w:cs="Arial"/>
        </w:rPr>
        <w:t xml:space="preserve">Chukwu, N., </w:t>
      </w:r>
      <w:proofErr w:type="spellStart"/>
      <w:r w:rsidRPr="00290EBF">
        <w:rPr>
          <w:rFonts w:ascii="Arial" w:hAnsi="Arial" w:cs="Arial"/>
        </w:rPr>
        <w:t>Yufenyuy</w:t>
      </w:r>
      <w:proofErr w:type="spellEnd"/>
      <w:r w:rsidRPr="00290EBF">
        <w:rPr>
          <w:rFonts w:ascii="Arial" w:hAnsi="Arial" w:cs="Arial"/>
        </w:rPr>
        <w:t xml:space="preserve">, S., Ejiofor, E., </w:t>
      </w:r>
      <w:proofErr w:type="spellStart"/>
      <w:r w:rsidRPr="00290EBF">
        <w:rPr>
          <w:rFonts w:ascii="Arial" w:hAnsi="Arial" w:cs="Arial"/>
        </w:rPr>
        <w:t>Ekweli</w:t>
      </w:r>
      <w:proofErr w:type="spellEnd"/>
      <w:r w:rsidRPr="00290EBF">
        <w:rPr>
          <w:rFonts w:ascii="Arial" w:hAnsi="Arial" w:cs="Arial"/>
        </w:rPr>
        <w:t xml:space="preserve">, D., Ogunleye, O., Clement, T., </w:t>
      </w:r>
      <w:proofErr w:type="spellStart"/>
      <w:r w:rsidRPr="00290EBF">
        <w:rPr>
          <w:rFonts w:ascii="Arial" w:hAnsi="Arial" w:cs="Arial"/>
        </w:rPr>
        <w:t>Obunadike</w:t>
      </w:r>
      <w:proofErr w:type="spellEnd"/>
      <w:r w:rsidRPr="00290EBF">
        <w:rPr>
          <w:rFonts w:ascii="Arial" w:hAnsi="Arial" w:cs="Arial"/>
        </w:rPr>
        <w:t xml:space="preserve">, C., </w:t>
      </w:r>
      <w:proofErr w:type="spellStart"/>
      <w:r w:rsidRPr="00290EBF">
        <w:rPr>
          <w:rFonts w:ascii="Arial" w:hAnsi="Arial" w:cs="Arial"/>
        </w:rPr>
        <w:t>Adeniji</w:t>
      </w:r>
      <w:proofErr w:type="spellEnd"/>
      <w:r w:rsidRPr="00290EBF">
        <w:rPr>
          <w:rFonts w:ascii="Arial" w:hAnsi="Arial" w:cs="Arial"/>
        </w:rPr>
        <w:t xml:space="preserve">, S., </w:t>
      </w:r>
      <w:proofErr w:type="spellStart"/>
      <w:r w:rsidRPr="00290EBF">
        <w:rPr>
          <w:rFonts w:ascii="Arial" w:hAnsi="Arial" w:cs="Arial"/>
        </w:rPr>
        <w:t>Elom</w:t>
      </w:r>
      <w:proofErr w:type="spellEnd"/>
      <w:r w:rsidRPr="00290EBF">
        <w:rPr>
          <w:rFonts w:ascii="Arial" w:hAnsi="Arial" w:cs="Arial"/>
        </w:rPr>
        <w:t xml:space="preserve">, E., &amp; </w:t>
      </w:r>
      <w:proofErr w:type="spellStart"/>
      <w:r w:rsidRPr="00290EBF">
        <w:rPr>
          <w:rFonts w:ascii="Arial" w:hAnsi="Arial" w:cs="Arial"/>
        </w:rPr>
        <w:t>Obunadike</w:t>
      </w:r>
      <w:proofErr w:type="spellEnd"/>
      <w:r w:rsidRPr="00290EBF">
        <w:rPr>
          <w:rFonts w:ascii="Arial" w:hAnsi="Arial" w:cs="Arial"/>
        </w:rPr>
        <w:t xml:space="preserve">, C. (2024). Resilient Chain: AI-Enhanced Supply Chain Security and Efficiency Integration. International Journal of Scientific and Management Research, 07(03), 46–65. </w:t>
      </w:r>
      <w:hyperlink r:id="rId15" w:history="1">
        <w:r w:rsidRPr="00290EBF">
          <w:rPr>
            <w:rStyle w:val="Hyperlink"/>
            <w:rFonts w:ascii="Arial" w:hAnsi="Arial" w:cs="Arial"/>
          </w:rPr>
          <w:t>https://doi.org/10.37502/IJSMR.2024.7306</w:t>
        </w:r>
      </w:hyperlink>
      <w:r w:rsidRPr="00290EBF">
        <w:rPr>
          <w:rFonts w:ascii="Arial" w:hAnsi="Arial" w:cs="Arial"/>
        </w:rPr>
        <w:t xml:space="preserve"> </w:t>
      </w:r>
    </w:p>
    <w:p w14:paraId="034A7390" w14:textId="5FC27338" w:rsidR="00C84C46" w:rsidRPr="00290EBF" w:rsidRDefault="00C84C46" w:rsidP="00C84C46">
      <w:pPr>
        <w:pStyle w:val="Body"/>
        <w:rPr>
          <w:rFonts w:ascii="Arial" w:hAnsi="Arial" w:cs="Arial"/>
        </w:rPr>
      </w:pPr>
      <w:proofErr w:type="spellStart"/>
      <w:r w:rsidRPr="00290EBF">
        <w:rPr>
          <w:rFonts w:ascii="Arial" w:hAnsi="Arial" w:cs="Arial"/>
        </w:rPr>
        <w:t>Feizabadi</w:t>
      </w:r>
      <w:proofErr w:type="spellEnd"/>
      <w:r w:rsidRPr="00290EBF">
        <w:rPr>
          <w:rFonts w:ascii="Arial" w:hAnsi="Arial" w:cs="Arial"/>
        </w:rPr>
        <w:t xml:space="preserve">, J. (2022). Machine learning demand forecasting and supply chain performance. International Journal of Logistics Research and Applications, 25(2), 119–142. </w:t>
      </w:r>
      <w:hyperlink r:id="rId16" w:history="1">
        <w:r w:rsidRPr="00290EBF">
          <w:rPr>
            <w:rStyle w:val="Hyperlink"/>
            <w:rFonts w:ascii="Arial" w:hAnsi="Arial" w:cs="Arial"/>
          </w:rPr>
          <w:t>https://doi.org/10.1080/13675567.2020.1803246</w:t>
        </w:r>
      </w:hyperlink>
      <w:r w:rsidRPr="00290EBF">
        <w:rPr>
          <w:rFonts w:ascii="Arial" w:hAnsi="Arial" w:cs="Arial"/>
        </w:rPr>
        <w:t xml:space="preserve"> </w:t>
      </w:r>
    </w:p>
    <w:p w14:paraId="5A3FFB4E" w14:textId="14C925CE" w:rsidR="00C84C46" w:rsidRPr="00290EBF" w:rsidRDefault="00C84C46" w:rsidP="00C84C46">
      <w:pPr>
        <w:pStyle w:val="Body"/>
        <w:rPr>
          <w:rFonts w:ascii="Arial" w:hAnsi="Arial" w:cs="Arial"/>
        </w:rPr>
      </w:pPr>
      <w:proofErr w:type="spellStart"/>
      <w:r w:rsidRPr="00290EBF">
        <w:rPr>
          <w:rFonts w:ascii="Arial" w:hAnsi="Arial" w:cs="Arial"/>
        </w:rPr>
        <w:t>Fosso</w:t>
      </w:r>
      <w:proofErr w:type="spellEnd"/>
      <w:r w:rsidRPr="00290EBF">
        <w:rPr>
          <w:rFonts w:ascii="Arial" w:hAnsi="Arial" w:cs="Arial"/>
        </w:rPr>
        <w:t xml:space="preserve"> </w:t>
      </w:r>
      <w:proofErr w:type="spellStart"/>
      <w:r w:rsidRPr="00290EBF">
        <w:rPr>
          <w:rFonts w:ascii="Arial" w:hAnsi="Arial" w:cs="Arial"/>
        </w:rPr>
        <w:t>Wamba</w:t>
      </w:r>
      <w:proofErr w:type="spellEnd"/>
      <w:r w:rsidRPr="00290EBF">
        <w:rPr>
          <w:rFonts w:ascii="Arial" w:hAnsi="Arial" w:cs="Arial"/>
        </w:rPr>
        <w:t xml:space="preserve">, S., Guthrie, C., Queiroz, M. M., &amp; </w:t>
      </w:r>
      <w:proofErr w:type="spellStart"/>
      <w:r w:rsidRPr="00290EBF">
        <w:rPr>
          <w:rFonts w:ascii="Arial" w:hAnsi="Arial" w:cs="Arial"/>
        </w:rPr>
        <w:t>Minner</w:t>
      </w:r>
      <w:proofErr w:type="spellEnd"/>
      <w:r w:rsidRPr="00290EBF">
        <w:rPr>
          <w:rFonts w:ascii="Arial" w:hAnsi="Arial" w:cs="Arial"/>
        </w:rPr>
        <w:t xml:space="preserve">, S. (2024). </w:t>
      </w:r>
      <w:proofErr w:type="spellStart"/>
      <w:r w:rsidRPr="00290EBF">
        <w:rPr>
          <w:rFonts w:ascii="Arial" w:hAnsi="Arial" w:cs="Arial"/>
        </w:rPr>
        <w:t>ChatGPT</w:t>
      </w:r>
      <w:proofErr w:type="spellEnd"/>
      <w:r w:rsidRPr="00290EBF">
        <w:rPr>
          <w:rFonts w:ascii="Arial" w:hAnsi="Arial" w:cs="Arial"/>
        </w:rPr>
        <w:t xml:space="preserve"> and generative artificial intelligence: an exploratory study of key benefits and challenges in operations and supply chain management. International Journal of Production Research, 62(16), 5676–5696. </w:t>
      </w:r>
      <w:hyperlink r:id="rId17" w:history="1">
        <w:r w:rsidRPr="00290EBF">
          <w:rPr>
            <w:rStyle w:val="Hyperlink"/>
            <w:rFonts w:ascii="Arial" w:hAnsi="Arial" w:cs="Arial"/>
          </w:rPr>
          <w:t>https://doi.org/10.1080/00207543.2023.2294116</w:t>
        </w:r>
      </w:hyperlink>
      <w:r w:rsidRPr="00290EBF">
        <w:rPr>
          <w:rFonts w:ascii="Arial" w:hAnsi="Arial" w:cs="Arial"/>
        </w:rPr>
        <w:t xml:space="preserve"> </w:t>
      </w:r>
    </w:p>
    <w:p w14:paraId="6398CEAE" w14:textId="30B55826" w:rsidR="00C84C46" w:rsidRPr="00290EBF" w:rsidRDefault="00C84C46" w:rsidP="00C84C46">
      <w:pPr>
        <w:pStyle w:val="Body"/>
        <w:rPr>
          <w:rFonts w:ascii="Arial" w:hAnsi="Arial" w:cs="Arial"/>
        </w:rPr>
      </w:pPr>
      <w:r w:rsidRPr="00290EBF">
        <w:rPr>
          <w:rFonts w:ascii="Arial" w:hAnsi="Arial" w:cs="Arial"/>
        </w:rPr>
        <w:lastRenderedPageBreak/>
        <w:t xml:space="preserve">Hendriksen, C. (2023). Artificial intelligence for supply chain management: Disruptive innovation or innovative disruption? Journal of Supply Chain Management, 59(3), 65–76. </w:t>
      </w:r>
      <w:hyperlink r:id="rId18" w:history="1">
        <w:r w:rsidRPr="00290EBF">
          <w:rPr>
            <w:rStyle w:val="Hyperlink"/>
            <w:rFonts w:ascii="Arial" w:hAnsi="Arial" w:cs="Arial"/>
          </w:rPr>
          <w:t>https://doi.org/10.1111/jscm.12304</w:t>
        </w:r>
      </w:hyperlink>
      <w:r w:rsidRPr="00290EBF">
        <w:rPr>
          <w:rFonts w:ascii="Arial" w:hAnsi="Arial" w:cs="Arial"/>
        </w:rPr>
        <w:t xml:space="preserve"> </w:t>
      </w:r>
    </w:p>
    <w:p w14:paraId="783DD6E7" w14:textId="00B7197A" w:rsidR="00C84C46" w:rsidRPr="00290EBF" w:rsidRDefault="00C84C46" w:rsidP="00C84C46">
      <w:pPr>
        <w:pStyle w:val="Body"/>
        <w:rPr>
          <w:rFonts w:ascii="Arial" w:hAnsi="Arial" w:cs="Arial"/>
        </w:rPr>
      </w:pPr>
      <w:r w:rsidRPr="00290EBF">
        <w:rPr>
          <w:rFonts w:ascii="Arial" w:hAnsi="Arial" w:cs="Arial"/>
        </w:rPr>
        <w:t xml:space="preserve">Jackson, I., Ivanov, D., </w:t>
      </w:r>
      <w:proofErr w:type="spellStart"/>
      <w:r w:rsidRPr="00290EBF">
        <w:rPr>
          <w:rFonts w:ascii="Arial" w:hAnsi="Arial" w:cs="Arial"/>
        </w:rPr>
        <w:t>Dolgui</w:t>
      </w:r>
      <w:proofErr w:type="spellEnd"/>
      <w:r w:rsidRPr="00290EBF">
        <w:rPr>
          <w:rFonts w:ascii="Arial" w:hAnsi="Arial" w:cs="Arial"/>
        </w:rPr>
        <w:t xml:space="preserve">, A., &amp; </w:t>
      </w:r>
      <w:proofErr w:type="spellStart"/>
      <w:r w:rsidRPr="00290EBF">
        <w:rPr>
          <w:rFonts w:ascii="Arial" w:hAnsi="Arial" w:cs="Arial"/>
        </w:rPr>
        <w:t>Namdar</w:t>
      </w:r>
      <w:proofErr w:type="spellEnd"/>
      <w:r w:rsidRPr="00290EBF">
        <w:rPr>
          <w:rFonts w:ascii="Arial" w:hAnsi="Arial" w:cs="Arial"/>
        </w:rPr>
        <w:t xml:space="preserve">, J. (2024). Generative artificial intelligence in supply chain and operations management: a capability-based framework for analysis and implementation. International Journal of Production Research, 62(17), 6120–6145. </w:t>
      </w:r>
      <w:hyperlink r:id="rId19" w:history="1">
        <w:r w:rsidRPr="00290EBF">
          <w:rPr>
            <w:rStyle w:val="Hyperlink"/>
            <w:rFonts w:ascii="Arial" w:hAnsi="Arial" w:cs="Arial"/>
          </w:rPr>
          <w:t>https://doi.org/10.1080/00207543.2024.2309309</w:t>
        </w:r>
      </w:hyperlink>
      <w:r w:rsidRPr="00290EBF">
        <w:rPr>
          <w:rFonts w:ascii="Arial" w:hAnsi="Arial" w:cs="Arial"/>
        </w:rPr>
        <w:t xml:space="preserve"> </w:t>
      </w:r>
    </w:p>
    <w:p w14:paraId="776A591F" w14:textId="06B0E6C0" w:rsidR="00C84C46" w:rsidRPr="00290EBF" w:rsidRDefault="00C84C46" w:rsidP="00C84C46">
      <w:pPr>
        <w:pStyle w:val="Body"/>
        <w:rPr>
          <w:rFonts w:ascii="Arial" w:hAnsi="Arial" w:cs="Arial"/>
        </w:rPr>
      </w:pPr>
      <w:proofErr w:type="spellStart"/>
      <w:r w:rsidRPr="00290EBF">
        <w:rPr>
          <w:rFonts w:ascii="Arial" w:hAnsi="Arial" w:cs="Arial"/>
        </w:rPr>
        <w:t>Khlie</w:t>
      </w:r>
      <w:proofErr w:type="spellEnd"/>
      <w:r w:rsidRPr="00290EBF">
        <w:rPr>
          <w:rFonts w:ascii="Arial" w:hAnsi="Arial" w:cs="Arial"/>
        </w:rPr>
        <w:t xml:space="preserve">, K., </w:t>
      </w:r>
      <w:proofErr w:type="spellStart"/>
      <w:r w:rsidRPr="00290EBF">
        <w:rPr>
          <w:rFonts w:ascii="Arial" w:hAnsi="Arial" w:cs="Arial"/>
        </w:rPr>
        <w:t>Benmamoun</w:t>
      </w:r>
      <w:proofErr w:type="spellEnd"/>
      <w:r w:rsidRPr="00290EBF">
        <w:rPr>
          <w:rFonts w:ascii="Arial" w:hAnsi="Arial" w:cs="Arial"/>
        </w:rPr>
        <w:t xml:space="preserve">, Z., </w:t>
      </w:r>
      <w:proofErr w:type="spellStart"/>
      <w:r w:rsidRPr="00290EBF">
        <w:rPr>
          <w:rFonts w:ascii="Arial" w:hAnsi="Arial" w:cs="Arial"/>
        </w:rPr>
        <w:t>Jebbor</w:t>
      </w:r>
      <w:proofErr w:type="spellEnd"/>
      <w:r w:rsidRPr="00290EBF">
        <w:rPr>
          <w:rFonts w:ascii="Arial" w:hAnsi="Arial" w:cs="Arial"/>
        </w:rPr>
        <w:t xml:space="preserve">, I., &amp; </w:t>
      </w:r>
      <w:proofErr w:type="spellStart"/>
      <w:r w:rsidRPr="00290EBF">
        <w:rPr>
          <w:rFonts w:ascii="Arial" w:hAnsi="Arial" w:cs="Arial"/>
        </w:rPr>
        <w:t>Hachimi</w:t>
      </w:r>
      <w:proofErr w:type="spellEnd"/>
      <w:r w:rsidRPr="00290EBF">
        <w:rPr>
          <w:rFonts w:ascii="Arial" w:hAnsi="Arial" w:cs="Arial"/>
        </w:rPr>
        <w:t xml:space="preserve">, H. (2024). Comparison of Generative AI Models in Supply Chain Management: Benefits, Applications and Challenges. 2024 10th International Conference on Optimization and Applications (ICOA), 1–7. </w:t>
      </w:r>
      <w:hyperlink r:id="rId20" w:history="1">
        <w:r w:rsidRPr="00290EBF">
          <w:rPr>
            <w:rStyle w:val="Hyperlink"/>
            <w:rFonts w:ascii="Arial" w:hAnsi="Arial" w:cs="Arial"/>
          </w:rPr>
          <w:t>https://doi.org/10.1109/ICOA62581.2024.10753985</w:t>
        </w:r>
      </w:hyperlink>
      <w:r w:rsidRPr="00290EBF">
        <w:rPr>
          <w:rFonts w:ascii="Arial" w:hAnsi="Arial" w:cs="Arial"/>
        </w:rPr>
        <w:t xml:space="preserve"> </w:t>
      </w:r>
    </w:p>
    <w:p w14:paraId="45E9E82E" w14:textId="19375086" w:rsidR="00C84C46" w:rsidRPr="00290EBF" w:rsidRDefault="00C84C46" w:rsidP="00C84C46">
      <w:pPr>
        <w:pStyle w:val="Body"/>
        <w:rPr>
          <w:rFonts w:ascii="Arial" w:hAnsi="Arial" w:cs="Arial"/>
        </w:rPr>
      </w:pP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xml:space="preserve">, P. (2024). The Rise of Generative AI in Enterprise App Development: A Review of Strategies and Technologies. Global Research and Development Journals, 09(12), 01–08. </w:t>
      </w:r>
      <w:hyperlink r:id="rId21" w:history="1">
        <w:r w:rsidRPr="00290EBF">
          <w:rPr>
            <w:rStyle w:val="Hyperlink"/>
            <w:rFonts w:ascii="Arial" w:hAnsi="Arial" w:cs="Arial"/>
          </w:rPr>
          <w:t>https://doi.org/10.70179/GRDJEV09I120182</w:t>
        </w:r>
      </w:hyperlink>
      <w:r w:rsidRPr="00290EBF">
        <w:rPr>
          <w:rFonts w:ascii="Arial" w:hAnsi="Arial" w:cs="Arial"/>
        </w:rPr>
        <w:t xml:space="preserve"> </w:t>
      </w:r>
    </w:p>
    <w:p w14:paraId="397D1889" w14:textId="766E3A94" w:rsidR="00C84C46" w:rsidRPr="00290EBF" w:rsidRDefault="00C84C46" w:rsidP="00C84C46">
      <w:pPr>
        <w:pStyle w:val="Body"/>
        <w:rPr>
          <w:rFonts w:ascii="Arial" w:hAnsi="Arial" w:cs="Arial"/>
        </w:rPr>
      </w:pPr>
      <w:r w:rsidRPr="00290EBF">
        <w:rPr>
          <w:rFonts w:ascii="Arial" w:hAnsi="Arial" w:cs="Arial"/>
        </w:rPr>
        <w:t xml:space="preserve">Page, M. J., McKenzie, J. E., </w:t>
      </w:r>
      <w:proofErr w:type="spellStart"/>
      <w:r w:rsidRPr="00290EBF">
        <w:rPr>
          <w:rFonts w:ascii="Arial" w:hAnsi="Arial" w:cs="Arial"/>
        </w:rPr>
        <w:t>Bossuyt</w:t>
      </w:r>
      <w:proofErr w:type="spellEnd"/>
      <w:r w:rsidRPr="00290EBF">
        <w:rPr>
          <w:rFonts w:ascii="Arial" w:hAnsi="Arial" w:cs="Arial"/>
        </w:rPr>
        <w:t xml:space="preserve">, P. M., </w:t>
      </w:r>
      <w:proofErr w:type="spellStart"/>
      <w:r w:rsidRPr="00290EBF">
        <w:rPr>
          <w:rFonts w:ascii="Arial" w:hAnsi="Arial" w:cs="Arial"/>
        </w:rPr>
        <w:t>Boutron</w:t>
      </w:r>
      <w:proofErr w:type="spellEnd"/>
      <w:r w:rsidRPr="00290EBF">
        <w:rPr>
          <w:rFonts w:ascii="Arial" w:hAnsi="Arial" w:cs="Arial"/>
        </w:rPr>
        <w:t xml:space="preserve">, I., Hoffmann, T. C., Mulrow, C. D., </w:t>
      </w:r>
      <w:proofErr w:type="spellStart"/>
      <w:r w:rsidRPr="00290EBF">
        <w:rPr>
          <w:rFonts w:ascii="Arial" w:hAnsi="Arial" w:cs="Arial"/>
        </w:rPr>
        <w:t>Shamseer</w:t>
      </w:r>
      <w:proofErr w:type="spellEnd"/>
      <w:r w:rsidRPr="00290EBF">
        <w:rPr>
          <w:rFonts w:ascii="Arial" w:hAnsi="Arial" w:cs="Arial"/>
        </w:rPr>
        <w:t xml:space="preserve">, L., </w:t>
      </w:r>
      <w:proofErr w:type="spellStart"/>
      <w:r w:rsidRPr="00290EBF">
        <w:rPr>
          <w:rFonts w:ascii="Arial" w:hAnsi="Arial" w:cs="Arial"/>
        </w:rPr>
        <w:t>Tetzlaff</w:t>
      </w:r>
      <w:proofErr w:type="spellEnd"/>
      <w:r w:rsidRPr="00290EBF">
        <w:rPr>
          <w:rFonts w:ascii="Arial" w:hAnsi="Arial" w:cs="Arial"/>
        </w:rPr>
        <w:t xml:space="preserve">, J. M., </w:t>
      </w:r>
      <w:proofErr w:type="spellStart"/>
      <w:r w:rsidRPr="00290EBF">
        <w:rPr>
          <w:rFonts w:ascii="Arial" w:hAnsi="Arial" w:cs="Arial"/>
        </w:rPr>
        <w:t>Akl</w:t>
      </w:r>
      <w:proofErr w:type="spellEnd"/>
      <w:r w:rsidRPr="00290EBF">
        <w:rPr>
          <w:rFonts w:ascii="Arial" w:hAnsi="Arial" w:cs="Arial"/>
        </w:rPr>
        <w:t xml:space="preserve">, E. A., Brennan, S. E., Chou, R., Glanville, J., Grimshaw, J. M., </w:t>
      </w:r>
      <w:proofErr w:type="spellStart"/>
      <w:r w:rsidRPr="00290EBF">
        <w:rPr>
          <w:rFonts w:ascii="Arial" w:hAnsi="Arial" w:cs="Arial"/>
        </w:rPr>
        <w:t>Hróbjartsson</w:t>
      </w:r>
      <w:proofErr w:type="spellEnd"/>
      <w:r w:rsidRPr="00290EBF">
        <w:rPr>
          <w:rFonts w:ascii="Arial" w:hAnsi="Arial" w:cs="Arial"/>
        </w:rPr>
        <w:t xml:space="preserve">, A., </w:t>
      </w:r>
      <w:proofErr w:type="spellStart"/>
      <w:r w:rsidRPr="00290EBF">
        <w:rPr>
          <w:rFonts w:ascii="Arial" w:hAnsi="Arial" w:cs="Arial"/>
        </w:rPr>
        <w:t>Lalu</w:t>
      </w:r>
      <w:proofErr w:type="spellEnd"/>
      <w:r w:rsidRPr="00290EBF">
        <w:rPr>
          <w:rFonts w:ascii="Arial" w:hAnsi="Arial" w:cs="Arial"/>
        </w:rPr>
        <w:t xml:space="preserve">, M. M., Li, T., </w:t>
      </w:r>
      <w:proofErr w:type="spellStart"/>
      <w:r w:rsidRPr="00290EBF">
        <w:rPr>
          <w:rFonts w:ascii="Arial" w:hAnsi="Arial" w:cs="Arial"/>
        </w:rPr>
        <w:t>Loder</w:t>
      </w:r>
      <w:proofErr w:type="spellEnd"/>
      <w:r w:rsidRPr="00290EBF">
        <w:rPr>
          <w:rFonts w:ascii="Arial" w:hAnsi="Arial" w:cs="Arial"/>
        </w:rPr>
        <w:t xml:space="preserve">, E. W., Mayo-Wilson, E., McDonald, S., … Moher, D. (2021). The PRISMA 2020 statement: an updated guideline for reporting systematic reviews. BMJ, n71. </w:t>
      </w:r>
      <w:hyperlink r:id="rId22" w:history="1">
        <w:r w:rsidRPr="00290EBF">
          <w:rPr>
            <w:rStyle w:val="Hyperlink"/>
            <w:rFonts w:ascii="Arial" w:hAnsi="Arial" w:cs="Arial"/>
          </w:rPr>
          <w:t>https://doi.org/10.1136/bmj.n71</w:t>
        </w:r>
      </w:hyperlink>
      <w:r w:rsidRPr="00290EBF">
        <w:rPr>
          <w:rFonts w:ascii="Arial" w:hAnsi="Arial" w:cs="Arial"/>
        </w:rPr>
        <w:t xml:space="preserve"> </w:t>
      </w:r>
    </w:p>
    <w:p w14:paraId="0F2301DC" w14:textId="70BC393E" w:rsidR="00C84C46" w:rsidRPr="00290EBF" w:rsidRDefault="00C84C46" w:rsidP="00C84C46">
      <w:pPr>
        <w:pStyle w:val="Body"/>
        <w:rPr>
          <w:rFonts w:ascii="Arial" w:hAnsi="Arial" w:cs="Arial"/>
        </w:rPr>
      </w:pPr>
      <w:r w:rsidRPr="00290EBF">
        <w:rPr>
          <w:rFonts w:ascii="Arial" w:hAnsi="Arial" w:cs="Arial"/>
        </w:rPr>
        <w:t xml:space="preserve">Qu, C., &amp; Kim, E. (2024). Reviewing the Roles of AI-Integrated Technologies in Sustainable Supply Chain Management: Research Propositions and a Framework for Future Directions. Sustainability, 16(14), 6186. </w:t>
      </w:r>
      <w:hyperlink r:id="rId23" w:history="1">
        <w:r w:rsidRPr="00290EBF">
          <w:rPr>
            <w:rStyle w:val="Hyperlink"/>
            <w:rFonts w:ascii="Arial" w:hAnsi="Arial" w:cs="Arial"/>
          </w:rPr>
          <w:t>https://doi.org/10.3390/su16146186</w:t>
        </w:r>
      </w:hyperlink>
      <w:r w:rsidRPr="00290EBF">
        <w:rPr>
          <w:rFonts w:ascii="Arial" w:hAnsi="Arial" w:cs="Arial"/>
        </w:rPr>
        <w:t xml:space="preserve"> </w:t>
      </w:r>
    </w:p>
    <w:p w14:paraId="4D0B1057" w14:textId="45092726" w:rsidR="00C84C46" w:rsidRPr="00290EBF" w:rsidRDefault="00C84C46" w:rsidP="00C84C46">
      <w:pPr>
        <w:pStyle w:val="Body"/>
        <w:rPr>
          <w:rFonts w:ascii="Arial" w:hAnsi="Arial" w:cs="Arial"/>
        </w:rPr>
      </w:pPr>
      <w:r w:rsidRPr="00290EBF">
        <w:rPr>
          <w:rFonts w:ascii="Arial" w:hAnsi="Arial" w:cs="Arial"/>
        </w:rPr>
        <w:t xml:space="preserve">Reddy </w:t>
      </w:r>
      <w:proofErr w:type="spellStart"/>
      <w:r w:rsidRPr="00290EBF">
        <w:rPr>
          <w:rFonts w:ascii="Arial" w:hAnsi="Arial" w:cs="Arial"/>
        </w:rPr>
        <w:t>Gayam</w:t>
      </w:r>
      <w:proofErr w:type="spellEnd"/>
      <w:r w:rsidRPr="00290EBF">
        <w:rPr>
          <w:rFonts w:ascii="Arial" w:hAnsi="Arial" w:cs="Arial"/>
        </w:rPr>
        <w:t xml:space="preserve">, S., Reddy </w:t>
      </w:r>
      <w:proofErr w:type="spellStart"/>
      <w:r w:rsidRPr="00290EBF">
        <w:rPr>
          <w:rFonts w:ascii="Arial" w:hAnsi="Arial" w:cs="Arial"/>
        </w:rPr>
        <w:t>Yellu</w:t>
      </w:r>
      <w:proofErr w:type="spellEnd"/>
      <w:r w:rsidRPr="00290EBF">
        <w:rPr>
          <w:rFonts w:ascii="Arial" w:hAnsi="Arial" w:cs="Arial"/>
        </w:rPr>
        <w:t xml:space="preserve">, R., &amp; </w:t>
      </w:r>
      <w:proofErr w:type="spellStart"/>
      <w:r w:rsidRPr="00290EBF">
        <w:rPr>
          <w:rFonts w:ascii="Arial" w:hAnsi="Arial" w:cs="Arial"/>
        </w:rPr>
        <w:t>Thuniki</w:t>
      </w:r>
      <w:proofErr w:type="spellEnd"/>
      <w:r w:rsidRPr="00290EBF">
        <w:rPr>
          <w:rFonts w:ascii="Arial" w:hAnsi="Arial" w:cs="Arial"/>
        </w:rPr>
        <w:t xml:space="preserve">, P. (2021). Optimizing Supply Chain Management through Artificial Intelligence: Techniques for Predictive Maintenance, Demand Forecasting, and Inventory Optimization. Journal of AI-Assisted Scientific Discovery, 1(1), 129–144. </w:t>
      </w:r>
      <w:hyperlink r:id="rId24" w:history="1">
        <w:r w:rsidRPr="00290EBF">
          <w:rPr>
            <w:rStyle w:val="Hyperlink"/>
            <w:rFonts w:ascii="Arial" w:hAnsi="Arial" w:cs="Arial"/>
          </w:rPr>
          <w:t>https://scienceacadpress.com/index.php/jaasd/article/view/58</w:t>
        </w:r>
      </w:hyperlink>
      <w:r w:rsidRPr="00290EBF">
        <w:rPr>
          <w:rFonts w:ascii="Arial" w:hAnsi="Arial" w:cs="Arial"/>
        </w:rPr>
        <w:t xml:space="preserve"> </w:t>
      </w:r>
    </w:p>
    <w:p w14:paraId="3C7EB505" w14:textId="096FFB4A" w:rsidR="00C84C46" w:rsidRPr="00290EBF" w:rsidRDefault="00C84C46" w:rsidP="00C84C46">
      <w:pPr>
        <w:pStyle w:val="Body"/>
        <w:rPr>
          <w:rFonts w:ascii="Arial" w:hAnsi="Arial" w:cs="Arial"/>
        </w:rPr>
      </w:pPr>
      <w:proofErr w:type="spellStart"/>
      <w:r w:rsidRPr="00290EBF">
        <w:rPr>
          <w:rFonts w:ascii="Arial" w:hAnsi="Arial" w:cs="Arial"/>
        </w:rPr>
        <w:t>Riad</w:t>
      </w:r>
      <w:proofErr w:type="spellEnd"/>
      <w:r w:rsidRPr="00290EBF">
        <w:rPr>
          <w:rFonts w:ascii="Arial" w:hAnsi="Arial" w:cs="Arial"/>
        </w:rPr>
        <w:t xml:space="preserve">, M., </w:t>
      </w:r>
      <w:proofErr w:type="spellStart"/>
      <w:r w:rsidRPr="00290EBF">
        <w:rPr>
          <w:rFonts w:ascii="Arial" w:hAnsi="Arial" w:cs="Arial"/>
        </w:rPr>
        <w:t>Naimi</w:t>
      </w:r>
      <w:proofErr w:type="spellEnd"/>
      <w:r w:rsidRPr="00290EBF">
        <w:rPr>
          <w:rFonts w:ascii="Arial" w:hAnsi="Arial" w:cs="Arial"/>
        </w:rPr>
        <w:t xml:space="preserve">, M., &amp; </w:t>
      </w:r>
      <w:proofErr w:type="spellStart"/>
      <w:r w:rsidRPr="00290EBF">
        <w:rPr>
          <w:rFonts w:ascii="Arial" w:hAnsi="Arial" w:cs="Arial"/>
        </w:rPr>
        <w:t>Okar</w:t>
      </w:r>
      <w:proofErr w:type="spellEnd"/>
      <w:r w:rsidRPr="00290EBF">
        <w:rPr>
          <w:rFonts w:ascii="Arial" w:hAnsi="Arial" w:cs="Arial"/>
        </w:rPr>
        <w:t xml:space="preserve">, C. (2024). Enhancing Supply Chain Resilience Through Artificial Intelligence: Developing a Comprehensive Conceptual Framework for AI Implementation and Supply Chain Optimization. Logistics, 8(4), 111. </w:t>
      </w:r>
      <w:hyperlink r:id="rId25" w:history="1">
        <w:r w:rsidRPr="00290EBF">
          <w:rPr>
            <w:rStyle w:val="Hyperlink"/>
            <w:rFonts w:ascii="Arial" w:hAnsi="Arial" w:cs="Arial"/>
          </w:rPr>
          <w:t>https://doi.org/10.3390/logistics8040111</w:t>
        </w:r>
      </w:hyperlink>
      <w:r w:rsidRPr="00290EBF">
        <w:rPr>
          <w:rFonts w:ascii="Arial" w:hAnsi="Arial" w:cs="Arial"/>
        </w:rPr>
        <w:t xml:space="preserve"> </w:t>
      </w:r>
    </w:p>
    <w:p w14:paraId="63F34B5E" w14:textId="77777777" w:rsidR="00C84C46" w:rsidRPr="00290EBF" w:rsidRDefault="00C84C46" w:rsidP="00C84C46">
      <w:pPr>
        <w:pStyle w:val="Body"/>
        <w:rPr>
          <w:rFonts w:ascii="Arial" w:hAnsi="Arial" w:cs="Arial"/>
        </w:rPr>
      </w:pPr>
      <w:r w:rsidRPr="00290EBF">
        <w:rPr>
          <w:rFonts w:ascii="Arial" w:hAnsi="Arial" w:cs="Arial"/>
        </w:rPr>
        <w:t>Shekhar, A., Umar, S., Abdul, F., Dibaba, W., &amp; Professor, W. (2024). Generative AI in Supply Chain Management. International Journal on Recent and Innovation Trends in Computing and Communication, 11, 4179–4185.</w:t>
      </w:r>
    </w:p>
    <w:p w14:paraId="079F4B17" w14:textId="373EA5CC" w:rsidR="00C84C46" w:rsidRPr="00290EBF" w:rsidRDefault="00C84C46" w:rsidP="00C84C46">
      <w:pPr>
        <w:pStyle w:val="Body"/>
        <w:rPr>
          <w:rFonts w:ascii="Arial" w:hAnsi="Arial" w:cs="Arial"/>
        </w:rPr>
      </w:pPr>
      <w:r w:rsidRPr="00290EBF">
        <w:rPr>
          <w:rFonts w:ascii="Arial" w:hAnsi="Arial" w:cs="Arial"/>
        </w:rPr>
        <w:t xml:space="preserve">Singh, P. K. (2023). Digital Transformation in Supply Chain Management: Artificial Intelligence (AI) and Machine Learning (ML) as Catalysts for Value Creation. International Journal of Supply Chain Management, 12(6), 57–63. </w:t>
      </w:r>
      <w:hyperlink r:id="rId26" w:history="1">
        <w:r w:rsidRPr="00290EBF">
          <w:rPr>
            <w:rStyle w:val="Hyperlink"/>
            <w:rFonts w:ascii="Arial" w:hAnsi="Arial" w:cs="Arial"/>
          </w:rPr>
          <w:t>https://doi.org/10.59160/ijscm.v12i6.6216</w:t>
        </w:r>
      </w:hyperlink>
      <w:r w:rsidRPr="00290EBF">
        <w:rPr>
          <w:rFonts w:ascii="Arial" w:hAnsi="Arial" w:cs="Arial"/>
        </w:rPr>
        <w:t xml:space="preserve"> </w:t>
      </w:r>
    </w:p>
    <w:p w14:paraId="05106117" w14:textId="52135EF3" w:rsidR="00C84C46" w:rsidRPr="00290EBF" w:rsidRDefault="00C84C46" w:rsidP="00C84C46">
      <w:pPr>
        <w:pStyle w:val="Body"/>
        <w:rPr>
          <w:rFonts w:ascii="Arial" w:hAnsi="Arial" w:cs="Arial"/>
        </w:rPr>
      </w:pPr>
      <w:r w:rsidRPr="00290EBF">
        <w:rPr>
          <w:rFonts w:ascii="Arial" w:hAnsi="Arial" w:cs="Arial"/>
        </w:rPr>
        <w:t xml:space="preserve">Walter, S. (2023). AI impacts on supply chain </w:t>
      </w:r>
      <w:proofErr w:type="gramStart"/>
      <w:r w:rsidRPr="00290EBF">
        <w:rPr>
          <w:rFonts w:ascii="Arial" w:hAnsi="Arial" w:cs="Arial"/>
        </w:rPr>
        <w:t>performance :</w:t>
      </w:r>
      <w:proofErr w:type="gramEnd"/>
      <w:r w:rsidRPr="00290EBF">
        <w:rPr>
          <w:rFonts w:ascii="Arial" w:hAnsi="Arial" w:cs="Arial"/>
        </w:rPr>
        <w:t xml:space="preserve"> a manufacturing use case study. Discover Artificial Intelligence, 3(1), 18. </w:t>
      </w:r>
      <w:hyperlink r:id="rId27" w:history="1">
        <w:r w:rsidRPr="00290EBF">
          <w:rPr>
            <w:rStyle w:val="Hyperlink"/>
            <w:rFonts w:ascii="Arial" w:hAnsi="Arial" w:cs="Arial"/>
          </w:rPr>
          <w:t>https://doi.org/10.1007/s44163-023-00061-9</w:t>
        </w:r>
      </w:hyperlink>
      <w:r w:rsidRPr="00290EBF">
        <w:rPr>
          <w:rFonts w:ascii="Arial" w:hAnsi="Arial" w:cs="Arial"/>
        </w:rPr>
        <w:t xml:space="preserve"> </w:t>
      </w:r>
    </w:p>
    <w:p w14:paraId="23B3EB35" w14:textId="4B08D449" w:rsidR="004D4277" w:rsidRPr="00290EBF" w:rsidRDefault="00C84C46" w:rsidP="00C84C46">
      <w:pPr>
        <w:pStyle w:val="Body"/>
        <w:spacing w:after="0"/>
        <w:rPr>
          <w:rFonts w:ascii="Arial" w:hAnsi="Arial" w:cs="Arial"/>
          <w:b/>
        </w:rPr>
        <w:sectPr w:rsidR="004D4277" w:rsidRPr="00290EBF" w:rsidSect="00DC7251">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r w:rsidRPr="00290EBF">
        <w:rPr>
          <w:rFonts w:ascii="Arial" w:hAnsi="Arial" w:cs="Arial"/>
        </w:rPr>
        <w:t xml:space="preserve">Wang, Y., </w:t>
      </w:r>
      <w:proofErr w:type="spellStart"/>
      <w:r w:rsidRPr="00290EBF">
        <w:rPr>
          <w:rFonts w:ascii="Arial" w:hAnsi="Arial" w:cs="Arial"/>
        </w:rPr>
        <w:t>Smahi</w:t>
      </w:r>
      <w:proofErr w:type="spellEnd"/>
      <w:r w:rsidRPr="00290EBF">
        <w:rPr>
          <w:rFonts w:ascii="Arial" w:hAnsi="Arial" w:cs="Arial"/>
        </w:rPr>
        <w:t xml:space="preserve">, A., Zhang, H., &amp; Li, H. (2022). Towards Double Defense Network Security Based on Multi-Identifier Network Architecture. Sensors, 22(3), 747. </w:t>
      </w:r>
      <w:hyperlink r:id="rId32" w:history="1">
        <w:r w:rsidRPr="00290EBF">
          <w:rPr>
            <w:rStyle w:val="Hyperlink"/>
            <w:rFonts w:ascii="Arial" w:hAnsi="Arial" w:cs="Arial"/>
          </w:rPr>
          <w:t>https://doi.org/10.3390/s22030747</w:t>
        </w:r>
      </w:hyperlink>
    </w:p>
    <w:p w14:paraId="48530348" w14:textId="77777777" w:rsidR="00B01FCD" w:rsidRPr="00290EBF" w:rsidRDefault="00B01FCD" w:rsidP="00441B6F">
      <w:pPr>
        <w:pStyle w:val="Appendix"/>
        <w:spacing w:after="0"/>
        <w:jc w:val="both"/>
        <w:rPr>
          <w:rFonts w:ascii="Arial" w:hAnsi="Arial" w:cs="Arial"/>
          <w:b w:val="0"/>
        </w:rPr>
      </w:pPr>
    </w:p>
    <w:sectPr w:rsidR="00B01FCD" w:rsidRPr="00290EBF" w:rsidSect="00DC72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57A8" w14:textId="77777777" w:rsidR="00F8027E" w:rsidRDefault="00F8027E" w:rsidP="00C37E61">
      <w:r>
        <w:separator/>
      </w:r>
    </w:p>
  </w:endnote>
  <w:endnote w:type="continuationSeparator" w:id="0">
    <w:p w14:paraId="26E37C88" w14:textId="77777777" w:rsidR="00F8027E" w:rsidRDefault="00F802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EA60" w14:textId="77777777" w:rsidR="00DC7251" w:rsidRDefault="00DC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044C" w14:textId="77777777" w:rsidR="00DC7251" w:rsidRDefault="00DC7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E2CC" w14:textId="7BA2396D" w:rsidR="00754C9A" w:rsidRPr="00DC7251" w:rsidRDefault="00754C9A" w:rsidP="00DC725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92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DBA8" w14:textId="77777777" w:rsidR="00F8027E" w:rsidRDefault="00F8027E" w:rsidP="00C37E61">
      <w:r>
        <w:separator/>
      </w:r>
    </w:p>
  </w:footnote>
  <w:footnote w:type="continuationSeparator" w:id="0">
    <w:p w14:paraId="1F9CB6F6" w14:textId="77777777" w:rsidR="00F8027E" w:rsidRDefault="00F802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77D6" w14:textId="15EA237C" w:rsidR="00DC7251" w:rsidRDefault="00DC7251">
    <w:pPr>
      <w:pStyle w:val="Header"/>
    </w:pPr>
    <w:r>
      <w:rPr>
        <w:noProof/>
      </w:rPr>
      <w:pict w14:anchorId="50C7A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C301" w14:textId="58F3DF3F" w:rsidR="00DC7251" w:rsidRDefault="00DC7251">
    <w:pPr>
      <w:pStyle w:val="Header"/>
    </w:pPr>
    <w:r>
      <w:rPr>
        <w:noProof/>
      </w:rPr>
      <w:pict w14:anchorId="76132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9982" w14:textId="3BC94C52" w:rsidR="00296529" w:rsidRPr="00296529" w:rsidRDefault="00DC7251" w:rsidP="00296529">
    <w:pPr>
      <w:ind w:left="2160"/>
      <w:jc w:val="center"/>
      <w:rPr>
        <w:rFonts w:ascii="Times New Roman" w:eastAsia="Calibri" w:hAnsi="Times New Roman"/>
        <w:i/>
        <w:sz w:val="18"/>
        <w:szCs w:val="22"/>
      </w:rPr>
    </w:pPr>
    <w:r>
      <w:rPr>
        <w:noProof/>
      </w:rPr>
      <w:pict w14:anchorId="2AF6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ABF7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3949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B5AD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E039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F4E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4422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A67A" w14:textId="49D80CA0" w:rsidR="00DC7251" w:rsidRDefault="00DC7251">
    <w:pPr>
      <w:pStyle w:val="Header"/>
    </w:pPr>
    <w:r>
      <w:rPr>
        <w:noProof/>
      </w:rPr>
      <w:pict w14:anchorId="2F6ED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5C72" w14:textId="774DB83F" w:rsidR="00DC7251" w:rsidRDefault="00DC7251">
    <w:pPr>
      <w:pStyle w:val="Header"/>
    </w:pPr>
    <w:r>
      <w:rPr>
        <w:noProof/>
      </w:rPr>
      <w:pict w14:anchorId="12FC6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958E" w14:textId="586460DD" w:rsidR="00DC7251" w:rsidRDefault="00DC7251">
    <w:pPr>
      <w:pStyle w:val="Header"/>
    </w:pPr>
    <w:r>
      <w:rPr>
        <w:noProof/>
      </w:rPr>
      <w:pict w14:anchorId="14C4A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wMDIyMjQzNDE1MzFU0lEKTi0uzszPAykwrAUAVqFydSwAAAA="/>
  </w:docVars>
  <w:rsids>
    <w:rsidRoot w:val="00AA6219"/>
    <w:rsid w:val="00000F8F"/>
    <w:rsid w:val="00030174"/>
    <w:rsid w:val="0004579C"/>
    <w:rsid w:val="000619F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44A"/>
    <w:rsid w:val="001B0427"/>
    <w:rsid w:val="001D3A51"/>
    <w:rsid w:val="001E10D2"/>
    <w:rsid w:val="001E25B4"/>
    <w:rsid w:val="001E44FE"/>
    <w:rsid w:val="00200595"/>
    <w:rsid w:val="00204835"/>
    <w:rsid w:val="002274AB"/>
    <w:rsid w:val="00231920"/>
    <w:rsid w:val="0023195C"/>
    <w:rsid w:val="0024282C"/>
    <w:rsid w:val="002460DC"/>
    <w:rsid w:val="00250985"/>
    <w:rsid w:val="002556F6"/>
    <w:rsid w:val="00283105"/>
    <w:rsid w:val="00284C4C"/>
    <w:rsid w:val="00287E68"/>
    <w:rsid w:val="00290EBF"/>
    <w:rsid w:val="00296529"/>
    <w:rsid w:val="002B27FB"/>
    <w:rsid w:val="002B54F4"/>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020"/>
    <w:rsid w:val="00554FDA"/>
    <w:rsid w:val="005B159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2550"/>
    <w:rsid w:val="007C3049"/>
    <w:rsid w:val="007D2288"/>
    <w:rsid w:val="007E088F"/>
    <w:rsid w:val="007F7B32"/>
    <w:rsid w:val="008045E5"/>
    <w:rsid w:val="00804BC2"/>
    <w:rsid w:val="0081431A"/>
    <w:rsid w:val="0083216F"/>
    <w:rsid w:val="00845D25"/>
    <w:rsid w:val="00860000"/>
    <w:rsid w:val="00863BD3"/>
    <w:rsid w:val="008641ED"/>
    <w:rsid w:val="00866D66"/>
    <w:rsid w:val="008671C6"/>
    <w:rsid w:val="00875803"/>
    <w:rsid w:val="008B459E"/>
    <w:rsid w:val="008D7053"/>
    <w:rsid w:val="008E13AE"/>
    <w:rsid w:val="008E1506"/>
    <w:rsid w:val="008E710C"/>
    <w:rsid w:val="008F69D6"/>
    <w:rsid w:val="00902823"/>
    <w:rsid w:val="00915CA6"/>
    <w:rsid w:val="00927834"/>
    <w:rsid w:val="009500A6"/>
    <w:rsid w:val="00957C18"/>
    <w:rsid w:val="009659BA"/>
    <w:rsid w:val="00983040"/>
    <w:rsid w:val="009B3FB9"/>
    <w:rsid w:val="009B6D7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1F3"/>
    <w:rsid w:val="00A51431"/>
    <w:rsid w:val="00A539AD"/>
    <w:rsid w:val="00A654CB"/>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0B80"/>
    <w:rsid w:val="00C166EF"/>
    <w:rsid w:val="00C17EB0"/>
    <w:rsid w:val="00C27F5F"/>
    <w:rsid w:val="00C30A0F"/>
    <w:rsid w:val="00C37E61"/>
    <w:rsid w:val="00C70F1B"/>
    <w:rsid w:val="00C71A47"/>
    <w:rsid w:val="00C7464C"/>
    <w:rsid w:val="00C84C46"/>
    <w:rsid w:val="00C85588"/>
    <w:rsid w:val="00CD6755"/>
    <w:rsid w:val="00CD6856"/>
    <w:rsid w:val="00CE0089"/>
    <w:rsid w:val="00CE793C"/>
    <w:rsid w:val="00CF193C"/>
    <w:rsid w:val="00D173F1"/>
    <w:rsid w:val="00D74CB0"/>
    <w:rsid w:val="00D8295D"/>
    <w:rsid w:val="00DC2A65"/>
    <w:rsid w:val="00DC7251"/>
    <w:rsid w:val="00DE15F0"/>
    <w:rsid w:val="00DE5663"/>
    <w:rsid w:val="00DE78AA"/>
    <w:rsid w:val="00E053D0"/>
    <w:rsid w:val="00E15994"/>
    <w:rsid w:val="00E3114E"/>
    <w:rsid w:val="00E31A70"/>
    <w:rsid w:val="00E32FB1"/>
    <w:rsid w:val="00E35B02"/>
    <w:rsid w:val="00E66496"/>
    <w:rsid w:val="00E66B35"/>
    <w:rsid w:val="00E66E10"/>
    <w:rsid w:val="00E73188"/>
    <w:rsid w:val="00E769F6"/>
    <w:rsid w:val="00E8407C"/>
    <w:rsid w:val="00E84F3C"/>
    <w:rsid w:val="00EA012C"/>
    <w:rsid w:val="00EC6A55"/>
    <w:rsid w:val="00ED0288"/>
    <w:rsid w:val="00EE52CB"/>
    <w:rsid w:val="00EF581D"/>
    <w:rsid w:val="00EF7FD8"/>
    <w:rsid w:val="00F06F59"/>
    <w:rsid w:val="00F17988"/>
    <w:rsid w:val="00F43559"/>
    <w:rsid w:val="00F444D4"/>
    <w:rsid w:val="00F469F0"/>
    <w:rsid w:val="00F53273"/>
    <w:rsid w:val="00F755E4"/>
    <w:rsid w:val="00F77D02"/>
    <w:rsid w:val="00F8027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6C1F6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rsid w:val="00554020"/>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55402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scm.12304" TargetMode="External"/><Relationship Id="rId26" Type="http://schemas.openxmlformats.org/officeDocument/2006/relationships/hyperlink" Target="https://doi.org/10.59160/ijscm.v12i6.6216" TargetMode="External"/><Relationship Id="rId3" Type="http://schemas.openxmlformats.org/officeDocument/2006/relationships/styles" Target="styles.xml"/><Relationship Id="rId21" Type="http://schemas.openxmlformats.org/officeDocument/2006/relationships/hyperlink" Target="https://doi.org/10.70179/GRDJEV09I120182"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207543.2023.2294116" TargetMode="External"/><Relationship Id="rId25" Type="http://schemas.openxmlformats.org/officeDocument/2006/relationships/hyperlink" Target="https://doi.org/10.3390/logistics804011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3675567.2020.1803246" TargetMode="External"/><Relationship Id="rId20" Type="http://schemas.openxmlformats.org/officeDocument/2006/relationships/hyperlink" Target="https://doi.org/10.1109/ICOA62581.2024.1075398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ienceacadpress.com/index.php/jaasd/article/view/58" TargetMode="External"/><Relationship Id="rId32" Type="http://schemas.openxmlformats.org/officeDocument/2006/relationships/hyperlink" Target="https://doi.org/10.3390/s22030747" TargetMode="External"/><Relationship Id="rId5" Type="http://schemas.openxmlformats.org/officeDocument/2006/relationships/webSettings" Target="webSettings.xml"/><Relationship Id="rId15" Type="http://schemas.openxmlformats.org/officeDocument/2006/relationships/hyperlink" Target="https://doi.org/10.37502/IJSMR.2024.7306" TargetMode="External"/><Relationship Id="rId23" Type="http://schemas.openxmlformats.org/officeDocument/2006/relationships/hyperlink" Target="https://doi.org/10.3390/su16146186"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80/00207543.2024.2309309"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36/bmj.n71" TargetMode="External"/><Relationship Id="rId27" Type="http://schemas.openxmlformats.org/officeDocument/2006/relationships/hyperlink" Target="https://doi.org/10.1007/s44163-023-00061-9"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E1C84CCA64D71804D0022905BB788"/>
        <w:category>
          <w:name w:val="General"/>
          <w:gallery w:val="placeholder"/>
        </w:category>
        <w:types>
          <w:type w:val="bbPlcHdr"/>
        </w:types>
        <w:behaviors>
          <w:behavior w:val="content"/>
        </w:behaviors>
        <w:guid w:val="{0D284C56-6F43-44B5-A9E5-34FC961FAE15}"/>
      </w:docPartPr>
      <w:docPartBody>
        <w:p w:rsidR="00DA58BC" w:rsidRDefault="00980A11" w:rsidP="00980A11">
          <w:pPr>
            <w:pStyle w:val="B81E1C84CCA64D71804D0022905BB788"/>
          </w:pPr>
          <w:r w:rsidRPr="008750F8">
            <w:rPr>
              <w:rStyle w:val="PlaceholderText"/>
            </w:rPr>
            <w:t>Click or tap here to enter text.</w:t>
          </w:r>
        </w:p>
      </w:docPartBody>
    </w:docPart>
    <w:docPart>
      <w:docPartPr>
        <w:name w:val="C90936AC17E94BC9BDEB171585AFC97C"/>
        <w:category>
          <w:name w:val="General"/>
          <w:gallery w:val="placeholder"/>
        </w:category>
        <w:types>
          <w:type w:val="bbPlcHdr"/>
        </w:types>
        <w:behaviors>
          <w:behavior w:val="content"/>
        </w:behaviors>
        <w:guid w:val="{C77DCC09-EAA1-48AE-9600-33675116B76D}"/>
      </w:docPartPr>
      <w:docPartBody>
        <w:p w:rsidR="00DA58BC" w:rsidRDefault="00980A11" w:rsidP="00980A11">
          <w:pPr>
            <w:pStyle w:val="C90936AC17E94BC9BDEB171585AFC97C"/>
          </w:pPr>
          <w:r w:rsidRPr="008750F8">
            <w:rPr>
              <w:rStyle w:val="PlaceholderText"/>
            </w:rPr>
            <w:t>Click or tap here to enter text.</w:t>
          </w:r>
        </w:p>
      </w:docPartBody>
    </w:docPart>
    <w:docPart>
      <w:docPartPr>
        <w:name w:val="6F66013E926144099BB07211334DC9D6"/>
        <w:category>
          <w:name w:val="General"/>
          <w:gallery w:val="placeholder"/>
        </w:category>
        <w:types>
          <w:type w:val="bbPlcHdr"/>
        </w:types>
        <w:behaviors>
          <w:behavior w:val="content"/>
        </w:behaviors>
        <w:guid w:val="{1A431C06-6F96-4F9C-8963-863A4880C52A}"/>
      </w:docPartPr>
      <w:docPartBody>
        <w:p w:rsidR="00DA58BC" w:rsidRDefault="00980A11" w:rsidP="00980A11">
          <w:pPr>
            <w:pStyle w:val="6F66013E926144099BB07211334DC9D6"/>
          </w:pPr>
          <w:r w:rsidRPr="008750F8">
            <w:rPr>
              <w:rStyle w:val="PlaceholderText"/>
            </w:rPr>
            <w:t>Click or tap here to enter text.</w:t>
          </w:r>
        </w:p>
      </w:docPartBody>
    </w:docPart>
    <w:docPart>
      <w:docPartPr>
        <w:name w:val="FFB6F29CC6B040A19CD0FA19E5E4A86F"/>
        <w:category>
          <w:name w:val="General"/>
          <w:gallery w:val="placeholder"/>
        </w:category>
        <w:types>
          <w:type w:val="bbPlcHdr"/>
        </w:types>
        <w:behaviors>
          <w:behavior w:val="content"/>
        </w:behaviors>
        <w:guid w:val="{5EF93410-4E9C-4D4A-B672-DF84CCE92A1B}"/>
      </w:docPartPr>
      <w:docPartBody>
        <w:p w:rsidR="00DA58BC" w:rsidRDefault="00980A11" w:rsidP="00980A11">
          <w:pPr>
            <w:pStyle w:val="FFB6F29CC6B040A19CD0FA19E5E4A86F"/>
          </w:pPr>
          <w:r w:rsidRPr="008750F8">
            <w:rPr>
              <w:rStyle w:val="PlaceholderText"/>
            </w:rPr>
            <w:t>Click or tap here to enter text.</w:t>
          </w:r>
        </w:p>
      </w:docPartBody>
    </w:docPart>
    <w:docPart>
      <w:docPartPr>
        <w:name w:val="B9763A36F5304CB982EAF2A006E575BC"/>
        <w:category>
          <w:name w:val="General"/>
          <w:gallery w:val="placeholder"/>
        </w:category>
        <w:types>
          <w:type w:val="bbPlcHdr"/>
        </w:types>
        <w:behaviors>
          <w:behavior w:val="content"/>
        </w:behaviors>
        <w:guid w:val="{8F6D4C49-F82F-4C2D-8F86-73694B02FF08}"/>
      </w:docPartPr>
      <w:docPartBody>
        <w:p w:rsidR="00DA58BC" w:rsidRDefault="00980A11" w:rsidP="00980A11">
          <w:pPr>
            <w:pStyle w:val="B9763A36F5304CB982EAF2A006E575BC"/>
          </w:pPr>
          <w:r w:rsidRPr="008750F8">
            <w:rPr>
              <w:rStyle w:val="PlaceholderText"/>
            </w:rPr>
            <w:t>Click or tap here to enter text.</w:t>
          </w:r>
        </w:p>
      </w:docPartBody>
    </w:docPart>
    <w:docPart>
      <w:docPartPr>
        <w:name w:val="E47F819C4C0B4F7EB3EAF9F714DD842B"/>
        <w:category>
          <w:name w:val="General"/>
          <w:gallery w:val="placeholder"/>
        </w:category>
        <w:types>
          <w:type w:val="bbPlcHdr"/>
        </w:types>
        <w:behaviors>
          <w:behavior w:val="content"/>
        </w:behaviors>
        <w:guid w:val="{AE287913-33EC-4730-866A-C8CA77EADF18}"/>
      </w:docPartPr>
      <w:docPartBody>
        <w:p w:rsidR="00DA58BC" w:rsidRDefault="00980A11" w:rsidP="00980A11">
          <w:pPr>
            <w:pStyle w:val="E47F819C4C0B4F7EB3EAF9F714DD842B"/>
          </w:pPr>
          <w:r w:rsidRPr="008750F8">
            <w:rPr>
              <w:rStyle w:val="PlaceholderText"/>
            </w:rPr>
            <w:t>Click or tap here to enter text.</w:t>
          </w:r>
        </w:p>
      </w:docPartBody>
    </w:docPart>
    <w:docPart>
      <w:docPartPr>
        <w:name w:val="BD81694917BF4922A513D4C8AC6B8CE2"/>
        <w:category>
          <w:name w:val="General"/>
          <w:gallery w:val="placeholder"/>
        </w:category>
        <w:types>
          <w:type w:val="bbPlcHdr"/>
        </w:types>
        <w:behaviors>
          <w:behavior w:val="content"/>
        </w:behaviors>
        <w:guid w:val="{5FDB246C-65A7-4ECF-820A-41FA4DEA3E91}"/>
      </w:docPartPr>
      <w:docPartBody>
        <w:p w:rsidR="00DA58BC" w:rsidRDefault="00980A11" w:rsidP="00980A11">
          <w:pPr>
            <w:pStyle w:val="BD81694917BF4922A513D4C8AC6B8CE2"/>
          </w:pPr>
          <w:r w:rsidRPr="008750F8">
            <w:rPr>
              <w:rStyle w:val="PlaceholderText"/>
            </w:rPr>
            <w:t>Click or tap here to enter text.</w:t>
          </w:r>
        </w:p>
      </w:docPartBody>
    </w:docPart>
    <w:docPart>
      <w:docPartPr>
        <w:name w:val="70920F4268A743569117D81AC113AE0F"/>
        <w:category>
          <w:name w:val="General"/>
          <w:gallery w:val="placeholder"/>
        </w:category>
        <w:types>
          <w:type w:val="bbPlcHdr"/>
        </w:types>
        <w:behaviors>
          <w:behavior w:val="content"/>
        </w:behaviors>
        <w:guid w:val="{1DE39A7D-9ED5-4900-8BE6-FCB530B5A3F9}"/>
      </w:docPartPr>
      <w:docPartBody>
        <w:p w:rsidR="00DA58BC" w:rsidRDefault="00980A11" w:rsidP="00980A11">
          <w:pPr>
            <w:pStyle w:val="70920F4268A743569117D81AC113AE0F"/>
          </w:pPr>
          <w:r w:rsidRPr="008750F8">
            <w:rPr>
              <w:rStyle w:val="PlaceholderText"/>
            </w:rPr>
            <w:t>Click or tap here to enter text.</w:t>
          </w:r>
        </w:p>
      </w:docPartBody>
    </w:docPart>
    <w:docPart>
      <w:docPartPr>
        <w:name w:val="D1D2281112FB4AD186A59614D8A2C112"/>
        <w:category>
          <w:name w:val="General"/>
          <w:gallery w:val="placeholder"/>
        </w:category>
        <w:types>
          <w:type w:val="bbPlcHdr"/>
        </w:types>
        <w:behaviors>
          <w:behavior w:val="content"/>
        </w:behaviors>
        <w:guid w:val="{1037B688-3020-4A01-B85C-830D59CE0500}"/>
      </w:docPartPr>
      <w:docPartBody>
        <w:p w:rsidR="00DA58BC" w:rsidRDefault="00980A11" w:rsidP="00980A11">
          <w:pPr>
            <w:pStyle w:val="D1D2281112FB4AD186A59614D8A2C112"/>
          </w:pPr>
          <w:r w:rsidRPr="008750F8">
            <w:rPr>
              <w:rStyle w:val="PlaceholderText"/>
            </w:rPr>
            <w:t>Click or tap here to enter text.</w:t>
          </w:r>
        </w:p>
      </w:docPartBody>
    </w:docPart>
    <w:docPart>
      <w:docPartPr>
        <w:name w:val="DF4795A8E10B4878897BF8D8D15FA11E"/>
        <w:category>
          <w:name w:val="General"/>
          <w:gallery w:val="placeholder"/>
        </w:category>
        <w:types>
          <w:type w:val="bbPlcHdr"/>
        </w:types>
        <w:behaviors>
          <w:behavior w:val="content"/>
        </w:behaviors>
        <w:guid w:val="{CD7D4DAD-D71F-4ECB-8C55-9B03F6EFA65F}"/>
      </w:docPartPr>
      <w:docPartBody>
        <w:p w:rsidR="00DA58BC" w:rsidRDefault="00980A11" w:rsidP="00980A11">
          <w:pPr>
            <w:pStyle w:val="DF4795A8E10B4878897BF8D8D15FA11E"/>
          </w:pPr>
          <w:r w:rsidRPr="008750F8">
            <w:rPr>
              <w:rStyle w:val="PlaceholderText"/>
            </w:rPr>
            <w:t>Click or tap here to enter text.</w:t>
          </w:r>
        </w:p>
      </w:docPartBody>
    </w:docPart>
    <w:docPart>
      <w:docPartPr>
        <w:name w:val="AEA63519224C4F93B39A50159788FF35"/>
        <w:category>
          <w:name w:val="General"/>
          <w:gallery w:val="placeholder"/>
        </w:category>
        <w:types>
          <w:type w:val="bbPlcHdr"/>
        </w:types>
        <w:behaviors>
          <w:behavior w:val="content"/>
        </w:behaviors>
        <w:guid w:val="{E2C75C68-052E-4184-8D0F-FA12742D8C33}"/>
      </w:docPartPr>
      <w:docPartBody>
        <w:p w:rsidR="00DA58BC" w:rsidRDefault="00980A11" w:rsidP="00980A11">
          <w:pPr>
            <w:pStyle w:val="AEA63519224C4F93B39A50159788FF35"/>
          </w:pPr>
          <w:r w:rsidRPr="008750F8">
            <w:rPr>
              <w:rStyle w:val="PlaceholderText"/>
            </w:rPr>
            <w:t>Click or tap here to enter text.</w:t>
          </w:r>
        </w:p>
      </w:docPartBody>
    </w:docPart>
    <w:docPart>
      <w:docPartPr>
        <w:name w:val="5FE216FA97AD4C0189D41DCAE7862D3F"/>
        <w:category>
          <w:name w:val="General"/>
          <w:gallery w:val="placeholder"/>
        </w:category>
        <w:types>
          <w:type w:val="bbPlcHdr"/>
        </w:types>
        <w:behaviors>
          <w:behavior w:val="content"/>
        </w:behaviors>
        <w:guid w:val="{02BDF923-7042-4C7C-80D3-7C2DF813B6A1}"/>
      </w:docPartPr>
      <w:docPartBody>
        <w:p w:rsidR="00DA58BC" w:rsidRDefault="00980A11" w:rsidP="00980A11">
          <w:pPr>
            <w:pStyle w:val="5FE216FA97AD4C0189D41DCAE7862D3F"/>
          </w:pPr>
          <w:r w:rsidRPr="008750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11"/>
    <w:rsid w:val="002B54F4"/>
    <w:rsid w:val="002D6057"/>
    <w:rsid w:val="007B29F6"/>
    <w:rsid w:val="00870DA3"/>
    <w:rsid w:val="00980A11"/>
    <w:rsid w:val="00DA58BC"/>
    <w:rsid w:val="00E32FB1"/>
    <w:rsid w:val="00F444D4"/>
    <w:rsid w:val="00F8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80A11"/>
    <w:rPr>
      <w:color w:val="808080"/>
    </w:rPr>
  </w:style>
  <w:style w:type="paragraph" w:customStyle="1" w:styleId="B81E1C84CCA64D71804D0022905BB788">
    <w:name w:val="B81E1C84CCA64D71804D0022905BB788"/>
    <w:rsid w:val="00980A11"/>
  </w:style>
  <w:style w:type="paragraph" w:customStyle="1" w:styleId="C90936AC17E94BC9BDEB171585AFC97C">
    <w:name w:val="C90936AC17E94BC9BDEB171585AFC97C"/>
    <w:rsid w:val="00980A11"/>
  </w:style>
  <w:style w:type="paragraph" w:customStyle="1" w:styleId="6F66013E926144099BB07211334DC9D6">
    <w:name w:val="6F66013E926144099BB07211334DC9D6"/>
    <w:rsid w:val="00980A11"/>
  </w:style>
  <w:style w:type="paragraph" w:customStyle="1" w:styleId="FFB6F29CC6B040A19CD0FA19E5E4A86F">
    <w:name w:val="FFB6F29CC6B040A19CD0FA19E5E4A86F"/>
    <w:rsid w:val="00980A11"/>
  </w:style>
  <w:style w:type="paragraph" w:customStyle="1" w:styleId="B9763A36F5304CB982EAF2A006E575BC">
    <w:name w:val="B9763A36F5304CB982EAF2A006E575BC"/>
    <w:rsid w:val="00980A11"/>
  </w:style>
  <w:style w:type="paragraph" w:customStyle="1" w:styleId="E47F819C4C0B4F7EB3EAF9F714DD842B">
    <w:name w:val="E47F819C4C0B4F7EB3EAF9F714DD842B"/>
    <w:rsid w:val="00980A11"/>
  </w:style>
  <w:style w:type="paragraph" w:customStyle="1" w:styleId="BD81694917BF4922A513D4C8AC6B8CE2">
    <w:name w:val="BD81694917BF4922A513D4C8AC6B8CE2"/>
    <w:rsid w:val="00980A11"/>
  </w:style>
  <w:style w:type="paragraph" w:customStyle="1" w:styleId="70920F4268A743569117D81AC113AE0F">
    <w:name w:val="70920F4268A743569117D81AC113AE0F"/>
    <w:rsid w:val="00980A11"/>
  </w:style>
  <w:style w:type="paragraph" w:customStyle="1" w:styleId="D1D2281112FB4AD186A59614D8A2C112">
    <w:name w:val="D1D2281112FB4AD186A59614D8A2C112"/>
    <w:rsid w:val="00980A11"/>
  </w:style>
  <w:style w:type="paragraph" w:customStyle="1" w:styleId="DF4795A8E10B4878897BF8D8D15FA11E">
    <w:name w:val="DF4795A8E10B4878897BF8D8D15FA11E"/>
    <w:rsid w:val="00980A11"/>
  </w:style>
  <w:style w:type="paragraph" w:customStyle="1" w:styleId="AEA63519224C4F93B39A50159788FF35">
    <w:name w:val="AEA63519224C4F93B39A50159788FF35"/>
    <w:rsid w:val="00980A11"/>
  </w:style>
  <w:style w:type="paragraph" w:customStyle="1" w:styleId="5FE216FA97AD4C0189D41DCAE7862D3F">
    <w:name w:val="5FE216FA97AD4C0189D41DCAE7862D3F"/>
    <w:rsid w:val="00980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239D-A527-4C60-8976-605F9898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15</Pages>
  <Words>5985</Words>
  <Characters>34119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2025-10-07T10:58:00Z</dcterms:modified>
</cp:coreProperties>
</file>