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2D8B" w:rsidRPr="009A2D8B" w:rsidRDefault="009A2D8B">
      <w:pPr>
        <w:spacing w:line="240" w:lineRule="auto"/>
        <w:jc w:val="right"/>
        <w:rPr>
          <w:rFonts w:ascii="Arial" w:hAnsi="Arial" w:cs="Arial"/>
          <w:b/>
          <w:bCs/>
          <w:i/>
          <w:sz w:val="40"/>
          <w:szCs w:val="36"/>
          <w:u w:val="single"/>
        </w:rPr>
      </w:pPr>
      <w:r w:rsidRPr="009A2D8B">
        <w:rPr>
          <w:rFonts w:ascii="Arial" w:hAnsi="Arial" w:cs="Arial"/>
          <w:b/>
          <w:bCs/>
          <w:i/>
          <w:sz w:val="40"/>
          <w:szCs w:val="36"/>
          <w:u w:val="single"/>
        </w:rPr>
        <w:t>Original Research Article</w:t>
      </w:r>
    </w:p>
    <w:p w:rsidR="00260A21" w:rsidRDefault="005163B4">
      <w:pPr>
        <w:spacing w:line="240" w:lineRule="auto"/>
        <w:jc w:val="right"/>
        <w:rPr>
          <w:rFonts w:ascii="Arial" w:hAnsi="Arial" w:cs="Arial"/>
          <w:b/>
          <w:bCs/>
          <w:sz w:val="36"/>
          <w:szCs w:val="36"/>
        </w:rPr>
      </w:pPr>
      <w:r>
        <w:rPr>
          <w:rFonts w:ascii="Arial" w:hAnsi="Arial" w:cs="Arial"/>
          <w:b/>
          <w:bCs/>
          <w:sz w:val="36"/>
          <w:szCs w:val="36"/>
        </w:rPr>
        <w:t xml:space="preserve">COMPARATIVE IN VIVO SUB-ACUTE TOXICITY STUDY OF BPH-INDUCED WISTAR ALBINO RATS TREATED WITH ETHANOL EXTRACTS OF </w:t>
      </w:r>
      <w:proofErr w:type="spellStart"/>
      <w:r>
        <w:rPr>
          <w:rFonts w:ascii="Arial" w:hAnsi="Arial" w:cs="Arial"/>
          <w:b/>
          <w:bCs/>
          <w:i/>
          <w:iCs/>
          <w:sz w:val="36"/>
          <w:szCs w:val="36"/>
        </w:rPr>
        <w:t>Artocarpus</w:t>
      </w:r>
      <w:proofErr w:type="spellEnd"/>
      <w:r>
        <w:rPr>
          <w:rFonts w:ascii="Arial" w:hAnsi="Arial" w:cs="Arial"/>
          <w:b/>
          <w:bCs/>
          <w:i/>
          <w:iCs/>
          <w:sz w:val="36"/>
          <w:szCs w:val="36"/>
        </w:rPr>
        <w:t xml:space="preserve"> </w:t>
      </w:r>
      <w:proofErr w:type="spellStart"/>
      <w:r>
        <w:rPr>
          <w:rFonts w:ascii="Arial" w:hAnsi="Arial" w:cs="Arial"/>
          <w:b/>
          <w:bCs/>
          <w:i/>
          <w:iCs/>
          <w:sz w:val="36"/>
          <w:szCs w:val="36"/>
        </w:rPr>
        <w:t>heterophyllus</w:t>
      </w:r>
      <w:proofErr w:type="spellEnd"/>
      <w:r>
        <w:rPr>
          <w:rFonts w:ascii="Arial" w:hAnsi="Arial" w:cs="Arial"/>
          <w:b/>
          <w:bCs/>
          <w:sz w:val="36"/>
          <w:szCs w:val="36"/>
        </w:rPr>
        <w:t xml:space="preserve"> STEMBARK, LEAF, AND PULP</w:t>
      </w:r>
    </w:p>
    <w:p w:rsidR="008C7A91" w:rsidRDefault="008C7A91" w:rsidP="008C7A91">
      <w:pPr>
        <w:spacing w:line="240" w:lineRule="auto"/>
        <w:jc w:val="right"/>
        <w:rPr>
          <w:b/>
          <w:bCs/>
          <w:color w:val="0000FF"/>
        </w:rPr>
      </w:pPr>
      <w:r>
        <w:rPr>
          <w:b/>
          <w:bCs/>
          <w:color w:val="0000FF"/>
        </w:rPr>
        <w:t xml:space="preserve"> </w:t>
      </w:r>
    </w:p>
    <w:p w:rsidR="00260A21" w:rsidRDefault="00260A21">
      <w:pPr>
        <w:spacing w:after="0" w:line="240" w:lineRule="auto"/>
        <w:jc w:val="both"/>
        <w:rPr>
          <w:rFonts w:ascii="Times New Roman" w:hAnsi="Times New Roman" w:cs="Times New Roman"/>
          <w:sz w:val="24"/>
          <w:szCs w:val="24"/>
        </w:rPr>
      </w:pPr>
    </w:p>
    <w:p w:rsidR="00260A21" w:rsidRDefault="005163B4">
      <w:pPr>
        <w:spacing w:line="240" w:lineRule="auto"/>
        <w:jc w:val="both"/>
        <w:rPr>
          <w:rFonts w:ascii="Arial" w:hAnsi="Arial" w:cs="Arial"/>
          <w:b/>
          <w:bCs/>
        </w:rPr>
      </w:pPr>
      <w:r>
        <w:rPr>
          <w:rFonts w:ascii="Arial" w:hAnsi="Arial" w:cs="Arial"/>
          <w:b/>
          <w:bCs/>
        </w:rPr>
        <w:t>ABSTRACT</w:t>
      </w:r>
    </w:p>
    <w:p w:rsidR="00260A21" w:rsidRDefault="005163B4">
      <w:pPr>
        <w:spacing w:line="240" w:lineRule="auto"/>
        <w:jc w:val="both"/>
        <w:rPr>
          <w:rFonts w:ascii="Arial" w:hAnsi="Arial" w:cs="Arial"/>
          <w:sz w:val="20"/>
          <w:szCs w:val="20"/>
        </w:rPr>
      </w:pPr>
      <w:proofErr w:type="spellStart"/>
      <w:proofErr w:type="gramStart"/>
      <w:r>
        <w:rPr>
          <w:rFonts w:ascii="Arial" w:hAnsi="Arial" w:cs="Arial"/>
          <w:b/>
          <w:bCs/>
          <w:sz w:val="20"/>
          <w:szCs w:val="20"/>
        </w:rPr>
        <w:t>Aims</w:t>
      </w:r>
      <w:r>
        <w:rPr>
          <w:rFonts w:ascii="Arial" w:hAnsi="Arial" w:cs="Arial"/>
          <w:sz w:val="20"/>
          <w:szCs w:val="20"/>
        </w:rPr>
        <w:t>:This</w:t>
      </w:r>
      <w:proofErr w:type="spellEnd"/>
      <w:proofErr w:type="gramEnd"/>
      <w:r>
        <w:rPr>
          <w:rFonts w:ascii="Arial" w:hAnsi="Arial" w:cs="Arial"/>
          <w:sz w:val="20"/>
          <w:szCs w:val="20"/>
        </w:rPr>
        <w:t xml:space="preserve"> study investigated the comparative in vivo sub-acute toxicity and biochemical effects of ethanol extracts of </w:t>
      </w:r>
      <w:proofErr w:type="spellStart"/>
      <w:r>
        <w:rPr>
          <w:rFonts w:ascii="Arial" w:hAnsi="Arial" w:cs="Arial"/>
          <w:i/>
          <w:iCs/>
          <w:sz w:val="20"/>
          <w:szCs w:val="20"/>
        </w:rPr>
        <w:t>Artocarpus</w:t>
      </w:r>
      <w:proofErr w:type="spellEnd"/>
      <w:r>
        <w:rPr>
          <w:rFonts w:ascii="Arial" w:hAnsi="Arial" w:cs="Arial"/>
          <w:i/>
          <w:iCs/>
          <w:sz w:val="20"/>
          <w:szCs w:val="20"/>
        </w:rPr>
        <w:t xml:space="preserve"> </w:t>
      </w:r>
      <w:proofErr w:type="spellStart"/>
      <w:r>
        <w:rPr>
          <w:rFonts w:ascii="Arial" w:hAnsi="Arial" w:cs="Arial"/>
          <w:i/>
          <w:iCs/>
          <w:sz w:val="20"/>
          <w:szCs w:val="20"/>
        </w:rPr>
        <w:t>heterophyllus</w:t>
      </w:r>
      <w:proofErr w:type="spellEnd"/>
      <w:r>
        <w:rPr>
          <w:rFonts w:ascii="Arial" w:hAnsi="Arial" w:cs="Arial"/>
          <w:sz w:val="20"/>
          <w:szCs w:val="20"/>
        </w:rPr>
        <w:t xml:space="preserve"> (stembark, leaf, and pulp) in benign prostatic hyperplasia (BPH)-testosterone propionate induced male albino rats.</w:t>
      </w:r>
    </w:p>
    <w:p w:rsidR="00260A21" w:rsidRDefault="005163B4">
      <w:pPr>
        <w:spacing w:line="240" w:lineRule="auto"/>
        <w:jc w:val="both"/>
        <w:rPr>
          <w:rFonts w:ascii="Arial" w:hAnsi="Arial" w:cs="Arial"/>
          <w:sz w:val="20"/>
          <w:szCs w:val="20"/>
        </w:rPr>
      </w:pPr>
      <w:r>
        <w:rPr>
          <w:rFonts w:ascii="Arial" w:hAnsi="Arial" w:cs="Arial"/>
          <w:b/>
          <w:bCs/>
          <w:sz w:val="20"/>
          <w:szCs w:val="20"/>
        </w:rPr>
        <w:t>Methodology</w:t>
      </w:r>
      <w:r>
        <w:rPr>
          <w:rFonts w:ascii="Arial" w:hAnsi="Arial" w:cs="Arial"/>
          <w:sz w:val="20"/>
          <w:szCs w:val="20"/>
        </w:rPr>
        <w:t>: Fifty-five male rats were divided into eleven groups (n = 5), including normal, negative (BPH-induced with 5.0 mg/kg testosterone propionate), standard (finasteride 0.5 mg/kg), and eight test groups treated orally with 250 or 500 mg/kg of the plant extracts for 21 days. Biochemical analyses were conducted to assess hepatic and renal functions.</w:t>
      </w:r>
      <w:bookmarkStart w:id="0" w:name="_GoBack"/>
      <w:bookmarkEnd w:id="0"/>
    </w:p>
    <w:p w:rsidR="00260A21" w:rsidRDefault="005163B4">
      <w:pPr>
        <w:spacing w:line="240" w:lineRule="auto"/>
        <w:jc w:val="both"/>
        <w:rPr>
          <w:rFonts w:ascii="Arial" w:hAnsi="Arial" w:cs="Arial"/>
          <w:sz w:val="20"/>
          <w:szCs w:val="20"/>
        </w:rPr>
      </w:pPr>
      <w:r>
        <w:rPr>
          <w:rFonts w:ascii="Arial" w:hAnsi="Arial" w:cs="Arial"/>
          <w:b/>
          <w:bCs/>
          <w:sz w:val="20"/>
          <w:szCs w:val="20"/>
        </w:rPr>
        <w:t>Results</w:t>
      </w:r>
      <w:r>
        <w:rPr>
          <w:rFonts w:ascii="Arial" w:hAnsi="Arial" w:cs="Arial"/>
          <w:sz w:val="20"/>
          <w:szCs w:val="20"/>
        </w:rPr>
        <w:t xml:space="preserve">: The BPH-induced group showed significant elevations (p &lt; 0.05) in serum ALT (22.67 ± 0.62 U/L), AST (23.97 ± 2.28 U/L), ALP (179.50 ± 6.96 U/L), total bilirubin (24.40 ± 0.93 µmol/L), urea (30.43 ± 1.98 mg/dL), and creatinine (7.27 ± 1.01 mg/dL) compared to the control group, indicating hepatic and renal impairment. Treatment with </w:t>
      </w:r>
      <w:r>
        <w:rPr>
          <w:rFonts w:ascii="Arial" w:hAnsi="Arial" w:cs="Arial"/>
          <w:i/>
          <w:iCs/>
          <w:sz w:val="20"/>
          <w:szCs w:val="20"/>
        </w:rPr>
        <w:t xml:space="preserve">A. </w:t>
      </w:r>
      <w:proofErr w:type="spellStart"/>
      <w:r>
        <w:rPr>
          <w:rFonts w:ascii="Arial" w:hAnsi="Arial" w:cs="Arial"/>
          <w:i/>
          <w:iCs/>
          <w:sz w:val="20"/>
          <w:szCs w:val="20"/>
        </w:rPr>
        <w:t>heterophyllus</w:t>
      </w:r>
      <w:proofErr w:type="spellEnd"/>
      <w:r>
        <w:rPr>
          <w:rFonts w:ascii="Arial" w:hAnsi="Arial" w:cs="Arial"/>
          <w:sz w:val="20"/>
          <w:szCs w:val="20"/>
        </w:rPr>
        <w:t xml:space="preserve"> extracts, particularly the stembark at 500 mg/kg, significantly restored ALT (15.16 ± 0.22 U/L), AST (12.88 ± 0.15 U/L), ALP (129.30 ± 0.94 U/L), bilirubin (15.31 ± 9.32 µmol/L), and urea (23.77 ± 0.26 mg/dL) levels toward normal. Electrolyte balance (Na⁺: 171.90 ± 2.85 mmol/L; K⁺: 5.60 ± 0.35 mmol/L; Cl⁻: 59.25 ± 2.95 mmol/L) remained stable across treatment groups. </w:t>
      </w:r>
    </w:p>
    <w:p w:rsidR="00260A21" w:rsidRDefault="005163B4">
      <w:pPr>
        <w:spacing w:line="240" w:lineRule="auto"/>
        <w:jc w:val="both"/>
        <w:rPr>
          <w:rFonts w:ascii="Arial" w:hAnsi="Arial" w:cs="Arial"/>
          <w:sz w:val="20"/>
          <w:szCs w:val="20"/>
        </w:rPr>
      </w:pPr>
      <w:r>
        <w:rPr>
          <w:rFonts w:ascii="Arial" w:hAnsi="Arial" w:cs="Arial"/>
          <w:b/>
          <w:bCs/>
          <w:sz w:val="20"/>
          <w:szCs w:val="20"/>
        </w:rPr>
        <w:t>Conclusion</w:t>
      </w:r>
      <w:r>
        <w:rPr>
          <w:rFonts w:ascii="Arial" w:hAnsi="Arial" w:cs="Arial"/>
          <w:sz w:val="20"/>
          <w:szCs w:val="20"/>
        </w:rPr>
        <w:t xml:space="preserve">: The results demonstrated that </w:t>
      </w:r>
      <w:r>
        <w:rPr>
          <w:rFonts w:ascii="Arial" w:hAnsi="Arial" w:cs="Arial"/>
          <w:i/>
          <w:iCs/>
          <w:sz w:val="20"/>
          <w:szCs w:val="20"/>
        </w:rPr>
        <w:t xml:space="preserve">A. </w:t>
      </w:r>
      <w:proofErr w:type="spellStart"/>
      <w:r>
        <w:rPr>
          <w:rFonts w:ascii="Arial" w:hAnsi="Arial" w:cs="Arial"/>
          <w:i/>
          <w:iCs/>
          <w:sz w:val="20"/>
          <w:szCs w:val="20"/>
        </w:rPr>
        <w:t>heterophyllus</w:t>
      </w:r>
      <w:proofErr w:type="spellEnd"/>
      <w:r>
        <w:rPr>
          <w:rFonts w:ascii="Arial" w:hAnsi="Arial" w:cs="Arial"/>
          <w:sz w:val="20"/>
          <w:szCs w:val="20"/>
        </w:rPr>
        <w:t xml:space="preserve"> extracts possess hepatoprotective and nephroprotective activities, likely mediated through antioxidant and anti-inflammatory mechanisms, highlighting the therapeutic potential and safety of </w:t>
      </w:r>
      <w:r>
        <w:rPr>
          <w:rFonts w:ascii="Arial" w:hAnsi="Arial" w:cs="Arial"/>
          <w:i/>
          <w:iCs/>
          <w:sz w:val="20"/>
          <w:szCs w:val="20"/>
        </w:rPr>
        <w:t xml:space="preserve">A. </w:t>
      </w:r>
      <w:proofErr w:type="spellStart"/>
      <w:r>
        <w:rPr>
          <w:rFonts w:ascii="Arial" w:hAnsi="Arial" w:cs="Arial"/>
          <w:i/>
          <w:iCs/>
          <w:sz w:val="20"/>
          <w:szCs w:val="20"/>
        </w:rPr>
        <w:t>heterophyllus</w:t>
      </w:r>
      <w:proofErr w:type="spellEnd"/>
      <w:r>
        <w:rPr>
          <w:rFonts w:ascii="Arial" w:hAnsi="Arial" w:cs="Arial"/>
          <w:sz w:val="20"/>
          <w:szCs w:val="20"/>
        </w:rPr>
        <w:t xml:space="preserve"> extracts, particularly the stembark, as a natural remedy for managing BPH-induced hepatic and renal dysfunctions.</w:t>
      </w:r>
    </w:p>
    <w:p w:rsidR="00260A21" w:rsidRDefault="005163B4">
      <w:pPr>
        <w:spacing w:line="240" w:lineRule="auto"/>
        <w:jc w:val="both"/>
        <w:rPr>
          <w:rFonts w:ascii="Arial" w:hAnsi="Arial" w:cs="Arial"/>
          <w:sz w:val="20"/>
          <w:szCs w:val="20"/>
        </w:rPr>
      </w:pPr>
      <w:r>
        <w:rPr>
          <w:rFonts w:ascii="Arial" w:hAnsi="Arial" w:cs="Arial"/>
          <w:b/>
          <w:bCs/>
          <w:sz w:val="20"/>
          <w:szCs w:val="20"/>
        </w:rPr>
        <w:t xml:space="preserve">Keywords: </w:t>
      </w:r>
      <w:proofErr w:type="spellStart"/>
      <w:r>
        <w:rPr>
          <w:rFonts w:ascii="Arial" w:hAnsi="Arial" w:cs="Arial"/>
          <w:i/>
          <w:iCs/>
          <w:sz w:val="20"/>
          <w:szCs w:val="20"/>
        </w:rPr>
        <w:t>Artocarpus</w:t>
      </w:r>
      <w:proofErr w:type="spellEnd"/>
      <w:r>
        <w:rPr>
          <w:rFonts w:ascii="Arial" w:hAnsi="Arial" w:cs="Arial"/>
          <w:i/>
          <w:iCs/>
          <w:sz w:val="20"/>
          <w:szCs w:val="20"/>
        </w:rPr>
        <w:t xml:space="preserve"> </w:t>
      </w:r>
      <w:proofErr w:type="spellStart"/>
      <w:r>
        <w:rPr>
          <w:rFonts w:ascii="Arial" w:hAnsi="Arial" w:cs="Arial"/>
          <w:i/>
          <w:iCs/>
          <w:sz w:val="20"/>
          <w:szCs w:val="20"/>
        </w:rPr>
        <w:t>heterophyllus</w:t>
      </w:r>
      <w:proofErr w:type="spellEnd"/>
      <w:r>
        <w:rPr>
          <w:rFonts w:ascii="Arial" w:hAnsi="Arial" w:cs="Arial"/>
          <w:sz w:val="20"/>
          <w:szCs w:val="20"/>
        </w:rPr>
        <w:t>, BPH, Liver, Kidney</w:t>
      </w:r>
    </w:p>
    <w:p w:rsidR="00260A21" w:rsidRDefault="00260A21">
      <w:pPr>
        <w:spacing w:after="0" w:line="240" w:lineRule="auto"/>
        <w:jc w:val="both"/>
        <w:rPr>
          <w:rFonts w:ascii="Times New Roman" w:hAnsi="Times New Roman" w:cs="Times New Roman"/>
          <w:sz w:val="24"/>
          <w:szCs w:val="24"/>
        </w:rPr>
      </w:pPr>
    </w:p>
    <w:p w:rsidR="00260A21" w:rsidRDefault="00260A21">
      <w:pPr>
        <w:spacing w:line="240" w:lineRule="auto"/>
        <w:jc w:val="both"/>
        <w:rPr>
          <w:rFonts w:ascii="Times New Roman" w:hAnsi="Times New Roman" w:cs="Times New Roman"/>
          <w:b/>
          <w:bCs/>
          <w:sz w:val="24"/>
          <w:szCs w:val="24"/>
        </w:rPr>
      </w:pPr>
    </w:p>
    <w:p w:rsidR="00260A21" w:rsidRDefault="005163B4">
      <w:pPr>
        <w:spacing w:line="240" w:lineRule="auto"/>
        <w:jc w:val="both"/>
        <w:rPr>
          <w:rFonts w:ascii="Arial" w:hAnsi="Arial" w:cs="Arial"/>
          <w:b/>
          <w:bCs/>
        </w:rPr>
      </w:pPr>
      <w:r>
        <w:rPr>
          <w:rFonts w:ascii="Arial" w:hAnsi="Arial" w:cs="Arial"/>
          <w:b/>
          <w:bCs/>
        </w:rPr>
        <w:t>1.0 INTRODUCTION</w:t>
      </w:r>
    </w:p>
    <w:p w:rsidR="00260A21" w:rsidRDefault="005163B4">
      <w:pPr>
        <w:spacing w:line="480" w:lineRule="auto"/>
        <w:jc w:val="both"/>
        <w:rPr>
          <w:rFonts w:ascii="Arial" w:hAnsi="Arial" w:cs="Arial"/>
          <w:sz w:val="20"/>
          <w:szCs w:val="20"/>
        </w:rPr>
      </w:pPr>
      <w:r>
        <w:rPr>
          <w:rFonts w:ascii="Arial" w:hAnsi="Arial" w:cs="Arial"/>
          <w:sz w:val="20"/>
          <w:szCs w:val="20"/>
        </w:rPr>
        <w:t>Benign Prostatic Hyperplasia (BPH) is a prevalent non-malignant enlargement of the prostate gland in ageing males, often associated with urinary symptoms and systemic metabolic alterations (</w:t>
      </w:r>
      <w:proofErr w:type="spellStart"/>
      <w:r>
        <w:rPr>
          <w:rFonts w:ascii="Arial" w:hAnsi="Arial" w:cs="Arial"/>
          <w:sz w:val="20"/>
          <w:szCs w:val="20"/>
        </w:rPr>
        <w:t>Roehrborn</w:t>
      </w:r>
      <w:proofErr w:type="spellEnd"/>
      <w:r>
        <w:rPr>
          <w:rFonts w:ascii="Arial" w:hAnsi="Arial" w:cs="Arial"/>
          <w:sz w:val="20"/>
          <w:szCs w:val="20"/>
        </w:rPr>
        <w:t xml:space="preserve">, 2008). In experimental models, induction of BPH—commonly via administration of testosterone propionate—has been shown to provoke oxidative stress, inflammatory mediators, and damage to hepatic and renal tissues, hence altering biomarkers such as ALT, AST, bilirubin, urea, creatinine, and electrolyte balance (Peterson </w:t>
      </w:r>
      <w:r>
        <w:rPr>
          <w:rFonts w:ascii="Arial" w:hAnsi="Arial" w:cs="Arial"/>
          <w:i/>
          <w:iCs/>
          <w:sz w:val="20"/>
          <w:szCs w:val="20"/>
        </w:rPr>
        <w:t>et al</w:t>
      </w:r>
      <w:r>
        <w:rPr>
          <w:rFonts w:ascii="Arial" w:hAnsi="Arial" w:cs="Arial"/>
          <w:sz w:val="20"/>
          <w:szCs w:val="20"/>
        </w:rPr>
        <w:t xml:space="preserve">., 2015; </w:t>
      </w:r>
      <w:proofErr w:type="spellStart"/>
      <w:r>
        <w:rPr>
          <w:rFonts w:ascii="Arial" w:hAnsi="Arial" w:cs="Arial"/>
          <w:sz w:val="20"/>
          <w:szCs w:val="20"/>
        </w:rPr>
        <w:t>Deeb</w:t>
      </w:r>
      <w:proofErr w:type="spellEnd"/>
      <w:r>
        <w:rPr>
          <w:rFonts w:ascii="Arial" w:hAnsi="Arial" w:cs="Arial"/>
          <w:sz w:val="20"/>
          <w:szCs w:val="20"/>
        </w:rPr>
        <w:t xml:space="preserve"> </w:t>
      </w:r>
      <w:r>
        <w:rPr>
          <w:rFonts w:ascii="Arial" w:hAnsi="Arial" w:cs="Arial"/>
          <w:i/>
          <w:iCs/>
          <w:sz w:val="20"/>
          <w:szCs w:val="20"/>
        </w:rPr>
        <w:t>et al</w:t>
      </w:r>
      <w:r>
        <w:rPr>
          <w:rFonts w:ascii="Arial" w:hAnsi="Arial" w:cs="Arial"/>
          <w:sz w:val="20"/>
          <w:szCs w:val="20"/>
        </w:rPr>
        <w:t>., 2017).</w:t>
      </w:r>
    </w:p>
    <w:p w:rsidR="00260A21" w:rsidRDefault="005163B4">
      <w:pPr>
        <w:spacing w:line="480" w:lineRule="auto"/>
        <w:jc w:val="both"/>
        <w:rPr>
          <w:rFonts w:ascii="Arial" w:hAnsi="Arial" w:cs="Arial"/>
          <w:sz w:val="20"/>
          <w:szCs w:val="20"/>
        </w:rPr>
      </w:pPr>
      <w:r>
        <w:rPr>
          <w:rFonts w:ascii="Arial" w:hAnsi="Arial" w:cs="Arial"/>
          <w:sz w:val="20"/>
          <w:szCs w:val="20"/>
        </w:rPr>
        <w:lastRenderedPageBreak/>
        <w:t xml:space="preserve">Medicinal plants remain a cornerstone of healthcare worldwide, especially in areas where conventional treatments are not readily available (Gupta </w:t>
      </w:r>
      <w:r>
        <w:rPr>
          <w:rFonts w:ascii="Arial" w:hAnsi="Arial" w:cs="Arial"/>
          <w:i/>
          <w:iCs/>
          <w:sz w:val="20"/>
          <w:szCs w:val="20"/>
        </w:rPr>
        <w:t>et al</w:t>
      </w:r>
      <w:r>
        <w:rPr>
          <w:rFonts w:ascii="Arial" w:hAnsi="Arial" w:cs="Arial"/>
          <w:sz w:val="20"/>
          <w:szCs w:val="20"/>
        </w:rPr>
        <w:t xml:space="preserve">., 2023). The use of medicinal flora by humankind dates back to antiquity, with these plants offering a wide range of therapeutic applications. Their medicinal properties have garnered substantial worldwide recognition over the past twenty years. The World Health </w:t>
      </w:r>
      <w:proofErr w:type="spellStart"/>
      <w:r>
        <w:rPr>
          <w:rFonts w:ascii="Arial" w:hAnsi="Arial" w:cs="Arial"/>
          <w:sz w:val="20"/>
          <w:szCs w:val="20"/>
        </w:rPr>
        <w:t>Organisation</w:t>
      </w:r>
      <w:proofErr w:type="spellEnd"/>
      <w:r>
        <w:rPr>
          <w:rFonts w:ascii="Arial" w:hAnsi="Arial" w:cs="Arial"/>
          <w:sz w:val="20"/>
          <w:szCs w:val="20"/>
        </w:rPr>
        <w:t xml:space="preserve"> estimates that approximately 80% of the global population relies on medicinal plants for health management. Despite the availability of potent allopathic treatments, traditional herbal medicine remains a staple in primary healthcare. Moreover, developed countries have recently shown increased interest in alternative and complementary medicine rooted in medicinal plants. However, there is a paucity in comprehensive scientific investigation into many of these species (</w:t>
      </w:r>
      <w:proofErr w:type="spellStart"/>
      <w:r>
        <w:rPr>
          <w:rFonts w:ascii="Arial" w:hAnsi="Arial" w:cs="Arial"/>
          <w:sz w:val="20"/>
          <w:szCs w:val="20"/>
        </w:rPr>
        <w:t>Liyanagamage</w:t>
      </w:r>
      <w:proofErr w:type="spellEnd"/>
      <w:r>
        <w:rPr>
          <w:rFonts w:ascii="Arial" w:hAnsi="Arial" w:cs="Arial"/>
          <w:sz w:val="20"/>
          <w:szCs w:val="20"/>
        </w:rPr>
        <w:t xml:space="preserve"> </w:t>
      </w:r>
      <w:r>
        <w:rPr>
          <w:rFonts w:ascii="Arial" w:hAnsi="Arial" w:cs="Arial"/>
          <w:i/>
          <w:iCs/>
          <w:sz w:val="20"/>
          <w:szCs w:val="20"/>
        </w:rPr>
        <w:t>et al.</w:t>
      </w:r>
      <w:r>
        <w:rPr>
          <w:rFonts w:ascii="Arial" w:hAnsi="Arial" w:cs="Arial"/>
          <w:sz w:val="20"/>
          <w:szCs w:val="20"/>
        </w:rPr>
        <w:t xml:space="preserve"> 2020). </w:t>
      </w:r>
    </w:p>
    <w:p w:rsidR="00260A21" w:rsidRDefault="005163B4">
      <w:pPr>
        <w:spacing w:line="480" w:lineRule="auto"/>
        <w:jc w:val="both"/>
        <w:rPr>
          <w:rFonts w:ascii="Arial" w:hAnsi="Arial" w:cs="Arial"/>
          <w:sz w:val="20"/>
          <w:szCs w:val="20"/>
        </w:rPr>
      </w:pPr>
      <w:proofErr w:type="spellStart"/>
      <w:r>
        <w:rPr>
          <w:rFonts w:ascii="Arial" w:hAnsi="Arial" w:cs="Arial"/>
          <w:i/>
          <w:iCs/>
          <w:sz w:val="20"/>
          <w:szCs w:val="20"/>
        </w:rPr>
        <w:t>Artocarpus</w:t>
      </w:r>
      <w:proofErr w:type="spellEnd"/>
      <w:r>
        <w:rPr>
          <w:rFonts w:ascii="Arial" w:hAnsi="Arial" w:cs="Arial"/>
          <w:i/>
          <w:iCs/>
          <w:sz w:val="20"/>
          <w:szCs w:val="20"/>
        </w:rPr>
        <w:t xml:space="preserve"> </w:t>
      </w:r>
      <w:proofErr w:type="spellStart"/>
      <w:r>
        <w:rPr>
          <w:rFonts w:ascii="Arial" w:hAnsi="Arial" w:cs="Arial"/>
          <w:i/>
          <w:iCs/>
          <w:sz w:val="20"/>
          <w:szCs w:val="20"/>
        </w:rPr>
        <w:t>heterophyllus</w:t>
      </w:r>
      <w:proofErr w:type="spellEnd"/>
      <w:r>
        <w:rPr>
          <w:rFonts w:ascii="Arial" w:hAnsi="Arial" w:cs="Arial"/>
          <w:sz w:val="20"/>
          <w:szCs w:val="20"/>
        </w:rPr>
        <w:t xml:space="preserve">, commonly referred to as the jackfruit tree, is a member of the </w:t>
      </w:r>
      <w:proofErr w:type="spellStart"/>
      <w:r>
        <w:rPr>
          <w:rFonts w:ascii="Arial" w:hAnsi="Arial" w:cs="Arial"/>
          <w:sz w:val="20"/>
          <w:szCs w:val="20"/>
        </w:rPr>
        <w:t>Moraceae</w:t>
      </w:r>
      <w:proofErr w:type="spellEnd"/>
      <w:r>
        <w:rPr>
          <w:rFonts w:ascii="Arial" w:hAnsi="Arial" w:cs="Arial"/>
          <w:sz w:val="20"/>
          <w:szCs w:val="20"/>
        </w:rPr>
        <w:t xml:space="preserve"> family. This evergreen species typically matures into a medium-sized tree, reaching heights of 8 to 25 meters, and is </w:t>
      </w:r>
      <w:proofErr w:type="spellStart"/>
      <w:r>
        <w:rPr>
          <w:rFonts w:ascii="Arial" w:hAnsi="Arial" w:cs="Arial"/>
          <w:sz w:val="20"/>
          <w:szCs w:val="20"/>
        </w:rPr>
        <w:t>characterised</w:t>
      </w:r>
      <w:proofErr w:type="spellEnd"/>
      <w:r>
        <w:rPr>
          <w:rFonts w:ascii="Arial" w:hAnsi="Arial" w:cs="Arial"/>
          <w:sz w:val="20"/>
          <w:szCs w:val="20"/>
        </w:rPr>
        <w:t xml:space="preserve"> by its lustrous, alternate, and leathery leaves, which can grow up to 22.5 cm in length. Native to evergreen forests situated between 500 and 1,300 meters in elevation, </w:t>
      </w:r>
      <w:r>
        <w:rPr>
          <w:rFonts w:ascii="Arial" w:hAnsi="Arial" w:cs="Arial"/>
          <w:i/>
          <w:iCs/>
          <w:sz w:val="20"/>
          <w:szCs w:val="20"/>
        </w:rPr>
        <w:t xml:space="preserve">A. </w:t>
      </w:r>
      <w:proofErr w:type="spellStart"/>
      <w:r>
        <w:rPr>
          <w:rFonts w:ascii="Arial" w:hAnsi="Arial" w:cs="Arial"/>
          <w:i/>
          <w:iCs/>
          <w:sz w:val="20"/>
          <w:szCs w:val="20"/>
        </w:rPr>
        <w:t>heterophyllus</w:t>
      </w:r>
      <w:proofErr w:type="spellEnd"/>
      <w:r>
        <w:rPr>
          <w:rFonts w:ascii="Arial" w:hAnsi="Arial" w:cs="Arial"/>
          <w:sz w:val="20"/>
          <w:szCs w:val="20"/>
        </w:rPr>
        <w:t xml:space="preserve"> is extensively cultivated across the warmer parts of India. Having demonstrated a strong adaptation to tropical lowland environments, the jackfruit tree has historically held significant importance in traditional folk medicine (Praveen </w:t>
      </w:r>
      <w:r>
        <w:rPr>
          <w:rFonts w:ascii="Arial" w:hAnsi="Arial" w:cs="Arial"/>
          <w:i/>
          <w:iCs/>
          <w:sz w:val="20"/>
          <w:szCs w:val="20"/>
        </w:rPr>
        <w:t>et al.</w:t>
      </w:r>
      <w:r>
        <w:rPr>
          <w:rFonts w:ascii="Arial" w:hAnsi="Arial" w:cs="Arial"/>
          <w:sz w:val="20"/>
          <w:szCs w:val="20"/>
        </w:rPr>
        <w:t xml:space="preserve">, 2016). Recent phytochemical studies on </w:t>
      </w:r>
      <w:r>
        <w:rPr>
          <w:rFonts w:ascii="Arial" w:hAnsi="Arial" w:cs="Arial"/>
          <w:i/>
          <w:iCs/>
          <w:sz w:val="20"/>
          <w:szCs w:val="20"/>
        </w:rPr>
        <w:t xml:space="preserve">A. </w:t>
      </w:r>
      <w:proofErr w:type="spellStart"/>
      <w:r>
        <w:rPr>
          <w:rFonts w:ascii="Arial" w:hAnsi="Arial" w:cs="Arial"/>
          <w:i/>
          <w:iCs/>
          <w:sz w:val="20"/>
          <w:szCs w:val="20"/>
        </w:rPr>
        <w:t>heterophyllus</w:t>
      </w:r>
      <w:proofErr w:type="spellEnd"/>
      <w:r>
        <w:rPr>
          <w:rFonts w:ascii="Arial" w:hAnsi="Arial" w:cs="Arial"/>
          <w:sz w:val="20"/>
          <w:szCs w:val="20"/>
        </w:rPr>
        <w:t xml:space="preserve"> have unveiled a wealth of compounds in its leaves and stem bark, including phenolics like </w:t>
      </w:r>
      <w:proofErr w:type="spellStart"/>
      <w:r>
        <w:rPr>
          <w:rFonts w:ascii="Arial" w:hAnsi="Arial" w:cs="Arial"/>
          <w:sz w:val="20"/>
          <w:szCs w:val="20"/>
        </w:rPr>
        <w:t>artocarpin</w:t>
      </w:r>
      <w:proofErr w:type="spellEnd"/>
      <w:r>
        <w:rPr>
          <w:rFonts w:ascii="Arial" w:hAnsi="Arial" w:cs="Arial"/>
          <w:sz w:val="20"/>
          <w:szCs w:val="20"/>
        </w:rPr>
        <w:t xml:space="preserve"> and sitosterol, which are known for their powerful antioxidant and enzyme-inhibiting properties. Specifically, ethyl acetate extracts from the leaves demonstrated significant antioxidant capabilities, while ethanol extracts effectively inhibited tyrosinase activity. A comprehensive 2023 study further supported these findings, revealing diverse antioxidant activities across the plant's leaves, pulp, and seeds, underscoring its potential as a valuable source of bioactive compounds (</w:t>
      </w:r>
      <w:proofErr w:type="spellStart"/>
      <w:r>
        <w:rPr>
          <w:rFonts w:ascii="Arial" w:hAnsi="Arial" w:cs="Arial"/>
          <w:sz w:val="20"/>
          <w:szCs w:val="20"/>
        </w:rPr>
        <w:t>Umennadi</w:t>
      </w:r>
      <w:proofErr w:type="spellEnd"/>
      <w:r>
        <w:rPr>
          <w:rFonts w:ascii="Arial" w:hAnsi="Arial" w:cs="Arial"/>
          <w:sz w:val="20"/>
          <w:szCs w:val="20"/>
        </w:rPr>
        <w:t xml:space="preserve"> </w:t>
      </w:r>
      <w:r>
        <w:rPr>
          <w:rFonts w:ascii="Arial" w:hAnsi="Arial" w:cs="Arial"/>
          <w:i/>
          <w:iCs/>
          <w:sz w:val="20"/>
          <w:szCs w:val="20"/>
        </w:rPr>
        <w:t>et al</w:t>
      </w:r>
      <w:r>
        <w:rPr>
          <w:rFonts w:ascii="Arial" w:hAnsi="Arial" w:cs="Arial"/>
          <w:sz w:val="20"/>
          <w:szCs w:val="20"/>
        </w:rPr>
        <w:t>., 2023).</w:t>
      </w:r>
    </w:p>
    <w:p w:rsidR="00260A21" w:rsidRDefault="005163B4">
      <w:pPr>
        <w:spacing w:line="480" w:lineRule="auto"/>
        <w:jc w:val="both"/>
        <w:rPr>
          <w:rFonts w:ascii="Arial" w:hAnsi="Arial" w:cs="Arial"/>
          <w:sz w:val="20"/>
          <w:szCs w:val="20"/>
        </w:rPr>
      </w:pPr>
      <w:r>
        <w:rPr>
          <w:rFonts w:ascii="Arial" w:hAnsi="Arial" w:cs="Arial"/>
          <w:sz w:val="20"/>
          <w:szCs w:val="20"/>
        </w:rPr>
        <w:t xml:space="preserve">While the initial results for </w:t>
      </w:r>
      <w:r>
        <w:rPr>
          <w:rFonts w:ascii="Arial" w:hAnsi="Arial" w:cs="Arial"/>
          <w:i/>
          <w:iCs/>
          <w:sz w:val="20"/>
          <w:szCs w:val="20"/>
        </w:rPr>
        <w:t xml:space="preserve">A. </w:t>
      </w:r>
      <w:proofErr w:type="spellStart"/>
      <w:r>
        <w:rPr>
          <w:rFonts w:ascii="Arial" w:hAnsi="Arial" w:cs="Arial"/>
          <w:i/>
          <w:iCs/>
          <w:sz w:val="20"/>
          <w:szCs w:val="20"/>
        </w:rPr>
        <w:t>heterophyllus</w:t>
      </w:r>
      <w:proofErr w:type="spellEnd"/>
      <w:r>
        <w:rPr>
          <w:rFonts w:ascii="Arial" w:hAnsi="Arial" w:cs="Arial"/>
          <w:sz w:val="20"/>
          <w:szCs w:val="20"/>
        </w:rPr>
        <w:t xml:space="preserve"> are promising, a significant need exists for a </w:t>
      </w:r>
      <w:proofErr w:type="spellStart"/>
      <w:r>
        <w:rPr>
          <w:rFonts w:ascii="Arial" w:hAnsi="Arial" w:cs="Arial"/>
          <w:sz w:val="20"/>
          <w:szCs w:val="20"/>
        </w:rPr>
        <w:t>standardised</w:t>
      </w:r>
      <w:proofErr w:type="spellEnd"/>
      <w:r>
        <w:rPr>
          <w:rFonts w:ascii="Arial" w:hAnsi="Arial" w:cs="Arial"/>
          <w:sz w:val="20"/>
          <w:szCs w:val="20"/>
        </w:rPr>
        <w:t>, comprehensive safety evaluation to be paramount. Although seed preparations have undergone some toxicological scrutiny, robust data on the toxicity of the leaves, bark, and pulp are lacking.</w:t>
      </w:r>
    </w:p>
    <w:p w:rsidR="00260A21" w:rsidRDefault="005163B4">
      <w:pPr>
        <w:spacing w:line="240" w:lineRule="auto"/>
        <w:jc w:val="both"/>
        <w:rPr>
          <w:rFonts w:ascii="Arial" w:hAnsi="Arial" w:cs="Arial"/>
          <w:b/>
          <w:bCs/>
          <w:lang w:val="en-GB"/>
        </w:rPr>
      </w:pPr>
      <w:r>
        <w:rPr>
          <w:rFonts w:ascii="Arial" w:hAnsi="Arial" w:cs="Arial"/>
          <w:b/>
          <w:bCs/>
        </w:rPr>
        <w:t>2.0 MATERIALS AND METHODS</w:t>
      </w:r>
    </w:p>
    <w:p w:rsidR="00260A21" w:rsidRDefault="005163B4">
      <w:pPr>
        <w:spacing w:line="240" w:lineRule="auto"/>
        <w:jc w:val="both"/>
        <w:rPr>
          <w:rFonts w:ascii="Arial" w:hAnsi="Arial" w:cs="Arial"/>
          <w:b/>
          <w:bCs/>
          <w:lang w:val="en-GB"/>
        </w:rPr>
      </w:pPr>
      <w:r>
        <w:rPr>
          <w:rFonts w:ascii="Arial" w:hAnsi="Arial" w:cs="Arial"/>
          <w:b/>
          <w:bCs/>
        </w:rPr>
        <w:t xml:space="preserve">2.1. </w:t>
      </w:r>
      <w:r>
        <w:rPr>
          <w:rFonts w:ascii="Arial" w:hAnsi="Arial" w:cs="Arial"/>
          <w:b/>
          <w:bCs/>
          <w:lang w:val="en-GB"/>
        </w:rPr>
        <w:t xml:space="preserve">Sample </w:t>
      </w:r>
      <w:r>
        <w:rPr>
          <w:rFonts w:ascii="Arial" w:hAnsi="Arial" w:cs="Arial"/>
          <w:b/>
          <w:bCs/>
        </w:rPr>
        <w:t>Collection and Preparation</w:t>
      </w:r>
    </w:p>
    <w:p w:rsidR="00260A21" w:rsidRDefault="005163B4">
      <w:pPr>
        <w:spacing w:line="360" w:lineRule="auto"/>
        <w:jc w:val="both"/>
        <w:rPr>
          <w:rFonts w:ascii="Arial" w:hAnsi="Arial" w:cs="Arial"/>
          <w:sz w:val="20"/>
          <w:szCs w:val="20"/>
        </w:rPr>
      </w:pPr>
      <w:r>
        <w:rPr>
          <w:rFonts w:ascii="Arial" w:hAnsi="Arial" w:cs="Arial"/>
          <w:sz w:val="20"/>
          <w:szCs w:val="20"/>
          <w:lang w:val="en-GB"/>
        </w:rPr>
        <w:lastRenderedPageBreak/>
        <w:t xml:space="preserve">A healthy </w:t>
      </w:r>
      <w:proofErr w:type="spellStart"/>
      <w:r>
        <w:rPr>
          <w:rFonts w:ascii="Arial" w:hAnsi="Arial" w:cs="Arial"/>
          <w:i/>
          <w:iCs/>
          <w:sz w:val="20"/>
          <w:szCs w:val="20"/>
        </w:rPr>
        <w:t>Artocarpus</w:t>
      </w:r>
      <w:proofErr w:type="spellEnd"/>
      <w:r>
        <w:rPr>
          <w:rFonts w:ascii="Arial" w:hAnsi="Arial" w:cs="Arial"/>
          <w:i/>
          <w:iCs/>
          <w:sz w:val="20"/>
          <w:szCs w:val="20"/>
        </w:rPr>
        <w:t xml:space="preserve"> </w:t>
      </w:r>
      <w:proofErr w:type="spellStart"/>
      <w:r>
        <w:rPr>
          <w:rFonts w:ascii="Arial" w:hAnsi="Arial" w:cs="Arial"/>
          <w:i/>
          <w:iCs/>
          <w:sz w:val="20"/>
          <w:szCs w:val="20"/>
        </w:rPr>
        <w:t>heterophyllus</w:t>
      </w:r>
      <w:proofErr w:type="spellEnd"/>
      <w:r>
        <w:rPr>
          <w:rFonts w:ascii="Arial" w:hAnsi="Arial" w:cs="Arial"/>
          <w:sz w:val="20"/>
          <w:szCs w:val="20"/>
          <w:lang w:val="en-GB"/>
        </w:rPr>
        <w:t xml:space="preserve"> tree was identified. Fresh samples of leaves, fruit (from which the pulp was collected</w:t>
      </w:r>
      <w:r>
        <w:rPr>
          <w:rFonts w:ascii="Arial" w:hAnsi="Arial" w:cs="Arial"/>
          <w:sz w:val="20"/>
          <w:szCs w:val="20"/>
        </w:rPr>
        <w:t>),</w:t>
      </w:r>
      <w:r>
        <w:rPr>
          <w:rFonts w:ascii="Arial" w:hAnsi="Arial" w:cs="Arial"/>
          <w:sz w:val="20"/>
          <w:szCs w:val="20"/>
          <w:lang w:val="en-GB"/>
        </w:rPr>
        <w:t xml:space="preserve"> and stem bark were collected from the healthy tree and evaluated by a taxonomist</w:t>
      </w:r>
      <w:r>
        <w:rPr>
          <w:rFonts w:ascii="Arial" w:hAnsi="Arial" w:cs="Arial"/>
          <w:sz w:val="20"/>
          <w:szCs w:val="20"/>
        </w:rPr>
        <w:t xml:space="preserve"> in the department of Forestry and Wild life, FUTO</w:t>
      </w:r>
      <w:r>
        <w:rPr>
          <w:rFonts w:ascii="Arial" w:hAnsi="Arial" w:cs="Arial"/>
          <w:sz w:val="20"/>
          <w:szCs w:val="20"/>
          <w:lang w:val="en-GB"/>
        </w:rPr>
        <w:t xml:space="preserve">.  The evaluated samples were prepared separately according to standard operating protocol. Individual samples were washed, air-dried and pulverised via blending, and </w:t>
      </w:r>
      <w:r>
        <w:rPr>
          <w:rFonts w:ascii="Arial" w:hAnsi="Arial" w:cs="Arial"/>
          <w:sz w:val="20"/>
          <w:szCs w:val="20"/>
        </w:rPr>
        <w:t xml:space="preserve">stored in an airtight inert container till </w:t>
      </w:r>
      <w:proofErr w:type="spellStart"/>
      <w:proofErr w:type="gramStart"/>
      <w:r>
        <w:rPr>
          <w:rFonts w:ascii="Arial" w:hAnsi="Arial" w:cs="Arial"/>
          <w:sz w:val="20"/>
          <w:szCs w:val="20"/>
        </w:rPr>
        <w:t>use.Extraction</w:t>
      </w:r>
      <w:proofErr w:type="spellEnd"/>
      <w:proofErr w:type="gramEnd"/>
      <w:r>
        <w:rPr>
          <w:rFonts w:ascii="Arial" w:hAnsi="Arial" w:cs="Arial"/>
          <w:sz w:val="20"/>
          <w:szCs w:val="20"/>
        </w:rPr>
        <w:t xml:space="preserve"> was done by the maceration method. 1 kg of each plant powder was soaked separately in 3 L </w:t>
      </w:r>
    </w:p>
    <w:p w:rsidR="00260A21" w:rsidRDefault="005163B4">
      <w:pPr>
        <w:spacing w:line="360" w:lineRule="auto"/>
        <w:jc w:val="both"/>
        <w:rPr>
          <w:rFonts w:ascii="Arial" w:hAnsi="Arial" w:cs="Arial"/>
          <w:b/>
          <w:bCs/>
          <w:sz w:val="20"/>
          <w:szCs w:val="20"/>
        </w:rPr>
      </w:pPr>
      <w:r>
        <w:rPr>
          <w:rFonts w:ascii="Arial" w:hAnsi="Arial" w:cs="Arial"/>
          <w:b/>
          <w:bCs/>
          <w:sz w:val="20"/>
          <w:szCs w:val="20"/>
        </w:rPr>
        <w:t>2.1.1 Extraction of plant material</w:t>
      </w:r>
    </w:p>
    <w:p w:rsidR="00260A21" w:rsidRDefault="005163B4">
      <w:pPr>
        <w:spacing w:line="360" w:lineRule="auto"/>
        <w:jc w:val="both"/>
        <w:rPr>
          <w:rFonts w:ascii="Arial" w:hAnsi="Arial" w:cs="Arial"/>
          <w:sz w:val="20"/>
          <w:szCs w:val="20"/>
        </w:rPr>
      </w:pPr>
      <w:r>
        <w:rPr>
          <w:rFonts w:ascii="Arial" w:hAnsi="Arial" w:cs="Arial"/>
          <w:sz w:val="20"/>
          <w:szCs w:val="20"/>
        </w:rPr>
        <w:t xml:space="preserve">of ethanol for 3 days, and was then filtered. The excess solvent was removed under vacuum using a rotary evaporator at 40 </w:t>
      </w:r>
      <w:proofErr w:type="spellStart"/>
      <w:r>
        <w:rPr>
          <w:rFonts w:ascii="Arial" w:hAnsi="Arial" w:cs="Arial"/>
          <w:sz w:val="20"/>
          <w:szCs w:val="20"/>
          <w:vertAlign w:val="superscript"/>
        </w:rPr>
        <w:t>o</w:t>
      </w:r>
      <w:r>
        <w:rPr>
          <w:rFonts w:ascii="Arial" w:hAnsi="Arial" w:cs="Arial"/>
          <w:sz w:val="20"/>
          <w:szCs w:val="20"/>
        </w:rPr>
        <w:t>C.</w:t>
      </w:r>
      <w:proofErr w:type="spellEnd"/>
      <w:r>
        <w:rPr>
          <w:rFonts w:ascii="Arial" w:hAnsi="Arial" w:cs="Arial"/>
          <w:sz w:val="20"/>
          <w:szCs w:val="20"/>
        </w:rPr>
        <w:t xml:space="preserve"> Evaporation was continued to near dryness using a water bath at 40 </w:t>
      </w:r>
      <w:proofErr w:type="spellStart"/>
      <w:r>
        <w:rPr>
          <w:rFonts w:ascii="Arial" w:hAnsi="Arial" w:cs="Arial"/>
          <w:sz w:val="20"/>
          <w:szCs w:val="20"/>
          <w:vertAlign w:val="superscript"/>
        </w:rPr>
        <w:t>o</w:t>
      </w:r>
      <w:r>
        <w:rPr>
          <w:rFonts w:ascii="Arial" w:hAnsi="Arial" w:cs="Arial"/>
          <w:sz w:val="20"/>
          <w:szCs w:val="20"/>
        </w:rPr>
        <w:t>C.</w:t>
      </w:r>
      <w:proofErr w:type="spellEnd"/>
      <w:r>
        <w:rPr>
          <w:rFonts w:ascii="Arial" w:hAnsi="Arial" w:cs="Arial"/>
          <w:sz w:val="20"/>
          <w:szCs w:val="20"/>
        </w:rPr>
        <w:t xml:space="preserve"> The crude was left to completely evaporate to dryness at room temperature in a beaker covered with clean, thinly perforated foil, and the crude extract was kept in an airtight inert container until use.</w:t>
      </w:r>
    </w:p>
    <w:p w:rsidR="00260A21" w:rsidRDefault="005163B4">
      <w:pPr>
        <w:rPr>
          <w:rFonts w:ascii="Arial" w:hAnsi="Arial" w:cs="Arial"/>
          <w:b/>
          <w:bCs/>
        </w:rPr>
      </w:pPr>
      <w:r>
        <w:rPr>
          <w:rFonts w:ascii="Arial" w:hAnsi="Arial" w:cs="Arial"/>
          <w:b/>
          <w:bCs/>
        </w:rPr>
        <w:t>2.2 Procurement of Animals</w:t>
      </w:r>
    </w:p>
    <w:p w:rsidR="00260A21" w:rsidRDefault="005163B4">
      <w:pPr>
        <w:spacing w:line="360" w:lineRule="auto"/>
        <w:jc w:val="both"/>
        <w:rPr>
          <w:rFonts w:ascii="Arial" w:eastAsia="Calibri" w:hAnsi="Arial" w:cs="Arial"/>
          <w:sz w:val="20"/>
          <w:szCs w:val="20"/>
        </w:rPr>
      </w:pPr>
      <w:r>
        <w:rPr>
          <w:rFonts w:ascii="Arial" w:eastAsia="Calibri" w:hAnsi="Arial" w:cs="Arial"/>
          <w:sz w:val="20"/>
          <w:szCs w:val="20"/>
        </w:rPr>
        <w:t xml:space="preserve">For this study, adult male </w:t>
      </w:r>
      <w:proofErr w:type="gramStart"/>
      <w:r>
        <w:rPr>
          <w:rFonts w:ascii="Arial" w:eastAsia="Calibri" w:hAnsi="Arial" w:cs="Arial"/>
          <w:sz w:val="20"/>
          <w:szCs w:val="20"/>
        </w:rPr>
        <w:t>albino  rats</w:t>
      </w:r>
      <w:proofErr w:type="gramEnd"/>
      <w:r>
        <w:rPr>
          <w:rFonts w:ascii="Arial" w:eastAsia="Calibri" w:hAnsi="Arial" w:cs="Arial"/>
          <w:sz w:val="20"/>
          <w:szCs w:val="20"/>
        </w:rPr>
        <w:t xml:space="preserve"> weighing 90-150 g were used. The animals were procured from the Animal Breeding </w:t>
      </w:r>
      <w:proofErr w:type="gramStart"/>
      <w:r>
        <w:rPr>
          <w:rFonts w:ascii="Arial" w:eastAsia="Calibri" w:hAnsi="Arial" w:cs="Arial"/>
          <w:sz w:val="20"/>
          <w:szCs w:val="20"/>
        </w:rPr>
        <w:t>Unit ,</w:t>
      </w:r>
      <w:proofErr w:type="gramEnd"/>
      <w:r>
        <w:rPr>
          <w:rFonts w:ascii="Arial" w:eastAsia="Calibri" w:hAnsi="Arial" w:cs="Arial"/>
          <w:sz w:val="20"/>
          <w:szCs w:val="20"/>
        </w:rPr>
        <w:t xml:space="preserve"> Zoology Department , University of Nigeria, Nsukka , Enugu State, Nigeria and were </w:t>
      </w:r>
      <w:proofErr w:type="spellStart"/>
      <w:r>
        <w:rPr>
          <w:rFonts w:ascii="Arial" w:eastAsia="Calibri" w:hAnsi="Arial" w:cs="Arial"/>
          <w:sz w:val="20"/>
          <w:szCs w:val="20"/>
        </w:rPr>
        <w:t>acclimatised</w:t>
      </w:r>
      <w:proofErr w:type="spellEnd"/>
      <w:r>
        <w:rPr>
          <w:rFonts w:ascii="Arial" w:eastAsia="Calibri" w:hAnsi="Arial" w:cs="Arial"/>
          <w:sz w:val="20"/>
          <w:szCs w:val="20"/>
        </w:rPr>
        <w:t xml:space="preserve"> in an airy pen at room temperature, fed with standard rat feed, and given water </w:t>
      </w:r>
      <w:r>
        <w:rPr>
          <w:rFonts w:ascii="Arial" w:eastAsia="Calibri" w:hAnsi="Arial" w:cs="Arial"/>
          <w:i/>
          <w:iCs/>
          <w:sz w:val="20"/>
          <w:szCs w:val="20"/>
        </w:rPr>
        <w:t>ad libitum</w:t>
      </w:r>
      <w:r>
        <w:rPr>
          <w:rFonts w:ascii="Arial" w:eastAsia="Calibri" w:hAnsi="Arial" w:cs="Arial"/>
          <w:sz w:val="20"/>
          <w:szCs w:val="20"/>
        </w:rPr>
        <w:t xml:space="preserve"> for two weeks. Ethical approval was obtained from the Ethical committee of School of Biological </w:t>
      </w:r>
      <w:proofErr w:type="gramStart"/>
      <w:r>
        <w:rPr>
          <w:rFonts w:ascii="Arial" w:eastAsia="Calibri" w:hAnsi="Arial" w:cs="Arial"/>
          <w:sz w:val="20"/>
          <w:szCs w:val="20"/>
        </w:rPr>
        <w:t>Sciences ,</w:t>
      </w:r>
      <w:proofErr w:type="gramEnd"/>
      <w:r>
        <w:rPr>
          <w:rFonts w:ascii="Arial" w:eastAsia="Calibri" w:hAnsi="Arial" w:cs="Arial"/>
          <w:sz w:val="20"/>
          <w:szCs w:val="20"/>
        </w:rPr>
        <w:t xml:space="preserve"> FUTO , Imo State, Nigeria. The NIH recommendations for the care and use of laboratory animals were followed in the experimental procedures.</w:t>
      </w:r>
    </w:p>
    <w:p w:rsidR="00260A21" w:rsidRDefault="005163B4">
      <w:pPr>
        <w:spacing w:line="240" w:lineRule="auto"/>
        <w:rPr>
          <w:rFonts w:ascii="Arial" w:hAnsi="Arial" w:cs="Arial"/>
          <w:b/>
          <w:bCs/>
        </w:rPr>
      </w:pPr>
      <w:r>
        <w:rPr>
          <w:rFonts w:ascii="Arial" w:hAnsi="Arial" w:cs="Arial"/>
          <w:b/>
          <w:bCs/>
        </w:rPr>
        <w:t>2.3 Toxicity Study</w:t>
      </w:r>
    </w:p>
    <w:p w:rsidR="00260A21" w:rsidRDefault="005163B4">
      <w:pPr>
        <w:spacing w:line="360" w:lineRule="auto"/>
        <w:jc w:val="both"/>
        <w:rPr>
          <w:rFonts w:ascii="Arial" w:eastAsia="Calibri" w:hAnsi="Arial" w:cs="Arial"/>
          <w:sz w:val="20"/>
          <w:szCs w:val="20"/>
        </w:rPr>
      </w:pPr>
      <w:r>
        <w:rPr>
          <w:rFonts w:ascii="Arial" w:eastAsia="Calibri" w:hAnsi="Arial" w:cs="Arial"/>
          <w:sz w:val="20"/>
          <w:szCs w:val="20"/>
        </w:rPr>
        <w:t xml:space="preserve">After the 14-day </w:t>
      </w:r>
      <w:proofErr w:type="spellStart"/>
      <w:r>
        <w:rPr>
          <w:rFonts w:ascii="Arial" w:eastAsia="Calibri" w:hAnsi="Arial" w:cs="Arial"/>
          <w:sz w:val="20"/>
          <w:szCs w:val="20"/>
        </w:rPr>
        <w:t>acclimatisation</w:t>
      </w:r>
      <w:proofErr w:type="spellEnd"/>
      <w:r>
        <w:rPr>
          <w:rFonts w:ascii="Arial" w:eastAsia="Calibri" w:hAnsi="Arial" w:cs="Arial"/>
          <w:sz w:val="20"/>
          <w:szCs w:val="20"/>
        </w:rPr>
        <w:t xml:space="preserve"> period, the animals were randomly divided into 11 groups of 5 rats each and were treated as follows;</w:t>
      </w:r>
    </w:p>
    <w:p w:rsidR="00260A21" w:rsidRDefault="00260A21">
      <w:pPr>
        <w:spacing w:after="0" w:line="360" w:lineRule="auto"/>
        <w:jc w:val="both"/>
        <w:rPr>
          <w:rFonts w:ascii="Arial" w:eastAsia="Times New Roman" w:hAnsi="Arial" w:cs="Arial"/>
          <w:b/>
          <w:bCs/>
          <w:color w:val="000000"/>
          <w:kern w:val="24"/>
          <w:sz w:val="20"/>
          <w:szCs w:val="20"/>
          <w14:ligatures w14:val="none"/>
        </w:rPr>
      </w:pPr>
    </w:p>
    <w:p w:rsidR="00260A21" w:rsidRDefault="00260A21">
      <w:pPr>
        <w:spacing w:after="0" w:line="360" w:lineRule="auto"/>
        <w:jc w:val="both"/>
        <w:rPr>
          <w:rFonts w:ascii="Arial" w:eastAsia="Times New Roman" w:hAnsi="Arial" w:cs="Arial"/>
          <w:b/>
          <w:bCs/>
          <w:color w:val="000000"/>
          <w:kern w:val="24"/>
          <w:sz w:val="20"/>
          <w:szCs w:val="20"/>
          <w14:ligatures w14:val="none"/>
        </w:rPr>
      </w:pPr>
    </w:p>
    <w:p w:rsidR="00260A21" w:rsidRDefault="00260A21">
      <w:pPr>
        <w:spacing w:after="0" w:line="360" w:lineRule="auto"/>
        <w:jc w:val="both"/>
        <w:rPr>
          <w:rFonts w:ascii="Arial" w:eastAsia="Times New Roman" w:hAnsi="Arial" w:cs="Arial"/>
          <w:b/>
          <w:bCs/>
          <w:color w:val="000000"/>
          <w:kern w:val="24"/>
          <w:sz w:val="20"/>
          <w:szCs w:val="20"/>
          <w14:ligatures w14:val="none"/>
        </w:rPr>
      </w:pPr>
    </w:p>
    <w:p w:rsidR="00260A21" w:rsidRDefault="005163B4">
      <w:pPr>
        <w:spacing w:after="0" w:line="360" w:lineRule="auto"/>
        <w:jc w:val="both"/>
        <w:rPr>
          <w:rFonts w:ascii="Arial" w:eastAsia="Times New Roman" w:hAnsi="Arial" w:cs="Arial"/>
          <w:b/>
          <w:bCs/>
          <w:color w:val="000000"/>
          <w:kern w:val="24"/>
          <w:sz w:val="20"/>
          <w:szCs w:val="20"/>
          <w14:ligatures w14:val="none"/>
        </w:rPr>
      </w:pPr>
      <w:r>
        <w:rPr>
          <w:rFonts w:ascii="Arial" w:eastAsia="Times New Roman" w:hAnsi="Arial" w:cs="Arial"/>
          <w:b/>
          <w:bCs/>
          <w:color w:val="000000"/>
          <w:kern w:val="24"/>
          <w:sz w:val="20"/>
          <w:szCs w:val="20"/>
          <w14:ligatures w14:val="none"/>
        </w:rPr>
        <w:t>Table 1. Experimental Design</w:t>
      </w:r>
    </w:p>
    <w:tbl>
      <w:tblPr>
        <w:tblStyle w:val="ListTable6Colorful1"/>
        <w:tblW w:w="0" w:type="auto"/>
        <w:tblLook w:val="04A0" w:firstRow="1" w:lastRow="0" w:firstColumn="1" w:lastColumn="0" w:noHBand="0" w:noVBand="1"/>
      </w:tblPr>
      <w:tblGrid>
        <w:gridCol w:w="990"/>
        <w:gridCol w:w="1525"/>
        <w:gridCol w:w="1070"/>
        <w:gridCol w:w="4245"/>
        <w:gridCol w:w="1530"/>
      </w:tblGrid>
      <w:tr w:rsidR="00260A21" w:rsidTr="00260A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tcBorders>
              <w:top w:val="single" w:sz="12" w:space="0" w:color="auto"/>
              <w:bottom w:val="single" w:sz="12" w:space="0" w:color="auto"/>
            </w:tcBorders>
          </w:tcPr>
          <w:p w:rsidR="00260A21" w:rsidRDefault="005163B4">
            <w:pPr>
              <w:spacing w:after="0" w:line="360" w:lineRule="auto"/>
              <w:jc w:val="center"/>
              <w:rPr>
                <w:rFonts w:ascii="Arial" w:eastAsia="Times New Roman" w:hAnsi="Arial" w:cs="Arial"/>
                <w:b w:val="0"/>
                <w:bCs w:val="0"/>
                <w:color w:val="000000"/>
                <w:kern w:val="0"/>
                <w:sz w:val="20"/>
                <w:szCs w:val="20"/>
                <w14:ligatures w14:val="none"/>
              </w:rPr>
            </w:pPr>
            <w:r>
              <w:rPr>
                <w:rFonts w:ascii="Arial" w:eastAsia="Times New Roman" w:hAnsi="Arial" w:cs="Arial"/>
                <w:color w:val="000000"/>
                <w:kern w:val="0"/>
                <w:sz w:val="20"/>
                <w:szCs w:val="20"/>
                <w14:ligatures w14:val="none"/>
              </w:rPr>
              <w:t>Groups</w:t>
            </w:r>
          </w:p>
        </w:tc>
        <w:tc>
          <w:tcPr>
            <w:tcW w:w="1525" w:type="dxa"/>
            <w:tcBorders>
              <w:top w:val="single" w:sz="12" w:space="0" w:color="auto"/>
              <w:bottom w:val="single" w:sz="12" w:space="0" w:color="auto"/>
            </w:tcBorders>
          </w:tcPr>
          <w:p w:rsidR="00260A21" w:rsidRDefault="005163B4">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kern w:val="0"/>
                <w:sz w:val="20"/>
                <w:szCs w:val="20"/>
                <w14:ligatures w14:val="none"/>
              </w:rPr>
            </w:pPr>
            <w:r>
              <w:rPr>
                <w:rFonts w:ascii="Arial" w:eastAsia="Times New Roman" w:hAnsi="Arial" w:cs="Arial"/>
                <w:color w:val="000000"/>
                <w:kern w:val="0"/>
                <w:sz w:val="20"/>
                <w:szCs w:val="20"/>
                <w14:ligatures w14:val="none"/>
              </w:rPr>
              <w:t>Group label</w:t>
            </w:r>
          </w:p>
        </w:tc>
        <w:tc>
          <w:tcPr>
            <w:tcW w:w="1070" w:type="dxa"/>
            <w:tcBorders>
              <w:top w:val="single" w:sz="12" w:space="0" w:color="auto"/>
              <w:bottom w:val="single" w:sz="12" w:space="0" w:color="auto"/>
            </w:tcBorders>
          </w:tcPr>
          <w:p w:rsidR="00260A21" w:rsidRDefault="005163B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kern w:val="0"/>
                <w:sz w:val="20"/>
                <w:szCs w:val="20"/>
                <w14:ligatures w14:val="none"/>
              </w:rPr>
            </w:pPr>
            <w:r>
              <w:rPr>
                <w:rFonts w:ascii="Arial" w:eastAsia="Times New Roman" w:hAnsi="Arial" w:cs="Arial"/>
                <w:color w:val="000000"/>
                <w:kern w:val="0"/>
                <w:sz w:val="20"/>
                <w:szCs w:val="20"/>
                <w14:ligatures w14:val="none"/>
              </w:rPr>
              <w:t>Number of Rats</w:t>
            </w:r>
          </w:p>
        </w:tc>
        <w:tc>
          <w:tcPr>
            <w:tcW w:w="4245" w:type="dxa"/>
            <w:tcBorders>
              <w:top w:val="single" w:sz="12" w:space="0" w:color="auto"/>
              <w:bottom w:val="single" w:sz="12" w:space="0" w:color="auto"/>
            </w:tcBorders>
          </w:tcPr>
          <w:p w:rsidR="00260A21" w:rsidRDefault="005163B4">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kern w:val="0"/>
                <w:sz w:val="20"/>
                <w:szCs w:val="20"/>
                <w14:ligatures w14:val="none"/>
              </w:rPr>
            </w:pPr>
            <w:r>
              <w:rPr>
                <w:rFonts w:ascii="Arial" w:eastAsia="Times New Roman" w:hAnsi="Arial" w:cs="Arial"/>
                <w:color w:val="000000"/>
                <w:kern w:val="0"/>
                <w:sz w:val="20"/>
                <w:szCs w:val="20"/>
                <w14:ligatures w14:val="none"/>
              </w:rPr>
              <w:t>Treatment</w:t>
            </w:r>
          </w:p>
        </w:tc>
        <w:tc>
          <w:tcPr>
            <w:tcW w:w="1530" w:type="dxa"/>
            <w:tcBorders>
              <w:top w:val="single" w:sz="12" w:space="0" w:color="auto"/>
              <w:bottom w:val="single" w:sz="12" w:space="0" w:color="auto"/>
            </w:tcBorders>
          </w:tcPr>
          <w:p w:rsidR="00260A21" w:rsidRDefault="005163B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kern w:val="0"/>
                <w:sz w:val="20"/>
                <w:szCs w:val="20"/>
                <w14:ligatures w14:val="none"/>
              </w:rPr>
            </w:pPr>
            <w:r>
              <w:rPr>
                <w:rFonts w:ascii="Arial" w:eastAsia="Times New Roman" w:hAnsi="Arial" w:cs="Arial"/>
                <w:color w:val="000000"/>
                <w:kern w:val="0"/>
                <w:sz w:val="20"/>
                <w:szCs w:val="20"/>
                <w14:ligatures w14:val="none"/>
              </w:rPr>
              <w:t>Duration of treatment</w:t>
            </w:r>
          </w:p>
        </w:tc>
      </w:tr>
      <w:tr w:rsidR="00260A21" w:rsidTr="00260A21">
        <w:tc>
          <w:tcPr>
            <w:cnfStyle w:val="001000000000" w:firstRow="0" w:lastRow="0" w:firstColumn="1" w:lastColumn="0" w:oddVBand="0" w:evenVBand="0" w:oddHBand="0" w:evenHBand="0" w:firstRowFirstColumn="0" w:firstRowLastColumn="0" w:lastRowFirstColumn="0" w:lastRowLastColumn="0"/>
            <w:tcW w:w="990" w:type="dxa"/>
            <w:tcBorders>
              <w:top w:val="single" w:sz="12" w:space="0" w:color="auto"/>
            </w:tcBorders>
            <w:shd w:val="clear" w:color="auto" w:fill="auto"/>
          </w:tcPr>
          <w:p w:rsidR="00260A21" w:rsidRDefault="005163B4">
            <w:pPr>
              <w:spacing w:after="0" w:line="240" w:lineRule="auto"/>
              <w:jc w:val="center"/>
              <w:rPr>
                <w:rFonts w:ascii="Arial" w:eastAsia="Times New Roman" w:hAnsi="Arial" w:cs="Arial"/>
                <w:color w:val="000000"/>
                <w:kern w:val="0"/>
                <w:sz w:val="20"/>
                <w:szCs w:val="20"/>
                <w14:ligatures w14:val="none"/>
              </w:rPr>
            </w:pPr>
            <w:r>
              <w:rPr>
                <w:rFonts w:ascii="Arial" w:eastAsia="Times New Roman" w:hAnsi="Arial" w:cs="Arial"/>
                <w:b w:val="0"/>
                <w:bCs w:val="0"/>
                <w:color w:val="000000"/>
                <w:kern w:val="0"/>
                <w:sz w:val="20"/>
                <w:szCs w:val="20"/>
                <w14:ligatures w14:val="none"/>
              </w:rPr>
              <w:t>1</w:t>
            </w:r>
          </w:p>
        </w:tc>
        <w:tc>
          <w:tcPr>
            <w:tcW w:w="1525" w:type="dxa"/>
            <w:tcBorders>
              <w:top w:val="single" w:sz="12" w:space="0" w:color="auto"/>
            </w:tcBorders>
            <w:shd w:val="clear" w:color="auto" w:fill="auto"/>
          </w:tcPr>
          <w:p w:rsidR="00260A21" w:rsidRDefault="005163B4">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Normal control</w:t>
            </w:r>
          </w:p>
        </w:tc>
        <w:tc>
          <w:tcPr>
            <w:tcW w:w="1070" w:type="dxa"/>
            <w:tcBorders>
              <w:top w:val="single" w:sz="12" w:space="0" w:color="auto"/>
            </w:tcBorders>
            <w:shd w:val="clear" w:color="auto" w:fill="auto"/>
          </w:tcPr>
          <w:p w:rsidR="00260A21" w:rsidRDefault="005163B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5</w:t>
            </w:r>
          </w:p>
        </w:tc>
        <w:tc>
          <w:tcPr>
            <w:tcW w:w="4245" w:type="dxa"/>
            <w:tcBorders>
              <w:top w:val="single" w:sz="12" w:space="0" w:color="auto"/>
            </w:tcBorders>
            <w:shd w:val="clear" w:color="auto" w:fill="auto"/>
          </w:tcPr>
          <w:p w:rsidR="00260A21" w:rsidRDefault="005163B4">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Feed and water</w:t>
            </w:r>
          </w:p>
        </w:tc>
        <w:tc>
          <w:tcPr>
            <w:tcW w:w="1530" w:type="dxa"/>
            <w:tcBorders>
              <w:top w:val="single" w:sz="12" w:space="0" w:color="auto"/>
            </w:tcBorders>
            <w:shd w:val="clear" w:color="auto" w:fill="auto"/>
          </w:tcPr>
          <w:p w:rsidR="00260A21" w:rsidRDefault="005163B4">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21 days</w:t>
            </w:r>
          </w:p>
        </w:tc>
      </w:tr>
      <w:tr w:rsidR="00260A21" w:rsidTr="00260A21">
        <w:tc>
          <w:tcPr>
            <w:cnfStyle w:val="001000000000" w:firstRow="0" w:lastRow="0" w:firstColumn="1" w:lastColumn="0" w:oddVBand="0" w:evenVBand="0" w:oddHBand="0" w:evenHBand="0" w:firstRowFirstColumn="0" w:firstRowLastColumn="0" w:lastRowFirstColumn="0" w:lastRowLastColumn="0"/>
            <w:tcW w:w="990" w:type="dxa"/>
          </w:tcPr>
          <w:p w:rsidR="00260A21" w:rsidRDefault="005163B4">
            <w:pPr>
              <w:spacing w:after="0" w:line="240" w:lineRule="auto"/>
              <w:jc w:val="center"/>
              <w:rPr>
                <w:rFonts w:ascii="Arial" w:eastAsia="Times New Roman" w:hAnsi="Arial" w:cs="Arial"/>
                <w:color w:val="000000"/>
                <w:kern w:val="0"/>
                <w:sz w:val="20"/>
                <w:szCs w:val="20"/>
                <w14:ligatures w14:val="none"/>
              </w:rPr>
            </w:pPr>
            <w:r>
              <w:rPr>
                <w:rFonts w:ascii="Arial" w:eastAsia="Times New Roman" w:hAnsi="Arial" w:cs="Arial"/>
                <w:b w:val="0"/>
                <w:bCs w:val="0"/>
                <w:color w:val="000000"/>
                <w:kern w:val="0"/>
                <w:sz w:val="20"/>
                <w:szCs w:val="20"/>
                <w14:ligatures w14:val="none"/>
              </w:rPr>
              <w:t>2</w:t>
            </w:r>
          </w:p>
        </w:tc>
        <w:tc>
          <w:tcPr>
            <w:tcW w:w="1525" w:type="dxa"/>
          </w:tcPr>
          <w:p w:rsidR="00260A21" w:rsidRDefault="005163B4">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Negative control</w:t>
            </w:r>
          </w:p>
        </w:tc>
        <w:tc>
          <w:tcPr>
            <w:tcW w:w="1070" w:type="dxa"/>
          </w:tcPr>
          <w:p w:rsidR="00260A21" w:rsidRDefault="005163B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5</w:t>
            </w:r>
          </w:p>
        </w:tc>
        <w:tc>
          <w:tcPr>
            <w:tcW w:w="4245" w:type="dxa"/>
          </w:tcPr>
          <w:p w:rsidR="00260A21" w:rsidRDefault="005163B4">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 xml:space="preserve">Induced with BPH (5.0 mg/kg per </w:t>
            </w:r>
            <w:proofErr w:type="spellStart"/>
            <w:r>
              <w:rPr>
                <w:rFonts w:ascii="Arial" w:eastAsia="Times New Roman" w:hAnsi="Arial" w:cs="Arial"/>
                <w:color w:val="000000"/>
                <w:kern w:val="0"/>
                <w:sz w:val="20"/>
                <w:szCs w:val="20"/>
                <w14:ligatures w14:val="none"/>
              </w:rPr>
              <w:t>b.w</w:t>
            </w:r>
            <w:proofErr w:type="spellEnd"/>
            <w:r>
              <w:rPr>
                <w:rFonts w:ascii="Arial" w:eastAsia="Times New Roman" w:hAnsi="Arial" w:cs="Arial"/>
                <w:color w:val="000000"/>
                <w:kern w:val="0"/>
                <w:sz w:val="20"/>
                <w:szCs w:val="20"/>
                <w14:ligatures w14:val="none"/>
              </w:rPr>
              <w:t xml:space="preserve"> testosterone propionate)</w:t>
            </w:r>
          </w:p>
        </w:tc>
        <w:tc>
          <w:tcPr>
            <w:tcW w:w="1530" w:type="dxa"/>
          </w:tcPr>
          <w:p w:rsidR="00260A21" w:rsidRDefault="005163B4">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21 days</w:t>
            </w:r>
          </w:p>
        </w:tc>
      </w:tr>
      <w:tr w:rsidR="00260A21" w:rsidTr="00260A21">
        <w:tc>
          <w:tcPr>
            <w:cnfStyle w:val="001000000000" w:firstRow="0" w:lastRow="0" w:firstColumn="1" w:lastColumn="0" w:oddVBand="0" w:evenVBand="0" w:oddHBand="0" w:evenHBand="0" w:firstRowFirstColumn="0" w:firstRowLastColumn="0" w:lastRowFirstColumn="0" w:lastRowLastColumn="0"/>
            <w:tcW w:w="990" w:type="dxa"/>
            <w:shd w:val="clear" w:color="auto" w:fill="auto"/>
          </w:tcPr>
          <w:p w:rsidR="00260A21" w:rsidRDefault="005163B4">
            <w:pPr>
              <w:spacing w:after="0" w:line="240" w:lineRule="auto"/>
              <w:jc w:val="center"/>
              <w:rPr>
                <w:rFonts w:ascii="Arial" w:eastAsia="Times New Roman" w:hAnsi="Arial" w:cs="Arial"/>
                <w:color w:val="000000"/>
                <w:kern w:val="0"/>
                <w:sz w:val="20"/>
                <w:szCs w:val="20"/>
                <w14:ligatures w14:val="none"/>
              </w:rPr>
            </w:pPr>
            <w:r>
              <w:rPr>
                <w:rFonts w:ascii="Arial" w:eastAsia="Times New Roman" w:hAnsi="Arial" w:cs="Arial"/>
                <w:b w:val="0"/>
                <w:bCs w:val="0"/>
                <w:color w:val="000000"/>
                <w:kern w:val="0"/>
                <w:sz w:val="20"/>
                <w:szCs w:val="20"/>
                <w14:ligatures w14:val="none"/>
              </w:rPr>
              <w:t>3</w:t>
            </w:r>
          </w:p>
        </w:tc>
        <w:tc>
          <w:tcPr>
            <w:tcW w:w="1525" w:type="dxa"/>
            <w:shd w:val="clear" w:color="auto" w:fill="auto"/>
          </w:tcPr>
          <w:p w:rsidR="00260A21" w:rsidRDefault="005163B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Standard control</w:t>
            </w:r>
          </w:p>
        </w:tc>
        <w:tc>
          <w:tcPr>
            <w:tcW w:w="1070" w:type="dxa"/>
            <w:shd w:val="clear" w:color="auto" w:fill="auto"/>
          </w:tcPr>
          <w:p w:rsidR="00260A21" w:rsidRDefault="005163B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5</w:t>
            </w:r>
          </w:p>
        </w:tc>
        <w:tc>
          <w:tcPr>
            <w:tcW w:w="4245" w:type="dxa"/>
            <w:shd w:val="clear" w:color="auto" w:fill="auto"/>
          </w:tcPr>
          <w:p w:rsidR="00260A21" w:rsidRDefault="005163B4">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 xml:space="preserve">BPH-induced and treated with a standard drug (0.5mg/kg </w:t>
            </w:r>
            <w:proofErr w:type="spellStart"/>
            <w:r>
              <w:rPr>
                <w:rFonts w:ascii="Arial" w:eastAsia="Times New Roman" w:hAnsi="Arial" w:cs="Arial"/>
                <w:color w:val="000000"/>
                <w:kern w:val="0"/>
                <w:sz w:val="20"/>
                <w:szCs w:val="20"/>
                <w14:ligatures w14:val="none"/>
              </w:rPr>
              <w:t>b.w.</w:t>
            </w:r>
            <w:proofErr w:type="spellEnd"/>
            <w:r>
              <w:rPr>
                <w:rFonts w:ascii="Arial" w:eastAsia="Times New Roman" w:hAnsi="Arial" w:cs="Arial"/>
                <w:color w:val="000000"/>
                <w:kern w:val="0"/>
                <w:sz w:val="20"/>
                <w:szCs w:val="20"/>
                <w14:ligatures w14:val="none"/>
              </w:rPr>
              <w:t xml:space="preserve"> finasteride)</w:t>
            </w:r>
          </w:p>
        </w:tc>
        <w:tc>
          <w:tcPr>
            <w:tcW w:w="1530" w:type="dxa"/>
            <w:shd w:val="clear" w:color="auto" w:fill="auto"/>
          </w:tcPr>
          <w:p w:rsidR="00260A21" w:rsidRDefault="005163B4">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21 days</w:t>
            </w:r>
          </w:p>
        </w:tc>
      </w:tr>
      <w:tr w:rsidR="00260A21" w:rsidTr="00260A21">
        <w:tc>
          <w:tcPr>
            <w:cnfStyle w:val="001000000000" w:firstRow="0" w:lastRow="0" w:firstColumn="1" w:lastColumn="0" w:oddVBand="0" w:evenVBand="0" w:oddHBand="0" w:evenHBand="0" w:firstRowFirstColumn="0" w:firstRowLastColumn="0" w:lastRowFirstColumn="0" w:lastRowLastColumn="0"/>
            <w:tcW w:w="990" w:type="dxa"/>
          </w:tcPr>
          <w:p w:rsidR="00260A21" w:rsidRDefault="005163B4">
            <w:pPr>
              <w:spacing w:after="0" w:line="240" w:lineRule="auto"/>
              <w:jc w:val="center"/>
              <w:rPr>
                <w:rFonts w:ascii="Arial" w:eastAsia="Times New Roman" w:hAnsi="Arial" w:cs="Arial"/>
                <w:color w:val="000000"/>
                <w:kern w:val="0"/>
                <w:sz w:val="20"/>
                <w:szCs w:val="20"/>
                <w14:ligatures w14:val="none"/>
              </w:rPr>
            </w:pPr>
            <w:r>
              <w:rPr>
                <w:rFonts w:ascii="Arial" w:eastAsia="Times New Roman" w:hAnsi="Arial" w:cs="Arial"/>
                <w:b w:val="0"/>
                <w:bCs w:val="0"/>
                <w:color w:val="000000"/>
                <w:kern w:val="0"/>
                <w:sz w:val="20"/>
                <w:szCs w:val="20"/>
                <w14:ligatures w14:val="none"/>
              </w:rPr>
              <w:t>4</w:t>
            </w:r>
          </w:p>
        </w:tc>
        <w:tc>
          <w:tcPr>
            <w:tcW w:w="1525" w:type="dxa"/>
          </w:tcPr>
          <w:p w:rsidR="00260A21" w:rsidRDefault="005163B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Test group</w:t>
            </w:r>
          </w:p>
        </w:tc>
        <w:tc>
          <w:tcPr>
            <w:tcW w:w="1070" w:type="dxa"/>
          </w:tcPr>
          <w:p w:rsidR="00260A21" w:rsidRDefault="005163B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5</w:t>
            </w:r>
          </w:p>
        </w:tc>
        <w:tc>
          <w:tcPr>
            <w:tcW w:w="4245" w:type="dxa"/>
          </w:tcPr>
          <w:p w:rsidR="00260A21" w:rsidRDefault="005163B4">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 xml:space="preserve">Induced and treated with </w:t>
            </w:r>
            <w:bookmarkStart w:id="1" w:name="_Hlk204170112"/>
            <w:r>
              <w:rPr>
                <w:rFonts w:ascii="Arial" w:eastAsia="Times New Roman" w:hAnsi="Arial" w:cs="Arial"/>
                <w:color w:val="000000"/>
                <w:kern w:val="0"/>
                <w:sz w:val="20"/>
                <w:szCs w:val="20"/>
                <w14:ligatures w14:val="none"/>
              </w:rPr>
              <w:t>250mg/kg body weight</w:t>
            </w:r>
            <w:bookmarkEnd w:id="1"/>
            <w:r>
              <w:rPr>
                <w:rFonts w:ascii="Arial" w:eastAsia="Times New Roman" w:hAnsi="Arial" w:cs="Arial"/>
                <w:color w:val="000000"/>
                <w:kern w:val="0"/>
                <w:sz w:val="20"/>
                <w:szCs w:val="20"/>
                <w14:ligatures w14:val="none"/>
              </w:rPr>
              <w:t xml:space="preserve"> of plant leaf extract</w:t>
            </w:r>
          </w:p>
        </w:tc>
        <w:tc>
          <w:tcPr>
            <w:tcW w:w="1530" w:type="dxa"/>
          </w:tcPr>
          <w:p w:rsidR="00260A21" w:rsidRDefault="005163B4">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21 days</w:t>
            </w:r>
          </w:p>
        </w:tc>
      </w:tr>
      <w:tr w:rsidR="00260A21" w:rsidTr="00260A21">
        <w:tc>
          <w:tcPr>
            <w:cnfStyle w:val="001000000000" w:firstRow="0" w:lastRow="0" w:firstColumn="1" w:lastColumn="0" w:oddVBand="0" w:evenVBand="0" w:oddHBand="0" w:evenHBand="0" w:firstRowFirstColumn="0" w:firstRowLastColumn="0" w:lastRowFirstColumn="0" w:lastRowLastColumn="0"/>
            <w:tcW w:w="990" w:type="dxa"/>
            <w:shd w:val="clear" w:color="auto" w:fill="auto"/>
          </w:tcPr>
          <w:p w:rsidR="00260A21" w:rsidRDefault="005163B4">
            <w:pPr>
              <w:spacing w:after="0" w:line="240" w:lineRule="auto"/>
              <w:jc w:val="center"/>
              <w:rPr>
                <w:rFonts w:ascii="Arial" w:eastAsia="Times New Roman" w:hAnsi="Arial" w:cs="Arial"/>
                <w:color w:val="000000"/>
                <w:kern w:val="0"/>
                <w:sz w:val="20"/>
                <w:szCs w:val="20"/>
                <w14:ligatures w14:val="none"/>
              </w:rPr>
            </w:pPr>
            <w:r>
              <w:rPr>
                <w:rFonts w:ascii="Arial" w:eastAsia="Times New Roman" w:hAnsi="Arial" w:cs="Arial"/>
                <w:b w:val="0"/>
                <w:bCs w:val="0"/>
                <w:color w:val="000000"/>
                <w:kern w:val="0"/>
                <w:sz w:val="20"/>
                <w:szCs w:val="20"/>
                <w14:ligatures w14:val="none"/>
              </w:rPr>
              <w:lastRenderedPageBreak/>
              <w:t>5</w:t>
            </w:r>
          </w:p>
        </w:tc>
        <w:tc>
          <w:tcPr>
            <w:tcW w:w="1525" w:type="dxa"/>
            <w:shd w:val="clear" w:color="auto" w:fill="auto"/>
          </w:tcPr>
          <w:p w:rsidR="00260A21" w:rsidRDefault="005163B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Test group</w:t>
            </w:r>
          </w:p>
        </w:tc>
        <w:tc>
          <w:tcPr>
            <w:tcW w:w="1070" w:type="dxa"/>
            <w:shd w:val="clear" w:color="auto" w:fill="auto"/>
          </w:tcPr>
          <w:p w:rsidR="00260A21" w:rsidRDefault="005163B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5</w:t>
            </w:r>
          </w:p>
        </w:tc>
        <w:tc>
          <w:tcPr>
            <w:tcW w:w="4245" w:type="dxa"/>
            <w:shd w:val="clear" w:color="auto" w:fill="auto"/>
          </w:tcPr>
          <w:p w:rsidR="00260A21" w:rsidRDefault="005163B4">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Induced and treated with 500mg/kg body weight of plant leaf extract</w:t>
            </w:r>
          </w:p>
        </w:tc>
        <w:tc>
          <w:tcPr>
            <w:tcW w:w="1530" w:type="dxa"/>
            <w:shd w:val="clear" w:color="auto" w:fill="auto"/>
          </w:tcPr>
          <w:p w:rsidR="00260A21" w:rsidRDefault="005163B4">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21 days</w:t>
            </w:r>
          </w:p>
        </w:tc>
      </w:tr>
      <w:tr w:rsidR="00260A21" w:rsidTr="00260A21">
        <w:tc>
          <w:tcPr>
            <w:cnfStyle w:val="001000000000" w:firstRow="0" w:lastRow="0" w:firstColumn="1" w:lastColumn="0" w:oddVBand="0" w:evenVBand="0" w:oddHBand="0" w:evenHBand="0" w:firstRowFirstColumn="0" w:firstRowLastColumn="0" w:lastRowFirstColumn="0" w:lastRowLastColumn="0"/>
            <w:tcW w:w="990" w:type="dxa"/>
          </w:tcPr>
          <w:p w:rsidR="00260A21" w:rsidRDefault="005163B4">
            <w:pPr>
              <w:spacing w:after="0" w:line="240" w:lineRule="auto"/>
              <w:jc w:val="center"/>
              <w:rPr>
                <w:rFonts w:ascii="Arial" w:eastAsia="Times New Roman" w:hAnsi="Arial" w:cs="Arial"/>
                <w:color w:val="000000"/>
                <w:kern w:val="0"/>
                <w:sz w:val="20"/>
                <w:szCs w:val="20"/>
                <w14:ligatures w14:val="none"/>
              </w:rPr>
            </w:pPr>
            <w:r>
              <w:rPr>
                <w:rFonts w:ascii="Arial" w:eastAsia="Times New Roman" w:hAnsi="Arial" w:cs="Arial"/>
                <w:b w:val="0"/>
                <w:bCs w:val="0"/>
                <w:color w:val="000000"/>
                <w:kern w:val="0"/>
                <w:sz w:val="20"/>
                <w:szCs w:val="20"/>
                <w14:ligatures w14:val="none"/>
              </w:rPr>
              <w:t>6</w:t>
            </w:r>
          </w:p>
        </w:tc>
        <w:tc>
          <w:tcPr>
            <w:tcW w:w="1525" w:type="dxa"/>
          </w:tcPr>
          <w:p w:rsidR="00260A21" w:rsidRDefault="005163B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Test group</w:t>
            </w:r>
          </w:p>
        </w:tc>
        <w:tc>
          <w:tcPr>
            <w:tcW w:w="1070" w:type="dxa"/>
          </w:tcPr>
          <w:p w:rsidR="00260A21" w:rsidRDefault="005163B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5</w:t>
            </w:r>
          </w:p>
        </w:tc>
        <w:tc>
          <w:tcPr>
            <w:tcW w:w="4245" w:type="dxa"/>
          </w:tcPr>
          <w:p w:rsidR="00260A21" w:rsidRDefault="005163B4">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Induced and treated with 250mg/kg body weight of plant stem bark extract</w:t>
            </w:r>
          </w:p>
        </w:tc>
        <w:tc>
          <w:tcPr>
            <w:tcW w:w="1530" w:type="dxa"/>
          </w:tcPr>
          <w:p w:rsidR="00260A21" w:rsidRDefault="005163B4">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21 days</w:t>
            </w:r>
          </w:p>
        </w:tc>
      </w:tr>
      <w:tr w:rsidR="00260A21" w:rsidTr="00260A21">
        <w:tc>
          <w:tcPr>
            <w:cnfStyle w:val="001000000000" w:firstRow="0" w:lastRow="0" w:firstColumn="1" w:lastColumn="0" w:oddVBand="0" w:evenVBand="0" w:oddHBand="0" w:evenHBand="0" w:firstRowFirstColumn="0" w:firstRowLastColumn="0" w:lastRowFirstColumn="0" w:lastRowLastColumn="0"/>
            <w:tcW w:w="990" w:type="dxa"/>
            <w:shd w:val="clear" w:color="auto" w:fill="auto"/>
          </w:tcPr>
          <w:p w:rsidR="00260A21" w:rsidRDefault="005163B4">
            <w:pPr>
              <w:spacing w:after="0" w:line="240" w:lineRule="auto"/>
              <w:jc w:val="center"/>
              <w:rPr>
                <w:rFonts w:ascii="Arial" w:eastAsia="Times New Roman" w:hAnsi="Arial" w:cs="Arial"/>
                <w:color w:val="000000"/>
                <w:kern w:val="0"/>
                <w:sz w:val="20"/>
                <w:szCs w:val="20"/>
                <w14:ligatures w14:val="none"/>
              </w:rPr>
            </w:pPr>
            <w:r>
              <w:rPr>
                <w:rFonts w:ascii="Arial" w:eastAsia="Times New Roman" w:hAnsi="Arial" w:cs="Arial"/>
                <w:b w:val="0"/>
                <w:bCs w:val="0"/>
                <w:color w:val="000000"/>
                <w:kern w:val="0"/>
                <w:sz w:val="20"/>
                <w:szCs w:val="20"/>
                <w14:ligatures w14:val="none"/>
              </w:rPr>
              <w:t>7</w:t>
            </w:r>
          </w:p>
        </w:tc>
        <w:tc>
          <w:tcPr>
            <w:tcW w:w="1525" w:type="dxa"/>
            <w:shd w:val="clear" w:color="auto" w:fill="auto"/>
          </w:tcPr>
          <w:p w:rsidR="00260A21" w:rsidRDefault="005163B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Test group</w:t>
            </w:r>
          </w:p>
        </w:tc>
        <w:tc>
          <w:tcPr>
            <w:tcW w:w="1070" w:type="dxa"/>
            <w:shd w:val="clear" w:color="auto" w:fill="auto"/>
          </w:tcPr>
          <w:p w:rsidR="00260A21" w:rsidRDefault="005163B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5</w:t>
            </w:r>
          </w:p>
        </w:tc>
        <w:tc>
          <w:tcPr>
            <w:tcW w:w="4245" w:type="dxa"/>
            <w:shd w:val="clear" w:color="auto" w:fill="auto"/>
          </w:tcPr>
          <w:p w:rsidR="00260A21" w:rsidRDefault="005163B4">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Induced and treated with 500mg/kg body weight of plant stem bark extract.</w:t>
            </w:r>
          </w:p>
        </w:tc>
        <w:tc>
          <w:tcPr>
            <w:tcW w:w="1530" w:type="dxa"/>
            <w:shd w:val="clear" w:color="auto" w:fill="auto"/>
          </w:tcPr>
          <w:p w:rsidR="00260A21" w:rsidRDefault="005163B4">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21 days</w:t>
            </w:r>
          </w:p>
        </w:tc>
      </w:tr>
      <w:tr w:rsidR="00260A21" w:rsidTr="00260A21">
        <w:tc>
          <w:tcPr>
            <w:cnfStyle w:val="001000000000" w:firstRow="0" w:lastRow="0" w:firstColumn="1" w:lastColumn="0" w:oddVBand="0" w:evenVBand="0" w:oddHBand="0" w:evenHBand="0" w:firstRowFirstColumn="0" w:firstRowLastColumn="0" w:lastRowFirstColumn="0" w:lastRowLastColumn="0"/>
            <w:tcW w:w="990" w:type="dxa"/>
          </w:tcPr>
          <w:p w:rsidR="00260A21" w:rsidRDefault="005163B4">
            <w:pPr>
              <w:spacing w:after="0" w:line="240" w:lineRule="auto"/>
              <w:jc w:val="center"/>
              <w:rPr>
                <w:rFonts w:ascii="Arial" w:eastAsia="Times New Roman" w:hAnsi="Arial" w:cs="Arial"/>
                <w:color w:val="000000"/>
                <w:kern w:val="0"/>
                <w:sz w:val="20"/>
                <w:szCs w:val="20"/>
                <w14:ligatures w14:val="none"/>
              </w:rPr>
            </w:pPr>
            <w:r>
              <w:rPr>
                <w:rFonts w:ascii="Arial" w:eastAsia="Times New Roman" w:hAnsi="Arial" w:cs="Arial"/>
                <w:b w:val="0"/>
                <w:bCs w:val="0"/>
                <w:color w:val="000000"/>
                <w:kern w:val="0"/>
                <w:sz w:val="20"/>
                <w:szCs w:val="20"/>
                <w14:ligatures w14:val="none"/>
              </w:rPr>
              <w:t>8</w:t>
            </w:r>
          </w:p>
        </w:tc>
        <w:tc>
          <w:tcPr>
            <w:tcW w:w="1525" w:type="dxa"/>
          </w:tcPr>
          <w:p w:rsidR="00260A21" w:rsidRDefault="005163B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Test group</w:t>
            </w:r>
          </w:p>
        </w:tc>
        <w:tc>
          <w:tcPr>
            <w:tcW w:w="1070" w:type="dxa"/>
          </w:tcPr>
          <w:p w:rsidR="00260A21" w:rsidRDefault="005163B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5</w:t>
            </w:r>
          </w:p>
        </w:tc>
        <w:tc>
          <w:tcPr>
            <w:tcW w:w="4245" w:type="dxa"/>
          </w:tcPr>
          <w:p w:rsidR="00260A21" w:rsidRDefault="005163B4">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Induced and treated with 250mg/kg body weight of plant pulp extract</w:t>
            </w:r>
          </w:p>
        </w:tc>
        <w:tc>
          <w:tcPr>
            <w:tcW w:w="1530" w:type="dxa"/>
          </w:tcPr>
          <w:p w:rsidR="00260A21" w:rsidRDefault="005163B4">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21 days</w:t>
            </w:r>
          </w:p>
        </w:tc>
      </w:tr>
      <w:tr w:rsidR="00260A21" w:rsidTr="00260A21">
        <w:tc>
          <w:tcPr>
            <w:cnfStyle w:val="001000000000" w:firstRow="0" w:lastRow="0" w:firstColumn="1" w:lastColumn="0" w:oddVBand="0" w:evenVBand="0" w:oddHBand="0" w:evenHBand="0" w:firstRowFirstColumn="0" w:firstRowLastColumn="0" w:lastRowFirstColumn="0" w:lastRowLastColumn="0"/>
            <w:tcW w:w="990" w:type="dxa"/>
            <w:shd w:val="clear" w:color="auto" w:fill="auto"/>
          </w:tcPr>
          <w:p w:rsidR="00260A21" w:rsidRDefault="005163B4">
            <w:pPr>
              <w:spacing w:after="0" w:line="240" w:lineRule="auto"/>
              <w:jc w:val="center"/>
              <w:rPr>
                <w:rFonts w:ascii="Arial" w:eastAsia="Times New Roman" w:hAnsi="Arial" w:cs="Arial"/>
                <w:color w:val="000000"/>
                <w:kern w:val="0"/>
                <w:sz w:val="20"/>
                <w:szCs w:val="20"/>
                <w14:ligatures w14:val="none"/>
              </w:rPr>
            </w:pPr>
            <w:r>
              <w:rPr>
                <w:rFonts w:ascii="Arial" w:eastAsia="Times New Roman" w:hAnsi="Arial" w:cs="Arial"/>
                <w:b w:val="0"/>
                <w:bCs w:val="0"/>
                <w:color w:val="000000"/>
                <w:kern w:val="0"/>
                <w:sz w:val="20"/>
                <w:szCs w:val="20"/>
                <w14:ligatures w14:val="none"/>
              </w:rPr>
              <w:t>9</w:t>
            </w:r>
          </w:p>
        </w:tc>
        <w:tc>
          <w:tcPr>
            <w:tcW w:w="1525" w:type="dxa"/>
            <w:shd w:val="clear" w:color="auto" w:fill="auto"/>
          </w:tcPr>
          <w:p w:rsidR="00260A21" w:rsidRDefault="005163B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Test group</w:t>
            </w:r>
          </w:p>
        </w:tc>
        <w:tc>
          <w:tcPr>
            <w:tcW w:w="1070" w:type="dxa"/>
            <w:shd w:val="clear" w:color="auto" w:fill="auto"/>
          </w:tcPr>
          <w:p w:rsidR="00260A21" w:rsidRDefault="005163B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5</w:t>
            </w:r>
          </w:p>
        </w:tc>
        <w:tc>
          <w:tcPr>
            <w:tcW w:w="4245" w:type="dxa"/>
            <w:shd w:val="clear" w:color="auto" w:fill="auto"/>
          </w:tcPr>
          <w:p w:rsidR="00260A21" w:rsidRDefault="005163B4">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Induced and treated with 500mg/kg body weight of plant pulp extract</w:t>
            </w:r>
          </w:p>
        </w:tc>
        <w:tc>
          <w:tcPr>
            <w:tcW w:w="1530" w:type="dxa"/>
            <w:shd w:val="clear" w:color="auto" w:fill="auto"/>
          </w:tcPr>
          <w:p w:rsidR="00260A21" w:rsidRDefault="005163B4">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21 days</w:t>
            </w:r>
          </w:p>
        </w:tc>
      </w:tr>
      <w:tr w:rsidR="00260A21" w:rsidTr="00260A21">
        <w:tc>
          <w:tcPr>
            <w:cnfStyle w:val="001000000000" w:firstRow="0" w:lastRow="0" w:firstColumn="1" w:lastColumn="0" w:oddVBand="0" w:evenVBand="0" w:oddHBand="0" w:evenHBand="0" w:firstRowFirstColumn="0" w:firstRowLastColumn="0" w:lastRowFirstColumn="0" w:lastRowLastColumn="0"/>
            <w:tcW w:w="990" w:type="dxa"/>
          </w:tcPr>
          <w:p w:rsidR="00260A21" w:rsidRDefault="005163B4">
            <w:pPr>
              <w:spacing w:after="0" w:line="240" w:lineRule="auto"/>
              <w:jc w:val="center"/>
              <w:rPr>
                <w:rFonts w:ascii="Arial" w:eastAsia="Times New Roman" w:hAnsi="Arial" w:cs="Arial"/>
                <w:color w:val="000000"/>
                <w:kern w:val="0"/>
                <w:sz w:val="20"/>
                <w:szCs w:val="20"/>
                <w14:ligatures w14:val="none"/>
              </w:rPr>
            </w:pPr>
            <w:r>
              <w:rPr>
                <w:rFonts w:ascii="Arial" w:eastAsia="Times New Roman" w:hAnsi="Arial" w:cs="Arial"/>
                <w:b w:val="0"/>
                <w:bCs w:val="0"/>
                <w:color w:val="000000"/>
                <w:kern w:val="0"/>
                <w:sz w:val="20"/>
                <w:szCs w:val="20"/>
                <w14:ligatures w14:val="none"/>
              </w:rPr>
              <w:t>10</w:t>
            </w:r>
          </w:p>
        </w:tc>
        <w:tc>
          <w:tcPr>
            <w:tcW w:w="1525" w:type="dxa"/>
          </w:tcPr>
          <w:p w:rsidR="00260A21" w:rsidRDefault="005163B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Test group</w:t>
            </w:r>
          </w:p>
        </w:tc>
        <w:tc>
          <w:tcPr>
            <w:tcW w:w="1070" w:type="dxa"/>
          </w:tcPr>
          <w:p w:rsidR="00260A21" w:rsidRDefault="005163B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5</w:t>
            </w:r>
          </w:p>
        </w:tc>
        <w:tc>
          <w:tcPr>
            <w:tcW w:w="4245" w:type="dxa"/>
          </w:tcPr>
          <w:p w:rsidR="00260A21" w:rsidRDefault="005163B4">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Induced and treated with 250mg/kg body weight of plant leaves, pulp and stem bark extracts</w:t>
            </w:r>
          </w:p>
        </w:tc>
        <w:tc>
          <w:tcPr>
            <w:tcW w:w="1530" w:type="dxa"/>
          </w:tcPr>
          <w:p w:rsidR="00260A21" w:rsidRDefault="005163B4">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21 days</w:t>
            </w:r>
          </w:p>
        </w:tc>
      </w:tr>
      <w:tr w:rsidR="00260A21" w:rsidTr="00260A21">
        <w:tc>
          <w:tcPr>
            <w:cnfStyle w:val="001000000000" w:firstRow="0" w:lastRow="0" w:firstColumn="1" w:lastColumn="0" w:oddVBand="0" w:evenVBand="0" w:oddHBand="0" w:evenHBand="0" w:firstRowFirstColumn="0" w:firstRowLastColumn="0" w:lastRowFirstColumn="0" w:lastRowLastColumn="0"/>
            <w:tcW w:w="990" w:type="dxa"/>
            <w:tcBorders>
              <w:bottom w:val="single" w:sz="12" w:space="0" w:color="auto"/>
            </w:tcBorders>
            <w:shd w:val="clear" w:color="auto" w:fill="auto"/>
          </w:tcPr>
          <w:p w:rsidR="00260A21" w:rsidRDefault="005163B4">
            <w:pPr>
              <w:spacing w:after="0" w:line="240" w:lineRule="auto"/>
              <w:jc w:val="center"/>
              <w:rPr>
                <w:rFonts w:ascii="Arial" w:eastAsia="Times New Roman" w:hAnsi="Arial" w:cs="Arial"/>
                <w:color w:val="000000"/>
                <w:kern w:val="0"/>
                <w:sz w:val="20"/>
                <w:szCs w:val="20"/>
                <w14:ligatures w14:val="none"/>
              </w:rPr>
            </w:pPr>
            <w:r>
              <w:rPr>
                <w:rFonts w:ascii="Arial" w:eastAsia="Times New Roman" w:hAnsi="Arial" w:cs="Arial"/>
                <w:b w:val="0"/>
                <w:bCs w:val="0"/>
                <w:color w:val="000000"/>
                <w:kern w:val="0"/>
                <w:sz w:val="20"/>
                <w:szCs w:val="20"/>
                <w14:ligatures w14:val="none"/>
              </w:rPr>
              <w:t>11</w:t>
            </w:r>
          </w:p>
        </w:tc>
        <w:tc>
          <w:tcPr>
            <w:tcW w:w="1525" w:type="dxa"/>
            <w:tcBorders>
              <w:bottom w:val="single" w:sz="12" w:space="0" w:color="auto"/>
            </w:tcBorders>
            <w:shd w:val="clear" w:color="auto" w:fill="auto"/>
          </w:tcPr>
          <w:p w:rsidR="00260A21" w:rsidRDefault="005163B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Test group</w:t>
            </w:r>
          </w:p>
        </w:tc>
        <w:tc>
          <w:tcPr>
            <w:tcW w:w="1070" w:type="dxa"/>
            <w:tcBorders>
              <w:bottom w:val="single" w:sz="12" w:space="0" w:color="auto"/>
            </w:tcBorders>
            <w:shd w:val="clear" w:color="auto" w:fill="auto"/>
          </w:tcPr>
          <w:p w:rsidR="00260A21" w:rsidRDefault="005163B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5</w:t>
            </w:r>
          </w:p>
        </w:tc>
        <w:tc>
          <w:tcPr>
            <w:tcW w:w="4245" w:type="dxa"/>
            <w:tcBorders>
              <w:bottom w:val="single" w:sz="12" w:space="0" w:color="auto"/>
            </w:tcBorders>
            <w:shd w:val="clear" w:color="auto" w:fill="auto"/>
          </w:tcPr>
          <w:p w:rsidR="00260A21" w:rsidRDefault="005163B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Induced and treated with 500mg/kg body weight of plant leaves, pulp and stem bark extracts</w:t>
            </w:r>
          </w:p>
        </w:tc>
        <w:tc>
          <w:tcPr>
            <w:tcW w:w="1530" w:type="dxa"/>
            <w:tcBorders>
              <w:bottom w:val="single" w:sz="12" w:space="0" w:color="auto"/>
            </w:tcBorders>
            <w:shd w:val="clear" w:color="auto" w:fill="auto"/>
          </w:tcPr>
          <w:p w:rsidR="00260A21" w:rsidRDefault="005163B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21 days</w:t>
            </w:r>
          </w:p>
        </w:tc>
      </w:tr>
    </w:tbl>
    <w:p w:rsidR="00260A21" w:rsidRDefault="00260A21">
      <w:pPr>
        <w:spacing w:after="0" w:line="480" w:lineRule="auto"/>
        <w:rPr>
          <w:rFonts w:ascii="Arial" w:eastAsia="Times New Roman" w:hAnsi="Arial" w:cs="Arial"/>
          <w:kern w:val="24"/>
          <w:sz w:val="20"/>
          <w:szCs w:val="20"/>
          <w14:ligatures w14:val="none"/>
        </w:rPr>
      </w:pPr>
    </w:p>
    <w:p w:rsidR="00260A21" w:rsidRDefault="00260A21">
      <w:pPr>
        <w:spacing w:after="0" w:line="360" w:lineRule="auto"/>
        <w:rPr>
          <w:rFonts w:ascii="Arial" w:eastAsia="Times New Roman" w:hAnsi="Arial" w:cs="Arial"/>
          <w:b/>
          <w:bCs/>
          <w:kern w:val="24"/>
          <w:sz w:val="20"/>
          <w:szCs w:val="20"/>
          <w14:ligatures w14:val="none"/>
        </w:rPr>
      </w:pPr>
    </w:p>
    <w:p w:rsidR="00260A21" w:rsidRDefault="00260A21">
      <w:pPr>
        <w:spacing w:after="0" w:line="360" w:lineRule="auto"/>
        <w:rPr>
          <w:rFonts w:ascii="Arial" w:eastAsia="Times New Roman" w:hAnsi="Arial" w:cs="Arial"/>
          <w:b/>
          <w:bCs/>
          <w:kern w:val="24"/>
          <w:sz w:val="20"/>
          <w:szCs w:val="20"/>
          <w14:ligatures w14:val="none"/>
        </w:rPr>
      </w:pPr>
    </w:p>
    <w:p w:rsidR="00260A21" w:rsidRDefault="00260A21">
      <w:pPr>
        <w:spacing w:after="0" w:line="360" w:lineRule="auto"/>
        <w:rPr>
          <w:rFonts w:ascii="Arial" w:eastAsia="Times New Roman" w:hAnsi="Arial" w:cs="Arial"/>
          <w:b/>
          <w:bCs/>
          <w:kern w:val="24"/>
          <w:sz w:val="20"/>
          <w:szCs w:val="20"/>
          <w14:ligatures w14:val="none"/>
        </w:rPr>
      </w:pPr>
    </w:p>
    <w:p w:rsidR="00260A21" w:rsidRDefault="00260A21">
      <w:pPr>
        <w:spacing w:after="0" w:line="360" w:lineRule="auto"/>
        <w:rPr>
          <w:rFonts w:ascii="Arial" w:eastAsia="Times New Roman" w:hAnsi="Arial" w:cs="Arial"/>
          <w:b/>
          <w:bCs/>
          <w:kern w:val="24"/>
          <w:sz w:val="20"/>
          <w:szCs w:val="20"/>
          <w14:ligatures w14:val="none"/>
        </w:rPr>
      </w:pPr>
    </w:p>
    <w:p w:rsidR="00260A21" w:rsidRDefault="00260A21">
      <w:pPr>
        <w:spacing w:after="0" w:line="360" w:lineRule="auto"/>
        <w:rPr>
          <w:rFonts w:ascii="Arial" w:eastAsia="Times New Roman" w:hAnsi="Arial" w:cs="Arial"/>
          <w:b/>
          <w:bCs/>
          <w:kern w:val="24"/>
          <w:sz w:val="20"/>
          <w:szCs w:val="20"/>
          <w14:ligatures w14:val="none"/>
        </w:rPr>
      </w:pPr>
    </w:p>
    <w:p w:rsidR="00260A21" w:rsidRDefault="005163B4">
      <w:pPr>
        <w:spacing w:after="0" w:line="360" w:lineRule="auto"/>
        <w:rPr>
          <w:rFonts w:ascii="Arial" w:eastAsia="Times New Roman" w:hAnsi="Arial" w:cs="Arial"/>
          <w:kern w:val="0"/>
          <w:sz w:val="20"/>
          <w:szCs w:val="20"/>
          <w14:ligatures w14:val="none"/>
        </w:rPr>
      </w:pPr>
      <w:r>
        <w:rPr>
          <w:rFonts w:ascii="Arial" w:eastAsia="Times New Roman" w:hAnsi="Arial" w:cs="Arial"/>
          <w:b/>
          <w:bCs/>
          <w:kern w:val="24"/>
          <w:sz w:val="20"/>
          <w:szCs w:val="20"/>
          <w14:ligatures w14:val="none"/>
        </w:rPr>
        <w:t>2.3.1 BPH Induction and Treatments</w:t>
      </w:r>
    </w:p>
    <w:p w:rsidR="00260A21" w:rsidRDefault="005163B4">
      <w:pPr>
        <w:spacing w:line="360" w:lineRule="auto"/>
        <w:jc w:val="both"/>
        <w:rPr>
          <w:rFonts w:ascii="Arial" w:eastAsia="Calibri" w:hAnsi="Arial" w:cs="Arial"/>
          <w:sz w:val="20"/>
          <w:szCs w:val="20"/>
        </w:rPr>
      </w:pPr>
      <w:r>
        <w:rPr>
          <w:rFonts w:ascii="Arial" w:eastAsia="Times New Roman" w:hAnsi="Arial" w:cs="Arial"/>
          <w:kern w:val="24"/>
          <w:sz w:val="20"/>
          <w:szCs w:val="20"/>
          <w14:ligatures w14:val="none"/>
        </w:rPr>
        <w:t xml:space="preserve">Benign prostatic hyperplasia was induced in albino rats using testosterone propionate (5.0 mg/kg per </w:t>
      </w:r>
      <w:proofErr w:type="spellStart"/>
      <w:r>
        <w:rPr>
          <w:rFonts w:ascii="Arial" w:eastAsia="Times New Roman" w:hAnsi="Arial" w:cs="Arial"/>
          <w:kern w:val="24"/>
          <w:sz w:val="20"/>
          <w:szCs w:val="20"/>
          <w14:ligatures w14:val="none"/>
        </w:rPr>
        <w:t>b.w</w:t>
      </w:r>
      <w:proofErr w:type="spellEnd"/>
      <w:r>
        <w:rPr>
          <w:rFonts w:ascii="Arial" w:eastAsia="Times New Roman" w:hAnsi="Arial" w:cs="Arial"/>
          <w:kern w:val="24"/>
          <w:sz w:val="20"/>
          <w:szCs w:val="20"/>
          <w14:ligatures w14:val="none"/>
        </w:rPr>
        <w:t xml:space="preserve">) for 21 days as carried out by </w:t>
      </w:r>
      <w:proofErr w:type="spellStart"/>
      <w:r>
        <w:rPr>
          <w:rFonts w:ascii="Arial" w:eastAsia="Times New Roman" w:hAnsi="Arial" w:cs="Arial"/>
          <w:kern w:val="24"/>
          <w:sz w:val="20"/>
          <w:szCs w:val="20"/>
          <w14:ligatures w14:val="none"/>
        </w:rPr>
        <w:t>Ekeyi</w:t>
      </w:r>
      <w:proofErr w:type="spellEnd"/>
      <w:r>
        <w:rPr>
          <w:rFonts w:ascii="Arial" w:eastAsia="Times New Roman" w:hAnsi="Arial" w:cs="Arial"/>
          <w:kern w:val="24"/>
          <w:sz w:val="20"/>
          <w:szCs w:val="20"/>
          <w14:ligatures w14:val="none"/>
        </w:rPr>
        <w:t xml:space="preserve"> </w:t>
      </w:r>
      <w:r>
        <w:rPr>
          <w:rFonts w:ascii="Arial" w:eastAsia="Times New Roman" w:hAnsi="Arial" w:cs="Arial"/>
          <w:i/>
          <w:iCs/>
          <w:kern w:val="24"/>
          <w:sz w:val="20"/>
          <w:szCs w:val="20"/>
          <w14:ligatures w14:val="none"/>
        </w:rPr>
        <w:t>et al</w:t>
      </w:r>
      <w:r>
        <w:rPr>
          <w:rFonts w:ascii="Arial" w:eastAsia="Times New Roman" w:hAnsi="Arial" w:cs="Arial"/>
          <w:kern w:val="24"/>
          <w:sz w:val="20"/>
          <w:szCs w:val="20"/>
          <w14:ligatures w14:val="none"/>
        </w:rPr>
        <w:t xml:space="preserve">. (2021) with modifications, followed by oral treatment with 0.5mg/kg </w:t>
      </w:r>
      <w:proofErr w:type="spellStart"/>
      <w:r>
        <w:rPr>
          <w:rFonts w:ascii="Arial" w:eastAsia="Times New Roman" w:hAnsi="Arial" w:cs="Arial"/>
          <w:kern w:val="24"/>
          <w:sz w:val="20"/>
          <w:szCs w:val="20"/>
          <w14:ligatures w14:val="none"/>
        </w:rPr>
        <w:t>b.w</w:t>
      </w:r>
      <w:proofErr w:type="spellEnd"/>
      <w:r>
        <w:rPr>
          <w:rFonts w:ascii="Arial" w:eastAsia="Times New Roman" w:hAnsi="Arial" w:cs="Arial"/>
          <w:kern w:val="24"/>
          <w:sz w:val="20"/>
          <w:szCs w:val="20"/>
          <w14:ligatures w14:val="none"/>
        </w:rPr>
        <w:t xml:space="preserve"> of Finasteride (group 3) adapted from </w:t>
      </w:r>
      <w:proofErr w:type="spellStart"/>
      <w:r>
        <w:rPr>
          <w:rFonts w:ascii="Arial" w:eastAsia="Times New Roman" w:hAnsi="Arial" w:cs="Arial"/>
          <w:kern w:val="24"/>
          <w:sz w:val="20"/>
          <w:szCs w:val="20"/>
          <w14:ligatures w14:val="none"/>
        </w:rPr>
        <w:t>Alamoudi</w:t>
      </w:r>
      <w:proofErr w:type="spellEnd"/>
      <w:r>
        <w:rPr>
          <w:rFonts w:ascii="Arial" w:eastAsia="Times New Roman" w:hAnsi="Arial" w:cs="Arial"/>
          <w:kern w:val="24"/>
          <w:sz w:val="20"/>
          <w:szCs w:val="20"/>
          <w14:ligatures w14:val="none"/>
        </w:rPr>
        <w:t xml:space="preserve"> </w:t>
      </w:r>
      <w:r>
        <w:rPr>
          <w:rFonts w:ascii="Arial" w:eastAsia="Times New Roman" w:hAnsi="Arial" w:cs="Arial"/>
          <w:i/>
          <w:iCs/>
          <w:kern w:val="24"/>
          <w:sz w:val="20"/>
          <w:szCs w:val="20"/>
          <w14:ligatures w14:val="none"/>
        </w:rPr>
        <w:t>et al</w:t>
      </w:r>
      <w:r>
        <w:rPr>
          <w:rFonts w:ascii="Arial" w:eastAsia="Times New Roman" w:hAnsi="Arial" w:cs="Arial"/>
          <w:kern w:val="24"/>
          <w:sz w:val="20"/>
          <w:szCs w:val="20"/>
          <w14:ligatures w14:val="none"/>
        </w:rPr>
        <w:t xml:space="preserve">. (2022), and plant extracts at different doses for another 21 days, and monitored for changes. </w:t>
      </w:r>
      <w:r>
        <w:rPr>
          <w:rFonts w:ascii="Arial" w:eastAsia="Calibri" w:hAnsi="Arial" w:cs="Arial"/>
          <w:sz w:val="20"/>
          <w:szCs w:val="20"/>
        </w:rPr>
        <w:t xml:space="preserve">At the end of the treatment period, all rats were fasted overnight, sacrificed under </w:t>
      </w:r>
      <w:proofErr w:type="spellStart"/>
      <w:r>
        <w:rPr>
          <w:rFonts w:ascii="Arial" w:eastAsia="Calibri" w:hAnsi="Arial" w:cs="Arial"/>
          <w:sz w:val="20"/>
          <w:szCs w:val="20"/>
        </w:rPr>
        <w:t>anaesthesia</w:t>
      </w:r>
      <w:proofErr w:type="spellEnd"/>
      <w:r>
        <w:rPr>
          <w:rFonts w:ascii="Arial" w:eastAsia="Calibri" w:hAnsi="Arial" w:cs="Arial"/>
          <w:sz w:val="20"/>
          <w:szCs w:val="20"/>
        </w:rPr>
        <w:t xml:space="preserve"> using chloroform, and blood samples were collected through cardiac puncture into heparin and non-heparin bottles for biochemical analysis.</w:t>
      </w:r>
    </w:p>
    <w:p w:rsidR="00260A21" w:rsidRDefault="005163B4">
      <w:pPr>
        <w:spacing w:after="0" w:line="360" w:lineRule="auto"/>
        <w:jc w:val="both"/>
        <w:rPr>
          <w:rFonts w:ascii="Arial" w:eastAsia="Calibri" w:hAnsi="Arial" w:cs="Arial"/>
          <w:b/>
          <w:sz w:val="20"/>
          <w:szCs w:val="20"/>
        </w:rPr>
      </w:pPr>
      <w:bookmarkStart w:id="2" w:name="_Toc125472513"/>
      <w:bookmarkStart w:id="3" w:name="_Toc125370267"/>
      <w:r>
        <w:rPr>
          <w:rFonts w:ascii="Arial" w:eastAsia="Calibri" w:hAnsi="Arial" w:cs="Arial"/>
          <w:b/>
          <w:sz w:val="20"/>
          <w:szCs w:val="20"/>
        </w:rPr>
        <w:t>2.3.2 Sacrifice of Animals</w:t>
      </w:r>
      <w:bookmarkEnd w:id="2"/>
      <w:bookmarkEnd w:id="3"/>
    </w:p>
    <w:p w:rsidR="00260A21" w:rsidRDefault="005163B4">
      <w:pPr>
        <w:spacing w:line="360" w:lineRule="auto"/>
        <w:jc w:val="both"/>
        <w:rPr>
          <w:rFonts w:ascii="Arial" w:eastAsia="Calibri" w:hAnsi="Arial" w:cs="Arial"/>
          <w:sz w:val="20"/>
          <w:szCs w:val="20"/>
        </w:rPr>
      </w:pPr>
      <w:r>
        <w:rPr>
          <w:rFonts w:ascii="Arial" w:eastAsia="Calibri" w:hAnsi="Arial" w:cs="Arial"/>
          <w:sz w:val="20"/>
          <w:szCs w:val="20"/>
        </w:rPr>
        <w:t xml:space="preserve">At the end of the treatment period, all rats were fasted overnight, sacrificed under mild </w:t>
      </w:r>
      <w:proofErr w:type="spellStart"/>
      <w:r>
        <w:rPr>
          <w:rFonts w:ascii="Arial" w:eastAsia="Calibri" w:hAnsi="Arial" w:cs="Arial"/>
          <w:sz w:val="20"/>
          <w:szCs w:val="20"/>
        </w:rPr>
        <w:t>anaesthesia</w:t>
      </w:r>
      <w:proofErr w:type="spellEnd"/>
      <w:r>
        <w:rPr>
          <w:rFonts w:ascii="Arial" w:eastAsia="Calibri" w:hAnsi="Arial" w:cs="Arial"/>
          <w:sz w:val="20"/>
          <w:szCs w:val="20"/>
        </w:rPr>
        <w:t xml:space="preserve"> using chloroform and blood samples were collected through cardiac puncture into heparin and non-heparin bottles for biochemical analysis.</w:t>
      </w:r>
    </w:p>
    <w:p w:rsidR="00260A21" w:rsidRDefault="005163B4">
      <w:pPr>
        <w:spacing w:line="240" w:lineRule="auto"/>
        <w:rPr>
          <w:rFonts w:ascii="Arial" w:hAnsi="Arial" w:cs="Arial"/>
          <w:b/>
          <w:bCs/>
          <w:sz w:val="20"/>
          <w:szCs w:val="20"/>
        </w:rPr>
      </w:pPr>
      <w:r>
        <w:rPr>
          <w:rFonts w:ascii="Arial" w:hAnsi="Arial" w:cs="Arial"/>
          <w:b/>
          <w:bCs/>
          <w:sz w:val="20"/>
          <w:szCs w:val="20"/>
        </w:rPr>
        <w:t>2.3.4 Liver Function Tests</w:t>
      </w:r>
    </w:p>
    <w:p w:rsidR="00260A21" w:rsidRDefault="005163B4">
      <w:pPr>
        <w:spacing w:line="240" w:lineRule="auto"/>
        <w:rPr>
          <w:rFonts w:ascii="Arial" w:hAnsi="Arial" w:cs="Arial"/>
          <w:b/>
          <w:bCs/>
          <w:sz w:val="20"/>
          <w:szCs w:val="20"/>
        </w:rPr>
      </w:pPr>
      <w:r>
        <w:rPr>
          <w:rFonts w:ascii="Arial" w:hAnsi="Arial" w:cs="Arial"/>
          <w:b/>
          <w:bCs/>
          <w:sz w:val="20"/>
          <w:szCs w:val="20"/>
        </w:rPr>
        <w:t>2.3.4.1. ALT and AST Assay</w:t>
      </w:r>
    </w:p>
    <w:p w:rsidR="00260A21" w:rsidRDefault="005163B4">
      <w:pPr>
        <w:spacing w:line="360" w:lineRule="auto"/>
        <w:jc w:val="both"/>
        <w:rPr>
          <w:rFonts w:ascii="Arial" w:eastAsia="Calibri" w:hAnsi="Arial" w:cs="Arial"/>
          <w:sz w:val="20"/>
          <w:szCs w:val="20"/>
        </w:rPr>
      </w:pPr>
      <w:r>
        <w:rPr>
          <w:rFonts w:ascii="Arial" w:eastAsia="Calibri" w:hAnsi="Arial" w:cs="Arial"/>
          <w:sz w:val="20"/>
          <w:szCs w:val="20"/>
        </w:rPr>
        <w:t xml:space="preserve">ALT and AST were done using </w:t>
      </w:r>
      <w:proofErr w:type="spellStart"/>
      <w:r>
        <w:rPr>
          <w:rFonts w:ascii="Arial" w:eastAsia="Calibri" w:hAnsi="Arial" w:cs="Arial"/>
          <w:sz w:val="20"/>
          <w:szCs w:val="20"/>
        </w:rPr>
        <w:t>uv</w:t>
      </w:r>
      <w:proofErr w:type="spellEnd"/>
      <w:r>
        <w:rPr>
          <w:rFonts w:ascii="Arial" w:eastAsia="Calibri" w:hAnsi="Arial" w:cs="Arial"/>
          <w:sz w:val="20"/>
          <w:szCs w:val="20"/>
        </w:rPr>
        <w:t xml:space="preserve"> method (IFFC, 1980). 10μl of the specimen was pipetted into a clean dry test tube, followed by the addition of 1ml of working reagents. This was mixed and the initial absorbance </w:t>
      </w:r>
      <w:r>
        <w:rPr>
          <w:rFonts w:ascii="Arial" w:eastAsia="Calibri" w:hAnsi="Arial" w:cs="Arial"/>
          <w:sz w:val="20"/>
          <w:szCs w:val="20"/>
        </w:rPr>
        <w:lastRenderedPageBreak/>
        <w:t xml:space="preserve">was read, followed by absorbance readings again at 1, 2 and 3 minutes at 340 nm wavelength. Change in absorbance per minute was calculated thus; </w:t>
      </w:r>
    </w:p>
    <w:p w:rsidR="00260A21" w:rsidRDefault="005163B4">
      <w:pPr>
        <w:spacing w:line="360" w:lineRule="auto"/>
        <w:jc w:val="both"/>
        <w:rPr>
          <w:rFonts w:ascii="Arial" w:eastAsia="Calibri" w:hAnsi="Arial" w:cs="Arial"/>
          <w:sz w:val="20"/>
          <w:szCs w:val="20"/>
        </w:rPr>
      </w:pPr>
      <w:r>
        <w:rPr>
          <w:rFonts w:ascii="Arial" w:eastAsia="Calibri" w:hAnsi="Arial" w:cs="Arial"/>
          <w:sz w:val="20"/>
          <w:szCs w:val="20"/>
        </w:rPr>
        <w:t>ALT activity (U/l) = 1746 x change in absorbance per minute</w:t>
      </w:r>
    </w:p>
    <w:p w:rsidR="00260A21" w:rsidRDefault="005163B4">
      <w:pPr>
        <w:spacing w:line="360" w:lineRule="auto"/>
        <w:jc w:val="both"/>
        <w:rPr>
          <w:rFonts w:ascii="Arial" w:eastAsia="Calibri" w:hAnsi="Arial" w:cs="Arial"/>
          <w:sz w:val="20"/>
          <w:szCs w:val="20"/>
        </w:rPr>
      </w:pPr>
      <w:r>
        <w:rPr>
          <w:rFonts w:ascii="Arial" w:eastAsia="Calibri" w:hAnsi="Arial" w:cs="Arial"/>
          <w:sz w:val="20"/>
          <w:szCs w:val="20"/>
        </w:rPr>
        <w:t xml:space="preserve"> AST activity (U/l) = 1746 x change in absorbance per minute </w:t>
      </w:r>
    </w:p>
    <w:p w:rsidR="00260A21" w:rsidRDefault="005163B4">
      <w:pPr>
        <w:rPr>
          <w:rFonts w:ascii="Arial" w:hAnsi="Arial" w:cs="Arial"/>
          <w:b/>
          <w:bCs/>
          <w:sz w:val="20"/>
          <w:szCs w:val="20"/>
        </w:rPr>
      </w:pPr>
      <w:bookmarkStart w:id="4" w:name="_Toc196294655"/>
      <w:r>
        <w:rPr>
          <w:rFonts w:ascii="Arial" w:hAnsi="Arial" w:cs="Arial"/>
          <w:b/>
          <w:bCs/>
          <w:sz w:val="20"/>
          <w:szCs w:val="20"/>
        </w:rPr>
        <w:t>2.3.4.2 Alkaline Phosphatase (ALP)</w:t>
      </w:r>
      <w:bookmarkEnd w:id="4"/>
      <w:r>
        <w:rPr>
          <w:rFonts w:ascii="Arial" w:hAnsi="Arial" w:cs="Arial"/>
          <w:b/>
          <w:bCs/>
          <w:sz w:val="20"/>
          <w:szCs w:val="20"/>
        </w:rPr>
        <w:t xml:space="preserve"> Assay</w:t>
      </w:r>
    </w:p>
    <w:p w:rsidR="00260A21" w:rsidRDefault="005163B4">
      <w:pPr>
        <w:spacing w:line="360" w:lineRule="auto"/>
        <w:jc w:val="both"/>
        <w:rPr>
          <w:rFonts w:ascii="Arial" w:eastAsia="Calibri" w:hAnsi="Arial" w:cs="Arial"/>
          <w:sz w:val="20"/>
          <w:szCs w:val="20"/>
        </w:rPr>
      </w:pPr>
      <w:r>
        <w:rPr>
          <w:rFonts w:ascii="Arial" w:eastAsia="Calibri" w:hAnsi="Arial" w:cs="Arial"/>
          <w:sz w:val="20"/>
          <w:szCs w:val="20"/>
        </w:rPr>
        <w:t xml:space="preserve">ALP was </w:t>
      </w:r>
      <w:proofErr w:type="spellStart"/>
      <w:r>
        <w:rPr>
          <w:rFonts w:ascii="Arial" w:eastAsia="Calibri" w:hAnsi="Arial" w:cs="Arial"/>
          <w:sz w:val="20"/>
          <w:szCs w:val="20"/>
        </w:rPr>
        <w:t>analysed</w:t>
      </w:r>
      <w:proofErr w:type="spellEnd"/>
      <w:r>
        <w:rPr>
          <w:rFonts w:ascii="Arial" w:eastAsia="Calibri" w:hAnsi="Arial" w:cs="Arial"/>
          <w:sz w:val="20"/>
          <w:szCs w:val="20"/>
        </w:rPr>
        <w:t xml:space="preserve"> using the spectrophotometric method (</w:t>
      </w:r>
      <w:proofErr w:type="spellStart"/>
      <w:r>
        <w:rPr>
          <w:rFonts w:ascii="Arial" w:eastAsia="Calibri" w:hAnsi="Arial" w:cs="Arial"/>
          <w:sz w:val="20"/>
          <w:szCs w:val="20"/>
        </w:rPr>
        <w:t>Tietz</w:t>
      </w:r>
      <w:proofErr w:type="spellEnd"/>
      <w:r>
        <w:rPr>
          <w:rFonts w:ascii="Arial" w:eastAsia="Calibri" w:hAnsi="Arial" w:cs="Arial"/>
          <w:sz w:val="20"/>
          <w:szCs w:val="20"/>
        </w:rPr>
        <w:t xml:space="preserve"> </w:t>
      </w:r>
      <w:r>
        <w:rPr>
          <w:rFonts w:ascii="Arial" w:eastAsia="Calibri" w:hAnsi="Arial" w:cs="Arial"/>
          <w:i/>
          <w:iCs/>
          <w:sz w:val="20"/>
          <w:szCs w:val="20"/>
        </w:rPr>
        <w:t>et al</w:t>
      </w:r>
      <w:r>
        <w:rPr>
          <w:rFonts w:ascii="Arial" w:eastAsia="Calibri" w:hAnsi="Arial" w:cs="Arial"/>
          <w:sz w:val="20"/>
          <w:szCs w:val="20"/>
        </w:rPr>
        <w:t xml:space="preserve">, 1983). 20 </w:t>
      </w:r>
      <w:proofErr w:type="spellStart"/>
      <w:r>
        <w:rPr>
          <w:rFonts w:ascii="Arial" w:eastAsia="Calibri" w:hAnsi="Arial" w:cs="Arial"/>
          <w:sz w:val="20"/>
          <w:szCs w:val="20"/>
        </w:rPr>
        <w:t>μl</w:t>
      </w:r>
      <w:proofErr w:type="spellEnd"/>
      <w:r>
        <w:rPr>
          <w:rFonts w:ascii="Arial" w:eastAsia="Calibri" w:hAnsi="Arial" w:cs="Arial"/>
          <w:sz w:val="20"/>
          <w:szCs w:val="20"/>
        </w:rPr>
        <w:t xml:space="preserve"> of the Specimen was pipetted into a clean dry test tube, followed by the addition of 1ml of working reagent. This was mixed and the initial absorbance was read, followed by absorbance readings again at 1, 2 and 3 minutes at 405 nm wavelength. Change in absorbance per minute was calculated thus;</w:t>
      </w:r>
    </w:p>
    <w:p w:rsidR="00260A21" w:rsidRDefault="005163B4">
      <w:pPr>
        <w:spacing w:line="480" w:lineRule="auto"/>
        <w:jc w:val="both"/>
        <w:rPr>
          <w:rFonts w:ascii="Arial" w:hAnsi="Arial" w:cs="Arial"/>
          <w:b/>
          <w:bCs/>
          <w:sz w:val="20"/>
          <w:szCs w:val="20"/>
        </w:rPr>
      </w:pPr>
      <w:r>
        <w:rPr>
          <w:rFonts w:ascii="Arial" w:eastAsia="Calibri" w:hAnsi="Arial" w:cs="Arial"/>
          <w:sz w:val="20"/>
          <w:szCs w:val="20"/>
        </w:rPr>
        <w:t xml:space="preserve">ALP activity (U/l) = 2760 x change in absorbance per minute </w:t>
      </w:r>
      <w:bookmarkStart w:id="5" w:name="_Toc196294656"/>
    </w:p>
    <w:p w:rsidR="00260A21" w:rsidRDefault="005163B4">
      <w:pPr>
        <w:rPr>
          <w:rFonts w:ascii="Arial" w:hAnsi="Arial" w:cs="Arial"/>
          <w:b/>
          <w:bCs/>
          <w:sz w:val="20"/>
          <w:szCs w:val="20"/>
        </w:rPr>
      </w:pPr>
      <w:r>
        <w:rPr>
          <w:rFonts w:ascii="Arial" w:hAnsi="Arial" w:cs="Arial"/>
          <w:b/>
          <w:bCs/>
          <w:sz w:val="20"/>
          <w:szCs w:val="20"/>
        </w:rPr>
        <w:t>2.3.4.3 Total Protein (TP)</w:t>
      </w:r>
      <w:bookmarkEnd w:id="5"/>
    </w:p>
    <w:p w:rsidR="00260A21" w:rsidRDefault="005163B4">
      <w:pPr>
        <w:spacing w:line="360" w:lineRule="auto"/>
        <w:jc w:val="both"/>
        <w:rPr>
          <w:rFonts w:ascii="Arial" w:eastAsia="Calibri" w:hAnsi="Arial" w:cs="Arial"/>
          <w:sz w:val="20"/>
          <w:szCs w:val="20"/>
        </w:rPr>
      </w:pPr>
      <w:r>
        <w:rPr>
          <w:rFonts w:ascii="Arial" w:eastAsia="Calibri" w:hAnsi="Arial" w:cs="Arial"/>
          <w:sz w:val="20"/>
          <w:szCs w:val="20"/>
        </w:rPr>
        <w:t xml:space="preserve">TP will be </w:t>
      </w:r>
      <w:proofErr w:type="spellStart"/>
      <w:r>
        <w:rPr>
          <w:rFonts w:ascii="Arial" w:eastAsia="Calibri" w:hAnsi="Arial" w:cs="Arial"/>
          <w:sz w:val="20"/>
          <w:szCs w:val="20"/>
        </w:rPr>
        <w:t>analysed</w:t>
      </w:r>
      <w:proofErr w:type="spellEnd"/>
      <w:r>
        <w:rPr>
          <w:rFonts w:ascii="Arial" w:eastAsia="Calibri" w:hAnsi="Arial" w:cs="Arial"/>
          <w:sz w:val="20"/>
          <w:szCs w:val="20"/>
        </w:rPr>
        <w:t xml:space="preserve"> using the Biuret method (</w:t>
      </w:r>
      <w:proofErr w:type="spellStart"/>
      <w:r>
        <w:rPr>
          <w:rFonts w:ascii="Arial" w:eastAsia="Calibri" w:hAnsi="Arial" w:cs="Arial"/>
          <w:sz w:val="20"/>
          <w:szCs w:val="20"/>
        </w:rPr>
        <w:t>Lubran</w:t>
      </w:r>
      <w:proofErr w:type="spellEnd"/>
      <w:r>
        <w:rPr>
          <w:rFonts w:ascii="Arial" w:eastAsia="Calibri" w:hAnsi="Arial" w:cs="Arial"/>
          <w:sz w:val="20"/>
          <w:szCs w:val="20"/>
        </w:rPr>
        <w:t xml:space="preserve">, 1978). 20 </w:t>
      </w:r>
      <w:proofErr w:type="spellStart"/>
      <w:r>
        <w:rPr>
          <w:rFonts w:ascii="Arial" w:eastAsia="Calibri" w:hAnsi="Arial" w:cs="Arial"/>
          <w:sz w:val="20"/>
          <w:szCs w:val="20"/>
        </w:rPr>
        <w:t>μl</w:t>
      </w:r>
      <w:proofErr w:type="spellEnd"/>
      <w:r>
        <w:rPr>
          <w:rFonts w:ascii="Arial" w:eastAsia="Calibri" w:hAnsi="Arial" w:cs="Arial"/>
          <w:sz w:val="20"/>
          <w:szCs w:val="20"/>
        </w:rPr>
        <w:t xml:space="preserve"> of the Specimen was pipetted into a clean dry test tube and labelled as Blank (B), Standard(S) and Test (T), followed by the addition of 1ml of working reagents. This was mixed well and incubated at room temperature (15-28°C) for 30 min.  Absorbance of Standard (</w:t>
      </w:r>
      <w:proofErr w:type="spellStart"/>
      <w:r>
        <w:rPr>
          <w:rFonts w:ascii="Arial" w:eastAsia="Calibri" w:hAnsi="Arial" w:cs="Arial"/>
          <w:sz w:val="20"/>
          <w:szCs w:val="20"/>
        </w:rPr>
        <w:t>Abs.S</w:t>
      </w:r>
      <w:proofErr w:type="spellEnd"/>
      <w:r>
        <w:rPr>
          <w:rFonts w:ascii="Arial" w:eastAsia="Calibri" w:hAnsi="Arial" w:cs="Arial"/>
          <w:sz w:val="20"/>
          <w:szCs w:val="20"/>
        </w:rPr>
        <w:t>) and Test (</w:t>
      </w:r>
      <w:proofErr w:type="spellStart"/>
      <w:r>
        <w:rPr>
          <w:rFonts w:ascii="Arial" w:eastAsia="Calibri" w:hAnsi="Arial" w:cs="Arial"/>
          <w:sz w:val="20"/>
          <w:szCs w:val="20"/>
        </w:rPr>
        <w:t>Abs.T</w:t>
      </w:r>
      <w:proofErr w:type="spellEnd"/>
      <w:r>
        <w:rPr>
          <w:rFonts w:ascii="Arial" w:eastAsia="Calibri" w:hAnsi="Arial" w:cs="Arial"/>
          <w:sz w:val="20"/>
          <w:szCs w:val="20"/>
        </w:rPr>
        <w:t>) were measured against the reagent blank at 546 nm within 60 minutes. Total protein concentration was calculated as follows;</w:t>
      </w:r>
    </w:p>
    <w:p w:rsidR="00260A21" w:rsidRDefault="005163B4">
      <w:pPr>
        <w:spacing w:line="360" w:lineRule="auto"/>
        <w:jc w:val="both"/>
        <w:rPr>
          <w:rFonts w:ascii="Arial" w:eastAsia="Calibri" w:hAnsi="Arial" w:cs="Arial"/>
          <w:sz w:val="20"/>
          <w:szCs w:val="20"/>
        </w:rPr>
      </w:pPr>
      <w:r>
        <w:rPr>
          <w:rFonts w:ascii="Arial" w:eastAsia="Calibri" w:hAnsi="Arial" w:cs="Arial"/>
          <w:sz w:val="20"/>
          <w:szCs w:val="20"/>
        </w:rPr>
        <w:t>Total protein concentration = Absorbance of test/Absorbance of standard x concentration of standard.</w:t>
      </w:r>
    </w:p>
    <w:p w:rsidR="00260A21" w:rsidRDefault="005163B4">
      <w:pPr>
        <w:rPr>
          <w:rFonts w:ascii="Arial" w:hAnsi="Arial" w:cs="Arial"/>
          <w:b/>
          <w:bCs/>
          <w:sz w:val="20"/>
          <w:szCs w:val="20"/>
        </w:rPr>
      </w:pPr>
      <w:bookmarkStart w:id="6" w:name="_Toc196294657"/>
      <w:r>
        <w:rPr>
          <w:rFonts w:ascii="Arial" w:hAnsi="Arial" w:cs="Arial"/>
          <w:b/>
          <w:bCs/>
          <w:sz w:val="20"/>
          <w:szCs w:val="20"/>
        </w:rPr>
        <w:t>2.3.4.4. Albumin (ALB)</w:t>
      </w:r>
      <w:bookmarkEnd w:id="6"/>
      <w:r>
        <w:rPr>
          <w:rFonts w:ascii="Arial" w:hAnsi="Arial" w:cs="Arial"/>
          <w:b/>
          <w:bCs/>
          <w:sz w:val="20"/>
          <w:szCs w:val="20"/>
        </w:rPr>
        <w:t xml:space="preserve"> </w:t>
      </w:r>
    </w:p>
    <w:p w:rsidR="00260A21" w:rsidRDefault="005163B4">
      <w:pPr>
        <w:spacing w:line="360" w:lineRule="auto"/>
        <w:jc w:val="both"/>
        <w:rPr>
          <w:rFonts w:ascii="Arial" w:eastAsia="Calibri" w:hAnsi="Arial" w:cs="Arial"/>
          <w:sz w:val="20"/>
          <w:szCs w:val="20"/>
        </w:rPr>
      </w:pPr>
      <w:r>
        <w:rPr>
          <w:rFonts w:ascii="Arial" w:eastAsia="Calibri" w:hAnsi="Arial" w:cs="Arial"/>
          <w:sz w:val="20"/>
          <w:szCs w:val="20"/>
        </w:rPr>
        <w:t xml:space="preserve">Albumin was </w:t>
      </w:r>
      <w:proofErr w:type="spellStart"/>
      <w:r>
        <w:rPr>
          <w:rFonts w:ascii="Arial" w:eastAsia="Calibri" w:hAnsi="Arial" w:cs="Arial"/>
          <w:sz w:val="20"/>
          <w:szCs w:val="20"/>
        </w:rPr>
        <w:t>analysed</w:t>
      </w:r>
      <w:proofErr w:type="spellEnd"/>
      <w:r>
        <w:rPr>
          <w:rFonts w:ascii="Arial" w:eastAsia="Calibri" w:hAnsi="Arial" w:cs="Arial"/>
          <w:sz w:val="20"/>
          <w:szCs w:val="20"/>
        </w:rPr>
        <w:t xml:space="preserve"> using the Bromocresol green method (</w:t>
      </w:r>
      <w:proofErr w:type="spellStart"/>
      <w:r>
        <w:rPr>
          <w:rFonts w:ascii="Arial" w:eastAsia="Calibri" w:hAnsi="Arial" w:cs="Arial"/>
          <w:sz w:val="20"/>
          <w:szCs w:val="20"/>
        </w:rPr>
        <w:t>Doumas</w:t>
      </w:r>
      <w:proofErr w:type="spellEnd"/>
      <w:r>
        <w:rPr>
          <w:rFonts w:ascii="Arial" w:eastAsia="Calibri" w:hAnsi="Arial" w:cs="Arial"/>
          <w:sz w:val="20"/>
          <w:szCs w:val="20"/>
        </w:rPr>
        <w:t xml:space="preserve">, 1971). 10 </w:t>
      </w:r>
      <w:proofErr w:type="spellStart"/>
      <w:r>
        <w:rPr>
          <w:rFonts w:ascii="Arial" w:eastAsia="Calibri" w:hAnsi="Arial" w:cs="Arial"/>
          <w:sz w:val="20"/>
          <w:szCs w:val="20"/>
        </w:rPr>
        <w:t>μl</w:t>
      </w:r>
      <w:proofErr w:type="spellEnd"/>
      <w:r>
        <w:rPr>
          <w:rFonts w:ascii="Arial" w:eastAsia="Calibri" w:hAnsi="Arial" w:cs="Arial"/>
          <w:sz w:val="20"/>
          <w:szCs w:val="20"/>
        </w:rPr>
        <w:t xml:space="preserve"> of the Specimen was pipetted into a clean, dry test tube and labelled as Blank (B), Standard(S) and Test (T), followed by the addition of 1ml of working reagents. This was mixed well and incubated at room temperature (15-28°C) for 10 min. Absorbance of Standard (</w:t>
      </w:r>
      <w:proofErr w:type="spellStart"/>
      <w:r>
        <w:rPr>
          <w:rFonts w:ascii="Arial" w:eastAsia="Calibri" w:hAnsi="Arial" w:cs="Arial"/>
          <w:sz w:val="20"/>
          <w:szCs w:val="20"/>
        </w:rPr>
        <w:t>Abs.S</w:t>
      </w:r>
      <w:proofErr w:type="spellEnd"/>
      <w:r>
        <w:rPr>
          <w:rFonts w:ascii="Arial" w:eastAsia="Calibri" w:hAnsi="Arial" w:cs="Arial"/>
          <w:sz w:val="20"/>
          <w:szCs w:val="20"/>
        </w:rPr>
        <w:t>) and Test (</w:t>
      </w:r>
      <w:proofErr w:type="spellStart"/>
      <w:r>
        <w:rPr>
          <w:rFonts w:ascii="Arial" w:eastAsia="Calibri" w:hAnsi="Arial" w:cs="Arial"/>
          <w:sz w:val="20"/>
          <w:szCs w:val="20"/>
        </w:rPr>
        <w:t>Abs.T</w:t>
      </w:r>
      <w:proofErr w:type="spellEnd"/>
      <w:r>
        <w:rPr>
          <w:rFonts w:ascii="Arial" w:eastAsia="Calibri" w:hAnsi="Arial" w:cs="Arial"/>
          <w:sz w:val="20"/>
          <w:szCs w:val="20"/>
        </w:rPr>
        <w:t xml:space="preserve">) were measured against the reagent blank at 630 nm within 60 minutes. Albumin concentration was calculated as follows; </w:t>
      </w:r>
    </w:p>
    <w:p w:rsidR="00260A21" w:rsidRDefault="005163B4">
      <w:pPr>
        <w:spacing w:line="360" w:lineRule="auto"/>
        <w:jc w:val="both"/>
        <w:rPr>
          <w:rFonts w:ascii="Arial" w:eastAsia="Calibri" w:hAnsi="Arial" w:cs="Arial"/>
          <w:sz w:val="20"/>
          <w:szCs w:val="20"/>
        </w:rPr>
      </w:pPr>
      <w:r>
        <w:rPr>
          <w:rFonts w:ascii="Arial" w:eastAsia="Calibri" w:hAnsi="Arial" w:cs="Arial"/>
          <w:sz w:val="20"/>
          <w:szCs w:val="20"/>
        </w:rPr>
        <w:t>Albumin concentration = Absorbance of test/Absorbance of standard x concentration of standard.</w:t>
      </w:r>
    </w:p>
    <w:p w:rsidR="00260A21" w:rsidRDefault="005163B4">
      <w:pPr>
        <w:rPr>
          <w:rFonts w:ascii="Arial" w:hAnsi="Arial" w:cs="Arial"/>
          <w:b/>
          <w:bCs/>
          <w:sz w:val="20"/>
          <w:szCs w:val="20"/>
        </w:rPr>
      </w:pPr>
      <w:bookmarkStart w:id="7" w:name="_Toc196294658"/>
      <w:r>
        <w:rPr>
          <w:rFonts w:ascii="Arial" w:hAnsi="Arial" w:cs="Arial"/>
          <w:b/>
          <w:bCs/>
          <w:sz w:val="20"/>
          <w:szCs w:val="20"/>
        </w:rPr>
        <w:t>2.3.4.5 Bilirubin (BIL)</w:t>
      </w:r>
      <w:bookmarkEnd w:id="7"/>
      <w:r>
        <w:rPr>
          <w:rFonts w:ascii="Arial" w:hAnsi="Arial" w:cs="Arial"/>
          <w:b/>
          <w:bCs/>
          <w:sz w:val="20"/>
          <w:szCs w:val="20"/>
        </w:rPr>
        <w:t xml:space="preserve"> </w:t>
      </w:r>
    </w:p>
    <w:p w:rsidR="00260A21" w:rsidRDefault="005163B4">
      <w:pPr>
        <w:spacing w:line="360" w:lineRule="auto"/>
        <w:jc w:val="both"/>
        <w:rPr>
          <w:rFonts w:ascii="Arial" w:eastAsia="Calibri" w:hAnsi="Arial" w:cs="Arial"/>
          <w:sz w:val="20"/>
          <w:szCs w:val="20"/>
        </w:rPr>
      </w:pPr>
      <w:r>
        <w:rPr>
          <w:rFonts w:ascii="Arial" w:eastAsia="Calibri" w:hAnsi="Arial" w:cs="Arial"/>
          <w:sz w:val="20"/>
          <w:szCs w:val="20"/>
        </w:rPr>
        <w:t xml:space="preserve">Bilirubin was </w:t>
      </w:r>
      <w:proofErr w:type="spellStart"/>
      <w:r>
        <w:rPr>
          <w:rFonts w:ascii="Arial" w:eastAsia="Calibri" w:hAnsi="Arial" w:cs="Arial"/>
          <w:sz w:val="20"/>
          <w:szCs w:val="20"/>
        </w:rPr>
        <w:t>analysed</w:t>
      </w:r>
      <w:proofErr w:type="spellEnd"/>
      <w:r>
        <w:rPr>
          <w:rFonts w:ascii="Arial" w:eastAsia="Calibri" w:hAnsi="Arial" w:cs="Arial"/>
          <w:sz w:val="20"/>
          <w:szCs w:val="20"/>
        </w:rPr>
        <w:t xml:space="preserve"> using the Diazo method (Garber, 1981). Reagent-1 (</w:t>
      </w:r>
      <w:proofErr w:type="spellStart"/>
      <w:r>
        <w:rPr>
          <w:rFonts w:ascii="Arial" w:eastAsia="Calibri" w:hAnsi="Arial" w:cs="Arial"/>
          <w:sz w:val="20"/>
          <w:szCs w:val="20"/>
        </w:rPr>
        <w:t>Sulphanilic</w:t>
      </w:r>
      <w:proofErr w:type="spellEnd"/>
      <w:r>
        <w:rPr>
          <w:rFonts w:ascii="Arial" w:eastAsia="Calibri" w:hAnsi="Arial" w:cs="Arial"/>
          <w:sz w:val="20"/>
          <w:szCs w:val="20"/>
        </w:rPr>
        <w:t xml:space="preserve"> Acid), reagent-2 (Nitrite), reagent-3 (Caffeine) and the sample were mixed and allowed to stand for 10 min at 20-25°C. Then reagent-4 (Tartrate) was added, mixed and allowed to stand for 5-30 min at 20-25ºC, and then the absorbance of the sample was read against the sample blank (ATB) at 576nm. Bilirubin concentration will be determined as follows;</w:t>
      </w:r>
    </w:p>
    <w:p w:rsidR="00260A21" w:rsidRDefault="005163B4">
      <w:pPr>
        <w:spacing w:line="360" w:lineRule="auto"/>
        <w:jc w:val="both"/>
        <w:rPr>
          <w:rFonts w:ascii="Arial" w:eastAsia="Calibri" w:hAnsi="Arial" w:cs="Arial"/>
          <w:sz w:val="20"/>
          <w:szCs w:val="20"/>
        </w:rPr>
      </w:pPr>
      <w:r>
        <w:rPr>
          <w:rFonts w:ascii="Arial" w:eastAsia="Calibri" w:hAnsi="Arial" w:cs="Arial"/>
          <w:sz w:val="20"/>
          <w:szCs w:val="20"/>
        </w:rPr>
        <w:t>Total Bilirubin (</w:t>
      </w:r>
      <w:proofErr w:type="spellStart"/>
      <w:r>
        <w:rPr>
          <w:rFonts w:ascii="Arial" w:eastAsia="Calibri" w:hAnsi="Arial" w:cs="Arial"/>
          <w:sz w:val="20"/>
          <w:szCs w:val="20"/>
        </w:rPr>
        <w:t>μmol</w:t>
      </w:r>
      <w:proofErr w:type="spellEnd"/>
      <w:r>
        <w:rPr>
          <w:rFonts w:ascii="Arial" w:eastAsia="Calibri" w:hAnsi="Arial" w:cs="Arial"/>
          <w:sz w:val="20"/>
          <w:szCs w:val="20"/>
        </w:rPr>
        <w:t>/l) = 185 x ATB</w:t>
      </w:r>
    </w:p>
    <w:p w:rsidR="00260A21" w:rsidRDefault="005163B4">
      <w:pPr>
        <w:rPr>
          <w:rFonts w:ascii="Arial" w:hAnsi="Arial" w:cs="Arial"/>
          <w:b/>
          <w:bCs/>
          <w:sz w:val="20"/>
          <w:szCs w:val="20"/>
        </w:rPr>
      </w:pPr>
      <w:bookmarkStart w:id="8" w:name="_Toc196294659"/>
      <w:r>
        <w:rPr>
          <w:rFonts w:ascii="Arial" w:hAnsi="Arial" w:cs="Arial"/>
          <w:b/>
          <w:bCs/>
          <w:sz w:val="20"/>
          <w:szCs w:val="20"/>
        </w:rPr>
        <w:lastRenderedPageBreak/>
        <w:t xml:space="preserve">2.3.5 Kidney </w:t>
      </w:r>
      <w:bookmarkEnd w:id="8"/>
      <w:r>
        <w:rPr>
          <w:rFonts w:ascii="Arial" w:hAnsi="Arial" w:cs="Arial"/>
          <w:b/>
          <w:bCs/>
          <w:sz w:val="20"/>
          <w:szCs w:val="20"/>
        </w:rPr>
        <w:t>Function Tests</w:t>
      </w:r>
    </w:p>
    <w:p w:rsidR="00260A21" w:rsidRDefault="005163B4">
      <w:pPr>
        <w:rPr>
          <w:rFonts w:ascii="Arial" w:hAnsi="Arial" w:cs="Arial"/>
          <w:b/>
          <w:bCs/>
          <w:sz w:val="20"/>
          <w:szCs w:val="20"/>
        </w:rPr>
      </w:pPr>
      <w:bookmarkStart w:id="9" w:name="_Toc196294660"/>
      <w:r>
        <w:rPr>
          <w:rFonts w:ascii="Arial" w:hAnsi="Arial" w:cs="Arial"/>
          <w:b/>
          <w:bCs/>
          <w:sz w:val="20"/>
          <w:szCs w:val="20"/>
        </w:rPr>
        <w:t>2.3.5.1 Electrolytes Estimation</w:t>
      </w:r>
      <w:bookmarkEnd w:id="9"/>
    </w:p>
    <w:p w:rsidR="00260A21" w:rsidRDefault="005163B4">
      <w:pPr>
        <w:spacing w:line="360" w:lineRule="auto"/>
        <w:jc w:val="both"/>
        <w:rPr>
          <w:rFonts w:ascii="Arial" w:eastAsia="Calibri" w:hAnsi="Arial" w:cs="Arial"/>
          <w:sz w:val="20"/>
          <w:szCs w:val="20"/>
        </w:rPr>
      </w:pPr>
      <w:r>
        <w:rPr>
          <w:rFonts w:ascii="Arial" w:eastAsia="Calibri" w:hAnsi="Arial" w:cs="Arial"/>
          <w:sz w:val="20"/>
          <w:szCs w:val="20"/>
        </w:rPr>
        <w:t>The electrolytes were assayed using ion ion-selective electrode potentiometric method (</w:t>
      </w:r>
      <w:proofErr w:type="spellStart"/>
      <w:r>
        <w:rPr>
          <w:rFonts w:ascii="Arial" w:eastAsia="Calibri" w:hAnsi="Arial" w:cs="Arial"/>
          <w:sz w:val="20"/>
          <w:szCs w:val="20"/>
        </w:rPr>
        <w:t>Kulpmann</w:t>
      </w:r>
      <w:proofErr w:type="spellEnd"/>
      <w:r>
        <w:rPr>
          <w:rFonts w:ascii="Arial" w:eastAsia="Calibri" w:hAnsi="Arial" w:cs="Arial"/>
          <w:sz w:val="20"/>
          <w:szCs w:val="20"/>
        </w:rPr>
        <w:t xml:space="preserve"> and </w:t>
      </w:r>
      <w:proofErr w:type="spellStart"/>
      <w:r>
        <w:rPr>
          <w:rFonts w:ascii="Arial" w:eastAsia="Calibri" w:hAnsi="Arial" w:cs="Arial"/>
          <w:sz w:val="20"/>
          <w:szCs w:val="20"/>
        </w:rPr>
        <w:t>Bestmmung</w:t>
      </w:r>
      <w:proofErr w:type="spellEnd"/>
      <w:r>
        <w:rPr>
          <w:rFonts w:ascii="Arial" w:eastAsia="Calibri" w:hAnsi="Arial" w:cs="Arial"/>
          <w:sz w:val="20"/>
          <w:szCs w:val="20"/>
        </w:rPr>
        <w:t xml:space="preserve">, 1992) using the SFRI electrolytes </w:t>
      </w:r>
      <w:proofErr w:type="spellStart"/>
      <w:r>
        <w:rPr>
          <w:rFonts w:ascii="Arial" w:eastAsia="Calibri" w:hAnsi="Arial" w:cs="Arial"/>
          <w:sz w:val="20"/>
          <w:szCs w:val="20"/>
        </w:rPr>
        <w:t>analyser</w:t>
      </w:r>
      <w:proofErr w:type="spellEnd"/>
      <w:r>
        <w:rPr>
          <w:rFonts w:ascii="Arial" w:eastAsia="Calibri" w:hAnsi="Arial" w:cs="Arial"/>
          <w:sz w:val="20"/>
          <w:szCs w:val="20"/>
        </w:rPr>
        <w:t xml:space="preserve"> (model: ISE 4000, France). 500µl of the sample was pipetted into a specimen container. The sample container was placed under the sample probe for the ISE machine to aspirate the sample. The sample container was removed immediately after the command “remove sample” showed on the screen. Results were displayed within 60 seconds, and then results were printed out.</w:t>
      </w:r>
    </w:p>
    <w:p w:rsidR="00260A21" w:rsidRDefault="005163B4">
      <w:pPr>
        <w:rPr>
          <w:rFonts w:ascii="Arial" w:hAnsi="Arial" w:cs="Arial"/>
          <w:b/>
          <w:bCs/>
          <w:sz w:val="20"/>
          <w:szCs w:val="20"/>
        </w:rPr>
      </w:pPr>
      <w:bookmarkStart w:id="10" w:name="_Toc196294661"/>
      <w:r>
        <w:rPr>
          <w:rFonts w:ascii="Arial" w:hAnsi="Arial" w:cs="Arial"/>
          <w:b/>
          <w:bCs/>
          <w:sz w:val="20"/>
          <w:szCs w:val="20"/>
        </w:rPr>
        <w:t>2.3.5.2 Urea Estimation</w:t>
      </w:r>
      <w:bookmarkEnd w:id="10"/>
    </w:p>
    <w:p w:rsidR="00260A21" w:rsidRDefault="005163B4">
      <w:pPr>
        <w:spacing w:line="360" w:lineRule="auto"/>
        <w:jc w:val="both"/>
        <w:rPr>
          <w:rFonts w:ascii="Arial" w:eastAsia="Calibri" w:hAnsi="Arial" w:cs="Arial"/>
          <w:sz w:val="20"/>
          <w:szCs w:val="20"/>
        </w:rPr>
      </w:pPr>
      <w:r>
        <w:rPr>
          <w:rFonts w:ascii="Arial" w:eastAsia="Calibri" w:hAnsi="Arial" w:cs="Arial"/>
          <w:sz w:val="20"/>
          <w:szCs w:val="20"/>
        </w:rPr>
        <w:t xml:space="preserve">Urea was estimated using the urease Berthelot method (Fawcett and Scott, 1960). 10 </w:t>
      </w:r>
      <w:proofErr w:type="spellStart"/>
      <w:r>
        <w:rPr>
          <w:rFonts w:ascii="Arial" w:eastAsia="Calibri" w:hAnsi="Arial" w:cs="Arial"/>
          <w:sz w:val="20"/>
          <w:szCs w:val="20"/>
        </w:rPr>
        <w:t>μl</w:t>
      </w:r>
      <w:proofErr w:type="spellEnd"/>
      <w:r>
        <w:rPr>
          <w:rFonts w:ascii="Arial" w:eastAsia="Calibri" w:hAnsi="Arial" w:cs="Arial"/>
          <w:sz w:val="20"/>
          <w:szCs w:val="20"/>
        </w:rPr>
        <w:t xml:space="preserve"> of the Specimen was pipetted into a clean, dry test tube and labelled as Blank (B), Standard(S) and Test (T), followed by the addition of 1ml of working reagents. This was mixed well and incubated at 37°C for 5 min. One </w:t>
      </w:r>
      <w:proofErr w:type="spellStart"/>
      <w:r>
        <w:rPr>
          <w:rFonts w:ascii="Arial" w:eastAsia="Calibri" w:hAnsi="Arial" w:cs="Arial"/>
          <w:sz w:val="20"/>
          <w:szCs w:val="20"/>
        </w:rPr>
        <w:t>millilitre</w:t>
      </w:r>
      <w:proofErr w:type="spellEnd"/>
      <w:r>
        <w:rPr>
          <w:rFonts w:ascii="Arial" w:eastAsia="Calibri" w:hAnsi="Arial" w:cs="Arial"/>
          <w:sz w:val="20"/>
          <w:szCs w:val="20"/>
        </w:rPr>
        <w:t xml:space="preserve"> of </w:t>
      </w:r>
      <w:bookmarkStart w:id="11" w:name="_Hlk205650251"/>
      <w:r>
        <w:rPr>
          <w:rFonts w:ascii="Arial" w:eastAsia="Calibri" w:hAnsi="Arial" w:cs="Arial"/>
          <w:sz w:val="20"/>
          <w:szCs w:val="20"/>
        </w:rPr>
        <w:t>chromogen reagent</w:t>
      </w:r>
      <w:bookmarkEnd w:id="11"/>
      <w:r>
        <w:rPr>
          <w:rFonts w:ascii="Arial" w:eastAsia="Calibri" w:hAnsi="Arial" w:cs="Arial"/>
          <w:sz w:val="20"/>
          <w:szCs w:val="20"/>
        </w:rPr>
        <w:t xml:space="preserve"> was added, mixed well and incubated for 5 minutes at 37°C. Absorbance of Standard (</w:t>
      </w:r>
      <w:proofErr w:type="spellStart"/>
      <w:r>
        <w:rPr>
          <w:rFonts w:ascii="Arial" w:eastAsia="Calibri" w:hAnsi="Arial" w:cs="Arial"/>
          <w:sz w:val="20"/>
          <w:szCs w:val="20"/>
        </w:rPr>
        <w:t>Abs.S</w:t>
      </w:r>
      <w:proofErr w:type="spellEnd"/>
      <w:r>
        <w:rPr>
          <w:rFonts w:ascii="Arial" w:eastAsia="Calibri" w:hAnsi="Arial" w:cs="Arial"/>
          <w:sz w:val="20"/>
          <w:szCs w:val="20"/>
        </w:rPr>
        <w:t>) and Test (</w:t>
      </w:r>
      <w:proofErr w:type="spellStart"/>
      <w:r>
        <w:rPr>
          <w:rFonts w:ascii="Arial" w:eastAsia="Calibri" w:hAnsi="Arial" w:cs="Arial"/>
          <w:sz w:val="20"/>
          <w:szCs w:val="20"/>
        </w:rPr>
        <w:t>Abs.T</w:t>
      </w:r>
      <w:proofErr w:type="spellEnd"/>
      <w:r>
        <w:rPr>
          <w:rFonts w:ascii="Arial" w:eastAsia="Calibri" w:hAnsi="Arial" w:cs="Arial"/>
          <w:sz w:val="20"/>
          <w:szCs w:val="20"/>
        </w:rPr>
        <w:t>) were measured against the reagent blank at 600 nm within 60 minutes. Urea concentration was calculated as follows;</w:t>
      </w:r>
    </w:p>
    <w:p w:rsidR="00260A21" w:rsidRDefault="005163B4">
      <w:pPr>
        <w:spacing w:line="480" w:lineRule="auto"/>
        <w:jc w:val="both"/>
        <w:rPr>
          <w:rFonts w:ascii="Arial" w:eastAsia="Calibri" w:hAnsi="Arial" w:cs="Arial"/>
          <w:sz w:val="20"/>
          <w:szCs w:val="20"/>
        </w:rPr>
      </w:pPr>
      <w:r>
        <w:rPr>
          <w:rFonts w:ascii="Arial" w:eastAsia="Calibri" w:hAnsi="Arial" w:cs="Arial"/>
          <w:sz w:val="20"/>
          <w:szCs w:val="20"/>
        </w:rPr>
        <w:t>Urea concentration = Absorbance of test/Absorbance of standard x concentration of standard.</w:t>
      </w:r>
    </w:p>
    <w:p w:rsidR="00260A21" w:rsidRDefault="005163B4">
      <w:pPr>
        <w:rPr>
          <w:rFonts w:ascii="Arial" w:hAnsi="Arial" w:cs="Arial"/>
          <w:b/>
          <w:bCs/>
          <w:sz w:val="20"/>
          <w:szCs w:val="20"/>
        </w:rPr>
      </w:pPr>
      <w:bookmarkStart w:id="12" w:name="_Toc196294662"/>
      <w:r>
        <w:rPr>
          <w:rFonts w:ascii="Arial" w:hAnsi="Arial" w:cs="Arial"/>
          <w:b/>
          <w:bCs/>
          <w:sz w:val="20"/>
          <w:szCs w:val="20"/>
        </w:rPr>
        <w:t>2.3.5.3 Creatinine Estimation</w:t>
      </w:r>
      <w:bookmarkEnd w:id="12"/>
      <w:r>
        <w:rPr>
          <w:rFonts w:ascii="Arial" w:hAnsi="Arial" w:cs="Arial"/>
          <w:b/>
          <w:bCs/>
          <w:sz w:val="20"/>
          <w:szCs w:val="20"/>
        </w:rPr>
        <w:t xml:space="preserve"> </w:t>
      </w:r>
    </w:p>
    <w:p w:rsidR="00260A21" w:rsidRDefault="005163B4">
      <w:pPr>
        <w:spacing w:line="360" w:lineRule="auto"/>
        <w:jc w:val="both"/>
        <w:rPr>
          <w:rFonts w:ascii="Arial" w:eastAsia="Calibri" w:hAnsi="Arial" w:cs="Arial"/>
          <w:sz w:val="20"/>
          <w:szCs w:val="20"/>
        </w:rPr>
      </w:pPr>
      <w:r>
        <w:rPr>
          <w:rFonts w:ascii="Arial" w:eastAsia="Calibri" w:hAnsi="Arial" w:cs="Arial"/>
          <w:sz w:val="20"/>
          <w:szCs w:val="20"/>
        </w:rPr>
        <w:t>Creatinine estimation was done using the Jaffe’s reaction method (</w:t>
      </w:r>
      <w:proofErr w:type="spellStart"/>
      <w:r>
        <w:rPr>
          <w:rFonts w:ascii="Arial" w:eastAsia="Calibri" w:hAnsi="Arial" w:cs="Arial"/>
          <w:sz w:val="20"/>
          <w:szCs w:val="20"/>
        </w:rPr>
        <w:t>Toora</w:t>
      </w:r>
      <w:proofErr w:type="spellEnd"/>
      <w:r>
        <w:rPr>
          <w:rFonts w:ascii="Arial" w:eastAsia="Calibri" w:hAnsi="Arial" w:cs="Arial"/>
          <w:sz w:val="20"/>
          <w:szCs w:val="20"/>
        </w:rPr>
        <w:t xml:space="preserve"> and Rajagopal, 2002). 100 </w:t>
      </w:r>
      <w:proofErr w:type="spellStart"/>
      <w:r>
        <w:rPr>
          <w:rFonts w:ascii="Arial" w:eastAsia="Calibri" w:hAnsi="Arial" w:cs="Arial"/>
          <w:sz w:val="20"/>
          <w:szCs w:val="20"/>
        </w:rPr>
        <w:t>μl</w:t>
      </w:r>
      <w:proofErr w:type="spellEnd"/>
      <w:r>
        <w:rPr>
          <w:rFonts w:ascii="Arial" w:eastAsia="Calibri" w:hAnsi="Arial" w:cs="Arial"/>
          <w:sz w:val="20"/>
          <w:szCs w:val="20"/>
        </w:rPr>
        <w:t xml:space="preserve"> of the Specimen was pipette into a clean dry test tube, followed by the addition of 1ml of working reagent. This was mixed and the initial absorbance was read at 30seconds, followed by a second absorbance reading at 120seconds at 510 nm wavelength. Change in absorbance per minute was calculated as the creatinine concentration using the formula: </w:t>
      </w:r>
    </w:p>
    <w:p w:rsidR="00260A21" w:rsidRDefault="005163B4">
      <w:pPr>
        <w:spacing w:line="360" w:lineRule="auto"/>
        <w:jc w:val="both"/>
        <w:rPr>
          <w:rFonts w:ascii="Arial" w:eastAsia="Calibri" w:hAnsi="Arial" w:cs="Arial"/>
          <w:sz w:val="20"/>
          <w:szCs w:val="20"/>
        </w:rPr>
      </w:pPr>
      <w:r>
        <w:rPr>
          <w:rFonts w:ascii="Arial" w:eastAsia="Calibri" w:hAnsi="Arial" w:cs="Arial"/>
          <w:sz w:val="20"/>
          <w:szCs w:val="20"/>
        </w:rPr>
        <w:t>Concentration of creatinine = Change in absorbance of sample x concentration of standard Change in absorbance of standard.</w:t>
      </w:r>
    </w:p>
    <w:p w:rsidR="00260A21" w:rsidRDefault="005163B4">
      <w:pPr>
        <w:rPr>
          <w:rFonts w:ascii="Arial" w:hAnsi="Arial" w:cs="Arial"/>
          <w:b/>
          <w:bCs/>
          <w:sz w:val="20"/>
          <w:szCs w:val="20"/>
        </w:rPr>
      </w:pPr>
      <w:bookmarkStart w:id="13" w:name="_Toc196294664"/>
      <w:r>
        <w:rPr>
          <w:rFonts w:ascii="Arial" w:hAnsi="Arial" w:cs="Arial"/>
          <w:b/>
          <w:bCs/>
          <w:sz w:val="20"/>
          <w:szCs w:val="20"/>
        </w:rPr>
        <w:t>2.4 Statistical Analysis</w:t>
      </w:r>
      <w:bookmarkEnd w:id="13"/>
    </w:p>
    <w:p w:rsidR="00260A21" w:rsidRDefault="005163B4">
      <w:pPr>
        <w:spacing w:line="360" w:lineRule="auto"/>
        <w:jc w:val="both"/>
        <w:rPr>
          <w:rFonts w:ascii="Arial" w:eastAsia="Times New Roman" w:hAnsi="Arial" w:cs="Arial"/>
          <w:sz w:val="20"/>
          <w:szCs w:val="20"/>
          <w:lang w:val="en-GB"/>
        </w:rPr>
      </w:pPr>
      <w:r>
        <w:rPr>
          <w:rFonts w:ascii="Arial" w:eastAsia="Times New Roman" w:hAnsi="Arial" w:cs="Arial"/>
          <w:sz w:val="20"/>
          <w:szCs w:val="20"/>
          <w:lang w:val="en-GB"/>
        </w:rPr>
        <w:t>The results were expressed as mean ± standard deviation. The statistical evaluation of data was performed using SPSS 7.5 for Windows. Student t-test and ANOVA were carried out on the data, with a value of P&lt;0.05 accepted as significant.</w:t>
      </w:r>
    </w:p>
    <w:p w:rsidR="00260A21" w:rsidRDefault="00260A21">
      <w:pPr>
        <w:spacing w:line="360" w:lineRule="auto"/>
        <w:jc w:val="both"/>
        <w:rPr>
          <w:rFonts w:ascii="Arial" w:eastAsia="Times New Roman" w:hAnsi="Arial" w:cs="Arial"/>
          <w:sz w:val="20"/>
          <w:szCs w:val="20"/>
          <w:lang w:val="en-GB"/>
        </w:rPr>
      </w:pPr>
    </w:p>
    <w:p w:rsidR="00260A21" w:rsidRDefault="00260A21">
      <w:pPr>
        <w:spacing w:line="360" w:lineRule="auto"/>
        <w:jc w:val="both"/>
        <w:rPr>
          <w:rFonts w:ascii="Arial" w:eastAsia="Times New Roman" w:hAnsi="Arial" w:cs="Arial"/>
          <w:sz w:val="20"/>
          <w:szCs w:val="20"/>
          <w:lang w:val="en-GB"/>
        </w:rPr>
      </w:pPr>
    </w:p>
    <w:p w:rsidR="00260A21" w:rsidRDefault="00260A21">
      <w:pPr>
        <w:spacing w:line="360" w:lineRule="auto"/>
        <w:jc w:val="both"/>
        <w:rPr>
          <w:rFonts w:ascii="Arial" w:eastAsia="Times New Roman" w:hAnsi="Arial" w:cs="Arial"/>
          <w:sz w:val="20"/>
          <w:szCs w:val="20"/>
          <w:lang w:val="en-GB"/>
        </w:rPr>
      </w:pPr>
    </w:p>
    <w:p w:rsidR="00260A21" w:rsidRDefault="00260A21">
      <w:pPr>
        <w:spacing w:line="360" w:lineRule="auto"/>
        <w:jc w:val="both"/>
        <w:rPr>
          <w:rFonts w:ascii="Arial" w:eastAsia="Times New Roman" w:hAnsi="Arial" w:cs="Arial"/>
          <w:sz w:val="20"/>
          <w:szCs w:val="20"/>
          <w:lang w:val="en-GB"/>
        </w:rPr>
      </w:pPr>
    </w:p>
    <w:p w:rsidR="00260A21" w:rsidRDefault="00260A21">
      <w:pPr>
        <w:spacing w:line="360" w:lineRule="auto"/>
        <w:jc w:val="both"/>
        <w:rPr>
          <w:rFonts w:ascii="Arial" w:eastAsia="Times New Roman" w:hAnsi="Arial" w:cs="Arial"/>
          <w:sz w:val="20"/>
          <w:szCs w:val="20"/>
          <w:lang w:val="en-GB"/>
        </w:rPr>
      </w:pPr>
    </w:p>
    <w:p w:rsidR="00260A21" w:rsidRDefault="00260A21">
      <w:pPr>
        <w:spacing w:line="360" w:lineRule="auto"/>
        <w:jc w:val="both"/>
        <w:rPr>
          <w:rFonts w:ascii="Arial" w:eastAsia="Times New Roman" w:hAnsi="Arial" w:cs="Arial"/>
          <w:sz w:val="20"/>
          <w:szCs w:val="20"/>
          <w:lang w:val="en-GB"/>
        </w:rPr>
      </w:pPr>
    </w:p>
    <w:p w:rsidR="00260A21" w:rsidRDefault="00260A21">
      <w:pPr>
        <w:spacing w:line="360" w:lineRule="auto"/>
        <w:jc w:val="both"/>
        <w:rPr>
          <w:rFonts w:ascii="Arial" w:eastAsia="Times New Roman" w:hAnsi="Arial" w:cs="Arial"/>
          <w:sz w:val="20"/>
          <w:szCs w:val="20"/>
          <w:lang w:val="en-GB"/>
        </w:rPr>
      </w:pPr>
    </w:p>
    <w:p w:rsidR="00260A21" w:rsidRDefault="00260A21">
      <w:pPr>
        <w:spacing w:line="360" w:lineRule="auto"/>
        <w:jc w:val="both"/>
        <w:rPr>
          <w:rFonts w:ascii="Arial" w:eastAsia="Times New Roman" w:hAnsi="Arial" w:cs="Arial"/>
          <w:sz w:val="20"/>
          <w:szCs w:val="20"/>
          <w:lang w:val="en-GB"/>
        </w:rPr>
      </w:pPr>
    </w:p>
    <w:p w:rsidR="00260A21" w:rsidRDefault="00260A21">
      <w:pPr>
        <w:spacing w:line="360" w:lineRule="auto"/>
        <w:jc w:val="both"/>
        <w:rPr>
          <w:rFonts w:ascii="Arial" w:eastAsia="Times New Roman" w:hAnsi="Arial" w:cs="Arial"/>
          <w:sz w:val="20"/>
          <w:szCs w:val="20"/>
          <w:lang w:val="en-GB"/>
        </w:rPr>
      </w:pPr>
    </w:p>
    <w:p w:rsidR="00260A21" w:rsidRDefault="00260A21">
      <w:pPr>
        <w:spacing w:line="360" w:lineRule="auto"/>
        <w:jc w:val="both"/>
        <w:rPr>
          <w:rFonts w:ascii="Arial" w:eastAsia="Times New Roman" w:hAnsi="Arial" w:cs="Arial"/>
          <w:sz w:val="20"/>
          <w:szCs w:val="20"/>
          <w:lang w:val="en-GB"/>
        </w:rPr>
      </w:pPr>
    </w:p>
    <w:p w:rsidR="00260A21" w:rsidRDefault="00260A21">
      <w:pPr>
        <w:spacing w:line="360" w:lineRule="auto"/>
        <w:jc w:val="both"/>
        <w:rPr>
          <w:rFonts w:ascii="Arial" w:eastAsia="Times New Roman" w:hAnsi="Arial" w:cs="Arial"/>
          <w:sz w:val="20"/>
          <w:szCs w:val="20"/>
          <w:lang w:val="en-GB"/>
        </w:rPr>
      </w:pPr>
    </w:p>
    <w:p w:rsidR="00260A21" w:rsidRDefault="00260A21">
      <w:pPr>
        <w:spacing w:line="360" w:lineRule="auto"/>
        <w:jc w:val="both"/>
        <w:rPr>
          <w:rFonts w:ascii="Arial" w:eastAsia="Times New Roman" w:hAnsi="Arial" w:cs="Arial"/>
          <w:sz w:val="20"/>
          <w:szCs w:val="20"/>
          <w:lang w:val="en-GB"/>
        </w:rPr>
      </w:pPr>
    </w:p>
    <w:p w:rsidR="00260A21" w:rsidRDefault="00260A21">
      <w:pPr>
        <w:spacing w:line="360" w:lineRule="auto"/>
        <w:jc w:val="both"/>
        <w:rPr>
          <w:rFonts w:ascii="Arial" w:eastAsia="Times New Roman" w:hAnsi="Arial" w:cs="Arial"/>
          <w:sz w:val="20"/>
          <w:szCs w:val="20"/>
          <w:lang w:val="en-GB"/>
        </w:rPr>
      </w:pPr>
    </w:p>
    <w:p w:rsidR="00260A21" w:rsidRDefault="00260A21">
      <w:pPr>
        <w:spacing w:line="360" w:lineRule="auto"/>
        <w:jc w:val="both"/>
        <w:rPr>
          <w:rFonts w:ascii="Arial" w:eastAsia="Times New Roman" w:hAnsi="Arial" w:cs="Arial"/>
          <w:sz w:val="20"/>
          <w:szCs w:val="20"/>
          <w:lang w:val="en-GB"/>
        </w:rPr>
      </w:pPr>
    </w:p>
    <w:p w:rsidR="00260A21" w:rsidRDefault="00260A21">
      <w:pPr>
        <w:spacing w:line="360" w:lineRule="auto"/>
        <w:jc w:val="both"/>
        <w:rPr>
          <w:rFonts w:ascii="Arial" w:eastAsia="Times New Roman" w:hAnsi="Arial" w:cs="Arial"/>
          <w:sz w:val="20"/>
          <w:szCs w:val="20"/>
          <w:lang w:val="en-GB"/>
        </w:rPr>
      </w:pPr>
    </w:p>
    <w:p w:rsidR="00260A21" w:rsidRDefault="00260A21">
      <w:pPr>
        <w:spacing w:line="360" w:lineRule="auto"/>
        <w:jc w:val="both"/>
        <w:rPr>
          <w:rFonts w:ascii="Arial" w:eastAsia="Times New Roman" w:hAnsi="Arial" w:cs="Arial"/>
          <w:sz w:val="20"/>
          <w:szCs w:val="20"/>
          <w:lang w:val="en-GB"/>
        </w:rPr>
      </w:pPr>
    </w:p>
    <w:p w:rsidR="00260A21" w:rsidRDefault="00260A21">
      <w:pPr>
        <w:spacing w:line="360" w:lineRule="auto"/>
        <w:jc w:val="both"/>
        <w:rPr>
          <w:rFonts w:ascii="Arial" w:eastAsia="Times New Roman" w:hAnsi="Arial" w:cs="Arial"/>
          <w:sz w:val="20"/>
          <w:szCs w:val="20"/>
          <w:lang w:val="en-GB"/>
        </w:rPr>
      </w:pPr>
    </w:p>
    <w:p w:rsidR="00260A21" w:rsidRDefault="00260A21">
      <w:pPr>
        <w:spacing w:line="360" w:lineRule="auto"/>
        <w:jc w:val="both"/>
        <w:rPr>
          <w:rFonts w:ascii="Arial" w:eastAsia="Times New Roman" w:hAnsi="Arial" w:cs="Arial"/>
          <w:sz w:val="20"/>
          <w:szCs w:val="20"/>
          <w:lang w:val="en-GB"/>
        </w:rPr>
      </w:pPr>
    </w:p>
    <w:p w:rsidR="00260A21" w:rsidRDefault="00260A21">
      <w:pPr>
        <w:spacing w:line="360" w:lineRule="auto"/>
        <w:jc w:val="both"/>
        <w:rPr>
          <w:rFonts w:ascii="Arial" w:eastAsia="Times New Roman" w:hAnsi="Arial" w:cs="Arial"/>
          <w:sz w:val="20"/>
          <w:szCs w:val="20"/>
          <w:lang w:val="en-GB"/>
        </w:rPr>
      </w:pPr>
    </w:p>
    <w:p w:rsidR="00260A21" w:rsidRDefault="00260A21">
      <w:pPr>
        <w:spacing w:line="360" w:lineRule="auto"/>
        <w:jc w:val="both"/>
        <w:rPr>
          <w:rFonts w:ascii="Arial" w:eastAsia="Times New Roman" w:hAnsi="Arial" w:cs="Arial"/>
          <w:sz w:val="20"/>
          <w:szCs w:val="20"/>
          <w:lang w:val="en-GB"/>
        </w:rPr>
      </w:pPr>
    </w:p>
    <w:p w:rsidR="00260A21" w:rsidRDefault="005163B4">
      <w:pPr>
        <w:spacing w:line="240" w:lineRule="auto"/>
        <w:jc w:val="both"/>
        <w:rPr>
          <w:rFonts w:ascii="Arial" w:hAnsi="Arial" w:cs="Arial"/>
          <w:b/>
          <w:bCs/>
        </w:rPr>
      </w:pPr>
      <w:r>
        <w:rPr>
          <w:rFonts w:ascii="Arial" w:hAnsi="Arial" w:cs="Arial"/>
          <w:b/>
          <w:bCs/>
        </w:rPr>
        <w:t>3.0 RESULTS</w:t>
      </w:r>
    </w:p>
    <w:p w:rsidR="00260A21" w:rsidRDefault="005163B4">
      <w:pPr>
        <w:spacing w:line="480" w:lineRule="auto"/>
        <w:jc w:val="both"/>
        <w:rPr>
          <w:rFonts w:ascii="Arial" w:hAnsi="Arial" w:cs="Arial"/>
          <w:b/>
          <w:bCs/>
        </w:rPr>
      </w:pPr>
      <w:r>
        <w:rPr>
          <w:rFonts w:ascii="Arial" w:hAnsi="Arial" w:cs="Arial"/>
          <w:sz w:val="20"/>
          <w:szCs w:val="20"/>
        </w:rPr>
        <w:t xml:space="preserve">The results in Table </w:t>
      </w:r>
      <w:r w:rsidR="009E7614">
        <w:rPr>
          <w:rFonts w:ascii="Arial" w:hAnsi="Arial" w:cs="Arial"/>
          <w:sz w:val="20"/>
          <w:szCs w:val="20"/>
        </w:rPr>
        <w:t>2</w:t>
      </w:r>
      <w:r>
        <w:rPr>
          <w:rFonts w:ascii="Arial" w:hAnsi="Arial" w:cs="Arial"/>
          <w:sz w:val="20"/>
          <w:szCs w:val="20"/>
        </w:rPr>
        <w:t xml:space="preserve"> show that the negative control group exhibited the highest levels of liver enzymes (ALT, AST, and ALP) compared to the control, indicating hepatic stress or damage due to BPH induction. Treatment with Finasteride and the different extracts of </w:t>
      </w:r>
      <w:proofErr w:type="spellStart"/>
      <w:r>
        <w:rPr>
          <w:rFonts w:ascii="Arial" w:hAnsi="Arial" w:cs="Arial"/>
          <w:i/>
          <w:iCs/>
          <w:sz w:val="20"/>
          <w:szCs w:val="20"/>
        </w:rPr>
        <w:t>Artocarpus</w:t>
      </w:r>
      <w:proofErr w:type="spellEnd"/>
      <w:r>
        <w:rPr>
          <w:rFonts w:ascii="Arial" w:hAnsi="Arial" w:cs="Arial"/>
          <w:i/>
          <w:iCs/>
          <w:sz w:val="20"/>
          <w:szCs w:val="20"/>
        </w:rPr>
        <w:t xml:space="preserve"> </w:t>
      </w:r>
      <w:proofErr w:type="spellStart"/>
      <w:r>
        <w:rPr>
          <w:rFonts w:ascii="Arial" w:hAnsi="Arial" w:cs="Arial"/>
          <w:i/>
          <w:iCs/>
          <w:sz w:val="20"/>
          <w:szCs w:val="20"/>
        </w:rPr>
        <w:t>heterophyllus</w:t>
      </w:r>
      <w:proofErr w:type="spellEnd"/>
      <w:r>
        <w:rPr>
          <w:rFonts w:ascii="Arial" w:hAnsi="Arial" w:cs="Arial"/>
          <w:sz w:val="20"/>
          <w:szCs w:val="20"/>
        </w:rPr>
        <w:t xml:space="preserve"> (leaf, stem bark, and pulp) resulted in a general reduction in enzyme levels, suggesting recovery of liver function. Among the treated groups, the stem bark extract at 500 mg/kg showed enzyme values (ALT: 15.16 ± 0.22, AST: 12.88 ± 0.15, ALP: 129.30 ± 0.94) closest to the control group, indicating strong hepatoprotective potential. The leaf and pulp </w:t>
      </w:r>
      <w:proofErr w:type="gramStart"/>
      <w:r>
        <w:rPr>
          <w:rFonts w:ascii="Arial" w:hAnsi="Arial" w:cs="Arial"/>
          <w:sz w:val="20"/>
          <w:szCs w:val="20"/>
        </w:rPr>
        <w:t>extracts</w:t>
      </w:r>
      <w:proofErr w:type="gramEnd"/>
      <w:r>
        <w:rPr>
          <w:rFonts w:ascii="Arial" w:hAnsi="Arial" w:cs="Arial"/>
          <w:sz w:val="20"/>
          <w:szCs w:val="20"/>
        </w:rPr>
        <w:t xml:space="preserve"> also showed moderate reductions in enzyme levels compared to the negative control, demonstrating dose-dependent improvements. LDH levels fluctuated across treatments, with higher values in the 500 mg/kg leaf and stem bark groups, possibly indicating increased metabolic activity.</w:t>
      </w:r>
    </w:p>
    <w:p w:rsidR="00260A21" w:rsidRDefault="00260A21">
      <w:pPr>
        <w:spacing w:line="240" w:lineRule="auto"/>
        <w:jc w:val="both"/>
        <w:rPr>
          <w:rFonts w:ascii="Arial" w:hAnsi="Arial" w:cs="Arial"/>
          <w:b/>
          <w:bCs/>
          <w:sz w:val="20"/>
          <w:szCs w:val="20"/>
        </w:rPr>
      </w:pPr>
    </w:p>
    <w:p w:rsidR="00260A21" w:rsidRDefault="00260A21">
      <w:pPr>
        <w:spacing w:line="240" w:lineRule="auto"/>
        <w:jc w:val="both"/>
        <w:rPr>
          <w:rFonts w:ascii="Arial" w:hAnsi="Arial" w:cs="Arial"/>
          <w:b/>
          <w:bCs/>
          <w:sz w:val="20"/>
          <w:szCs w:val="20"/>
        </w:rPr>
      </w:pPr>
    </w:p>
    <w:p w:rsidR="00260A21" w:rsidRDefault="00260A21">
      <w:pPr>
        <w:spacing w:line="240" w:lineRule="auto"/>
        <w:jc w:val="both"/>
        <w:rPr>
          <w:rFonts w:ascii="Arial" w:hAnsi="Arial" w:cs="Arial"/>
          <w:b/>
          <w:bCs/>
          <w:sz w:val="20"/>
          <w:szCs w:val="20"/>
        </w:rPr>
      </w:pPr>
    </w:p>
    <w:p w:rsidR="00260A21" w:rsidRDefault="00260A21">
      <w:pPr>
        <w:spacing w:line="240" w:lineRule="auto"/>
        <w:jc w:val="both"/>
        <w:rPr>
          <w:rFonts w:ascii="Arial" w:hAnsi="Arial" w:cs="Arial"/>
          <w:b/>
          <w:bCs/>
          <w:sz w:val="20"/>
          <w:szCs w:val="20"/>
        </w:rPr>
      </w:pPr>
    </w:p>
    <w:p w:rsidR="00260A21" w:rsidRDefault="00260A21">
      <w:pPr>
        <w:spacing w:line="240" w:lineRule="auto"/>
        <w:jc w:val="both"/>
        <w:rPr>
          <w:rFonts w:ascii="Arial" w:hAnsi="Arial" w:cs="Arial"/>
          <w:b/>
          <w:bCs/>
          <w:sz w:val="20"/>
          <w:szCs w:val="20"/>
        </w:rPr>
      </w:pPr>
    </w:p>
    <w:p w:rsidR="00260A21" w:rsidRDefault="00260A21">
      <w:pPr>
        <w:spacing w:line="240" w:lineRule="auto"/>
        <w:jc w:val="both"/>
        <w:rPr>
          <w:rFonts w:ascii="Arial" w:hAnsi="Arial" w:cs="Arial"/>
          <w:b/>
          <w:bCs/>
          <w:sz w:val="20"/>
          <w:szCs w:val="20"/>
        </w:rPr>
      </w:pPr>
    </w:p>
    <w:p w:rsidR="00260A21" w:rsidRDefault="00260A21">
      <w:pPr>
        <w:spacing w:line="240" w:lineRule="auto"/>
        <w:jc w:val="both"/>
        <w:rPr>
          <w:rFonts w:ascii="Arial" w:hAnsi="Arial" w:cs="Arial"/>
          <w:b/>
          <w:bCs/>
          <w:sz w:val="20"/>
          <w:szCs w:val="20"/>
        </w:rPr>
      </w:pPr>
    </w:p>
    <w:p w:rsidR="00260A21" w:rsidRDefault="00260A21">
      <w:pPr>
        <w:spacing w:line="240" w:lineRule="auto"/>
        <w:jc w:val="both"/>
        <w:rPr>
          <w:rFonts w:ascii="Arial" w:hAnsi="Arial" w:cs="Arial"/>
          <w:b/>
          <w:bCs/>
          <w:sz w:val="20"/>
          <w:szCs w:val="20"/>
        </w:rPr>
      </w:pPr>
    </w:p>
    <w:p w:rsidR="00260A21" w:rsidRDefault="00260A21">
      <w:pPr>
        <w:spacing w:line="240" w:lineRule="auto"/>
        <w:jc w:val="both"/>
        <w:rPr>
          <w:rFonts w:ascii="Arial" w:hAnsi="Arial" w:cs="Arial"/>
          <w:b/>
          <w:bCs/>
          <w:sz w:val="20"/>
          <w:szCs w:val="20"/>
        </w:rPr>
      </w:pPr>
    </w:p>
    <w:p w:rsidR="00260A21" w:rsidRDefault="00260A21">
      <w:pPr>
        <w:spacing w:line="240" w:lineRule="auto"/>
        <w:jc w:val="both"/>
        <w:rPr>
          <w:rFonts w:ascii="Arial" w:hAnsi="Arial" w:cs="Arial"/>
          <w:b/>
          <w:bCs/>
          <w:sz w:val="20"/>
          <w:szCs w:val="20"/>
        </w:rPr>
      </w:pPr>
    </w:p>
    <w:p w:rsidR="00260A21" w:rsidRDefault="00260A21">
      <w:pPr>
        <w:spacing w:line="240" w:lineRule="auto"/>
        <w:jc w:val="both"/>
        <w:rPr>
          <w:rFonts w:ascii="Arial" w:hAnsi="Arial" w:cs="Arial"/>
          <w:b/>
          <w:bCs/>
          <w:sz w:val="20"/>
          <w:szCs w:val="20"/>
        </w:rPr>
      </w:pPr>
    </w:p>
    <w:p w:rsidR="00260A21" w:rsidRDefault="00260A21">
      <w:pPr>
        <w:spacing w:line="240" w:lineRule="auto"/>
        <w:jc w:val="both"/>
        <w:rPr>
          <w:rFonts w:ascii="Arial" w:hAnsi="Arial" w:cs="Arial"/>
          <w:b/>
          <w:bCs/>
          <w:sz w:val="20"/>
          <w:szCs w:val="20"/>
        </w:rPr>
      </w:pPr>
    </w:p>
    <w:p w:rsidR="00260A21" w:rsidRDefault="00260A21">
      <w:pPr>
        <w:spacing w:line="240" w:lineRule="auto"/>
        <w:jc w:val="both"/>
        <w:rPr>
          <w:rFonts w:ascii="Arial" w:hAnsi="Arial" w:cs="Arial"/>
          <w:b/>
          <w:bCs/>
          <w:sz w:val="20"/>
          <w:szCs w:val="20"/>
        </w:rPr>
      </w:pPr>
    </w:p>
    <w:p w:rsidR="00260A21" w:rsidRDefault="00260A21">
      <w:pPr>
        <w:spacing w:line="240" w:lineRule="auto"/>
        <w:jc w:val="both"/>
        <w:rPr>
          <w:rFonts w:ascii="Arial" w:hAnsi="Arial" w:cs="Arial"/>
          <w:b/>
          <w:bCs/>
          <w:sz w:val="20"/>
          <w:szCs w:val="20"/>
        </w:rPr>
      </w:pPr>
    </w:p>
    <w:p w:rsidR="00260A21" w:rsidRDefault="00260A21">
      <w:pPr>
        <w:spacing w:line="240" w:lineRule="auto"/>
        <w:jc w:val="both"/>
        <w:rPr>
          <w:rFonts w:ascii="Arial" w:hAnsi="Arial" w:cs="Arial"/>
          <w:b/>
          <w:bCs/>
          <w:sz w:val="20"/>
          <w:szCs w:val="20"/>
        </w:rPr>
      </w:pPr>
    </w:p>
    <w:p w:rsidR="00260A21" w:rsidRDefault="00260A21">
      <w:pPr>
        <w:spacing w:line="240" w:lineRule="auto"/>
        <w:jc w:val="both"/>
        <w:rPr>
          <w:rFonts w:ascii="Arial" w:hAnsi="Arial" w:cs="Arial"/>
          <w:b/>
          <w:bCs/>
          <w:sz w:val="20"/>
          <w:szCs w:val="20"/>
        </w:rPr>
      </w:pPr>
    </w:p>
    <w:p w:rsidR="00260A21" w:rsidRDefault="00260A21">
      <w:pPr>
        <w:spacing w:line="240" w:lineRule="auto"/>
        <w:jc w:val="both"/>
        <w:rPr>
          <w:rFonts w:ascii="Arial" w:hAnsi="Arial" w:cs="Arial"/>
          <w:b/>
          <w:bCs/>
          <w:sz w:val="20"/>
          <w:szCs w:val="20"/>
        </w:rPr>
      </w:pPr>
    </w:p>
    <w:p w:rsidR="00260A21" w:rsidRDefault="00260A21">
      <w:pPr>
        <w:spacing w:line="240" w:lineRule="auto"/>
        <w:jc w:val="both"/>
        <w:rPr>
          <w:rFonts w:ascii="Arial" w:hAnsi="Arial" w:cs="Arial"/>
          <w:b/>
          <w:bCs/>
          <w:sz w:val="20"/>
          <w:szCs w:val="20"/>
        </w:rPr>
      </w:pPr>
    </w:p>
    <w:p w:rsidR="00260A21" w:rsidRDefault="00260A21">
      <w:pPr>
        <w:spacing w:line="240" w:lineRule="auto"/>
        <w:jc w:val="both"/>
        <w:rPr>
          <w:rFonts w:ascii="Arial" w:hAnsi="Arial" w:cs="Arial"/>
          <w:b/>
          <w:bCs/>
          <w:sz w:val="20"/>
          <w:szCs w:val="20"/>
        </w:rPr>
      </w:pPr>
    </w:p>
    <w:p w:rsidR="00260A21" w:rsidRDefault="00260A21">
      <w:pPr>
        <w:spacing w:line="240" w:lineRule="auto"/>
        <w:jc w:val="both"/>
        <w:rPr>
          <w:rFonts w:ascii="Arial" w:hAnsi="Arial" w:cs="Arial"/>
          <w:b/>
          <w:bCs/>
          <w:sz w:val="20"/>
          <w:szCs w:val="20"/>
        </w:rPr>
      </w:pPr>
    </w:p>
    <w:p w:rsidR="00260A21" w:rsidRDefault="005163B4">
      <w:pPr>
        <w:spacing w:line="240" w:lineRule="auto"/>
        <w:jc w:val="both"/>
        <w:rPr>
          <w:rFonts w:ascii="Arial" w:hAnsi="Arial" w:cs="Arial"/>
          <w:b/>
          <w:bCs/>
          <w:sz w:val="20"/>
          <w:szCs w:val="20"/>
        </w:rPr>
      </w:pPr>
      <w:r>
        <w:rPr>
          <w:rFonts w:ascii="Arial" w:hAnsi="Arial" w:cs="Arial"/>
          <w:b/>
          <w:bCs/>
          <w:sz w:val="20"/>
          <w:szCs w:val="20"/>
        </w:rPr>
        <w:t xml:space="preserve">Table </w:t>
      </w:r>
      <w:r w:rsidR="003E49BD">
        <w:rPr>
          <w:rFonts w:ascii="Arial" w:hAnsi="Arial" w:cs="Arial"/>
          <w:b/>
          <w:bCs/>
          <w:sz w:val="20"/>
          <w:szCs w:val="20"/>
        </w:rPr>
        <w:t>2</w:t>
      </w:r>
      <w:r>
        <w:rPr>
          <w:rFonts w:ascii="Arial" w:hAnsi="Arial" w:cs="Arial"/>
          <w:b/>
          <w:bCs/>
          <w:sz w:val="20"/>
          <w:szCs w:val="20"/>
        </w:rPr>
        <w:t>. Results showing the effect of oral treatments on the liver enzymes in the experimental rats.</w:t>
      </w:r>
    </w:p>
    <w:tbl>
      <w:tblPr>
        <w:tblStyle w:val="ListTable21"/>
        <w:tblW w:w="0" w:type="auto"/>
        <w:tblLook w:val="04A0" w:firstRow="1" w:lastRow="0" w:firstColumn="1" w:lastColumn="0" w:noHBand="0" w:noVBand="1"/>
      </w:tblPr>
      <w:tblGrid>
        <w:gridCol w:w="1975"/>
        <w:gridCol w:w="1799"/>
        <w:gridCol w:w="1796"/>
        <w:gridCol w:w="1798"/>
        <w:gridCol w:w="1897"/>
      </w:tblGrid>
      <w:tr w:rsidR="00260A21" w:rsidTr="00260A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vMerge w:val="restart"/>
            <w:tcBorders>
              <w:top w:val="single" w:sz="18" w:space="0" w:color="auto"/>
            </w:tcBorders>
            <w:shd w:val="clear" w:color="auto" w:fill="auto"/>
          </w:tcPr>
          <w:p w:rsidR="00260A21" w:rsidRDefault="005163B4">
            <w:pPr>
              <w:spacing w:line="240" w:lineRule="auto"/>
              <w:jc w:val="both"/>
              <w:rPr>
                <w:rFonts w:ascii="Arial" w:hAnsi="Arial" w:cs="Arial"/>
                <w:b w:val="0"/>
                <w:sz w:val="20"/>
                <w:szCs w:val="20"/>
              </w:rPr>
            </w:pPr>
            <w:r>
              <w:rPr>
                <w:rFonts w:ascii="Arial" w:hAnsi="Arial" w:cs="Arial"/>
                <w:sz w:val="20"/>
                <w:szCs w:val="20"/>
              </w:rPr>
              <w:t>Treatment</w:t>
            </w:r>
          </w:p>
        </w:tc>
        <w:tc>
          <w:tcPr>
            <w:tcW w:w="7290" w:type="dxa"/>
            <w:gridSpan w:val="4"/>
            <w:tcBorders>
              <w:top w:val="single" w:sz="18" w:space="0" w:color="auto"/>
              <w:bottom w:val="single" w:sz="18" w:space="0" w:color="auto"/>
            </w:tcBorders>
            <w:shd w:val="clear" w:color="auto" w:fill="auto"/>
          </w:tcPr>
          <w:p w:rsidR="00260A21" w:rsidRDefault="005163B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Pr>
                <w:rFonts w:ascii="Arial" w:hAnsi="Arial" w:cs="Arial"/>
                <w:sz w:val="20"/>
                <w:szCs w:val="20"/>
              </w:rPr>
              <w:t>Liver Enzymes</w:t>
            </w:r>
          </w:p>
        </w:tc>
      </w:tr>
      <w:tr w:rsidR="00260A21" w:rsidTr="00260A21">
        <w:tc>
          <w:tcPr>
            <w:cnfStyle w:val="001000000000" w:firstRow="0" w:lastRow="0" w:firstColumn="1" w:lastColumn="0" w:oddVBand="0" w:evenVBand="0" w:oddHBand="0" w:evenHBand="0" w:firstRowFirstColumn="0" w:firstRowLastColumn="0" w:lastRowFirstColumn="0" w:lastRowLastColumn="0"/>
            <w:tcW w:w="1975" w:type="dxa"/>
            <w:vMerge/>
            <w:tcBorders>
              <w:bottom w:val="single" w:sz="18" w:space="0" w:color="auto"/>
            </w:tcBorders>
            <w:shd w:val="clear" w:color="auto" w:fill="auto"/>
          </w:tcPr>
          <w:p w:rsidR="00260A21" w:rsidRDefault="00260A21">
            <w:pPr>
              <w:spacing w:line="240" w:lineRule="auto"/>
              <w:jc w:val="both"/>
              <w:rPr>
                <w:rFonts w:ascii="Arial" w:hAnsi="Arial" w:cs="Arial"/>
                <w:b w:val="0"/>
                <w:sz w:val="20"/>
                <w:szCs w:val="20"/>
              </w:rPr>
            </w:pPr>
          </w:p>
        </w:tc>
        <w:tc>
          <w:tcPr>
            <w:tcW w:w="1799" w:type="dxa"/>
            <w:tcBorders>
              <w:top w:val="single" w:sz="18" w:space="0" w:color="auto"/>
              <w:bottom w:val="single" w:sz="18" w:space="0" w:color="auto"/>
            </w:tcBorders>
          </w:tcPr>
          <w:p w:rsidR="00260A21" w:rsidRDefault="005163B4">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ALT</w:t>
            </w:r>
          </w:p>
        </w:tc>
        <w:tc>
          <w:tcPr>
            <w:tcW w:w="1796" w:type="dxa"/>
            <w:tcBorders>
              <w:top w:val="single" w:sz="18" w:space="0" w:color="auto"/>
              <w:bottom w:val="single" w:sz="18" w:space="0" w:color="auto"/>
            </w:tcBorders>
            <w:shd w:val="clear" w:color="auto" w:fill="auto"/>
          </w:tcPr>
          <w:p w:rsidR="00260A21" w:rsidRDefault="005163B4">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AST</w:t>
            </w:r>
          </w:p>
        </w:tc>
        <w:tc>
          <w:tcPr>
            <w:tcW w:w="1798" w:type="dxa"/>
            <w:tcBorders>
              <w:top w:val="single" w:sz="18" w:space="0" w:color="auto"/>
              <w:bottom w:val="single" w:sz="18" w:space="0" w:color="auto"/>
            </w:tcBorders>
          </w:tcPr>
          <w:p w:rsidR="00260A21" w:rsidRDefault="005163B4">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ALP</w:t>
            </w:r>
          </w:p>
        </w:tc>
        <w:tc>
          <w:tcPr>
            <w:tcW w:w="1897" w:type="dxa"/>
            <w:tcBorders>
              <w:top w:val="single" w:sz="18" w:space="0" w:color="auto"/>
              <w:bottom w:val="single" w:sz="18" w:space="0" w:color="auto"/>
            </w:tcBorders>
            <w:shd w:val="clear" w:color="auto" w:fill="auto"/>
          </w:tcPr>
          <w:p w:rsidR="00260A21" w:rsidRDefault="005163B4">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LDH</w:t>
            </w:r>
          </w:p>
        </w:tc>
      </w:tr>
      <w:tr w:rsidR="00260A21" w:rsidTr="00260A21">
        <w:tc>
          <w:tcPr>
            <w:cnfStyle w:val="001000000000" w:firstRow="0" w:lastRow="0" w:firstColumn="1" w:lastColumn="0" w:oddVBand="0" w:evenVBand="0" w:oddHBand="0" w:evenHBand="0" w:firstRowFirstColumn="0" w:firstRowLastColumn="0" w:lastRowFirstColumn="0" w:lastRowLastColumn="0"/>
            <w:tcW w:w="1975" w:type="dxa"/>
            <w:tcBorders>
              <w:top w:val="single" w:sz="18" w:space="0" w:color="auto"/>
            </w:tcBorders>
            <w:shd w:val="clear" w:color="auto" w:fill="auto"/>
          </w:tcPr>
          <w:p w:rsidR="00260A21" w:rsidRDefault="005163B4">
            <w:pPr>
              <w:spacing w:line="360" w:lineRule="auto"/>
              <w:jc w:val="center"/>
              <w:rPr>
                <w:rFonts w:ascii="Arial" w:hAnsi="Arial" w:cs="Arial"/>
                <w:sz w:val="20"/>
                <w:szCs w:val="20"/>
              </w:rPr>
            </w:pPr>
            <w:r>
              <w:rPr>
                <w:rFonts w:ascii="Arial" w:hAnsi="Arial" w:cs="Arial"/>
                <w:sz w:val="20"/>
                <w:szCs w:val="20"/>
              </w:rPr>
              <w:t>Control</w:t>
            </w:r>
          </w:p>
        </w:tc>
        <w:tc>
          <w:tcPr>
            <w:tcW w:w="1799" w:type="dxa"/>
            <w:tcBorders>
              <w:top w:val="single" w:sz="18" w:space="0" w:color="auto"/>
            </w:tcBorders>
            <w:shd w:val="clear" w:color="auto" w:fill="auto"/>
          </w:tcPr>
          <w:p w:rsidR="00260A21" w:rsidRDefault="005163B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15.14 ± 0.30</w:t>
            </w:r>
            <w:r>
              <w:rPr>
                <w:rFonts w:ascii="Arial" w:hAnsi="Arial" w:cs="Arial"/>
                <w:sz w:val="20"/>
                <w:szCs w:val="20"/>
                <w:vertAlign w:val="superscript"/>
              </w:rPr>
              <w:t>a</w:t>
            </w:r>
          </w:p>
        </w:tc>
        <w:tc>
          <w:tcPr>
            <w:tcW w:w="1796" w:type="dxa"/>
            <w:tcBorders>
              <w:top w:val="single" w:sz="18" w:space="0" w:color="auto"/>
            </w:tcBorders>
            <w:shd w:val="clear" w:color="auto" w:fill="auto"/>
          </w:tcPr>
          <w:p w:rsidR="00260A21" w:rsidRDefault="005163B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13.15 ± 1.05</w:t>
            </w:r>
            <w:r>
              <w:rPr>
                <w:rFonts w:ascii="Arial" w:hAnsi="Arial" w:cs="Arial"/>
                <w:sz w:val="20"/>
                <w:szCs w:val="20"/>
                <w:vertAlign w:val="superscript"/>
              </w:rPr>
              <w:t>a</w:t>
            </w:r>
          </w:p>
        </w:tc>
        <w:tc>
          <w:tcPr>
            <w:tcW w:w="1798" w:type="dxa"/>
            <w:tcBorders>
              <w:top w:val="single" w:sz="18" w:space="0" w:color="auto"/>
            </w:tcBorders>
            <w:shd w:val="clear" w:color="auto" w:fill="auto"/>
          </w:tcPr>
          <w:p w:rsidR="00260A21" w:rsidRDefault="005163B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138.60 ± 6.97</w:t>
            </w:r>
            <w:r>
              <w:rPr>
                <w:rFonts w:ascii="Arial" w:hAnsi="Arial" w:cs="Arial"/>
                <w:sz w:val="20"/>
                <w:szCs w:val="20"/>
                <w:vertAlign w:val="superscript"/>
              </w:rPr>
              <w:t>a</w:t>
            </w:r>
          </w:p>
        </w:tc>
        <w:tc>
          <w:tcPr>
            <w:tcW w:w="1897" w:type="dxa"/>
            <w:tcBorders>
              <w:top w:val="single" w:sz="18" w:space="0" w:color="auto"/>
            </w:tcBorders>
            <w:shd w:val="clear" w:color="auto" w:fill="auto"/>
          </w:tcPr>
          <w:p w:rsidR="00260A21" w:rsidRDefault="005163B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136.40 ± 4.35</w:t>
            </w:r>
            <w:r>
              <w:rPr>
                <w:rFonts w:ascii="Arial" w:hAnsi="Arial" w:cs="Arial"/>
                <w:sz w:val="20"/>
                <w:szCs w:val="20"/>
                <w:vertAlign w:val="superscript"/>
              </w:rPr>
              <w:t>a</w:t>
            </w:r>
          </w:p>
        </w:tc>
      </w:tr>
      <w:tr w:rsidR="00260A21" w:rsidTr="00260A21">
        <w:tc>
          <w:tcPr>
            <w:cnfStyle w:val="001000000000" w:firstRow="0" w:lastRow="0" w:firstColumn="1" w:lastColumn="0" w:oddVBand="0" w:evenVBand="0" w:oddHBand="0" w:evenHBand="0" w:firstRowFirstColumn="0" w:firstRowLastColumn="0" w:lastRowFirstColumn="0" w:lastRowLastColumn="0"/>
            <w:tcW w:w="1975" w:type="dxa"/>
            <w:shd w:val="clear" w:color="auto" w:fill="auto"/>
          </w:tcPr>
          <w:p w:rsidR="00260A21" w:rsidRDefault="005163B4">
            <w:pPr>
              <w:spacing w:line="360" w:lineRule="auto"/>
              <w:jc w:val="center"/>
              <w:rPr>
                <w:rFonts w:ascii="Arial" w:hAnsi="Arial" w:cs="Arial"/>
                <w:sz w:val="20"/>
                <w:szCs w:val="20"/>
              </w:rPr>
            </w:pPr>
            <w:r>
              <w:rPr>
                <w:rFonts w:ascii="Arial" w:hAnsi="Arial" w:cs="Arial"/>
                <w:sz w:val="20"/>
                <w:szCs w:val="20"/>
              </w:rPr>
              <w:t>Negative control</w:t>
            </w:r>
          </w:p>
        </w:tc>
        <w:tc>
          <w:tcPr>
            <w:tcW w:w="1799" w:type="dxa"/>
          </w:tcPr>
          <w:p w:rsidR="00260A21" w:rsidRDefault="005163B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22.67 ± 0.62</w:t>
            </w:r>
            <w:r>
              <w:rPr>
                <w:rFonts w:ascii="Arial" w:hAnsi="Arial" w:cs="Arial"/>
                <w:sz w:val="20"/>
                <w:szCs w:val="20"/>
                <w:vertAlign w:val="superscript"/>
              </w:rPr>
              <w:t>b</w:t>
            </w:r>
          </w:p>
        </w:tc>
        <w:tc>
          <w:tcPr>
            <w:tcW w:w="1796" w:type="dxa"/>
            <w:shd w:val="clear" w:color="auto" w:fill="auto"/>
          </w:tcPr>
          <w:p w:rsidR="00260A21" w:rsidRDefault="005163B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23.97 ± 2.28</w:t>
            </w:r>
            <w:r>
              <w:rPr>
                <w:rFonts w:ascii="Arial" w:hAnsi="Arial" w:cs="Arial"/>
                <w:sz w:val="20"/>
                <w:szCs w:val="20"/>
                <w:vertAlign w:val="superscript"/>
              </w:rPr>
              <w:t>b</w:t>
            </w:r>
          </w:p>
        </w:tc>
        <w:tc>
          <w:tcPr>
            <w:tcW w:w="1798" w:type="dxa"/>
          </w:tcPr>
          <w:p w:rsidR="00260A21" w:rsidRDefault="005163B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179.50 ± 6.96</w:t>
            </w:r>
            <w:r>
              <w:rPr>
                <w:rFonts w:ascii="Arial" w:hAnsi="Arial" w:cs="Arial"/>
                <w:sz w:val="20"/>
                <w:szCs w:val="20"/>
                <w:vertAlign w:val="superscript"/>
              </w:rPr>
              <w:t>b</w:t>
            </w:r>
          </w:p>
        </w:tc>
        <w:tc>
          <w:tcPr>
            <w:tcW w:w="1897" w:type="dxa"/>
            <w:shd w:val="clear" w:color="auto" w:fill="auto"/>
          </w:tcPr>
          <w:p w:rsidR="00260A21" w:rsidRDefault="005163B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132.80 ± 3.06</w:t>
            </w:r>
            <w:r>
              <w:rPr>
                <w:rFonts w:ascii="Arial" w:hAnsi="Arial" w:cs="Arial"/>
                <w:sz w:val="20"/>
                <w:szCs w:val="20"/>
                <w:vertAlign w:val="superscript"/>
              </w:rPr>
              <w:t>ab</w:t>
            </w:r>
          </w:p>
        </w:tc>
      </w:tr>
      <w:tr w:rsidR="00260A21" w:rsidTr="00260A21">
        <w:tc>
          <w:tcPr>
            <w:cnfStyle w:val="001000000000" w:firstRow="0" w:lastRow="0" w:firstColumn="1" w:lastColumn="0" w:oddVBand="0" w:evenVBand="0" w:oddHBand="0" w:evenHBand="0" w:firstRowFirstColumn="0" w:firstRowLastColumn="0" w:lastRowFirstColumn="0" w:lastRowLastColumn="0"/>
            <w:tcW w:w="1975" w:type="dxa"/>
            <w:shd w:val="clear" w:color="auto" w:fill="auto"/>
          </w:tcPr>
          <w:p w:rsidR="00260A21" w:rsidRDefault="005163B4">
            <w:pPr>
              <w:spacing w:line="360" w:lineRule="auto"/>
              <w:jc w:val="center"/>
              <w:rPr>
                <w:rFonts w:ascii="Arial" w:hAnsi="Arial" w:cs="Arial"/>
                <w:sz w:val="20"/>
                <w:szCs w:val="20"/>
              </w:rPr>
            </w:pPr>
            <w:proofErr w:type="spellStart"/>
            <w:r>
              <w:rPr>
                <w:rFonts w:ascii="Arial" w:hAnsi="Arial" w:cs="Arial"/>
                <w:sz w:val="20"/>
                <w:szCs w:val="20"/>
              </w:rPr>
              <w:t>Fansteride</w:t>
            </w:r>
            <w:proofErr w:type="spellEnd"/>
            <w:r>
              <w:rPr>
                <w:rFonts w:ascii="Arial" w:hAnsi="Arial" w:cs="Arial"/>
                <w:sz w:val="20"/>
                <w:szCs w:val="20"/>
              </w:rPr>
              <w:t xml:space="preserve"> (5 mg)</w:t>
            </w:r>
          </w:p>
        </w:tc>
        <w:tc>
          <w:tcPr>
            <w:tcW w:w="1799" w:type="dxa"/>
            <w:shd w:val="clear" w:color="auto" w:fill="auto"/>
          </w:tcPr>
          <w:p w:rsidR="00260A21" w:rsidRDefault="005163B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18.60 ± 1.05</w:t>
            </w:r>
            <w:r>
              <w:rPr>
                <w:rFonts w:ascii="Arial" w:hAnsi="Arial" w:cs="Arial"/>
                <w:sz w:val="20"/>
                <w:szCs w:val="20"/>
                <w:vertAlign w:val="superscript"/>
              </w:rPr>
              <w:t>c</w:t>
            </w:r>
          </w:p>
        </w:tc>
        <w:tc>
          <w:tcPr>
            <w:tcW w:w="1796" w:type="dxa"/>
            <w:shd w:val="clear" w:color="auto" w:fill="auto"/>
          </w:tcPr>
          <w:p w:rsidR="00260A21" w:rsidRDefault="005163B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16.90 ± 1.43</w:t>
            </w:r>
            <w:r>
              <w:rPr>
                <w:rFonts w:ascii="Arial" w:hAnsi="Arial" w:cs="Arial"/>
                <w:sz w:val="20"/>
                <w:szCs w:val="20"/>
                <w:vertAlign w:val="superscript"/>
              </w:rPr>
              <w:t>c</w:t>
            </w:r>
          </w:p>
        </w:tc>
        <w:tc>
          <w:tcPr>
            <w:tcW w:w="1798" w:type="dxa"/>
            <w:shd w:val="clear" w:color="auto" w:fill="auto"/>
          </w:tcPr>
          <w:p w:rsidR="00260A21" w:rsidRDefault="005163B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152.70 ± 3.78</w:t>
            </w:r>
            <w:r>
              <w:rPr>
                <w:rFonts w:ascii="Arial" w:hAnsi="Arial" w:cs="Arial"/>
                <w:sz w:val="20"/>
                <w:szCs w:val="20"/>
                <w:vertAlign w:val="superscript"/>
              </w:rPr>
              <w:t>c</w:t>
            </w:r>
          </w:p>
        </w:tc>
        <w:tc>
          <w:tcPr>
            <w:tcW w:w="1897" w:type="dxa"/>
            <w:shd w:val="clear" w:color="auto" w:fill="auto"/>
          </w:tcPr>
          <w:p w:rsidR="00260A21" w:rsidRDefault="005163B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128.90 ± 1.27</w:t>
            </w:r>
            <w:r>
              <w:rPr>
                <w:rFonts w:ascii="Arial" w:hAnsi="Arial" w:cs="Arial"/>
                <w:sz w:val="20"/>
                <w:szCs w:val="20"/>
                <w:vertAlign w:val="superscript"/>
              </w:rPr>
              <w:t>ab</w:t>
            </w:r>
          </w:p>
        </w:tc>
      </w:tr>
      <w:tr w:rsidR="00260A21" w:rsidTr="00260A21">
        <w:tc>
          <w:tcPr>
            <w:cnfStyle w:val="001000000000" w:firstRow="0" w:lastRow="0" w:firstColumn="1" w:lastColumn="0" w:oddVBand="0" w:evenVBand="0" w:oddHBand="0" w:evenHBand="0" w:firstRowFirstColumn="0" w:firstRowLastColumn="0" w:lastRowFirstColumn="0" w:lastRowLastColumn="0"/>
            <w:tcW w:w="1975" w:type="dxa"/>
            <w:shd w:val="clear" w:color="auto" w:fill="auto"/>
          </w:tcPr>
          <w:p w:rsidR="00260A21" w:rsidRDefault="005163B4">
            <w:pPr>
              <w:spacing w:line="360" w:lineRule="auto"/>
              <w:jc w:val="center"/>
              <w:rPr>
                <w:rFonts w:ascii="Arial" w:hAnsi="Arial" w:cs="Arial"/>
                <w:sz w:val="20"/>
                <w:szCs w:val="20"/>
              </w:rPr>
            </w:pPr>
            <w:r>
              <w:rPr>
                <w:rFonts w:ascii="Arial" w:hAnsi="Arial" w:cs="Arial"/>
                <w:sz w:val="20"/>
                <w:szCs w:val="20"/>
              </w:rPr>
              <w:t>Leaves (250 mg)</w:t>
            </w:r>
          </w:p>
        </w:tc>
        <w:tc>
          <w:tcPr>
            <w:tcW w:w="1799" w:type="dxa"/>
          </w:tcPr>
          <w:p w:rsidR="00260A21" w:rsidRDefault="005163B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18.43 ± 0.92</w:t>
            </w:r>
            <w:r>
              <w:rPr>
                <w:rFonts w:ascii="Arial" w:hAnsi="Arial" w:cs="Arial"/>
                <w:sz w:val="20"/>
                <w:szCs w:val="20"/>
                <w:vertAlign w:val="superscript"/>
              </w:rPr>
              <w:t>cd</w:t>
            </w:r>
          </w:p>
        </w:tc>
        <w:tc>
          <w:tcPr>
            <w:tcW w:w="1796" w:type="dxa"/>
            <w:shd w:val="clear" w:color="auto" w:fill="auto"/>
          </w:tcPr>
          <w:p w:rsidR="00260A21" w:rsidRDefault="005163B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17.08 ± 0.76</w:t>
            </w:r>
            <w:r>
              <w:rPr>
                <w:rFonts w:ascii="Arial" w:hAnsi="Arial" w:cs="Arial"/>
                <w:sz w:val="20"/>
                <w:szCs w:val="20"/>
                <w:vertAlign w:val="superscript"/>
              </w:rPr>
              <w:t>c</w:t>
            </w:r>
          </w:p>
        </w:tc>
        <w:tc>
          <w:tcPr>
            <w:tcW w:w="1798" w:type="dxa"/>
          </w:tcPr>
          <w:p w:rsidR="00260A21" w:rsidRDefault="005163B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158.40 ± 2.86</w:t>
            </w:r>
            <w:r>
              <w:rPr>
                <w:rFonts w:ascii="Arial" w:hAnsi="Arial" w:cs="Arial"/>
                <w:sz w:val="20"/>
                <w:szCs w:val="20"/>
                <w:vertAlign w:val="superscript"/>
              </w:rPr>
              <w:t>c</w:t>
            </w:r>
          </w:p>
        </w:tc>
        <w:tc>
          <w:tcPr>
            <w:tcW w:w="1897" w:type="dxa"/>
            <w:shd w:val="clear" w:color="auto" w:fill="auto"/>
          </w:tcPr>
          <w:p w:rsidR="00260A21" w:rsidRDefault="005163B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124.60 ± 4.93</w:t>
            </w:r>
            <w:r>
              <w:rPr>
                <w:rFonts w:ascii="Arial" w:hAnsi="Arial" w:cs="Arial"/>
                <w:sz w:val="20"/>
                <w:szCs w:val="20"/>
                <w:vertAlign w:val="superscript"/>
              </w:rPr>
              <w:t>b</w:t>
            </w:r>
          </w:p>
        </w:tc>
      </w:tr>
      <w:tr w:rsidR="00260A21" w:rsidTr="00260A21">
        <w:tc>
          <w:tcPr>
            <w:cnfStyle w:val="001000000000" w:firstRow="0" w:lastRow="0" w:firstColumn="1" w:lastColumn="0" w:oddVBand="0" w:evenVBand="0" w:oddHBand="0" w:evenHBand="0" w:firstRowFirstColumn="0" w:firstRowLastColumn="0" w:lastRowFirstColumn="0" w:lastRowLastColumn="0"/>
            <w:tcW w:w="1975" w:type="dxa"/>
            <w:shd w:val="clear" w:color="auto" w:fill="auto"/>
          </w:tcPr>
          <w:p w:rsidR="00260A21" w:rsidRDefault="005163B4">
            <w:pPr>
              <w:spacing w:line="360" w:lineRule="auto"/>
              <w:jc w:val="center"/>
              <w:rPr>
                <w:rFonts w:ascii="Arial" w:hAnsi="Arial" w:cs="Arial"/>
                <w:sz w:val="20"/>
                <w:szCs w:val="20"/>
              </w:rPr>
            </w:pPr>
            <w:r>
              <w:rPr>
                <w:rFonts w:ascii="Arial" w:hAnsi="Arial" w:cs="Arial"/>
                <w:sz w:val="20"/>
                <w:szCs w:val="20"/>
              </w:rPr>
              <w:t>Leaves (500 mg)</w:t>
            </w:r>
          </w:p>
        </w:tc>
        <w:tc>
          <w:tcPr>
            <w:tcW w:w="1799" w:type="dxa"/>
            <w:shd w:val="clear" w:color="auto" w:fill="auto"/>
          </w:tcPr>
          <w:p w:rsidR="00260A21" w:rsidRDefault="005163B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17.85 ± 0.84</w:t>
            </w:r>
            <w:r>
              <w:rPr>
                <w:rFonts w:ascii="Arial" w:hAnsi="Arial" w:cs="Arial"/>
                <w:sz w:val="20"/>
                <w:szCs w:val="20"/>
                <w:vertAlign w:val="superscript"/>
              </w:rPr>
              <w:t>cd</w:t>
            </w:r>
          </w:p>
        </w:tc>
        <w:tc>
          <w:tcPr>
            <w:tcW w:w="1796" w:type="dxa"/>
            <w:shd w:val="clear" w:color="auto" w:fill="auto"/>
          </w:tcPr>
          <w:p w:rsidR="00260A21" w:rsidRDefault="005163B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17.20 ± 0.48</w:t>
            </w:r>
            <w:r>
              <w:rPr>
                <w:rFonts w:ascii="Arial" w:hAnsi="Arial" w:cs="Arial"/>
                <w:sz w:val="20"/>
                <w:szCs w:val="20"/>
                <w:vertAlign w:val="superscript"/>
              </w:rPr>
              <w:t>c</w:t>
            </w:r>
          </w:p>
        </w:tc>
        <w:tc>
          <w:tcPr>
            <w:tcW w:w="1798" w:type="dxa"/>
            <w:shd w:val="clear" w:color="auto" w:fill="auto"/>
          </w:tcPr>
          <w:p w:rsidR="00260A21" w:rsidRDefault="005163B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147.10 ± 4.19</w:t>
            </w:r>
            <w:r>
              <w:rPr>
                <w:rFonts w:ascii="Arial" w:hAnsi="Arial" w:cs="Arial"/>
                <w:sz w:val="20"/>
                <w:szCs w:val="20"/>
                <w:vertAlign w:val="superscript"/>
              </w:rPr>
              <w:t>ac</w:t>
            </w:r>
          </w:p>
        </w:tc>
        <w:tc>
          <w:tcPr>
            <w:tcW w:w="1897" w:type="dxa"/>
            <w:shd w:val="clear" w:color="auto" w:fill="auto"/>
          </w:tcPr>
          <w:p w:rsidR="00260A21" w:rsidRDefault="005163B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163.20 ± 7.16</w:t>
            </w:r>
            <w:r>
              <w:rPr>
                <w:rFonts w:ascii="Arial" w:hAnsi="Arial" w:cs="Arial"/>
                <w:sz w:val="20"/>
                <w:szCs w:val="20"/>
                <w:vertAlign w:val="superscript"/>
              </w:rPr>
              <w:t>c</w:t>
            </w:r>
          </w:p>
        </w:tc>
      </w:tr>
      <w:tr w:rsidR="00260A21" w:rsidTr="00260A21">
        <w:tc>
          <w:tcPr>
            <w:cnfStyle w:val="001000000000" w:firstRow="0" w:lastRow="0" w:firstColumn="1" w:lastColumn="0" w:oddVBand="0" w:evenVBand="0" w:oddHBand="0" w:evenHBand="0" w:firstRowFirstColumn="0" w:firstRowLastColumn="0" w:lastRowFirstColumn="0" w:lastRowLastColumn="0"/>
            <w:tcW w:w="1975" w:type="dxa"/>
            <w:shd w:val="clear" w:color="auto" w:fill="auto"/>
          </w:tcPr>
          <w:p w:rsidR="00260A21" w:rsidRDefault="005163B4">
            <w:pPr>
              <w:spacing w:line="360" w:lineRule="auto"/>
              <w:jc w:val="center"/>
              <w:rPr>
                <w:rFonts w:ascii="Arial" w:hAnsi="Arial" w:cs="Arial"/>
                <w:sz w:val="20"/>
                <w:szCs w:val="20"/>
              </w:rPr>
            </w:pPr>
            <w:r>
              <w:rPr>
                <w:rFonts w:ascii="Arial" w:hAnsi="Arial" w:cs="Arial"/>
                <w:sz w:val="20"/>
                <w:szCs w:val="20"/>
              </w:rPr>
              <w:t>Stem (250 mg)</w:t>
            </w:r>
          </w:p>
        </w:tc>
        <w:tc>
          <w:tcPr>
            <w:tcW w:w="1799" w:type="dxa"/>
          </w:tcPr>
          <w:p w:rsidR="00260A21" w:rsidRDefault="005163B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16.51 ± 0.47</w:t>
            </w:r>
            <w:r>
              <w:rPr>
                <w:rFonts w:ascii="Arial" w:hAnsi="Arial" w:cs="Arial"/>
                <w:sz w:val="20"/>
                <w:szCs w:val="20"/>
                <w:vertAlign w:val="superscript"/>
              </w:rPr>
              <w:t>ad</w:t>
            </w:r>
          </w:p>
        </w:tc>
        <w:tc>
          <w:tcPr>
            <w:tcW w:w="1796" w:type="dxa"/>
            <w:shd w:val="clear" w:color="auto" w:fill="auto"/>
          </w:tcPr>
          <w:p w:rsidR="00260A21" w:rsidRDefault="005163B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14.83 ± 0.80</w:t>
            </w:r>
            <w:r>
              <w:rPr>
                <w:rFonts w:ascii="Arial" w:hAnsi="Arial" w:cs="Arial"/>
                <w:sz w:val="20"/>
                <w:szCs w:val="20"/>
                <w:vertAlign w:val="superscript"/>
              </w:rPr>
              <w:t>ac</w:t>
            </w:r>
          </w:p>
        </w:tc>
        <w:tc>
          <w:tcPr>
            <w:tcW w:w="1798" w:type="dxa"/>
          </w:tcPr>
          <w:p w:rsidR="00260A21" w:rsidRDefault="005163B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134.30 ± 3.43</w:t>
            </w:r>
            <w:r>
              <w:rPr>
                <w:rFonts w:ascii="Arial" w:hAnsi="Arial" w:cs="Arial"/>
                <w:sz w:val="20"/>
                <w:szCs w:val="20"/>
                <w:vertAlign w:val="superscript"/>
              </w:rPr>
              <w:t>a</w:t>
            </w:r>
          </w:p>
        </w:tc>
        <w:tc>
          <w:tcPr>
            <w:tcW w:w="1897" w:type="dxa"/>
            <w:shd w:val="clear" w:color="auto" w:fill="auto"/>
          </w:tcPr>
          <w:p w:rsidR="00260A21" w:rsidRDefault="005163B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133.30 ± 3.91</w:t>
            </w:r>
            <w:r>
              <w:rPr>
                <w:rFonts w:ascii="Arial" w:hAnsi="Arial" w:cs="Arial"/>
                <w:sz w:val="20"/>
                <w:szCs w:val="20"/>
                <w:vertAlign w:val="superscript"/>
              </w:rPr>
              <w:t>ab</w:t>
            </w:r>
          </w:p>
        </w:tc>
      </w:tr>
      <w:tr w:rsidR="00260A21" w:rsidTr="00260A21">
        <w:tc>
          <w:tcPr>
            <w:cnfStyle w:val="001000000000" w:firstRow="0" w:lastRow="0" w:firstColumn="1" w:lastColumn="0" w:oddVBand="0" w:evenVBand="0" w:oddHBand="0" w:evenHBand="0" w:firstRowFirstColumn="0" w:firstRowLastColumn="0" w:lastRowFirstColumn="0" w:lastRowLastColumn="0"/>
            <w:tcW w:w="1975" w:type="dxa"/>
            <w:shd w:val="clear" w:color="auto" w:fill="auto"/>
          </w:tcPr>
          <w:p w:rsidR="00260A21" w:rsidRDefault="005163B4">
            <w:pPr>
              <w:spacing w:line="360" w:lineRule="auto"/>
              <w:jc w:val="center"/>
              <w:rPr>
                <w:rFonts w:ascii="Arial" w:hAnsi="Arial" w:cs="Arial"/>
                <w:sz w:val="20"/>
                <w:szCs w:val="20"/>
              </w:rPr>
            </w:pPr>
            <w:r>
              <w:rPr>
                <w:rFonts w:ascii="Arial" w:hAnsi="Arial" w:cs="Arial"/>
                <w:sz w:val="20"/>
                <w:szCs w:val="20"/>
              </w:rPr>
              <w:t>Stem (500 mg)</w:t>
            </w:r>
          </w:p>
        </w:tc>
        <w:tc>
          <w:tcPr>
            <w:tcW w:w="1799" w:type="dxa"/>
            <w:shd w:val="clear" w:color="auto" w:fill="auto"/>
          </w:tcPr>
          <w:p w:rsidR="00260A21" w:rsidRDefault="005163B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15.16 ± 0.22</w:t>
            </w:r>
            <w:r>
              <w:rPr>
                <w:rFonts w:ascii="Arial" w:hAnsi="Arial" w:cs="Arial"/>
                <w:sz w:val="20"/>
                <w:szCs w:val="20"/>
                <w:vertAlign w:val="superscript"/>
              </w:rPr>
              <w:t>a</w:t>
            </w:r>
          </w:p>
        </w:tc>
        <w:tc>
          <w:tcPr>
            <w:tcW w:w="1796" w:type="dxa"/>
            <w:shd w:val="clear" w:color="auto" w:fill="auto"/>
          </w:tcPr>
          <w:p w:rsidR="00260A21" w:rsidRDefault="005163B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12.88 ± 0.15</w:t>
            </w:r>
            <w:r>
              <w:rPr>
                <w:rFonts w:ascii="Arial" w:hAnsi="Arial" w:cs="Arial"/>
                <w:sz w:val="20"/>
                <w:szCs w:val="20"/>
                <w:vertAlign w:val="superscript"/>
              </w:rPr>
              <w:t>a</w:t>
            </w:r>
          </w:p>
        </w:tc>
        <w:tc>
          <w:tcPr>
            <w:tcW w:w="1798" w:type="dxa"/>
            <w:shd w:val="clear" w:color="auto" w:fill="auto"/>
          </w:tcPr>
          <w:p w:rsidR="00260A21" w:rsidRDefault="005163B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129.30 ± 0.94</w:t>
            </w:r>
            <w:r>
              <w:rPr>
                <w:rFonts w:ascii="Arial" w:hAnsi="Arial" w:cs="Arial"/>
                <w:sz w:val="20"/>
                <w:szCs w:val="20"/>
                <w:vertAlign w:val="superscript"/>
              </w:rPr>
              <w:t>a</w:t>
            </w:r>
          </w:p>
        </w:tc>
        <w:tc>
          <w:tcPr>
            <w:tcW w:w="1897" w:type="dxa"/>
            <w:shd w:val="clear" w:color="auto" w:fill="auto"/>
          </w:tcPr>
          <w:p w:rsidR="00260A21" w:rsidRDefault="005163B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159.40 ± 0.76</w:t>
            </w:r>
            <w:r>
              <w:rPr>
                <w:rFonts w:ascii="Arial" w:hAnsi="Arial" w:cs="Arial"/>
                <w:sz w:val="20"/>
                <w:szCs w:val="20"/>
                <w:vertAlign w:val="superscript"/>
              </w:rPr>
              <w:t>c</w:t>
            </w:r>
          </w:p>
        </w:tc>
      </w:tr>
      <w:tr w:rsidR="00260A21" w:rsidTr="00260A21">
        <w:tc>
          <w:tcPr>
            <w:cnfStyle w:val="001000000000" w:firstRow="0" w:lastRow="0" w:firstColumn="1" w:lastColumn="0" w:oddVBand="0" w:evenVBand="0" w:oddHBand="0" w:evenHBand="0" w:firstRowFirstColumn="0" w:firstRowLastColumn="0" w:lastRowFirstColumn="0" w:lastRowLastColumn="0"/>
            <w:tcW w:w="1975" w:type="dxa"/>
            <w:shd w:val="clear" w:color="auto" w:fill="auto"/>
          </w:tcPr>
          <w:p w:rsidR="00260A21" w:rsidRDefault="005163B4">
            <w:pPr>
              <w:spacing w:line="360" w:lineRule="auto"/>
              <w:jc w:val="center"/>
              <w:rPr>
                <w:rFonts w:ascii="Arial" w:hAnsi="Arial" w:cs="Arial"/>
                <w:sz w:val="20"/>
                <w:szCs w:val="20"/>
              </w:rPr>
            </w:pPr>
            <w:r>
              <w:rPr>
                <w:rFonts w:ascii="Arial" w:hAnsi="Arial" w:cs="Arial"/>
                <w:sz w:val="20"/>
                <w:szCs w:val="20"/>
              </w:rPr>
              <w:lastRenderedPageBreak/>
              <w:t>Pulp (250 mg)</w:t>
            </w:r>
          </w:p>
        </w:tc>
        <w:tc>
          <w:tcPr>
            <w:tcW w:w="1799" w:type="dxa"/>
          </w:tcPr>
          <w:p w:rsidR="00260A21" w:rsidRDefault="005163B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vertAlign w:val="superscript"/>
              </w:rPr>
            </w:pPr>
            <w:r>
              <w:rPr>
                <w:rFonts w:ascii="Arial" w:hAnsi="Arial" w:cs="Arial"/>
                <w:sz w:val="20"/>
                <w:szCs w:val="20"/>
              </w:rPr>
              <w:t>18.17 ± 0.53</w:t>
            </w:r>
            <w:r>
              <w:rPr>
                <w:rFonts w:ascii="Arial" w:hAnsi="Arial" w:cs="Arial"/>
                <w:sz w:val="20"/>
                <w:szCs w:val="20"/>
                <w:vertAlign w:val="superscript"/>
              </w:rPr>
              <w:t>cd</w:t>
            </w:r>
          </w:p>
        </w:tc>
        <w:tc>
          <w:tcPr>
            <w:tcW w:w="1796" w:type="dxa"/>
            <w:shd w:val="clear" w:color="auto" w:fill="auto"/>
          </w:tcPr>
          <w:p w:rsidR="00260A21" w:rsidRDefault="005163B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17.77 ± 0.89</w:t>
            </w:r>
            <w:r>
              <w:rPr>
                <w:rFonts w:ascii="Arial" w:hAnsi="Arial" w:cs="Arial"/>
                <w:sz w:val="20"/>
                <w:szCs w:val="20"/>
                <w:vertAlign w:val="superscript"/>
              </w:rPr>
              <w:t>c</w:t>
            </w:r>
          </w:p>
        </w:tc>
        <w:tc>
          <w:tcPr>
            <w:tcW w:w="1798" w:type="dxa"/>
          </w:tcPr>
          <w:p w:rsidR="00260A21" w:rsidRDefault="005163B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143.10 ± 2.61</w:t>
            </w:r>
            <w:r>
              <w:rPr>
                <w:rFonts w:ascii="Arial" w:hAnsi="Arial" w:cs="Arial"/>
                <w:sz w:val="20"/>
                <w:szCs w:val="20"/>
                <w:vertAlign w:val="superscript"/>
              </w:rPr>
              <w:t>ac</w:t>
            </w:r>
          </w:p>
        </w:tc>
        <w:tc>
          <w:tcPr>
            <w:tcW w:w="1897" w:type="dxa"/>
            <w:shd w:val="clear" w:color="auto" w:fill="auto"/>
          </w:tcPr>
          <w:p w:rsidR="00260A21" w:rsidRDefault="005163B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136.60 ± 4.64</w:t>
            </w:r>
            <w:r>
              <w:rPr>
                <w:rFonts w:ascii="Arial" w:hAnsi="Arial" w:cs="Arial"/>
                <w:sz w:val="20"/>
                <w:szCs w:val="20"/>
                <w:vertAlign w:val="superscript"/>
              </w:rPr>
              <w:t>ab</w:t>
            </w:r>
          </w:p>
        </w:tc>
      </w:tr>
      <w:tr w:rsidR="00260A21" w:rsidTr="00260A21">
        <w:tc>
          <w:tcPr>
            <w:cnfStyle w:val="001000000000" w:firstRow="0" w:lastRow="0" w:firstColumn="1" w:lastColumn="0" w:oddVBand="0" w:evenVBand="0" w:oddHBand="0" w:evenHBand="0" w:firstRowFirstColumn="0" w:firstRowLastColumn="0" w:lastRowFirstColumn="0" w:lastRowLastColumn="0"/>
            <w:tcW w:w="1975" w:type="dxa"/>
            <w:shd w:val="clear" w:color="auto" w:fill="auto"/>
          </w:tcPr>
          <w:p w:rsidR="00260A21" w:rsidRDefault="005163B4">
            <w:pPr>
              <w:spacing w:line="360" w:lineRule="auto"/>
              <w:jc w:val="center"/>
              <w:rPr>
                <w:rFonts w:ascii="Arial" w:hAnsi="Arial" w:cs="Arial"/>
                <w:sz w:val="20"/>
                <w:szCs w:val="20"/>
              </w:rPr>
            </w:pPr>
            <w:r>
              <w:rPr>
                <w:rFonts w:ascii="Arial" w:hAnsi="Arial" w:cs="Arial"/>
                <w:sz w:val="20"/>
                <w:szCs w:val="20"/>
              </w:rPr>
              <w:t>Pulp (500 mg)</w:t>
            </w:r>
          </w:p>
        </w:tc>
        <w:tc>
          <w:tcPr>
            <w:tcW w:w="1799" w:type="dxa"/>
            <w:shd w:val="clear" w:color="auto" w:fill="auto"/>
          </w:tcPr>
          <w:p w:rsidR="00260A21" w:rsidRDefault="005163B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17.81 ± 0.26</w:t>
            </w:r>
            <w:r>
              <w:rPr>
                <w:rFonts w:ascii="Arial" w:hAnsi="Arial" w:cs="Arial"/>
                <w:sz w:val="20"/>
                <w:szCs w:val="20"/>
                <w:vertAlign w:val="superscript"/>
              </w:rPr>
              <w:t>cd</w:t>
            </w:r>
          </w:p>
        </w:tc>
        <w:tc>
          <w:tcPr>
            <w:tcW w:w="1796" w:type="dxa"/>
            <w:shd w:val="clear" w:color="auto" w:fill="auto"/>
          </w:tcPr>
          <w:p w:rsidR="00260A21" w:rsidRDefault="005163B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17.68 ± 0.32</w:t>
            </w:r>
            <w:r>
              <w:rPr>
                <w:rFonts w:ascii="Arial" w:hAnsi="Arial" w:cs="Arial"/>
                <w:sz w:val="20"/>
                <w:szCs w:val="20"/>
                <w:vertAlign w:val="superscript"/>
              </w:rPr>
              <w:t>c</w:t>
            </w:r>
          </w:p>
        </w:tc>
        <w:tc>
          <w:tcPr>
            <w:tcW w:w="1798" w:type="dxa"/>
            <w:shd w:val="clear" w:color="auto" w:fill="auto"/>
          </w:tcPr>
          <w:p w:rsidR="00260A21" w:rsidRDefault="005163B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140.50 ± 0.76</w:t>
            </w:r>
            <w:r>
              <w:rPr>
                <w:rFonts w:ascii="Arial" w:hAnsi="Arial" w:cs="Arial"/>
                <w:sz w:val="20"/>
                <w:szCs w:val="20"/>
                <w:vertAlign w:val="superscript"/>
              </w:rPr>
              <w:t>a</w:t>
            </w:r>
          </w:p>
        </w:tc>
        <w:tc>
          <w:tcPr>
            <w:tcW w:w="1897" w:type="dxa"/>
            <w:shd w:val="clear" w:color="auto" w:fill="auto"/>
          </w:tcPr>
          <w:p w:rsidR="00260A21" w:rsidRDefault="005163B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136.50 ± 1.78</w:t>
            </w:r>
            <w:r>
              <w:rPr>
                <w:rFonts w:ascii="Arial" w:hAnsi="Arial" w:cs="Arial"/>
                <w:sz w:val="20"/>
                <w:szCs w:val="20"/>
                <w:vertAlign w:val="superscript"/>
              </w:rPr>
              <w:t>ab</w:t>
            </w:r>
          </w:p>
        </w:tc>
      </w:tr>
      <w:tr w:rsidR="00260A21" w:rsidTr="00260A21">
        <w:tc>
          <w:tcPr>
            <w:cnfStyle w:val="001000000000" w:firstRow="0" w:lastRow="0" w:firstColumn="1" w:lastColumn="0" w:oddVBand="0" w:evenVBand="0" w:oddHBand="0" w:evenHBand="0" w:firstRowFirstColumn="0" w:firstRowLastColumn="0" w:lastRowFirstColumn="0" w:lastRowLastColumn="0"/>
            <w:tcW w:w="1975" w:type="dxa"/>
            <w:shd w:val="clear" w:color="auto" w:fill="auto"/>
          </w:tcPr>
          <w:p w:rsidR="00260A21" w:rsidRDefault="005163B4">
            <w:pPr>
              <w:spacing w:line="360" w:lineRule="auto"/>
              <w:jc w:val="center"/>
              <w:rPr>
                <w:rFonts w:ascii="Arial" w:hAnsi="Arial" w:cs="Arial"/>
                <w:sz w:val="20"/>
                <w:szCs w:val="20"/>
              </w:rPr>
            </w:pPr>
            <w:r>
              <w:rPr>
                <w:rFonts w:ascii="Arial" w:hAnsi="Arial" w:cs="Arial"/>
                <w:sz w:val="20"/>
                <w:szCs w:val="20"/>
              </w:rPr>
              <w:t>Ext. Combination (250 mg)</w:t>
            </w:r>
          </w:p>
        </w:tc>
        <w:tc>
          <w:tcPr>
            <w:tcW w:w="1799" w:type="dxa"/>
          </w:tcPr>
          <w:p w:rsidR="00260A21" w:rsidRDefault="005163B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16.34 ± 0.63</w:t>
            </w:r>
            <w:r>
              <w:rPr>
                <w:rFonts w:ascii="Arial" w:hAnsi="Arial" w:cs="Arial"/>
                <w:sz w:val="20"/>
                <w:szCs w:val="20"/>
                <w:vertAlign w:val="superscript"/>
              </w:rPr>
              <w:t>ad</w:t>
            </w:r>
          </w:p>
        </w:tc>
        <w:tc>
          <w:tcPr>
            <w:tcW w:w="1796" w:type="dxa"/>
            <w:shd w:val="clear" w:color="auto" w:fill="auto"/>
          </w:tcPr>
          <w:p w:rsidR="00260A21" w:rsidRDefault="005163B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16.02 ± 0.25</w:t>
            </w:r>
            <w:r>
              <w:rPr>
                <w:rFonts w:ascii="Arial" w:hAnsi="Arial" w:cs="Arial"/>
                <w:sz w:val="20"/>
                <w:szCs w:val="20"/>
                <w:vertAlign w:val="superscript"/>
              </w:rPr>
              <w:t>ac</w:t>
            </w:r>
          </w:p>
        </w:tc>
        <w:tc>
          <w:tcPr>
            <w:tcW w:w="1798" w:type="dxa"/>
          </w:tcPr>
          <w:p w:rsidR="00260A21" w:rsidRDefault="005163B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140.70 ± 2.63</w:t>
            </w:r>
            <w:r>
              <w:rPr>
                <w:rFonts w:ascii="Arial" w:hAnsi="Arial" w:cs="Arial"/>
                <w:sz w:val="20"/>
                <w:szCs w:val="20"/>
                <w:vertAlign w:val="superscript"/>
              </w:rPr>
              <w:t>a</w:t>
            </w:r>
          </w:p>
        </w:tc>
        <w:tc>
          <w:tcPr>
            <w:tcW w:w="1897" w:type="dxa"/>
            <w:shd w:val="clear" w:color="auto" w:fill="auto"/>
          </w:tcPr>
          <w:p w:rsidR="00260A21" w:rsidRDefault="005163B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137.10 ± 2.48</w:t>
            </w:r>
            <w:r>
              <w:rPr>
                <w:rFonts w:ascii="Arial" w:hAnsi="Arial" w:cs="Arial"/>
                <w:sz w:val="20"/>
                <w:szCs w:val="20"/>
                <w:vertAlign w:val="superscript"/>
              </w:rPr>
              <w:t>ab</w:t>
            </w:r>
          </w:p>
        </w:tc>
      </w:tr>
      <w:tr w:rsidR="00260A21" w:rsidTr="00260A21">
        <w:tc>
          <w:tcPr>
            <w:cnfStyle w:val="001000000000" w:firstRow="0" w:lastRow="0" w:firstColumn="1" w:lastColumn="0" w:oddVBand="0" w:evenVBand="0" w:oddHBand="0" w:evenHBand="0" w:firstRowFirstColumn="0" w:firstRowLastColumn="0" w:lastRowFirstColumn="0" w:lastRowLastColumn="0"/>
            <w:tcW w:w="1975" w:type="dxa"/>
            <w:tcBorders>
              <w:bottom w:val="single" w:sz="18" w:space="0" w:color="auto"/>
            </w:tcBorders>
            <w:shd w:val="clear" w:color="auto" w:fill="auto"/>
          </w:tcPr>
          <w:p w:rsidR="00260A21" w:rsidRDefault="005163B4">
            <w:pPr>
              <w:spacing w:line="360" w:lineRule="auto"/>
              <w:jc w:val="center"/>
              <w:rPr>
                <w:rFonts w:ascii="Arial" w:hAnsi="Arial" w:cs="Arial"/>
                <w:sz w:val="20"/>
                <w:szCs w:val="20"/>
              </w:rPr>
            </w:pPr>
            <w:r>
              <w:rPr>
                <w:rFonts w:ascii="Arial" w:hAnsi="Arial" w:cs="Arial"/>
                <w:sz w:val="20"/>
                <w:szCs w:val="20"/>
              </w:rPr>
              <w:t>Ext. Combination (500 mg)</w:t>
            </w:r>
          </w:p>
        </w:tc>
        <w:tc>
          <w:tcPr>
            <w:tcW w:w="1799" w:type="dxa"/>
            <w:tcBorders>
              <w:bottom w:val="single" w:sz="18" w:space="0" w:color="auto"/>
            </w:tcBorders>
            <w:shd w:val="clear" w:color="auto" w:fill="auto"/>
          </w:tcPr>
          <w:p w:rsidR="00260A21" w:rsidRDefault="005163B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14.50 ± 0.37</w:t>
            </w:r>
            <w:r>
              <w:rPr>
                <w:rFonts w:ascii="Arial" w:hAnsi="Arial" w:cs="Arial"/>
                <w:sz w:val="20"/>
                <w:szCs w:val="20"/>
                <w:vertAlign w:val="superscript"/>
              </w:rPr>
              <w:t>a</w:t>
            </w:r>
          </w:p>
        </w:tc>
        <w:tc>
          <w:tcPr>
            <w:tcW w:w="1796" w:type="dxa"/>
            <w:tcBorders>
              <w:bottom w:val="single" w:sz="18" w:space="0" w:color="auto"/>
            </w:tcBorders>
            <w:shd w:val="clear" w:color="auto" w:fill="auto"/>
          </w:tcPr>
          <w:p w:rsidR="00260A21" w:rsidRDefault="005163B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13.90 ± 0.54</w:t>
            </w:r>
            <w:r>
              <w:rPr>
                <w:rFonts w:ascii="Arial" w:hAnsi="Arial" w:cs="Arial"/>
                <w:sz w:val="20"/>
                <w:szCs w:val="20"/>
                <w:vertAlign w:val="superscript"/>
              </w:rPr>
              <w:t>a</w:t>
            </w:r>
          </w:p>
        </w:tc>
        <w:tc>
          <w:tcPr>
            <w:tcW w:w="1798" w:type="dxa"/>
            <w:tcBorders>
              <w:bottom w:val="single" w:sz="18" w:space="0" w:color="auto"/>
            </w:tcBorders>
            <w:shd w:val="clear" w:color="auto" w:fill="auto"/>
          </w:tcPr>
          <w:p w:rsidR="00260A21" w:rsidRDefault="005163B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135.90 ± 1.28</w:t>
            </w:r>
            <w:r>
              <w:rPr>
                <w:rFonts w:ascii="Arial" w:hAnsi="Arial" w:cs="Arial"/>
                <w:sz w:val="20"/>
                <w:szCs w:val="20"/>
                <w:vertAlign w:val="superscript"/>
              </w:rPr>
              <w:t>a</w:t>
            </w:r>
          </w:p>
        </w:tc>
        <w:tc>
          <w:tcPr>
            <w:tcW w:w="1897" w:type="dxa"/>
            <w:tcBorders>
              <w:bottom w:val="single" w:sz="18" w:space="0" w:color="auto"/>
            </w:tcBorders>
            <w:shd w:val="clear" w:color="auto" w:fill="auto"/>
          </w:tcPr>
          <w:p w:rsidR="00260A21" w:rsidRDefault="005163B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138.10 ± 2.63</w:t>
            </w:r>
            <w:r>
              <w:rPr>
                <w:rFonts w:ascii="Arial" w:hAnsi="Arial" w:cs="Arial"/>
                <w:sz w:val="20"/>
                <w:szCs w:val="20"/>
                <w:vertAlign w:val="superscript"/>
              </w:rPr>
              <w:t>ab</w:t>
            </w:r>
          </w:p>
        </w:tc>
      </w:tr>
    </w:tbl>
    <w:p w:rsidR="00260A21" w:rsidRDefault="005163B4">
      <w:pPr>
        <w:jc w:val="both"/>
        <w:rPr>
          <w:rFonts w:ascii="Arial" w:hAnsi="Arial" w:cs="Arial"/>
          <w:sz w:val="20"/>
          <w:szCs w:val="20"/>
        </w:rPr>
      </w:pPr>
      <w:r>
        <w:rPr>
          <w:rFonts w:ascii="Arial" w:hAnsi="Arial" w:cs="Arial"/>
          <w:bCs/>
          <w:sz w:val="20"/>
          <w:szCs w:val="20"/>
        </w:rPr>
        <w:t xml:space="preserve">Values are mean </w:t>
      </w:r>
      <w:r>
        <w:rPr>
          <w:rFonts w:ascii="Arial" w:hAnsi="Arial" w:cs="Arial"/>
          <w:sz w:val="20"/>
          <w:szCs w:val="20"/>
        </w:rPr>
        <w:t>± standard deviation (n = 3). Values with different superscript letters per column are statistically significant (p&lt;0.05).</w:t>
      </w:r>
    </w:p>
    <w:p w:rsidR="00260A21" w:rsidRDefault="00260A21">
      <w:pPr>
        <w:jc w:val="both"/>
        <w:rPr>
          <w:rFonts w:ascii="Arial" w:hAnsi="Arial" w:cs="Arial"/>
          <w:sz w:val="20"/>
          <w:szCs w:val="20"/>
        </w:rPr>
      </w:pPr>
    </w:p>
    <w:p w:rsidR="00260A21" w:rsidRDefault="00260A21">
      <w:pPr>
        <w:jc w:val="both"/>
        <w:rPr>
          <w:rFonts w:ascii="Arial" w:hAnsi="Arial" w:cs="Arial"/>
          <w:sz w:val="20"/>
          <w:szCs w:val="20"/>
        </w:rPr>
      </w:pPr>
    </w:p>
    <w:p w:rsidR="00260A21" w:rsidRDefault="00260A21">
      <w:pPr>
        <w:jc w:val="both"/>
        <w:rPr>
          <w:rFonts w:ascii="Arial" w:hAnsi="Arial" w:cs="Arial"/>
          <w:sz w:val="20"/>
          <w:szCs w:val="20"/>
        </w:rPr>
      </w:pPr>
    </w:p>
    <w:p w:rsidR="00260A21" w:rsidRDefault="00260A21">
      <w:pPr>
        <w:jc w:val="both"/>
        <w:rPr>
          <w:rFonts w:ascii="Arial" w:hAnsi="Arial" w:cs="Arial"/>
          <w:sz w:val="20"/>
          <w:szCs w:val="20"/>
        </w:rPr>
      </w:pPr>
    </w:p>
    <w:p w:rsidR="00260A21" w:rsidRDefault="00260A21">
      <w:pPr>
        <w:jc w:val="both"/>
        <w:rPr>
          <w:rFonts w:ascii="Arial" w:hAnsi="Arial" w:cs="Arial"/>
          <w:sz w:val="20"/>
          <w:szCs w:val="20"/>
        </w:rPr>
      </w:pPr>
    </w:p>
    <w:p w:rsidR="00260A21" w:rsidRDefault="00260A21">
      <w:pPr>
        <w:jc w:val="both"/>
        <w:rPr>
          <w:rFonts w:ascii="Arial" w:hAnsi="Arial" w:cs="Arial"/>
          <w:sz w:val="20"/>
          <w:szCs w:val="20"/>
        </w:rPr>
      </w:pPr>
    </w:p>
    <w:p w:rsidR="00260A21" w:rsidRDefault="00260A21">
      <w:pPr>
        <w:jc w:val="both"/>
        <w:rPr>
          <w:rFonts w:ascii="Arial" w:hAnsi="Arial" w:cs="Arial"/>
          <w:sz w:val="20"/>
          <w:szCs w:val="20"/>
        </w:rPr>
      </w:pPr>
    </w:p>
    <w:p w:rsidR="00260A21" w:rsidRDefault="00260A21">
      <w:pPr>
        <w:jc w:val="both"/>
        <w:rPr>
          <w:rFonts w:ascii="Arial" w:hAnsi="Arial" w:cs="Arial"/>
          <w:sz w:val="20"/>
          <w:szCs w:val="20"/>
        </w:rPr>
      </w:pPr>
    </w:p>
    <w:p w:rsidR="00260A21" w:rsidRDefault="00260A21">
      <w:pPr>
        <w:jc w:val="both"/>
        <w:rPr>
          <w:rFonts w:ascii="Arial" w:hAnsi="Arial" w:cs="Arial"/>
          <w:sz w:val="20"/>
          <w:szCs w:val="20"/>
        </w:rPr>
      </w:pPr>
    </w:p>
    <w:p w:rsidR="00260A21" w:rsidRDefault="00260A21">
      <w:pPr>
        <w:jc w:val="both"/>
        <w:rPr>
          <w:rFonts w:ascii="Arial" w:hAnsi="Arial" w:cs="Arial"/>
          <w:sz w:val="20"/>
          <w:szCs w:val="20"/>
        </w:rPr>
      </w:pPr>
    </w:p>
    <w:p w:rsidR="00260A21" w:rsidRDefault="005163B4">
      <w:pPr>
        <w:spacing w:line="480" w:lineRule="auto"/>
        <w:jc w:val="both"/>
        <w:rPr>
          <w:rFonts w:ascii="Arial" w:hAnsi="Arial" w:cs="Arial"/>
          <w:sz w:val="20"/>
          <w:szCs w:val="20"/>
        </w:rPr>
      </w:pPr>
      <w:r>
        <w:rPr>
          <w:rFonts w:ascii="Arial" w:hAnsi="Arial" w:cs="Arial"/>
          <w:b/>
          <w:bCs/>
          <w:sz w:val="20"/>
          <w:szCs w:val="20"/>
        </w:rPr>
        <w:t xml:space="preserve">Table </w:t>
      </w:r>
      <w:proofErr w:type="gramStart"/>
      <w:r w:rsidR="003E49BD">
        <w:rPr>
          <w:rFonts w:ascii="Arial" w:hAnsi="Arial" w:cs="Arial"/>
          <w:b/>
          <w:bCs/>
          <w:sz w:val="20"/>
          <w:szCs w:val="20"/>
        </w:rPr>
        <w:t>3</w:t>
      </w:r>
      <w:r>
        <w:rPr>
          <w:rFonts w:ascii="Arial" w:hAnsi="Arial" w:cs="Arial"/>
          <w:b/>
          <w:bCs/>
          <w:sz w:val="20"/>
          <w:szCs w:val="20"/>
        </w:rPr>
        <w:t xml:space="preserve"> </w:t>
      </w:r>
      <w:r>
        <w:rPr>
          <w:rFonts w:ascii="Arial" w:hAnsi="Arial" w:cs="Arial"/>
          <w:sz w:val="20"/>
          <w:szCs w:val="20"/>
        </w:rPr>
        <w:t xml:space="preserve"> shows</w:t>
      </w:r>
      <w:proofErr w:type="gramEnd"/>
      <w:r>
        <w:rPr>
          <w:rFonts w:ascii="Arial" w:hAnsi="Arial" w:cs="Arial"/>
          <w:sz w:val="20"/>
          <w:szCs w:val="20"/>
        </w:rPr>
        <w:t xml:space="preserve"> that the negative control group had significantly higher total and direct bilirubin concentrations (24.40 ± 0.93 and 17.21 ± 0.60 mg/dL, respectively) compared to the normal control, indicating hepatic dysfunction and possible cholestatic damage induced by BPH. Treatment with the ethanol extracts of </w:t>
      </w:r>
      <w:proofErr w:type="spellStart"/>
      <w:r>
        <w:rPr>
          <w:rFonts w:ascii="Arial" w:hAnsi="Arial" w:cs="Arial"/>
          <w:i/>
          <w:iCs/>
          <w:sz w:val="20"/>
          <w:szCs w:val="20"/>
        </w:rPr>
        <w:t>Artocarpus</w:t>
      </w:r>
      <w:proofErr w:type="spellEnd"/>
      <w:r>
        <w:rPr>
          <w:rFonts w:ascii="Arial" w:hAnsi="Arial" w:cs="Arial"/>
          <w:i/>
          <w:iCs/>
          <w:sz w:val="20"/>
          <w:szCs w:val="20"/>
        </w:rPr>
        <w:t xml:space="preserve"> </w:t>
      </w:r>
      <w:proofErr w:type="spellStart"/>
      <w:r>
        <w:rPr>
          <w:rFonts w:ascii="Arial" w:hAnsi="Arial" w:cs="Arial"/>
          <w:i/>
          <w:iCs/>
          <w:sz w:val="20"/>
          <w:szCs w:val="20"/>
        </w:rPr>
        <w:t>heterophyllus</w:t>
      </w:r>
      <w:proofErr w:type="spellEnd"/>
      <w:r>
        <w:rPr>
          <w:rFonts w:ascii="Arial" w:hAnsi="Arial" w:cs="Arial"/>
          <w:sz w:val="20"/>
          <w:szCs w:val="20"/>
        </w:rPr>
        <w:t xml:space="preserve"> (stem, leaf, and pulp) led to a marked reduction in bilirubin levels, approaching the normal control values, suggesting hepatoprotective potential of the extracts. Similarly, total protein, globulin, and albumin levels were significantly reduced in the negative control group, reflecting impaired hepatic synthetic function. Administration of the extracts, particularly the stem bark at 500 mg/kg, improved these protein parameters, showing total protein (9.39 ± 0.16 mg/dL), globulin (4.20 ± 0.17 mg/dL), and albumin (5.19 ± 0.05 mg/dL), values comparable to the normal control. These improvements were dose-dependent and comparable to the standard drug (Finasteride).</w:t>
      </w:r>
    </w:p>
    <w:p w:rsidR="00260A21" w:rsidRDefault="00260A21">
      <w:pPr>
        <w:jc w:val="both"/>
        <w:rPr>
          <w:rFonts w:ascii="Arial" w:hAnsi="Arial" w:cs="Arial"/>
          <w:sz w:val="20"/>
          <w:szCs w:val="20"/>
        </w:rPr>
      </w:pPr>
    </w:p>
    <w:p w:rsidR="00260A21" w:rsidRDefault="00260A21">
      <w:pPr>
        <w:jc w:val="both"/>
        <w:rPr>
          <w:rFonts w:ascii="Arial" w:hAnsi="Arial" w:cs="Arial"/>
          <w:sz w:val="20"/>
          <w:szCs w:val="20"/>
        </w:rPr>
      </w:pPr>
    </w:p>
    <w:p w:rsidR="00260A21" w:rsidRDefault="00260A21">
      <w:pPr>
        <w:jc w:val="both"/>
        <w:rPr>
          <w:rFonts w:ascii="Arial" w:hAnsi="Arial" w:cs="Arial"/>
          <w:sz w:val="20"/>
          <w:szCs w:val="20"/>
        </w:rPr>
      </w:pPr>
    </w:p>
    <w:p w:rsidR="00260A21" w:rsidRDefault="00260A21">
      <w:pPr>
        <w:jc w:val="both"/>
        <w:rPr>
          <w:rFonts w:ascii="Arial" w:hAnsi="Arial" w:cs="Arial"/>
          <w:sz w:val="20"/>
          <w:szCs w:val="20"/>
        </w:rPr>
      </w:pPr>
    </w:p>
    <w:p w:rsidR="00260A21" w:rsidRDefault="00260A21">
      <w:pPr>
        <w:jc w:val="both"/>
        <w:rPr>
          <w:rFonts w:ascii="Arial" w:hAnsi="Arial" w:cs="Arial"/>
          <w:sz w:val="20"/>
          <w:szCs w:val="20"/>
        </w:rPr>
      </w:pPr>
    </w:p>
    <w:p w:rsidR="00260A21" w:rsidRDefault="00260A21">
      <w:pPr>
        <w:jc w:val="both"/>
        <w:rPr>
          <w:rFonts w:ascii="Arial" w:hAnsi="Arial" w:cs="Arial"/>
          <w:sz w:val="20"/>
          <w:szCs w:val="20"/>
        </w:rPr>
      </w:pPr>
    </w:p>
    <w:p w:rsidR="00260A21" w:rsidRDefault="00260A21">
      <w:pPr>
        <w:jc w:val="both"/>
        <w:rPr>
          <w:rFonts w:ascii="Arial" w:hAnsi="Arial" w:cs="Arial"/>
          <w:sz w:val="20"/>
          <w:szCs w:val="20"/>
        </w:rPr>
      </w:pPr>
    </w:p>
    <w:p w:rsidR="00260A21" w:rsidRDefault="00260A21">
      <w:pPr>
        <w:jc w:val="both"/>
        <w:rPr>
          <w:rFonts w:ascii="Arial" w:hAnsi="Arial" w:cs="Arial"/>
          <w:sz w:val="20"/>
          <w:szCs w:val="20"/>
        </w:rPr>
      </w:pPr>
    </w:p>
    <w:p w:rsidR="00260A21" w:rsidRDefault="00260A21">
      <w:pPr>
        <w:jc w:val="both"/>
        <w:rPr>
          <w:rFonts w:ascii="Arial" w:hAnsi="Arial" w:cs="Arial"/>
          <w:sz w:val="20"/>
          <w:szCs w:val="20"/>
        </w:rPr>
      </w:pPr>
    </w:p>
    <w:p w:rsidR="00260A21" w:rsidRDefault="00260A21">
      <w:pPr>
        <w:jc w:val="both"/>
        <w:rPr>
          <w:rFonts w:ascii="Arial" w:hAnsi="Arial" w:cs="Arial"/>
          <w:sz w:val="20"/>
          <w:szCs w:val="20"/>
        </w:rPr>
      </w:pPr>
    </w:p>
    <w:p w:rsidR="00260A21" w:rsidRDefault="00260A21">
      <w:pPr>
        <w:jc w:val="both"/>
        <w:rPr>
          <w:rFonts w:ascii="Arial" w:hAnsi="Arial" w:cs="Arial"/>
          <w:sz w:val="20"/>
          <w:szCs w:val="20"/>
        </w:rPr>
      </w:pPr>
    </w:p>
    <w:p w:rsidR="00260A21" w:rsidRDefault="00260A21">
      <w:pPr>
        <w:jc w:val="both"/>
        <w:rPr>
          <w:rFonts w:ascii="Arial" w:hAnsi="Arial" w:cs="Arial"/>
          <w:sz w:val="20"/>
          <w:szCs w:val="20"/>
        </w:rPr>
      </w:pPr>
    </w:p>
    <w:p w:rsidR="00260A21" w:rsidRDefault="00260A21">
      <w:pPr>
        <w:jc w:val="both"/>
        <w:rPr>
          <w:rFonts w:ascii="Arial" w:hAnsi="Arial" w:cs="Arial"/>
          <w:sz w:val="20"/>
          <w:szCs w:val="20"/>
        </w:rPr>
      </w:pPr>
    </w:p>
    <w:p w:rsidR="00260A21" w:rsidRDefault="00260A21">
      <w:pPr>
        <w:spacing w:line="240" w:lineRule="auto"/>
        <w:jc w:val="both"/>
        <w:rPr>
          <w:rFonts w:ascii="Arial" w:hAnsi="Arial" w:cs="Arial"/>
          <w:b/>
          <w:bCs/>
          <w:sz w:val="20"/>
          <w:szCs w:val="20"/>
        </w:rPr>
      </w:pPr>
    </w:p>
    <w:p w:rsidR="00260A21" w:rsidRDefault="00260A21">
      <w:pPr>
        <w:spacing w:line="240" w:lineRule="auto"/>
        <w:jc w:val="both"/>
        <w:rPr>
          <w:rFonts w:ascii="Arial" w:hAnsi="Arial" w:cs="Arial"/>
          <w:b/>
          <w:bCs/>
          <w:sz w:val="20"/>
          <w:szCs w:val="20"/>
        </w:rPr>
      </w:pPr>
    </w:p>
    <w:p w:rsidR="00260A21" w:rsidRDefault="00260A21">
      <w:pPr>
        <w:spacing w:line="240" w:lineRule="auto"/>
        <w:jc w:val="both"/>
        <w:rPr>
          <w:rFonts w:ascii="Arial" w:hAnsi="Arial" w:cs="Arial"/>
          <w:b/>
          <w:bCs/>
          <w:sz w:val="20"/>
          <w:szCs w:val="20"/>
        </w:rPr>
      </w:pPr>
    </w:p>
    <w:p w:rsidR="00260A21" w:rsidRDefault="00260A21">
      <w:pPr>
        <w:spacing w:line="240" w:lineRule="auto"/>
        <w:jc w:val="both"/>
        <w:rPr>
          <w:rFonts w:ascii="Arial" w:hAnsi="Arial" w:cs="Arial"/>
          <w:b/>
          <w:bCs/>
          <w:sz w:val="20"/>
          <w:szCs w:val="20"/>
        </w:rPr>
      </w:pPr>
    </w:p>
    <w:p w:rsidR="00260A21" w:rsidRDefault="00260A21">
      <w:pPr>
        <w:spacing w:line="240" w:lineRule="auto"/>
        <w:jc w:val="both"/>
        <w:rPr>
          <w:rFonts w:ascii="Arial" w:hAnsi="Arial" w:cs="Arial"/>
          <w:b/>
          <w:bCs/>
          <w:sz w:val="20"/>
          <w:szCs w:val="20"/>
        </w:rPr>
      </w:pPr>
    </w:p>
    <w:p w:rsidR="00260A21" w:rsidRDefault="00260A21">
      <w:pPr>
        <w:spacing w:line="240" w:lineRule="auto"/>
        <w:jc w:val="both"/>
        <w:rPr>
          <w:rFonts w:ascii="Arial" w:hAnsi="Arial" w:cs="Arial"/>
          <w:b/>
          <w:bCs/>
          <w:sz w:val="20"/>
          <w:szCs w:val="20"/>
        </w:rPr>
      </w:pPr>
    </w:p>
    <w:p w:rsidR="00260A21" w:rsidRDefault="005163B4">
      <w:pPr>
        <w:spacing w:line="240" w:lineRule="auto"/>
        <w:jc w:val="both"/>
        <w:rPr>
          <w:rFonts w:ascii="Arial" w:hAnsi="Arial" w:cs="Arial"/>
          <w:b/>
          <w:bCs/>
          <w:sz w:val="20"/>
          <w:szCs w:val="20"/>
        </w:rPr>
      </w:pPr>
      <w:r>
        <w:rPr>
          <w:rFonts w:ascii="Arial" w:hAnsi="Arial" w:cs="Arial"/>
          <w:b/>
          <w:bCs/>
          <w:sz w:val="20"/>
          <w:szCs w:val="20"/>
        </w:rPr>
        <w:t>Table 3. Results showing the effect of oral treatments on the liver protein and bilirubin concentrations in the experimental rats.</w:t>
      </w:r>
    </w:p>
    <w:tbl>
      <w:tblPr>
        <w:tblStyle w:val="ListTable6Colorful1"/>
        <w:tblW w:w="10075" w:type="dxa"/>
        <w:tblLayout w:type="fixed"/>
        <w:tblLook w:val="04A0" w:firstRow="1" w:lastRow="0" w:firstColumn="1" w:lastColumn="0" w:noHBand="0" w:noVBand="1"/>
      </w:tblPr>
      <w:tblGrid>
        <w:gridCol w:w="1646"/>
        <w:gridCol w:w="1602"/>
        <w:gridCol w:w="1601"/>
        <w:gridCol w:w="1716"/>
        <w:gridCol w:w="1710"/>
        <w:gridCol w:w="1800"/>
      </w:tblGrid>
      <w:tr w:rsidR="00260A21" w:rsidTr="00260A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6" w:type="dxa"/>
            <w:tcBorders>
              <w:top w:val="single" w:sz="18" w:space="0" w:color="auto"/>
              <w:bottom w:val="single" w:sz="18" w:space="0" w:color="auto"/>
            </w:tcBorders>
            <w:shd w:val="clear" w:color="auto" w:fill="auto"/>
          </w:tcPr>
          <w:p w:rsidR="00260A21" w:rsidRDefault="005163B4">
            <w:pPr>
              <w:spacing w:line="240" w:lineRule="auto"/>
              <w:jc w:val="center"/>
              <w:rPr>
                <w:rFonts w:ascii="Arial" w:hAnsi="Arial" w:cs="Arial"/>
                <w:b w:val="0"/>
                <w:sz w:val="20"/>
                <w:szCs w:val="20"/>
              </w:rPr>
            </w:pPr>
            <w:r>
              <w:rPr>
                <w:rFonts w:ascii="Arial" w:hAnsi="Arial" w:cs="Arial"/>
                <w:sz w:val="20"/>
                <w:szCs w:val="20"/>
              </w:rPr>
              <w:t>Treatment</w:t>
            </w:r>
          </w:p>
        </w:tc>
        <w:tc>
          <w:tcPr>
            <w:tcW w:w="1602" w:type="dxa"/>
            <w:tcBorders>
              <w:top w:val="single" w:sz="18" w:space="0" w:color="auto"/>
              <w:bottom w:val="single" w:sz="18" w:space="0" w:color="auto"/>
            </w:tcBorders>
            <w:shd w:val="clear" w:color="auto" w:fill="auto"/>
          </w:tcPr>
          <w:p w:rsidR="00260A21" w:rsidRDefault="005163B4">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Pr>
                <w:rFonts w:ascii="Arial" w:hAnsi="Arial" w:cs="Arial"/>
                <w:sz w:val="20"/>
                <w:szCs w:val="20"/>
              </w:rPr>
              <w:t>TOTAL BILIRUBIN</w:t>
            </w:r>
          </w:p>
        </w:tc>
        <w:tc>
          <w:tcPr>
            <w:tcW w:w="1601" w:type="dxa"/>
            <w:tcBorders>
              <w:top w:val="single" w:sz="18" w:space="0" w:color="auto"/>
              <w:bottom w:val="single" w:sz="18" w:space="0" w:color="auto"/>
            </w:tcBorders>
            <w:shd w:val="clear" w:color="auto" w:fill="auto"/>
          </w:tcPr>
          <w:p w:rsidR="00260A21" w:rsidRDefault="005163B4">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Pr>
                <w:rFonts w:ascii="Arial" w:hAnsi="Arial" w:cs="Arial"/>
                <w:sz w:val="20"/>
                <w:szCs w:val="20"/>
              </w:rPr>
              <w:t>DIRECT BILIRUBIN</w:t>
            </w:r>
          </w:p>
        </w:tc>
        <w:tc>
          <w:tcPr>
            <w:tcW w:w="1716" w:type="dxa"/>
            <w:tcBorders>
              <w:top w:val="single" w:sz="18" w:space="0" w:color="auto"/>
              <w:bottom w:val="single" w:sz="18" w:space="0" w:color="auto"/>
            </w:tcBorders>
            <w:shd w:val="clear" w:color="auto" w:fill="auto"/>
          </w:tcPr>
          <w:p w:rsidR="00260A21" w:rsidRDefault="005163B4">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Pr>
                <w:rFonts w:ascii="Arial" w:hAnsi="Arial" w:cs="Arial"/>
                <w:sz w:val="20"/>
                <w:szCs w:val="20"/>
              </w:rPr>
              <w:t>TOTAL PROTEIN</w:t>
            </w:r>
          </w:p>
        </w:tc>
        <w:tc>
          <w:tcPr>
            <w:tcW w:w="1710" w:type="dxa"/>
            <w:tcBorders>
              <w:top w:val="single" w:sz="18" w:space="0" w:color="auto"/>
              <w:bottom w:val="single" w:sz="18" w:space="0" w:color="auto"/>
            </w:tcBorders>
            <w:shd w:val="clear" w:color="auto" w:fill="auto"/>
          </w:tcPr>
          <w:p w:rsidR="00260A21" w:rsidRDefault="005163B4">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Pr>
                <w:rFonts w:ascii="Arial" w:hAnsi="Arial" w:cs="Arial"/>
                <w:sz w:val="20"/>
                <w:szCs w:val="20"/>
              </w:rPr>
              <w:t>GLOBULIN</w:t>
            </w:r>
          </w:p>
        </w:tc>
        <w:tc>
          <w:tcPr>
            <w:tcW w:w="1800" w:type="dxa"/>
            <w:tcBorders>
              <w:top w:val="single" w:sz="18" w:space="0" w:color="auto"/>
              <w:bottom w:val="single" w:sz="18" w:space="0" w:color="auto"/>
            </w:tcBorders>
            <w:shd w:val="clear" w:color="auto" w:fill="auto"/>
          </w:tcPr>
          <w:p w:rsidR="00260A21" w:rsidRDefault="005163B4">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Pr>
                <w:rFonts w:ascii="Arial" w:hAnsi="Arial" w:cs="Arial"/>
                <w:sz w:val="20"/>
                <w:szCs w:val="20"/>
              </w:rPr>
              <w:t>ALBUMIN</w:t>
            </w:r>
          </w:p>
        </w:tc>
      </w:tr>
      <w:tr w:rsidR="00260A21" w:rsidTr="00260A21">
        <w:tc>
          <w:tcPr>
            <w:cnfStyle w:val="001000000000" w:firstRow="0" w:lastRow="0" w:firstColumn="1" w:lastColumn="0" w:oddVBand="0" w:evenVBand="0" w:oddHBand="0" w:evenHBand="0" w:firstRowFirstColumn="0" w:firstRowLastColumn="0" w:lastRowFirstColumn="0" w:lastRowLastColumn="0"/>
            <w:tcW w:w="1646" w:type="dxa"/>
            <w:tcBorders>
              <w:top w:val="single" w:sz="18" w:space="0" w:color="auto"/>
            </w:tcBorders>
            <w:shd w:val="clear" w:color="auto" w:fill="auto"/>
          </w:tcPr>
          <w:p w:rsidR="00260A21" w:rsidRDefault="005163B4">
            <w:pPr>
              <w:spacing w:line="240" w:lineRule="auto"/>
              <w:jc w:val="center"/>
              <w:rPr>
                <w:rFonts w:ascii="Arial" w:hAnsi="Arial" w:cs="Arial"/>
                <w:sz w:val="20"/>
                <w:szCs w:val="20"/>
              </w:rPr>
            </w:pPr>
            <w:r>
              <w:rPr>
                <w:rFonts w:ascii="Arial" w:hAnsi="Arial" w:cs="Arial"/>
                <w:sz w:val="20"/>
                <w:szCs w:val="20"/>
              </w:rPr>
              <w:t>Control</w:t>
            </w:r>
          </w:p>
        </w:tc>
        <w:tc>
          <w:tcPr>
            <w:tcW w:w="1602" w:type="dxa"/>
            <w:tcBorders>
              <w:top w:val="single" w:sz="18" w:space="0" w:color="auto"/>
            </w:tcBorders>
          </w:tcPr>
          <w:p w:rsidR="00260A21" w:rsidRDefault="005163B4">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16.06 ± 0.54</w:t>
            </w:r>
            <w:r>
              <w:rPr>
                <w:rFonts w:ascii="Arial" w:hAnsi="Arial" w:cs="Arial"/>
                <w:sz w:val="20"/>
                <w:szCs w:val="20"/>
                <w:vertAlign w:val="superscript"/>
              </w:rPr>
              <w:t>a</w:t>
            </w:r>
          </w:p>
        </w:tc>
        <w:tc>
          <w:tcPr>
            <w:tcW w:w="1601" w:type="dxa"/>
            <w:tcBorders>
              <w:top w:val="single" w:sz="18" w:space="0" w:color="auto"/>
            </w:tcBorders>
            <w:shd w:val="clear" w:color="auto" w:fill="auto"/>
          </w:tcPr>
          <w:p w:rsidR="00260A21" w:rsidRDefault="005163B4">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11.76 ± 0.33</w:t>
            </w:r>
            <w:r>
              <w:rPr>
                <w:rFonts w:ascii="Arial" w:hAnsi="Arial" w:cs="Arial"/>
                <w:sz w:val="20"/>
                <w:szCs w:val="20"/>
                <w:vertAlign w:val="superscript"/>
              </w:rPr>
              <w:t>a</w:t>
            </w:r>
          </w:p>
        </w:tc>
        <w:tc>
          <w:tcPr>
            <w:tcW w:w="1716" w:type="dxa"/>
            <w:tcBorders>
              <w:top w:val="single" w:sz="18" w:space="0" w:color="auto"/>
            </w:tcBorders>
          </w:tcPr>
          <w:p w:rsidR="00260A21" w:rsidRDefault="005163B4">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10.00 ± 0.37</w:t>
            </w:r>
            <w:r>
              <w:rPr>
                <w:rFonts w:ascii="Arial" w:hAnsi="Arial" w:cs="Arial"/>
                <w:sz w:val="20"/>
                <w:szCs w:val="20"/>
                <w:vertAlign w:val="superscript"/>
              </w:rPr>
              <w:t>a</w:t>
            </w:r>
          </w:p>
        </w:tc>
        <w:tc>
          <w:tcPr>
            <w:tcW w:w="1710" w:type="dxa"/>
            <w:tcBorders>
              <w:top w:val="single" w:sz="18" w:space="0" w:color="auto"/>
            </w:tcBorders>
            <w:shd w:val="clear" w:color="auto" w:fill="auto"/>
          </w:tcPr>
          <w:p w:rsidR="00260A21" w:rsidRDefault="005163B4">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4.19 ± 0.15</w:t>
            </w:r>
            <w:r>
              <w:rPr>
                <w:rFonts w:ascii="Arial" w:hAnsi="Arial" w:cs="Arial"/>
                <w:sz w:val="20"/>
                <w:szCs w:val="20"/>
                <w:vertAlign w:val="superscript"/>
              </w:rPr>
              <w:t>ae</w:t>
            </w:r>
          </w:p>
        </w:tc>
        <w:tc>
          <w:tcPr>
            <w:tcW w:w="1800" w:type="dxa"/>
            <w:tcBorders>
              <w:top w:val="single" w:sz="18" w:space="0" w:color="auto"/>
            </w:tcBorders>
          </w:tcPr>
          <w:p w:rsidR="00260A21" w:rsidRDefault="005163B4">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5.81 ± 0.35</w:t>
            </w:r>
            <w:r>
              <w:rPr>
                <w:rFonts w:ascii="Arial" w:hAnsi="Arial" w:cs="Arial"/>
                <w:sz w:val="20"/>
                <w:szCs w:val="20"/>
                <w:vertAlign w:val="superscript"/>
              </w:rPr>
              <w:t>a</w:t>
            </w:r>
          </w:p>
        </w:tc>
      </w:tr>
      <w:tr w:rsidR="00260A21" w:rsidTr="00260A21">
        <w:tc>
          <w:tcPr>
            <w:cnfStyle w:val="001000000000" w:firstRow="0" w:lastRow="0" w:firstColumn="1" w:lastColumn="0" w:oddVBand="0" w:evenVBand="0" w:oddHBand="0" w:evenHBand="0" w:firstRowFirstColumn="0" w:firstRowLastColumn="0" w:lastRowFirstColumn="0" w:lastRowLastColumn="0"/>
            <w:tcW w:w="1646" w:type="dxa"/>
            <w:shd w:val="clear" w:color="auto" w:fill="auto"/>
          </w:tcPr>
          <w:p w:rsidR="00260A21" w:rsidRDefault="005163B4">
            <w:pPr>
              <w:spacing w:line="240" w:lineRule="auto"/>
              <w:jc w:val="center"/>
              <w:rPr>
                <w:rFonts w:ascii="Arial" w:hAnsi="Arial" w:cs="Arial"/>
                <w:sz w:val="20"/>
                <w:szCs w:val="20"/>
              </w:rPr>
            </w:pPr>
            <w:r>
              <w:rPr>
                <w:rFonts w:ascii="Arial" w:hAnsi="Arial" w:cs="Arial"/>
                <w:sz w:val="20"/>
                <w:szCs w:val="20"/>
              </w:rPr>
              <w:t>Negative control</w:t>
            </w:r>
          </w:p>
        </w:tc>
        <w:tc>
          <w:tcPr>
            <w:tcW w:w="1602" w:type="dxa"/>
            <w:shd w:val="clear" w:color="auto" w:fill="auto"/>
          </w:tcPr>
          <w:p w:rsidR="00260A21" w:rsidRDefault="005163B4">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24.40 ± 0.93</w:t>
            </w:r>
            <w:r>
              <w:rPr>
                <w:rFonts w:ascii="Arial" w:hAnsi="Arial" w:cs="Arial"/>
                <w:sz w:val="20"/>
                <w:szCs w:val="20"/>
                <w:vertAlign w:val="superscript"/>
              </w:rPr>
              <w:t>b</w:t>
            </w:r>
          </w:p>
        </w:tc>
        <w:tc>
          <w:tcPr>
            <w:tcW w:w="1601" w:type="dxa"/>
            <w:shd w:val="clear" w:color="auto" w:fill="auto"/>
          </w:tcPr>
          <w:p w:rsidR="00260A21" w:rsidRDefault="005163B4">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17.21 ± 0.60</w:t>
            </w:r>
            <w:r>
              <w:rPr>
                <w:rFonts w:ascii="Arial" w:hAnsi="Arial" w:cs="Arial"/>
                <w:sz w:val="20"/>
                <w:szCs w:val="20"/>
                <w:vertAlign w:val="superscript"/>
              </w:rPr>
              <w:t>b</w:t>
            </w:r>
          </w:p>
        </w:tc>
        <w:tc>
          <w:tcPr>
            <w:tcW w:w="1716" w:type="dxa"/>
            <w:shd w:val="clear" w:color="auto" w:fill="auto"/>
          </w:tcPr>
          <w:p w:rsidR="00260A21" w:rsidRDefault="005163B4">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5.29 ± 0.85</w:t>
            </w:r>
            <w:r>
              <w:rPr>
                <w:rFonts w:ascii="Arial" w:hAnsi="Arial" w:cs="Arial"/>
                <w:sz w:val="20"/>
                <w:szCs w:val="20"/>
                <w:vertAlign w:val="superscript"/>
              </w:rPr>
              <w:t>b</w:t>
            </w:r>
          </w:p>
        </w:tc>
        <w:tc>
          <w:tcPr>
            <w:tcW w:w="1710" w:type="dxa"/>
            <w:shd w:val="clear" w:color="auto" w:fill="auto"/>
          </w:tcPr>
          <w:p w:rsidR="00260A21" w:rsidRDefault="005163B4">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1.88 ± 0.19</w:t>
            </w:r>
            <w:r>
              <w:rPr>
                <w:rFonts w:ascii="Arial" w:hAnsi="Arial" w:cs="Arial"/>
                <w:sz w:val="20"/>
                <w:szCs w:val="20"/>
                <w:vertAlign w:val="superscript"/>
              </w:rPr>
              <w:t>b</w:t>
            </w:r>
          </w:p>
        </w:tc>
        <w:tc>
          <w:tcPr>
            <w:tcW w:w="1800" w:type="dxa"/>
            <w:shd w:val="clear" w:color="auto" w:fill="auto"/>
          </w:tcPr>
          <w:p w:rsidR="00260A21" w:rsidRDefault="005163B4">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3.76 ± 0.54</w:t>
            </w:r>
            <w:r>
              <w:rPr>
                <w:rFonts w:ascii="Arial" w:hAnsi="Arial" w:cs="Arial"/>
                <w:sz w:val="20"/>
                <w:szCs w:val="20"/>
                <w:vertAlign w:val="superscript"/>
              </w:rPr>
              <w:t>b</w:t>
            </w:r>
          </w:p>
        </w:tc>
      </w:tr>
      <w:tr w:rsidR="00260A21" w:rsidTr="00260A21">
        <w:tc>
          <w:tcPr>
            <w:cnfStyle w:val="001000000000" w:firstRow="0" w:lastRow="0" w:firstColumn="1" w:lastColumn="0" w:oddVBand="0" w:evenVBand="0" w:oddHBand="0" w:evenHBand="0" w:firstRowFirstColumn="0" w:firstRowLastColumn="0" w:lastRowFirstColumn="0" w:lastRowLastColumn="0"/>
            <w:tcW w:w="1646" w:type="dxa"/>
            <w:shd w:val="clear" w:color="auto" w:fill="auto"/>
          </w:tcPr>
          <w:p w:rsidR="00260A21" w:rsidRDefault="005163B4">
            <w:pPr>
              <w:spacing w:line="240" w:lineRule="auto"/>
              <w:jc w:val="center"/>
              <w:rPr>
                <w:rFonts w:ascii="Arial" w:hAnsi="Arial" w:cs="Arial"/>
                <w:sz w:val="20"/>
                <w:szCs w:val="20"/>
              </w:rPr>
            </w:pPr>
            <w:proofErr w:type="spellStart"/>
            <w:r>
              <w:rPr>
                <w:rFonts w:ascii="Arial" w:hAnsi="Arial" w:cs="Arial"/>
                <w:sz w:val="20"/>
                <w:szCs w:val="20"/>
              </w:rPr>
              <w:t>Fansteride</w:t>
            </w:r>
            <w:proofErr w:type="spellEnd"/>
            <w:r>
              <w:rPr>
                <w:rFonts w:ascii="Arial" w:hAnsi="Arial" w:cs="Arial"/>
                <w:sz w:val="20"/>
                <w:szCs w:val="20"/>
              </w:rPr>
              <w:t xml:space="preserve"> (5 mg)</w:t>
            </w:r>
          </w:p>
        </w:tc>
        <w:tc>
          <w:tcPr>
            <w:tcW w:w="1602" w:type="dxa"/>
          </w:tcPr>
          <w:p w:rsidR="00260A21" w:rsidRDefault="005163B4">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17.63 ± 1.42</w:t>
            </w:r>
            <w:r>
              <w:rPr>
                <w:rFonts w:ascii="Arial" w:hAnsi="Arial" w:cs="Arial"/>
                <w:sz w:val="20"/>
                <w:szCs w:val="20"/>
                <w:vertAlign w:val="superscript"/>
              </w:rPr>
              <w:t>ac</w:t>
            </w:r>
          </w:p>
        </w:tc>
        <w:tc>
          <w:tcPr>
            <w:tcW w:w="1601" w:type="dxa"/>
            <w:shd w:val="clear" w:color="auto" w:fill="auto"/>
          </w:tcPr>
          <w:p w:rsidR="00260A21" w:rsidRDefault="005163B4">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13.28 ± 0.93</w:t>
            </w:r>
            <w:r>
              <w:rPr>
                <w:rFonts w:ascii="Arial" w:hAnsi="Arial" w:cs="Arial"/>
                <w:sz w:val="20"/>
                <w:szCs w:val="20"/>
                <w:vertAlign w:val="superscript"/>
              </w:rPr>
              <w:t>ac</w:t>
            </w:r>
          </w:p>
        </w:tc>
        <w:tc>
          <w:tcPr>
            <w:tcW w:w="1716" w:type="dxa"/>
          </w:tcPr>
          <w:p w:rsidR="00260A21" w:rsidRDefault="005163B4">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8.74 ± 0.21</w:t>
            </w:r>
            <w:r>
              <w:rPr>
                <w:rFonts w:ascii="Arial" w:hAnsi="Arial" w:cs="Arial"/>
                <w:sz w:val="20"/>
                <w:szCs w:val="20"/>
                <w:vertAlign w:val="superscript"/>
              </w:rPr>
              <w:t>c</w:t>
            </w:r>
          </w:p>
        </w:tc>
        <w:tc>
          <w:tcPr>
            <w:tcW w:w="1710" w:type="dxa"/>
            <w:shd w:val="clear" w:color="auto" w:fill="auto"/>
          </w:tcPr>
          <w:p w:rsidR="00260A21" w:rsidRDefault="005163B4">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4.42 ± 0.40</w:t>
            </w:r>
            <w:r>
              <w:rPr>
                <w:rFonts w:ascii="Arial" w:hAnsi="Arial" w:cs="Arial"/>
                <w:sz w:val="20"/>
                <w:szCs w:val="20"/>
                <w:vertAlign w:val="superscript"/>
              </w:rPr>
              <w:t>a</w:t>
            </w:r>
          </w:p>
        </w:tc>
        <w:tc>
          <w:tcPr>
            <w:tcW w:w="1800" w:type="dxa"/>
          </w:tcPr>
          <w:p w:rsidR="00260A21" w:rsidRDefault="005163B4">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4.32 ± 0.20</w:t>
            </w:r>
            <w:r>
              <w:rPr>
                <w:rFonts w:ascii="Arial" w:hAnsi="Arial" w:cs="Arial"/>
                <w:sz w:val="20"/>
                <w:szCs w:val="20"/>
                <w:vertAlign w:val="superscript"/>
              </w:rPr>
              <w:t>b</w:t>
            </w:r>
          </w:p>
        </w:tc>
      </w:tr>
      <w:tr w:rsidR="00260A21" w:rsidTr="00260A21">
        <w:tc>
          <w:tcPr>
            <w:cnfStyle w:val="001000000000" w:firstRow="0" w:lastRow="0" w:firstColumn="1" w:lastColumn="0" w:oddVBand="0" w:evenVBand="0" w:oddHBand="0" w:evenHBand="0" w:firstRowFirstColumn="0" w:firstRowLastColumn="0" w:lastRowFirstColumn="0" w:lastRowLastColumn="0"/>
            <w:tcW w:w="1646" w:type="dxa"/>
            <w:shd w:val="clear" w:color="auto" w:fill="auto"/>
          </w:tcPr>
          <w:p w:rsidR="00260A21" w:rsidRDefault="005163B4">
            <w:pPr>
              <w:spacing w:line="240" w:lineRule="auto"/>
              <w:jc w:val="center"/>
              <w:rPr>
                <w:rFonts w:ascii="Arial" w:hAnsi="Arial" w:cs="Arial"/>
                <w:sz w:val="20"/>
                <w:szCs w:val="20"/>
              </w:rPr>
            </w:pPr>
            <w:r>
              <w:rPr>
                <w:rFonts w:ascii="Arial" w:hAnsi="Arial" w:cs="Arial"/>
                <w:sz w:val="20"/>
                <w:szCs w:val="20"/>
              </w:rPr>
              <w:t>Leaves (250 mg)</w:t>
            </w:r>
          </w:p>
        </w:tc>
        <w:tc>
          <w:tcPr>
            <w:tcW w:w="1602" w:type="dxa"/>
            <w:shd w:val="clear" w:color="auto" w:fill="auto"/>
          </w:tcPr>
          <w:p w:rsidR="00260A21" w:rsidRDefault="005163B4">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18.53 ± 0.70</w:t>
            </w:r>
            <w:r>
              <w:rPr>
                <w:rFonts w:ascii="Arial" w:hAnsi="Arial" w:cs="Arial"/>
                <w:sz w:val="20"/>
                <w:szCs w:val="20"/>
                <w:vertAlign w:val="superscript"/>
              </w:rPr>
              <w:t>c</w:t>
            </w:r>
          </w:p>
        </w:tc>
        <w:tc>
          <w:tcPr>
            <w:tcW w:w="1601" w:type="dxa"/>
            <w:shd w:val="clear" w:color="auto" w:fill="auto"/>
          </w:tcPr>
          <w:p w:rsidR="00260A21" w:rsidRDefault="005163B4">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14.79 ± 0.52</w:t>
            </w:r>
            <w:r>
              <w:rPr>
                <w:rFonts w:ascii="Arial" w:hAnsi="Arial" w:cs="Arial"/>
                <w:sz w:val="20"/>
                <w:szCs w:val="20"/>
                <w:vertAlign w:val="superscript"/>
              </w:rPr>
              <w:t>c</w:t>
            </w:r>
          </w:p>
        </w:tc>
        <w:tc>
          <w:tcPr>
            <w:tcW w:w="1716" w:type="dxa"/>
            <w:shd w:val="clear" w:color="auto" w:fill="auto"/>
          </w:tcPr>
          <w:p w:rsidR="00260A21" w:rsidRDefault="005163B4">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7.57 ± 0.27</w:t>
            </w:r>
            <w:r>
              <w:rPr>
                <w:rFonts w:ascii="Arial" w:hAnsi="Arial" w:cs="Arial"/>
                <w:sz w:val="20"/>
                <w:szCs w:val="20"/>
                <w:vertAlign w:val="superscript"/>
              </w:rPr>
              <w:t>d</w:t>
            </w:r>
          </w:p>
        </w:tc>
        <w:tc>
          <w:tcPr>
            <w:tcW w:w="1710" w:type="dxa"/>
            <w:shd w:val="clear" w:color="auto" w:fill="auto"/>
          </w:tcPr>
          <w:p w:rsidR="00260A21" w:rsidRDefault="005163B4">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3.34 ± 0.20</w:t>
            </w:r>
            <w:r>
              <w:rPr>
                <w:rFonts w:ascii="Arial" w:hAnsi="Arial" w:cs="Arial"/>
                <w:sz w:val="20"/>
                <w:szCs w:val="20"/>
                <w:vertAlign w:val="superscript"/>
              </w:rPr>
              <w:t>c</w:t>
            </w:r>
          </w:p>
        </w:tc>
        <w:tc>
          <w:tcPr>
            <w:tcW w:w="1800" w:type="dxa"/>
            <w:shd w:val="clear" w:color="auto" w:fill="auto"/>
          </w:tcPr>
          <w:p w:rsidR="00260A21" w:rsidRDefault="005163B4">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sz w:val="20"/>
                <w:szCs w:val="20"/>
              </w:rPr>
              <w:t>4.23 ± 0.07</w:t>
            </w:r>
            <w:r>
              <w:rPr>
                <w:rFonts w:ascii="Arial" w:hAnsi="Arial" w:cs="Arial"/>
                <w:sz w:val="20"/>
                <w:szCs w:val="20"/>
                <w:vertAlign w:val="superscript"/>
              </w:rPr>
              <w:t>b</w:t>
            </w:r>
          </w:p>
        </w:tc>
      </w:tr>
      <w:tr w:rsidR="00260A21" w:rsidTr="00260A21">
        <w:tc>
          <w:tcPr>
            <w:cnfStyle w:val="001000000000" w:firstRow="0" w:lastRow="0" w:firstColumn="1" w:lastColumn="0" w:oddVBand="0" w:evenVBand="0" w:oddHBand="0" w:evenHBand="0" w:firstRowFirstColumn="0" w:firstRowLastColumn="0" w:lastRowFirstColumn="0" w:lastRowLastColumn="0"/>
            <w:tcW w:w="1646" w:type="dxa"/>
            <w:shd w:val="clear" w:color="auto" w:fill="auto"/>
          </w:tcPr>
          <w:p w:rsidR="00260A21" w:rsidRDefault="005163B4">
            <w:pPr>
              <w:spacing w:line="240" w:lineRule="auto"/>
              <w:jc w:val="center"/>
              <w:rPr>
                <w:rFonts w:ascii="Arial" w:hAnsi="Arial" w:cs="Arial"/>
                <w:sz w:val="20"/>
                <w:szCs w:val="20"/>
              </w:rPr>
            </w:pPr>
            <w:r>
              <w:rPr>
                <w:rFonts w:ascii="Arial" w:hAnsi="Arial" w:cs="Arial"/>
                <w:sz w:val="20"/>
                <w:szCs w:val="20"/>
              </w:rPr>
              <w:t>Leaves (500 mg)</w:t>
            </w:r>
          </w:p>
        </w:tc>
        <w:tc>
          <w:tcPr>
            <w:tcW w:w="1602" w:type="dxa"/>
          </w:tcPr>
          <w:p w:rsidR="00260A21" w:rsidRDefault="005163B4">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17.22 ± 0.34</w:t>
            </w:r>
            <w:r>
              <w:rPr>
                <w:rFonts w:ascii="Arial" w:hAnsi="Arial" w:cs="Arial"/>
                <w:sz w:val="20"/>
                <w:szCs w:val="20"/>
                <w:vertAlign w:val="superscript"/>
              </w:rPr>
              <w:t>ac</w:t>
            </w:r>
          </w:p>
        </w:tc>
        <w:tc>
          <w:tcPr>
            <w:tcW w:w="1601" w:type="dxa"/>
            <w:shd w:val="clear" w:color="auto" w:fill="auto"/>
          </w:tcPr>
          <w:p w:rsidR="00260A21" w:rsidRDefault="005163B4">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14.06 ± 0.60</w:t>
            </w:r>
            <w:r>
              <w:rPr>
                <w:rFonts w:ascii="Arial" w:hAnsi="Arial" w:cs="Arial"/>
                <w:sz w:val="20"/>
                <w:szCs w:val="20"/>
                <w:vertAlign w:val="superscript"/>
              </w:rPr>
              <w:t>c</w:t>
            </w:r>
          </w:p>
        </w:tc>
        <w:tc>
          <w:tcPr>
            <w:tcW w:w="1716" w:type="dxa"/>
          </w:tcPr>
          <w:p w:rsidR="00260A21" w:rsidRDefault="005163B4">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7.57 ± 0.39</w:t>
            </w:r>
            <w:r>
              <w:rPr>
                <w:rFonts w:ascii="Arial" w:hAnsi="Arial" w:cs="Arial"/>
                <w:sz w:val="20"/>
                <w:szCs w:val="20"/>
                <w:vertAlign w:val="superscript"/>
              </w:rPr>
              <w:t>d</w:t>
            </w:r>
          </w:p>
        </w:tc>
        <w:tc>
          <w:tcPr>
            <w:tcW w:w="1710" w:type="dxa"/>
            <w:shd w:val="clear" w:color="auto" w:fill="auto"/>
          </w:tcPr>
          <w:p w:rsidR="00260A21" w:rsidRDefault="005163B4">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2.59 ± 0.38</w:t>
            </w:r>
            <w:r>
              <w:rPr>
                <w:rFonts w:ascii="Arial" w:hAnsi="Arial" w:cs="Arial"/>
                <w:sz w:val="20"/>
                <w:szCs w:val="20"/>
                <w:vertAlign w:val="superscript"/>
              </w:rPr>
              <w:t>d</w:t>
            </w:r>
          </w:p>
        </w:tc>
        <w:tc>
          <w:tcPr>
            <w:tcW w:w="1800" w:type="dxa"/>
          </w:tcPr>
          <w:p w:rsidR="00260A21" w:rsidRDefault="005163B4">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4.98 ± 0.65</w:t>
            </w:r>
            <w:r>
              <w:rPr>
                <w:rFonts w:ascii="Arial" w:hAnsi="Arial" w:cs="Arial"/>
                <w:sz w:val="20"/>
                <w:szCs w:val="20"/>
                <w:vertAlign w:val="superscript"/>
              </w:rPr>
              <w:t>ac</w:t>
            </w:r>
          </w:p>
        </w:tc>
      </w:tr>
      <w:tr w:rsidR="00260A21" w:rsidTr="00260A21">
        <w:tc>
          <w:tcPr>
            <w:cnfStyle w:val="001000000000" w:firstRow="0" w:lastRow="0" w:firstColumn="1" w:lastColumn="0" w:oddVBand="0" w:evenVBand="0" w:oddHBand="0" w:evenHBand="0" w:firstRowFirstColumn="0" w:firstRowLastColumn="0" w:lastRowFirstColumn="0" w:lastRowLastColumn="0"/>
            <w:tcW w:w="1646" w:type="dxa"/>
            <w:shd w:val="clear" w:color="auto" w:fill="auto"/>
          </w:tcPr>
          <w:p w:rsidR="00260A21" w:rsidRDefault="005163B4">
            <w:pPr>
              <w:spacing w:line="240" w:lineRule="auto"/>
              <w:jc w:val="center"/>
              <w:rPr>
                <w:rFonts w:ascii="Arial" w:hAnsi="Arial" w:cs="Arial"/>
                <w:sz w:val="20"/>
                <w:szCs w:val="20"/>
              </w:rPr>
            </w:pPr>
            <w:r>
              <w:rPr>
                <w:rFonts w:ascii="Arial" w:hAnsi="Arial" w:cs="Arial"/>
                <w:sz w:val="20"/>
                <w:szCs w:val="20"/>
              </w:rPr>
              <w:t>Stem (250 mg)</w:t>
            </w:r>
          </w:p>
        </w:tc>
        <w:tc>
          <w:tcPr>
            <w:tcW w:w="1602" w:type="dxa"/>
            <w:shd w:val="clear" w:color="auto" w:fill="auto"/>
          </w:tcPr>
          <w:p w:rsidR="00260A21" w:rsidRDefault="005163B4">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16.11 ± 0.24</w:t>
            </w:r>
            <w:r>
              <w:rPr>
                <w:rFonts w:ascii="Arial" w:hAnsi="Arial" w:cs="Arial"/>
                <w:sz w:val="20"/>
                <w:szCs w:val="20"/>
                <w:vertAlign w:val="superscript"/>
              </w:rPr>
              <w:t>a</w:t>
            </w:r>
          </w:p>
        </w:tc>
        <w:tc>
          <w:tcPr>
            <w:tcW w:w="1601" w:type="dxa"/>
            <w:shd w:val="clear" w:color="auto" w:fill="auto"/>
          </w:tcPr>
          <w:p w:rsidR="00260A21" w:rsidRDefault="005163B4">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13.57 ± 0.27</w:t>
            </w:r>
            <w:r>
              <w:rPr>
                <w:rFonts w:ascii="Arial" w:hAnsi="Arial" w:cs="Arial"/>
                <w:sz w:val="20"/>
                <w:szCs w:val="20"/>
                <w:vertAlign w:val="superscript"/>
              </w:rPr>
              <w:t>ac</w:t>
            </w:r>
          </w:p>
        </w:tc>
        <w:tc>
          <w:tcPr>
            <w:tcW w:w="1716" w:type="dxa"/>
            <w:shd w:val="clear" w:color="auto" w:fill="auto"/>
          </w:tcPr>
          <w:p w:rsidR="00260A21" w:rsidRDefault="005163B4">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8.30 ± 0.19</w:t>
            </w:r>
            <w:r>
              <w:rPr>
                <w:rFonts w:ascii="Arial" w:hAnsi="Arial" w:cs="Arial"/>
                <w:sz w:val="20"/>
                <w:szCs w:val="20"/>
                <w:vertAlign w:val="superscript"/>
              </w:rPr>
              <w:t>cd</w:t>
            </w:r>
          </w:p>
        </w:tc>
        <w:tc>
          <w:tcPr>
            <w:tcW w:w="1710" w:type="dxa"/>
            <w:shd w:val="clear" w:color="auto" w:fill="auto"/>
          </w:tcPr>
          <w:p w:rsidR="00260A21" w:rsidRDefault="005163B4">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3.01 ± 0.09</w:t>
            </w:r>
            <w:r>
              <w:rPr>
                <w:rFonts w:ascii="Arial" w:hAnsi="Arial" w:cs="Arial"/>
                <w:sz w:val="20"/>
                <w:szCs w:val="20"/>
                <w:vertAlign w:val="superscript"/>
              </w:rPr>
              <w:t>cd</w:t>
            </w:r>
          </w:p>
        </w:tc>
        <w:tc>
          <w:tcPr>
            <w:tcW w:w="1800" w:type="dxa"/>
            <w:shd w:val="clear" w:color="auto" w:fill="auto"/>
          </w:tcPr>
          <w:p w:rsidR="00260A21" w:rsidRDefault="005163B4">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5.29 ± 0.24</w:t>
            </w:r>
            <w:r>
              <w:rPr>
                <w:rFonts w:ascii="Arial" w:hAnsi="Arial" w:cs="Arial"/>
                <w:sz w:val="20"/>
                <w:szCs w:val="20"/>
                <w:vertAlign w:val="superscript"/>
              </w:rPr>
              <w:t>c</w:t>
            </w:r>
          </w:p>
        </w:tc>
      </w:tr>
      <w:tr w:rsidR="00260A21" w:rsidTr="00260A21">
        <w:tc>
          <w:tcPr>
            <w:cnfStyle w:val="001000000000" w:firstRow="0" w:lastRow="0" w:firstColumn="1" w:lastColumn="0" w:oddVBand="0" w:evenVBand="0" w:oddHBand="0" w:evenHBand="0" w:firstRowFirstColumn="0" w:firstRowLastColumn="0" w:lastRowFirstColumn="0" w:lastRowLastColumn="0"/>
            <w:tcW w:w="1646" w:type="dxa"/>
            <w:shd w:val="clear" w:color="auto" w:fill="auto"/>
          </w:tcPr>
          <w:p w:rsidR="00260A21" w:rsidRDefault="005163B4">
            <w:pPr>
              <w:spacing w:line="240" w:lineRule="auto"/>
              <w:jc w:val="center"/>
              <w:rPr>
                <w:rFonts w:ascii="Arial" w:hAnsi="Arial" w:cs="Arial"/>
                <w:sz w:val="20"/>
                <w:szCs w:val="20"/>
              </w:rPr>
            </w:pPr>
            <w:r>
              <w:rPr>
                <w:rFonts w:ascii="Arial" w:hAnsi="Arial" w:cs="Arial"/>
                <w:sz w:val="20"/>
                <w:szCs w:val="20"/>
              </w:rPr>
              <w:t>Stem (500 mg)</w:t>
            </w:r>
          </w:p>
        </w:tc>
        <w:tc>
          <w:tcPr>
            <w:tcW w:w="1602" w:type="dxa"/>
          </w:tcPr>
          <w:p w:rsidR="00260A21" w:rsidRDefault="005163B4">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15.31 ± 9.32</w:t>
            </w:r>
            <w:r>
              <w:rPr>
                <w:rFonts w:ascii="Arial" w:hAnsi="Arial" w:cs="Arial"/>
                <w:sz w:val="20"/>
                <w:szCs w:val="20"/>
                <w:vertAlign w:val="superscript"/>
              </w:rPr>
              <w:t>a</w:t>
            </w:r>
          </w:p>
        </w:tc>
        <w:tc>
          <w:tcPr>
            <w:tcW w:w="1601" w:type="dxa"/>
            <w:shd w:val="clear" w:color="auto" w:fill="auto"/>
          </w:tcPr>
          <w:p w:rsidR="00260A21" w:rsidRDefault="005163B4">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12.54 ± 0.52</w:t>
            </w:r>
            <w:r>
              <w:rPr>
                <w:rFonts w:ascii="Arial" w:hAnsi="Arial" w:cs="Arial"/>
                <w:sz w:val="20"/>
                <w:szCs w:val="20"/>
                <w:vertAlign w:val="superscript"/>
              </w:rPr>
              <w:t>a</w:t>
            </w:r>
          </w:p>
        </w:tc>
        <w:tc>
          <w:tcPr>
            <w:tcW w:w="1716" w:type="dxa"/>
          </w:tcPr>
          <w:p w:rsidR="00260A21" w:rsidRDefault="005163B4">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9.39 ± 0.16</w:t>
            </w:r>
            <w:r>
              <w:rPr>
                <w:rFonts w:ascii="Arial" w:hAnsi="Arial" w:cs="Arial"/>
                <w:sz w:val="20"/>
                <w:szCs w:val="20"/>
                <w:vertAlign w:val="superscript"/>
              </w:rPr>
              <w:t>c</w:t>
            </w:r>
          </w:p>
        </w:tc>
        <w:tc>
          <w:tcPr>
            <w:tcW w:w="1710" w:type="dxa"/>
            <w:shd w:val="clear" w:color="auto" w:fill="auto"/>
          </w:tcPr>
          <w:p w:rsidR="00260A21" w:rsidRDefault="005163B4">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4.20 ± 0.17</w:t>
            </w:r>
            <w:r>
              <w:rPr>
                <w:rFonts w:ascii="Arial" w:hAnsi="Arial" w:cs="Arial"/>
                <w:sz w:val="20"/>
                <w:szCs w:val="20"/>
                <w:vertAlign w:val="superscript"/>
              </w:rPr>
              <w:t>ae</w:t>
            </w:r>
          </w:p>
        </w:tc>
        <w:tc>
          <w:tcPr>
            <w:tcW w:w="1800" w:type="dxa"/>
          </w:tcPr>
          <w:p w:rsidR="00260A21" w:rsidRDefault="005163B4">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5.19 ± 0.05</w:t>
            </w:r>
            <w:r>
              <w:rPr>
                <w:rFonts w:ascii="Arial" w:hAnsi="Arial" w:cs="Arial"/>
                <w:sz w:val="20"/>
                <w:szCs w:val="20"/>
                <w:vertAlign w:val="superscript"/>
              </w:rPr>
              <w:t>c</w:t>
            </w:r>
          </w:p>
        </w:tc>
      </w:tr>
      <w:tr w:rsidR="00260A21" w:rsidTr="00260A21">
        <w:tc>
          <w:tcPr>
            <w:cnfStyle w:val="001000000000" w:firstRow="0" w:lastRow="0" w:firstColumn="1" w:lastColumn="0" w:oddVBand="0" w:evenVBand="0" w:oddHBand="0" w:evenHBand="0" w:firstRowFirstColumn="0" w:firstRowLastColumn="0" w:lastRowFirstColumn="0" w:lastRowLastColumn="0"/>
            <w:tcW w:w="1646" w:type="dxa"/>
            <w:shd w:val="clear" w:color="auto" w:fill="auto"/>
          </w:tcPr>
          <w:p w:rsidR="00260A21" w:rsidRDefault="005163B4">
            <w:pPr>
              <w:spacing w:line="240" w:lineRule="auto"/>
              <w:jc w:val="center"/>
              <w:rPr>
                <w:rFonts w:ascii="Arial" w:hAnsi="Arial" w:cs="Arial"/>
                <w:sz w:val="20"/>
                <w:szCs w:val="20"/>
              </w:rPr>
            </w:pPr>
            <w:r>
              <w:rPr>
                <w:rFonts w:ascii="Arial" w:hAnsi="Arial" w:cs="Arial"/>
                <w:sz w:val="20"/>
                <w:szCs w:val="20"/>
              </w:rPr>
              <w:t>Pulp (250 mg)</w:t>
            </w:r>
          </w:p>
        </w:tc>
        <w:tc>
          <w:tcPr>
            <w:tcW w:w="1602" w:type="dxa"/>
            <w:shd w:val="clear" w:color="auto" w:fill="auto"/>
          </w:tcPr>
          <w:p w:rsidR="00260A21" w:rsidRDefault="005163B4">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18.07 ± 0.29</w:t>
            </w:r>
            <w:r>
              <w:rPr>
                <w:rFonts w:ascii="Arial" w:hAnsi="Arial" w:cs="Arial"/>
                <w:sz w:val="20"/>
                <w:szCs w:val="20"/>
                <w:vertAlign w:val="superscript"/>
              </w:rPr>
              <w:t>ac</w:t>
            </w:r>
          </w:p>
        </w:tc>
        <w:tc>
          <w:tcPr>
            <w:tcW w:w="1601" w:type="dxa"/>
            <w:shd w:val="clear" w:color="auto" w:fill="auto"/>
          </w:tcPr>
          <w:p w:rsidR="00260A21" w:rsidRDefault="005163B4">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13.90 ± 0.55</w:t>
            </w:r>
            <w:r>
              <w:rPr>
                <w:rFonts w:ascii="Arial" w:hAnsi="Arial" w:cs="Arial"/>
                <w:sz w:val="20"/>
                <w:szCs w:val="20"/>
                <w:vertAlign w:val="superscript"/>
              </w:rPr>
              <w:t>ac</w:t>
            </w:r>
          </w:p>
        </w:tc>
        <w:tc>
          <w:tcPr>
            <w:tcW w:w="1716" w:type="dxa"/>
            <w:shd w:val="clear" w:color="auto" w:fill="auto"/>
          </w:tcPr>
          <w:p w:rsidR="00260A21" w:rsidRDefault="005163B4">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6.65 ± 1.13</w:t>
            </w:r>
            <w:r>
              <w:rPr>
                <w:rFonts w:ascii="Arial" w:hAnsi="Arial" w:cs="Arial"/>
                <w:sz w:val="20"/>
                <w:szCs w:val="20"/>
                <w:vertAlign w:val="superscript"/>
              </w:rPr>
              <w:t>bd</w:t>
            </w:r>
          </w:p>
        </w:tc>
        <w:tc>
          <w:tcPr>
            <w:tcW w:w="1710" w:type="dxa"/>
            <w:shd w:val="clear" w:color="auto" w:fill="auto"/>
          </w:tcPr>
          <w:p w:rsidR="00260A21" w:rsidRDefault="005163B4">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2.72 ± 0.73</w:t>
            </w:r>
            <w:r>
              <w:rPr>
                <w:rFonts w:ascii="Arial" w:hAnsi="Arial" w:cs="Arial"/>
                <w:sz w:val="20"/>
                <w:szCs w:val="20"/>
                <w:vertAlign w:val="superscript"/>
              </w:rPr>
              <w:t>cd</w:t>
            </w:r>
          </w:p>
        </w:tc>
        <w:tc>
          <w:tcPr>
            <w:tcW w:w="1800" w:type="dxa"/>
            <w:shd w:val="clear" w:color="auto" w:fill="auto"/>
          </w:tcPr>
          <w:p w:rsidR="00260A21" w:rsidRDefault="005163B4">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3.93 ± 0.40</w:t>
            </w:r>
            <w:r>
              <w:rPr>
                <w:rFonts w:ascii="Arial" w:hAnsi="Arial" w:cs="Arial"/>
                <w:sz w:val="20"/>
                <w:szCs w:val="20"/>
                <w:vertAlign w:val="superscript"/>
              </w:rPr>
              <w:t>b</w:t>
            </w:r>
          </w:p>
        </w:tc>
      </w:tr>
      <w:tr w:rsidR="00260A21" w:rsidTr="00260A21">
        <w:tc>
          <w:tcPr>
            <w:cnfStyle w:val="001000000000" w:firstRow="0" w:lastRow="0" w:firstColumn="1" w:lastColumn="0" w:oddVBand="0" w:evenVBand="0" w:oddHBand="0" w:evenHBand="0" w:firstRowFirstColumn="0" w:firstRowLastColumn="0" w:lastRowFirstColumn="0" w:lastRowLastColumn="0"/>
            <w:tcW w:w="1646" w:type="dxa"/>
            <w:shd w:val="clear" w:color="auto" w:fill="auto"/>
          </w:tcPr>
          <w:p w:rsidR="00260A21" w:rsidRDefault="005163B4">
            <w:pPr>
              <w:spacing w:line="240" w:lineRule="auto"/>
              <w:jc w:val="center"/>
              <w:rPr>
                <w:rFonts w:ascii="Arial" w:hAnsi="Arial" w:cs="Arial"/>
                <w:sz w:val="20"/>
                <w:szCs w:val="20"/>
              </w:rPr>
            </w:pPr>
            <w:r>
              <w:rPr>
                <w:rFonts w:ascii="Arial" w:hAnsi="Arial" w:cs="Arial"/>
                <w:sz w:val="20"/>
                <w:szCs w:val="20"/>
              </w:rPr>
              <w:t>Pulp (500 mg)</w:t>
            </w:r>
          </w:p>
        </w:tc>
        <w:tc>
          <w:tcPr>
            <w:tcW w:w="1602" w:type="dxa"/>
          </w:tcPr>
          <w:p w:rsidR="00260A21" w:rsidRDefault="005163B4">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17.25 ± 0.37</w:t>
            </w:r>
            <w:r>
              <w:rPr>
                <w:rFonts w:ascii="Arial" w:hAnsi="Arial" w:cs="Arial"/>
                <w:sz w:val="20"/>
                <w:szCs w:val="20"/>
                <w:vertAlign w:val="superscript"/>
              </w:rPr>
              <w:t>ac</w:t>
            </w:r>
          </w:p>
        </w:tc>
        <w:tc>
          <w:tcPr>
            <w:tcW w:w="1601" w:type="dxa"/>
            <w:shd w:val="clear" w:color="auto" w:fill="auto"/>
          </w:tcPr>
          <w:p w:rsidR="00260A21" w:rsidRDefault="005163B4">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13.48 ± 0.31</w:t>
            </w:r>
            <w:r>
              <w:rPr>
                <w:rFonts w:ascii="Arial" w:hAnsi="Arial" w:cs="Arial"/>
                <w:sz w:val="20"/>
                <w:szCs w:val="20"/>
                <w:vertAlign w:val="superscript"/>
              </w:rPr>
              <w:t>ac</w:t>
            </w:r>
          </w:p>
        </w:tc>
        <w:tc>
          <w:tcPr>
            <w:tcW w:w="1716" w:type="dxa"/>
          </w:tcPr>
          <w:p w:rsidR="00260A21" w:rsidRDefault="005163B4">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7.54 ± 1.39</w:t>
            </w:r>
            <w:r>
              <w:rPr>
                <w:rFonts w:ascii="Arial" w:hAnsi="Arial" w:cs="Arial"/>
                <w:sz w:val="20"/>
                <w:szCs w:val="20"/>
                <w:vertAlign w:val="superscript"/>
              </w:rPr>
              <w:t>bcd</w:t>
            </w:r>
          </w:p>
        </w:tc>
        <w:tc>
          <w:tcPr>
            <w:tcW w:w="1710" w:type="dxa"/>
            <w:shd w:val="clear" w:color="auto" w:fill="auto"/>
          </w:tcPr>
          <w:p w:rsidR="00260A21" w:rsidRDefault="005163B4">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2.98 ± 0.51</w:t>
            </w:r>
            <w:r>
              <w:rPr>
                <w:rFonts w:ascii="Arial" w:hAnsi="Arial" w:cs="Arial"/>
                <w:sz w:val="20"/>
                <w:szCs w:val="20"/>
                <w:vertAlign w:val="superscript"/>
              </w:rPr>
              <w:t>cd</w:t>
            </w:r>
          </w:p>
        </w:tc>
        <w:tc>
          <w:tcPr>
            <w:tcW w:w="1800" w:type="dxa"/>
          </w:tcPr>
          <w:p w:rsidR="00260A21" w:rsidRDefault="005163B4">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4.56 ± 0.88</w:t>
            </w:r>
            <w:r>
              <w:rPr>
                <w:rFonts w:ascii="Arial" w:hAnsi="Arial" w:cs="Arial"/>
                <w:sz w:val="20"/>
                <w:szCs w:val="20"/>
                <w:vertAlign w:val="superscript"/>
              </w:rPr>
              <w:t>bc</w:t>
            </w:r>
          </w:p>
        </w:tc>
      </w:tr>
      <w:tr w:rsidR="00260A21" w:rsidTr="00260A21">
        <w:tc>
          <w:tcPr>
            <w:cnfStyle w:val="001000000000" w:firstRow="0" w:lastRow="0" w:firstColumn="1" w:lastColumn="0" w:oddVBand="0" w:evenVBand="0" w:oddHBand="0" w:evenHBand="0" w:firstRowFirstColumn="0" w:firstRowLastColumn="0" w:lastRowFirstColumn="0" w:lastRowLastColumn="0"/>
            <w:tcW w:w="1646" w:type="dxa"/>
            <w:shd w:val="clear" w:color="auto" w:fill="auto"/>
          </w:tcPr>
          <w:p w:rsidR="00260A21" w:rsidRDefault="005163B4">
            <w:pPr>
              <w:spacing w:line="240" w:lineRule="auto"/>
              <w:jc w:val="center"/>
              <w:rPr>
                <w:rFonts w:ascii="Arial" w:hAnsi="Arial" w:cs="Arial"/>
                <w:sz w:val="20"/>
                <w:szCs w:val="20"/>
              </w:rPr>
            </w:pPr>
            <w:r>
              <w:rPr>
                <w:rFonts w:ascii="Arial" w:hAnsi="Arial" w:cs="Arial"/>
                <w:sz w:val="20"/>
                <w:szCs w:val="20"/>
              </w:rPr>
              <w:lastRenderedPageBreak/>
              <w:t>Ext. Combination (250 mg)</w:t>
            </w:r>
          </w:p>
        </w:tc>
        <w:tc>
          <w:tcPr>
            <w:tcW w:w="1602" w:type="dxa"/>
            <w:shd w:val="clear" w:color="auto" w:fill="auto"/>
          </w:tcPr>
          <w:p w:rsidR="00260A21" w:rsidRDefault="005163B4">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17.11 ± 0.16</w:t>
            </w:r>
            <w:r>
              <w:rPr>
                <w:rFonts w:ascii="Arial" w:hAnsi="Arial" w:cs="Arial"/>
                <w:sz w:val="20"/>
                <w:szCs w:val="20"/>
                <w:vertAlign w:val="superscript"/>
              </w:rPr>
              <w:t>ac</w:t>
            </w:r>
          </w:p>
        </w:tc>
        <w:tc>
          <w:tcPr>
            <w:tcW w:w="1601" w:type="dxa"/>
            <w:shd w:val="clear" w:color="auto" w:fill="auto"/>
          </w:tcPr>
          <w:p w:rsidR="00260A21" w:rsidRDefault="005163B4">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13.94 ± 0.26</w:t>
            </w:r>
            <w:r>
              <w:rPr>
                <w:rFonts w:ascii="Arial" w:hAnsi="Arial" w:cs="Arial"/>
                <w:sz w:val="20"/>
                <w:szCs w:val="20"/>
                <w:vertAlign w:val="superscript"/>
              </w:rPr>
              <w:t>ac</w:t>
            </w:r>
          </w:p>
        </w:tc>
        <w:tc>
          <w:tcPr>
            <w:tcW w:w="1716" w:type="dxa"/>
            <w:shd w:val="clear" w:color="auto" w:fill="auto"/>
          </w:tcPr>
          <w:p w:rsidR="00260A21" w:rsidRDefault="005163B4">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7.31 ± 0.50</w:t>
            </w:r>
            <w:r>
              <w:rPr>
                <w:rFonts w:ascii="Arial" w:hAnsi="Arial" w:cs="Arial"/>
                <w:sz w:val="20"/>
                <w:szCs w:val="20"/>
                <w:vertAlign w:val="superscript"/>
              </w:rPr>
              <w:t>bd</w:t>
            </w:r>
          </w:p>
        </w:tc>
        <w:tc>
          <w:tcPr>
            <w:tcW w:w="1710" w:type="dxa"/>
            <w:shd w:val="clear" w:color="auto" w:fill="auto"/>
          </w:tcPr>
          <w:p w:rsidR="00260A21" w:rsidRDefault="005163B4">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3.24 ± 0.62</w:t>
            </w:r>
            <w:r>
              <w:rPr>
                <w:rFonts w:ascii="Arial" w:hAnsi="Arial" w:cs="Arial"/>
                <w:sz w:val="20"/>
                <w:szCs w:val="20"/>
                <w:vertAlign w:val="superscript"/>
              </w:rPr>
              <w:t>cd</w:t>
            </w:r>
          </w:p>
        </w:tc>
        <w:tc>
          <w:tcPr>
            <w:tcW w:w="1800" w:type="dxa"/>
            <w:shd w:val="clear" w:color="auto" w:fill="auto"/>
          </w:tcPr>
          <w:p w:rsidR="00260A21" w:rsidRDefault="005163B4">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4.06 ± 0.53</w:t>
            </w:r>
            <w:r>
              <w:rPr>
                <w:rFonts w:ascii="Arial" w:hAnsi="Arial" w:cs="Arial"/>
                <w:sz w:val="20"/>
                <w:szCs w:val="20"/>
                <w:vertAlign w:val="superscript"/>
              </w:rPr>
              <w:t>b</w:t>
            </w:r>
          </w:p>
        </w:tc>
      </w:tr>
      <w:tr w:rsidR="00260A21" w:rsidTr="00260A21">
        <w:tc>
          <w:tcPr>
            <w:cnfStyle w:val="001000000000" w:firstRow="0" w:lastRow="0" w:firstColumn="1" w:lastColumn="0" w:oddVBand="0" w:evenVBand="0" w:oddHBand="0" w:evenHBand="0" w:firstRowFirstColumn="0" w:firstRowLastColumn="0" w:lastRowFirstColumn="0" w:lastRowLastColumn="0"/>
            <w:tcW w:w="1646" w:type="dxa"/>
            <w:tcBorders>
              <w:bottom w:val="single" w:sz="18" w:space="0" w:color="auto"/>
            </w:tcBorders>
            <w:shd w:val="clear" w:color="auto" w:fill="auto"/>
          </w:tcPr>
          <w:p w:rsidR="00260A21" w:rsidRDefault="005163B4">
            <w:pPr>
              <w:spacing w:line="240" w:lineRule="auto"/>
              <w:jc w:val="center"/>
              <w:rPr>
                <w:rFonts w:ascii="Arial" w:hAnsi="Arial" w:cs="Arial"/>
                <w:sz w:val="20"/>
                <w:szCs w:val="20"/>
              </w:rPr>
            </w:pPr>
            <w:r>
              <w:rPr>
                <w:rFonts w:ascii="Arial" w:hAnsi="Arial" w:cs="Arial"/>
                <w:sz w:val="20"/>
                <w:szCs w:val="20"/>
              </w:rPr>
              <w:t>Ext. Combination (500 mg)</w:t>
            </w:r>
          </w:p>
        </w:tc>
        <w:tc>
          <w:tcPr>
            <w:tcW w:w="1602" w:type="dxa"/>
            <w:tcBorders>
              <w:bottom w:val="single" w:sz="18" w:space="0" w:color="auto"/>
            </w:tcBorders>
          </w:tcPr>
          <w:p w:rsidR="00260A21" w:rsidRDefault="005163B4">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16.50 ± 0.16</w:t>
            </w:r>
            <w:r>
              <w:rPr>
                <w:rFonts w:ascii="Arial" w:hAnsi="Arial" w:cs="Arial"/>
                <w:sz w:val="20"/>
                <w:szCs w:val="20"/>
                <w:vertAlign w:val="superscript"/>
              </w:rPr>
              <w:t xml:space="preserve"> a</w:t>
            </w:r>
          </w:p>
        </w:tc>
        <w:tc>
          <w:tcPr>
            <w:tcW w:w="1601" w:type="dxa"/>
            <w:tcBorders>
              <w:bottom w:val="single" w:sz="18" w:space="0" w:color="auto"/>
            </w:tcBorders>
            <w:shd w:val="clear" w:color="auto" w:fill="auto"/>
          </w:tcPr>
          <w:p w:rsidR="00260A21" w:rsidRDefault="005163B4">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13.03 ± 0.09</w:t>
            </w:r>
            <w:r>
              <w:rPr>
                <w:rFonts w:ascii="Arial" w:hAnsi="Arial" w:cs="Arial"/>
                <w:sz w:val="20"/>
                <w:szCs w:val="20"/>
                <w:vertAlign w:val="superscript"/>
              </w:rPr>
              <w:t>a</w:t>
            </w:r>
          </w:p>
        </w:tc>
        <w:tc>
          <w:tcPr>
            <w:tcW w:w="1716" w:type="dxa"/>
            <w:tcBorders>
              <w:bottom w:val="single" w:sz="18" w:space="0" w:color="auto"/>
            </w:tcBorders>
          </w:tcPr>
          <w:p w:rsidR="00260A21" w:rsidRDefault="005163B4">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8.66 ± 0.71</w:t>
            </w:r>
            <w:r>
              <w:rPr>
                <w:rFonts w:ascii="Arial" w:hAnsi="Arial" w:cs="Arial"/>
                <w:sz w:val="20"/>
                <w:szCs w:val="20"/>
                <w:vertAlign w:val="superscript"/>
              </w:rPr>
              <w:t>cd</w:t>
            </w:r>
          </w:p>
        </w:tc>
        <w:tc>
          <w:tcPr>
            <w:tcW w:w="1710" w:type="dxa"/>
            <w:tcBorders>
              <w:bottom w:val="single" w:sz="18" w:space="0" w:color="auto"/>
            </w:tcBorders>
            <w:shd w:val="clear" w:color="auto" w:fill="auto"/>
          </w:tcPr>
          <w:p w:rsidR="00260A21" w:rsidRDefault="005163B4">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3.77 ± 0.09</w:t>
            </w:r>
            <w:r>
              <w:rPr>
                <w:rFonts w:ascii="Arial" w:hAnsi="Arial" w:cs="Arial"/>
                <w:sz w:val="20"/>
                <w:szCs w:val="20"/>
                <w:vertAlign w:val="superscript"/>
              </w:rPr>
              <w:t>ce</w:t>
            </w:r>
          </w:p>
        </w:tc>
        <w:tc>
          <w:tcPr>
            <w:tcW w:w="1800" w:type="dxa"/>
            <w:tcBorders>
              <w:bottom w:val="single" w:sz="18" w:space="0" w:color="auto"/>
            </w:tcBorders>
          </w:tcPr>
          <w:p w:rsidR="00260A21" w:rsidRDefault="005163B4">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4.88 ± 0.62</w:t>
            </w:r>
            <w:r>
              <w:rPr>
                <w:rFonts w:ascii="Arial" w:hAnsi="Arial" w:cs="Arial"/>
                <w:sz w:val="20"/>
                <w:szCs w:val="20"/>
                <w:vertAlign w:val="superscript"/>
              </w:rPr>
              <w:t>bc</w:t>
            </w:r>
          </w:p>
        </w:tc>
      </w:tr>
    </w:tbl>
    <w:p w:rsidR="00260A21" w:rsidRDefault="005163B4">
      <w:pPr>
        <w:spacing w:line="480" w:lineRule="auto"/>
        <w:jc w:val="both"/>
        <w:rPr>
          <w:rFonts w:ascii="Arial" w:hAnsi="Arial" w:cs="Arial"/>
          <w:sz w:val="20"/>
          <w:szCs w:val="20"/>
        </w:rPr>
      </w:pPr>
      <w:r>
        <w:rPr>
          <w:rFonts w:ascii="Arial" w:hAnsi="Arial" w:cs="Arial"/>
          <w:bCs/>
          <w:sz w:val="20"/>
          <w:szCs w:val="20"/>
        </w:rPr>
        <w:t xml:space="preserve">Values are mean </w:t>
      </w:r>
      <w:r>
        <w:rPr>
          <w:rFonts w:ascii="Arial" w:hAnsi="Arial" w:cs="Arial"/>
          <w:sz w:val="20"/>
          <w:szCs w:val="20"/>
        </w:rPr>
        <w:t>± standard deviation (n = 3). Values with different superscript letters per column are statistically significant (p&lt;0.05)</w:t>
      </w:r>
    </w:p>
    <w:p w:rsidR="00260A21" w:rsidRDefault="00260A21">
      <w:pPr>
        <w:spacing w:line="480" w:lineRule="auto"/>
        <w:jc w:val="both"/>
        <w:rPr>
          <w:rFonts w:ascii="Arial" w:hAnsi="Arial" w:cs="Arial"/>
          <w:b/>
          <w:bCs/>
          <w:sz w:val="20"/>
          <w:szCs w:val="20"/>
        </w:rPr>
      </w:pPr>
    </w:p>
    <w:p w:rsidR="00260A21" w:rsidRDefault="00260A21">
      <w:pPr>
        <w:spacing w:line="480" w:lineRule="auto"/>
        <w:jc w:val="both"/>
        <w:rPr>
          <w:rFonts w:ascii="Arial" w:hAnsi="Arial" w:cs="Arial"/>
          <w:b/>
          <w:bCs/>
          <w:sz w:val="20"/>
          <w:szCs w:val="20"/>
        </w:rPr>
      </w:pPr>
    </w:p>
    <w:p w:rsidR="00260A21" w:rsidRDefault="00260A21">
      <w:pPr>
        <w:spacing w:line="480" w:lineRule="auto"/>
        <w:jc w:val="both"/>
        <w:rPr>
          <w:rFonts w:ascii="Arial" w:hAnsi="Arial" w:cs="Arial"/>
          <w:b/>
          <w:bCs/>
          <w:sz w:val="20"/>
          <w:szCs w:val="20"/>
        </w:rPr>
      </w:pPr>
    </w:p>
    <w:p w:rsidR="00260A21" w:rsidRDefault="00260A21">
      <w:pPr>
        <w:spacing w:line="480" w:lineRule="auto"/>
        <w:jc w:val="both"/>
        <w:rPr>
          <w:rFonts w:ascii="Arial" w:hAnsi="Arial" w:cs="Arial"/>
          <w:b/>
          <w:bCs/>
          <w:sz w:val="20"/>
          <w:szCs w:val="20"/>
        </w:rPr>
      </w:pPr>
    </w:p>
    <w:p w:rsidR="00260A21" w:rsidRDefault="00260A21">
      <w:pPr>
        <w:spacing w:line="480" w:lineRule="auto"/>
        <w:jc w:val="both"/>
        <w:rPr>
          <w:rFonts w:ascii="Arial" w:hAnsi="Arial" w:cs="Arial"/>
          <w:b/>
          <w:bCs/>
          <w:sz w:val="20"/>
          <w:szCs w:val="20"/>
        </w:rPr>
      </w:pPr>
    </w:p>
    <w:p w:rsidR="00260A21" w:rsidRDefault="00260A21">
      <w:pPr>
        <w:spacing w:line="480" w:lineRule="auto"/>
        <w:jc w:val="both"/>
        <w:rPr>
          <w:rFonts w:ascii="Arial" w:hAnsi="Arial" w:cs="Arial"/>
          <w:b/>
          <w:bCs/>
          <w:sz w:val="20"/>
          <w:szCs w:val="20"/>
        </w:rPr>
      </w:pPr>
    </w:p>
    <w:p w:rsidR="00260A21" w:rsidRDefault="00260A21">
      <w:pPr>
        <w:spacing w:line="480" w:lineRule="auto"/>
        <w:jc w:val="both"/>
        <w:rPr>
          <w:rFonts w:ascii="Arial" w:hAnsi="Arial" w:cs="Arial"/>
          <w:b/>
          <w:bCs/>
          <w:sz w:val="20"/>
          <w:szCs w:val="20"/>
        </w:rPr>
      </w:pPr>
    </w:p>
    <w:p w:rsidR="00260A21" w:rsidRDefault="005163B4">
      <w:pPr>
        <w:spacing w:line="480" w:lineRule="auto"/>
        <w:jc w:val="both"/>
        <w:rPr>
          <w:rFonts w:ascii="Arial" w:hAnsi="Arial" w:cs="Arial"/>
          <w:sz w:val="20"/>
          <w:szCs w:val="20"/>
        </w:rPr>
      </w:pPr>
      <w:r>
        <w:rPr>
          <w:rFonts w:ascii="Arial" w:hAnsi="Arial" w:cs="Arial"/>
          <w:b/>
          <w:bCs/>
          <w:sz w:val="20"/>
          <w:szCs w:val="20"/>
        </w:rPr>
        <w:t xml:space="preserve">Table </w:t>
      </w:r>
      <w:r w:rsidR="003E49BD">
        <w:rPr>
          <w:rFonts w:ascii="Arial" w:hAnsi="Arial" w:cs="Arial"/>
          <w:b/>
          <w:bCs/>
          <w:sz w:val="20"/>
          <w:szCs w:val="20"/>
        </w:rPr>
        <w:t>4</w:t>
      </w:r>
      <w:r>
        <w:rPr>
          <w:rFonts w:ascii="Arial" w:hAnsi="Arial" w:cs="Arial"/>
          <w:sz w:val="20"/>
          <w:szCs w:val="20"/>
        </w:rPr>
        <w:t xml:space="preserve"> indicated that oral administration of ethanol extracts of </w:t>
      </w:r>
      <w:proofErr w:type="spellStart"/>
      <w:r>
        <w:rPr>
          <w:rFonts w:ascii="Arial" w:hAnsi="Arial" w:cs="Arial"/>
          <w:i/>
          <w:iCs/>
          <w:sz w:val="20"/>
          <w:szCs w:val="20"/>
        </w:rPr>
        <w:t>Artocarpus</w:t>
      </w:r>
      <w:proofErr w:type="spellEnd"/>
      <w:r>
        <w:rPr>
          <w:rFonts w:ascii="Arial" w:hAnsi="Arial" w:cs="Arial"/>
          <w:i/>
          <w:iCs/>
          <w:sz w:val="20"/>
          <w:szCs w:val="20"/>
        </w:rPr>
        <w:t xml:space="preserve"> </w:t>
      </w:r>
      <w:proofErr w:type="spellStart"/>
      <w:r>
        <w:rPr>
          <w:rFonts w:ascii="Arial" w:hAnsi="Arial" w:cs="Arial"/>
          <w:i/>
          <w:iCs/>
          <w:sz w:val="20"/>
          <w:szCs w:val="20"/>
        </w:rPr>
        <w:t>heterophyllus</w:t>
      </w:r>
      <w:proofErr w:type="spellEnd"/>
      <w:r>
        <w:rPr>
          <w:rFonts w:ascii="Arial" w:hAnsi="Arial" w:cs="Arial"/>
          <w:sz w:val="20"/>
          <w:szCs w:val="20"/>
        </w:rPr>
        <w:t xml:space="preserve"> stembark, leaf, and pulp ameliorated renal and electrolyte disturbances in BPH-induced Wistar albino rats. The negative control group showed markedly elevated urea (30.43 ± 1.98 mg/dL) and creatinine (7.27 ± 1.01 mg/dL) levels, signifying renal impairment resulting from BPH induction. However, treatment with the extracts and the standard drug, Finasteride, significantly reduced these parameters, demonstrating a nephroprotective potential of the plant extracts. Electrolyte analysis revealed that sodium and chloride levels were abnormally high in the negative control, indicating renal-associated imbalance, but these values were </w:t>
      </w:r>
      <w:proofErr w:type="spellStart"/>
      <w:r>
        <w:rPr>
          <w:rFonts w:ascii="Arial" w:hAnsi="Arial" w:cs="Arial"/>
          <w:sz w:val="20"/>
          <w:szCs w:val="20"/>
        </w:rPr>
        <w:t>normalised</w:t>
      </w:r>
      <w:proofErr w:type="spellEnd"/>
      <w:r>
        <w:rPr>
          <w:rFonts w:ascii="Arial" w:hAnsi="Arial" w:cs="Arial"/>
          <w:sz w:val="20"/>
          <w:szCs w:val="20"/>
        </w:rPr>
        <w:t xml:space="preserve"> in treated groups, particularly in rats given the stembark and combination extracts. Potassium and bicarbonate levels remained relatively consistent across all groups, showing no signs of major electrolyte disruption.</w:t>
      </w:r>
    </w:p>
    <w:p w:rsidR="00260A21" w:rsidRDefault="00260A21">
      <w:pPr>
        <w:jc w:val="both"/>
        <w:rPr>
          <w:rFonts w:ascii="Arial" w:hAnsi="Arial" w:cs="Arial"/>
          <w:sz w:val="20"/>
          <w:szCs w:val="20"/>
        </w:rPr>
      </w:pPr>
    </w:p>
    <w:p w:rsidR="00260A21" w:rsidRDefault="00260A21">
      <w:pPr>
        <w:jc w:val="both"/>
        <w:rPr>
          <w:rFonts w:ascii="Arial" w:hAnsi="Arial" w:cs="Arial"/>
          <w:sz w:val="20"/>
          <w:szCs w:val="20"/>
        </w:rPr>
      </w:pPr>
    </w:p>
    <w:p w:rsidR="00260A21" w:rsidRDefault="00260A21">
      <w:pPr>
        <w:spacing w:line="240" w:lineRule="auto"/>
        <w:jc w:val="both"/>
        <w:rPr>
          <w:rFonts w:ascii="Arial" w:hAnsi="Arial" w:cs="Arial"/>
          <w:b/>
          <w:bCs/>
          <w:sz w:val="20"/>
          <w:szCs w:val="20"/>
        </w:rPr>
      </w:pPr>
    </w:p>
    <w:p w:rsidR="00260A21" w:rsidRDefault="00260A21">
      <w:pPr>
        <w:spacing w:line="240" w:lineRule="auto"/>
        <w:jc w:val="both"/>
        <w:rPr>
          <w:rFonts w:ascii="Arial" w:hAnsi="Arial" w:cs="Arial"/>
          <w:b/>
          <w:bCs/>
          <w:sz w:val="20"/>
          <w:szCs w:val="20"/>
        </w:rPr>
      </w:pPr>
    </w:p>
    <w:p w:rsidR="00260A21" w:rsidRDefault="00260A21">
      <w:pPr>
        <w:spacing w:line="240" w:lineRule="auto"/>
        <w:jc w:val="both"/>
        <w:rPr>
          <w:rFonts w:ascii="Arial" w:hAnsi="Arial" w:cs="Arial"/>
          <w:b/>
          <w:bCs/>
          <w:sz w:val="20"/>
          <w:szCs w:val="20"/>
        </w:rPr>
      </w:pPr>
    </w:p>
    <w:p w:rsidR="00260A21" w:rsidRDefault="00260A21">
      <w:pPr>
        <w:spacing w:line="240" w:lineRule="auto"/>
        <w:jc w:val="both"/>
        <w:rPr>
          <w:rFonts w:ascii="Arial" w:hAnsi="Arial" w:cs="Arial"/>
          <w:b/>
          <w:bCs/>
          <w:sz w:val="20"/>
          <w:szCs w:val="20"/>
        </w:rPr>
      </w:pPr>
    </w:p>
    <w:p w:rsidR="00260A21" w:rsidRDefault="00260A21">
      <w:pPr>
        <w:spacing w:line="240" w:lineRule="auto"/>
        <w:jc w:val="both"/>
        <w:rPr>
          <w:rFonts w:ascii="Arial" w:hAnsi="Arial" w:cs="Arial"/>
          <w:b/>
          <w:bCs/>
          <w:sz w:val="20"/>
          <w:szCs w:val="20"/>
        </w:rPr>
      </w:pPr>
    </w:p>
    <w:p w:rsidR="00260A21" w:rsidRDefault="00260A21">
      <w:pPr>
        <w:spacing w:line="240" w:lineRule="auto"/>
        <w:jc w:val="both"/>
        <w:rPr>
          <w:rFonts w:ascii="Arial" w:hAnsi="Arial" w:cs="Arial"/>
          <w:b/>
          <w:bCs/>
          <w:sz w:val="20"/>
          <w:szCs w:val="20"/>
        </w:rPr>
      </w:pPr>
    </w:p>
    <w:p w:rsidR="00260A21" w:rsidRDefault="00260A21">
      <w:pPr>
        <w:spacing w:line="240" w:lineRule="auto"/>
        <w:jc w:val="both"/>
        <w:rPr>
          <w:rFonts w:ascii="Arial" w:hAnsi="Arial" w:cs="Arial"/>
          <w:b/>
          <w:bCs/>
          <w:sz w:val="20"/>
          <w:szCs w:val="20"/>
        </w:rPr>
      </w:pPr>
    </w:p>
    <w:p w:rsidR="00260A21" w:rsidRDefault="00260A21">
      <w:pPr>
        <w:spacing w:line="240" w:lineRule="auto"/>
        <w:jc w:val="both"/>
        <w:rPr>
          <w:rFonts w:ascii="Arial" w:hAnsi="Arial" w:cs="Arial"/>
          <w:b/>
          <w:bCs/>
          <w:sz w:val="20"/>
          <w:szCs w:val="20"/>
        </w:rPr>
      </w:pPr>
    </w:p>
    <w:p w:rsidR="00260A21" w:rsidRDefault="00260A21">
      <w:pPr>
        <w:spacing w:line="240" w:lineRule="auto"/>
        <w:jc w:val="both"/>
        <w:rPr>
          <w:rFonts w:ascii="Arial" w:hAnsi="Arial" w:cs="Arial"/>
          <w:b/>
          <w:bCs/>
          <w:sz w:val="20"/>
          <w:szCs w:val="20"/>
        </w:rPr>
      </w:pPr>
    </w:p>
    <w:p w:rsidR="00260A21" w:rsidRDefault="00260A21">
      <w:pPr>
        <w:spacing w:line="240" w:lineRule="auto"/>
        <w:jc w:val="both"/>
        <w:rPr>
          <w:rFonts w:ascii="Arial" w:hAnsi="Arial" w:cs="Arial"/>
          <w:b/>
          <w:bCs/>
          <w:sz w:val="20"/>
          <w:szCs w:val="20"/>
        </w:rPr>
      </w:pPr>
    </w:p>
    <w:p w:rsidR="00260A21" w:rsidRDefault="00260A21">
      <w:pPr>
        <w:spacing w:line="240" w:lineRule="auto"/>
        <w:jc w:val="both"/>
        <w:rPr>
          <w:rFonts w:ascii="Arial" w:hAnsi="Arial" w:cs="Arial"/>
          <w:b/>
          <w:bCs/>
          <w:sz w:val="20"/>
          <w:szCs w:val="20"/>
        </w:rPr>
      </w:pPr>
    </w:p>
    <w:p w:rsidR="00260A21" w:rsidRDefault="00260A21">
      <w:pPr>
        <w:spacing w:line="240" w:lineRule="auto"/>
        <w:jc w:val="both"/>
        <w:rPr>
          <w:rFonts w:ascii="Arial" w:hAnsi="Arial" w:cs="Arial"/>
          <w:b/>
          <w:bCs/>
          <w:sz w:val="20"/>
          <w:szCs w:val="20"/>
        </w:rPr>
      </w:pPr>
    </w:p>
    <w:p w:rsidR="00260A21" w:rsidRDefault="00260A21">
      <w:pPr>
        <w:spacing w:line="240" w:lineRule="auto"/>
        <w:jc w:val="both"/>
        <w:rPr>
          <w:rFonts w:ascii="Arial" w:hAnsi="Arial" w:cs="Arial"/>
          <w:b/>
          <w:bCs/>
          <w:sz w:val="20"/>
          <w:szCs w:val="20"/>
        </w:rPr>
      </w:pPr>
    </w:p>
    <w:p w:rsidR="00260A21" w:rsidRDefault="00260A21">
      <w:pPr>
        <w:spacing w:line="240" w:lineRule="auto"/>
        <w:jc w:val="both"/>
        <w:rPr>
          <w:rFonts w:ascii="Arial" w:hAnsi="Arial" w:cs="Arial"/>
          <w:b/>
          <w:bCs/>
          <w:sz w:val="20"/>
          <w:szCs w:val="20"/>
        </w:rPr>
      </w:pPr>
    </w:p>
    <w:p w:rsidR="00260A21" w:rsidRDefault="00260A21">
      <w:pPr>
        <w:spacing w:line="240" w:lineRule="auto"/>
        <w:jc w:val="both"/>
        <w:rPr>
          <w:rFonts w:ascii="Arial" w:hAnsi="Arial" w:cs="Arial"/>
          <w:b/>
          <w:bCs/>
          <w:sz w:val="20"/>
          <w:szCs w:val="20"/>
        </w:rPr>
      </w:pPr>
    </w:p>
    <w:p w:rsidR="00260A21" w:rsidRDefault="00260A21">
      <w:pPr>
        <w:spacing w:line="240" w:lineRule="auto"/>
        <w:jc w:val="both"/>
        <w:rPr>
          <w:rFonts w:ascii="Arial" w:hAnsi="Arial" w:cs="Arial"/>
          <w:b/>
          <w:bCs/>
          <w:sz w:val="20"/>
          <w:szCs w:val="20"/>
        </w:rPr>
      </w:pPr>
    </w:p>
    <w:p w:rsidR="00260A21" w:rsidRDefault="00260A21">
      <w:pPr>
        <w:spacing w:line="240" w:lineRule="auto"/>
        <w:jc w:val="both"/>
        <w:rPr>
          <w:rFonts w:ascii="Arial" w:hAnsi="Arial" w:cs="Arial"/>
          <w:b/>
          <w:bCs/>
          <w:sz w:val="20"/>
          <w:szCs w:val="20"/>
        </w:rPr>
      </w:pPr>
    </w:p>
    <w:p w:rsidR="00260A21" w:rsidRDefault="00260A21">
      <w:pPr>
        <w:spacing w:line="240" w:lineRule="auto"/>
        <w:jc w:val="both"/>
        <w:rPr>
          <w:rFonts w:ascii="Arial" w:hAnsi="Arial" w:cs="Arial"/>
          <w:b/>
          <w:bCs/>
          <w:sz w:val="20"/>
          <w:szCs w:val="20"/>
        </w:rPr>
      </w:pPr>
    </w:p>
    <w:p w:rsidR="00260A21" w:rsidRDefault="005163B4">
      <w:pPr>
        <w:spacing w:line="240" w:lineRule="auto"/>
        <w:jc w:val="both"/>
        <w:rPr>
          <w:rFonts w:ascii="Arial" w:hAnsi="Arial" w:cs="Arial"/>
          <w:sz w:val="20"/>
          <w:szCs w:val="20"/>
        </w:rPr>
      </w:pPr>
      <w:r>
        <w:rPr>
          <w:rFonts w:ascii="Arial" w:hAnsi="Arial" w:cs="Arial"/>
          <w:b/>
          <w:bCs/>
          <w:sz w:val="20"/>
          <w:szCs w:val="20"/>
        </w:rPr>
        <w:t xml:space="preserve">Table </w:t>
      </w:r>
      <w:r w:rsidR="003E49BD">
        <w:rPr>
          <w:rFonts w:ascii="Arial" w:hAnsi="Arial" w:cs="Arial"/>
          <w:b/>
          <w:bCs/>
          <w:sz w:val="20"/>
          <w:szCs w:val="20"/>
        </w:rPr>
        <w:t>4</w:t>
      </w:r>
      <w:r>
        <w:rPr>
          <w:rFonts w:ascii="Arial" w:hAnsi="Arial" w:cs="Arial"/>
          <w:b/>
          <w:bCs/>
          <w:sz w:val="20"/>
          <w:szCs w:val="20"/>
        </w:rPr>
        <w:t xml:space="preserve"> Results showing the effect of oral treatments on the renal and electrolyte parameter concentrations in the experimental rats.</w:t>
      </w:r>
    </w:p>
    <w:tbl>
      <w:tblPr>
        <w:tblStyle w:val="ListTable21"/>
        <w:tblW w:w="11160" w:type="dxa"/>
        <w:tblInd w:w="-893" w:type="dxa"/>
        <w:tblLayout w:type="fixed"/>
        <w:tblLook w:val="04A0" w:firstRow="1" w:lastRow="0" w:firstColumn="1" w:lastColumn="0" w:noHBand="0" w:noVBand="1"/>
      </w:tblPr>
      <w:tblGrid>
        <w:gridCol w:w="1961"/>
        <w:gridCol w:w="1549"/>
        <w:gridCol w:w="1440"/>
        <w:gridCol w:w="1620"/>
        <w:gridCol w:w="1440"/>
        <w:gridCol w:w="1596"/>
        <w:gridCol w:w="1554"/>
      </w:tblGrid>
      <w:tr w:rsidR="00260A21" w:rsidTr="00260A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1" w:type="dxa"/>
            <w:tcBorders>
              <w:top w:val="single" w:sz="18" w:space="0" w:color="auto"/>
              <w:bottom w:val="single" w:sz="18" w:space="0" w:color="auto"/>
            </w:tcBorders>
            <w:shd w:val="clear" w:color="auto" w:fill="auto"/>
          </w:tcPr>
          <w:p w:rsidR="00260A21" w:rsidRDefault="005163B4">
            <w:pPr>
              <w:spacing w:line="240" w:lineRule="auto"/>
              <w:jc w:val="both"/>
              <w:rPr>
                <w:rFonts w:ascii="Arial" w:hAnsi="Arial" w:cs="Arial"/>
                <w:b w:val="0"/>
                <w:sz w:val="20"/>
                <w:szCs w:val="20"/>
              </w:rPr>
            </w:pPr>
            <w:r>
              <w:rPr>
                <w:rFonts w:ascii="Arial" w:hAnsi="Arial" w:cs="Arial"/>
                <w:sz w:val="20"/>
                <w:szCs w:val="20"/>
              </w:rPr>
              <w:t>Treatment</w:t>
            </w:r>
          </w:p>
        </w:tc>
        <w:tc>
          <w:tcPr>
            <w:tcW w:w="1549" w:type="dxa"/>
            <w:tcBorders>
              <w:top w:val="single" w:sz="18" w:space="0" w:color="auto"/>
              <w:bottom w:val="single" w:sz="18" w:space="0" w:color="auto"/>
            </w:tcBorders>
            <w:shd w:val="clear" w:color="auto" w:fill="auto"/>
          </w:tcPr>
          <w:p w:rsidR="00260A21" w:rsidRDefault="005163B4">
            <w:pPr>
              <w:spacing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Pr>
                <w:rFonts w:ascii="Arial" w:hAnsi="Arial" w:cs="Arial"/>
                <w:sz w:val="20"/>
                <w:szCs w:val="20"/>
              </w:rPr>
              <w:t>Urea</w:t>
            </w:r>
          </w:p>
        </w:tc>
        <w:tc>
          <w:tcPr>
            <w:tcW w:w="1440" w:type="dxa"/>
            <w:tcBorders>
              <w:top w:val="single" w:sz="18" w:space="0" w:color="auto"/>
              <w:bottom w:val="single" w:sz="18" w:space="0" w:color="auto"/>
            </w:tcBorders>
            <w:shd w:val="clear" w:color="auto" w:fill="auto"/>
          </w:tcPr>
          <w:p w:rsidR="00260A21" w:rsidRDefault="005163B4">
            <w:pPr>
              <w:spacing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Pr>
                <w:rFonts w:ascii="Arial" w:hAnsi="Arial" w:cs="Arial"/>
                <w:sz w:val="20"/>
                <w:szCs w:val="20"/>
              </w:rPr>
              <w:t>Creatinine</w:t>
            </w:r>
          </w:p>
        </w:tc>
        <w:tc>
          <w:tcPr>
            <w:tcW w:w="1620" w:type="dxa"/>
            <w:tcBorders>
              <w:top w:val="single" w:sz="18" w:space="0" w:color="auto"/>
              <w:bottom w:val="single" w:sz="18" w:space="0" w:color="auto"/>
            </w:tcBorders>
            <w:shd w:val="clear" w:color="auto" w:fill="auto"/>
          </w:tcPr>
          <w:p w:rsidR="00260A21" w:rsidRDefault="005163B4">
            <w:pPr>
              <w:spacing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Pr>
                <w:rFonts w:ascii="Arial" w:hAnsi="Arial" w:cs="Arial"/>
                <w:sz w:val="20"/>
                <w:szCs w:val="20"/>
              </w:rPr>
              <w:t>Sodium</w:t>
            </w:r>
          </w:p>
        </w:tc>
        <w:tc>
          <w:tcPr>
            <w:tcW w:w="1440" w:type="dxa"/>
            <w:tcBorders>
              <w:top w:val="single" w:sz="18" w:space="0" w:color="auto"/>
              <w:bottom w:val="single" w:sz="18" w:space="0" w:color="auto"/>
            </w:tcBorders>
            <w:shd w:val="clear" w:color="auto" w:fill="auto"/>
          </w:tcPr>
          <w:p w:rsidR="00260A21" w:rsidRDefault="005163B4">
            <w:pPr>
              <w:spacing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Pr>
                <w:rFonts w:ascii="Arial" w:hAnsi="Arial" w:cs="Arial"/>
                <w:sz w:val="20"/>
                <w:szCs w:val="20"/>
              </w:rPr>
              <w:t>Potassium</w:t>
            </w:r>
          </w:p>
        </w:tc>
        <w:tc>
          <w:tcPr>
            <w:tcW w:w="1596" w:type="dxa"/>
            <w:tcBorders>
              <w:top w:val="single" w:sz="18" w:space="0" w:color="auto"/>
              <w:bottom w:val="single" w:sz="18" w:space="0" w:color="auto"/>
            </w:tcBorders>
            <w:shd w:val="clear" w:color="auto" w:fill="auto"/>
          </w:tcPr>
          <w:p w:rsidR="00260A21" w:rsidRDefault="005163B4">
            <w:pPr>
              <w:spacing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Pr>
                <w:rFonts w:ascii="Arial" w:hAnsi="Arial" w:cs="Arial"/>
                <w:sz w:val="20"/>
                <w:szCs w:val="20"/>
              </w:rPr>
              <w:t>Bicarbonate</w:t>
            </w:r>
          </w:p>
        </w:tc>
        <w:tc>
          <w:tcPr>
            <w:tcW w:w="1554" w:type="dxa"/>
            <w:tcBorders>
              <w:top w:val="single" w:sz="18" w:space="0" w:color="auto"/>
              <w:bottom w:val="single" w:sz="18" w:space="0" w:color="auto"/>
            </w:tcBorders>
            <w:shd w:val="clear" w:color="auto" w:fill="auto"/>
          </w:tcPr>
          <w:p w:rsidR="00260A21" w:rsidRDefault="005163B4">
            <w:pPr>
              <w:spacing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Pr>
                <w:rFonts w:ascii="Arial" w:hAnsi="Arial" w:cs="Arial"/>
                <w:sz w:val="20"/>
                <w:szCs w:val="20"/>
              </w:rPr>
              <w:t>Chloride</w:t>
            </w:r>
          </w:p>
        </w:tc>
      </w:tr>
      <w:tr w:rsidR="00260A21" w:rsidTr="00260A21">
        <w:tc>
          <w:tcPr>
            <w:cnfStyle w:val="001000000000" w:firstRow="0" w:lastRow="0" w:firstColumn="1" w:lastColumn="0" w:oddVBand="0" w:evenVBand="0" w:oddHBand="0" w:evenHBand="0" w:firstRowFirstColumn="0" w:firstRowLastColumn="0" w:lastRowFirstColumn="0" w:lastRowLastColumn="0"/>
            <w:tcW w:w="1961" w:type="dxa"/>
            <w:tcBorders>
              <w:top w:val="single" w:sz="18" w:space="0" w:color="auto"/>
            </w:tcBorders>
            <w:shd w:val="clear" w:color="auto" w:fill="auto"/>
          </w:tcPr>
          <w:p w:rsidR="00260A21" w:rsidRDefault="005163B4">
            <w:pPr>
              <w:spacing w:line="360" w:lineRule="auto"/>
              <w:jc w:val="both"/>
              <w:rPr>
                <w:rFonts w:ascii="Arial" w:hAnsi="Arial" w:cs="Arial"/>
                <w:sz w:val="20"/>
                <w:szCs w:val="20"/>
              </w:rPr>
            </w:pPr>
            <w:r>
              <w:rPr>
                <w:rFonts w:ascii="Arial" w:hAnsi="Arial" w:cs="Arial"/>
                <w:sz w:val="20"/>
                <w:szCs w:val="20"/>
              </w:rPr>
              <w:t>Control</w:t>
            </w:r>
          </w:p>
        </w:tc>
        <w:tc>
          <w:tcPr>
            <w:tcW w:w="1549" w:type="dxa"/>
            <w:tcBorders>
              <w:top w:val="single" w:sz="18" w:space="0" w:color="auto"/>
            </w:tcBorders>
          </w:tcPr>
          <w:p w:rsidR="00260A21" w:rsidRDefault="005163B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18.11 ± 0.26</w:t>
            </w:r>
            <w:r>
              <w:rPr>
                <w:rFonts w:ascii="Arial" w:hAnsi="Arial" w:cs="Arial"/>
                <w:sz w:val="20"/>
                <w:szCs w:val="20"/>
                <w:vertAlign w:val="superscript"/>
              </w:rPr>
              <w:t>a</w:t>
            </w:r>
          </w:p>
        </w:tc>
        <w:tc>
          <w:tcPr>
            <w:tcW w:w="1440" w:type="dxa"/>
            <w:tcBorders>
              <w:top w:val="single" w:sz="18" w:space="0" w:color="auto"/>
            </w:tcBorders>
            <w:shd w:val="clear" w:color="auto" w:fill="auto"/>
          </w:tcPr>
          <w:p w:rsidR="00260A21" w:rsidRDefault="005163B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4.60 ± 0.25</w:t>
            </w:r>
            <w:r>
              <w:rPr>
                <w:rFonts w:ascii="Arial" w:hAnsi="Arial" w:cs="Arial"/>
                <w:sz w:val="20"/>
                <w:szCs w:val="20"/>
                <w:vertAlign w:val="superscript"/>
              </w:rPr>
              <w:t>ac</w:t>
            </w:r>
          </w:p>
        </w:tc>
        <w:tc>
          <w:tcPr>
            <w:tcW w:w="1620" w:type="dxa"/>
            <w:tcBorders>
              <w:top w:val="single" w:sz="18" w:space="0" w:color="auto"/>
            </w:tcBorders>
          </w:tcPr>
          <w:p w:rsidR="00260A21" w:rsidRDefault="005163B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169.00 ± 3.66</w:t>
            </w:r>
            <w:r>
              <w:rPr>
                <w:rFonts w:ascii="Arial" w:hAnsi="Arial" w:cs="Arial"/>
                <w:sz w:val="20"/>
                <w:szCs w:val="20"/>
                <w:vertAlign w:val="superscript"/>
              </w:rPr>
              <w:t>a</w:t>
            </w:r>
          </w:p>
        </w:tc>
        <w:tc>
          <w:tcPr>
            <w:tcW w:w="1440" w:type="dxa"/>
            <w:tcBorders>
              <w:top w:val="single" w:sz="18" w:space="0" w:color="auto"/>
            </w:tcBorders>
            <w:shd w:val="clear" w:color="auto" w:fill="auto"/>
          </w:tcPr>
          <w:p w:rsidR="00260A21" w:rsidRDefault="005163B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5.33 ± 0.10</w:t>
            </w:r>
            <w:r>
              <w:rPr>
                <w:rFonts w:ascii="Arial" w:hAnsi="Arial" w:cs="Arial"/>
                <w:sz w:val="20"/>
                <w:szCs w:val="20"/>
                <w:vertAlign w:val="superscript"/>
              </w:rPr>
              <w:t>ab</w:t>
            </w:r>
          </w:p>
        </w:tc>
        <w:tc>
          <w:tcPr>
            <w:tcW w:w="1596" w:type="dxa"/>
            <w:tcBorders>
              <w:top w:val="single" w:sz="18" w:space="0" w:color="auto"/>
            </w:tcBorders>
          </w:tcPr>
          <w:p w:rsidR="00260A21" w:rsidRDefault="005163B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20.50 ± 2.58</w:t>
            </w:r>
            <w:r>
              <w:rPr>
                <w:rFonts w:ascii="Arial" w:hAnsi="Arial" w:cs="Arial"/>
                <w:sz w:val="20"/>
                <w:szCs w:val="20"/>
                <w:vertAlign w:val="superscript"/>
              </w:rPr>
              <w:t>a</w:t>
            </w:r>
          </w:p>
        </w:tc>
        <w:tc>
          <w:tcPr>
            <w:tcW w:w="1554" w:type="dxa"/>
            <w:tcBorders>
              <w:top w:val="single" w:sz="18" w:space="0" w:color="auto"/>
            </w:tcBorders>
            <w:shd w:val="clear" w:color="auto" w:fill="auto"/>
          </w:tcPr>
          <w:p w:rsidR="00260A21" w:rsidRDefault="005163B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57.89 ± 2.10</w:t>
            </w:r>
            <w:r>
              <w:rPr>
                <w:rFonts w:ascii="Arial" w:hAnsi="Arial" w:cs="Arial"/>
                <w:sz w:val="20"/>
                <w:szCs w:val="20"/>
                <w:vertAlign w:val="superscript"/>
              </w:rPr>
              <w:t>a</w:t>
            </w:r>
          </w:p>
        </w:tc>
      </w:tr>
      <w:tr w:rsidR="00260A21" w:rsidTr="00260A21">
        <w:tc>
          <w:tcPr>
            <w:cnfStyle w:val="001000000000" w:firstRow="0" w:lastRow="0" w:firstColumn="1" w:lastColumn="0" w:oddVBand="0" w:evenVBand="0" w:oddHBand="0" w:evenHBand="0" w:firstRowFirstColumn="0" w:firstRowLastColumn="0" w:lastRowFirstColumn="0" w:lastRowLastColumn="0"/>
            <w:tcW w:w="1961" w:type="dxa"/>
            <w:shd w:val="clear" w:color="auto" w:fill="auto"/>
          </w:tcPr>
          <w:p w:rsidR="00260A21" w:rsidRDefault="005163B4">
            <w:pPr>
              <w:spacing w:line="360" w:lineRule="auto"/>
              <w:jc w:val="both"/>
              <w:rPr>
                <w:rFonts w:ascii="Arial" w:hAnsi="Arial" w:cs="Arial"/>
                <w:sz w:val="20"/>
                <w:szCs w:val="20"/>
              </w:rPr>
            </w:pPr>
            <w:r>
              <w:rPr>
                <w:rFonts w:ascii="Arial" w:hAnsi="Arial" w:cs="Arial"/>
                <w:sz w:val="20"/>
                <w:szCs w:val="20"/>
              </w:rPr>
              <w:t>Negative control</w:t>
            </w:r>
          </w:p>
        </w:tc>
        <w:tc>
          <w:tcPr>
            <w:tcW w:w="1549" w:type="dxa"/>
            <w:shd w:val="clear" w:color="auto" w:fill="auto"/>
          </w:tcPr>
          <w:p w:rsidR="00260A21" w:rsidRDefault="005163B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30.43 ± 1.98</w:t>
            </w:r>
            <w:r>
              <w:rPr>
                <w:rFonts w:ascii="Arial" w:hAnsi="Arial" w:cs="Arial"/>
                <w:sz w:val="20"/>
                <w:szCs w:val="20"/>
                <w:vertAlign w:val="superscript"/>
              </w:rPr>
              <w:t>b</w:t>
            </w:r>
          </w:p>
        </w:tc>
        <w:tc>
          <w:tcPr>
            <w:tcW w:w="1440" w:type="dxa"/>
            <w:shd w:val="clear" w:color="auto" w:fill="auto"/>
          </w:tcPr>
          <w:p w:rsidR="00260A21" w:rsidRDefault="005163B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7.27 ± 1.01</w:t>
            </w:r>
            <w:r>
              <w:rPr>
                <w:rFonts w:ascii="Arial" w:hAnsi="Arial" w:cs="Arial"/>
                <w:sz w:val="20"/>
                <w:szCs w:val="20"/>
                <w:vertAlign w:val="superscript"/>
              </w:rPr>
              <w:t>b</w:t>
            </w:r>
          </w:p>
        </w:tc>
        <w:tc>
          <w:tcPr>
            <w:tcW w:w="1620" w:type="dxa"/>
            <w:shd w:val="clear" w:color="auto" w:fill="auto"/>
          </w:tcPr>
          <w:p w:rsidR="00260A21" w:rsidRDefault="005163B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187.20 ± 5.65</w:t>
            </w:r>
            <w:r>
              <w:rPr>
                <w:rFonts w:ascii="Arial" w:hAnsi="Arial" w:cs="Arial"/>
                <w:sz w:val="20"/>
                <w:szCs w:val="20"/>
                <w:vertAlign w:val="superscript"/>
              </w:rPr>
              <w:t>b</w:t>
            </w:r>
          </w:p>
        </w:tc>
        <w:tc>
          <w:tcPr>
            <w:tcW w:w="1440" w:type="dxa"/>
            <w:shd w:val="clear" w:color="auto" w:fill="auto"/>
          </w:tcPr>
          <w:p w:rsidR="00260A21" w:rsidRDefault="005163B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5.12 ± 0.18</w:t>
            </w:r>
            <w:r>
              <w:rPr>
                <w:rFonts w:ascii="Arial" w:hAnsi="Arial" w:cs="Arial"/>
                <w:sz w:val="20"/>
                <w:szCs w:val="20"/>
                <w:vertAlign w:val="superscript"/>
              </w:rPr>
              <w:t>ab</w:t>
            </w:r>
          </w:p>
        </w:tc>
        <w:tc>
          <w:tcPr>
            <w:tcW w:w="1596" w:type="dxa"/>
            <w:shd w:val="clear" w:color="auto" w:fill="auto"/>
          </w:tcPr>
          <w:p w:rsidR="00260A21" w:rsidRDefault="005163B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14.34 ± 1.17</w:t>
            </w:r>
            <w:r>
              <w:rPr>
                <w:rFonts w:ascii="Arial" w:hAnsi="Arial" w:cs="Arial"/>
                <w:sz w:val="20"/>
                <w:szCs w:val="20"/>
                <w:vertAlign w:val="superscript"/>
              </w:rPr>
              <w:t>b</w:t>
            </w:r>
          </w:p>
        </w:tc>
        <w:tc>
          <w:tcPr>
            <w:tcW w:w="1554" w:type="dxa"/>
            <w:shd w:val="clear" w:color="auto" w:fill="auto"/>
          </w:tcPr>
          <w:p w:rsidR="00260A21" w:rsidRDefault="005163B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81.77 ± 3.18</w:t>
            </w:r>
            <w:r>
              <w:rPr>
                <w:rFonts w:ascii="Arial" w:hAnsi="Arial" w:cs="Arial"/>
                <w:sz w:val="20"/>
                <w:szCs w:val="20"/>
                <w:vertAlign w:val="superscript"/>
              </w:rPr>
              <w:t>b</w:t>
            </w:r>
          </w:p>
        </w:tc>
      </w:tr>
      <w:tr w:rsidR="00260A21" w:rsidTr="00260A21">
        <w:tc>
          <w:tcPr>
            <w:cnfStyle w:val="001000000000" w:firstRow="0" w:lastRow="0" w:firstColumn="1" w:lastColumn="0" w:oddVBand="0" w:evenVBand="0" w:oddHBand="0" w:evenHBand="0" w:firstRowFirstColumn="0" w:firstRowLastColumn="0" w:lastRowFirstColumn="0" w:lastRowLastColumn="0"/>
            <w:tcW w:w="1961" w:type="dxa"/>
            <w:shd w:val="clear" w:color="auto" w:fill="auto"/>
          </w:tcPr>
          <w:p w:rsidR="00260A21" w:rsidRDefault="005163B4">
            <w:pPr>
              <w:spacing w:line="360" w:lineRule="auto"/>
              <w:jc w:val="both"/>
              <w:rPr>
                <w:rFonts w:ascii="Arial" w:hAnsi="Arial" w:cs="Arial"/>
                <w:sz w:val="20"/>
                <w:szCs w:val="20"/>
              </w:rPr>
            </w:pPr>
            <w:proofErr w:type="spellStart"/>
            <w:r>
              <w:rPr>
                <w:rFonts w:ascii="Arial" w:hAnsi="Arial" w:cs="Arial"/>
                <w:sz w:val="20"/>
                <w:szCs w:val="20"/>
              </w:rPr>
              <w:t>Fansteride</w:t>
            </w:r>
            <w:proofErr w:type="spellEnd"/>
            <w:r>
              <w:rPr>
                <w:rFonts w:ascii="Arial" w:hAnsi="Arial" w:cs="Arial"/>
                <w:sz w:val="20"/>
                <w:szCs w:val="20"/>
              </w:rPr>
              <w:t xml:space="preserve"> (5 mg)</w:t>
            </w:r>
          </w:p>
        </w:tc>
        <w:tc>
          <w:tcPr>
            <w:tcW w:w="1549" w:type="dxa"/>
          </w:tcPr>
          <w:p w:rsidR="00260A21" w:rsidRDefault="005163B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19.39 ± 1.04</w:t>
            </w:r>
            <w:r>
              <w:rPr>
                <w:rFonts w:ascii="Arial" w:hAnsi="Arial" w:cs="Arial"/>
                <w:sz w:val="20"/>
                <w:szCs w:val="20"/>
                <w:vertAlign w:val="superscript"/>
              </w:rPr>
              <w:t>a</w:t>
            </w:r>
          </w:p>
        </w:tc>
        <w:tc>
          <w:tcPr>
            <w:tcW w:w="1440" w:type="dxa"/>
            <w:shd w:val="clear" w:color="auto" w:fill="auto"/>
          </w:tcPr>
          <w:p w:rsidR="00260A21" w:rsidRDefault="005163B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4.49 ± 0.14</w:t>
            </w:r>
            <w:r>
              <w:rPr>
                <w:rFonts w:ascii="Arial" w:hAnsi="Arial" w:cs="Arial"/>
                <w:sz w:val="20"/>
                <w:szCs w:val="20"/>
                <w:vertAlign w:val="superscript"/>
              </w:rPr>
              <w:t>a</w:t>
            </w:r>
          </w:p>
        </w:tc>
        <w:tc>
          <w:tcPr>
            <w:tcW w:w="1620" w:type="dxa"/>
          </w:tcPr>
          <w:p w:rsidR="00260A21" w:rsidRDefault="005163B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165.40 ± 2.61</w:t>
            </w:r>
            <w:r>
              <w:rPr>
                <w:rFonts w:ascii="Arial" w:hAnsi="Arial" w:cs="Arial"/>
                <w:sz w:val="20"/>
                <w:szCs w:val="20"/>
                <w:vertAlign w:val="superscript"/>
              </w:rPr>
              <w:t>a</w:t>
            </w:r>
          </w:p>
        </w:tc>
        <w:tc>
          <w:tcPr>
            <w:tcW w:w="1440" w:type="dxa"/>
            <w:shd w:val="clear" w:color="auto" w:fill="auto"/>
          </w:tcPr>
          <w:p w:rsidR="00260A21" w:rsidRDefault="005163B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5.09 ± 0.52</w:t>
            </w:r>
            <w:r>
              <w:rPr>
                <w:rFonts w:ascii="Arial" w:hAnsi="Arial" w:cs="Arial"/>
                <w:sz w:val="20"/>
                <w:szCs w:val="20"/>
                <w:vertAlign w:val="superscript"/>
              </w:rPr>
              <w:t>ab</w:t>
            </w:r>
          </w:p>
        </w:tc>
        <w:tc>
          <w:tcPr>
            <w:tcW w:w="1596" w:type="dxa"/>
          </w:tcPr>
          <w:p w:rsidR="00260A21" w:rsidRDefault="005163B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17.66 ± 0.69</w:t>
            </w:r>
            <w:r>
              <w:rPr>
                <w:rFonts w:ascii="Arial" w:hAnsi="Arial" w:cs="Arial"/>
                <w:sz w:val="20"/>
                <w:szCs w:val="20"/>
                <w:vertAlign w:val="superscript"/>
              </w:rPr>
              <w:t>c</w:t>
            </w:r>
          </w:p>
        </w:tc>
        <w:tc>
          <w:tcPr>
            <w:tcW w:w="1554" w:type="dxa"/>
            <w:shd w:val="clear" w:color="auto" w:fill="auto"/>
          </w:tcPr>
          <w:p w:rsidR="00260A21" w:rsidRDefault="005163B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61.64 ± 1.32</w:t>
            </w:r>
            <w:r>
              <w:rPr>
                <w:rFonts w:ascii="Arial" w:hAnsi="Arial" w:cs="Arial"/>
                <w:sz w:val="20"/>
                <w:szCs w:val="20"/>
                <w:vertAlign w:val="superscript"/>
              </w:rPr>
              <w:t>a</w:t>
            </w:r>
          </w:p>
        </w:tc>
      </w:tr>
      <w:tr w:rsidR="00260A21" w:rsidTr="00260A21">
        <w:tc>
          <w:tcPr>
            <w:cnfStyle w:val="001000000000" w:firstRow="0" w:lastRow="0" w:firstColumn="1" w:lastColumn="0" w:oddVBand="0" w:evenVBand="0" w:oddHBand="0" w:evenHBand="0" w:firstRowFirstColumn="0" w:firstRowLastColumn="0" w:lastRowFirstColumn="0" w:lastRowLastColumn="0"/>
            <w:tcW w:w="1961" w:type="dxa"/>
            <w:shd w:val="clear" w:color="auto" w:fill="auto"/>
          </w:tcPr>
          <w:p w:rsidR="00260A21" w:rsidRDefault="005163B4">
            <w:pPr>
              <w:spacing w:line="360" w:lineRule="auto"/>
              <w:jc w:val="both"/>
              <w:rPr>
                <w:rFonts w:ascii="Arial" w:hAnsi="Arial" w:cs="Arial"/>
                <w:sz w:val="20"/>
                <w:szCs w:val="20"/>
              </w:rPr>
            </w:pPr>
            <w:r>
              <w:rPr>
                <w:rFonts w:ascii="Arial" w:hAnsi="Arial" w:cs="Arial"/>
                <w:sz w:val="20"/>
                <w:szCs w:val="20"/>
              </w:rPr>
              <w:t>Leaves (250 mg)</w:t>
            </w:r>
          </w:p>
        </w:tc>
        <w:tc>
          <w:tcPr>
            <w:tcW w:w="1549" w:type="dxa"/>
            <w:shd w:val="clear" w:color="auto" w:fill="auto"/>
          </w:tcPr>
          <w:p w:rsidR="00260A21" w:rsidRDefault="005163B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25.21 ± 0.31</w:t>
            </w:r>
            <w:r>
              <w:rPr>
                <w:rFonts w:ascii="Arial" w:hAnsi="Arial" w:cs="Arial"/>
                <w:sz w:val="20"/>
                <w:szCs w:val="20"/>
                <w:vertAlign w:val="superscript"/>
              </w:rPr>
              <w:t>c</w:t>
            </w:r>
          </w:p>
        </w:tc>
        <w:tc>
          <w:tcPr>
            <w:tcW w:w="1440" w:type="dxa"/>
            <w:shd w:val="clear" w:color="auto" w:fill="auto"/>
          </w:tcPr>
          <w:p w:rsidR="00260A21" w:rsidRDefault="005163B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5.10 ± 0.24</w:t>
            </w:r>
            <w:r>
              <w:rPr>
                <w:rFonts w:ascii="Arial" w:hAnsi="Arial" w:cs="Arial"/>
                <w:sz w:val="20"/>
                <w:szCs w:val="20"/>
                <w:vertAlign w:val="superscript"/>
              </w:rPr>
              <w:t>c</w:t>
            </w:r>
          </w:p>
        </w:tc>
        <w:tc>
          <w:tcPr>
            <w:tcW w:w="1620" w:type="dxa"/>
            <w:shd w:val="clear" w:color="auto" w:fill="auto"/>
          </w:tcPr>
          <w:p w:rsidR="00260A21" w:rsidRDefault="005163B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170.60 ± 3.68</w:t>
            </w:r>
            <w:r>
              <w:rPr>
                <w:rFonts w:ascii="Arial" w:hAnsi="Arial" w:cs="Arial"/>
                <w:sz w:val="20"/>
                <w:szCs w:val="20"/>
                <w:vertAlign w:val="superscript"/>
              </w:rPr>
              <w:t>a</w:t>
            </w:r>
          </w:p>
        </w:tc>
        <w:tc>
          <w:tcPr>
            <w:tcW w:w="1440" w:type="dxa"/>
            <w:shd w:val="clear" w:color="auto" w:fill="auto"/>
          </w:tcPr>
          <w:p w:rsidR="00260A21" w:rsidRDefault="005163B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5.06 ± 0.08</w:t>
            </w:r>
            <w:r>
              <w:rPr>
                <w:rFonts w:ascii="Arial" w:hAnsi="Arial" w:cs="Arial"/>
                <w:sz w:val="20"/>
                <w:szCs w:val="20"/>
                <w:vertAlign w:val="superscript"/>
              </w:rPr>
              <w:t>ab</w:t>
            </w:r>
          </w:p>
        </w:tc>
        <w:tc>
          <w:tcPr>
            <w:tcW w:w="1596" w:type="dxa"/>
            <w:shd w:val="clear" w:color="auto" w:fill="auto"/>
          </w:tcPr>
          <w:p w:rsidR="00260A21" w:rsidRDefault="005163B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17.48 ± 0.14</w:t>
            </w:r>
            <w:r>
              <w:rPr>
                <w:rFonts w:ascii="Arial" w:hAnsi="Arial" w:cs="Arial"/>
                <w:sz w:val="20"/>
                <w:szCs w:val="20"/>
                <w:vertAlign w:val="superscript"/>
              </w:rPr>
              <w:t>c</w:t>
            </w:r>
          </w:p>
        </w:tc>
        <w:tc>
          <w:tcPr>
            <w:tcW w:w="1554" w:type="dxa"/>
            <w:shd w:val="clear" w:color="auto" w:fill="auto"/>
          </w:tcPr>
          <w:p w:rsidR="00260A21" w:rsidRDefault="005163B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62.92 ± 9.39</w:t>
            </w:r>
            <w:r>
              <w:rPr>
                <w:rFonts w:ascii="Arial" w:hAnsi="Arial" w:cs="Arial"/>
                <w:sz w:val="20"/>
                <w:szCs w:val="20"/>
                <w:vertAlign w:val="superscript"/>
              </w:rPr>
              <w:t>ac</w:t>
            </w:r>
          </w:p>
        </w:tc>
      </w:tr>
      <w:tr w:rsidR="00260A21" w:rsidTr="00260A21">
        <w:tc>
          <w:tcPr>
            <w:cnfStyle w:val="001000000000" w:firstRow="0" w:lastRow="0" w:firstColumn="1" w:lastColumn="0" w:oddVBand="0" w:evenVBand="0" w:oddHBand="0" w:evenHBand="0" w:firstRowFirstColumn="0" w:firstRowLastColumn="0" w:lastRowFirstColumn="0" w:lastRowLastColumn="0"/>
            <w:tcW w:w="1961" w:type="dxa"/>
            <w:shd w:val="clear" w:color="auto" w:fill="auto"/>
          </w:tcPr>
          <w:p w:rsidR="00260A21" w:rsidRDefault="005163B4">
            <w:pPr>
              <w:spacing w:line="360" w:lineRule="auto"/>
              <w:jc w:val="both"/>
              <w:rPr>
                <w:rFonts w:ascii="Arial" w:hAnsi="Arial" w:cs="Arial"/>
                <w:sz w:val="20"/>
                <w:szCs w:val="20"/>
              </w:rPr>
            </w:pPr>
            <w:r>
              <w:rPr>
                <w:rFonts w:ascii="Arial" w:hAnsi="Arial" w:cs="Arial"/>
                <w:sz w:val="20"/>
                <w:szCs w:val="20"/>
              </w:rPr>
              <w:t>Leaves (500 mg)</w:t>
            </w:r>
          </w:p>
        </w:tc>
        <w:tc>
          <w:tcPr>
            <w:tcW w:w="1549" w:type="dxa"/>
          </w:tcPr>
          <w:p w:rsidR="00260A21" w:rsidRDefault="005163B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23.69 ± 0.37</w:t>
            </w:r>
            <w:r>
              <w:rPr>
                <w:rFonts w:ascii="Arial" w:hAnsi="Arial" w:cs="Arial"/>
                <w:sz w:val="20"/>
                <w:szCs w:val="20"/>
                <w:vertAlign w:val="superscript"/>
              </w:rPr>
              <w:t>cd</w:t>
            </w:r>
          </w:p>
        </w:tc>
        <w:tc>
          <w:tcPr>
            <w:tcW w:w="1440" w:type="dxa"/>
            <w:shd w:val="clear" w:color="auto" w:fill="auto"/>
          </w:tcPr>
          <w:p w:rsidR="00260A21" w:rsidRDefault="005163B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4.62 ± 0.30</w:t>
            </w:r>
            <w:r>
              <w:rPr>
                <w:rFonts w:ascii="Arial" w:hAnsi="Arial" w:cs="Arial"/>
                <w:sz w:val="20"/>
                <w:szCs w:val="20"/>
                <w:vertAlign w:val="superscript"/>
              </w:rPr>
              <w:t>ac</w:t>
            </w:r>
          </w:p>
        </w:tc>
        <w:tc>
          <w:tcPr>
            <w:tcW w:w="1620" w:type="dxa"/>
          </w:tcPr>
          <w:p w:rsidR="00260A21" w:rsidRDefault="005163B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170.80 ± 2.48</w:t>
            </w:r>
            <w:r>
              <w:rPr>
                <w:rFonts w:ascii="Arial" w:hAnsi="Arial" w:cs="Arial"/>
                <w:sz w:val="20"/>
                <w:szCs w:val="20"/>
                <w:vertAlign w:val="superscript"/>
              </w:rPr>
              <w:t>a</w:t>
            </w:r>
          </w:p>
        </w:tc>
        <w:tc>
          <w:tcPr>
            <w:tcW w:w="1440" w:type="dxa"/>
            <w:shd w:val="clear" w:color="auto" w:fill="auto"/>
          </w:tcPr>
          <w:p w:rsidR="00260A21" w:rsidRDefault="005163B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sz w:val="20"/>
                <w:szCs w:val="20"/>
              </w:rPr>
              <w:t>4.98 ± 0.15</w:t>
            </w:r>
            <w:r>
              <w:rPr>
                <w:rFonts w:ascii="Arial" w:hAnsi="Arial" w:cs="Arial"/>
                <w:sz w:val="20"/>
                <w:szCs w:val="20"/>
                <w:vertAlign w:val="superscript"/>
              </w:rPr>
              <w:t>ab</w:t>
            </w:r>
          </w:p>
        </w:tc>
        <w:tc>
          <w:tcPr>
            <w:tcW w:w="1596" w:type="dxa"/>
          </w:tcPr>
          <w:p w:rsidR="00260A21" w:rsidRDefault="005163B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17.58 ± 0.54</w:t>
            </w:r>
            <w:r>
              <w:rPr>
                <w:rFonts w:ascii="Arial" w:hAnsi="Arial" w:cs="Arial"/>
                <w:sz w:val="20"/>
                <w:szCs w:val="20"/>
                <w:vertAlign w:val="superscript"/>
              </w:rPr>
              <w:t>c</w:t>
            </w:r>
          </w:p>
        </w:tc>
        <w:tc>
          <w:tcPr>
            <w:tcW w:w="1554" w:type="dxa"/>
            <w:shd w:val="clear" w:color="auto" w:fill="auto"/>
          </w:tcPr>
          <w:p w:rsidR="00260A21" w:rsidRDefault="005163B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67.15 ± 1.45</w:t>
            </w:r>
            <w:r>
              <w:rPr>
                <w:rFonts w:ascii="Arial" w:hAnsi="Arial" w:cs="Arial"/>
                <w:sz w:val="20"/>
                <w:szCs w:val="20"/>
                <w:vertAlign w:val="superscript"/>
              </w:rPr>
              <w:t>c</w:t>
            </w:r>
          </w:p>
        </w:tc>
      </w:tr>
      <w:tr w:rsidR="00260A21" w:rsidTr="00260A21">
        <w:tc>
          <w:tcPr>
            <w:cnfStyle w:val="001000000000" w:firstRow="0" w:lastRow="0" w:firstColumn="1" w:lastColumn="0" w:oddVBand="0" w:evenVBand="0" w:oddHBand="0" w:evenHBand="0" w:firstRowFirstColumn="0" w:firstRowLastColumn="0" w:lastRowFirstColumn="0" w:lastRowLastColumn="0"/>
            <w:tcW w:w="1961" w:type="dxa"/>
            <w:shd w:val="clear" w:color="auto" w:fill="auto"/>
          </w:tcPr>
          <w:p w:rsidR="00260A21" w:rsidRDefault="005163B4">
            <w:pPr>
              <w:spacing w:line="360" w:lineRule="auto"/>
              <w:jc w:val="both"/>
              <w:rPr>
                <w:rFonts w:ascii="Arial" w:hAnsi="Arial" w:cs="Arial"/>
                <w:sz w:val="20"/>
                <w:szCs w:val="20"/>
              </w:rPr>
            </w:pPr>
            <w:r>
              <w:rPr>
                <w:rFonts w:ascii="Arial" w:hAnsi="Arial" w:cs="Arial"/>
                <w:sz w:val="20"/>
                <w:szCs w:val="20"/>
              </w:rPr>
              <w:t>Stem (250 mg)</w:t>
            </w:r>
          </w:p>
        </w:tc>
        <w:tc>
          <w:tcPr>
            <w:tcW w:w="1549" w:type="dxa"/>
            <w:shd w:val="clear" w:color="auto" w:fill="auto"/>
          </w:tcPr>
          <w:p w:rsidR="00260A21" w:rsidRDefault="005163B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21.82 ± 0.76</w:t>
            </w:r>
            <w:r>
              <w:rPr>
                <w:rFonts w:ascii="Arial" w:hAnsi="Arial" w:cs="Arial"/>
                <w:sz w:val="20"/>
                <w:szCs w:val="20"/>
                <w:vertAlign w:val="superscript"/>
              </w:rPr>
              <w:t>d</w:t>
            </w:r>
          </w:p>
        </w:tc>
        <w:tc>
          <w:tcPr>
            <w:tcW w:w="1440" w:type="dxa"/>
            <w:shd w:val="clear" w:color="auto" w:fill="auto"/>
          </w:tcPr>
          <w:p w:rsidR="00260A21" w:rsidRDefault="005163B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4.66 ± 0.17</w:t>
            </w:r>
            <w:r>
              <w:rPr>
                <w:rFonts w:ascii="Arial" w:hAnsi="Arial" w:cs="Arial"/>
                <w:sz w:val="20"/>
                <w:szCs w:val="20"/>
                <w:vertAlign w:val="superscript"/>
              </w:rPr>
              <w:t>ac</w:t>
            </w:r>
          </w:p>
        </w:tc>
        <w:tc>
          <w:tcPr>
            <w:tcW w:w="1620" w:type="dxa"/>
            <w:shd w:val="clear" w:color="auto" w:fill="auto"/>
          </w:tcPr>
          <w:p w:rsidR="00260A21" w:rsidRDefault="005163B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175.80 ± 4.36</w:t>
            </w:r>
            <w:r>
              <w:rPr>
                <w:rFonts w:ascii="Arial" w:hAnsi="Arial" w:cs="Arial"/>
                <w:sz w:val="20"/>
                <w:szCs w:val="20"/>
                <w:vertAlign w:val="superscript"/>
              </w:rPr>
              <w:t>a</w:t>
            </w:r>
          </w:p>
        </w:tc>
        <w:tc>
          <w:tcPr>
            <w:tcW w:w="1440" w:type="dxa"/>
            <w:shd w:val="clear" w:color="auto" w:fill="auto"/>
          </w:tcPr>
          <w:p w:rsidR="00260A21" w:rsidRDefault="005163B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5.19 ± 0.04</w:t>
            </w:r>
            <w:r>
              <w:rPr>
                <w:rFonts w:ascii="Arial" w:hAnsi="Arial" w:cs="Arial"/>
                <w:sz w:val="20"/>
                <w:szCs w:val="20"/>
                <w:vertAlign w:val="superscript"/>
              </w:rPr>
              <w:t>ab</w:t>
            </w:r>
          </w:p>
        </w:tc>
        <w:tc>
          <w:tcPr>
            <w:tcW w:w="1596" w:type="dxa"/>
            <w:shd w:val="clear" w:color="auto" w:fill="auto"/>
          </w:tcPr>
          <w:p w:rsidR="00260A21" w:rsidRDefault="005163B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18.13 ± 0.31</w:t>
            </w:r>
            <w:r>
              <w:rPr>
                <w:rFonts w:ascii="Arial" w:hAnsi="Arial" w:cs="Arial"/>
                <w:sz w:val="20"/>
                <w:szCs w:val="20"/>
                <w:vertAlign w:val="superscript"/>
              </w:rPr>
              <w:t>ac</w:t>
            </w:r>
          </w:p>
        </w:tc>
        <w:tc>
          <w:tcPr>
            <w:tcW w:w="1554" w:type="dxa"/>
            <w:shd w:val="clear" w:color="auto" w:fill="auto"/>
          </w:tcPr>
          <w:p w:rsidR="00260A21" w:rsidRDefault="005163B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67.52 ± 2.07</w:t>
            </w:r>
            <w:r>
              <w:rPr>
                <w:rFonts w:ascii="Arial" w:hAnsi="Arial" w:cs="Arial"/>
                <w:sz w:val="20"/>
                <w:szCs w:val="20"/>
                <w:vertAlign w:val="superscript"/>
              </w:rPr>
              <w:t>c</w:t>
            </w:r>
          </w:p>
        </w:tc>
      </w:tr>
      <w:tr w:rsidR="00260A21" w:rsidTr="00260A21">
        <w:tc>
          <w:tcPr>
            <w:cnfStyle w:val="001000000000" w:firstRow="0" w:lastRow="0" w:firstColumn="1" w:lastColumn="0" w:oddVBand="0" w:evenVBand="0" w:oddHBand="0" w:evenHBand="0" w:firstRowFirstColumn="0" w:firstRowLastColumn="0" w:lastRowFirstColumn="0" w:lastRowLastColumn="0"/>
            <w:tcW w:w="1961" w:type="dxa"/>
            <w:shd w:val="clear" w:color="auto" w:fill="auto"/>
          </w:tcPr>
          <w:p w:rsidR="00260A21" w:rsidRDefault="005163B4">
            <w:pPr>
              <w:spacing w:line="360" w:lineRule="auto"/>
              <w:jc w:val="both"/>
              <w:rPr>
                <w:rFonts w:ascii="Arial" w:hAnsi="Arial" w:cs="Arial"/>
                <w:sz w:val="20"/>
                <w:szCs w:val="20"/>
              </w:rPr>
            </w:pPr>
            <w:r>
              <w:rPr>
                <w:rFonts w:ascii="Arial" w:hAnsi="Arial" w:cs="Arial"/>
                <w:sz w:val="20"/>
                <w:szCs w:val="20"/>
              </w:rPr>
              <w:t>Stem (500 mg)</w:t>
            </w:r>
          </w:p>
        </w:tc>
        <w:tc>
          <w:tcPr>
            <w:tcW w:w="1549" w:type="dxa"/>
          </w:tcPr>
          <w:p w:rsidR="00260A21" w:rsidRDefault="005163B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23.77 ± 0.26</w:t>
            </w:r>
            <w:r>
              <w:rPr>
                <w:rFonts w:ascii="Arial" w:hAnsi="Arial" w:cs="Arial"/>
                <w:sz w:val="20"/>
                <w:szCs w:val="20"/>
                <w:vertAlign w:val="superscript"/>
              </w:rPr>
              <w:t>cd</w:t>
            </w:r>
          </w:p>
        </w:tc>
        <w:tc>
          <w:tcPr>
            <w:tcW w:w="1440" w:type="dxa"/>
            <w:shd w:val="clear" w:color="auto" w:fill="auto"/>
          </w:tcPr>
          <w:p w:rsidR="00260A21" w:rsidRDefault="005163B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5.34 ± 0.28</w:t>
            </w:r>
            <w:r>
              <w:rPr>
                <w:rFonts w:ascii="Arial" w:hAnsi="Arial" w:cs="Arial"/>
                <w:sz w:val="20"/>
                <w:szCs w:val="20"/>
                <w:vertAlign w:val="superscript"/>
              </w:rPr>
              <w:t>c</w:t>
            </w:r>
          </w:p>
        </w:tc>
        <w:tc>
          <w:tcPr>
            <w:tcW w:w="1620" w:type="dxa"/>
          </w:tcPr>
          <w:p w:rsidR="00260A21" w:rsidRDefault="005163B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171.90 ± 2.85</w:t>
            </w:r>
            <w:r>
              <w:rPr>
                <w:rFonts w:ascii="Arial" w:hAnsi="Arial" w:cs="Arial"/>
                <w:sz w:val="20"/>
                <w:szCs w:val="20"/>
                <w:vertAlign w:val="superscript"/>
              </w:rPr>
              <w:t>a</w:t>
            </w:r>
          </w:p>
        </w:tc>
        <w:tc>
          <w:tcPr>
            <w:tcW w:w="1440" w:type="dxa"/>
            <w:shd w:val="clear" w:color="auto" w:fill="auto"/>
          </w:tcPr>
          <w:p w:rsidR="00260A21" w:rsidRDefault="005163B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5.60 ± 0.35</w:t>
            </w:r>
            <w:r>
              <w:rPr>
                <w:rFonts w:ascii="Arial" w:hAnsi="Arial" w:cs="Arial"/>
                <w:sz w:val="20"/>
                <w:szCs w:val="20"/>
                <w:vertAlign w:val="superscript"/>
              </w:rPr>
              <w:t>ab</w:t>
            </w:r>
          </w:p>
        </w:tc>
        <w:tc>
          <w:tcPr>
            <w:tcW w:w="1596" w:type="dxa"/>
          </w:tcPr>
          <w:p w:rsidR="00260A21" w:rsidRDefault="005163B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16.86 ± 0.36</w:t>
            </w:r>
            <w:r>
              <w:rPr>
                <w:rFonts w:ascii="Arial" w:hAnsi="Arial" w:cs="Arial"/>
                <w:sz w:val="20"/>
                <w:szCs w:val="20"/>
                <w:vertAlign w:val="superscript"/>
              </w:rPr>
              <w:t>d</w:t>
            </w:r>
          </w:p>
        </w:tc>
        <w:tc>
          <w:tcPr>
            <w:tcW w:w="1554" w:type="dxa"/>
            <w:shd w:val="clear" w:color="auto" w:fill="auto"/>
          </w:tcPr>
          <w:p w:rsidR="00260A21" w:rsidRDefault="005163B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59.25 ± 2.95</w:t>
            </w:r>
            <w:r>
              <w:rPr>
                <w:rFonts w:ascii="Arial" w:hAnsi="Arial" w:cs="Arial"/>
                <w:sz w:val="20"/>
                <w:szCs w:val="20"/>
                <w:vertAlign w:val="superscript"/>
              </w:rPr>
              <w:t>a</w:t>
            </w:r>
          </w:p>
        </w:tc>
      </w:tr>
      <w:tr w:rsidR="00260A21" w:rsidTr="00260A21">
        <w:tc>
          <w:tcPr>
            <w:cnfStyle w:val="001000000000" w:firstRow="0" w:lastRow="0" w:firstColumn="1" w:lastColumn="0" w:oddVBand="0" w:evenVBand="0" w:oddHBand="0" w:evenHBand="0" w:firstRowFirstColumn="0" w:firstRowLastColumn="0" w:lastRowFirstColumn="0" w:lastRowLastColumn="0"/>
            <w:tcW w:w="1961" w:type="dxa"/>
            <w:shd w:val="clear" w:color="auto" w:fill="auto"/>
          </w:tcPr>
          <w:p w:rsidR="00260A21" w:rsidRDefault="005163B4">
            <w:pPr>
              <w:spacing w:line="360" w:lineRule="auto"/>
              <w:jc w:val="both"/>
              <w:rPr>
                <w:rFonts w:ascii="Arial" w:hAnsi="Arial" w:cs="Arial"/>
                <w:sz w:val="20"/>
                <w:szCs w:val="20"/>
              </w:rPr>
            </w:pPr>
            <w:r>
              <w:rPr>
                <w:rFonts w:ascii="Arial" w:hAnsi="Arial" w:cs="Arial"/>
                <w:sz w:val="20"/>
                <w:szCs w:val="20"/>
              </w:rPr>
              <w:t>Pulp (250 mg)</w:t>
            </w:r>
          </w:p>
        </w:tc>
        <w:tc>
          <w:tcPr>
            <w:tcW w:w="1549" w:type="dxa"/>
            <w:shd w:val="clear" w:color="auto" w:fill="auto"/>
          </w:tcPr>
          <w:p w:rsidR="00260A21" w:rsidRDefault="005163B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25.52 ± 3.15</w:t>
            </w:r>
            <w:r>
              <w:rPr>
                <w:rFonts w:ascii="Arial" w:hAnsi="Arial" w:cs="Arial"/>
                <w:sz w:val="20"/>
                <w:szCs w:val="20"/>
                <w:vertAlign w:val="superscript"/>
              </w:rPr>
              <w:t>cd</w:t>
            </w:r>
          </w:p>
        </w:tc>
        <w:tc>
          <w:tcPr>
            <w:tcW w:w="1440" w:type="dxa"/>
            <w:shd w:val="clear" w:color="auto" w:fill="auto"/>
          </w:tcPr>
          <w:p w:rsidR="00260A21" w:rsidRDefault="005163B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5.19 ± 0.24</w:t>
            </w:r>
            <w:r>
              <w:rPr>
                <w:rFonts w:ascii="Arial" w:hAnsi="Arial" w:cs="Arial"/>
                <w:sz w:val="20"/>
                <w:szCs w:val="20"/>
                <w:vertAlign w:val="superscript"/>
              </w:rPr>
              <w:t>c</w:t>
            </w:r>
          </w:p>
        </w:tc>
        <w:tc>
          <w:tcPr>
            <w:tcW w:w="1620" w:type="dxa"/>
            <w:shd w:val="clear" w:color="auto" w:fill="auto"/>
          </w:tcPr>
          <w:p w:rsidR="00260A21" w:rsidRDefault="005163B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168.40 ± 1.86</w:t>
            </w:r>
            <w:r>
              <w:rPr>
                <w:rFonts w:ascii="Arial" w:hAnsi="Arial" w:cs="Arial"/>
                <w:sz w:val="20"/>
                <w:szCs w:val="20"/>
                <w:vertAlign w:val="superscript"/>
              </w:rPr>
              <w:t>a</w:t>
            </w:r>
          </w:p>
        </w:tc>
        <w:tc>
          <w:tcPr>
            <w:tcW w:w="1440" w:type="dxa"/>
            <w:shd w:val="clear" w:color="auto" w:fill="auto"/>
          </w:tcPr>
          <w:p w:rsidR="00260A21" w:rsidRDefault="005163B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4.93 ± 0.31</w:t>
            </w:r>
            <w:r>
              <w:rPr>
                <w:rFonts w:ascii="Arial" w:hAnsi="Arial" w:cs="Arial"/>
                <w:sz w:val="20"/>
                <w:szCs w:val="20"/>
                <w:vertAlign w:val="superscript"/>
              </w:rPr>
              <w:t>a</w:t>
            </w:r>
          </w:p>
        </w:tc>
        <w:tc>
          <w:tcPr>
            <w:tcW w:w="1596" w:type="dxa"/>
            <w:shd w:val="clear" w:color="auto" w:fill="auto"/>
          </w:tcPr>
          <w:p w:rsidR="00260A21" w:rsidRDefault="005163B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16.94 ± 0.31</w:t>
            </w:r>
            <w:r>
              <w:rPr>
                <w:rFonts w:ascii="Arial" w:hAnsi="Arial" w:cs="Arial"/>
                <w:sz w:val="20"/>
                <w:szCs w:val="20"/>
                <w:vertAlign w:val="superscript"/>
              </w:rPr>
              <w:t>d</w:t>
            </w:r>
          </w:p>
        </w:tc>
        <w:tc>
          <w:tcPr>
            <w:tcW w:w="1554" w:type="dxa"/>
            <w:shd w:val="clear" w:color="auto" w:fill="auto"/>
          </w:tcPr>
          <w:p w:rsidR="00260A21" w:rsidRDefault="005163B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66.79 ± 0.58</w:t>
            </w:r>
            <w:r>
              <w:rPr>
                <w:rFonts w:ascii="Arial" w:hAnsi="Arial" w:cs="Arial"/>
                <w:sz w:val="20"/>
                <w:szCs w:val="20"/>
                <w:vertAlign w:val="superscript"/>
              </w:rPr>
              <w:t>c</w:t>
            </w:r>
          </w:p>
        </w:tc>
      </w:tr>
      <w:tr w:rsidR="00260A21" w:rsidTr="00260A21">
        <w:tc>
          <w:tcPr>
            <w:cnfStyle w:val="001000000000" w:firstRow="0" w:lastRow="0" w:firstColumn="1" w:lastColumn="0" w:oddVBand="0" w:evenVBand="0" w:oddHBand="0" w:evenHBand="0" w:firstRowFirstColumn="0" w:firstRowLastColumn="0" w:lastRowFirstColumn="0" w:lastRowLastColumn="0"/>
            <w:tcW w:w="1961" w:type="dxa"/>
            <w:shd w:val="clear" w:color="auto" w:fill="auto"/>
          </w:tcPr>
          <w:p w:rsidR="00260A21" w:rsidRDefault="005163B4">
            <w:pPr>
              <w:spacing w:line="360" w:lineRule="auto"/>
              <w:jc w:val="both"/>
              <w:rPr>
                <w:rFonts w:ascii="Arial" w:hAnsi="Arial" w:cs="Arial"/>
                <w:sz w:val="20"/>
                <w:szCs w:val="20"/>
              </w:rPr>
            </w:pPr>
            <w:r>
              <w:rPr>
                <w:rFonts w:ascii="Arial" w:hAnsi="Arial" w:cs="Arial"/>
                <w:sz w:val="20"/>
                <w:szCs w:val="20"/>
              </w:rPr>
              <w:t>Pulp (500 mg)</w:t>
            </w:r>
          </w:p>
        </w:tc>
        <w:tc>
          <w:tcPr>
            <w:tcW w:w="1549" w:type="dxa"/>
          </w:tcPr>
          <w:p w:rsidR="00260A21" w:rsidRDefault="005163B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22.47 ± 0.45</w:t>
            </w:r>
            <w:r>
              <w:rPr>
                <w:rFonts w:ascii="Arial" w:hAnsi="Arial" w:cs="Arial"/>
                <w:sz w:val="20"/>
                <w:szCs w:val="20"/>
                <w:vertAlign w:val="superscript"/>
              </w:rPr>
              <w:t>d</w:t>
            </w:r>
          </w:p>
        </w:tc>
        <w:tc>
          <w:tcPr>
            <w:tcW w:w="1440" w:type="dxa"/>
            <w:shd w:val="clear" w:color="auto" w:fill="auto"/>
          </w:tcPr>
          <w:p w:rsidR="00260A21" w:rsidRDefault="005163B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5.04 ± 0.17</w:t>
            </w:r>
            <w:r>
              <w:rPr>
                <w:rFonts w:ascii="Arial" w:hAnsi="Arial" w:cs="Arial"/>
                <w:sz w:val="20"/>
                <w:szCs w:val="20"/>
                <w:vertAlign w:val="superscript"/>
              </w:rPr>
              <w:t>ac</w:t>
            </w:r>
          </w:p>
        </w:tc>
        <w:tc>
          <w:tcPr>
            <w:tcW w:w="1620" w:type="dxa"/>
          </w:tcPr>
          <w:p w:rsidR="00260A21" w:rsidRDefault="005163B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171.50 ± 3.71</w:t>
            </w:r>
            <w:r>
              <w:rPr>
                <w:rFonts w:ascii="Arial" w:hAnsi="Arial" w:cs="Arial"/>
                <w:sz w:val="20"/>
                <w:szCs w:val="20"/>
                <w:vertAlign w:val="superscript"/>
              </w:rPr>
              <w:t>a</w:t>
            </w:r>
          </w:p>
        </w:tc>
        <w:tc>
          <w:tcPr>
            <w:tcW w:w="1440" w:type="dxa"/>
            <w:shd w:val="clear" w:color="auto" w:fill="auto"/>
          </w:tcPr>
          <w:p w:rsidR="00260A21" w:rsidRDefault="005163B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5.25 ± 0.12</w:t>
            </w:r>
            <w:r>
              <w:rPr>
                <w:rFonts w:ascii="Arial" w:hAnsi="Arial" w:cs="Arial"/>
                <w:sz w:val="20"/>
                <w:szCs w:val="20"/>
                <w:vertAlign w:val="superscript"/>
              </w:rPr>
              <w:t>ab</w:t>
            </w:r>
          </w:p>
        </w:tc>
        <w:tc>
          <w:tcPr>
            <w:tcW w:w="1596" w:type="dxa"/>
          </w:tcPr>
          <w:p w:rsidR="00260A21" w:rsidRDefault="005163B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17.74 ± 0.17</w:t>
            </w:r>
            <w:r>
              <w:rPr>
                <w:rFonts w:ascii="Arial" w:hAnsi="Arial" w:cs="Arial"/>
                <w:sz w:val="20"/>
                <w:szCs w:val="20"/>
                <w:vertAlign w:val="superscript"/>
              </w:rPr>
              <w:t>c</w:t>
            </w:r>
          </w:p>
        </w:tc>
        <w:tc>
          <w:tcPr>
            <w:tcW w:w="1554" w:type="dxa"/>
            <w:shd w:val="clear" w:color="auto" w:fill="auto"/>
          </w:tcPr>
          <w:p w:rsidR="00260A21" w:rsidRDefault="005163B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68.20 ± 7.30</w:t>
            </w:r>
            <w:r>
              <w:rPr>
                <w:rFonts w:ascii="Arial" w:hAnsi="Arial" w:cs="Arial"/>
                <w:sz w:val="20"/>
                <w:szCs w:val="20"/>
                <w:vertAlign w:val="superscript"/>
              </w:rPr>
              <w:t>ac</w:t>
            </w:r>
          </w:p>
        </w:tc>
      </w:tr>
      <w:tr w:rsidR="00260A21" w:rsidTr="00260A21">
        <w:tc>
          <w:tcPr>
            <w:cnfStyle w:val="001000000000" w:firstRow="0" w:lastRow="0" w:firstColumn="1" w:lastColumn="0" w:oddVBand="0" w:evenVBand="0" w:oddHBand="0" w:evenHBand="0" w:firstRowFirstColumn="0" w:firstRowLastColumn="0" w:lastRowFirstColumn="0" w:lastRowLastColumn="0"/>
            <w:tcW w:w="1961" w:type="dxa"/>
            <w:shd w:val="clear" w:color="auto" w:fill="auto"/>
          </w:tcPr>
          <w:p w:rsidR="00260A21" w:rsidRDefault="005163B4">
            <w:pPr>
              <w:spacing w:line="360" w:lineRule="auto"/>
              <w:jc w:val="both"/>
              <w:rPr>
                <w:rFonts w:ascii="Arial" w:hAnsi="Arial" w:cs="Arial"/>
                <w:sz w:val="20"/>
                <w:szCs w:val="20"/>
              </w:rPr>
            </w:pPr>
            <w:r>
              <w:rPr>
                <w:rFonts w:ascii="Arial" w:hAnsi="Arial" w:cs="Arial"/>
                <w:sz w:val="20"/>
                <w:szCs w:val="20"/>
              </w:rPr>
              <w:t>Ext. Combination (250 mg)</w:t>
            </w:r>
          </w:p>
        </w:tc>
        <w:tc>
          <w:tcPr>
            <w:tcW w:w="1549" w:type="dxa"/>
            <w:shd w:val="clear" w:color="auto" w:fill="auto"/>
          </w:tcPr>
          <w:p w:rsidR="00260A21" w:rsidRDefault="005163B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21.17 ± 0.38</w:t>
            </w:r>
            <w:r>
              <w:rPr>
                <w:rFonts w:ascii="Arial" w:hAnsi="Arial" w:cs="Arial"/>
                <w:sz w:val="20"/>
                <w:szCs w:val="20"/>
                <w:vertAlign w:val="superscript"/>
              </w:rPr>
              <w:t>d</w:t>
            </w:r>
          </w:p>
        </w:tc>
        <w:tc>
          <w:tcPr>
            <w:tcW w:w="1440" w:type="dxa"/>
            <w:shd w:val="clear" w:color="auto" w:fill="auto"/>
          </w:tcPr>
          <w:p w:rsidR="00260A21" w:rsidRDefault="005163B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4.72 ± 0.21</w:t>
            </w:r>
            <w:r>
              <w:rPr>
                <w:rFonts w:ascii="Arial" w:hAnsi="Arial" w:cs="Arial"/>
                <w:sz w:val="20"/>
                <w:szCs w:val="20"/>
                <w:vertAlign w:val="superscript"/>
              </w:rPr>
              <w:t>ac</w:t>
            </w:r>
          </w:p>
        </w:tc>
        <w:tc>
          <w:tcPr>
            <w:tcW w:w="1620" w:type="dxa"/>
            <w:shd w:val="clear" w:color="auto" w:fill="auto"/>
          </w:tcPr>
          <w:p w:rsidR="00260A21" w:rsidRDefault="005163B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172.60 ± 4.24</w:t>
            </w:r>
            <w:r>
              <w:rPr>
                <w:rFonts w:ascii="Arial" w:hAnsi="Arial" w:cs="Arial"/>
                <w:sz w:val="20"/>
                <w:szCs w:val="20"/>
                <w:vertAlign w:val="superscript"/>
              </w:rPr>
              <w:t>a</w:t>
            </w:r>
          </w:p>
        </w:tc>
        <w:tc>
          <w:tcPr>
            <w:tcW w:w="1440" w:type="dxa"/>
            <w:shd w:val="clear" w:color="auto" w:fill="auto"/>
          </w:tcPr>
          <w:p w:rsidR="00260A21" w:rsidRDefault="005163B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5.20 ± 0.23</w:t>
            </w:r>
            <w:r>
              <w:rPr>
                <w:rFonts w:ascii="Arial" w:hAnsi="Arial" w:cs="Arial"/>
                <w:sz w:val="20"/>
                <w:szCs w:val="20"/>
                <w:vertAlign w:val="superscript"/>
              </w:rPr>
              <w:t>ab</w:t>
            </w:r>
          </w:p>
        </w:tc>
        <w:tc>
          <w:tcPr>
            <w:tcW w:w="1596" w:type="dxa"/>
            <w:shd w:val="clear" w:color="auto" w:fill="auto"/>
          </w:tcPr>
          <w:p w:rsidR="00260A21" w:rsidRDefault="005163B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18.90 ± 0.14</w:t>
            </w:r>
            <w:r>
              <w:rPr>
                <w:rFonts w:ascii="Arial" w:hAnsi="Arial" w:cs="Arial"/>
                <w:sz w:val="20"/>
                <w:szCs w:val="20"/>
                <w:vertAlign w:val="superscript"/>
              </w:rPr>
              <w:t>ac</w:t>
            </w:r>
          </w:p>
        </w:tc>
        <w:tc>
          <w:tcPr>
            <w:tcW w:w="1554" w:type="dxa"/>
            <w:shd w:val="clear" w:color="auto" w:fill="auto"/>
          </w:tcPr>
          <w:p w:rsidR="00260A21" w:rsidRDefault="005163B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61.74 ± 2.30</w:t>
            </w:r>
            <w:r>
              <w:rPr>
                <w:rFonts w:ascii="Arial" w:hAnsi="Arial" w:cs="Arial"/>
                <w:sz w:val="20"/>
                <w:szCs w:val="20"/>
                <w:vertAlign w:val="superscript"/>
              </w:rPr>
              <w:t>ac</w:t>
            </w:r>
          </w:p>
        </w:tc>
      </w:tr>
      <w:tr w:rsidR="00260A21" w:rsidTr="00260A21">
        <w:tc>
          <w:tcPr>
            <w:cnfStyle w:val="001000000000" w:firstRow="0" w:lastRow="0" w:firstColumn="1" w:lastColumn="0" w:oddVBand="0" w:evenVBand="0" w:oddHBand="0" w:evenHBand="0" w:firstRowFirstColumn="0" w:firstRowLastColumn="0" w:lastRowFirstColumn="0" w:lastRowLastColumn="0"/>
            <w:tcW w:w="1961" w:type="dxa"/>
            <w:tcBorders>
              <w:bottom w:val="single" w:sz="18" w:space="0" w:color="auto"/>
            </w:tcBorders>
            <w:shd w:val="clear" w:color="auto" w:fill="auto"/>
          </w:tcPr>
          <w:p w:rsidR="00260A21" w:rsidRDefault="005163B4">
            <w:pPr>
              <w:spacing w:line="360" w:lineRule="auto"/>
              <w:jc w:val="both"/>
              <w:rPr>
                <w:rFonts w:ascii="Arial" w:hAnsi="Arial" w:cs="Arial"/>
                <w:sz w:val="20"/>
                <w:szCs w:val="20"/>
              </w:rPr>
            </w:pPr>
            <w:r>
              <w:rPr>
                <w:rFonts w:ascii="Arial" w:hAnsi="Arial" w:cs="Arial"/>
                <w:sz w:val="20"/>
                <w:szCs w:val="20"/>
              </w:rPr>
              <w:lastRenderedPageBreak/>
              <w:t>Ext. Combination (500 mg)</w:t>
            </w:r>
          </w:p>
        </w:tc>
        <w:tc>
          <w:tcPr>
            <w:tcW w:w="1549" w:type="dxa"/>
            <w:tcBorders>
              <w:bottom w:val="single" w:sz="18" w:space="0" w:color="auto"/>
            </w:tcBorders>
          </w:tcPr>
          <w:p w:rsidR="00260A21" w:rsidRDefault="005163B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25.05 ± 3.94</w:t>
            </w:r>
            <w:r>
              <w:rPr>
                <w:rFonts w:ascii="Arial" w:hAnsi="Arial" w:cs="Arial"/>
                <w:sz w:val="20"/>
                <w:szCs w:val="20"/>
                <w:vertAlign w:val="superscript"/>
              </w:rPr>
              <w:t>cd</w:t>
            </w:r>
          </w:p>
        </w:tc>
        <w:tc>
          <w:tcPr>
            <w:tcW w:w="1440" w:type="dxa"/>
            <w:tcBorders>
              <w:bottom w:val="single" w:sz="18" w:space="0" w:color="auto"/>
            </w:tcBorders>
            <w:shd w:val="clear" w:color="auto" w:fill="auto"/>
          </w:tcPr>
          <w:p w:rsidR="00260A21" w:rsidRDefault="005163B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6.01 ± 0.62</w:t>
            </w:r>
            <w:r>
              <w:rPr>
                <w:rFonts w:ascii="Arial" w:hAnsi="Arial" w:cs="Arial"/>
                <w:sz w:val="20"/>
                <w:szCs w:val="20"/>
                <w:vertAlign w:val="superscript"/>
              </w:rPr>
              <w:t>d</w:t>
            </w:r>
          </w:p>
        </w:tc>
        <w:tc>
          <w:tcPr>
            <w:tcW w:w="1620" w:type="dxa"/>
            <w:tcBorders>
              <w:bottom w:val="single" w:sz="18" w:space="0" w:color="auto"/>
            </w:tcBorders>
          </w:tcPr>
          <w:p w:rsidR="00260A21" w:rsidRDefault="005163B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171.10 ± 2.66</w:t>
            </w:r>
            <w:r>
              <w:rPr>
                <w:rFonts w:ascii="Arial" w:hAnsi="Arial" w:cs="Arial"/>
                <w:sz w:val="20"/>
                <w:szCs w:val="20"/>
                <w:vertAlign w:val="superscript"/>
              </w:rPr>
              <w:t>a</w:t>
            </w:r>
          </w:p>
        </w:tc>
        <w:tc>
          <w:tcPr>
            <w:tcW w:w="1440" w:type="dxa"/>
            <w:tcBorders>
              <w:bottom w:val="single" w:sz="18" w:space="0" w:color="auto"/>
            </w:tcBorders>
            <w:shd w:val="clear" w:color="auto" w:fill="auto"/>
          </w:tcPr>
          <w:p w:rsidR="00260A21" w:rsidRDefault="005163B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5.80 ± 0.60</w:t>
            </w:r>
            <w:r>
              <w:rPr>
                <w:rFonts w:ascii="Arial" w:hAnsi="Arial" w:cs="Arial"/>
                <w:sz w:val="20"/>
                <w:szCs w:val="20"/>
                <w:vertAlign w:val="superscript"/>
              </w:rPr>
              <w:t>b</w:t>
            </w:r>
          </w:p>
        </w:tc>
        <w:tc>
          <w:tcPr>
            <w:tcW w:w="1596" w:type="dxa"/>
            <w:tcBorders>
              <w:bottom w:val="single" w:sz="18" w:space="0" w:color="auto"/>
            </w:tcBorders>
          </w:tcPr>
          <w:p w:rsidR="00260A21" w:rsidRDefault="005163B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20.71 ± 0.17</w:t>
            </w:r>
            <w:r>
              <w:rPr>
                <w:rFonts w:ascii="Arial" w:hAnsi="Arial" w:cs="Arial"/>
                <w:sz w:val="20"/>
                <w:szCs w:val="20"/>
                <w:vertAlign w:val="superscript"/>
              </w:rPr>
              <w:t>a</w:t>
            </w:r>
          </w:p>
        </w:tc>
        <w:tc>
          <w:tcPr>
            <w:tcW w:w="1554" w:type="dxa"/>
            <w:tcBorders>
              <w:bottom w:val="single" w:sz="18" w:space="0" w:color="auto"/>
            </w:tcBorders>
            <w:shd w:val="clear" w:color="auto" w:fill="auto"/>
          </w:tcPr>
          <w:p w:rsidR="00260A21" w:rsidRDefault="005163B4">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59.45 ± 0.89</w:t>
            </w:r>
            <w:r>
              <w:rPr>
                <w:rFonts w:ascii="Arial" w:hAnsi="Arial" w:cs="Arial"/>
                <w:sz w:val="20"/>
                <w:szCs w:val="20"/>
                <w:vertAlign w:val="superscript"/>
              </w:rPr>
              <w:t>a</w:t>
            </w:r>
          </w:p>
        </w:tc>
      </w:tr>
    </w:tbl>
    <w:p w:rsidR="00260A21" w:rsidRDefault="005163B4">
      <w:pPr>
        <w:spacing w:line="240" w:lineRule="auto"/>
        <w:jc w:val="both"/>
        <w:rPr>
          <w:rFonts w:ascii="Arial" w:hAnsi="Arial" w:cs="Arial"/>
          <w:sz w:val="20"/>
          <w:szCs w:val="20"/>
        </w:rPr>
      </w:pPr>
      <w:r>
        <w:rPr>
          <w:rFonts w:ascii="Arial" w:hAnsi="Arial" w:cs="Arial"/>
          <w:bCs/>
          <w:sz w:val="20"/>
          <w:szCs w:val="20"/>
        </w:rPr>
        <w:t>Values are mean</w:t>
      </w:r>
      <w:r>
        <w:rPr>
          <w:rFonts w:ascii="Arial" w:hAnsi="Arial" w:cs="Arial"/>
          <w:b/>
          <w:sz w:val="20"/>
          <w:szCs w:val="20"/>
        </w:rPr>
        <w:t xml:space="preserve"> </w:t>
      </w:r>
      <w:r>
        <w:rPr>
          <w:rFonts w:ascii="Arial" w:hAnsi="Arial" w:cs="Arial"/>
          <w:sz w:val="20"/>
          <w:szCs w:val="20"/>
        </w:rPr>
        <w:t xml:space="preserve">± standard deviation (n = 3). Values with different superscript letters per column are statistically significant (p&lt;0.05). </w:t>
      </w:r>
    </w:p>
    <w:p w:rsidR="00260A21" w:rsidRDefault="00260A21">
      <w:pPr>
        <w:spacing w:line="240" w:lineRule="auto"/>
        <w:jc w:val="both"/>
        <w:rPr>
          <w:rFonts w:ascii="Arial" w:hAnsi="Arial" w:cs="Arial"/>
          <w:sz w:val="20"/>
          <w:szCs w:val="20"/>
        </w:rPr>
      </w:pPr>
    </w:p>
    <w:p w:rsidR="00260A21" w:rsidRDefault="00260A21">
      <w:pPr>
        <w:spacing w:line="240" w:lineRule="auto"/>
        <w:jc w:val="both"/>
        <w:rPr>
          <w:rFonts w:ascii="Arial" w:hAnsi="Arial" w:cs="Arial"/>
          <w:sz w:val="20"/>
          <w:szCs w:val="20"/>
        </w:rPr>
      </w:pPr>
    </w:p>
    <w:p w:rsidR="00260A21" w:rsidRDefault="00260A21">
      <w:pPr>
        <w:jc w:val="both"/>
        <w:rPr>
          <w:rFonts w:ascii="Arial" w:hAnsi="Arial" w:cs="Arial"/>
          <w:b/>
          <w:bCs/>
          <w:sz w:val="20"/>
          <w:szCs w:val="20"/>
        </w:rPr>
      </w:pPr>
    </w:p>
    <w:p w:rsidR="00260A21" w:rsidRDefault="00260A21">
      <w:pPr>
        <w:jc w:val="both"/>
        <w:rPr>
          <w:rFonts w:ascii="Arial" w:hAnsi="Arial" w:cs="Arial"/>
          <w:b/>
          <w:bCs/>
          <w:sz w:val="20"/>
          <w:szCs w:val="20"/>
        </w:rPr>
      </w:pPr>
    </w:p>
    <w:p w:rsidR="00260A21" w:rsidRDefault="00260A21">
      <w:pPr>
        <w:jc w:val="both"/>
        <w:rPr>
          <w:rFonts w:ascii="Arial" w:hAnsi="Arial" w:cs="Arial"/>
          <w:b/>
          <w:bCs/>
          <w:sz w:val="20"/>
          <w:szCs w:val="20"/>
        </w:rPr>
      </w:pPr>
    </w:p>
    <w:p w:rsidR="00260A21" w:rsidRDefault="00260A21">
      <w:pPr>
        <w:jc w:val="both"/>
        <w:rPr>
          <w:rFonts w:ascii="Arial" w:hAnsi="Arial" w:cs="Arial"/>
          <w:b/>
          <w:bCs/>
          <w:sz w:val="20"/>
          <w:szCs w:val="20"/>
        </w:rPr>
      </w:pPr>
    </w:p>
    <w:p w:rsidR="00260A21" w:rsidRDefault="00260A21">
      <w:pPr>
        <w:jc w:val="both"/>
        <w:rPr>
          <w:rFonts w:ascii="Arial" w:hAnsi="Arial" w:cs="Arial"/>
          <w:b/>
          <w:bCs/>
          <w:sz w:val="20"/>
          <w:szCs w:val="20"/>
        </w:rPr>
      </w:pPr>
    </w:p>
    <w:p w:rsidR="00260A21" w:rsidRDefault="00260A21">
      <w:pPr>
        <w:jc w:val="both"/>
        <w:rPr>
          <w:rFonts w:ascii="Arial" w:hAnsi="Arial" w:cs="Arial"/>
          <w:b/>
          <w:bCs/>
          <w:sz w:val="20"/>
          <w:szCs w:val="20"/>
        </w:rPr>
      </w:pPr>
    </w:p>
    <w:p w:rsidR="00260A21" w:rsidRDefault="00260A21">
      <w:pPr>
        <w:jc w:val="both"/>
        <w:rPr>
          <w:rFonts w:ascii="Arial" w:hAnsi="Arial" w:cs="Arial"/>
          <w:b/>
          <w:bCs/>
          <w:sz w:val="20"/>
          <w:szCs w:val="20"/>
        </w:rPr>
      </w:pPr>
    </w:p>
    <w:p w:rsidR="00260A21" w:rsidRDefault="00260A21">
      <w:pPr>
        <w:jc w:val="both"/>
        <w:rPr>
          <w:rFonts w:ascii="Arial" w:hAnsi="Arial" w:cs="Arial"/>
          <w:b/>
          <w:bCs/>
          <w:sz w:val="20"/>
          <w:szCs w:val="20"/>
        </w:rPr>
      </w:pPr>
    </w:p>
    <w:p w:rsidR="00260A21" w:rsidRDefault="00260A21">
      <w:pPr>
        <w:jc w:val="both"/>
        <w:rPr>
          <w:rFonts w:ascii="Arial" w:hAnsi="Arial" w:cs="Arial"/>
          <w:b/>
          <w:bCs/>
          <w:sz w:val="20"/>
          <w:szCs w:val="20"/>
        </w:rPr>
      </w:pPr>
    </w:p>
    <w:p w:rsidR="00260A21" w:rsidRDefault="005163B4">
      <w:pPr>
        <w:jc w:val="both"/>
        <w:rPr>
          <w:rFonts w:ascii="Arial" w:hAnsi="Arial" w:cs="Arial"/>
          <w:b/>
          <w:bCs/>
        </w:rPr>
      </w:pPr>
      <w:r>
        <w:rPr>
          <w:rFonts w:ascii="Arial" w:hAnsi="Arial" w:cs="Arial"/>
          <w:b/>
          <w:bCs/>
        </w:rPr>
        <w:t>4.0 DISCUSSION</w:t>
      </w:r>
    </w:p>
    <w:p w:rsidR="00260A21" w:rsidRDefault="005163B4">
      <w:pPr>
        <w:spacing w:line="360" w:lineRule="auto"/>
        <w:jc w:val="both"/>
        <w:rPr>
          <w:rFonts w:ascii="Arial" w:hAnsi="Arial" w:cs="Arial"/>
          <w:sz w:val="20"/>
          <w:szCs w:val="20"/>
        </w:rPr>
      </w:pPr>
      <w:r>
        <w:rPr>
          <w:rFonts w:ascii="Arial" w:hAnsi="Arial" w:cs="Arial"/>
          <w:sz w:val="20"/>
          <w:szCs w:val="20"/>
        </w:rPr>
        <w:t xml:space="preserve">Medicinal plants are widely valued for their therapeutic benefits, affordability, and minimal side effects (Ali </w:t>
      </w:r>
      <w:r>
        <w:rPr>
          <w:rFonts w:ascii="Arial" w:hAnsi="Arial" w:cs="Arial"/>
          <w:i/>
          <w:iCs/>
          <w:sz w:val="20"/>
          <w:szCs w:val="20"/>
        </w:rPr>
        <w:t>et al</w:t>
      </w:r>
      <w:r>
        <w:rPr>
          <w:rFonts w:ascii="Arial" w:hAnsi="Arial" w:cs="Arial"/>
          <w:sz w:val="20"/>
          <w:szCs w:val="20"/>
        </w:rPr>
        <w:t xml:space="preserve">., 2017). Their rich secondary metabolites, including flavonoids and phenolics, exert antioxidant effects by scavenging ROS, reducing lipid peroxidation, and enhancing endogenous </w:t>
      </w:r>
      <w:proofErr w:type="spellStart"/>
      <w:r>
        <w:rPr>
          <w:rFonts w:ascii="Arial" w:hAnsi="Arial" w:cs="Arial"/>
          <w:sz w:val="20"/>
          <w:szCs w:val="20"/>
        </w:rPr>
        <w:t>defences</w:t>
      </w:r>
      <w:proofErr w:type="spellEnd"/>
      <w:r>
        <w:rPr>
          <w:rFonts w:ascii="Arial" w:hAnsi="Arial" w:cs="Arial"/>
          <w:sz w:val="20"/>
          <w:szCs w:val="20"/>
        </w:rPr>
        <w:t xml:space="preserve"> like SOD and GSH (Yadav </w:t>
      </w:r>
      <w:r>
        <w:rPr>
          <w:rFonts w:ascii="Arial" w:hAnsi="Arial" w:cs="Arial"/>
          <w:i/>
          <w:iCs/>
          <w:sz w:val="20"/>
          <w:szCs w:val="20"/>
        </w:rPr>
        <w:t>et al</w:t>
      </w:r>
      <w:r>
        <w:rPr>
          <w:rFonts w:ascii="Arial" w:hAnsi="Arial" w:cs="Arial"/>
          <w:sz w:val="20"/>
          <w:szCs w:val="20"/>
        </w:rPr>
        <w:t xml:space="preserve">., 2023). Many exhibit hepatoprotective activity through hepatocyte membrane </w:t>
      </w:r>
      <w:proofErr w:type="spellStart"/>
      <w:r>
        <w:rPr>
          <w:rFonts w:ascii="Arial" w:hAnsi="Arial" w:cs="Arial"/>
          <w:sz w:val="20"/>
          <w:szCs w:val="20"/>
        </w:rPr>
        <w:t>stabilisation</w:t>
      </w:r>
      <w:proofErr w:type="spellEnd"/>
      <w:r>
        <w:rPr>
          <w:rFonts w:ascii="Arial" w:hAnsi="Arial" w:cs="Arial"/>
          <w:sz w:val="20"/>
          <w:szCs w:val="20"/>
        </w:rPr>
        <w:t xml:space="preserve">, suppression of oxidative pathways, and </w:t>
      </w:r>
      <w:proofErr w:type="spellStart"/>
      <w:r>
        <w:rPr>
          <w:rFonts w:ascii="Arial" w:hAnsi="Arial" w:cs="Arial"/>
          <w:sz w:val="20"/>
          <w:szCs w:val="20"/>
        </w:rPr>
        <w:t>normalisation</w:t>
      </w:r>
      <w:proofErr w:type="spellEnd"/>
      <w:r>
        <w:rPr>
          <w:rFonts w:ascii="Arial" w:hAnsi="Arial" w:cs="Arial"/>
          <w:sz w:val="20"/>
          <w:szCs w:val="20"/>
        </w:rPr>
        <w:t xml:space="preserve"> of ALT, AST, ALP, and bilirubin. Additionally, phytocompounds such as flavonoids provide renal protection by reducing oxidative stress, preserving renal function, and correcting electrolyte imbalance, supporting their role in kidney disorder management.</w:t>
      </w:r>
    </w:p>
    <w:p w:rsidR="00260A21" w:rsidRDefault="005163B4">
      <w:pPr>
        <w:spacing w:line="360" w:lineRule="auto"/>
        <w:jc w:val="both"/>
        <w:rPr>
          <w:rFonts w:ascii="Arial" w:hAnsi="Arial" w:cs="Arial"/>
          <w:sz w:val="20"/>
          <w:szCs w:val="20"/>
        </w:rPr>
      </w:pPr>
      <w:r>
        <w:rPr>
          <w:rFonts w:ascii="Arial" w:hAnsi="Arial" w:cs="Arial"/>
          <w:sz w:val="20"/>
          <w:szCs w:val="20"/>
        </w:rPr>
        <w:t xml:space="preserve">The present study investigated the comparative sub-acute toxicity and biochemical responses of benign prostatic hyperplasia (BPH)-induced Wistar albino rats treated with ethanol extracts of </w:t>
      </w:r>
      <w:proofErr w:type="spellStart"/>
      <w:r>
        <w:rPr>
          <w:rFonts w:ascii="Arial" w:hAnsi="Arial" w:cs="Arial"/>
          <w:i/>
          <w:iCs/>
          <w:sz w:val="20"/>
          <w:szCs w:val="20"/>
        </w:rPr>
        <w:t>Artocarpus</w:t>
      </w:r>
      <w:proofErr w:type="spellEnd"/>
      <w:r>
        <w:rPr>
          <w:rFonts w:ascii="Arial" w:hAnsi="Arial" w:cs="Arial"/>
          <w:i/>
          <w:iCs/>
          <w:sz w:val="20"/>
          <w:szCs w:val="20"/>
        </w:rPr>
        <w:t xml:space="preserve"> </w:t>
      </w:r>
      <w:proofErr w:type="spellStart"/>
      <w:r>
        <w:rPr>
          <w:rFonts w:ascii="Arial" w:hAnsi="Arial" w:cs="Arial"/>
          <w:i/>
          <w:iCs/>
          <w:sz w:val="20"/>
          <w:szCs w:val="20"/>
        </w:rPr>
        <w:t>heterophyllus</w:t>
      </w:r>
      <w:proofErr w:type="spellEnd"/>
      <w:r>
        <w:rPr>
          <w:rFonts w:ascii="Arial" w:hAnsi="Arial" w:cs="Arial"/>
          <w:sz w:val="20"/>
          <w:szCs w:val="20"/>
        </w:rPr>
        <w:t xml:space="preserve"> stembark, leaf, and pulp. The evaluation of biochemical parameters such as liver enzymes, protein and bilirubin levels, renal indices, and electrolyte concentrations provides critical insight into the systemic effects and safety profile of the plant extracts. These parameters are reliable indicators of the functional integrity of vital organs, particularly the liver and kidneys, which are major sites of xenobiotic metabolism and excretion.</w:t>
      </w:r>
    </w:p>
    <w:p w:rsidR="00260A21" w:rsidRDefault="005163B4">
      <w:pPr>
        <w:spacing w:line="360" w:lineRule="auto"/>
        <w:jc w:val="both"/>
        <w:rPr>
          <w:rFonts w:ascii="Arial" w:hAnsi="Arial" w:cs="Arial"/>
          <w:sz w:val="20"/>
          <w:szCs w:val="20"/>
        </w:rPr>
      </w:pPr>
      <w:r>
        <w:rPr>
          <w:rFonts w:ascii="Arial" w:hAnsi="Arial" w:cs="Arial"/>
          <w:sz w:val="20"/>
          <w:szCs w:val="20"/>
        </w:rPr>
        <w:t xml:space="preserve">Liver enzymes such as alanine aminotransferase (ALT), aspartate aminotransferase (AST), alkaline phosphatase (ALP), and lactate dehydrogenase (LDH) are key biomarkers used to assess hepatic function and structural integrity. Elevated levels of these enzymes in the serum typically signify hepatocellular leakage or necrosis (Olaniyan </w:t>
      </w:r>
      <w:r>
        <w:rPr>
          <w:rFonts w:ascii="Arial" w:hAnsi="Arial" w:cs="Arial"/>
          <w:i/>
          <w:iCs/>
          <w:sz w:val="20"/>
          <w:szCs w:val="20"/>
        </w:rPr>
        <w:t>et al</w:t>
      </w:r>
      <w:r>
        <w:rPr>
          <w:rFonts w:ascii="Arial" w:hAnsi="Arial" w:cs="Arial"/>
          <w:sz w:val="20"/>
          <w:szCs w:val="20"/>
        </w:rPr>
        <w:t xml:space="preserve">., 2022). In this study, the BPH-induced group (negative control) showed </w:t>
      </w:r>
      <w:r>
        <w:rPr>
          <w:rFonts w:ascii="Arial" w:hAnsi="Arial" w:cs="Arial"/>
          <w:sz w:val="20"/>
          <w:szCs w:val="20"/>
        </w:rPr>
        <w:lastRenderedPageBreak/>
        <w:t xml:space="preserve">significant increases in serum ALT (22.67 ± 0.62 U/L) and AST (23.97 ± 2.28 U/L) compared to the control (15.14 ± 0.30 U/L and 13.15 ± 1.05 U/L, respectively). This elevation indicates hepatic injury likely resulting from androgen-induced oxidative stress and inflammatory responses associated with BPH pathogenesis (Akinola </w:t>
      </w:r>
      <w:r>
        <w:rPr>
          <w:rFonts w:ascii="Arial" w:hAnsi="Arial" w:cs="Arial"/>
          <w:i/>
          <w:iCs/>
          <w:sz w:val="20"/>
          <w:szCs w:val="20"/>
        </w:rPr>
        <w:t>et al</w:t>
      </w:r>
      <w:r>
        <w:rPr>
          <w:rFonts w:ascii="Arial" w:hAnsi="Arial" w:cs="Arial"/>
          <w:sz w:val="20"/>
          <w:szCs w:val="20"/>
        </w:rPr>
        <w:t>., 2021).</w:t>
      </w:r>
    </w:p>
    <w:p w:rsidR="00260A21" w:rsidRDefault="005163B4">
      <w:pPr>
        <w:spacing w:line="360" w:lineRule="auto"/>
        <w:jc w:val="both"/>
        <w:rPr>
          <w:rFonts w:ascii="Arial" w:hAnsi="Arial" w:cs="Arial"/>
          <w:sz w:val="20"/>
          <w:szCs w:val="20"/>
        </w:rPr>
      </w:pPr>
      <w:r>
        <w:rPr>
          <w:rFonts w:ascii="Arial" w:hAnsi="Arial" w:cs="Arial"/>
          <w:sz w:val="20"/>
          <w:szCs w:val="20"/>
        </w:rPr>
        <w:t xml:space="preserve">Similarly, ALP, a marker of biliary obstruction and membrane damage, increased from 138.60 ± 6.97 U/L in the control to 179.50 ± 6.96 U/L in the negative control. Elevated LDH activity in the BPH group also reflects cellular injury and increased membrane permeability. Treatment with </w:t>
      </w:r>
      <w:r>
        <w:rPr>
          <w:rFonts w:ascii="Arial" w:hAnsi="Arial" w:cs="Arial"/>
          <w:i/>
          <w:iCs/>
          <w:sz w:val="20"/>
          <w:szCs w:val="20"/>
        </w:rPr>
        <w:t xml:space="preserve">A. </w:t>
      </w:r>
      <w:proofErr w:type="spellStart"/>
      <w:r>
        <w:rPr>
          <w:rFonts w:ascii="Arial" w:hAnsi="Arial" w:cs="Arial"/>
          <w:i/>
          <w:iCs/>
          <w:sz w:val="20"/>
          <w:szCs w:val="20"/>
        </w:rPr>
        <w:t>heterophyllus</w:t>
      </w:r>
      <w:proofErr w:type="spellEnd"/>
      <w:r>
        <w:rPr>
          <w:rFonts w:ascii="Arial" w:hAnsi="Arial" w:cs="Arial"/>
          <w:sz w:val="20"/>
          <w:szCs w:val="20"/>
        </w:rPr>
        <w:t xml:space="preserve"> extracts significantly attenuated these elevations in a dose-dependent manner. The stembark extract (500 mg/kg) demonstrated the most pronounced protective effect, restoring ALT, AST, and ALP levels to 15.16 ± 0.22 U/L, 12.88 ± 0.15 U/L, and 129.30 ± 0.94 U/L, respectively. The leaf and pulp </w:t>
      </w:r>
      <w:proofErr w:type="gramStart"/>
      <w:r>
        <w:rPr>
          <w:rFonts w:ascii="Arial" w:hAnsi="Arial" w:cs="Arial"/>
          <w:sz w:val="20"/>
          <w:szCs w:val="20"/>
        </w:rPr>
        <w:t>extracts</w:t>
      </w:r>
      <w:proofErr w:type="gramEnd"/>
      <w:r>
        <w:rPr>
          <w:rFonts w:ascii="Arial" w:hAnsi="Arial" w:cs="Arial"/>
          <w:sz w:val="20"/>
          <w:szCs w:val="20"/>
        </w:rPr>
        <w:t xml:space="preserve"> also produced significant reductions comparable to finasteride, suggesting hepatoprotective efficacy.</w:t>
      </w:r>
    </w:p>
    <w:p w:rsidR="00260A21" w:rsidRDefault="005163B4">
      <w:pPr>
        <w:spacing w:line="360" w:lineRule="auto"/>
        <w:jc w:val="both"/>
        <w:rPr>
          <w:rFonts w:ascii="Arial" w:hAnsi="Arial" w:cs="Arial"/>
          <w:sz w:val="20"/>
          <w:szCs w:val="20"/>
        </w:rPr>
      </w:pPr>
      <w:r>
        <w:rPr>
          <w:rFonts w:ascii="Arial" w:hAnsi="Arial" w:cs="Arial"/>
          <w:sz w:val="20"/>
          <w:szCs w:val="20"/>
        </w:rPr>
        <w:t xml:space="preserve">The </w:t>
      </w:r>
      <w:proofErr w:type="spellStart"/>
      <w:r>
        <w:rPr>
          <w:rFonts w:ascii="Arial" w:hAnsi="Arial" w:cs="Arial"/>
          <w:sz w:val="20"/>
          <w:szCs w:val="20"/>
        </w:rPr>
        <w:t>normalisation</w:t>
      </w:r>
      <w:proofErr w:type="spellEnd"/>
      <w:r>
        <w:rPr>
          <w:rFonts w:ascii="Arial" w:hAnsi="Arial" w:cs="Arial"/>
          <w:sz w:val="20"/>
          <w:szCs w:val="20"/>
        </w:rPr>
        <w:t xml:space="preserve"> of hepatic enzymes by the extracts could be attributed to their high content of bioactive compounds such as flavonoids, tannins, and phenolic acids, which exhibit antioxidant and free radical-scavenging properties (</w:t>
      </w:r>
      <w:proofErr w:type="spellStart"/>
      <w:r>
        <w:rPr>
          <w:rFonts w:ascii="Arial" w:hAnsi="Arial" w:cs="Arial"/>
          <w:sz w:val="20"/>
          <w:szCs w:val="20"/>
        </w:rPr>
        <w:t>Omodamiro</w:t>
      </w:r>
      <w:proofErr w:type="spellEnd"/>
      <w:r>
        <w:rPr>
          <w:rFonts w:ascii="Arial" w:hAnsi="Arial" w:cs="Arial"/>
          <w:sz w:val="20"/>
          <w:szCs w:val="20"/>
        </w:rPr>
        <w:t xml:space="preserve"> &amp; </w:t>
      </w:r>
      <w:proofErr w:type="spellStart"/>
      <w:r>
        <w:rPr>
          <w:rFonts w:ascii="Arial" w:hAnsi="Arial" w:cs="Arial"/>
          <w:sz w:val="20"/>
          <w:szCs w:val="20"/>
        </w:rPr>
        <w:t>Eze</w:t>
      </w:r>
      <w:proofErr w:type="spellEnd"/>
      <w:r>
        <w:rPr>
          <w:rFonts w:ascii="Arial" w:hAnsi="Arial" w:cs="Arial"/>
          <w:sz w:val="20"/>
          <w:szCs w:val="20"/>
        </w:rPr>
        <w:t xml:space="preserve">, 2020; </w:t>
      </w:r>
      <w:proofErr w:type="spellStart"/>
      <w:r>
        <w:rPr>
          <w:rFonts w:ascii="Arial" w:hAnsi="Arial" w:cs="Arial"/>
          <w:sz w:val="20"/>
          <w:szCs w:val="20"/>
        </w:rPr>
        <w:t>Adewole</w:t>
      </w:r>
      <w:proofErr w:type="spellEnd"/>
      <w:r>
        <w:rPr>
          <w:rFonts w:ascii="Arial" w:hAnsi="Arial" w:cs="Arial"/>
          <w:sz w:val="20"/>
          <w:szCs w:val="20"/>
        </w:rPr>
        <w:t xml:space="preserve"> </w:t>
      </w:r>
      <w:r>
        <w:rPr>
          <w:rFonts w:ascii="Arial" w:hAnsi="Arial" w:cs="Arial"/>
          <w:i/>
          <w:iCs/>
          <w:sz w:val="20"/>
          <w:szCs w:val="20"/>
        </w:rPr>
        <w:t>et al</w:t>
      </w:r>
      <w:r>
        <w:rPr>
          <w:rFonts w:ascii="Arial" w:hAnsi="Arial" w:cs="Arial"/>
          <w:sz w:val="20"/>
          <w:szCs w:val="20"/>
        </w:rPr>
        <w:t xml:space="preserve">., 2021). These phytochemicals likely </w:t>
      </w:r>
      <w:proofErr w:type="spellStart"/>
      <w:r>
        <w:rPr>
          <w:rFonts w:ascii="Arial" w:hAnsi="Arial" w:cs="Arial"/>
          <w:sz w:val="20"/>
          <w:szCs w:val="20"/>
        </w:rPr>
        <w:t>stabilise</w:t>
      </w:r>
      <w:proofErr w:type="spellEnd"/>
      <w:r>
        <w:rPr>
          <w:rFonts w:ascii="Arial" w:hAnsi="Arial" w:cs="Arial"/>
          <w:sz w:val="20"/>
          <w:szCs w:val="20"/>
        </w:rPr>
        <w:t xml:space="preserve"> hepatocyte membranes and prevent enzyme leakage into the bloodstream. Therefore, the observed reduction in enzyme activity across treated groups indicates that </w:t>
      </w:r>
      <w:r>
        <w:rPr>
          <w:rFonts w:ascii="Arial" w:hAnsi="Arial" w:cs="Arial"/>
          <w:i/>
          <w:iCs/>
          <w:sz w:val="20"/>
          <w:szCs w:val="20"/>
        </w:rPr>
        <w:t xml:space="preserve">A. </w:t>
      </w:r>
      <w:proofErr w:type="spellStart"/>
      <w:r>
        <w:rPr>
          <w:rFonts w:ascii="Arial" w:hAnsi="Arial" w:cs="Arial"/>
          <w:i/>
          <w:iCs/>
          <w:sz w:val="20"/>
          <w:szCs w:val="20"/>
        </w:rPr>
        <w:t>heterophyllus</w:t>
      </w:r>
      <w:proofErr w:type="spellEnd"/>
      <w:r>
        <w:rPr>
          <w:rFonts w:ascii="Arial" w:hAnsi="Arial" w:cs="Arial"/>
          <w:sz w:val="20"/>
          <w:szCs w:val="20"/>
        </w:rPr>
        <w:t xml:space="preserve"> extracts do not exert hepatotoxic effects but rather promote liver protection against BPH-induced oxidative damage.</w:t>
      </w:r>
    </w:p>
    <w:p w:rsidR="00260A21" w:rsidRDefault="005163B4">
      <w:pPr>
        <w:spacing w:line="360" w:lineRule="auto"/>
        <w:jc w:val="both"/>
        <w:rPr>
          <w:rFonts w:ascii="Arial" w:hAnsi="Arial" w:cs="Arial"/>
          <w:sz w:val="20"/>
          <w:szCs w:val="20"/>
        </w:rPr>
      </w:pPr>
      <w:r>
        <w:rPr>
          <w:rFonts w:ascii="Arial" w:hAnsi="Arial" w:cs="Arial"/>
          <w:sz w:val="20"/>
          <w:szCs w:val="20"/>
        </w:rPr>
        <w:t>Serum bilirubin, total protein, albumin, and globulin concentrations are vital biochemical indicators for assessing hepatic excretory and synthetic functions (</w:t>
      </w:r>
      <w:proofErr w:type="spellStart"/>
      <w:r>
        <w:rPr>
          <w:rFonts w:ascii="Arial" w:hAnsi="Arial" w:cs="Arial"/>
          <w:sz w:val="20"/>
          <w:szCs w:val="20"/>
        </w:rPr>
        <w:t>Ezejiofor</w:t>
      </w:r>
      <w:proofErr w:type="spellEnd"/>
      <w:r>
        <w:rPr>
          <w:rFonts w:ascii="Arial" w:hAnsi="Arial" w:cs="Arial"/>
          <w:sz w:val="20"/>
          <w:szCs w:val="20"/>
        </w:rPr>
        <w:t xml:space="preserve"> </w:t>
      </w:r>
      <w:r>
        <w:rPr>
          <w:rFonts w:ascii="Arial" w:hAnsi="Arial" w:cs="Arial"/>
          <w:i/>
          <w:iCs/>
          <w:sz w:val="20"/>
          <w:szCs w:val="20"/>
        </w:rPr>
        <w:t>et al</w:t>
      </w:r>
      <w:r>
        <w:rPr>
          <w:rFonts w:ascii="Arial" w:hAnsi="Arial" w:cs="Arial"/>
          <w:sz w:val="20"/>
          <w:szCs w:val="20"/>
        </w:rPr>
        <w:t>., 2022). Bilirubin accumulation reflects impaired hepatic clearance, while decreased protein and albumin levels indicate reduced hepatic biosynthetic activity. In the present study, the negative control exhibited marked increases in total (24.40 ± 0.93 µmol/L) and direct (17.21 ± 0.60 µmol/L) bilirubin levels, compared to 16.06 ± 0.54 µmol/L and 11.76 ± 0.33 µmol/L in the normal control. This elevation suggests hepatic dysfunction due to BPH-induced oxidative injury and inflammation.</w:t>
      </w:r>
    </w:p>
    <w:p w:rsidR="00260A21" w:rsidRDefault="005163B4">
      <w:pPr>
        <w:spacing w:line="360" w:lineRule="auto"/>
        <w:jc w:val="both"/>
        <w:rPr>
          <w:rFonts w:ascii="Arial" w:hAnsi="Arial" w:cs="Arial"/>
          <w:sz w:val="20"/>
          <w:szCs w:val="20"/>
        </w:rPr>
      </w:pPr>
      <w:r>
        <w:rPr>
          <w:rFonts w:ascii="Arial" w:hAnsi="Arial" w:cs="Arial"/>
          <w:sz w:val="20"/>
          <w:szCs w:val="20"/>
        </w:rPr>
        <w:t xml:space="preserve">Conversely, total protein and albumin concentrations were significantly reduced in the negative control (5.29 ± 0.85 g/dL and 3.76 ± 0.54 g/dL) relative to the control (10.00 ± 0.37 g/dL and 5.81 ± 0.35 g/dL), indicating impaired protein synthesis. Treatment with the extracts led to a reversal of these alterations, with the stembark extract (500 mg/kg) showing substantial improvement (total protein: 9.39 ± 0.16 g/dL, albumin: 5.19 ± 0.05 g/dL, total bilirubin: 15.31 ± 9.32 µmol/L). The leaf and pulp </w:t>
      </w:r>
      <w:proofErr w:type="gramStart"/>
      <w:r>
        <w:rPr>
          <w:rFonts w:ascii="Arial" w:hAnsi="Arial" w:cs="Arial"/>
          <w:sz w:val="20"/>
          <w:szCs w:val="20"/>
        </w:rPr>
        <w:t>extracts</w:t>
      </w:r>
      <w:proofErr w:type="gramEnd"/>
      <w:r>
        <w:rPr>
          <w:rFonts w:ascii="Arial" w:hAnsi="Arial" w:cs="Arial"/>
          <w:sz w:val="20"/>
          <w:szCs w:val="20"/>
        </w:rPr>
        <w:t xml:space="preserve"> similarly improved these parameters, though to a lesser degree.</w:t>
      </w:r>
    </w:p>
    <w:p w:rsidR="00260A21" w:rsidRDefault="005163B4">
      <w:pPr>
        <w:spacing w:line="360" w:lineRule="auto"/>
        <w:jc w:val="both"/>
        <w:rPr>
          <w:rFonts w:ascii="Arial" w:hAnsi="Arial" w:cs="Arial"/>
          <w:sz w:val="20"/>
          <w:szCs w:val="20"/>
        </w:rPr>
      </w:pPr>
      <w:r>
        <w:rPr>
          <w:rFonts w:ascii="Arial" w:hAnsi="Arial" w:cs="Arial"/>
          <w:sz w:val="20"/>
          <w:szCs w:val="20"/>
        </w:rPr>
        <w:t xml:space="preserve">These findings corroborate earlier reports that </w:t>
      </w:r>
      <w:r>
        <w:rPr>
          <w:rFonts w:ascii="Arial" w:hAnsi="Arial" w:cs="Arial"/>
          <w:i/>
          <w:iCs/>
          <w:sz w:val="20"/>
          <w:szCs w:val="20"/>
        </w:rPr>
        <w:t xml:space="preserve">A. </w:t>
      </w:r>
      <w:proofErr w:type="spellStart"/>
      <w:r>
        <w:rPr>
          <w:rFonts w:ascii="Arial" w:hAnsi="Arial" w:cs="Arial"/>
          <w:i/>
          <w:iCs/>
          <w:sz w:val="20"/>
          <w:szCs w:val="20"/>
        </w:rPr>
        <w:t>heterophyllus</w:t>
      </w:r>
      <w:proofErr w:type="spellEnd"/>
      <w:r>
        <w:rPr>
          <w:rFonts w:ascii="Arial" w:hAnsi="Arial" w:cs="Arial"/>
          <w:sz w:val="20"/>
          <w:szCs w:val="20"/>
        </w:rPr>
        <w:t xml:space="preserve"> possesses hepatoprotective and protein-sparing properties due to its </w:t>
      </w:r>
      <w:proofErr w:type="spellStart"/>
      <w:r>
        <w:rPr>
          <w:rFonts w:ascii="Arial" w:hAnsi="Arial" w:cs="Arial"/>
          <w:sz w:val="20"/>
          <w:szCs w:val="20"/>
        </w:rPr>
        <w:t>phyto</w:t>
      </w:r>
      <w:proofErr w:type="spellEnd"/>
      <w:r>
        <w:rPr>
          <w:rFonts w:ascii="Arial" w:hAnsi="Arial" w:cs="Arial"/>
          <w:sz w:val="20"/>
          <w:szCs w:val="20"/>
        </w:rPr>
        <w:t xml:space="preserve"> constituents with antioxidant and anti-inflammatory actions (Joseph </w:t>
      </w:r>
      <w:r>
        <w:rPr>
          <w:rFonts w:ascii="Arial" w:hAnsi="Arial" w:cs="Arial"/>
          <w:i/>
          <w:iCs/>
          <w:sz w:val="20"/>
          <w:szCs w:val="20"/>
        </w:rPr>
        <w:t>et al</w:t>
      </w:r>
      <w:r>
        <w:rPr>
          <w:rFonts w:ascii="Arial" w:hAnsi="Arial" w:cs="Arial"/>
          <w:sz w:val="20"/>
          <w:szCs w:val="20"/>
        </w:rPr>
        <w:t>., 2019). Restoring bilirubin and protein levels to near-normal values suggests that the extracts enhance hepatic function, promote protein synthesis, and facilitate detoxification processes in BPH-compromised rats.</w:t>
      </w:r>
    </w:p>
    <w:p w:rsidR="00260A21" w:rsidRDefault="005163B4">
      <w:pPr>
        <w:spacing w:line="360" w:lineRule="auto"/>
        <w:jc w:val="both"/>
        <w:rPr>
          <w:rFonts w:ascii="Arial" w:hAnsi="Arial" w:cs="Arial"/>
          <w:sz w:val="20"/>
          <w:szCs w:val="20"/>
        </w:rPr>
      </w:pPr>
      <w:r>
        <w:rPr>
          <w:rFonts w:ascii="Arial" w:hAnsi="Arial" w:cs="Arial"/>
          <w:sz w:val="20"/>
          <w:szCs w:val="20"/>
        </w:rPr>
        <w:lastRenderedPageBreak/>
        <w:t xml:space="preserve">Renal indices such as urea and creatinine, alongside serum electrolytes (sodium, potassium, bicarbonate, and chloride), are essential for assessing nephrotoxicity and electrolyte balance. Elevated serum urea and creatinine levels indicate impaired glomerular filtration or kidney dysfunction (Adebayo </w:t>
      </w:r>
      <w:r>
        <w:rPr>
          <w:rFonts w:ascii="Arial" w:hAnsi="Arial" w:cs="Arial"/>
          <w:i/>
          <w:iCs/>
          <w:sz w:val="20"/>
          <w:szCs w:val="20"/>
        </w:rPr>
        <w:t>et al</w:t>
      </w:r>
      <w:r>
        <w:rPr>
          <w:rFonts w:ascii="Arial" w:hAnsi="Arial" w:cs="Arial"/>
          <w:sz w:val="20"/>
          <w:szCs w:val="20"/>
        </w:rPr>
        <w:t>., 2020). In the present study, the negative control group exhibited significant increases in urea (30.43 ± 1.98 mg/dL) and creatinine (7.27 ± 1.01 mg/dL) compared to the control (18.11 ± 0.26 mg/dL and 4.60 ± 0.25 mg/dL), reflecting renal stress induced by BPH.</w:t>
      </w:r>
    </w:p>
    <w:p w:rsidR="00260A21" w:rsidRDefault="005163B4">
      <w:pPr>
        <w:spacing w:line="360" w:lineRule="auto"/>
        <w:jc w:val="both"/>
        <w:rPr>
          <w:rFonts w:ascii="Arial" w:hAnsi="Arial" w:cs="Arial"/>
          <w:sz w:val="20"/>
          <w:szCs w:val="20"/>
        </w:rPr>
      </w:pPr>
      <w:r>
        <w:rPr>
          <w:rFonts w:ascii="Arial" w:hAnsi="Arial" w:cs="Arial"/>
          <w:sz w:val="20"/>
          <w:szCs w:val="20"/>
        </w:rPr>
        <w:t xml:space="preserve">Treatment with </w:t>
      </w:r>
      <w:r>
        <w:rPr>
          <w:rFonts w:ascii="Arial" w:hAnsi="Arial" w:cs="Arial"/>
          <w:i/>
          <w:iCs/>
          <w:sz w:val="20"/>
          <w:szCs w:val="20"/>
        </w:rPr>
        <w:t xml:space="preserve">A. </w:t>
      </w:r>
      <w:proofErr w:type="spellStart"/>
      <w:r>
        <w:rPr>
          <w:rFonts w:ascii="Arial" w:hAnsi="Arial" w:cs="Arial"/>
          <w:i/>
          <w:iCs/>
          <w:sz w:val="20"/>
          <w:szCs w:val="20"/>
        </w:rPr>
        <w:t>heterophyllus</w:t>
      </w:r>
      <w:proofErr w:type="spellEnd"/>
      <w:r>
        <w:rPr>
          <w:rFonts w:ascii="Arial" w:hAnsi="Arial" w:cs="Arial"/>
          <w:sz w:val="20"/>
          <w:szCs w:val="20"/>
        </w:rPr>
        <w:t xml:space="preserve"> extracts ameliorated these elevations, with the stembark extract (500 mg/kg) reducing urea and creatinine to 23.77 ± 0.26 mg/dL and 5.34 ± 0.28 mg/dL, respectively, while the combination extract (250 mg/kg) recorded 21.17 ± 0.38 mg/dL and 4.72 ± 0.21 mg/dL, values comparable to finasteride (19.39 ± 1.04 mg/dL, 4.49 ± 0.14 mg/dL). These improvements suggest that the extracts enhance renal clearance and prevent nephron injury.</w:t>
      </w:r>
    </w:p>
    <w:p w:rsidR="00260A21" w:rsidRDefault="005163B4">
      <w:pPr>
        <w:spacing w:line="360" w:lineRule="auto"/>
        <w:jc w:val="both"/>
        <w:rPr>
          <w:rFonts w:ascii="Arial" w:hAnsi="Arial" w:cs="Arial"/>
          <w:sz w:val="20"/>
          <w:szCs w:val="20"/>
        </w:rPr>
      </w:pPr>
      <w:r>
        <w:rPr>
          <w:rFonts w:ascii="Arial" w:hAnsi="Arial" w:cs="Arial"/>
          <w:sz w:val="20"/>
          <w:szCs w:val="20"/>
        </w:rPr>
        <w:t xml:space="preserve">Electrolyte parameters remained within physiological limits across treatment groups, indicating that </w:t>
      </w:r>
      <w:r>
        <w:rPr>
          <w:rFonts w:ascii="Arial" w:hAnsi="Arial" w:cs="Arial"/>
          <w:i/>
          <w:iCs/>
          <w:sz w:val="20"/>
          <w:szCs w:val="20"/>
        </w:rPr>
        <w:t xml:space="preserve">A. </w:t>
      </w:r>
      <w:proofErr w:type="spellStart"/>
      <w:r>
        <w:rPr>
          <w:rFonts w:ascii="Arial" w:hAnsi="Arial" w:cs="Arial"/>
          <w:i/>
          <w:iCs/>
          <w:sz w:val="20"/>
          <w:szCs w:val="20"/>
        </w:rPr>
        <w:t>heterophyllus</w:t>
      </w:r>
      <w:proofErr w:type="spellEnd"/>
      <w:r>
        <w:rPr>
          <w:rFonts w:ascii="Arial" w:hAnsi="Arial" w:cs="Arial"/>
          <w:sz w:val="20"/>
          <w:szCs w:val="20"/>
        </w:rPr>
        <w:t xml:space="preserve"> did not disrupt electrolyte or acid-base balance. Sodium levels ranged from 165.40–175.80 mmol/L, potassium from 4.93–5.80 mmol/L, bicarbonate from 16.86–20.71 mmol/L, and chloride from 57.89–68.20 mmol/L. The maintenance of these parameters demonstrates preserved renal tubular function and normal ionic regulation.</w:t>
      </w:r>
    </w:p>
    <w:p w:rsidR="00260A21" w:rsidRDefault="005163B4">
      <w:pPr>
        <w:spacing w:line="360" w:lineRule="auto"/>
        <w:jc w:val="both"/>
        <w:rPr>
          <w:rFonts w:ascii="Arial" w:hAnsi="Arial" w:cs="Arial"/>
          <w:sz w:val="20"/>
          <w:szCs w:val="20"/>
        </w:rPr>
      </w:pPr>
      <w:r>
        <w:rPr>
          <w:rFonts w:ascii="Arial" w:hAnsi="Arial" w:cs="Arial"/>
          <w:sz w:val="20"/>
          <w:szCs w:val="20"/>
        </w:rPr>
        <w:t xml:space="preserve">The ability of the extracts to </w:t>
      </w:r>
      <w:proofErr w:type="spellStart"/>
      <w:r>
        <w:rPr>
          <w:rFonts w:ascii="Arial" w:hAnsi="Arial" w:cs="Arial"/>
          <w:sz w:val="20"/>
          <w:szCs w:val="20"/>
        </w:rPr>
        <w:t>stabilise</w:t>
      </w:r>
      <w:proofErr w:type="spellEnd"/>
      <w:r>
        <w:rPr>
          <w:rFonts w:ascii="Arial" w:hAnsi="Arial" w:cs="Arial"/>
          <w:sz w:val="20"/>
          <w:szCs w:val="20"/>
        </w:rPr>
        <w:t xml:space="preserve"> renal indices and electrolyte balance further underscores their safety and </w:t>
      </w:r>
      <w:proofErr w:type="spellStart"/>
      <w:r>
        <w:rPr>
          <w:rFonts w:ascii="Arial" w:hAnsi="Arial" w:cs="Arial"/>
          <w:sz w:val="20"/>
          <w:szCs w:val="20"/>
        </w:rPr>
        <w:t>adaptogenic</w:t>
      </w:r>
      <w:proofErr w:type="spellEnd"/>
      <w:r>
        <w:rPr>
          <w:rFonts w:ascii="Arial" w:hAnsi="Arial" w:cs="Arial"/>
          <w:sz w:val="20"/>
          <w:szCs w:val="20"/>
        </w:rPr>
        <w:t xml:space="preserve"> potential. This agrees with previous studies suggesting that </w:t>
      </w:r>
      <w:r>
        <w:rPr>
          <w:rFonts w:ascii="Arial" w:hAnsi="Arial" w:cs="Arial"/>
          <w:i/>
          <w:iCs/>
          <w:sz w:val="20"/>
          <w:szCs w:val="20"/>
        </w:rPr>
        <w:t xml:space="preserve">A. </w:t>
      </w:r>
      <w:proofErr w:type="spellStart"/>
      <w:r>
        <w:rPr>
          <w:rFonts w:ascii="Arial" w:hAnsi="Arial" w:cs="Arial"/>
          <w:i/>
          <w:iCs/>
          <w:sz w:val="20"/>
          <w:szCs w:val="20"/>
        </w:rPr>
        <w:t>heterophyllus</w:t>
      </w:r>
      <w:proofErr w:type="spellEnd"/>
      <w:r>
        <w:rPr>
          <w:rFonts w:ascii="Arial" w:hAnsi="Arial" w:cs="Arial"/>
          <w:sz w:val="20"/>
          <w:szCs w:val="20"/>
        </w:rPr>
        <w:t xml:space="preserve"> extracts can protect against oxidative renal damage through antioxidant </w:t>
      </w:r>
      <w:proofErr w:type="spellStart"/>
      <w:r>
        <w:rPr>
          <w:rFonts w:ascii="Arial" w:hAnsi="Arial" w:cs="Arial"/>
          <w:sz w:val="20"/>
          <w:szCs w:val="20"/>
        </w:rPr>
        <w:t>defence</w:t>
      </w:r>
      <w:proofErr w:type="spellEnd"/>
      <w:r>
        <w:rPr>
          <w:rFonts w:ascii="Arial" w:hAnsi="Arial" w:cs="Arial"/>
          <w:sz w:val="20"/>
          <w:szCs w:val="20"/>
        </w:rPr>
        <w:t xml:space="preserve"> mechanisms (</w:t>
      </w:r>
      <w:proofErr w:type="spellStart"/>
      <w:r>
        <w:rPr>
          <w:rFonts w:ascii="Arial" w:hAnsi="Arial" w:cs="Arial"/>
          <w:sz w:val="20"/>
          <w:szCs w:val="20"/>
        </w:rPr>
        <w:t>Uchegbu</w:t>
      </w:r>
      <w:proofErr w:type="spellEnd"/>
      <w:r>
        <w:rPr>
          <w:rFonts w:ascii="Arial" w:hAnsi="Arial" w:cs="Arial"/>
          <w:sz w:val="20"/>
          <w:szCs w:val="20"/>
        </w:rPr>
        <w:t xml:space="preserve"> </w:t>
      </w:r>
      <w:r>
        <w:rPr>
          <w:rFonts w:ascii="Arial" w:hAnsi="Arial" w:cs="Arial"/>
          <w:i/>
          <w:iCs/>
          <w:sz w:val="20"/>
          <w:szCs w:val="20"/>
        </w:rPr>
        <w:t>et al</w:t>
      </w:r>
      <w:r>
        <w:rPr>
          <w:rFonts w:ascii="Arial" w:hAnsi="Arial" w:cs="Arial"/>
          <w:sz w:val="20"/>
          <w:szCs w:val="20"/>
        </w:rPr>
        <w:t>., 2020).</w:t>
      </w:r>
    </w:p>
    <w:p w:rsidR="00260A21" w:rsidRDefault="003E49BD">
      <w:pPr>
        <w:spacing w:line="240" w:lineRule="auto"/>
        <w:jc w:val="both"/>
        <w:rPr>
          <w:rFonts w:ascii="Arial" w:hAnsi="Arial" w:cs="Arial"/>
        </w:rPr>
      </w:pPr>
      <w:r>
        <w:rPr>
          <w:rFonts w:ascii="Arial" w:hAnsi="Arial" w:cs="Arial"/>
          <w:b/>
          <w:bCs/>
        </w:rPr>
        <w:t>5</w:t>
      </w:r>
      <w:r w:rsidR="005163B4">
        <w:rPr>
          <w:rFonts w:ascii="Arial" w:hAnsi="Arial" w:cs="Arial"/>
          <w:b/>
          <w:bCs/>
        </w:rPr>
        <w:t xml:space="preserve"> Conclusion</w:t>
      </w:r>
    </w:p>
    <w:p w:rsidR="00260A21" w:rsidRDefault="005163B4">
      <w:pPr>
        <w:spacing w:line="360" w:lineRule="auto"/>
        <w:jc w:val="both"/>
        <w:rPr>
          <w:rFonts w:ascii="Arial" w:hAnsi="Arial" w:cs="Arial"/>
          <w:sz w:val="20"/>
          <w:szCs w:val="20"/>
        </w:rPr>
      </w:pPr>
      <w:r>
        <w:rPr>
          <w:rFonts w:ascii="Arial" w:hAnsi="Arial" w:cs="Arial"/>
          <w:sz w:val="20"/>
          <w:szCs w:val="20"/>
        </w:rPr>
        <w:t xml:space="preserve">This study demonstrated that ethanol extracts of </w:t>
      </w:r>
      <w:r>
        <w:rPr>
          <w:rFonts w:ascii="Arial" w:hAnsi="Arial" w:cs="Arial"/>
          <w:i/>
          <w:iCs/>
          <w:sz w:val="20"/>
          <w:szCs w:val="20"/>
        </w:rPr>
        <w:t xml:space="preserve">A. </w:t>
      </w:r>
      <w:proofErr w:type="spellStart"/>
      <w:r>
        <w:rPr>
          <w:rFonts w:ascii="Arial" w:hAnsi="Arial" w:cs="Arial"/>
          <w:i/>
          <w:iCs/>
          <w:sz w:val="20"/>
          <w:szCs w:val="20"/>
        </w:rPr>
        <w:t>heterophyllus</w:t>
      </w:r>
      <w:proofErr w:type="spellEnd"/>
      <w:r>
        <w:rPr>
          <w:rFonts w:ascii="Arial" w:hAnsi="Arial" w:cs="Arial"/>
          <w:sz w:val="20"/>
          <w:szCs w:val="20"/>
        </w:rPr>
        <w:t xml:space="preserve"> stembark, leaf, and pulp exert notable protective and restorative effects on hepatic and renal functions in BPH-induced r albino rats. The extracts significantly </w:t>
      </w:r>
      <w:proofErr w:type="spellStart"/>
      <w:r>
        <w:rPr>
          <w:rFonts w:ascii="Arial" w:hAnsi="Arial" w:cs="Arial"/>
          <w:sz w:val="20"/>
          <w:szCs w:val="20"/>
        </w:rPr>
        <w:t>normalised</w:t>
      </w:r>
      <w:proofErr w:type="spellEnd"/>
      <w:r>
        <w:rPr>
          <w:rFonts w:ascii="Arial" w:hAnsi="Arial" w:cs="Arial"/>
          <w:sz w:val="20"/>
          <w:szCs w:val="20"/>
        </w:rPr>
        <w:t xml:space="preserve"> liver enzyme levels (ALT, AST, ALP, and LDH), serum proteins, bilirubin, and renal markers (urea and creatinine), indicating improved organ function and systemic balance. Among the tested fractions, the stembark extract showed the highest efficacy, with ALT (15.16 ± 0.22 U/L) and AST (12.88 ± 0.15 U/L) values approximating those of the control, suggesting strong hepatoprotective potential. The findings highlight the safety and therapeutic promise of </w:t>
      </w:r>
      <w:r>
        <w:rPr>
          <w:rFonts w:ascii="Arial" w:hAnsi="Arial" w:cs="Arial"/>
          <w:i/>
          <w:iCs/>
          <w:sz w:val="20"/>
          <w:szCs w:val="20"/>
        </w:rPr>
        <w:t xml:space="preserve">A. </w:t>
      </w:r>
      <w:proofErr w:type="spellStart"/>
      <w:r>
        <w:rPr>
          <w:rFonts w:ascii="Arial" w:hAnsi="Arial" w:cs="Arial"/>
          <w:i/>
          <w:iCs/>
          <w:sz w:val="20"/>
          <w:szCs w:val="20"/>
        </w:rPr>
        <w:t>heterophyllus</w:t>
      </w:r>
      <w:proofErr w:type="spellEnd"/>
      <w:r>
        <w:rPr>
          <w:rFonts w:ascii="Arial" w:hAnsi="Arial" w:cs="Arial"/>
          <w:sz w:val="20"/>
          <w:szCs w:val="20"/>
        </w:rPr>
        <w:t xml:space="preserve"> extracts, particularly the stembark, as a natural remedy for BPH-associated hepatic and renal dysfunctions. Further research is recommended to isolate the bioactive compounds and clarify their underlying mechanisms.</w:t>
      </w:r>
    </w:p>
    <w:p w:rsidR="00260A21" w:rsidRDefault="005163B4">
      <w:pPr>
        <w:pStyle w:val="ReferHead"/>
        <w:spacing w:after="0"/>
        <w:jc w:val="both"/>
        <w:rPr>
          <w:rFonts w:ascii="Arial" w:hAnsi="Arial" w:cs="Arial"/>
          <w:b w:val="0"/>
          <w:caps w:val="0"/>
          <w:sz w:val="20"/>
        </w:rPr>
      </w:pPr>
      <w:r>
        <w:rPr>
          <w:rFonts w:ascii="Arial" w:hAnsi="Arial" w:cs="Arial"/>
          <w:bCs/>
          <w:sz w:val="20"/>
          <w:szCs w:val="20"/>
        </w:rPr>
        <w:t xml:space="preserve">ETHICAL CONSIDERATIONS: </w:t>
      </w:r>
      <w:r>
        <w:rPr>
          <w:rFonts w:ascii="Arial" w:hAnsi="Arial" w:cs="Arial"/>
          <w:b w:val="0"/>
          <w:caps w:val="0"/>
          <w:sz w:val="20"/>
        </w:rPr>
        <w:t>All authors hereby declare that "Principles of laboratory animal care" (NIH publication No. 85-23, revised 1985) were followed.  All experiments were examined and approved by the appropriate ethics committee”</w:t>
      </w:r>
    </w:p>
    <w:p w:rsidR="00260A21" w:rsidRDefault="00260A21">
      <w:pPr>
        <w:pStyle w:val="ReferHead"/>
        <w:spacing w:after="0"/>
        <w:jc w:val="both"/>
        <w:rPr>
          <w:rFonts w:ascii="Arial" w:hAnsi="Arial" w:cs="Arial"/>
          <w:b w:val="0"/>
          <w:caps w:val="0"/>
          <w:sz w:val="20"/>
        </w:rPr>
      </w:pPr>
    </w:p>
    <w:p w:rsidR="00260A21" w:rsidRDefault="00260A21">
      <w:pPr>
        <w:jc w:val="center"/>
        <w:rPr>
          <w:rFonts w:ascii="Arial" w:hAnsi="Arial" w:cs="Arial"/>
          <w:b/>
          <w:bCs/>
          <w:sz w:val="20"/>
          <w:szCs w:val="20"/>
        </w:rPr>
      </w:pPr>
    </w:p>
    <w:p w:rsidR="00260A21" w:rsidRDefault="00260A21">
      <w:pPr>
        <w:jc w:val="both"/>
        <w:rPr>
          <w:rFonts w:ascii="Arial" w:hAnsi="Arial" w:cs="Arial"/>
          <w:b/>
          <w:bCs/>
          <w:sz w:val="20"/>
          <w:szCs w:val="20"/>
        </w:rPr>
      </w:pPr>
    </w:p>
    <w:p w:rsidR="006B61B9" w:rsidRDefault="006B61B9">
      <w:pPr>
        <w:jc w:val="both"/>
        <w:rPr>
          <w:rFonts w:ascii="Arial" w:hAnsi="Arial" w:cs="Arial"/>
          <w:b/>
          <w:bCs/>
          <w:sz w:val="20"/>
          <w:szCs w:val="20"/>
        </w:rPr>
      </w:pPr>
    </w:p>
    <w:p w:rsidR="00260A21" w:rsidRDefault="005163B4">
      <w:pPr>
        <w:jc w:val="both"/>
        <w:rPr>
          <w:rFonts w:ascii="Arial" w:hAnsi="Arial" w:cs="Arial"/>
          <w:b/>
          <w:bCs/>
          <w:sz w:val="20"/>
          <w:szCs w:val="20"/>
        </w:rPr>
      </w:pPr>
      <w:r>
        <w:rPr>
          <w:rFonts w:ascii="Arial" w:hAnsi="Arial" w:cs="Arial"/>
          <w:b/>
          <w:bCs/>
          <w:sz w:val="20"/>
          <w:szCs w:val="20"/>
        </w:rPr>
        <w:lastRenderedPageBreak/>
        <w:t>REFERENCES</w:t>
      </w:r>
    </w:p>
    <w:p w:rsidR="00260A21" w:rsidRDefault="005163B4">
      <w:pPr>
        <w:ind w:left="720" w:hanging="720"/>
        <w:jc w:val="both"/>
        <w:rPr>
          <w:rFonts w:ascii="Arial" w:hAnsi="Arial" w:cs="Arial"/>
          <w:sz w:val="20"/>
          <w:szCs w:val="20"/>
        </w:rPr>
      </w:pPr>
      <w:r>
        <w:rPr>
          <w:rFonts w:ascii="Arial" w:hAnsi="Arial" w:cs="Arial"/>
          <w:sz w:val="20"/>
          <w:szCs w:val="20"/>
        </w:rPr>
        <w:t xml:space="preserve">Adebayo, J. O., </w:t>
      </w:r>
      <w:proofErr w:type="spellStart"/>
      <w:r>
        <w:rPr>
          <w:rFonts w:ascii="Arial" w:hAnsi="Arial" w:cs="Arial"/>
          <w:sz w:val="20"/>
          <w:szCs w:val="20"/>
        </w:rPr>
        <w:t>Ologundudu</w:t>
      </w:r>
      <w:proofErr w:type="spellEnd"/>
      <w:r>
        <w:rPr>
          <w:rFonts w:ascii="Arial" w:hAnsi="Arial" w:cs="Arial"/>
          <w:sz w:val="20"/>
          <w:szCs w:val="20"/>
        </w:rPr>
        <w:t xml:space="preserve">, A., &amp; </w:t>
      </w:r>
      <w:proofErr w:type="spellStart"/>
      <w:r>
        <w:rPr>
          <w:rFonts w:ascii="Arial" w:hAnsi="Arial" w:cs="Arial"/>
          <w:sz w:val="20"/>
          <w:szCs w:val="20"/>
        </w:rPr>
        <w:t>Adesokan</w:t>
      </w:r>
      <w:proofErr w:type="spellEnd"/>
      <w:r>
        <w:rPr>
          <w:rFonts w:ascii="Arial" w:hAnsi="Arial" w:cs="Arial"/>
          <w:sz w:val="20"/>
          <w:szCs w:val="20"/>
        </w:rPr>
        <w:t xml:space="preserve">, A. A. (2020). Protective role of plant-based antioxidants in renal dysfunction. </w:t>
      </w:r>
      <w:r>
        <w:rPr>
          <w:rFonts w:ascii="Arial" w:hAnsi="Arial" w:cs="Arial"/>
          <w:i/>
          <w:iCs/>
          <w:sz w:val="20"/>
          <w:szCs w:val="20"/>
        </w:rPr>
        <w:t>Journal of Medicinal Plant Research</w:t>
      </w:r>
      <w:r>
        <w:rPr>
          <w:rFonts w:ascii="Arial" w:hAnsi="Arial" w:cs="Arial"/>
          <w:sz w:val="20"/>
          <w:szCs w:val="20"/>
        </w:rPr>
        <w:t>, 14(3), 102–110.</w:t>
      </w:r>
    </w:p>
    <w:p w:rsidR="00260A21" w:rsidRDefault="005163B4">
      <w:pPr>
        <w:ind w:left="720" w:hanging="720"/>
        <w:jc w:val="both"/>
        <w:rPr>
          <w:rFonts w:ascii="Arial" w:hAnsi="Arial" w:cs="Arial"/>
          <w:sz w:val="20"/>
          <w:szCs w:val="20"/>
        </w:rPr>
      </w:pPr>
      <w:proofErr w:type="spellStart"/>
      <w:r>
        <w:rPr>
          <w:rFonts w:ascii="Arial" w:hAnsi="Arial" w:cs="Arial"/>
          <w:sz w:val="20"/>
          <w:szCs w:val="20"/>
        </w:rPr>
        <w:t>Adewole</w:t>
      </w:r>
      <w:proofErr w:type="spellEnd"/>
      <w:r>
        <w:rPr>
          <w:rFonts w:ascii="Arial" w:hAnsi="Arial" w:cs="Arial"/>
          <w:sz w:val="20"/>
          <w:szCs w:val="20"/>
        </w:rPr>
        <w:t xml:space="preserve">, A. A., </w:t>
      </w:r>
      <w:proofErr w:type="spellStart"/>
      <w:r>
        <w:rPr>
          <w:rFonts w:ascii="Arial" w:hAnsi="Arial" w:cs="Arial"/>
          <w:sz w:val="20"/>
          <w:szCs w:val="20"/>
        </w:rPr>
        <w:t>Ogundare</w:t>
      </w:r>
      <w:proofErr w:type="spellEnd"/>
      <w:r>
        <w:rPr>
          <w:rFonts w:ascii="Arial" w:hAnsi="Arial" w:cs="Arial"/>
          <w:sz w:val="20"/>
          <w:szCs w:val="20"/>
        </w:rPr>
        <w:t xml:space="preserve">, F. A., &amp; Ajayi, O. B. (2021). Hepatoprotective and antioxidant effects of </w:t>
      </w:r>
      <w:proofErr w:type="spellStart"/>
      <w:r>
        <w:rPr>
          <w:rFonts w:ascii="Arial" w:hAnsi="Arial" w:cs="Arial"/>
          <w:i/>
          <w:iCs/>
          <w:sz w:val="20"/>
          <w:szCs w:val="20"/>
        </w:rPr>
        <w:t>Artocarpus</w:t>
      </w:r>
      <w:proofErr w:type="spellEnd"/>
      <w:r>
        <w:rPr>
          <w:rFonts w:ascii="Arial" w:hAnsi="Arial" w:cs="Arial"/>
          <w:i/>
          <w:iCs/>
          <w:sz w:val="20"/>
          <w:szCs w:val="20"/>
        </w:rPr>
        <w:t xml:space="preserve"> </w:t>
      </w:r>
      <w:proofErr w:type="spellStart"/>
      <w:r>
        <w:rPr>
          <w:rFonts w:ascii="Arial" w:hAnsi="Arial" w:cs="Arial"/>
          <w:i/>
          <w:iCs/>
          <w:sz w:val="20"/>
          <w:szCs w:val="20"/>
        </w:rPr>
        <w:t>heterophyllus</w:t>
      </w:r>
      <w:proofErr w:type="spellEnd"/>
      <w:r>
        <w:rPr>
          <w:rFonts w:ascii="Arial" w:hAnsi="Arial" w:cs="Arial"/>
          <w:sz w:val="20"/>
          <w:szCs w:val="20"/>
        </w:rPr>
        <w:t xml:space="preserve"> stembark extracts in rats. </w:t>
      </w:r>
      <w:r>
        <w:rPr>
          <w:rFonts w:ascii="Arial" w:hAnsi="Arial" w:cs="Arial"/>
          <w:i/>
          <w:iCs/>
          <w:sz w:val="20"/>
          <w:szCs w:val="20"/>
        </w:rPr>
        <w:t>BMC Complementary Medicine and Therapies</w:t>
      </w:r>
      <w:r>
        <w:rPr>
          <w:rFonts w:ascii="Arial" w:hAnsi="Arial" w:cs="Arial"/>
          <w:sz w:val="20"/>
          <w:szCs w:val="20"/>
        </w:rPr>
        <w:t>, 21(4), 356–364.</w:t>
      </w:r>
    </w:p>
    <w:p w:rsidR="00260A21" w:rsidRDefault="005163B4">
      <w:pPr>
        <w:ind w:left="720" w:hanging="720"/>
        <w:jc w:val="both"/>
        <w:rPr>
          <w:rFonts w:ascii="Arial" w:hAnsi="Arial" w:cs="Arial"/>
          <w:sz w:val="20"/>
          <w:szCs w:val="20"/>
        </w:rPr>
      </w:pPr>
      <w:r>
        <w:rPr>
          <w:rFonts w:ascii="Arial" w:hAnsi="Arial" w:cs="Arial"/>
          <w:sz w:val="20"/>
          <w:szCs w:val="20"/>
        </w:rPr>
        <w:t xml:space="preserve">Akinola, O. B., Olatunji, L. A., &amp; Adebayo, O. L. (2021). Androgen-induced liver oxidative stress and its modulation by medicinal plants. </w:t>
      </w:r>
      <w:r>
        <w:rPr>
          <w:rFonts w:ascii="Arial" w:hAnsi="Arial" w:cs="Arial"/>
          <w:i/>
          <w:iCs/>
          <w:sz w:val="20"/>
          <w:szCs w:val="20"/>
        </w:rPr>
        <w:t>African Journal of Biochemistry Research</w:t>
      </w:r>
      <w:r>
        <w:rPr>
          <w:rFonts w:ascii="Arial" w:hAnsi="Arial" w:cs="Arial"/>
          <w:sz w:val="20"/>
          <w:szCs w:val="20"/>
        </w:rPr>
        <w:t>, 15(7), 145–153.</w:t>
      </w:r>
    </w:p>
    <w:p w:rsidR="00260A21" w:rsidRDefault="005163B4">
      <w:pPr>
        <w:ind w:left="720" w:hanging="720"/>
        <w:jc w:val="both"/>
        <w:rPr>
          <w:rFonts w:ascii="Arial" w:hAnsi="Arial" w:cs="Arial"/>
          <w:sz w:val="20"/>
          <w:szCs w:val="20"/>
        </w:rPr>
      </w:pPr>
      <w:r>
        <w:rPr>
          <w:rFonts w:ascii="Arial" w:hAnsi="Arial" w:cs="Arial"/>
          <w:sz w:val="20"/>
          <w:szCs w:val="20"/>
        </w:rPr>
        <w:t xml:space="preserve">Ali, </w:t>
      </w:r>
      <w:proofErr w:type="spellStart"/>
      <w:r>
        <w:rPr>
          <w:rFonts w:ascii="Arial" w:hAnsi="Arial" w:cs="Arial"/>
          <w:sz w:val="20"/>
          <w:szCs w:val="20"/>
        </w:rPr>
        <w:t>Mohd</w:t>
      </w:r>
      <w:proofErr w:type="spellEnd"/>
      <w:r>
        <w:rPr>
          <w:rFonts w:ascii="Arial" w:hAnsi="Arial" w:cs="Arial"/>
          <w:sz w:val="20"/>
          <w:szCs w:val="20"/>
        </w:rPr>
        <w:t xml:space="preserve">., Khan, </w:t>
      </w:r>
      <w:proofErr w:type="spellStart"/>
      <w:r>
        <w:rPr>
          <w:rFonts w:ascii="Arial" w:hAnsi="Arial" w:cs="Arial"/>
          <w:sz w:val="20"/>
          <w:szCs w:val="20"/>
        </w:rPr>
        <w:t>Taimoor</w:t>
      </w:r>
      <w:proofErr w:type="spellEnd"/>
      <w:r>
        <w:rPr>
          <w:rFonts w:ascii="Arial" w:hAnsi="Arial" w:cs="Arial"/>
          <w:sz w:val="20"/>
          <w:szCs w:val="20"/>
        </w:rPr>
        <w:t xml:space="preserve">., Fatima, </w:t>
      </w:r>
      <w:proofErr w:type="spellStart"/>
      <w:r>
        <w:rPr>
          <w:rFonts w:ascii="Arial" w:hAnsi="Arial" w:cs="Arial"/>
          <w:sz w:val="20"/>
          <w:szCs w:val="20"/>
        </w:rPr>
        <w:t>Komal</w:t>
      </w:r>
      <w:proofErr w:type="spellEnd"/>
      <w:r>
        <w:rPr>
          <w:rFonts w:ascii="Arial" w:hAnsi="Arial" w:cs="Arial"/>
          <w:sz w:val="20"/>
          <w:szCs w:val="20"/>
        </w:rPr>
        <w:t xml:space="preserve">., Ali, Shahid., Jan, Syed. U., Abbas, Shoaib., ... &amp; Sajid, Muhammad. (2017). Selected hepatoprotective herbal medicines: Evidence from ethnomedicinal applications, animal models, and possible mechanism of actions. </w:t>
      </w:r>
      <w:proofErr w:type="spellStart"/>
      <w:r>
        <w:rPr>
          <w:rFonts w:ascii="Arial" w:hAnsi="Arial" w:cs="Arial"/>
          <w:i/>
          <w:iCs/>
          <w:sz w:val="20"/>
          <w:szCs w:val="20"/>
        </w:rPr>
        <w:t>Phytotherapy</w:t>
      </w:r>
      <w:proofErr w:type="spellEnd"/>
      <w:r>
        <w:rPr>
          <w:rFonts w:ascii="Arial" w:hAnsi="Arial" w:cs="Arial"/>
          <w:i/>
          <w:iCs/>
          <w:sz w:val="20"/>
          <w:szCs w:val="20"/>
        </w:rPr>
        <w:t xml:space="preserve"> Research, 32</w:t>
      </w:r>
      <w:r>
        <w:rPr>
          <w:rFonts w:ascii="Arial" w:hAnsi="Arial" w:cs="Arial"/>
          <w:sz w:val="20"/>
          <w:szCs w:val="20"/>
        </w:rPr>
        <w:t xml:space="preserve">(2), 199–215. </w:t>
      </w:r>
      <w:hyperlink r:id="rId7" w:tgtFrame="_new" w:history="1">
        <w:r>
          <w:rPr>
            <w:rStyle w:val="Hyperlink"/>
            <w:rFonts w:ascii="Arial" w:hAnsi="Arial" w:cs="Arial"/>
            <w:sz w:val="20"/>
            <w:szCs w:val="20"/>
          </w:rPr>
          <w:t>https://doi.org/10.1002/ptr.5957</w:t>
        </w:r>
      </w:hyperlink>
    </w:p>
    <w:p w:rsidR="00260A21" w:rsidRDefault="005163B4">
      <w:pPr>
        <w:ind w:left="720" w:hanging="720"/>
        <w:jc w:val="both"/>
        <w:rPr>
          <w:rFonts w:ascii="Arial" w:hAnsi="Arial" w:cs="Arial"/>
          <w:sz w:val="20"/>
          <w:szCs w:val="20"/>
        </w:rPr>
      </w:pPr>
      <w:proofErr w:type="spellStart"/>
      <w:r>
        <w:rPr>
          <w:rFonts w:ascii="Arial" w:hAnsi="Arial" w:cs="Arial"/>
          <w:sz w:val="20"/>
          <w:szCs w:val="20"/>
        </w:rPr>
        <w:t>Deeb</w:t>
      </w:r>
      <w:proofErr w:type="spellEnd"/>
      <w:r>
        <w:rPr>
          <w:rFonts w:ascii="Arial" w:hAnsi="Arial" w:cs="Arial"/>
          <w:sz w:val="20"/>
          <w:szCs w:val="20"/>
        </w:rPr>
        <w:t xml:space="preserve">, A., </w:t>
      </w:r>
      <w:proofErr w:type="spellStart"/>
      <w:r>
        <w:rPr>
          <w:rFonts w:ascii="Arial" w:hAnsi="Arial" w:cs="Arial"/>
          <w:sz w:val="20"/>
          <w:szCs w:val="20"/>
        </w:rPr>
        <w:t>Heba</w:t>
      </w:r>
      <w:proofErr w:type="spellEnd"/>
      <w:r>
        <w:rPr>
          <w:rFonts w:ascii="Arial" w:hAnsi="Arial" w:cs="Arial"/>
          <w:sz w:val="20"/>
          <w:szCs w:val="20"/>
        </w:rPr>
        <w:t xml:space="preserve">, F., &amp; Kamal, S. (2017). Hypothetical reference for the effect of testosterone propionate on hepatic‐renal injury. </w:t>
      </w:r>
      <w:r>
        <w:rPr>
          <w:rFonts w:ascii="Arial" w:hAnsi="Arial" w:cs="Arial"/>
          <w:i/>
          <w:iCs/>
          <w:sz w:val="20"/>
          <w:szCs w:val="20"/>
        </w:rPr>
        <w:t>Journal of Experimental Urology</w:t>
      </w:r>
      <w:r>
        <w:rPr>
          <w:rFonts w:ascii="Arial" w:hAnsi="Arial" w:cs="Arial"/>
          <w:sz w:val="20"/>
          <w:szCs w:val="20"/>
        </w:rPr>
        <w:t xml:space="preserve">, </w:t>
      </w:r>
      <w:r>
        <w:rPr>
          <w:rFonts w:ascii="Arial" w:hAnsi="Arial" w:cs="Arial"/>
          <w:i/>
          <w:iCs/>
          <w:sz w:val="20"/>
          <w:szCs w:val="20"/>
        </w:rPr>
        <w:t>13</w:t>
      </w:r>
      <w:r>
        <w:rPr>
          <w:rFonts w:ascii="Arial" w:hAnsi="Arial" w:cs="Arial"/>
          <w:sz w:val="20"/>
          <w:szCs w:val="20"/>
        </w:rPr>
        <w:t>(2), 89-95.</w:t>
      </w:r>
    </w:p>
    <w:p w:rsidR="00260A21" w:rsidRDefault="005163B4">
      <w:pPr>
        <w:ind w:left="720" w:hanging="720"/>
        <w:jc w:val="both"/>
        <w:rPr>
          <w:rFonts w:ascii="Arial" w:hAnsi="Arial" w:cs="Arial"/>
          <w:sz w:val="20"/>
          <w:szCs w:val="20"/>
        </w:rPr>
      </w:pPr>
      <w:proofErr w:type="spellStart"/>
      <w:r>
        <w:rPr>
          <w:rFonts w:ascii="Arial" w:hAnsi="Arial" w:cs="Arial"/>
          <w:sz w:val="20"/>
          <w:szCs w:val="20"/>
        </w:rPr>
        <w:t>Ezejiofor</w:t>
      </w:r>
      <w:proofErr w:type="spellEnd"/>
      <w:r>
        <w:rPr>
          <w:rFonts w:ascii="Arial" w:hAnsi="Arial" w:cs="Arial"/>
          <w:sz w:val="20"/>
          <w:szCs w:val="20"/>
        </w:rPr>
        <w:t xml:space="preserve">, A. N., </w:t>
      </w:r>
      <w:proofErr w:type="spellStart"/>
      <w:r>
        <w:rPr>
          <w:rFonts w:ascii="Arial" w:hAnsi="Arial" w:cs="Arial"/>
          <w:sz w:val="20"/>
          <w:szCs w:val="20"/>
        </w:rPr>
        <w:t>Nweze</w:t>
      </w:r>
      <w:proofErr w:type="spellEnd"/>
      <w:r>
        <w:rPr>
          <w:rFonts w:ascii="Arial" w:hAnsi="Arial" w:cs="Arial"/>
          <w:sz w:val="20"/>
          <w:szCs w:val="20"/>
        </w:rPr>
        <w:t xml:space="preserve">, E. I., &amp; Onyema, M. C. (2022). Evaluation of hepatoprotective activities of selected medicinal plants on liver function biomarkers. </w:t>
      </w:r>
      <w:proofErr w:type="spellStart"/>
      <w:r>
        <w:rPr>
          <w:rFonts w:ascii="Arial" w:hAnsi="Arial" w:cs="Arial"/>
          <w:i/>
          <w:iCs/>
          <w:sz w:val="20"/>
          <w:szCs w:val="20"/>
        </w:rPr>
        <w:t>Heliyon</w:t>
      </w:r>
      <w:proofErr w:type="spellEnd"/>
      <w:r>
        <w:rPr>
          <w:rFonts w:ascii="Arial" w:hAnsi="Arial" w:cs="Arial"/>
          <w:sz w:val="20"/>
          <w:szCs w:val="20"/>
        </w:rPr>
        <w:t>, 8(11), e11212.</w:t>
      </w:r>
    </w:p>
    <w:p w:rsidR="00260A21" w:rsidRDefault="005163B4">
      <w:pPr>
        <w:ind w:left="720" w:hanging="720"/>
        <w:jc w:val="both"/>
        <w:rPr>
          <w:rFonts w:ascii="Arial" w:hAnsi="Arial" w:cs="Arial"/>
          <w:sz w:val="20"/>
          <w:szCs w:val="20"/>
        </w:rPr>
      </w:pPr>
      <w:r>
        <w:rPr>
          <w:rFonts w:ascii="Arial" w:hAnsi="Arial" w:cs="Arial"/>
          <w:sz w:val="20"/>
          <w:szCs w:val="20"/>
        </w:rPr>
        <w:t xml:space="preserve">Gupta, A., Marquess, A. R., Pandey, A. K., &amp; </w:t>
      </w:r>
      <w:proofErr w:type="spellStart"/>
      <w:r>
        <w:rPr>
          <w:rFonts w:ascii="Arial" w:hAnsi="Arial" w:cs="Arial"/>
          <w:sz w:val="20"/>
          <w:szCs w:val="20"/>
        </w:rPr>
        <w:t>Bishayee</w:t>
      </w:r>
      <w:proofErr w:type="spellEnd"/>
      <w:r>
        <w:rPr>
          <w:rFonts w:ascii="Arial" w:hAnsi="Arial" w:cs="Arial"/>
          <w:sz w:val="20"/>
          <w:szCs w:val="20"/>
        </w:rPr>
        <w:t>, A. (2023). Jackfruit (</w:t>
      </w:r>
      <w:proofErr w:type="spellStart"/>
      <w:r>
        <w:rPr>
          <w:rFonts w:ascii="Arial" w:hAnsi="Arial" w:cs="Arial"/>
          <w:i/>
          <w:iCs/>
          <w:sz w:val="20"/>
          <w:szCs w:val="20"/>
        </w:rPr>
        <w:t>Artocarpus</w:t>
      </w:r>
      <w:proofErr w:type="spellEnd"/>
      <w:r>
        <w:rPr>
          <w:rFonts w:ascii="Arial" w:hAnsi="Arial" w:cs="Arial"/>
          <w:i/>
          <w:iCs/>
          <w:sz w:val="20"/>
          <w:szCs w:val="20"/>
        </w:rPr>
        <w:t xml:space="preserve"> </w:t>
      </w:r>
      <w:proofErr w:type="spellStart"/>
      <w:r>
        <w:rPr>
          <w:rFonts w:ascii="Arial" w:hAnsi="Arial" w:cs="Arial"/>
          <w:i/>
          <w:iCs/>
          <w:sz w:val="20"/>
          <w:szCs w:val="20"/>
        </w:rPr>
        <w:t>heterophyllus</w:t>
      </w:r>
      <w:proofErr w:type="spellEnd"/>
      <w:r>
        <w:rPr>
          <w:rFonts w:ascii="Arial" w:hAnsi="Arial" w:cs="Arial"/>
          <w:sz w:val="20"/>
          <w:szCs w:val="20"/>
        </w:rPr>
        <w:t xml:space="preserve"> Lam.) in health and disease: A critical review. </w:t>
      </w:r>
      <w:r>
        <w:rPr>
          <w:rFonts w:ascii="Arial" w:hAnsi="Arial" w:cs="Arial"/>
          <w:i/>
          <w:iCs/>
          <w:sz w:val="20"/>
          <w:szCs w:val="20"/>
        </w:rPr>
        <w:t>Critical Reviews in Food Science and Nutrition, 63</w:t>
      </w:r>
      <w:r>
        <w:rPr>
          <w:rFonts w:ascii="Arial" w:hAnsi="Arial" w:cs="Arial"/>
          <w:sz w:val="20"/>
          <w:szCs w:val="20"/>
        </w:rPr>
        <w:t xml:space="preserve">(23), 6344–6378. </w:t>
      </w:r>
      <w:hyperlink r:id="rId8" w:history="1">
        <w:r>
          <w:rPr>
            <w:rStyle w:val="Hyperlink"/>
            <w:rFonts w:ascii="Arial" w:hAnsi="Arial" w:cs="Arial"/>
            <w:sz w:val="20"/>
            <w:szCs w:val="20"/>
          </w:rPr>
          <w:t>https://doi.org/10.1080/10408398.2020.1819766</w:t>
        </w:r>
      </w:hyperlink>
    </w:p>
    <w:p w:rsidR="00260A21" w:rsidRDefault="005163B4">
      <w:pPr>
        <w:ind w:left="720" w:hanging="720"/>
        <w:jc w:val="both"/>
        <w:rPr>
          <w:rFonts w:ascii="Arial" w:hAnsi="Arial" w:cs="Arial"/>
          <w:sz w:val="20"/>
          <w:szCs w:val="20"/>
        </w:rPr>
      </w:pPr>
      <w:r>
        <w:rPr>
          <w:rFonts w:ascii="Arial" w:hAnsi="Arial" w:cs="Arial"/>
          <w:sz w:val="20"/>
          <w:szCs w:val="20"/>
        </w:rPr>
        <w:t xml:space="preserve">Joseph, A., Abraham, J., &amp; Mathew, S. (2019). Phytochemical composition and pharmacological activities of </w:t>
      </w:r>
      <w:proofErr w:type="spellStart"/>
      <w:r>
        <w:rPr>
          <w:rFonts w:ascii="Arial" w:hAnsi="Arial" w:cs="Arial"/>
          <w:i/>
          <w:iCs/>
          <w:sz w:val="20"/>
          <w:szCs w:val="20"/>
        </w:rPr>
        <w:t>Artocarpus</w:t>
      </w:r>
      <w:proofErr w:type="spellEnd"/>
      <w:r>
        <w:rPr>
          <w:rFonts w:ascii="Arial" w:hAnsi="Arial" w:cs="Arial"/>
          <w:i/>
          <w:iCs/>
          <w:sz w:val="20"/>
          <w:szCs w:val="20"/>
        </w:rPr>
        <w:t xml:space="preserve"> </w:t>
      </w:r>
      <w:proofErr w:type="spellStart"/>
      <w:r>
        <w:rPr>
          <w:rFonts w:ascii="Arial" w:hAnsi="Arial" w:cs="Arial"/>
          <w:i/>
          <w:iCs/>
          <w:sz w:val="20"/>
          <w:szCs w:val="20"/>
        </w:rPr>
        <w:t>heterophyllus</w:t>
      </w:r>
      <w:proofErr w:type="spellEnd"/>
      <w:r>
        <w:rPr>
          <w:rFonts w:ascii="Arial" w:hAnsi="Arial" w:cs="Arial"/>
          <w:sz w:val="20"/>
          <w:szCs w:val="20"/>
        </w:rPr>
        <w:t xml:space="preserve">: A review. </w:t>
      </w:r>
      <w:r>
        <w:rPr>
          <w:rFonts w:ascii="Arial" w:hAnsi="Arial" w:cs="Arial"/>
          <w:i/>
          <w:iCs/>
          <w:sz w:val="20"/>
          <w:szCs w:val="20"/>
        </w:rPr>
        <w:t>Pharmacognosy Reviews</w:t>
      </w:r>
      <w:r>
        <w:rPr>
          <w:rFonts w:ascii="Arial" w:hAnsi="Arial" w:cs="Arial"/>
          <w:sz w:val="20"/>
          <w:szCs w:val="20"/>
        </w:rPr>
        <w:t>, 13(25), 59–67.</w:t>
      </w:r>
    </w:p>
    <w:p w:rsidR="00260A21" w:rsidRDefault="005163B4">
      <w:pPr>
        <w:ind w:left="720" w:hanging="720"/>
        <w:jc w:val="both"/>
        <w:rPr>
          <w:rFonts w:ascii="Arial" w:hAnsi="Arial" w:cs="Arial"/>
          <w:sz w:val="20"/>
          <w:szCs w:val="20"/>
        </w:rPr>
      </w:pPr>
      <w:proofErr w:type="spellStart"/>
      <w:r>
        <w:rPr>
          <w:rFonts w:ascii="Arial" w:hAnsi="Arial" w:cs="Arial"/>
          <w:sz w:val="20"/>
          <w:szCs w:val="20"/>
        </w:rPr>
        <w:t>Liyanagamage</w:t>
      </w:r>
      <w:proofErr w:type="spellEnd"/>
      <w:r>
        <w:rPr>
          <w:rFonts w:ascii="Arial" w:hAnsi="Arial" w:cs="Arial"/>
          <w:sz w:val="20"/>
          <w:szCs w:val="20"/>
        </w:rPr>
        <w:t xml:space="preserve">, D. S. N. K., Jayasinghe, S., </w:t>
      </w:r>
      <w:proofErr w:type="spellStart"/>
      <w:r>
        <w:rPr>
          <w:rFonts w:ascii="Arial" w:hAnsi="Arial" w:cs="Arial"/>
          <w:sz w:val="20"/>
          <w:szCs w:val="20"/>
        </w:rPr>
        <w:t>Attanayake</w:t>
      </w:r>
      <w:proofErr w:type="spellEnd"/>
      <w:r>
        <w:rPr>
          <w:rFonts w:ascii="Arial" w:hAnsi="Arial" w:cs="Arial"/>
          <w:sz w:val="20"/>
          <w:szCs w:val="20"/>
        </w:rPr>
        <w:t>, A. P., &amp; Karunaratne, V. (2020). Medicinal plants in management of diabetes mellitus: An overview. </w:t>
      </w:r>
      <w:r>
        <w:rPr>
          <w:rFonts w:ascii="Arial" w:hAnsi="Arial" w:cs="Arial"/>
          <w:i/>
          <w:iCs/>
          <w:sz w:val="20"/>
          <w:szCs w:val="20"/>
        </w:rPr>
        <w:t>Ceylon Journal of Science</w:t>
      </w:r>
      <w:r>
        <w:rPr>
          <w:rFonts w:ascii="Arial" w:hAnsi="Arial" w:cs="Arial"/>
          <w:sz w:val="20"/>
          <w:szCs w:val="20"/>
        </w:rPr>
        <w:t>, </w:t>
      </w:r>
      <w:r>
        <w:rPr>
          <w:rFonts w:ascii="Arial" w:hAnsi="Arial" w:cs="Arial"/>
          <w:i/>
          <w:iCs/>
          <w:sz w:val="20"/>
          <w:szCs w:val="20"/>
        </w:rPr>
        <w:t>49</w:t>
      </w:r>
      <w:r>
        <w:rPr>
          <w:rFonts w:ascii="Arial" w:hAnsi="Arial" w:cs="Arial"/>
          <w:sz w:val="20"/>
          <w:szCs w:val="20"/>
        </w:rPr>
        <w:t xml:space="preserve">(1). </w:t>
      </w:r>
      <w:hyperlink r:id="rId9" w:history="1">
        <w:r>
          <w:rPr>
            <w:rStyle w:val="Hyperlink"/>
            <w:rFonts w:ascii="Arial" w:hAnsi="Arial" w:cs="Arial"/>
            <w:sz w:val="20"/>
            <w:szCs w:val="20"/>
          </w:rPr>
          <w:t>http://doi.org/10.4038/cjs.v49i1.7700</w:t>
        </w:r>
      </w:hyperlink>
      <w:r>
        <w:rPr>
          <w:rFonts w:ascii="Arial" w:hAnsi="Arial" w:cs="Arial"/>
          <w:sz w:val="20"/>
          <w:szCs w:val="20"/>
        </w:rPr>
        <w:t>.</w:t>
      </w:r>
    </w:p>
    <w:p w:rsidR="00260A21" w:rsidRDefault="005163B4">
      <w:pPr>
        <w:ind w:left="720" w:hanging="720"/>
        <w:jc w:val="both"/>
        <w:rPr>
          <w:rFonts w:ascii="Arial" w:hAnsi="Arial" w:cs="Arial"/>
          <w:sz w:val="20"/>
          <w:szCs w:val="20"/>
        </w:rPr>
      </w:pPr>
      <w:r>
        <w:rPr>
          <w:rFonts w:ascii="Arial" w:hAnsi="Arial" w:cs="Arial"/>
          <w:sz w:val="20"/>
          <w:szCs w:val="20"/>
        </w:rPr>
        <w:t xml:space="preserve">Olaniyan, M. F., Ajayi, E. O., &amp; Obasi, K. E. (2022). Liver enzymes and biochemical markers as indices of hepatic integrity in experimental models. </w:t>
      </w:r>
      <w:r>
        <w:rPr>
          <w:rFonts w:ascii="Arial" w:hAnsi="Arial" w:cs="Arial"/>
          <w:i/>
          <w:iCs/>
          <w:sz w:val="20"/>
          <w:szCs w:val="20"/>
        </w:rPr>
        <w:t>Nigerian Journal of Physiology and Science</w:t>
      </w:r>
      <w:r>
        <w:rPr>
          <w:rFonts w:ascii="Arial" w:hAnsi="Arial" w:cs="Arial"/>
          <w:sz w:val="20"/>
          <w:szCs w:val="20"/>
        </w:rPr>
        <w:t>, 37(1), 78–86.</w:t>
      </w:r>
    </w:p>
    <w:p w:rsidR="00260A21" w:rsidRDefault="005163B4">
      <w:pPr>
        <w:ind w:left="720" w:hanging="720"/>
        <w:jc w:val="both"/>
        <w:rPr>
          <w:rFonts w:ascii="Arial" w:hAnsi="Arial" w:cs="Arial"/>
          <w:sz w:val="20"/>
          <w:szCs w:val="20"/>
        </w:rPr>
      </w:pPr>
      <w:proofErr w:type="spellStart"/>
      <w:r>
        <w:rPr>
          <w:rFonts w:ascii="Arial" w:hAnsi="Arial" w:cs="Arial"/>
          <w:sz w:val="20"/>
          <w:szCs w:val="20"/>
        </w:rPr>
        <w:t>Omodamiro</w:t>
      </w:r>
      <w:proofErr w:type="spellEnd"/>
      <w:r>
        <w:rPr>
          <w:rFonts w:ascii="Arial" w:hAnsi="Arial" w:cs="Arial"/>
          <w:sz w:val="20"/>
          <w:szCs w:val="20"/>
        </w:rPr>
        <w:t xml:space="preserve">, O. D., &amp; </w:t>
      </w:r>
      <w:proofErr w:type="spellStart"/>
      <w:r>
        <w:rPr>
          <w:rFonts w:ascii="Arial" w:hAnsi="Arial" w:cs="Arial"/>
          <w:sz w:val="20"/>
          <w:szCs w:val="20"/>
        </w:rPr>
        <w:t>Eze</w:t>
      </w:r>
      <w:proofErr w:type="spellEnd"/>
      <w:r>
        <w:rPr>
          <w:rFonts w:ascii="Arial" w:hAnsi="Arial" w:cs="Arial"/>
          <w:sz w:val="20"/>
          <w:szCs w:val="20"/>
        </w:rPr>
        <w:t xml:space="preserve">, R. O. (2020). Assessment of antioxidant and anti-inflammatory potentials of </w:t>
      </w:r>
      <w:proofErr w:type="spellStart"/>
      <w:r>
        <w:rPr>
          <w:rFonts w:ascii="Arial" w:hAnsi="Arial" w:cs="Arial"/>
          <w:i/>
          <w:iCs/>
          <w:sz w:val="20"/>
          <w:szCs w:val="20"/>
        </w:rPr>
        <w:t>Artocarpus</w:t>
      </w:r>
      <w:proofErr w:type="spellEnd"/>
      <w:r>
        <w:rPr>
          <w:rFonts w:ascii="Arial" w:hAnsi="Arial" w:cs="Arial"/>
          <w:i/>
          <w:iCs/>
          <w:sz w:val="20"/>
          <w:szCs w:val="20"/>
        </w:rPr>
        <w:t xml:space="preserve"> </w:t>
      </w:r>
      <w:proofErr w:type="spellStart"/>
      <w:r>
        <w:rPr>
          <w:rFonts w:ascii="Arial" w:hAnsi="Arial" w:cs="Arial"/>
          <w:i/>
          <w:iCs/>
          <w:sz w:val="20"/>
          <w:szCs w:val="20"/>
        </w:rPr>
        <w:t>heterophyllus</w:t>
      </w:r>
      <w:proofErr w:type="spellEnd"/>
      <w:r>
        <w:rPr>
          <w:rFonts w:ascii="Arial" w:hAnsi="Arial" w:cs="Arial"/>
          <w:sz w:val="20"/>
          <w:szCs w:val="20"/>
        </w:rPr>
        <w:t xml:space="preserve"> extracts. </w:t>
      </w:r>
      <w:r>
        <w:rPr>
          <w:rFonts w:ascii="Arial" w:hAnsi="Arial" w:cs="Arial"/>
          <w:i/>
          <w:iCs/>
          <w:sz w:val="20"/>
          <w:szCs w:val="20"/>
        </w:rPr>
        <w:t xml:space="preserve">Journal of Pharmacognosy and </w:t>
      </w:r>
      <w:proofErr w:type="spellStart"/>
      <w:r>
        <w:rPr>
          <w:rFonts w:ascii="Arial" w:hAnsi="Arial" w:cs="Arial"/>
          <w:i/>
          <w:iCs/>
          <w:sz w:val="20"/>
          <w:szCs w:val="20"/>
        </w:rPr>
        <w:t>Phytotherapy</w:t>
      </w:r>
      <w:proofErr w:type="spellEnd"/>
      <w:r>
        <w:rPr>
          <w:rFonts w:ascii="Arial" w:hAnsi="Arial" w:cs="Arial"/>
          <w:sz w:val="20"/>
          <w:szCs w:val="20"/>
        </w:rPr>
        <w:t>, 12(2), 23–31.</w:t>
      </w:r>
    </w:p>
    <w:p w:rsidR="00260A21" w:rsidRDefault="005163B4">
      <w:pPr>
        <w:ind w:left="720" w:hanging="720"/>
        <w:jc w:val="both"/>
        <w:rPr>
          <w:rFonts w:ascii="Arial" w:hAnsi="Arial" w:cs="Arial"/>
          <w:sz w:val="20"/>
          <w:szCs w:val="20"/>
        </w:rPr>
      </w:pPr>
      <w:r>
        <w:rPr>
          <w:rFonts w:ascii="Arial" w:hAnsi="Arial" w:cs="Arial"/>
          <w:sz w:val="20"/>
          <w:szCs w:val="20"/>
        </w:rPr>
        <w:t xml:space="preserve">Peterson, B. C., Dos Santos, R. N., Silva, R. R., &amp; others. (2015). Testosterone propionate-induced prostate enlargement in rats: a model to study prostatic diseases. </w:t>
      </w:r>
      <w:r>
        <w:rPr>
          <w:rFonts w:ascii="Arial" w:hAnsi="Arial" w:cs="Arial"/>
          <w:i/>
          <w:iCs/>
          <w:sz w:val="20"/>
          <w:szCs w:val="20"/>
        </w:rPr>
        <w:t>Prostate Research</w:t>
      </w:r>
      <w:r>
        <w:rPr>
          <w:rFonts w:ascii="Arial" w:hAnsi="Arial" w:cs="Arial"/>
          <w:sz w:val="20"/>
          <w:szCs w:val="20"/>
        </w:rPr>
        <w:t xml:space="preserve">, </w:t>
      </w:r>
      <w:r>
        <w:rPr>
          <w:rFonts w:ascii="Arial" w:hAnsi="Arial" w:cs="Arial"/>
          <w:i/>
          <w:iCs/>
          <w:sz w:val="20"/>
          <w:szCs w:val="20"/>
        </w:rPr>
        <w:t>11</w:t>
      </w:r>
      <w:r>
        <w:rPr>
          <w:rFonts w:ascii="Arial" w:hAnsi="Arial" w:cs="Arial"/>
          <w:sz w:val="20"/>
          <w:szCs w:val="20"/>
        </w:rPr>
        <w:t>, 34.</w:t>
      </w:r>
    </w:p>
    <w:p w:rsidR="00260A21" w:rsidRDefault="005163B4">
      <w:pPr>
        <w:ind w:left="720" w:hanging="720"/>
        <w:jc w:val="both"/>
        <w:rPr>
          <w:rFonts w:ascii="Arial" w:hAnsi="Arial" w:cs="Arial"/>
          <w:sz w:val="20"/>
          <w:szCs w:val="20"/>
        </w:rPr>
      </w:pPr>
      <w:r>
        <w:rPr>
          <w:rFonts w:ascii="Arial" w:hAnsi="Arial" w:cs="Arial"/>
          <w:sz w:val="20"/>
          <w:szCs w:val="20"/>
        </w:rPr>
        <w:t xml:space="preserve">Praveen, D., Chowdary, R. P., </w:t>
      </w:r>
      <w:proofErr w:type="spellStart"/>
      <w:r>
        <w:rPr>
          <w:rFonts w:ascii="Arial" w:hAnsi="Arial" w:cs="Arial"/>
          <w:sz w:val="20"/>
          <w:szCs w:val="20"/>
        </w:rPr>
        <w:t>Thanmayi</w:t>
      </w:r>
      <w:proofErr w:type="spellEnd"/>
      <w:r>
        <w:rPr>
          <w:rFonts w:ascii="Arial" w:hAnsi="Arial" w:cs="Arial"/>
          <w:sz w:val="20"/>
          <w:szCs w:val="20"/>
        </w:rPr>
        <w:t xml:space="preserve">, G., </w:t>
      </w:r>
      <w:proofErr w:type="spellStart"/>
      <w:r>
        <w:rPr>
          <w:rFonts w:ascii="Arial" w:hAnsi="Arial" w:cs="Arial"/>
          <w:sz w:val="20"/>
          <w:szCs w:val="20"/>
        </w:rPr>
        <w:t>Poojitha</w:t>
      </w:r>
      <w:proofErr w:type="spellEnd"/>
      <w:r>
        <w:rPr>
          <w:rFonts w:ascii="Arial" w:hAnsi="Arial" w:cs="Arial"/>
          <w:sz w:val="20"/>
          <w:szCs w:val="20"/>
        </w:rPr>
        <w:t xml:space="preserve">, G., &amp; </w:t>
      </w:r>
      <w:proofErr w:type="spellStart"/>
      <w:r>
        <w:rPr>
          <w:rFonts w:ascii="Arial" w:hAnsi="Arial" w:cs="Arial"/>
          <w:sz w:val="20"/>
          <w:szCs w:val="20"/>
        </w:rPr>
        <w:t>Aanandhi</w:t>
      </w:r>
      <w:proofErr w:type="spellEnd"/>
      <w:r>
        <w:rPr>
          <w:rFonts w:ascii="Arial" w:hAnsi="Arial" w:cs="Arial"/>
          <w:sz w:val="20"/>
          <w:szCs w:val="20"/>
        </w:rPr>
        <w:t xml:space="preserve">, V. M. (2016). Antioxidant and analgesic activity of leaf extracts of </w:t>
      </w:r>
      <w:proofErr w:type="spellStart"/>
      <w:r>
        <w:rPr>
          <w:rFonts w:ascii="Arial" w:hAnsi="Arial" w:cs="Arial"/>
          <w:sz w:val="20"/>
          <w:szCs w:val="20"/>
        </w:rPr>
        <w:t>Artocarpus</w:t>
      </w:r>
      <w:proofErr w:type="spellEnd"/>
      <w:r>
        <w:rPr>
          <w:rFonts w:ascii="Arial" w:hAnsi="Arial" w:cs="Arial"/>
          <w:sz w:val="20"/>
          <w:szCs w:val="20"/>
        </w:rPr>
        <w:t xml:space="preserve"> </w:t>
      </w:r>
      <w:proofErr w:type="spellStart"/>
      <w:r>
        <w:rPr>
          <w:rFonts w:ascii="Arial" w:hAnsi="Arial" w:cs="Arial"/>
          <w:sz w:val="20"/>
          <w:szCs w:val="20"/>
        </w:rPr>
        <w:t>heterophyllus</w:t>
      </w:r>
      <w:proofErr w:type="spellEnd"/>
      <w:r>
        <w:rPr>
          <w:rFonts w:ascii="Arial" w:hAnsi="Arial" w:cs="Arial"/>
          <w:sz w:val="20"/>
          <w:szCs w:val="20"/>
        </w:rPr>
        <w:t>. </w:t>
      </w:r>
      <w:r>
        <w:rPr>
          <w:rFonts w:ascii="Arial" w:hAnsi="Arial" w:cs="Arial"/>
          <w:i/>
          <w:iCs/>
          <w:sz w:val="20"/>
          <w:szCs w:val="20"/>
        </w:rPr>
        <w:t>Research Journal of Pharmacy and Technology</w:t>
      </w:r>
      <w:r>
        <w:rPr>
          <w:rFonts w:ascii="Arial" w:hAnsi="Arial" w:cs="Arial"/>
          <w:sz w:val="20"/>
          <w:szCs w:val="20"/>
        </w:rPr>
        <w:t>, </w:t>
      </w:r>
      <w:r>
        <w:rPr>
          <w:rFonts w:ascii="Arial" w:hAnsi="Arial" w:cs="Arial"/>
          <w:i/>
          <w:iCs/>
          <w:sz w:val="20"/>
          <w:szCs w:val="20"/>
        </w:rPr>
        <w:t>9</w:t>
      </w:r>
      <w:r>
        <w:rPr>
          <w:rFonts w:ascii="Arial" w:hAnsi="Arial" w:cs="Arial"/>
          <w:sz w:val="20"/>
          <w:szCs w:val="20"/>
        </w:rPr>
        <w:t>(3), 257.  </w:t>
      </w:r>
      <w:hyperlink r:id="rId10" w:history="1">
        <w:r>
          <w:rPr>
            <w:rStyle w:val="Hyperlink"/>
            <w:rFonts w:ascii="Arial" w:hAnsi="Arial" w:cs="Arial"/>
            <w:sz w:val="20"/>
            <w:szCs w:val="20"/>
          </w:rPr>
          <w:t>https://doi.org/10.5958/0974360X.2016.00047.0</w:t>
        </w:r>
      </w:hyperlink>
      <w:r>
        <w:rPr>
          <w:rFonts w:ascii="Arial" w:hAnsi="Arial" w:cs="Arial"/>
          <w:sz w:val="20"/>
          <w:szCs w:val="20"/>
        </w:rPr>
        <w:t>.</w:t>
      </w:r>
    </w:p>
    <w:p w:rsidR="00260A21" w:rsidRDefault="005163B4">
      <w:pPr>
        <w:ind w:left="720" w:hanging="720"/>
        <w:jc w:val="both"/>
        <w:rPr>
          <w:rFonts w:ascii="Arial" w:hAnsi="Arial" w:cs="Arial"/>
          <w:sz w:val="20"/>
          <w:szCs w:val="20"/>
        </w:rPr>
      </w:pPr>
      <w:proofErr w:type="spellStart"/>
      <w:r>
        <w:rPr>
          <w:rFonts w:ascii="Arial" w:hAnsi="Arial" w:cs="Arial"/>
          <w:sz w:val="20"/>
          <w:szCs w:val="20"/>
        </w:rPr>
        <w:t>Roehrborn</w:t>
      </w:r>
      <w:proofErr w:type="spellEnd"/>
      <w:r>
        <w:rPr>
          <w:rFonts w:ascii="Arial" w:hAnsi="Arial" w:cs="Arial"/>
          <w:sz w:val="20"/>
          <w:szCs w:val="20"/>
        </w:rPr>
        <w:t xml:space="preserve">, C. G. (2008). Benign prostatic hyperplasia: An overview. </w:t>
      </w:r>
      <w:r>
        <w:rPr>
          <w:rFonts w:ascii="Arial" w:hAnsi="Arial" w:cs="Arial"/>
          <w:i/>
          <w:iCs/>
          <w:sz w:val="20"/>
          <w:szCs w:val="20"/>
        </w:rPr>
        <w:t>Reviews in Urology</w:t>
      </w:r>
      <w:r>
        <w:rPr>
          <w:rFonts w:ascii="Arial" w:hAnsi="Arial" w:cs="Arial"/>
          <w:sz w:val="20"/>
          <w:szCs w:val="20"/>
        </w:rPr>
        <w:t>, 10(1), S3–S10.</w:t>
      </w:r>
    </w:p>
    <w:p w:rsidR="00260A21" w:rsidRDefault="005163B4">
      <w:pPr>
        <w:ind w:left="720" w:hanging="720"/>
        <w:jc w:val="both"/>
        <w:rPr>
          <w:rFonts w:ascii="Arial" w:hAnsi="Arial" w:cs="Arial"/>
          <w:sz w:val="20"/>
          <w:szCs w:val="20"/>
        </w:rPr>
      </w:pPr>
      <w:proofErr w:type="spellStart"/>
      <w:r>
        <w:rPr>
          <w:rFonts w:ascii="Arial" w:hAnsi="Arial" w:cs="Arial"/>
          <w:sz w:val="20"/>
          <w:szCs w:val="20"/>
        </w:rPr>
        <w:t>Uchegbu</w:t>
      </w:r>
      <w:proofErr w:type="spellEnd"/>
      <w:r>
        <w:rPr>
          <w:rFonts w:ascii="Arial" w:hAnsi="Arial" w:cs="Arial"/>
          <w:sz w:val="20"/>
          <w:szCs w:val="20"/>
        </w:rPr>
        <w:t xml:space="preserve">, R. I., </w:t>
      </w:r>
      <w:proofErr w:type="spellStart"/>
      <w:r>
        <w:rPr>
          <w:rFonts w:ascii="Arial" w:hAnsi="Arial" w:cs="Arial"/>
          <w:sz w:val="20"/>
          <w:szCs w:val="20"/>
        </w:rPr>
        <w:t>Eze</w:t>
      </w:r>
      <w:proofErr w:type="spellEnd"/>
      <w:r>
        <w:rPr>
          <w:rFonts w:ascii="Arial" w:hAnsi="Arial" w:cs="Arial"/>
          <w:sz w:val="20"/>
          <w:szCs w:val="20"/>
        </w:rPr>
        <w:t xml:space="preserve">, C. N., &amp; </w:t>
      </w:r>
      <w:proofErr w:type="spellStart"/>
      <w:r>
        <w:rPr>
          <w:rFonts w:ascii="Arial" w:hAnsi="Arial" w:cs="Arial"/>
          <w:sz w:val="20"/>
          <w:szCs w:val="20"/>
        </w:rPr>
        <w:t>Onwuachu</w:t>
      </w:r>
      <w:proofErr w:type="spellEnd"/>
      <w:r>
        <w:rPr>
          <w:rFonts w:ascii="Arial" w:hAnsi="Arial" w:cs="Arial"/>
          <w:sz w:val="20"/>
          <w:szCs w:val="20"/>
        </w:rPr>
        <w:t xml:space="preserve">, C. O. (2020). Antioxidant and nephroprotective potential of </w:t>
      </w:r>
      <w:proofErr w:type="spellStart"/>
      <w:r>
        <w:rPr>
          <w:rFonts w:ascii="Arial" w:hAnsi="Arial" w:cs="Arial"/>
          <w:i/>
          <w:iCs/>
          <w:sz w:val="20"/>
          <w:szCs w:val="20"/>
        </w:rPr>
        <w:t>Artocarpus</w:t>
      </w:r>
      <w:proofErr w:type="spellEnd"/>
      <w:r>
        <w:rPr>
          <w:rFonts w:ascii="Arial" w:hAnsi="Arial" w:cs="Arial"/>
          <w:i/>
          <w:iCs/>
          <w:sz w:val="20"/>
          <w:szCs w:val="20"/>
        </w:rPr>
        <w:t xml:space="preserve"> </w:t>
      </w:r>
      <w:proofErr w:type="spellStart"/>
      <w:r>
        <w:rPr>
          <w:rFonts w:ascii="Arial" w:hAnsi="Arial" w:cs="Arial"/>
          <w:i/>
          <w:iCs/>
          <w:sz w:val="20"/>
          <w:szCs w:val="20"/>
        </w:rPr>
        <w:t>heterophyllus</w:t>
      </w:r>
      <w:proofErr w:type="spellEnd"/>
      <w:r>
        <w:rPr>
          <w:rFonts w:ascii="Arial" w:hAnsi="Arial" w:cs="Arial"/>
          <w:sz w:val="20"/>
          <w:szCs w:val="20"/>
        </w:rPr>
        <w:t xml:space="preserve"> in chemically induced renal damage. </w:t>
      </w:r>
      <w:r>
        <w:rPr>
          <w:rFonts w:ascii="Arial" w:hAnsi="Arial" w:cs="Arial"/>
          <w:i/>
          <w:iCs/>
          <w:sz w:val="20"/>
          <w:szCs w:val="20"/>
        </w:rPr>
        <w:t>Tropical Journal of Natural Product Research</w:t>
      </w:r>
      <w:r>
        <w:rPr>
          <w:rFonts w:ascii="Arial" w:hAnsi="Arial" w:cs="Arial"/>
          <w:sz w:val="20"/>
          <w:szCs w:val="20"/>
        </w:rPr>
        <w:t>, 4(7), 456–462.</w:t>
      </w:r>
    </w:p>
    <w:p w:rsidR="00260A21" w:rsidRDefault="005163B4">
      <w:pPr>
        <w:ind w:left="720" w:hanging="720"/>
        <w:jc w:val="both"/>
        <w:rPr>
          <w:rFonts w:ascii="Arial" w:hAnsi="Arial" w:cs="Arial"/>
          <w:sz w:val="20"/>
          <w:szCs w:val="20"/>
        </w:rPr>
      </w:pPr>
      <w:proofErr w:type="spellStart"/>
      <w:r>
        <w:rPr>
          <w:rFonts w:ascii="Arial" w:hAnsi="Arial" w:cs="Arial"/>
          <w:sz w:val="20"/>
          <w:szCs w:val="20"/>
        </w:rPr>
        <w:t>Umennadi</w:t>
      </w:r>
      <w:proofErr w:type="spellEnd"/>
      <w:r>
        <w:rPr>
          <w:rFonts w:ascii="Arial" w:hAnsi="Arial" w:cs="Arial"/>
          <w:sz w:val="20"/>
          <w:szCs w:val="20"/>
        </w:rPr>
        <w:t xml:space="preserve">, R. O., </w:t>
      </w:r>
      <w:proofErr w:type="spellStart"/>
      <w:r>
        <w:rPr>
          <w:rFonts w:ascii="Arial" w:hAnsi="Arial" w:cs="Arial"/>
          <w:sz w:val="20"/>
          <w:szCs w:val="20"/>
        </w:rPr>
        <w:t>Igwilo</w:t>
      </w:r>
      <w:proofErr w:type="spellEnd"/>
      <w:r>
        <w:rPr>
          <w:rFonts w:ascii="Arial" w:hAnsi="Arial" w:cs="Arial"/>
          <w:sz w:val="20"/>
          <w:szCs w:val="20"/>
        </w:rPr>
        <w:t xml:space="preserve">, I. O., </w:t>
      </w:r>
      <w:proofErr w:type="spellStart"/>
      <w:r>
        <w:rPr>
          <w:rFonts w:ascii="Arial" w:hAnsi="Arial" w:cs="Arial"/>
          <w:sz w:val="20"/>
          <w:szCs w:val="20"/>
        </w:rPr>
        <w:t>Umennadi</w:t>
      </w:r>
      <w:proofErr w:type="spellEnd"/>
      <w:r>
        <w:rPr>
          <w:rFonts w:ascii="Arial" w:hAnsi="Arial" w:cs="Arial"/>
          <w:sz w:val="20"/>
          <w:szCs w:val="20"/>
        </w:rPr>
        <w:t xml:space="preserve">, P. U., </w:t>
      </w:r>
      <w:proofErr w:type="spellStart"/>
      <w:r>
        <w:rPr>
          <w:rFonts w:ascii="Arial" w:hAnsi="Arial" w:cs="Arial"/>
          <w:sz w:val="20"/>
          <w:szCs w:val="20"/>
        </w:rPr>
        <w:t>Nweze</w:t>
      </w:r>
      <w:proofErr w:type="spellEnd"/>
      <w:r>
        <w:rPr>
          <w:rFonts w:ascii="Arial" w:hAnsi="Arial" w:cs="Arial"/>
          <w:sz w:val="20"/>
          <w:szCs w:val="20"/>
        </w:rPr>
        <w:t xml:space="preserve">, F. C., </w:t>
      </w:r>
      <w:proofErr w:type="spellStart"/>
      <w:r>
        <w:rPr>
          <w:rFonts w:ascii="Arial" w:hAnsi="Arial" w:cs="Arial"/>
          <w:sz w:val="20"/>
          <w:szCs w:val="20"/>
        </w:rPr>
        <w:t>Lebechukwu</w:t>
      </w:r>
      <w:proofErr w:type="spellEnd"/>
      <w:r>
        <w:rPr>
          <w:rFonts w:ascii="Arial" w:hAnsi="Arial" w:cs="Arial"/>
          <w:sz w:val="20"/>
          <w:szCs w:val="20"/>
        </w:rPr>
        <w:t xml:space="preserve">, B. C., </w:t>
      </w:r>
      <w:proofErr w:type="spellStart"/>
      <w:r>
        <w:rPr>
          <w:rFonts w:ascii="Arial" w:hAnsi="Arial" w:cs="Arial"/>
          <w:sz w:val="20"/>
          <w:szCs w:val="20"/>
        </w:rPr>
        <w:t>Asogwa</w:t>
      </w:r>
      <w:proofErr w:type="spellEnd"/>
      <w:r>
        <w:rPr>
          <w:rFonts w:ascii="Arial" w:hAnsi="Arial" w:cs="Arial"/>
          <w:sz w:val="20"/>
          <w:szCs w:val="20"/>
        </w:rPr>
        <w:t xml:space="preserve">, K. K., &amp; </w:t>
      </w:r>
      <w:proofErr w:type="spellStart"/>
      <w:r>
        <w:rPr>
          <w:rFonts w:ascii="Arial" w:hAnsi="Arial" w:cs="Arial"/>
          <w:sz w:val="20"/>
          <w:szCs w:val="20"/>
        </w:rPr>
        <w:t>Ezeobi</w:t>
      </w:r>
      <w:proofErr w:type="spellEnd"/>
      <w:r>
        <w:rPr>
          <w:rFonts w:ascii="Arial" w:hAnsi="Arial" w:cs="Arial"/>
          <w:sz w:val="20"/>
          <w:szCs w:val="20"/>
        </w:rPr>
        <w:t xml:space="preserve">, P. U. (2023). Comparative studies on the nutrient composition and antioxidant activities of the leaf, </w:t>
      </w:r>
      <w:r>
        <w:rPr>
          <w:rFonts w:ascii="Arial" w:hAnsi="Arial" w:cs="Arial"/>
          <w:sz w:val="20"/>
          <w:szCs w:val="20"/>
        </w:rPr>
        <w:lastRenderedPageBreak/>
        <w:t>pulp, and seed extracts of jack-fruit tree (</w:t>
      </w:r>
      <w:proofErr w:type="spellStart"/>
      <w:r>
        <w:rPr>
          <w:rFonts w:ascii="Arial" w:hAnsi="Arial" w:cs="Arial"/>
          <w:i/>
          <w:iCs/>
          <w:sz w:val="20"/>
          <w:szCs w:val="20"/>
        </w:rPr>
        <w:t>Artocarpus</w:t>
      </w:r>
      <w:proofErr w:type="spellEnd"/>
      <w:r>
        <w:rPr>
          <w:rFonts w:ascii="Arial" w:hAnsi="Arial" w:cs="Arial"/>
          <w:i/>
          <w:iCs/>
          <w:sz w:val="20"/>
          <w:szCs w:val="20"/>
        </w:rPr>
        <w:t xml:space="preserve"> </w:t>
      </w:r>
      <w:proofErr w:type="spellStart"/>
      <w:r>
        <w:rPr>
          <w:rFonts w:ascii="Arial" w:hAnsi="Arial" w:cs="Arial"/>
          <w:i/>
          <w:iCs/>
          <w:sz w:val="20"/>
          <w:szCs w:val="20"/>
        </w:rPr>
        <w:t>heterophyllus</w:t>
      </w:r>
      <w:proofErr w:type="spellEnd"/>
      <w:r>
        <w:rPr>
          <w:rFonts w:ascii="Arial" w:hAnsi="Arial" w:cs="Arial"/>
          <w:sz w:val="20"/>
          <w:szCs w:val="20"/>
        </w:rPr>
        <w:t xml:space="preserve">). </w:t>
      </w:r>
      <w:r>
        <w:rPr>
          <w:rFonts w:ascii="Arial" w:hAnsi="Arial" w:cs="Arial"/>
          <w:i/>
          <w:iCs/>
          <w:sz w:val="20"/>
          <w:szCs w:val="20"/>
        </w:rPr>
        <w:t xml:space="preserve">The </w:t>
      </w:r>
      <w:proofErr w:type="spellStart"/>
      <w:r>
        <w:rPr>
          <w:rFonts w:ascii="Arial" w:hAnsi="Arial" w:cs="Arial"/>
          <w:i/>
          <w:iCs/>
          <w:sz w:val="20"/>
          <w:szCs w:val="20"/>
        </w:rPr>
        <w:t>Bioscientist</w:t>
      </w:r>
      <w:proofErr w:type="spellEnd"/>
      <w:r>
        <w:rPr>
          <w:rFonts w:ascii="Arial" w:hAnsi="Arial" w:cs="Arial"/>
          <w:i/>
          <w:iCs/>
          <w:sz w:val="20"/>
          <w:szCs w:val="20"/>
        </w:rPr>
        <w:t xml:space="preserve"> Journal, 11</w:t>
      </w:r>
      <w:r>
        <w:rPr>
          <w:rFonts w:ascii="Arial" w:hAnsi="Arial" w:cs="Arial"/>
          <w:sz w:val="20"/>
          <w:szCs w:val="20"/>
        </w:rPr>
        <w:t xml:space="preserve">(3), 270–288. </w:t>
      </w:r>
      <w:hyperlink r:id="rId11" w:history="1">
        <w:r>
          <w:rPr>
            <w:rStyle w:val="Hyperlink"/>
            <w:rFonts w:ascii="Arial" w:hAnsi="Arial" w:cs="Arial"/>
            <w:sz w:val="20"/>
            <w:szCs w:val="20"/>
          </w:rPr>
          <w:t>https://doi.org/10.5281/zenodo.10579091</w:t>
        </w:r>
      </w:hyperlink>
      <w:r>
        <w:rPr>
          <w:rFonts w:ascii="Arial" w:hAnsi="Arial" w:cs="Arial"/>
          <w:sz w:val="20"/>
          <w:szCs w:val="20"/>
        </w:rPr>
        <w:t>.</w:t>
      </w:r>
    </w:p>
    <w:p w:rsidR="00260A21" w:rsidRDefault="005163B4">
      <w:pPr>
        <w:ind w:left="720" w:hanging="720"/>
        <w:jc w:val="both"/>
        <w:rPr>
          <w:rFonts w:ascii="Arial" w:hAnsi="Arial" w:cs="Arial"/>
          <w:sz w:val="20"/>
          <w:szCs w:val="20"/>
        </w:rPr>
      </w:pPr>
      <w:r>
        <w:rPr>
          <w:rFonts w:ascii="Arial" w:hAnsi="Arial" w:cs="Arial"/>
          <w:sz w:val="20"/>
          <w:szCs w:val="20"/>
        </w:rPr>
        <w:t xml:space="preserve">Yadav, Umesh C. S., Rani, </w:t>
      </w:r>
      <w:proofErr w:type="spellStart"/>
      <w:r>
        <w:rPr>
          <w:rFonts w:ascii="Arial" w:hAnsi="Arial" w:cs="Arial"/>
          <w:sz w:val="20"/>
          <w:szCs w:val="20"/>
        </w:rPr>
        <w:t>Ritu</w:t>
      </w:r>
      <w:proofErr w:type="spellEnd"/>
      <w:r>
        <w:rPr>
          <w:rFonts w:ascii="Arial" w:hAnsi="Arial" w:cs="Arial"/>
          <w:sz w:val="20"/>
          <w:szCs w:val="20"/>
        </w:rPr>
        <w:t xml:space="preserve">, </w:t>
      </w:r>
      <w:proofErr w:type="spellStart"/>
      <w:r>
        <w:rPr>
          <w:rFonts w:ascii="Arial" w:hAnsi="Arial" w:cs="Arial"/>
          <w:sz w:val="20"/>
          <w:szCs w:val="20"/>
        </w:rPr>
        <w:t>Nagori</w:t>
      </w:r>
      <w:proofErr w:type="spellEnd"/>
      <w:r>
        <w:rPr>
          <w:rFonts w:ascii="Arial" w:hAnsi="Arial" w:cs="Arial"/>
          <w:sz w:val="20"/>
          <w:szCs w:val="20"/>
        </w:rPr>
        <w:t xml:space="preserve">, Bharat P., Singh, Rashmi K., Vats, </w:t>
      </w:r>
      <w:proofErr w:type="spellStart"/>
      <w:r>
        <w:rPr>
          <w:rFonts w:ascii="Arial" w:hAnsi="Arial" w:cs="Arial"/>
          <w:sz w:val="20"/>
          <w:szCs w:val="20"/>
        </w:rPr>
        <w:t>Shailja</w:t>
      </w:r>
      <w:proofErr w:type="spellEnd"/>
      <w:r>
        <w:rPr>
          <w:rFonts w:ascii="Arial" w:hAnsi="Arial" w:cs="Arial"/>
          <w:sz w:val="20"/>
          <w:szCs w:val="20"/>
        </w:rPr>
        <w:t xml:space="preserve">, Yadav, Deepak., ... &amp; Srivastava, Ramesh K. (2023). Role of flavonoids as antioxidants: Mechanisms and applications. </w:t>
      </w:r>
      <w:r>
        <w:rPr>
          <w:rFonts w:ascii="Arial" w:hAnsi="Arial" w:cs="Arial"/>
          <w:i/>
          <w:iCs/>
          <w:sz w:val="20"/>
          <w:szCs w:val="20"/>
        </w:rPr>
        <w:t>Journal of Ethnopharmacology, 114269.</w:t>
      </w:r>
      <w:r>
        <w:rPr>
          <w:rFonts w:ascii="Arial" w:hAnsi="Arial" w:cs="Arial"/>
          <w:sz w:val="20"/>
          <w:szCs w:val="20"/>
        </w:rPr>
        <w:t xml:space="preserve"> </w:t>
      </w:r>
      <w:hyperlink r:id="rId12" w:tgtFrame="_new" w:history="1">
        <w:r>
          <w:rPr>
            <w:rStyle w:val="Hyperlink"/>
            <w:rFonts w:ascii="Arial" w:hAnsi="Arial" w:cs="Arial"/>
            <w:sz w:val="20"/>
            <w:szCs w:val="20"/>
          </w:rPr>
          <w:t>https://doi.org/10.1016/j.jep.2023.114269</w:t>
        </w:r>
      </w:hyperlink>
    </w:p>
    <w:p w:rsidR="00260A21" w:rsidRDefault="00260A21">
      <w:pPr>
        <w:ind w:left="720" w:hanging="720"/>
        <w:jc w:val="both"/>
        <w:rPr>
          <w:rFonts w:ascii="Arial" w:hAnsi="Arial" w:cs="Arial"/>
          <w:sz w:val="20"/>
          <w:szCs w:val="20"/>
        </w:rPr>
      </w:pPr>
    </w:p>
    <w:p w:rsidR="00260A21" w:rsidRDefault="00260A21">
      <w:pPr>
        <w:ind w:left="720" w:hanging="720"/>
        <w:jc w:val="both"/>
        <w:rPr>
          <w:rFonts w:ascii="Arial" w:hAnsi="Arial" w:cs="Arial"/>
          <w:sz w:val="20"/>
          <w:szCs w:val="20"/>
        </w:rPr>
      </w:pPr>
    </w:p>
    <w:p w:rsidR="00260A21" w:rsidRDefault="00260A21">
      <w:pPr>
        <w:ind w:left="720" w:hanging="720"/>
        <w:jc w:val="both"/>
        <w:rPr>
          <w:rFonts w:ascii="Arial" w:hAnsi="Arial" w:cs="Arial"/>
          <w:sz w:val="20"/>
          <w:szCs w:val="20"/>
        </w:rPr>
      </w:pPr>
    </w:p>
    <w:p w:rsidR="00260A21" w:rsidRDefault="00260A21">
      <w:pPr>
        <w:ind w:left="720" w:hanging="720"/>
        <w:jc w:val="both"/>
        <w:rPr>
          <w:rFonts w:ascii="Arial" w:hAnsi="Arial" w:cs="Arial"/>
          <w:sz w:val="20"/>
          <w:szCs w:val="20"/>
        </w:rPr>
      </w:pPr>
    </w:p>
    <w:sectPr w:rsidR="00260A21">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08D9" w:rsidRDefault="00E008D9">
      <w:pPr>
        <w:spacing w:line="240" w:lineRule="auto"/>
      </w:pPr>
      <w:r>
        <w:separator/>
      </w:r>
    </w:p>
  </w:endnote>
  <w:endnote w:type="continuationSeparator" w:id="0">
    <w:p w:rsidR="00E008D9" w:rsidRDefault="00E008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3467" w:rsidRDefault="004E34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3467" w:rsidRDefault="004E34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3467" w:rsidRDefault="004E34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08D9" w:rsidRDefault="00E008D9">
      <w:pPr>
        <w:spacing w:after="0"/>
      </w:pPr>
      <w:r>
        <w:separator/>
      </w:r>
    </w:p>
  </w:footnote>
  <w:footnote w:type="continuationSeparator" w:id="0">
    <w:p w:rsidR="00E008D9" w:rsidRDefault="00E008D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3467" w:rsidRDefault="004E346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9278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3467" w:rsidRDefault="004E346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9278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3467" w:rsidRDefault="004E346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9278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82"/>
    <w:rsid w:val="00002471"/>
    <w:rsid w:val="000B6429"/>
    <w:rsid w:val="00173DB7"/>
    <w:rsid w:val="001A0E1B"/>
    <w:rsid w:val="001B150E"/>
    <w:rsid w:val="00245EAD"/>
    <w:rsid w:val="00260A21"/>
    <w:rsid w:val="002A74AF"/>
    <w:rsid w:val="002C7393"/>
    <w:rsid w:val="00326565"/>
    <w:rsid w:val="003C1BCF"/>
    <w:rsid w:val="003E49BD"/>
    <w:rsid w:val="003F4183"/>
    <w:rsid w:val="00427929"/>
    <w:rsid w:val="004D4190"/>
    <w:rsid w:val="004E0E4C"/>
    <w:rsid w:val="004E3467"/>
    <w:rsid w:val="005163B4"/>
    <w:rsid w:val="0059107E"/>
    <w:rsid w:val="00592A1C"/>
    <w:rsid w:val="005A11B3"/>
    <w:rsid w:val="00635B42"/>
    <w:rsid w:val="006917B6"/>
    <w:rsid w:val="006B61B9"/>
    <w:rsid w:val="00712B5A"/>
    <w:rsid w:val="007929EA"/>
    <w:rsid w:val="00793BC7"/>
    <w:rsid w:val="007B5DB7"/>
    <w:rsid w:val="007D49C8"/>
    <w:rsid w:val="00841E13"/>
    <w:rsid w:val="0084540C"/>
    <w:rsid w:val="008C7A91"/>
    <w:rsid w:val="008D3A22"/>
    <w:rsid w:val="009A1AF3"/>
    <w:rsid w:val="009A2D8B"/>
    <w:rsid w:val="009A4DBC"/>
    <w:rsid w:val="009B1900"/>
    <w:rsid w:val="009C049A"/>
    <w:rsid w:val="009E7614"/>
    <w:rsid w:val="00A456DB"/>
    <w:rsid w:val="00AE5C93"/>
    <w:rsid w:val="00B561BA"/>
    <w:rsid w:val="00B66F86"/>
    <w:rsid w:val="00B73785"/>
    <w:rsid w:val="00B85DDD"/>
    <w:rsid w:val="00B92B46"/>
    <w:rsid w:val="00BE5109"/>
    <w:rsid w:val="00CC3514"/>
    <w:rsid w:val="00CF5282"/>
    <w:rsid w:val="00D04AFE"/>
    <w:rsid w:val="00D12B8F"/>
    <w:rsid w:val="00D76620"/>
    <w:rsid w:val="00DB3051"/>
    <w:rsid w:val="00DC2BCF"/>
    <w:rsid w:val="00DE329C"/>
    <w:rsid w:val="00DE6DFE"/>
    <w:rsid w:val="00E008D9"/>
    <w:rsid w:val="00E67DA6"/>
    <w:rsid w:val="00E97171"/>
    <w:rsid w:val="00EC0879"/>
    <w:rsid w:val="00EC68F9"/>
    <w:rsid w:val="00EF458D"/>
    <w:rsid w:val="00F237A2"/>
    <w:rsid w:val="26A958AD"/>
    <w:rsid w:val="34AD19FF"/>
    <w:rsid w:val="49253FC3"/>
    <w:rsid w:val="56A93859"/>
    <w:rsid w:val="6BB76DCF"/>
    <w:rsid w:val="72A95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72871FF"/>
  <w15:docId w15:val="{E8B4EFC6-1CE6-4D8B-A228-F32532C3A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kern w:val="2"/>
      <w:sz w:val="22"/>
      <w:szCs w:val="22"/>
      <w14:ligatures w14:val="standardContextual"/>
    </w:rPr>
  </w:style>
  <w:style w:type="paragraph" w:styleId="Heading1">
    <w:name w:val="heading 1"/>
    <w:basedOn w:val="Normal"/>
    <w:next w:val="Normal"/>
    <w:link w:val="Heading1Char"/>
    <w:uiPriority w:val="9"/>
    <w:qFormat/>
    <w:pPr>
      <w:keepNext/>
      <w:keepLines/>
      <w:spacing w:before="240"/>
      <w:jc w:val="both"/>
      <w:outlineLvl w:val="0"/>
    </w:pPr>
    <w:rPr>
      <w:rFonts w:ascii="Times New Roman" w:eastAsiaTheme="majorEastAsia" w:hAnsi="Times New Roman" w:cstheme="majorBidi"/>
      <w:b/>
      <w:sz w:val="26"/>
      <w:szCs w:val="32"/>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pPr>
      <w:tabs>
        <w:tab w:val="center" w:pos="4153"/>
        <w:tab w:val="right" w:pos="8306"/>
      </w:tabs>
      <w:snapToGrid w:val="0"/>
    </w:pPr>
    <w:rPr>
      <w:sz w:val="18"/>
      <w:szCs w:val="18"/>
    </w:rPr>
  </w:style>
  <w:style w:type="paragraph" w:styleId="Header">
    <w:name w:val="header"/>
    <w:basedOn w:val="Normal"/>
    <w:uiPriority w:val="99"/>
    <w:unhideWhenUsed/>
    <w:pPr>
      <w:tabs>
        <w:tab w:val="center" w:pos="4153"/>
        <w:tab w:val="right" w:pos="8306"/>
      </w:tabs>
      <w:snapToGrid w:val="0"/>
    </w:pPr>
    <w:rPr>
      <w:sz w:val="18"/>
      <w:szCs w:val="18"/>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semiHidden/>
    <w:unhideWhenUsed/>
    <w:qFormat/>
    <w:rPr>
      <w:rFonts w:ascii="Times New Roman" w:hAnsi="Times New Roman" w:cs="Times New Roman"/>
      <w:sz w:val="24"/>
      <w:szCs w:val="24"/>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table" w:customStyle="1" w:styleId="ListTable6Colorful1">
    <w:name w:val="List Table 6 Colorful1"/>
    <w:basedOn w:val="TableNormal"/>
    <w:uiPriority w:val="51"/>
    <w:qFormat/>
    <w:rPr>
      <w:color w:val="000000" w:themeColor="text1"/>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1">
    <w:name w:val="List Table 21"/>
    <w:basedOn w:val="TableNormal"/>
    <w:uiPriority w:val="47"/>
    <w:qFormat/>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1">
    <w:name w:val="Grid Table 21"/>
    <w:basedOn w:val="TableNormal"/>
    <w:uiPriority w:val="47"/>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ferHead">
    <w:name w:val="Refer Head"/>
    <w:basedOn w:val="MainHead"/>
    <w:qFormat/>
  </w:style>
  <w:style w:type="paragraph" w:customStyle="1" w:styleId="MainHead">
    <w:name w:val="Main Head"/>
    <w:basedOn w:val="Normal"/>
    <w:pPr>
      <w:keepNext/>
      <w:spacing w:after="240"/>
    </w:pPr>
    <w:rPr>
      <w:b/>
      <w:caps/>
    </w:rPr>
  </w:style>
  <w:style w:type="character" w:styleId="UnresolvedMention">
    <w:name w:val="Unresolved Mention"/>
    <w:basedOn w:val="DefaultParagraphFont"/>
    <w:uiPriority w:val="99"/>
    <w:semiHidden/>
    <w:unhideWhenUsed/>
    <w:rsid w:val="008C7A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080/10408398.2020.1819766"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02/ptr.5957?utm_source=chatgpt.com" TargetMode="External"/><Relationship Id="rId12" Type="http://schemas.openxmlformats.org/officeDocument/2006/relationships/hyperlink" Target="https://doi.org/10.1016/j.jep.2023.114269?utm_source=chatgpt.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5281/zenodo.10579091"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5958/0974360X.2016.00047.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oi.org/10.4038/cjs.v49i1.7700"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4928</Words>
  <Characters>28090</Characters>
  <Application>Microsoft Office Word</Application>
  <DocSecurity>0</DocSecurity>
  <Lines>234</Lines>
  <Paragraphs>65</Paragraphs>
  <ScaleCrop>false</ScaleCrop>
  <Company/>
  <LinksUpToDate>false</LinksUpToDate>
  <CharactersWithSpaces>32953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Robinson Nwabueze</dc:creator>
  <cp:lastModifiedBy>SDI 1180</cp:lastModifiedBy>
  <cp:revision>20</cp:revision>
  <dcterms:created xsi:type="dcterms:W3CDTF">2025-09-02T16:43:00Z</dcterms:created>
  <dcterms:modified xsi:type="dcterms:W3CDTF">2025-10-17T11:26:00Z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540ec2f3-2ed2-4e51-b15e-00e5c60adadb</vt:lpwstr>
  </property>
  <property fmtid="{D5CDD505-2E9C-101B-9397-08002B2CF9AE}" pid="3" name="KSOProductBuildVer">
    <vt:lpwstr>1033-12.2.0.22549</vt:lpwstr>
  </property>
  <property fmtid="{D5CDD505-2E9C-101B-9397-08002B2CF9AE}" pid="4" name="ICV">
    <vt:lpwstr>6733F159CB9947FB82461D2C6FF5ABEF_13</vt:lpwstr>
  </property>
</Properties>
</file>