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CFCA5" w14:textId="2AD12934" w:rsidR="00305975" w:rsidRPr="00305975" w:rsidRDefault="00305975">
      <w:pPr>
        <w:spacing w:after="0" w:line="240" w:lineRule="auto"/>
        <w:jc w:val="both"/>
        <w:rPr>
          <w:rFonts w:ascii="Times New Roman" w:hAnsi="Times New Roman"/>
          <w:b/>
          <w:bCs/>
          <w:caps/>
          <w:sz w:val="24"/>
          <w:szCs w:val="24"/>
          <w:u w:val="single"/>
        </w:rPr>
      </w:pPr>
      <w:r w:rsidRPr="00305975">
        <w:rPr>
          <w:rFonts w:ascii="Times New Roman" w:hAnsi="Times New Roman"/>
          <w:b/>
          <w:bCs/>
          <w:caps/>
          <w:sz w:val="24"/>
          <w:szCs w:val="24"/>
          <w:u w:val="single"/>
        </w:rPr>
        <w:t>Original Research Article</w:t>
      </w:r>
    </w:p>
    <w:p w14:paraId="1F739FA8" w14:textId="77777777" w:rsidR="00305975" w:rsidRDefault="00305975">
      <w:pPr>
        <w:spacing w:after="0" w:line="240" w:lineRule="auto"/>
        <w:jc w:val="both"/>
        <w:rPr>
          <w:rFonts w:ascii="Times New Roman" w:hAnsi="Times New Roman"/>
          <w:b/>
          <w:bCs/>
          <w:caps/>
          <w:sz w:val="24"/>
          <w:szCs w:val="24"/>
        </w:rPr>
      </w:pPr>
    </w:p>
    <w:p w14:paraId="3776867A" w14:textId="31C0A754" w:rsidR="005D65E5" w:rsidRDefault="00736E5B" w:rsidP="003F136C">
      <w:pPr>
        <w:spacing w:after="0" w:line="240" w:lineRule="auto"/>
        <w:rPr>
          <w:rFonts w:ascii="Times New Roman" w:hAnsi="Times New Roman"/>
          <w:b/>
          <w:bCs/>
          <w:caps/>
          <w:sz w:val="24"/>
          <w:szCs w:val="24"/>
        </w:rPr>
      </w:pPr>
      <w:r>
        <w:rPr>
          <w:rFonts w:ascii="Times New Roman" w:hAnsi="Times New Roman"/>
          <w:b/>
          <w:bCs/>
          <w:caps/>
          <w:sz w:val="24"/>
          <w:szCs w:val="24"/>
        </w:rPr>
        <w:t>PHYTOCHEMICAL and in vitro evaluation of the antioxidant Activities of</w:t>
      </w:r>
      <w:r>
        <w:rPr>
          <w:rFonts w:ascii="Times New Roman" w:hAnsi="Times New Roman"/>
          <w:b/>
          <w:bCs/>
          <w:i/>
          <w:iCs/>
          <w:caps/>
          <w:sz w:val="24"/>
          <w:szCs w:val="24"/>
        </w:rPr>
        <w:t xml:space="preserve"> Trigonella foenum-graecum</w:t>
      </w:r>
      <w:r>
        <w:rPr>
          <w:rFonts w:ascii="Times New Roman" w:hAnsi="Times New Roman"/>
          <w:b/>
          <w:bCs/>
          <w:caps/>
          <w:sz w:val="24"/>
          <w:szCs w:val="24"/>
        </w:rPr>
        <w:t xml:space="preserve"> (fenugreek) seed ethanol extract</w:t>
      </w:r>
    </w:p>
    <w:p w14:paraId="631FF22B" w14:textId="77777777" w:rsidR="00305975" w:rsidRDefault="00305975">
      <w:pPr>
        <w:spacing w:after="0" w:line="240" w:lineRule="auto"/>
        <w:jc w:val="both"/>
        <w:rPr>
          <w:rFonts w:ascii="Times New Roman" w:hAnsi="Times New Roman"/>
          <w:b/>
          <w:bCs/>
          <w:caps/>
          <w:sz w:val="24"/>
          <w:szCs w:val="24"/>
        </w:rPr>
      </w:pPr>
    </w:p>
    <w:p w14:paraId="4701FF82" w14:textId="77777777" w:rsidR="005D65E5" w:rsidRDefault="005D65E5">
      <w:pPr>
        <w:spacing w:after="0" w:line="240" w:lineRule="auto"/>
        <w:jc w:val="both"/>
        <w:rPr>
          <w:rFonts w:ascii="Times New Roman" w:hAnsi="Times New Roman"/>
          <w:b/>
          <w:bCs/>
          <w:sz w:val="24"/>
          <w:szCs w:val="24"/>
        </w:rPr>
      </w:pPr>
    </w:p>
    <w:p w14:paraId="32B3E795" w14:textId="77777777" w:rsidR="005D65E5" w:rsidRDefault="005D65E5">
      <w:pPr>
        <w:spacing w:after="0" w:line="240" w:lineRule="auto"/>
        <w:jc w:val="both"/>
        <w:rPr>
          <w:rFonts w:ascii="Times New Roman" w:hAnsi="Times New Roman"/>
          <w:sz w:val="24"/>
          <w:szCs w:val="24"/>
        </w:rPr>
      </w:pPr>
    </w:p>
    <w:p w14:paraId="4201C4FB" w14:textId="77777777" w:rsidR="005D65E5" w:rsidRDefault="005D65E5">
      <w:pPr>
        <w:spacing w:after="0" w:line="240" w:lineRule="auto"/>
        <w:jc w:val="both"/>
        <w:rPr>
          <w:rFonts w:ascii="Times New Roman" w:hAnsi="Times New Roman"/>
          <w:b/>
          <w:bCs/>
          <w:caps/>
          <w:sz w:val="24"/>
          <w:szCs w:val="24"/>
        </w:rPr>
      </w:pPr>
    </w:p>
    <w:p w14:paraId="58EE9EE2" w14:textId="77777777" w:rsidR="005D65E5" w:rsidRDefault="005D65E5">
      <w:pPr>
        <w:spacing w:after="0" w:line="240" w:lineRule="auto"/>
        <w:jc w:val="both"/>
        <w:rPr>
          <w:rFonts w:ascii="Times New Roman" w:hAnsi="Times New Roman"/>
          <w:b/>
          <w:bCs/>
          <w:caps/>
          <w:sz w:val="24"/>
          <w:szCs w:val="24"/>
        </w:rPr>
      </w:pPr>
    </w:p>
    <w:p w14:paraId="55522BCD" w14:textId="77777777" w:rsidR="005D65E5" w:rsidRDefault="005D65E5">
      <w:pPr>
        <w:spacing w:after="0" w:line="240" w:lineRule="auto"/>
        <w:jc w:val="center"/>
        <w:rPr>
          <w:rFonts w:ascii="Times New Roman" w:hAnsi="Times New Roman"/>
          <w:b/>
          <w:bCs/>
          <w:caps/>
          <w:sz w:val="24"/>
          <w:szCs w:val="24"/>
        </w:rPr>
      </w:pPr>
    </w:p>
    <w:p w14:paraId="4C67404C" w14:textId="77777777" w:rsidR="005D65E5" w:rsidRDefault="00736E5B">
      <w:pPr>
        <w:spacing w:after="0" w:line="240" w:lineRule="auto"/>
        <w:jc w:val="center"/>
        <w:rPr>
          <w:rFonts w:ascii="Times New Roman" w:hAnsi="Times New Roman"/>
          <w:b/>
          <w:bCs/>
          <w:caps/>
          <w:sz w:val="24"/>
          <w:szCs w:val="24"/>
        </w:rPr>
      </w:pPr>
      <w:r>
        <w:rPr>
          <w:rFonts w:ascii="Times New Roman" w:hAnsi="Times New Roman"/>
          <w:b/>
          <w:bCs/>
          <w:caps/>
          <w:sz w:val="24"/>
          <w:szCs w:val="24"/>
        </w:rPr>
        <w:t>Abstract</w:t>
      </w:r>
    </w:p>
    <w:p w14:paraId="301A81DF" w14:textId="77777777" w:rsidR="005D65E5" w:rsidRDefault="005D65E5">
      <w:pPr>
        <w:spacing w:after="0" w:line="240" w:lineRule="auto"/>
        <w:jc w:val="center"/>
        <w:rPr>
          <w:rFonts w:ascii="Times New Roman" w:hAnsi="Times New Roman"/>
          <w:b/>
          <w:bCs/>
          <w:caps/>
          <w:sz w:val="24"/>
          <w:szCs w:val="24"/>
        </w:rPr>
      </w:pPr>
    </w:p>
    <w:p w14:paraId="03F50ED3"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Medicinal plants remain a source of natural antioxidants that protect against oxidative stress and related pathologies.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 L.</w:t>
      </w:r>
      <w:r>
        <w:rPr>
          <w:rFonts w:ascii="Times New Roman" w:hAnsi="Times New Roman"/>
          <w:sz w:val="24"/>
          <w:szCs w:val="24"/>
        </w:rPr>
        <w:t xml:space="preserve"> (fenugreek) is a medicinal plant that is known to possess antioxidant and anti-inflammatory properties due to their rich phytochemical content. This study was aimed to evaluate the phytochemicals profile and in vitro antioxidant activity of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w:t>
      </w:r>
      <w:r>
        <w:rPr>
          <w:rFonts w:ascii="Times New Roman" w:hAnsi="Times New Roman"/>
          <w:i/>
          <w:iCs/>
          <w:sz w:val="24"/>
          <w:szCs w:val="24"/>
        </w:rPr>
        <w:t>num</w:t>
      </w:r>
      <w:proofErr w:type="spellEnd"/>
      <w:r>
        <w:rPr>
          <w:rFonts w:ascii="Times New Roman" w:hAnsi="Times New Roman"/>
          <w:i/>
          <w:iCs/>
          <w:sz w:val="24"/>
          <w:szCs w:val="24"/>
        </w:rPr>
        <w:t>-graecum</w:t>
      </w:r>
      <w:r>
        <w:rPr>
          <w:rFonts w:ascii="Times New Roman" w:hAnsi="Times New Roman"/>
          <w:sz w:val="24"/>
          <w:szCs w:val="24"/>
        </w:rPr>
        <w:t xml:space="preserve"> seed ethanol extract. Fenugreek seeds were authenticated, washed and air-dried, then ground into fine powder, and extracted with 70% ethanol. Phytochemical screening was conducted qualitatively and quantitatively using standard procedures, whil</w:t>
      </w:r>
      <w:r>
        <w:rPr>
          <w:rFonts w:ascii="Times New Roman" w:hAnsi="Times New Roman"/>
          <w:sz w:val="24"/>
          <w:szCs w:val="24"/>
        </w:rPr>
        <w:t>e antioxidant potentials were assessed through nitric oxide (NO), 1,1-diphenyl-2-picrylhydrazyl (DPPH), and ferric reducing antioxidant power (FRAP) assays, using vitamin C as a standard drug at concentrations ranging from 50–800 µg/</w:t>
      </w:r>
      <w:proofErr w:type="spellStart"/>
      <w:r>
        <w:rPr>
          <w:rFonts w:ascii="Times New Roman" w:hAnsi="Times New Roman"/>
          <w:sz w:val="24"/>
          <w:szCs w:val="24"/>
        </w:rPr>
        <w:t>mL.</w:t>
      </w:r>
      <w:proofErr w:type="spellEnd"/>
      <w:r>
        <w:rPr>
          <w:rFonts w:ascii="Times New Roman" w:hAnsi="Times New Roman"/>
          <w:sz w:val="24"/>
          <w:szCs w:val="24"/>
        </w:rPr>
        <w:t xml:space="preserve"> The results were ex</w:t>
      </w:r>
      <w:r>
        <w:rPr>
          <w:rFonts w:ascii="Times New Roman" w:hAnsi="Times New Roman"/>
          <w:sz w:val="24"/>
          <w:szCs w:val="24"/>
        </w:rPr>
        <w:t>pressed as mean ± SEM and analyzed by one-way ANOVA followed by Tukey’s post hoc test, with p &lt; 0.05 considered significant. Qualitative analysis showed the presence of alkaloids, phenols, flavonoids, tannins, saponins, terpenoids, steroids, and cardiac gl</w:t>
      </w:r>
      <w:r>
        <w:rPr>
          <w:rFonts w:ascii="Times New Roman" w:hAnsi="Times New Roman"/>
          <w:sz w:val="24"/>
          <w:szCs w:val="24"/>
        </w:rPr>
        <w:t>ycosides. Quantitatively, flavonoids (5.51 ± 0.07 mg/100 g), phenols (4.61 ± 0.05 mg/100 g), and saponins (3.26 ± 0.04 mg/100 g) were the most abundant constituents. The extract demonstrated significant dose-dependent antioxidant activity across all assays</w:t>
      </w:r>
      <w:r>
        <w:rPr>
          <w:rFonts w:ascii="Times New Roman" w:hAnsi="Times New Roman"/>
          <w:sz w:val="24"/>
          <w:szCs w:val="24"/>
        </w:rPr>
        <w:t xml:space="preserve"> with percentage inhibitions of 61.58% (NO), 70.39% (DPPH), and 41.20% (FRAP) at 800 µg/mL, comparable to vitamin C. The potent antioxidant activities observed in fenugreek seed ethanol extract are attributed to its high content of polyphenolic and flavono</w:t>
      </w:r>
      <w:r>
        <w:rPr>
          <w:rFonts w:ascii="Times New Roman" w:hAnsi="Times New Roman"/>
          <w:sz w:val="24"/>
          <w:szCs w:val="24"/>
        </w:rPr>
        <w:t>id compounds. These findings support the potential application of fenugreek seed as a natural antioxidant source and provide a scientific insight for its use in nutraceutical and therapeutic formulations targeting oxidative stress–related disorders.</w:t>
      </w:r>
    </w:p>
    <w:p w14:paraId="6B465AB7" w14:textId="77777777" w:rsidR="005D65E5" w:rsidRDefault="005D65E5">
      <w:pPr>
        <w:spacing w:after="0" w:line="240" w:lineRule="auto"/>
        <w:jc w:val="both"/>
        <w:rPr>
          <w:rFonts w:ascii="Times New Roman" w:hAnsi="Times New Roman"/>
          <w:b/>
          <w:bCs/>
          <w:caps/>
          <w:sz w:val="24"/>
          <w:szCs w:val="24"/>
        </w:rPr>
      </w:pPr>
    </w:p>
    <w:p w14:paraId="051302D0" w14:textId="77777777" w:rsidR="005D65E5" w:rsidRDefault="005D65E5">
      <w:pPr>
        <w:spacing w:after="0" w:line="240" w:lineRule="auto"/>
        <w:jc w:val="both"/>
        <w:rPr>
          <w:rFonts w:ascii="Times New Roman" w:hAnsi="Times New Roman"/>
          <w:b/>
          <w:bCs/>
          <w:caps/>
          <w:sz w:val="24"/>
          <w:szCs w:val="24"/>
        </w:rPr>
      </w:pPr>
    </w:p>
    <w:p w14:paraId="455FA16E" w14:textId="77777777" w:rsidR="005D65E5" w:rsidRDefault="00736E5B">
      <w:pPr>
        <w:spacing w:after="0" w:line="240" w:lineRule="auto"/>
        <w:jc w:val="both"/>
        <w:rPr>
          <w:rFonts w:ascii="Times New Roman" w:hAnsi="Times New Roman"/>
          <w:b/>
          <w:bCs/>
          <w:caps/>
          <w:sz w:val="24"/>
          <w:szCs w:val="24"/>
        </w:rPr>
      </w:pPr>
      <w:r>
        <w:rPr>
          <w:rFonts w:ascii="Times New Roman" w:hAnsi="Times New Roman"/>
          <w:b/>
          <w:bCs/>
          <w:caps/>
          <w:sz w:val="24"/>
          <w:szCs w:val="24"/>
        </w:rPr>
        <w:t>Keyw</w:t>
      </w:r>
      <w:r>
        <w:rPr>
          <w:rFonts w:ascii="Times New Roman" w:hAnsi="Times New Roman"/>
          <w:b/>
          <w:bCs/>
          <w:caps/>
          <w:sz w:val="24"/>
          <w:szCs w:val="24"/>
        </w:rPr>
        <w:t>ords:</w:t>
      </w:r>
    </w:p>
    <w:p w14:paraId="00C0D7D3" w14:textId="77777777" w:rsidR="005D65E5" w:rsidRDefault="00736E5B">
      <w:pPr>
        <w:spacing w:after="0" w:line="240" w:lineRule="auto"/>
        <w:jc w:val="both"/>
        <w:rPr>
          <w:rFonts w:ascii="Times New Roman" w:hAnsi="Times New Roman"/>
          <w:i/>
          <w:iCs/>
          <w:sz w:val="24"/>
          <w:szCs w:val="24"/>
        </w:rPr>
      </w:pP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 phytochemicals; antioxidant activity; DPPH, nitric oxide; FRAP; fenugreek seed.</w:t>
      </w:r>
    </w:p>
    <w:p w14:paraId="01246B7C" w14:textId="77777777" w:rsidR="005D65E5" w:rsidRDefault="005D65E5">
      <w:pPr>
        <w:spacing w:after="0" w:line="240" w:lineRule="auto"/>
        <w:jc w:val="both"/>
        <w:rPr>
          <w:rFonts w:ascii="Times New Roman" w:hAnsi="Times New Roman"/>
          <w:sz w:val="24"/>
          <w:szCs w:val="24"/>
        </w:rPr>
      </w:pPr>
    </w:p>
    <w:p w14:paraId="6D3C1F81" w14:textId="77777777" w:rsidR="005D65E5" w:rsidRDefault="005D65E5">
      <w:pPr>
        <w:spacing w:after="0" w:line="240" w:lineRule="auto"/>
        <w:jc w:val="both"/>
        <w:rPr>
          <w:rFonts w:ascii="Times New Roman" w:hAnsi="Times New Roman"/>
          <w:sz w:val="24"/>
          <w:szCs w:val="24"/>
        </w:rPr>
      </w:pPr>
    </w:p>
    <w:p w14:paraId="36918AB0" w14:textId="77777777" w:rsidR="005D65E5" w:rsidRDefault="005D65E5">
      <w:pPr>
        <w:spacing w:after="0" w:line="240" w:lineRule="auto"/>
        <w:jc w:val="both"/>
        <w:rPr>
          <w:rFonts w:ascii="Times New Roman" w:hAnsi="Times New Roman"/>
          <w:sz w:val="24"/>
          <w:szCs w:val="24"/>
        </w:rPr>
      </w:pPr>
    </w:p>
    <w:p w14:paraId="088265F8" w14:textId="77777777" w:rsidR="005D65E5" w:rsidRDefault="005D65E5">
      <w:pPr>
        <w:spacing w:after="0" w:line="240" w:lineRule="auto"/>
        <w:jc w:val="both"/>
        <w:rPr>
          <w:rFonts w:ascii="Times New Roman" w:hAnsi="Times New Roman"/>
          <w:sz w:val="24"/>
          <w:szCs w:val="24"/>
        </w:rPr>
      </w:pPr>
    </w:p>
    <w:p w14:paraId="0D8EA161" w14:textId="77777777" w:rsidR="005D65E5" w:rsidRDefault="005D65E5">
      <w:pPr>
        <w:spacing w:after="0" w:line="240" w:lineRule="auto"/>
        <w:jc w:val="both"/>
        <w:rPr>
          <w:rFonts w:ascii="Times New Roman" w:hAnsi="Times New Roman"/>
          <w:sz w:val="24"/>
          <w:szCs w:val="24"/>
        </w:rPr>
      </w:pPr>
    </w:p>
    <w:p w14:paraId="33D1C840" w14:textId="77777777" w:rsidR="005D65E5" w:rsidRDefault="005D65E5">
      <w:pPr>
        <w:spacing w:after="0" w:line="240" w:lineRule="auto"/>
        <w:jc w:val="both"/>
        <w:rPr>
          <w:rFonts w:ascii="Times New Roman" w:hAnsi="Times New Roman"/>
          <w:sz w:val="24"/>
          <w:szCs w:val="24"/>
        </w:rPr>
      </w:pPr>
    </w:p>
    <w:p w14:paraId="11FC1A11" w14:textId="77777777" w:rsidR="005D65E5" w:rsidRDefault="005D65E5">
      <w:pPr>
        <w:spacing w:after="0" w:line="240" w:lineRule="auto"/>
        <w:jc w:val="both"/>
        <w:rPr>
          <w:rFonts w:ascii="Times New Roman" w:hAnsi="Times New Roman"/>
          <w:sz w:val="24"/>
          <w:szCs w:val="24"/>
        </w:rPr>
      </w:pPr>
    </w:p>
    <w:p w14:paraId="7B829F15" w14:textId="77777777" w:rsidR="005D65E5" w:rsidRDefault="005D65E5">
      <w:pPr>
        <w:spacing w:after="0" w:line="240" w:lineRule="auto"/>
        <w:jc w:val="both"/>
        <w:rPr>
          <w:rFonts w:ascii="Times New Roman" w:hAnsi="Times New Roman"/>
          <w:b/>
          <w:bCs/>
          <w:caps/>
          <w:sz w:val="24"/>
          <w:szCs w:val="24"/>
        </w:rPr>
      </w:pPr>
    </w:p>
    <w:p w14:paraId="5D1DEF59" w14:textId="77777777" w:rsidR="005D65E5" w:rsidRDefault="00736E5B">
      <w:pPr>
        <w:spacing w:after="0" w:line="360" w:lineRule="auto"/>
        <w:jc w:val="both"/>
        <w:rPr>
          <w:rFonts w:ascii="Times New Roman" w:hAnsi="Times New Roman"/>
          <w:b/>
          <w:bCs/>
          <w:caps/>
          <w:sz w:val="24"/>
          <w:szCs w:val="24"/>
        </w:rPr>
      </w:pPr>
      <w:r>
        <w:rPr>
          <w:rFonts w:ascii="Times New Roman" w:hAnsi="Times New Roman"/>
          <w:b/>
          <w:bCs/>
          <w:caps/>
          <w:sz w:val="24"/>
          <w:szCs w:val="24"/>
        </w:rPr>
        <w:t>1. Introduction</w:t>
      </w:r>
    </w:p>
    <w:p w14:paraId="607419F3"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Medicinal plants </w:t>
      </w:r>
      <w:proofErr w:type="gramStart"/>
      <w:r>
        <w:rPr>
          <w:rFonts w:ascii="Times New Roman" w:hAnsi="Times New Roman"/>
          <w:sz w:val="24"/>
          <w:szCs w:val="24"/>
        </w:rPr>
        <w:t>has</w:t>
      </w:r>
      <w:proofErr w:type="gramEnd"/>
      <w:r>
        <w:rPr>
          <w:rFonts w:ascii="Times New Roman" w:hAnsi="Times New Roman"/>
          <w:sz w:val="24"/>
          <w:szCs w:val="24"/>
        </w:rPr>
        <w:t xml:space="preserve"> been the main source of bioactive compounds with therapeutic and preventive potential agai</w:t>
      </w:r>
      <w:r>
        <w:rPr>
          <w:rFonts w:ascii="Times New Roman" w:hAnsi="Times New Roman"/>
          <w:sz w:val="24"/>
          <w:szCs w:val="24"/>
        </w:rPr>
        <w:t>nst oxidative stress–related diseases. “Natural antioxidants present in medicinal plants act by neutralizing free radicals and modulating reactive oxygen species, thereby preventing oxidative cellular injury” (</w:t>
      </w:r>
      <w:proofErr w:type="spellStart"/>
      <w:r>
        <w:rPr>
          <w:rFonts w:ascii="Times New Roman" w:hAnsi="Times New Roman"/>
          <w:sz w:val="24"/>
          <w:szCs w:val="24"/>
        </w:rPr>
        <w:t>Birben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2012; Lobo </w:t>
      </w:r>
      <w:r>
        <w:rPr>
          <w:rFonts w:ascii="Times New Roman" w:hAnsi="Times New Roman"/>
          <w:i/>
          <w:iCs/>
          <w:sz w:val="24"/>
          <w:szCs w:val="24"/>
        </w:rPr>
        <w:t>et al</w:t>
      </w:r>
      <w:r>
        <w:rPr>
          <w:rFonts w:ascii="Times New Roman" w:hAnsi="Times New Roman"/>
          <w:sz w:val="24"/>
          <w:szCs w:val="24"/>
        </w:rPr>
        <w:t>., 2010). In th</w:t>
      </w:r>
      <w:r>
        <w:rPr>
          <w:rFonts w:ascii="Times New Roman" w:hAnsi="Times New Roman"/>
          <w:sz w:val="24"/>
          <w:szCs w:val="24"/>
        </w:rPr>
        <w:t xml:space="preserve">e recent years, the increasing limitations and toxicity concerns made up with synthetic antioxidants such as butylated hydroxytoluene (BHT) and butylated </w:t>
      </w:r>
      <w:proofErr w:type="spellStart"/>
      <w:r>
        <w:rPr>
          <w:rFonts w:ascii="Times New Roman" w:hAnsi="Times New Roman"/>
          <w:sz w:val="24"/>
          <w:szCs w:val="24"/>
        </w:rPr>
        <w:t>hydroxyanisole</w:t>
      </w:r>
      <w:proofErr w:type="spellEnd"/>
      <w:r>
        <w:rPr>
          <w:rFonts w:ascii="Times New Roman" w:hAnsi="Times New Roman"/>
          <w:sz w:val="24"/>
          <w:szCs w:val="24"/>
        </w:rPr>
        <w:t xml:space="preserve"> (BHA) have prompted growing interest in identifying safer, plant-derived alternatives (</w:t>
      </w:r>
      <w:r>
        <w:rPr>
          <w:rFonts w:ascii="Times New Roman" w:hAnsi="Times New Roman"/>
          <w:sz w:val="24"/>
          <w:szCs w:val="24"/>
        </w:rPr>
        <w:t xml:space="preserve">Shahidi &amp; </w:t>
      </w:r>
      <w:proofErr w:type="spellStart"/>
      <w:r>
        <w:rPr>
          <w:rFonts w:ascii="Times New Roman" w:hAnsi="Times New Roman"/>
          <w:sz w:val="24"/>
          <w:szCs w:val="24"/>
        </w:rPr>
        <w:t>Ambigaipalan</w:t>
      </w:r>
      <w:proofErr w:type="spellEnd"/>
      <w:r>
        <w:rPr>
          <w:rFonts w:ascii="Times New Roman" w:hAnsi="Times New Roman"/>
          <w:sz w:val="24"/>
          <w:szCs w:val="24"/>
        </w:rPr>
        <w:t>, 2015).</w:t>
      </w:r>
    </w:p>
    <w:p w14:paraId="61145957" w14:textId="77777777" w:rsidR="005D65E5" w:rsidRDefault="00736E5B">
      <w:pPr>
        <w:spacing w:after="0" w:line="360" w:lineRule="auto"/>
        <w:jc w:val="both"/>
        <w:rPr>
          <w:rFonts w:ascii="Times New Roman" w:hAnsi="Times New Roman"/>
          <w:sz w:val="24"/>
          <w:szCs w:val="24"/>
        </w:rPr>
      </w:pP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L. (fenugreek), a member of the Fabaceae family, is one of the medicinal plants that has attracted substantial scientific interest because of its wide variety of pharmacological effects, which </w:t>
      </w:r>
      <w:r>
        <w:rPr>
          <w:rFonts w:ascii="Times New Roman" w:hAnsi="Times New Roman"/>
          <w:sz w:val="24"/>
          <w:szCs w:val="24"/>
        </w:rPr>
        <w:t>include antidiabetic, anti-inflammatory, and antioxidant properties (</w:t>
      </w:r>
      <w:proofErr w:type="spellStart"/>
      <w:r>
        <w:rPr>
          <w:rFonts w:ascii="Times New Roman" w:hAnsi="Times New Roman"/>
          <w:sz w:val="24"/>
          <w:szCs w:val="24"/>
        </w:rPr>
        <w:t>Basch</w:t>
      </w:r>
      <w:proofErr w:type="spellEnd"/>
      <w:r>
        <w:rPr>
          <w:rFonts w:ascii="Times New Roman" w:hAnsi="Times New Roman"/>
          <w:i/>
          <w:iCs/>
          <w:sz w:val="24"/>
          <w:szCs w:val="24"/>
        </w:rPr>
        <w:t xml:space="preserve"> et al</w:t>
      </w:r>
      <w:r>
        <w:rPr>
          <w:rFonts w:ascii="Times New Roman" w:hAnsi="Times New Roman"/>
          <w:sz w:val="24"/>
          <w:szCs w:val="24"/>
        </w:rPr>
        <w:t xml:space="preserve">., 2003; </w:t>
      </w:r>
      <w:proofErr w:type="spellStart"/>
      <w:r>
        <w:rPr>
          <w:rFonts w:ascii="Times New Roman" w:hAnsi="Times New Roman"/>
          <w:sz w:val="24"/>
          <w:szCs w:val="24"/>
        </w:rPr>
        <w:t>Meghwal</w:t>
      </w:r>
      <w:proofErr w:type="spellEnd"/>
      <w:r>
        <w:rPr>
          <w:rFonts w:ascii="Times New Roman" w:hAnsi="Times New Roman"/>
          <w:sz w:val="24"/>
          <w:szCs w:val="24"/>
        </w:rPr>
        <w:t xml:space="preserve"> &amp; Goswami, 2012). Fenugreek seeds are rich in diverse phytochemicals such as alkaloids, flavonoids, saponins, tannins, and phenolic compounds, contributing to </w:t>
      </w:r>
      <w:r>
        <w:rPr>
          <w:rFonts w:ascii="Times New Roman" w:hAnsi="Times New Roman"/>
          <w:sz w:val="24"/>
          <w:szCs w:val="24"/>
        </w:rPr>
        <w:t xml:space="preserve">its potent biological activities (Acharya </w:t>
      </w:r>
      <w:r>
        <w:rPr>
          <w:rFonts w:ascii="Times New Roman" w:hAnsi="Times New Roman"/>
          <w:i/>
          <w:iCs/>
          <w:sz w:val="24"/>
          <w:szCs w:val="24"/>
        </w:rPr>
        <w:t>et al</w:t>
      </w:r>
      <w:r>
        <w:rPr>
          <w:rFonts w:ascii="Times New Roman" w:hAnsi="Times New Roman"/>
          <w:sz w:val="24"/>
          <w:szCs w:val="24"/>
        </w:rPr>
        <w:t>., 2006). These compounds are capable of donating electrons or hydrogen atoms, thereby neutralizing free radicals and protecting biomolecules such as lipids, proteins, and nucleic acids from oxidative injury (</w:t>
      </w:r>
      <w:r>
        <w:rPr>
          <w:rFonts w:ascii="Times New Roman" w:hAnsi="Times New Roman"/>
          <w:sz w:val="24"/>
          <w:szCs w:val="24"/>
        </w:rPr>
        <w:t xml:space="preserve">Kumar </w:t>
      </w:r>
      <w:r>
        <w:rPr>
          <w:rFonts w:ascii="Times New Roman" w:hAnsi="Times New Roman"/>
          <w:i/>
          <w:iCs/>
          <w:sz w:val="24"/>
          <w:szCs w:val="24"/>
        </w:rPr>
        <w:t>et al</w:t>
      </w:r>
      <w:r>
        <w:rPr>
          <w:rFonts w:ascii="Times New Roman" w:hAnsi="Times New Roman"/>
          <w:sz w:val="24"/>
          <w:szCs w:val="24"/>
        </w:rPr>
        <w:t>., 2017).</w:t>
      </w:r>
    </w:p>
    <w:p w14:paraId="64B4452E" w14:textId="77777777" w:rsidR="005D65E5" w:rsidRDefault="005D65E5">
      <w:pPr>
        <w:spacing w:after="0" w:line="360" w:lineRule="auto"/>
        <w:jc w:val="both"/>
        <w:rPr>
          <w:rFonts w:ascii="Times New Roman" w:hAnsi="Times New Roman"/>
          <w:sz w:val="4"/>
          <w:szCs w:val="24"/>
        </w:rPr>
      </w:pPr>
    </w:p>
    <w:p w14:paraId="72CEE919"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Oxidative stress is caused from an imbalance between reactive oxygen species (ROS) production and antioxidant defenses. This results to the disruption of cellular homeostasis and the pathogenesis of chronic diseases including diabetes</w:t>
      </w:r>
      <w:r>
        <w:rPr>
          <w:rFonts w:ascii="Times New Roman" w:hAnsi="Times New Roman"/>
          <w:sz w:val="24"/>
          <w:szCs w:val="24"/>
        </w:rPr>
        <w:t xml:space="preserve">, cardiovascular disorders, neurodegeneration, and cancer (Halliwell &amp; </w:t>
      </w:r>
      <w:proofErr w:type="spellStart"/>
      <w:r>
        <w:rPr>
          <w:rFonts w:ascii="Times New Roman" w:hAnsi="Times New Roman"/>
          <w:sz w:val="24"/>
          <w:szCs w:val="24"/>
        </w:rPr>
        <w:t>Gutteridge</w:t>
      </w:r>
      <w:proofErr w:type="spellEnd"/>
      <w:r>
        <w:rPr>
          <w:rFonts w:ascii="Times New Roman" w:hAnsi="Times New Roman"/>
          <w:sz w:val="24"/>
          <w:szCs w:val="24"/>
        </w:rPr>
        <w:t xml:space="preserve">, 2015). Hence, evaluation of the in vitro antioxidant potential of plant extracts has become a fundamental step in drug discovery and nutraceutical research. Several assays, </w:t>
      </w:r>
      <w:r>
        <w:rPr>
          <w:rFonts w:ascii="Times New Roman" w:hAnsi="Times New Roman"/>
          <w:sz w:val="24"/>
          <w:szCs w:val="24"/>
        </w:rPr>
        <w:t>such as the DPPH (2,2-diphenyl-1-picrylhydrazyl) radical scavenging assay, ferric reducing antioxidant power (FRAP), and Nitric oxide (NO) scavenging test, are widely used to quantify the radical-scavenging and reducing capacities of natural compounds (</w:t>
      </w:r>
      <w:proofErr w:type="spellStart"/>
      <w:r>
        <w:rPr>
          <w:rFonts w:ascii="Times New Roman" w:hAnsi="Times New Roman"/>
          <w:sz w:val="24"/>
          <w:szCs w:val="24"/>
        </w:rPr>
        <w:t>Tha</w:t>
      </w:r>
      <w:r>
        <w:rPr>
          <w:rFonts w:ascii="Times New Roman" w:hAnsi="Times New Roman"/>
          <w:sz w:val="24"/>
          <w:szCs w:val="24"/>
        </w:rPr>
        <w:t>ipong</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2006).</w:t>
      </w:r>
    </w:p>
    <w:p w14:paraId="06D159CC"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Some previous studies have showed the strong antioxidant activities of fenugreek seed extracts, which are mainly attributed to their high phenolic and flavonoid contents (Sowmya &amp; </w:t>
      </w:r>
      <w:proofErr w:type="spellStart"/>
      <w:r>
        <w:rPr>
          <w:rFonts w:ascii="Times New Roman" w:hAnsi="Times New Roman"/>
          <w:sz w:val="24"/>
          <w:szCs w:val="24"/>
        </w:rPr>
        <w:t>Rajyalakshmi</w:t>
      </w:r>
      <w:proofErr w:type="spellEnd"/>
      <w:r>
        <w:rPr>
          <w:rFonts w:ascii="Times New Roman" w:hAnsi="Times New Roman"/>
          <w:sz w:val="24"/>
          <w:szCs w:val="24"/>
        </w:rPr>
        <w:t>, 1999; Dixit et al., 2005). However, variations in solvent pola</w:t>
      </w:r>
      <w:r>
        <w:rPr>
          <w:rFonts w:ascii="Times New Roman" w:hAnsi="Times New Roman"/>
          <w:sz w:val="24"/>
          <w:szCs w:val="24"/>
        </w:rPr>
        <w:t xml:space="preserve">rity, extraction temperature, and phytochemical composition can influence the efficiency of these bioactive </w:t>
      </w:r>
      <w:r>
        <w:rPr>
          <w:rFonts w:ascii="Times New Roman" w:hAnsi="Times New Roman"/>
          <w:sz w:val="24"/>
          <w:szCs w:val="24"/>
        </w:rPr>
        <w:lastRenderedPageBreak/>
        <w:t>compounds (Do et al., 2014). Ethanol is especially effective as an extraction solvent due to its ability to dissolve both polar and non-polar phytoc</w:t>
      </w:r>
      <w:r>
        <w:rPr>
          <w:rFonts w:ascii="Times New Roman" w:hAnsi="Times New Roman"/>
          <w:sz w:val="24"/>
          <w:szCs w:val="24"/>
        </w:rPr>
        <w:t xml:space="preserve">hemicals, which enhance the recovery of antioxidants (Tiwari </w:t>
      </w:r>
      <w:r>
        <w:rPr>
          <w:rFonts w:ascii="Times New Roman" w:hAnsi="Times New Roman"/>
          <w:i/>
          <w:sz w:val="24"/>
          <w:szCs w:val="24"/>
        </w:rPr>
        <w:t>et al.,</w:t>
      </w:r>
      <w:r>
        <w:rPr>
          <w:rFonts w:ascii="Times New Roman" w:hAnsi="Times New Roman"/>
          <w:sz w:val="24"/>
          <w:szCs w:val="24"/>
        </w:rPr>
        <w:t xml:space="preserve"> 2011).</w:t>
      </w:r>
    </w:p>
    <w:p w14:paraId="286EA860" w14:textId="77777777" w:rsidR="005D65E5" w:rsidRDefault="005D65E5">
      <w:pPr>
        <w:spacing w:after="0" w:line="360" w:lineRule="auto"/>
        <w:jc w:val="both"/>
        <w:rPr>
          <w:rFonts w:ascii="Times New Roman" w:hAnsi="Times New Roman"/>
          <w:sz w:val="10"/>
          <w:szCs w:val="24"/>
        </w:rPr>
      </w:pPr>
    </w:p>
    <w:p w14:paraId="383E265E"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Thus, the aim of this study is to evaluate the phytochemicals profile and the in vitro antioxidant activity of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 xml:space="preserve">-graecum </w:t>
      </w:r>
      <w:r>
        <w:rPr>
          <w:rFonts w:ascii="Times New Roman" w:hAnsi="Times New Roman"/>
          <w:sz w:val="24"/>
          <w:szCs w:val="24"/>
        </w:rPr>
        <w:t>seed ethanol extract using standard radica</w:t>
      </w:r>
      <w:r>
        <w:rPr>
          <w:rFonts w:ascii="Times New Roman" w:hAnsi="Times New Roman"/>
          <w:sz w:val="24"/>
          <w:szCs w:val="24"/>
        </w:rPr>
        <w:t>l scavenging assays. The findings will provide a clear understanding into the potential of fenugreek as a natural source of antioxidants and its future application in the development of nutraceutical and therapeutic agents.</w:t>
      </w:r>
    </w:p>
    <w:p w14:paraId="4352C688" w14:textId="77777777" w:rsidR="005D65E5" w:rsidRDefault="005D65E5">
      <w:pPr>
        <w:spacing w:after="0" w:line="360" w:lineRule="auto"/>
        <w:jc w:val="both"/>
        <w:rPr>
          <w:rFonts w:ascii="Times New Roman" w:hAnsi="Times New Roman"/>
          <w:b/>
          <w:bCs/>
          <w:sz w:val="8"/>
          <w:szCs w:val="24"/>
        </w:rPr>
      </w:pPr>
    </w:p>
    <w:p w14:paraId="599715D6" w14:textId="4274DF4B"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 xml:space="preserve">2  </w:t>
      </w:r>
      <w:r w:rsidR="00E12251">
        <w:rPr>
          <w:rFonts w:ascii="Times New Roman" w:hAnsi="Times New Roman"/>
          <w:b/>
          <w:bCs/>
          <w:sz w:val="24"/>
          <w:szCs w:val="24"/>
        </w:rPr>
        <w:t xml:space="preserve"> </w:t>
      </w:r>
      <w:r>
        <w:rPr>
          <w:rFonts w:ascii="Times New Roman" w:hAnsi="Times New Roman"/>
          <w:b/>
          <w:bCs/>
          <w:sz w:val="24"/>
          <w:szCs w:val="24"/>
        </w:rPr>
        <w:t>MATERIALS AND METHODS</w:t>
      </w:r>
    </w:p>
    <w:p w14:paraId="142DA90F" w14:textId="77777777" w:rsidR="005D65E5" w:rsidRDefault="00736E5B">
      <w:pPr>
        <w:spacing w:after="0" w:line="360" w:lineRule="auto"/>
        <w:jc w:val="both"/>
        <w:rPr>
          <w:rFonts w:ascii="Times New Roman" w:hAnsi="Times New Roman"/>
          <w:sz w:val="24"/>
          <w:szCs w:val="24"/>
        </w:rPr>
      </w:pPr>
      <w:r>
        <w:rPr>
          <w:rFonts w:ascii="Times New Roman" w:hAnsi="Times New Roman"/>
          <w:b/>
          <w:bCs/>
          <w:caps/>
          <w:sz w:val="24"/>
          <w:szCs w:val="24"/>
        </w:rPr>
        <w:t>2.1 I</w:t>
      </w:r>
      <w:r>
        <w:rPr>
          <w:rFonts w:ascii="Times New Roman" w:hAnsi="Times New Roman"/>
          <w:b/>
          <w:bCs/>
          <w:caps/>
          <w:sz w:val="24"/>
          <w:szCs w:val="24"/>
        </w:rPr>
        <w:t>nstruments</w:t>
      </w:r>
      <w:r>
        <w:rPr>
          <w:rFonts w:ascii="Times New Roman" w:hAnsi="Times New Roman"/>
          <w:sz w:val="24"/>
          <w:szCs w:val="24"/>
        </w:rPr>
        <w:t xml:space="preserve"> </w:t>
      </w:r>
    </w:p>
    <w:p w14:paraId="36BB50A8"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 xml:space="preserve">Table 1: </w:t>
      </w:r>
      <w:r>
        <w:rPr>
          <w:rFonts w:ascii="Times New Roman" w:hAnsi="Times New Roman"/>
          <w:sz w:val="24"/>
          <w:szCs w:val="24"/>
        </w:rPr>
        <w:t xml:space="preserve">List of Instruments Used in the Phytochemical and Antioxidant Analyses of </w:t>
      </w:r>
      <w:proofErr w:type="spellStart"/>
      <w:r>
        <w:rPr>
          <w:rFonts w:ascii="Times New Roman" w:hAnsi="Times New Roman"/>
          <w:i/>
          <w:sz w:val="24"/>
          <w:szCs w:val="24"/>
        </w:rPr>
        <w:t>Trigonella</w:t>
      </w:r>
      <w:proofErr w:type="spellEnd"/>
      <w:r>
        <w:rPr>
          <w:rFonts w:ascii="Times New Roman" w:hAnsi="Times New Roman"/>
          <w:i/>
          <w:sz w:val="24"/>
          <w:szCs w:val="24"/>
        </w:rPr>
        <w:t xml:space="preserve"> </w:t>
      </w:r>
      <w:proofErr w:type="spellStart"/>
      <w:r>
        <w:rPr>
          <w:rFonts w:ascii="Times New Roman" w:hAnsi="Times New Roman"/>
          <w:i/>
          <w:sz w:val="24"/>
          <w:szCs w:val="24"/>
        </w:rPr>
        <w:t>foenum</w:t>
      </w:r>
      <w:proofErr w:type="spellEnd"/>
      <w:r>
        <w:rPr>
          <w:rFonts w:ascii="Times New Roman" w:hAnsi="Times New Roman"/>
          <w:i/>
          <w:sz w:val="24"/>
          <w:szCs w:val="24"/>
        </w:rPr>
        <w:t>-graecum</w:t>
      </w:r>
      <w:r>
        <w:rPr>
          <w:rFonts w:ascii="Times New Roman" w:hAnsi="Times New Roman"/>
          <w:sz w:val="24"/>
          <w:szCs w:val="24"/>
        </w:rPr>
        <w:t xml:space="preserve"> Seed Extract</w:t>
      </w:r>
    </w:p>
    <w:tbl>
      <w:tblPr>
        <w:tblW w:w="10743" w:type="dxa"/>
        <w:tblLook w:val="04A0" w:firstRow="1" w:lastRow="0" w:firstColumn="1" w:lastColumn="0" w:noHBand="0" w:noVBand="1"/>
      </w:tblPr>
      <w:tblGrid>
        <w:gridCol w:w="653"/>
        <w:gridCol w:w="3614"/>
        <w:gridCol w:w="2470"/>
        <w:gridCol w:w="4006"/>
      </w:tblGrid>
      <w:tr w:rsidR="005D65E5" w14:paraId="1EB50D7E" w14:textId="77777777">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21D50"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S/N</w:t>
            </w:r>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B6F91"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Instrument/Equipment</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B790"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 xml:space="preserve">Model/Type </w:t>
            </w:r>
          </w:p>
        </w:tc>
        <w:tc>
          <w:tcPr>
            <w:tcW w:w="4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5D764"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 xml:space="preserve">Manufacturer </w:t>
            </w:r>
          </w:p>
        </w:tc>
      </w:tr>
      <w:tr w:rsidR="005D65E5" w14:paraId="28B1C2D7" w14:textId="77777777">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35F69"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1</w:t>
            </w:r>
          </w:p>
          <w:p w14:paraId="2200014F"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2</w:t>
            </w:r>
          </w:p>
          <w:p w14:paraId="753EF615"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3</w:t>
            </w:r>
          </w:p>
          <w:p w14:paraId="0B73814A"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4</w:t>
            </w:r>
          </w:p>
          <w:p w14:paraId="69339885"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5</w:t>
            </w:r>
          </w:p>
          <w:p w14:paraId="7B6F1FB2"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6</w:t>
            </w:r>
          </w:p>
          <w:p w14:paraId="711FF9C1"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7</w:t>
            </w:r>
          </w:p>
          <w:p w14:paraId="72BD5852"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8</w:t>
            </w:r>
          </w:p>
          <w:p w14:paraId="64F241B1"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9</w:t>
            </w:r>
          </w:p>
          <w:p w14:paraId="3CCEFF8A"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10</w:t>
            </w:r>
          </w:p>
          <w:p w14:paraId="6C2E1B9C"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11</w:t>
            </w:r>
          </w:p>
          <w:p w14:paraId="3FE61EA4"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12</w:t>
            </w:r>
          </w:p>
          <w:p w14:paraId="7A3253DD"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13</w:t>
            </w:r>
          </w:p>
          <w:p w14:paraId="77C840C4" w14:textId="77777777" w:rsidR="005D65E5" w:rsidRDefault="005D65E5">
            <w:pPr>
              <w:spacing w:after="0" w:line="240" w:lineRule="auto"/>
              <w:jc w:val="both"/>
              <w:rPr>
                <w:rFonts w:ascii="Times New Roman" w:hAnsi="Times New Roman"/>
                <w:sz w:val="24"/>
                <w:szCs w:val="24"/>
              </w:rPr>
            </w:pPr>
          </w:p>
          <w:p w14:paraId="5869863A" w14:textId="77777777" w:rsidR="005D65E5" w:rsidRDefault="005D65E5">
            <w:pPr>
              <w:spacing w:after="0" w:line="240" w:lineRule="auto"/>
              <w:jc w:val="both"/>
              <w:rPr>
                <w:rFonts w:ascii="Times New Roman" w:hAnsi="Times New Roman"/>
                <w:sz w:val="24"/>
                <w:szCs w:val="24"/>
              </w:rPr>
            </w:pPr>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F55FB"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Rotary Evaporator</w:t>
            </w:r>
          </w:p>
          <w:p w14:paraId="75A26223"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Electric Grinder</w:t>
            </w:r>
          </w:p>
          <w:p w14:paraId="719BBE64"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Analytical Balance</w:t>
            </w:r>
          </w:p>
          <w:p w14:paraId="7EE3EEE5"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UV–Visible Spectrophotometer</w:t>
            </w:r>
          </w:p>
          <w:p w14:paraId="0950CF0A"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pH Meter</w:t>
            </w:r>
          </w:p>
          <w:p w14:paraId="7C23723E"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Water Bath          </w:t>
            </w:r>
          </w:p>
          <w:p w14:paraId="76E2BCE4"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Centrifuge </w:t>
            </w:r>
          </w:p>
          <w:p w14:paraId="73756725"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Refrigerator </w:t>
            </w:r>
          </w:p>
          <w:p w14:paraId="7A02DB11"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Oven </w:t>
            </w:r>
          </w:p>
          <w:p w14:paraId="5A9B1947"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Magnetic stirrer</w:t>
            </w:r>
          </w:p>
          <w:p w14:paraId="0B25AD9C"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Micropipette sets</w:t>
            </w:r>
          </w:p>
          <w:p w14:paraId="3F81F3F7"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Whatman Filter Paper</w:t>
            </w:r>
          </w:p>
          <w:p w14:paraId="777930B4" w14:textId="77777777" w:rsidR="005D65E5" w:rsidRDefault="00736E5B">
            <w:pPr>
              <w:spacing w:after="0" w:line="240" w:lineRule="auto"/>
              <w:rPr>
                <w:rFonts w:ascii="Times New Roman" w:hAnsi="Times New Roman"/>
                <w:sz w:val="24"/>
                <w:szCs w:val="24"/>
              </w:rPr>
            </w:pPr>
            <w:r>
              <w:rPr>
                <w:rFonts w:ascii="Times New Roman" w:hAnsi="Times New Roman"/>
                <w:sz w:val="24"/>
                <w:szCs w:val="24"/>
              </w:rPr>
              <w:t>Glassware (Beakers, Flasks, Cylinders etc.)</w:t>
            </w:r>
          </w:p>
          <w:p w14:paraId="7F4E71C2" w14:textId="77777777" w:rsidR="005D65E5" w:rsidRDefault="005D65E5">
            <w:pPr>
              <w:spacing w:after="0" w:line="240" w:lineRule="auto"/>
              <w:jc w:val="both"/>
              <w:rPr>
                <w:rFonts w:ascii="Times New Roman" w:hAnsi="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F0FCA"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R-210</w:t>
            </w:r>
          </w:p>
          <w:p w14:paraId="62BDC35F"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QBL-20B</w:t>
            </w:r>
            <w:r>
              <w:rPr>
                <w:rFonts w:ascii="Times New Roman" w:hAnsi="Times New Roman"/>
                <w:sz w:val="24"/>
                <w:szCs w:val="24"/>
              </w:rPr>
              <w:tab/>
            </w:r>
          </w:p>
          <w:p w14:paraId="24FD119E"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AY220</w:t>
            </w:r>
          </w:p>
          <w:p w14:paraId="1B99A8C7"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UV-1800</w:t>
            </w:r>
            <w:r>
              <w:rPr>
                <w:rFonts w:ascii="Times New Roman" w:hAnsi="Times New Roman"/>
                <w:sz w:val="24"/>
                <w:szCs w:val="24"/>
              </w:rPr>
              <w:tab/>
            </w:r>
          </w:p>
          <w:p w14:paraId="70EC8D9E"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HI2211</w:t>
            </w:r>
          </w:p>
          <w:p w14:paraId="3E01D07F"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HH-S6</w:t>
            </w:r>
          </w:p>
          <w:p w14:paraId="66A879C4"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80-2</w:t>
            </w:r>
          </w:p>
          <w:p w14:paraId="6854480A"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HRF-300</w:t>
            </w:r>
            <w:r>
              <w:rPr>
                <w:rFonts w:ascii="Times New Roman" w:hAnsi="Times New Roman"/>
                <w:sz w:val="24"/>
                <w:szCs w:val="24"/>
              </w:rPr>
              <w:tab/>
            </w:r>
          </w:p>
          <w:p w14:paraId="045CA0CC"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DHG-9140A</w:t>
            </w:r>
          </w:p>
          <w:p w14:paraId="70915A91"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MS300HS</w:t>
            </w:r>
          </w:p>
          <w:p w14:paraId="134C702E"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P1000, P200, P20</w:t>
            </w:r>
          </w:p>
          <w:p w14:paraId="76783FCB"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No. 1</w:t>
            </w:r>
          </w:p>
          <w:p w14:paraId="7E343997"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Borosilicate Type A</w:t>
            </w:r>
            <w:r>
              <w:rPr>
                <w:rFonts w:ascii="Times New Roman" w:hAnsi="Times New Roman"/>
                <w:sz w:val="24"/>
                <w:szCs w:val="24"/>
              </w:rPr>
              <w:tab/>
            </w:r>
          </w:p>
        </w:tc>
        <w:tc>
          <w:tcPr>
            <w:tcW w:w="4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256F5"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Switzerland</w:t>
            </w:r>
          </w:p>
          <w:p w14:paraId="6D1ECDA4"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QASA Electric Co. Ltd., China</w:t>
            </w:r>
          </w:p>
          <w:p w14:paraId="51C40836"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Japan</w:t>
            </w:r>
          </w:p>
          <w:p w14:paraId="687BCE5D"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Japan</w:t>
            </w:r>
            <w:r>
              <w:rPr>
                <w:rFonts w:ascii="Times New Roman" w:hAnsi="Times New Roman"/>
                <w:sz w:val="24"/>
                <w:szCs w:val="24"/>
              </w:rPr>
              <w:tab/>
            </w:r>
          </w:p>
          <w:p w14:paraId="70A8C250"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Woonsocket, RI, USA</w:t>
            </w:r>
          </w:p>
          <w:p w14:paraId="153372EC" w14:textId="77777777" w:rsidR="005D65E5" w:rsidRDefault="00736E5B">
            <w:pPr>
              <w:spacing w:after="0" w:line="240" w:lineRule="auto"/>
              <w:jc w:val="both"/>
              <w:rPr>
                <w:rFonts w:ascii="Times New Roman" w:hAnsi="Times New Roman"/>
                <w:sz w:val="24"/>
                <w:szCs w:val="24"/>
              </w:rPr>
            </w:pPr>
            <w:proofErr w:type="spellStart"/>
            <w:r>
              <w:rPr>
                <w:rFonts w:ascii="Times New Roman" w:hAnsi="Times New Roman"/>
                <w:sz w:val="24"/>
                <w:szCs w:val="24"/>
              </w:rPr>
              <w:t>SearchTech</w:t>
            </w:r>
            <w:proofErr w:type="spellEnd"/>
            <w:r>
              <w:rPr>
                <w:rFonts w:ascii="Times New Roman" w:hAnsi="Times New Roman"/>
                <w:sz w:val="24"/>
                <w:szCs w:val="24"/>
              </w:rPr>
              <w:t xml:space="preserve"> Instruments, China</w:t>
            </w:r>
          </w:p>
          <w:p w14:paraId="71CC84F3"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Jiangsu, China</w:t>
            </w:r>
            <w:r>
              <w:rPr>
                <w:rFonts w:ascii="Times New Roman" w:hAnsi="Times New Roman"/>
                <w:sz w:val="24"/>
                <w:szCs w:val="24"/>
              </w:rPr>
              <w:tab/>
            </w:r>
          </w:p>
          <w:p w14:paraId="4E15477A"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Hisense Co. Ltd., Qingdao, China</w:t>
            </w:r>
          </w:p>
          <w:p w14:paraId="2163EE10"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China </w:t>
            </w:r>
          </w:p>
          <w:p w14:paraId="11B08E05"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LabTech, Italy</w:t>
            </w:r>
          </w:p>
          <w:p w14:paraId="3D44FDC1"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Hamburg, Germany</w:t>
            </w:r>
          </w:p>
          <w:p w14:paraId="1AC7A7D6" w14:textId="77777777" w:rsidR="005D65E5" w:rsidRDefault="00736E5B">
            <w:pPr>
              <w:spacing w:after="0" w:line="240" w:lineRule="auto"/>
              <w:jc w:val="both"/>
              <w:rPr>
                <w:rFonts w:ascii="Times New Roman" w:hAnsi="Times New Roman"/>
                <w:sz w:val="24"/>
                <w:szCs w:val="24"/>
              </w:rPr>
            </w:pPr>
            <w:proofErr w:type="spellStart"/>
            <w:r>
              <w:rPr>
                <w:rFonts w:ascii="Times New Roman" w:hAnsi="Times New Roman"/>
                <w:sz w:val="24"/>
                <w:szCs w:val="24"/>
              </w:rPr>
              <w:t>Maidstone</w:t>
            </w:r>
            <w:proofErr w:type="spellEnd"/>
            <w:r>
              <w:rPr>
                <w:rFonts w:ascii="Times New Roman" w:hAnsi="Times New Roman"/>
                <w:sz w:val="24"/>
                <w:szCs w:val="24"/>
              </w:rPr>
              <w:t>, England</w:t>
            </w:r>
          </w:p>
          <w:p w14:paraId="787E8498"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Pyrex, England</w:t>
            </w:r>
            <w:r>
              <w:rPr>
                <w:rFonts w:ascii="Times New Roman" w:hAnsi="Times New Roman"/>
                <w:sz w:val="24"/>
                <w:szCs w:val="24"/>
              </w:rPr>
              <w:tab/>
            </w:r>
          </w:p>
        </w:tc>
      </w:tr>
    </w:tbl>
    <w:p w14:paraId="468C8341" w14:textId="77777777" w:rsidR="005D65E5" w:rsidRDefault="005D65E5">
      <w:pPr>
        <w:spacing w:after="0" w:line="240" w:lineRule="auto"/>
        <w:jc w:val="both"/>
        <w:rPr>
          <w:rFonts w:ascii="Times New Roman" w:hAnsi="Times New Roman"/>
          <w:b/>
          <w:bCs/>
          <w:sz w:val="24"/>
          <w:szCs w:val="24"/>
        </w:rPr>
      </w:pPr>
    </w:p>
    <w:p w14:paraId="17942397" w14:textId="77777777" w:rsidR="005D65E5" w:rsidRDefault="005D65E5">
      <w:pPr>
        <w:spacing w:after="0" w:line="360" w:lineRule="auto"/>
        <w:jc w:val="both"/>
        <w:rPr>
          <w:rFonts w:ascii="Times New Roman" w:hAnsi="Times New Roman"/>
          <w:b/>
          <w:bCs/>
          <w:sz w:val="24"/>
          <w:szCs w:val="24"/>
        </w:rPr>
      </w:pPr>
    </w:p>
    <w:p w14:paraId="29261C91"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 xml:space="preserve">2.2 Chemicals/Reagents </w:t>
      </w:r>
    </w:p>
    <w:p w14:paraId="3622AFCF"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Chemicals and Reagents Used in the Phytochemical and Antioxidant Analyses of </w:t>
      </w:r>
      <w:proofErr w:type="spellStart"/>
      <w:r>
        <w:rPr>
          <w:rFonts w:ascii="Times New Roman" w:hAnsi="Times New Roman"/>
          <w:i/>
          <w:sz w:val="24"/>
          <w:szCs w:val="24"/>
        </w:rPr>
        <w:t>Trigonella</w:t>
      </w:r>
      <w:proofErr w:type="spellEnd"/>
      <w:r>
        <w:rPr>
          <w:rFonts w:ascii="Times New Roman" w:hAnsi="Times New Roman"/>
          <w:i/>
          <w:sz w:val="24"/>
          <w:szCs w:val="24"/>
        </w:rPr>
        <w:t xml:space="preserve"> </w:t>
      </w:r>
      <w:proofErr w:type="spellStart"/>
      <w:r>
        <w:rPr>
          <w:rFonts w:ascii="Times New Roman" w:hAnsi="Times New Roman"/>
          <w:i/>
          <w:sz w:val="24"/>
          <w:szCs w:val="24"/>
        </w:rPr>
        <w:t>foenum</w:t>
      </w:r>
      <w:proofErr w:type="spellEnd"/>
      <w:r>
        <w:rPr>
          <w:rFonts w:ascii="Times New Roman" w:hAnsi="Times New Roman"/>
          <w:i/>
          <w:sz w:val="24"/>
          <w:szCs w:val="24"/>
        </w:rPr>
        <w:t>-graecum</w:t>
      </w:r>
      <w:r>
        <w:rPr>
          <w:rFonts w:ascii="Times New Roman" w:hAnsi="Times New Roman"/>
          <w:sz w:val="24"/>
          <w:szCs w:val="24"/>
        </w:rPr>
        <w:t xml:space="preserve"> Seed Extract include:</w:t>
      </w:r>
    </w:p>
    <w:p w14:paraId="6BBF5676"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Ethanol, hydrochloric acid (HCl), sulfuric acid </w:t>
      </w:r>
      <w:r>
        <w:rPr>
          <w:rFonts w:ascii="Times New Roman" w:hAnsi="Times New Roman"/>
          <w:sz w:val="24"/>
          <w:szCs w:val="24"/>
        </w:rPr>
        <w:t xml:space="preserve">(H₂SO₄), ammonium hydroxide (NH₄OH), sodium hydroxide (NaOH), hydrochloric acid (dilute), acetic anhydride, chloroform, </w:t>
      </w:r>
      <w:proofErr w:type="spellStart"/>
      <w:r>
        <w:rPr>
          <w:rFonts w:ascii="Times New Roman" w:hAnsi="Times New Roman"/>
          <w:sz w:val="24"/>
          <w:szCs w:val="24"/>
        </w:rPr>
        <w:t>folin</w:t>
      </w:r>
      <w:proofErr w:type="spellEnd"/>
      <w:r>
        <w:rPr>
          <w:rFonts w:ascii="Times New Roman" w:hAnsi="Times New Roman"/>
          <w:sz w:val="24"/>
          <w:szCs w:val="24"/>
        </w:rPr>
        <w:t>–</w:t>
      </w:r>
      <w:proofErr w:type="spellStart"/>
      <w:r>
        <w:rPr>
          <w:rFonts w:ascii="Times New Roman" w:hAnsi="Times New Roman"/>
          <w:sz w:val="24"/>
          <w:szCs w:val="24"/>
        </w:rPr>
        <w:t>Ciocalteu</w:t>
      </w:r>
      <w:proofErr w:type="spellEnd"/>
      <w:r>
        <w:rPr>
          <w:rFonts w:ascii="Times New Roman" w:hAnsi="Times New Roman"/>
          <w:sz w:val="24"/>
          <w:szCs w:val="24"/>
        </w:rPr>
        <w:t xml:space="preserve"> reagent, sodium carbonate (</w:t>
      </w:r>
      <w:proofErr w:type="spellStart"/>
      <w:r>
        <w:rPr>
          <w:rFonts w:ascii="Times New Roman" w:hAnsi="Times New Roman"/>
          <w:sz w:val="24"/>
          <w:szCs w:val="24"/>
        </w:rPr>
        <w:t>Na₂CO</w:t>
      </w:r>
      <w:proofErr w:type="spellEnd"/>
      <w:r>
        <w:rPr>
          <w:rFonts w:ascii="Times New Roman" w:hAnsi="Times New Roman"/>
          <w:sz w:val="24"/>
          <w:szCs w:val="24"/>
        </w:rPr>
        <w:t>₃), aluminum chloride (</w:t>
      </w:r>
      <w:proofErr w:type="spellStart"/>
      <w:r>
        <w:rPr>
          <w:rFonts w:ascii="Times New Roman" w:hAnsi="Times New Roman"/>
          <w:sz w:val="24"/>
          <w:szCs w:val="24"/>
        </w:rPr>
        <w:t>AlCl</w:t>
      </w:r>
      <w:proofErr w:type="spellEnd"/>
      <w:r>
        <w:rPr>
          <w:rFonts w:ascii="Times New Roman" w:hAnsi="Times New Roman"/>
          <w:sz w:val="24"/>
          <w:szCs w:val="24"/>
        </w:rPr>
        <w:t xml:space="preserve">₃), potassium acetate </w:t>
      </w:r>
      <w:r>
        <w:rPr>
          <w:rFonts w:ascii="Times New Roman" w:hAnsi="Times New Roman"/>
          <w:sz w:val="24"/>
          <w:szCs w:val="24"/>
        </w:rPr>
        <w:lastRenderedPageBreak/>
        <w:t>(CH₃COOK), vanillin, diosgenin standard</w:t>
      </w:r>
      <w:r>
        <w:rPr>
          <w:rFonts w:ascii="Times New Roman" w:hAnsi="Times New Roman"/>
          <w:sz w:val="24"/>
          <w:szCs w:val="24"/>
        </w:rPr>
        <w:t xml:space="preserve">, tannic acid standard, gallic acid standard, Quercetin standard, Cholesterol standard, </w:t>
      </w:r>
      <w:proofErr w:type="spellStart"/>
      <w:r>
        <w:rPr>
          <w:rFonts w:ascii="Times New Roman" w:hAnsi="Times New Roman"/>
          <w:sz w:val="24"/>
          <w:szCs w:val="24"/>
        </w:rPr>
        <w:t>Ursolic</w:t>
      </w:r>
      <w:proofErr w:type="spellEnd"/>
      <w:r>
        <w:rPr>
          <w:rFonts w:ascii="Times New Roman" w:hAnsi="Times New Roman"/>
          <w:sz w:val="24"/>
          <w:szCs w:val="24"/>
        </w:rPr>
        <w:t xml:space="preserve"> acid </w:t>
      </w:r>
      <w:proofErr w:type="spellStart"/>
      <w:r>
        <w:rPr>
          <w:rFonts w:ascii="Times New Roman" w:hAnsi="Times New Roman"/>
          <w:sz w:val="24"/>
          <w:szCs w:val="24"/>
        </w:rPr>
        <w:t>standard,digoxin</w:t>
      </w:r>
      <w:proofErr w:type="spellEnd"/>
      <w:r>
        <w:rPr>
          <w:rFonts w:ascii="Times New Roman" w:hAnsi="Times New Roman"/>
          <w:sz w:val="24"/>
          <w:szCs w:val="24"/>
        </w:rPr>
        <w:t xml:space="preserve"> standard, Ascorbic acid (vitamin C), sodium nitroprusside, sulfanilamide, N-(1-naphthyl)ethylenediamine dihydrochloride (NED), DPPH (2,2-D</w:t>
      </w:r>
      <w:r>
        <w:rPr>
          <w:rFonts w:ascii="Times New Roman" w:hAnsi="Times New Roman"/>
          <w:sz w:val="24"/>
          <w:szCs w:val="24"/>
        </w:rPr>
        <w:t>iphenyl-1-picrylhydrazyl), ferric chloride (</w:t>
      </w:r>
      <w:proofErr w:type="spellStart"/>
      <w:r>
        <w:rPr>
          <w:rFonts w:ascii="Times New Roman" w:hAnsi="Times New Roman"/>
          <w:sz w:val="24"/>
          <w:szCs w:val="24"/>
        </w:rPr>
        <w:t>FeCl</w:t>
      </w:r>
      <w:proofErr w:type="spellEnd"/>
      <w:r>
        <w:rPr>
          <w:rFonts w:ascii="Times New Roman" w:hAnsi="Times New Roman"/>
          <w:sz w:val="24"/>
          <w:szCs w:val="24"/>
        </w:rPr>
        <w:t>₃), 2,4,6-tripyridyl-s-triazine (TPTZ), Sodium acetate trihydrate, and Distilled water.</w:t>
      </w:r>
    </w:p>
    <w:p w14:paraId="2664EAE6" w14:textId="77777777" w:rsidR="005D65E5" w:rsidRDefault="005D65E5">
      <w:pPr>
        <w:spacing w:after="0" w:line="360" w:lineRule="auto"/>
        <w:jc w:val="both"/>
        <w:rPr>
          <w:rFonts w:ascii="Times New Roman" w:hAnsi="Times New Roman"/>
          <w:b/>
          <w:bCs/>
          <w:sz w:val="24"/>
          <w:szCs w:val="24"/>
        </w:rPr>
      </w:pPr>
    </w:p>
    <w:p w14:paraId="0894411D"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2.3 Plant Material Collection and Preparation</w:t>
      </w:r>
    </w:p>
    <w:p w14:paraId="3A92BAEB"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Mature seeds of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(fenugreek) was purchased from </w:t>
      </w:r>
      <w:r>
        <w:rPr>
          <w:rFonts w:ascii="Times New Roman" w:hAnsi="Times New Roman"/>
          <w:sz w:val="24"/>
          <w:szCs w:val="24"/>
        </w:rPr>
        <w:t xml:space="preserve">a local market in Umuahia, </w:t>
      </w:r>
      <w:proofErr w:type="spellStart"/>
      <w:r>
        <w:rPr>
          <w:rFonts w:ascii="Times New Roman" w:hAnsi="Times New Roman"/>
          <w:sz w:val="24"/>
          <w:szCs w:val="24"/>
        </w:rPr>
        <w:t>Abia</w:t>
      </w:r>
      <w:proofErr w:type="spellEnd"/>
      <w:r>
        <w:rPr>
          <w:rFonts w:ascii="Times New Roman" w:hAnsi="Times New Roman"/>
          <w:sz w:val="24"/>
          <w:szCs w:val="24"/>
        </w:rPr>
        <w:t xml:space="preserve"> State and authenticated by a taxonomist in the Department of Plant Science, Michael Okpara University of Agriculture </w:t>
      </w:r>
      <w:proofErr w:type="spellStart"/>
      <w:r>
        <w:rPr>
          <w:rFonts w:ascii="Times New Roman" w:hAnsi="Times New Roman"/>
          <w:sz w:val="24"/>
          <w:szCs w:val="24"/>
        </w:rPr>
        <w:t>Umudike</w:t>
      </w:r>
      <w:proofErr w:type="spellEnd"/>
      <w:r>
        <w:rPr>
          <w:rFonts w:ascii="Times New Roman" w:hAnsi="Times New Roman"/>
          <w:sz w:val="24"/>
          <w:szCs w:val="24"/>
        </w:rPr>
        <w:t xml:space="preserve">, </w:t>
      </w:r>
      <w:proofErr w:type="spellStart"/>
      <w:r>
        <w:rPr>
          <w:rFonts w:ascii="Times New Roman" w:hAnsi="Times New Roman"/>
          <w:sz w:val="24"/>
          <w:szCs w:val="24"/>
        </w:rPr>
        <w:t>Abia</w:t>
      </w:r>
      <w:proofErr w:type="spellEnd"/>
      <w:r>
        <w:rPr>
          <w:rFonts w:ascii="Times New Roman" w:hAnsi="Times New Roman"/>
          <w:sz w:val="24"/>
          <w:szCs w:val="24"/>
        </w:rPr>
        <w:t xml:space="preserve"> State, where a voucher specimen was deposited. The seeds were washed, air-dried at room tempe</w:t>
      </w:r>
      <w:r>
        <w:rPr>
          <w:rFonts w:ascii="Times New Roman" w:hAnsi="Times New Roman"/>
          <w:sz w:val="24"/>
          <w:szCs w:val="24"/>
        </w:rPr>
        <w:t>rature (25 ± 2 °C) to remove impurities and moisture, then ground into fine powder using an electric grinder. To obtain a uniform particle size, the powdered seeds were sieved through mesh, then stored in an airtight containers at 4 °</w:t>
      </w:r>
      <w:proofErr w:type="gramStart"/>
      <w:r>
        <w:rPr>
          <w:rFonts w:ascii="Times New Roman" w:hAnsi="Times New Roman"/>
          <w:sz w:val="24"/>
          <w:szCs w:val="24"/>
        </w:rPr>
        <w:t>C  until</w:t>
      </w:r>
      <w:proofErr w:type="gramEnd"/>
      <w:r>
        <w:rPr>
          <w:rFonts w:ascii="Times New Roman" w:hAnsi="Times New Roman"/>
          <w:sz w:val="24"/>
          <w:szCs w:val="24"/>
        </w:rPr>
        <w:t xml:space="preserve"> extraction.</w:t>
      </w:r>
    </w:p>
    <w:p w14:paraId="2A19AADB" w14:textId="77777777" w:rsidR="005D65E5" w:rsidRDefault="005D65E5">
      <w:pPr>
        <w:spacing w:after="0" w:line="360" w:lineRule="auto"/>
        <w:jc w:val="both"/>
        <w:rPr>
          <w:rFonts w:ascii="Times New Roman" w:hAnsi="Times New Roman"/>
          <w:sz w:val="24"/>
          <w:szCs w:val="24"/>
        </w:rPr>
      </w:pPr>
    </w:p>
    <w:p w14:paraId="35BC5319" w14:textId="05BE3565" w:rsidR="005D65E5" w:rsidRDefault="00984E7B">
      <w:pPr>
        <w:spacing w:after="0" w:line="360" w:lineRule="auto"/>
        <w:jc w:val="both"/>
        <w:rPr>
          <w:rFonts w:ascii="Times New Roman" w:hAnsi="Times New Roman"/>
          <w:b/>
          <w:bCs/>
          <w:sz w:val="24"/>
          <w:szCs w:val="24"/>
        </w:rPr>
      </w:pPr>
      <w:r>
        <w:rPr>
          <w:noProof/>
        </w:rPr>
        <w:pict w14:anchorId="23072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234.35pt;height:106.65pt;visibility:visible;mso-wrap-style:square">
            <v:imagedata r:id="rId6" o:title=""/>
            <o:lock v:ext="edit" aspectratio="f"/>
          </v:shape>
        </w:pict>
      </w:r>
    </w:p>
    <w:p w14:paraId="14CCC11F" w14:textId="720B02B4" w:rsidR="005D65E5" w:rsidRDefault="00736E5B">
      <w:pPr>
        <w:spacing w:after="0" w:line="360" w:lineRule="auto"/>
        <w:jc w:val="both"/>
        <w:rPr>
          <w:rFonts w:ascii="Times New Roman" w:hAnsi="Times New Roman"/>
          <w:b/>
          <w:bCs/>
          <w:sz w:val="24"/>
          <w:szCs w:val="24"/>
        </w:rPr>
      </w:pPr>
      <w:r>
        <w:rPr>
          <w:rFonts w:ascii="Times New Roman" w:hAnsi="Times New Roman"/>
          <w:b/>
          <w:bCs/>
          <w:sz w:val="24"/>
          <w:szCs w:val="24"/>
        </w:rPr>
        <w:t>Fig. 1.</w:t>
      </w:r>
      <w:r w:rsidR="00B95D31">
        <w:rPr>
          <w:rFonts w:ascii="Times New Roman" w:hAnsi="Times New Roman"/>
          <w:b/>
          <w:bCs/>
          <w:sz w:val="24"/>
          <w:szCs w:val="24"/>
        </w:rPr>
        <w:t xml:space="preserve"> </w:t>
      </w:r>
      <w:proofErr w:type="spellStart"/>
      <w:r>
        <w:rPr>
          <w:rFonts w:ascii="Times New Roman" w:hAnsi="Times New Roman"/>
          <w:b/>
          <w:bCs/>
          <w:i/>
          <w:iCs/>
          <w:sz w:val="24"/>
          <w:szCs w:val="24"/>
        </w:rPr>
        <w:t>Trigonella</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foenum</w:t>
      </w:r>
      <w:proofErr w:type="spellEnd"/>
      <w:r>
        <w:rPr>
          <w:rFonts w:ascii="Times New Roman" w:hAnsi="Times New Roman"/>
          <w:b/>
          <w:bCs/>
          <w:i/>
          <w:iCs/>
          <w:sz w:val="24"/>
          <w:szCs w:val="24"/>
        </w:rPr>
        <w:t>-graecum</w:t>
      </w:r>
      <w:r>
        <w:rPr>
          <w:rFonts w:ascii="Times New Roman" w:hAnsi="Times New Roman"/>
          <w:b/>
          <w:bCs/>
          <w:sz w:val="24"/>
          <w:szCs w:val="24"/>
        </w:rPr>
        <w:t xml:space="preserve"> (fenugreek) seed</w:t>
      </w:r>
    </w:p>
    <w:p w14:paraId="0E199057" w14:textId="77777777" w:rsidR="005D65E5" w:rsidRDefault="005D65E5">
      <w:pPr>
        <w:spacing w:after="0" w:line="360" w:lineRule="auto"/>
        <w:jc w:val="both"/>
        <w:rPr>
          <w:rFonts w:ascii="Times New Roman" w:hAnsi="Times New Roman"/>
          <w:b/>
          <w:bCs/>
          <w:sz w:val="24"/>
          <w:szCs w:val="24"/>
        </w:rPr>
      </w:pPr>
    </w:p>
    <w:p w14:paraId="05C3176D"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2.4 Preparation of Ethanolic Extract</w:t>
      </w:r>
    </w:p>
    <w:p w14:paraId="28665E75"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100 grams (100 g) of the powdered seed material were soaked in 500 mL of 70% ethanol for 72 hours with occasional shaking. The extract was filtered using Whatman No.</w:t>
      </w:r>
      <w:r>
        <w:rPr>
          <w:rFonts w:ascii="Times New Roman" w:hAnsi="Times New Roman"/>
          <w:sz w:val="24"/>
          <w:szCs w:val="24"/>
        </w:rPr>
        <w:t xml:space="preserve"> 1 filter paper and concentrated using a rotary evaporator (</w:t>
      </w:r>
      <w:proofErr w:type="spellStart"/>
      <w:r>
        <w:rPr>
          <w:rFonts w:ascii="Times New Roman" w:hAnsi="Times New Roman"/>
          <w:sz w:val="24"/>
          <w:szCs w:val="24"/>
        </w:rPr>
        <w:t>Buchi</w:t>
      </w:r>
      <w:proofErr w:type="spellEnd"/>
      <w:r>
        <w:rPr>
          <w:rFonts w:ascii="Times New Roman" w:hAnsi="Times New Roman"/>
          <w:sz w:val="24"/>
          <w:szCs w:val="24"/>
        </w:rPr>
        <w:t xml:space="preserve"> R-210, Switzerland) under reduced pressure at 40 °C. The concentrated extract was air-dried to remove residual solvent, weighed to determine extractive yield, and stored at 4 °C in an amber </w:t>
      </w:r>
      <w:r>
        <w:rPr>
          <w:rFonts w:ascii="Times New Roman" w:hAnsi="Times New Roman"/>
          <w:sz w:val="24"/>
          <w:szCs w:val="24"/>
        </w:rPr>
        <w:t>glass container until further analysis.</w:t>
      </w:r>
    </w:p>
    <w:p w14:paraId="7A426845" w14:textId="77777777" w:rsidR="005D65E5" w:rsidRDefault="005D65E5">
      <w:pPr>
        <w:spacing w:after="0" w:line="360" w:lineRule="auto"/>
        <w:jc w:val="both"/>
        <w:rPr>
          <w:rFonts w:ascii="Times New Roman" w:hAnsi="Times New Roman"/>
          <w:b/>
          <w:bCs/>
          <w:sz w:val="24"/>
          <w:szCs w:val="24"/>
        </w:rPr>
      </w:pPr>
    </w:p>
    <w:p w14:paraId="60A720FE" w14:textId="77777777" w:rsidR="005D65E5" w:rsidRDefault="00736E5B">
      <w:pPr>
        <w:spacing w:after="0" w:line="360" w:lineRule="auto"/>
        <w:jc w:val="both"/>
        <w:rPr>
          <w:rFonts w:ascii="Times New Roman" w:hAnsi="Times New Roman"/>
          <w:b/>
          <w:bCs/>
          <w:sz w:val="24"/>
          <w:szCs w:val="24"/>
        </w:rPr>
      </w:pPr>
      <w:r>
        <w:rPr>
          <w:rFonts w:ascii="Times New Roman" w:hAnsi="Times New Roman"/>
          <w:b/>
          <w:bCs/>
          <w:sz w:val="24"/>
          <w:szCs w:val="24"/>
        </w:rPr>
        <w:t>2.5 Qualitative Phytochemical Screening</w:t>
      </w:r>
    </w:p>
    <w:p w14:paraId="06A988EB"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Qualitative phytochemical screening for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w:t>
      </w:r>
      <w:r>
        <w:rPr>
          <w:rFonts w:ascii="Times New Roman" w:hAnsi="Times New Roman"/>
          <w:sz w:val="24"/>
          <w:szCs w:val="24"/>
        </w:rPr>
        <w:t xml:space="preserve"> seed extract was performed using the standard methods described by Harborne (1998) and </w:t>
      </w:r>
      <w:proofErr w:type="spellStart"/>
      <w:r>
        <w:rPr>
          <w:rFonts w:ascii="Times New Roman" w:hAnsi="Times New Roman"/>
          <w:sz w:val="24"/>
          <w:szCs w:val="24"/>
        </w:rPr>
        <w:t>Trease</w:t>
      </w:r>
      <w:proofErr w:type="spellEnd"/>
      <w:r>
        <w:rPr>
          <w:rFonts w:ascii="Times New Roman" w:hAnsi="Times New Roman"/>
          <w:sz w:val="24"/>
          <w:szCs w:val="24"/>
        </w:rPr>
        <w:t xml:space="preserve"> and Evans (2002</w:t>
      </w:r>
      <w:r>
        <w:rPr>
          <w:rFonts w:ascii="Times New Roman" w:hAnsi="Times New Roman"/>
          <w:sz w:val="24"/>
          <w:szCs w:val="24"/>
        </w:rPr>
        <w:t>) to detect the presence of major secondary metabolites such as alkaloids, phenols, flavonoids, tannins, saponins, steroids, terpenoids, and cardiac glycosides.</w:t>
      </w:r>
    </w:p>
    <w:p w14:paraId="30F64E47" w14:textId="77777777" w:rsidR="005D65E5" w:rsidRDefault="005D65E5">
      <w:pPr>
        <w:spacing w:after="0" w:line="360" w:lineRule="auto"/>
        <w:jc w:val="both"/>
        <w:rPr>
          <w:rFonts w:ascii="Times New Roman" w:hAnsi="Times New Roman"/>
          <w:b/>
          <w:bCs/>
          <w:sz w:val="24"/>
          <w:szCs w:val="24"/>
        </w:rPr>
      </w:pPr>
    </w:p>
    <w:p w14:paraId="7425C864"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2.5.1 Test for Alkaloids</w:t>
      </w:r>
    </w:p>
    <w:p w14:paraId="688592EC"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About 2 mL of the extract was treated with 1% hydrochloric acid, filt</w:t>
      </w:r>
      <w:r>
        <w:rPr>
          <w:rFonts w:ascii="Times New Roman" w:hAnsi="Times New Roman"/>
          <w:sz w:val="24"/>
          <w:szCs w:val="24"/>
        </w:rPr>
        <w:t>ered, and divided into two portions. Mayer’s reagent (potassium mercuric iodide) was added to one portion, and Wagner’s reagent (iodine in potassium iodide) to the other. The formation of a cream or reddish-brown precipitate indicated the presence of alkal</w:t>
      </w:r>
      <w:r>
        <w:rPr>
          <w:rFonts w:ascii="Times New Roman" w:hAnsi="Times New Roman"/>
          <w:sz w:val="24"/>
          <w:szCs w:val="24"/>
        </w:rPr>
        <w:t>oids.</w:t>
      </w:r>
    </w:p>
    <w:p w14:paraId="67624578" w14:textId="77777777" w:rsidR="005D65E5" w:rsidRDefault="005D65E5">
      <w:pPr>
        <w:spacing w:after="0" w:line="360" w:lineRule="auto"/>
        <w:jc w:val="both"/>
        <w:rPr>
          <w:rFonts w:ascii="Times New Roman" w:hAnsi="Times New Roman"/>
          <w:b/>
          <w:bCs/>
          <w:sz w:val="24"/>
          <w:szCs w:val="24"/>
        </w:rPr>
      </w:pPr>
    </w:p>
    <w:p w14:paraId="400FEF59"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2.5.2 Test for Phenols and Tannins</w:t>
      </w:r>
    </w:p>
    <w:p w14:paraId="3E5E129B"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Small drops of the extract </w:t>
      </w:r>
      <w:proofErr w:type="gramStart"/>
      <w:r>
        <w:rPr>
          <w:rFonts w:ascii="Times New Roman" w:hAnsi="Times New Roman"/>
          <w:sz w:val="24"/>
          <w:szCs w:val="24"/>
        </w:rPr>
        <w:t>was</w:t>
      </w:r>
      <w:proofErr w:type="gramEnd"/>
      <w:r>
        <w:rPr>
          <w:rFonts w:ascii="Times New Roman" w:hAnsi="Times New Roman"/>
          <w:sz w:val="24"/>
          <w:szCs w:val="24"/>
        </w:rPr>
        <w:t xml:space="preserve"> mixed with 1% ferric chloride (</w:t>
      </w:r>
      <w:proofErr w:type="spellStart"/>
      <w:r>
        <w:rPr>
          <w:rFonts w:ascii="Times New Roman" w:hAnsi="Times New Roman"/>
          <w:sz w:val="24"/>
          <w:szCs w:val="24"/>
        </w:rPr>
        <w:t>FeCl</w:t>
      </w:r>
      <w:proofErr w:type="spellEnd"/>
      <w:r>
        <w:rPr>
          <w:rFonts w:ascii="Times New Roman" w:hAnsi="Times New Roman"/>
          <w:sz w:val="24"/>
          <w:szCs w:val="24"/>
        </w:rPr>
        <w:t>₃) solution. The appearance of a blue-green or dark coloration confirmed the presence of phenolic compounds and tannins.</w:t>
      </w:r>
    </w:p>
    <w:p w14:paraId="39FCA604" w14:textId="77777777" w:rsidR="005D65E5" w:rsidRDefault="005D65E5">
      <w:pPr>
        <w:spacing w:after="0" w:line="360" w:lineRule="auto"/>
        <w:jc w:val="both"/>
        <w:rPr>
          <w:rFonts w:ascii="Times New Roman" w:hAnsi="Times New Roman"/>
          <w:b/>
          <w:bCs/>
          <w:sz w:val="24"/>
          <w:szCs w:val="24"/>
        </w:rPr>
      </w:pPr>
    </w:p>
    <w:p w14:paraId="2C79BBE6"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2.5.3 Test for Flavonoids</w:t>
      </w:r>
    </w:p>
    <w:p w14:paraId="552A353A"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A small portion of 10% sodium hydroxide was added to the extract, followed by the addition of dilute hydrochloric acid. The disappearance of the intense yellow coloration upon acidification indicated the presence of flavonoids.</w:t>
      </w:r>
    </w:p>
    <w:p w14:paraId="4F48E7A2" w14:textId="77777777" w:rsidR="005D65E5" w:rsidRDefault="005D65E5">
      <w:pPr>
        <w:spacing w:after="0" w:line="360" w:lineRule="auto"/>
        <w:jc w:val="both"/>
        <w:rPr>
          <w:rFonts w:ascii="Times New Roman" w:hAnsi="Times New Roman"/>
          <w:b/>
          <w:bCs/>
          <w:sz w:val="24"/>
          <w:szCs w:val="24"/>
        </w:rPr>
      </w:pPr>
    </w:p>
    <w:p w14:paraId="3AEB0B77"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2.5.4 Test for Saponins</w:t>
      </w:r>
    </w:p>
    <w:p w14:paraId="6623B75C"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2 m</w:t>
      </w:r>
      <w:r>
        <w:rPr>
          <w:rFonts w:ascii="Times New Roman" w:hAnsi="Times New Roman"/>
          <w:sz w:val="24"/>
          <w:szCs w:val="24"/>
        </w:rPr>
        <w:t xml:space="preserve">L of extract was diluted in 10 mL of distilled water and </w:t>
      </w:r>
      <w:proofErr w:type="spellStart"/>
      <w:r>
        <w:rPr>
          <w:rFonts w:ascii="Times New Roman" w:hAnsi="Times New Roman"/>
          <w:sz w:val="24"/>
          <w:szCs w:val="24"/>
        </w:rPr>
        <w:t>shaked</w:t>
      </w:r>
      <w:proofErr w:type="spellEnd"/>
      <w:r>
        <w:rPr>
          <w:rFonts w:ascii="Times New Roman" w:hAnsi="Times New Roman"/>
          <w:sz w:val="24"/>
          <w:szCs w:val="24"/>
        </w:rPr>
        <w:t xml:space="preserve"> vigorously for 15 minutes in a graduated cylinder. Persistent foam lasting more than 10 minutes indicated the presence of saponins.</w:t>
      </w:r>
    </w:p>
    <w:p w14:paraId="033E2A2E" w14:textId="77777777" w:rsidR="005D65E5" w:rsidRDefault="005D65E5">
      <w:pPr>
        <w:spacing w:after="0" w:line="360" w:lineRule="auto"/>
        <w:jc w:val="both"/>
        <w:rPr>
          <w:rFonts w:ascii="Times New Roman" w:hAnsi="Times New Roman"/>
          <w:b/>
          <w:bCs/>
          <w:sz w:val="24"/>
          <w:szCs w:val="24"/>
        </w:rPr>
      </w:pPr>
    </w:p>
    <w:p w14:paraId="02E4CD74"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2.5.5 Test for Steroids and Terpenoids</w:t>
      </w:r>
    </w:p>
    <w:p w14:paraId="1EAA8B19"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Liebermann–Burchard reaction was used. 1 mL of chloroform and a small portion of acetic anhydride were added to 1 mL of the extract, then concentrated sulfuric acid was carefully added. The appearance of a greenish-blue color indicated steroids, while redd</w:t>
      </w:r>
      <w:r>
        <w:rPr>
          <w:rFonts w:ascii="Times New Roman" w:hAnsi="Times New Roman"/>
          <w:sz w:val="24"/>
          <w:szCs w:val="24"/>
        </w:rPr>
        <w:t>ish-brown coloration denoted terpenoids.</w:t>
      </w:r>
    </w:p>
    <w:p w14:paraId="0FA71226" w14:textId="77777777" w:rsidR="005D65E5" w:rsidRDefault="005D65E5">
      <w:pPr>
        <w:spacing w:after="0" w:line="360" w:lineRule="auto"/>
        <w:jc w:val="both"/>
        <w:rPr>
          <w:rFonts w:ascii="Times New Roman" w:hAnsi="Times New Roman"/>
          <w:b/>
          <w:bCs/>
          <w:sz w:val="24"/>
          <w:szCs w:val="24"/>
        </w:rPr>
      </w:pPr>
    </w:p>
    <w:p w14:paraId="1770065C"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lastRenderedPageBreak/>
        <w:t>2.5.6 Test for Cardiac Glycosides</w:t>
      </w:r>
    </w:p>
    <w:p w14:paraId="3FB0C6FF"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The Keller–</w:t>
      </w:r>
      <w:proofErr w:type="spellStart"/>
      <w:r>
        <w:rPr>
          <w:rFonts w:ascii="Times New Roman" w:hAnsi="Times New Roman"/>
          <w:sz w:val="24"/>
          <w:szCs w:val="24"/>
        </w:rPr>
        <w:t>Killiani</w:t>
      </w:r>
      <w:proofErr w:type="spellEnd"/>
      <w:r>
        <w:rPr>
          <w:rFonts w:ascii="Times New Roman" w:hAnsi="Times New Roman"/>
          <w:sz w:val="24"/>
          <w:szCs w:val="24"/>
        </w:rPr>
        <w:t xml:space="preserve"> test was performed by mixing 1 mL of extract in 1 mL of glacial acetic acid containing a drop of </w:t>
      </w:r>
      <w:proofErr w:type="spellStart"/>
      <w:r>
        <w:rPr>
          <w:rFonts w:ascii="Times New Roman" w:hAnsi="Times New Roman"/>
          <w:sz w:val="24"/>
          <w:szCs w:val="24"/>
        </w:rPr>
        <w:t>FeCl</w:t>
      </w:r>
      <w:proofErr w:type="spellEnd"/>
      <w:r>
        <w:rPr>
          <w:rFonts w:ascii="Times New Roman" w:hAnsi="Times New Roman"/>
          <w:sz w:val="24"/>
          <w:szCs w:val="24"/>
        </w:rPr>
        <w:t>₃, then the addition of 1 mL concentrated H₂SO₄ along the w</w:t>
      </w:r>
      <w:r>
        <w:rPr>
          <w:rFonts w:ascii="Times New Roman" w:hAnsi="Times New Roman"/>
          <w:sz w:val="24"/>
          <w:szCs w:val="24"/>
        </w:rPr>
        <w:t>all of the test tube. The appearance of a brown ring at the interface indicated the presence of cardiac glycosides.</w:t>
      </w:r>
    </w:p>
    <w:p w14:paraId="7BCEFABA" w14:textId="77777777" w:rsidR="005D65E5" w:rsidRDefault="005D65E5">
      <w:pPr>
        <w:spacing w:after="0" w:line="360" w:lineRule="auto"/>
        <w:jc w:val="both"/>
        <w:rPr>
          <w:rFonts w:ascii="Times New Roman" w:hAnsi="Times New Roman"/>
          <w:b/>
          <w:bCs/>
          <w:sz w:val="24"/>
          <w:szCs w:val="24"/>
        </w:rPr>
      </w:pPr>
    </w:p>
    <w:p w14:paraId="4E75A675"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 Quantitative Phytochemical Analysis</w:t>
      </w:r>
    </w:p>
    <w:p w14:paraId="127FBE22"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Quantitative determinations of the detected secondary metabolites were performed using spectrophoto</w:t>
      </w:r>
      <w:r>
        <w:rPr>
          <w:rFonts w:ascii="Times New Roman" w:hAnsi="Times New Roman"/>
          <w:sz w:val="24"/>
          <w:szCs w:val="24"/>
        </w:rPr>
        <w:t>metric and gravimetric procedures. All analyses were carried out in triplicate, and results were expressed as milligrams per 100 grams (mg/100 g) of the seed extract (mean ± SD).</w:t>
      </w:r>
    </w:p>
    <w:p w14:paraId="49ADD9D8" w14:textId="77777777" w:rsidR="005D65E5" w:rsidRDefault="005D65E5">
      <w:pPr>
        <w:spacing w:after="0" w:line="360" w:lineRule="auto"/>
        <w:jc w:val="both"/>
        <w:rPr>
          <w:rFonts w:ascii="Times New Roman" w:hAnsi="Times New Roman"/>
          <w:b/>
          <w:bCs/>
          <w:sz w:val="24"/>
          <w:szCs w:val="24"/>
        </w:rPr>
      </w:pPr>
    </w:p>
    <w:p w14:paraId="2D8B15DA"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2.6.1 Determination of Alkaloid Content</w:t>
      </w:r>
    </w:p>
    <w:p w14:paraId="4BD212A1"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To determine alkaloid content, the g</w:t>
      </w:r>
      <w:r>
        <w:rPr>
          <w:rFonts w:ascii="Times New Roman" w:hAnsi="Times New Roman"/>
          <w:sz w:val="24"/>
          <w:szCs w:val="24"/>
        </w:rPr>
        <w:t xml:space="preserve">ravimetric method described by Harborne (1998) was used. 5 g of powdered seeds were extracted with 10% acetic acid in ethanol for 4 hours. The extract was concentrated to one-quarter of its volume and precipitated with concentrated ammonium hydroxide. The </w:t>
      </w:r>
      <w:r>
        <w:rPr>
          <w:rFonts w:ascii="Times New Roman" w:hAnsi="Times New Roman"/>
          <w:sz w:val="24"/>
          <w:szCs w:val="24"/>
        </w:rPr>
        <w:t>resulting precipitate was filtered, washed with dilute ammonia, dried at 80 °C, and then weighed. Alkaloid content was expressed as mg/100 g of the sample.</w:t>
      </w:r>
    </w:p>
    <w:p w14:paraId="55217A70" w14:textId="77777777" w:rsidR="005D65E5" w:rsidRDefault="005D65E5">
      <w:pPr>
        <w:spacing w:after="0" w:line="360" w:lineRule="auto"/>
        <w:jc w:val="both"/>
        <w:rPr>
          <w:rFonts w:ascii="Times New Roman" w:hAnsi="Times New Roman"/>
          <w:b/>
          <w:bCs/>
          <w:sz w:val="8"/>
          <w:szCs w:val="24"/>
        </w:rPr>
      </w:pPr>
    </w:p>
    <w:p w14:paraId="0062ED43" w14:textId="77777777" w:rsidR="005D65E5" w:rsidRDefault="005D65E5">
      <w:pPr>
        <w:spacing w:after="0" w:line="360" w:lineRule="auto"/>
        <w:jc w:val="both"/>
        <w:rPr>
          <w:rFonts w:ascii="Times New Roman" w:hAnsi="Times New Roman"/>
          <w:b/>
          <w:bCs/>
          <w:sz w:val="24"/>
          <w:szCs w:val="24"/>
        </w:rPr>
      </w:pPr>
    </w:p>
    <w:p w14:paraId="6E34DD42"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2.6.2 Determination of Total Phenolic Content</w:t>
      </w:r>
    </w:p>
    <w:p w14:paraId="7D191679"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Total phenolic content was estimated using the </w:t>
      </w:r>
      <w:proofErr w:type="spellStart"/>
      <w:r>
        <w:rPr>
          <w:rFonts w:ascii="Times New Roman" w:hAnsi="Times New Roman"/>
          <w:sz w:val="24"/>
          <w:szCs w:val="24"/>
        </w:rPr>
        <w:t>Folin</w:t>
      </w:r>
      <w:proofErr w:type="spellEnd"/>
      <w:r>
        <w:rPr>
          <w:rFonts w:ascii="Times New Roman" w:hAnsi="Times New Roman"/>
          <w:sz w:val="24"/>
          <w:szCs w:val="24"/>
        </w:rPr>
        <w:t>–</w:t>
      </w:r>
      <w:proofErr w:type="spellStart"/>
      <w:r>
        <w:rPr>
          <w:rFonts w:ascii="Times New Roman" w:hAnsi="Times New Roman"/>
          <w:sz w:val="24"/>
          <w:szCs w:val="24"/>
        </w:rPr>
        <w:t>Ciocalteu</w:t>
      </w:r>
      <w:proofErr w:type="spellEnd"/>
      <w:r>
        <w:rPr>
          <w:rFonts w:ascii="Times New Roman" w:hAnsi="Times New Roman"/>
          <w:sz w:val="24"/>
          <w:szCs w:val="24"/>
        </w:rPr>
        <w:t xml:space="preserve"> method (Singleton &amp; Rossi, 1965). 1 mL of the </w:t>
      </w:r>
      <w:proofErr w:type="gramStart"/>
      <w:r>
        <w:rPr>
          <w:rFonts w:ascii="Times New Roman" w:hAnsi="Times New Roman"/>
          <w:sz w:val="24"/>
          <w:szCs w:val="24"/>
        </w:rPr>
        <w:t>extract  was</w:t>
      </w:r>
      <w:proofErr w:type="gramEnd"/>
      <w:r>
        <w:rPr>
          <w:rFonts w:ascii="Times New Roman" w:hAnsi="Times New Roman"/>
          <w:sz w:val="24"/>
          <w:szCs w:val="24"/>
        </w:rPr>
        <w:t xml:space="preserve"> added in 2.5 mL of 10% </w:t>
      </w:r>
      <w:proofErr w:type="spellStart"/>
      <w:r>
        <w:rPr>
          <w:rFonts w:ascii="Times New Roman" w:hAnsi="Times New Roman"/>
          <w:sz w:val="24"/>
          <w:szCs w:val="24"/>
        </w:rPr>
        <w:t>Folin</w:t>
      </w:r>
      <w:proofErr w:type="spellEnd"/>
      <w:r>
        <w:rPr>
          <w:rFonts w:ascii="Times New Roman" w:hAnsi="Times New Roman"/>
          <w:sz w:val="24"/>
          <w:szCs w:val="24"/>
        </w:rPr>
        <w:t>–</w:t>
      </w:r>
      <w:proofErr w:type="spellStart"/>
      <w:r>
        <w:rPr>
          <w:rFonts w:ascii="Times New Roman" w:hAnsi="Times New Roman"/>
          <w:sz w:val="24"/>
          <w:szCs w:val="24"/>
        </w:rPr>
        <w:t>Ciocalteu</w:t>
      </w:r>
      <w:proofErr w:type="spellEnd"/>
      <w:r>
        <w:rPr>
          <w:rFonts w:ascii="Times New Roman" w:hAnsi="Times New Roman"/>
          <w:sz w:val="24"/>
          <w:szCs w:val="24"/>
        </w:rPr>
        <w:t xml:space="preserve"> reagent and 2 mL of 7.5% </w:t>
      </w:r>
      <w:proofErr w:type="spellStart"/>
      <w:r>
        <w:rPr>
          <w:rFonts w:ascii="Times New Roman" w:hAnsi="Times New Roman"/>
          <w:sz w:val="24"/>
          <w:szCs w:val="24"/>
        </w:rPr>
        <w:t>Na₂CO</w:t>
      </w:r>
      <w:proofErr w:type="spellEnd"/>
      <w:r>
        <w:rPr>
          <w:rFonts w:ascii="Times New Roman" w:hAnsi="Times New Roman"/>
          <w:sz w:val="24"/>
          <w:szCs w:val="24"/>
        </w:rPr>
        <w:t>₃ solution. It was then incubated in the dark for 30 minutes, abs</w:t>
      </w:r>
      <w:r>
        <w:rPr>
          <w:rFonts w:ascii="Times New Roman" w:hAnsi="Times New Roman"/>
          <w:sz w:val="24"/>
          <w:szCs w:val="24"/>
        </w:rPr>
        <w:t>orbance was measured at 765 nm. Results were expressed as mg gallic acid equivalents per 100 g (mg GAE/100 g).</w:t>
      </w:r>
    </w:p>
    <w:p w14:paraId="468024F4" w14:textId="77777777" w:rsidR="005D65E5" w:rsidRDefault="005D65E5">
      <w:pPr>
        <w:spacing w:after="0" w:line="360" w:lineRule="auto"/>
        <w:jc w:val="both"/>
        <w:rPr>
          <w:rFonts w:ascii="Times New Roman" w:hAnsi="Times New Roman"/>
          <w:b/>
          <w:bCs/>
          <w:sz w:val="12"/>
          <w:szCs w:val="24"/>
        </w:rPr>
      </w:pPr>
    </w:p>
    <w:p w14:paraId="3D168E5D"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2.6.3 Determination of Total Flavonoid Content</w:t>
      </w:r>
    </w:p>
    <w:p w14:paraId="25606AF1"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aluminum chloride colorimetric method (Chang </w:t>
      </w:r>
      <w:r>
        <w:rPr>
          <w:rFonts w:ascii="Times New Roman" w:hAnsi="Times New Roman"/>
          <w:i/>
          <w:iCs/>
          <w:sz w:val="24"/>
          <w:szCs w:val="24"/>
        </w:rPr>
        <w:t>et a</w:t>
      </w:r>
      <w:r>
        <w:rPr>
          <w:rFonts w:ascii="Times New Roman" w:hAnsi="Times New Roman"/>
          <w:sz w:val="24"/>
          <w:szCs w:val="24"/>
        </w:rPr>
        <w:t>l., 2002) was used. 1 mL of extract was adde</w:t>
      </w:r>
      <w:r>
        <w:rPr>
          <w:rFonts w:ascii="Times New Roman" w:hAnsi="Times New Roman"/>
          <w:sz w:val="24"/>
          <w:szCs w:val="24"/>
        </w:rPr>
        <w:t xml:space="preserve">d in 1 mL of 10% </w:t>
      </w:r>
      <w:proofErr w:type="spellStart"/>
      <w:r>
        <w:rPr>
          <w:rFonts w:ascii="Times New Roman" w:hAnsi="Times New Roman"/>
          <w:sz w:val="24"/>
          <w:szCs w:val="24"/>
        </w:rPr>
        <w:t>AlCl</w:t>
      </w:r>
      <w:proofErr w:type="spellEnd"/>
      <w:r>
        <w:rPr>
          <w:rFonts w:ascii="Times New Roman" w:hAnsi="Times New Roman"/>
          <w:sz w:val="24"/>
          <w:szCs w:val="24"/>
        </w:rPr>
        <w:t>₃ and 1 mL of 1 M potassium acetate, made up to 5 mL with distilled water, and incubated for 30 minutes at room temperature. Absorbance was recorded at 415 nm, and results expressed as mg quercetin equivalents per 100 g (mg QE/100 g).</w:t>
      </w:r>
    </w:p>
    <w:p w14:paraId="7EF35B44" w14:textId="77777777" w:rsidR="005D65E5" w:rsidRDefault="005D65E5">
      <w:pPr>
        <w:spacing w:after="0" w:line="360" w:lineRule="auto"/>
        <w:jc w:val="both"/>
        <w:rPr>
          <w:rFonts w:ascii="Times New Roman" w:hAnsi="Times New Roman"/>
          <w:b/>
          <w:bCs/>
          <w:sz w:val="10"/>
          <w:szCs w:val="24"/>
        </w:rPr>
      </w:pPr>
    </w:p>
    <w:p w14:paraId="590136FD"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2.6.4 Determination of Total Saponin Content</w:t>
      </w:r>
    </w:p>
    <w:p w14:paraId="1EA76858"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lastRenderedPageBreak/>
        <w:t>The vanillin–sulfuric acid method (</w:t>
      </w:r>
      <w:proofErr w:type="spellStart"/>
      <w:r>
        <w:rPr>
          <w:rFonts w:ascii="Times New Roman" w:hAnsi="Times New Roman"/>
          <w:sz w:val="24"/>
          <w:szCs w:val="24"/>
        </w:rPr>
        <w:t>Obadoni</w:t>
      </w:r>
      <w:proofErr w:type="spellEnd"/>
      <w:r>
        <w:rPr>
          <w:rFonts w:ascii="Times New Roman" w:hAnsi="Times New Roman"/>
          <w:sz w:val="24"/>
          <w:szCs w:val="24"/>
        </w:rPr>
        <w:t xml:space="preserve"> &amp; </w:t>
      </w:r>
      <w:proofErr w:type="spellStart"/>
      <w:r>
        <w:rPr>
          <w:rFonts w:ascii="Times New Roman" w:hAnsi="Times New Roman"/>
          <w:sz w:val="24"/>
          <w:szCs w:val="24"/>
        </w:rPr>
        <w:t>Ochuko</w:t>
      </w:r>
      <w:proofErr w:type="spellEnd"/>
      <w:r>
        <w:rPr>
          <w:rFonts w:ascii="Times New Roman" w:hAnsi="Times New Roman"/>
          <w:sz w:val="24"/>
          <w:szCs w:val="24"/>
        </w:rPr>
        <w:t>, 2001) was employed. 1 mL of extract was mixed in 0.25 mL of 8% vanillin in ethanol and 2.5 mL of 72% sulfuric acid, incubated at 60 °C for 10 minutes, cooled</w:t>
      </w:r>
      <w:r>
        <w:rPr>
          <w:rFonts w:ascii="Times New Roman" w:hAnsi="Times New Roman"/>
          <w:sz w:val="24"/>
          <w:szCs w:val="24"/>
        </w:rPr>
        <w:t>, and measured at 544 nm. Diosgenin was used as a reference standard.</w:t>
      </w:r>
    </w:p>
    <w:p w14:paraId="175AC90B" w14:textId="77777777" w:rsidR="005D65E5" w:rsidRDefault="005D65E5">
      <w:pPr>
        <w:spacing w:after="0" w:line="360" w:lineRule="auto"/>
        <w:jc w:val="both"/>
        <w:rPr>
          <w:rFonts w:ascii="Times New Roman" w:hAnsi="Times New Roman"/>
          <w:b/>
          <w:bCs/>
          <w:sz w:val="10"/>
          <w:szCs w:val="24"/>
        </w:rPr>
      </w:pPr>
    </w:p>
    <w:p w14:paraId="10DF7301"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2.6.5 Determination of Tannin Content</w:t>
      </w:r>
    </w:p>
    <w:p w14:paraId="674BB631"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Tannin concentration was determined using the </w:t>
      </w:r>
      <w:proofErr w:type="spellStart"/>
      <w:r>
        <w:rPr>
          <w:rFonts w:ascii="Times New Roman" w:hAnsi="Times New Roman"/>
          <w:sz w:val="24"/>
          <w:szCs w:val="24"/>
        </w:rPr>
        <w:t>Folin</w:t>
      </w:r>
      <w:proofErr w:type="spellEnd"/>
      <w:r>
        <w:rPr>
          <w:rFonts w:ascii="Times New Roman" w:hAnsi="Times New Roman"/>
          <w:sz w:val="24"/>
          <w:szCs w:val="24"/>
        </w:rPr>
        <w:t xml:space="preserve">–Denis method (AOAC, 2016). 1 mL of extract was added in 0.5 mL </w:t>
      </w:r>
      <w:proofErr w:type="spellStart"/>
      <w:r>
        <w:rPr>
          <w:rFonts w:ascii="Times New Roman" w:hAnsi="Times New Roman"/>
          <w:sz w:val="24"/>
          <w:szCs w:val="24"/>
        </w:rPr>
        <w:t>Folin</w:t>
      </w:r>
      <w:proofErr w:type="spellEnd"/>
      <w:r>
        <w:rPr>
          <w:rFonts w:ascii="Times New Roman" w:hAnsi="Times New Roman"/>
          <w:sz w:val="24"/>
          <w:szCs w:val="24"/>
        </w:rPr>
        <w:t xml:space="preserve">–Denis reagent and 1 mL of </w:t>
      </w:r>
      <w:r>
        <w:rPr>
          <w:rFonts w:ascii="Times New Roman" w:hAnsi="Times New Roman"/>
          <w:sz w:val="24"/>
          <w:szCs w:val="24"/>
        </w:rPr>
        <w:t xml:space="preserve">7.5% </w:t>
      </w:r>
      <w:proofErr w:type="spellStart"/>
      <w:r>
        <w:rPr>
          <w:rFonts w:ascii="Times New Roman" w:hAnsi="Times New Roman"/>
          <w:sz w:val="24"/>
          <w:szCs w:val="24"/>
        </w:rPr>
        <w:t>Na₂CO</w:t>
      </w:r>
      <w:proofErr w:type="spellEnd"/>
      <w:r>
        <w:rPr>
          <w:rFonts w:ascii="Times New Roman" w:hAnsi="Times New Roman"/>
          <w:sz w:val="24"/>
          <w:szCs w:val="24"/>
        </w:rPr>
        <w:t>₃ solution. Absorbance was read at 760 nm after 30 minutes. Tannic acid was used to prepare the standard calibration curve.</w:t>
      </w:r>
    </w:p>
    <w:p w14:paraId="5E9964EB" w14:textId="77777777" w:rsidR="005D65E5" w:rsidRDefault="005D65E5">
      <w:pPr>
        <w:spacing w:after="0" w:line="360" w:lineRule="auto"/>
        <w:jc w:val="both"/>
        <w:rPr>
          <w:rFonts w:ascii="Times New Roman" w:hAnsi="Times New Roman"/>
          <w:b/>
          <w:bCs/>
          <w:sz w:val="24"/>
          <w:szCs w:val="24"/>
        </w:rPr>
      </w:pPr>
    </w:p>
    <w:p w14:paraId="3DC17386"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2.6.6 Determination of Steroids, Terpenoids, and Cardiac Glycosides</w:t>
      </w:r>
    </w:p>
    <w:p w14:paraId="4179A197"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Quantification of steroids, terpenoids, and cardiac g</w:t>
      </w:r>
      <w:r>
        <w:rPr>
          <w:rFonts w:ascii="Times New Roman" w:hAnsi="Times New Roman"/>
          <w:sz w:val="24"/>
          <w:szCs w:val="24"/>
        </w:rPr>
        <w:t xml:space="preserve">lycosides was performed using colorimetric methods as described by </w:t>
      </w:r>
      <w:proofErr w:type="spellStart"/>
      <w:r>
        <w:rPr>
          <w:rFonts w:ascii="Times New Roman" w:hAnsi="Times New Roman"/>
          <w:sz w:val="24"/>
          <w:szCs w:val="24"/>
        </w:rPr>
        <w:t>Edeoga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(2005). The absorbances were measured at 540 nm, 550 nm, and 495 nm, respectively, and concentrations calculated from standard curves of reference compounds (cholesterol, </w:t>
      </w:r>
      <w:proofErr w:type="spellStart"/>
      <w:r>
        <w:rPr>
          <w:rFonts w:ascii="Times New Roman" w:hAnsi="Times New Roman"/>
          <w:sz w:val="24"/>
          <w:szCs w:val="24"/>
        </w:rPr>
        <w:t>urso</w:t>
      </w:r>
      <w:r>
        <w:rPr>
          <w:rFonts w:ascii="Times New Roman" w:hAnsi="Times New Roman"/>
          <w:sz w:val="24"/>
          <w:szCs w:val="24"/>
        </w:rPr>
        <w:t>lic</w:t>
      </w:r>
      <w:proofErr w:type="spellEnd"/>
      <w:r>
        <w:rPr>
          <w:rFonts w:ascii="Times New Roman" w:hAnsi="Times New Roman"/>
          <w:sz w:val="24"/>
          <w:szCs w:val="24"/>
        </w:rPr>
        <w:t xml:space="preserve"> acid, and digoxin).</w:t>
      </w:r>
    </w:p>
    <w:p w14:paraId="7238E363" w14:textId="77777777" w:rsidR="005D65E5" w:rsidRDefault="005D65E5">
      <w:pPr>
        <w:spacing w:after="0" w:line="360" w:lineRule="auto"/>
        <w:jc w:val="both"/>
        <w:rPr>
          <w:rFonts w:ascii="Times New Roman" w:hAnsi="Times New Roman"/>
          <w:sz w:val="12"/>
          <w:szCs w:val="24"/>
        </w:rPr>
      </w:pPr>
    </w:p>
    <w:p w14:paraId="0B783C63"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2.7 Nitric Oxide Radical Scavenging Assay</w:t>
      </w:r>
    </w:p>
    <w:p w14:paraId="1EB15957"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In this analysis, the method described by Green</w:t>
      </w:r>
      <w:r>
        <w:rPr>
          <w:rFonts w:ascii="Times New Roman" w:hAnsi="Times New Roman"/>
          <w:i/>
          <w:iCs/>
          <w:sz w:val="24"/>
          <w:szCs w:val="24"/>
        </w:rPr>
        <w:t xml:space="preserve"> et al</w:t>
      </w:r>
      <w:r>
        <w:rPr>
          <w:rFonts w:ascii="Times New Roman" w:hAnsi="Times New Roman"/>
          <w:sz w:val="24"/>
          <w:szCs w:val="24"/>
        </w:rPr>
        <w:t>. (1982) was adopted with slight modifications. Where, 1 mL of sodium nitroprusside (10 mM) in phosphate-buffered saline (pH 7.4) was mixed with 1 mL of extract at varying concentrations and incubated at 25°C for 150 minutes. After incubation, 1 mL of Grie</w:t>
      </w:r>
      <w:r>
        <w:rPr>
          <w:rFonts w:ascii="Times New Roman" w:hAnsi="Times New Roman"/>
          <w:sz w:val="24"/>
          <w:szCs w:val="24"/>
        </w:rPr>
        <w:t>ss reagent (1% sulfanilamide and 0.1% NED in 2% phosphoric acid) was added. The absorbance was measured at 546 nm against a blank. The percentage inhibition of nitric oxide was calculated using the formula:</w:t>
      </w:r>
    </w:p>
    <w:p w14:paraId="14BD1B00"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NO scavenging (%) = </w:t>
      </w:r>
      <w:proofErr w:type="spellStart"/>
      <w:r>
        <w:rPr>
          <w:rFonts w:ascii="Times New Roman" w:hAnsi="Times New Roman"/>
          <w:sz w:val="24"/>
          <w:szCs w:val="24"/>
        </w:rPr>
        <w:t>A</w:t>
      </w:r>
      <w:r>
        <w:rPr>
          <w:rFonts w:ascii="Times New Roman" w:hAnsi="Times New Roman"/>
          <w:sz w:val="24"/>
          <w:szCs w:val="24"/>
          <w:vertAlign w:val="subscript"/>
        </w:rPr>
        <w:t>control</w:t>
      </w:r>
      <w:proofErr w:type="spellEnd"/>
      <w:r>
        <w:rPr>
          <w:rFonts w:ascii="Times New Roman" w:hAnsi="Times New Roman"/>
          <w:sz w:val="24"/>
          <w:szCs w:val="24"/>
          <w:vertAlign w:val="subscript"/>
        </w:rPr>
        <w:t xml:space="preserve"> </w:t>
      </w:r>
      <w:r>
        <w:rPr>
          <w:rFonts w:ascii="Times New Roman" w:hAnsi="Times New Roman"/>
          <w:sz w:val="24"/>
          <w:szCs w:val="24"/>
        </w:rPr>
        <w:t xml:space="preserve">- </w:t>
      </w:r>
      <w:proofErr w:type="spellStart"/>
      <w:proofErr w:type="gramStart"/>
      <w:r>
        <w:rPr>
          <w:rFonts w:ascii="Times New Roman" w:hAnsi="Times New Roman"/>
          <w:sz w:val="24"/>
          <w:szCs w:val="24"/>
        </w:rPr>
        <w:t>A</w:t>
      </w:r>
      <w:r>
        <w:rPr>
          <w:rFonts w:ascii="Times New Roman" w:hAnsi="Times New Roman"/>
          <w:sz w:val="24"/>
          <w:szCs w:val="24"/>
          <w:vertAlign w:val="subscript"/>
        </w:rPr>
        <w:t>sample</w:t>
      </w:r>
      <w:proofErr w:type="spellEnd"/>
      <w:r>
        <w:rPr>
          <w:rFonts w:ascii="Times New Roman" w:hAnsi="Times New Roman"/>
          <w:sz w:val="24"/>
          <w:szCs w:val="24"/>
        </w:rPr>
        <w:t xml:space="preserve">  ×</w:t>
      </w:r>
      <w:proofErr w:type="gramEnd"/>
      <w:r>
        <w:rPr>
          <w:rFonts w:ascii="Times New Roman" w:hAnsi="Times New Roman"/>
          <w:sz w:val="24"/>
          <w:szCs w:val="24"/>
        </w:rPr>
        <w:t xml:space="preserve"> 100</w:t>
      </w:r>
    </w:p>
    <w:p w14:paraId="35C191E9" w14:textId="77777777" w:rsidR="005D65E5" w:rsidRDefault="00736E5B">
      <w:pPr>
        <w:spacing w:after="0" w:line="240" w:lineRule="auto"/>
        <w:jc w:val="both"/>
        <w:rPr>
          <w:rFonts w:ascii="Times New Roman" w:hAnsi="Times New Roman"/>
          <w:sz w:val="24"/>
          <w:szCs w:val="24"/>
        </w:rPr>
      </w:pPr>
      <w:r>
        <w:rPr>
          <w:rFonts w:ascii="Times New Roman" w:hAnsi="Times New Roman"/>
          <w:noProof/>
          <w:sz w:val="24"/>
          <w:szCs w:val="24"/>
          <w:lang w:eastAsia="en-US"/>
        </w:rPr>
        <w:pict w14:anchorId="35D2A52F">
          <v:shapetype id="_x0000_m1028" coordsize="21600,21600" o:spt="32" o:oned="t" path="m,l21600,21600e" filled="t">
            <v:path arrowok="t" fillok="f" o:connecttype="none"/>
            <o:lock v:ext="edit" shapetype="t"/>
          </v:shapetype>
        </w:pict>
      </w:r>
      <w:r>
        <w:rPr>
          <w:rFonts w:ascii="Times New Roman" w:hAnsi="Times New Roman"/>
          <w:noProof/>
          <w:sz w:val="24"/>
          <w:szCs w:val="24"/>
          <w:lang w:eastAsia="en-US"/>
        </w:rPr>
        <w:pict w14:anchorId="6D17C880">
          <v:shape id="1030" o:spid="_x0000_s1027" type="#_x0000_m1028" style="position:absolute;left:0;text-align:left;margin-left:105.8pt;margin-top:.9pt;width:78.25pt;height:0;z-index: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A</w:t>
      </w:r>
      <w:r>
        <w:rPr>
          <w:rFonts w:ascii="Times New Roman" w:hAnsi="Times New Roman"/>
          <w:sz w:val="24"/>
          <w:szCs w:val="24"/>
          <w:vertAlign w:val="subscript"/>
        </w:rPr>
        <w:t>control</w:t>
      </w:r>
      <w:proofErr w:type="spellEnd"/>
      <w:r>
        <w:rPr>
          <w:rFonts w:ascii="Times New Roman" w:hAnsi="Times New Roman"/>
          <w:sz w:val="24"/>
          <w:szCs w:val="24"/>
          <w:vertAlign w:val="subscript"/>
        </w:rPr>
        <w:t xml:space="preserve"> </w:t>
      </w:r>
    </w:p>
    <w:p w14:paraId="5E077959" w14:textId="77777777" w:rsidR="005D65E5" w:rsidRDefault="005D65E5">
      <w:pPr>
        <w:spacing w:after="0" w:line="360" w:lineRule="auto"/>
        <w:jc w:val="both"/>
        <w:rPr>
          <w:rFonts w:ascii="Times New Roman" w:hAnsi="Times New Roman"/>
          <w:sz w:val="24"/>
          <w:szCs w:val="24"/>
        </w:rPr>
      </w:pPr>
    </w:p>
    <w:p w14:paraId="5FC74623"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2.8 DPPH Radical Scavenging Assay</w:t>
      </w:r>
    </w:p>
    <w:p w14:paraId="7ADAA1C0"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DPPH radical scavenging activity was determined in accordance to Brand-Williams </w:t>
      </w:r>
      <w:r>
        <w:rPr>
          <w:rFonts w:ascii="Times New Roman" w:hAnsi="Times New Roman"/>
          <w:i/>
          <w:iCs/>
          <w:sz w:val="24"/>
          <w:szCs w:val="24"/>
        </w:rPr>
        <w:t xml:space="preserve">et al. </w:t>
      </w:r>
      <w:r>
        <w:rPr>
          <w:rFonts w:ascii="Times New Roman" w:hAnsi="Times New Roman"/>
          <w:sz w:val="24"/>
          <w:szCs w:val="24"/>
        </w:rPr>
        <w:t>(1995). A 1 mL aliquot of 0.1 mM DPPH solution in methanol was mixed with 1 mL</w:t>
      </w:r>
      <w:r>
        <w:rPr>
          <w:rFonts w:ascii="Times New Roman" w:hAnsi="Times New Roman"/>
          <w:sz w:val="24"/>
          <w:szCs w:val="24"/>
        </w:rPr>
        <w:t xml:space="preserve"> of extract at different concentrations and incubated in the dark for 30 minutes. The absorbance was read at 517 nm using a UV–Vis spectrophotometer. Vitamin C served as the reference antioxidant. The scavenging activity was expressed as:</w:t>
      </w:r>
    </w:p>
    <w:p w14:paraId="307C3850" w14:textId="77777777" w:rsidR="005D65E5" w:rsidRDefault="00736E5B">
      <w:pPr>
        <w:spacing w:after="0" w:line="240" w:lineRule="auto"/>
        <w:jc w:val="both"/>
        <w:rPr>
          <w:rFonts w:ascii="Times New Roman" w:hAnsi="Times New Roman"/>
          <w:sz w:val="24"/>
          <w:szCs w:val="24"/>
        </w:rPr>
      </w:pPr>
      <w:r>
        <w:rPr>
          <w:rFonts w:ascii="Times New Roman" w:hAnsi="Times New Roman"/>
          <w:noProof/>
          <w:sz w:val="24"/>
          <w:szCs w:val="24"/>
          <w:lang w:eastAsia="en-US"/>
        </w:rPr>
        <w:lastRenderedPageBreak/>
        <w:pict w14:anchorId="4473D1D5">
          <v:shape id="1031" o:spid="_x0000_s1026" type="#_x0000_m1028" style="position:absolute;left:0;text-align:left;margin-left:119.75pt;margin-top:15.45pt;width:78.25pt;height:0;z-index:3;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sz w:val="24"/>
          <w:szCs w:val="24"/>
        </w:rPr>
        <w:t xml:space="preserve">DPPH scavenging </w:t>
      </w:r>
      <w:r>
        <w:rPr>
          <w:rFonts w:ascii="Times New Roman" w:hAnsi="Times New Roman"/>
          <w:sz w:val="24"/>
          <w:szCs w:val="24"/>
        </w:rPr>
        <w:t xml:space="preserve">(%) = </w:t>
      </w:r>
      <w:proofErr w:type="spellStart"/>
      <w:r>
        <w:rPr>
          <w:rFonts w:ascii="Times New Roman" w:hAnsi="Times New Roman"/>
          <w:sz w:val="24"/>
          <w:szCs w:val="24"/>
        </w:rPr>
        <w:t>A</w:t>
      </w:r>
      <w:r>
        <w:rPr>
          <w:rFonts w:ascii="Times New Roman" w:hAnsi="Times New Roman"/>
          <w:sz w:val="24"/>
          <w:szCs w:val="24"/>
          <w:vertAlign w:val="subscript"/>
        </w:rPr>
        <w:t>control</w:t>
      </w:r>
      <w:proofErr w:type="spellEnd"/>
      <w:r>
        <w:rPr>
          <w:rFonts w:ascii="Times New Roman" w:hAnsi="Times New Roman"/>
          <w:sz w:val="24"/>
          <w:szCs w:val="24"/>
        </w:rPr>
        <w:t xml:space="preserve"> - </w:t>
      </w:r>
      <w:proofErr w:type="spellStart"/>
      <w:r>
        <w:rPr>
          <w:rFonts w:ascii="Times New Roman" w:hAnsi="Times New Roman"/>
          <w:sz w:val="24"/>
          <w:szCs w:val="24"/>
        </w:rPr>
        <w:t>A</w:t>
      </w:r>
      <w:r>
        <w:rPr>
          <w:rFonts w:ascii="Times New Roman" w:hAnsi="Times New Roman"/>
          <w:sz w:val="24"/>
          <w:szCs w:val="24"/>
          <w:vertAlign w:val="subscript"/>
        </w:rPr>
        <w:t>sample</w:t>
      </w:r>
      <w:proofErr w:type="spellEnd"/>
      <w:r>
        <w:rPr>
          <w:rFonts w:ascii="Times New Roman" w:hAnsi="Times New Roman"/>
          <w:sz w:val="24"/>
          <w:szCs w:val="24"/>
        </w:rPr>
        <w:t xml:space="preserve"> × 100                                            </w:t>
      </w:r>
    </w:p>
    <w:p w14:paraId="28892EC1" w14:textId="77777777" w:rsidR="005D65E5" w:rsidRDefault="00736E5B">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w:t>
      </w:r>
      <w:r>
        <w:rPr>
          <w:rFonts w:ascii="Times New Roman" w:hAnsi="Times New Roman"/>
          <w:sz w:val="24"/>
          <w:szCs w:val="24"/>
          <w:vertAlign w:val="subscript"/>
        </w:rPr>
        <w:t>control</w:t>
      </w:r>
      <w:proofErr w:type="spellEnd"/>
    </w:p>
    <w:p w14:paraId="31D365DA" w14:textId="77777777" w:rsidR="005D65E5" w:rsidRDefault="005D65E5">
      <w:pPr>
        <w:spacing w:after="0" w:line="360" w:lineRule="auto"/>
        <w:jc w:val="both"/>
        <w:rPr>
          <w:rFonts w:ascii="Times New Roman" w:hAnsi="Times New Roman"/>
          <w:sz w:val="24"/>
          <w:szCs w:val="24"/>
        </w:rPr>
      </w:pPr>
    </w:p>
    <w:p w14:paraId="15F71777"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2.9 Ferric Reducing Antioxidant Power (FRAP) Assay</w:t>
      </w:r>
    </w:p>
    <w:p w14:paraId="434BFDB5"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reducing power of the extract was estimated using the method of </w:t>
      </w:r>
      <w:r>
        <w:rPr>
          <w:rFonts w:ascii="Times New Roman" w:hAnsi="Times New Roman"/>
          <w:sz w:val="24"/>
          <w:szCs w:val="24"/>
        </w:rPr>
        <w:t>Benzie and Strain (1996). The FRAP reagent was freshly prepared by mixing acetate buffer (300 mM, pH 3.6), TPTZ (10 mM in 40 mM HCl), and ferric chloride (20 mM) in a 10:1:1 ratio. One milliliter of the extract was added to 2 mL of the FRAP reagent and inc</w:t>
      </w:r>
      <w:r>
        <w:rPr>
          <w:rFonts w:ascii="Times New Roman" w:hAnsi="Times New Roman"/>
          <w:sz w:val="24"/>
          <w:szCs w:val="24"/>
        </w:rPr>
        <w:t>ubated at 37°C for 30 minutes. Absorbance was measured at 593 nm. Increased absorbance indicated higher reducing power.</w:t>
      </w:r>
    </w:p>
    <w:p w14:paraId="5550DB8C" w14:textId="77777777" w:rsidR="005D65E5" w:rsidRDefault="005D65E5">
      <w:pPr>
        <w:spacing w:after="0" w:line="360" w:lineRule="auto"/>
        <w:jc w:val="both"/>
        <w:rPr>
          <w:rFonts w:ascii="Times New Roman" w:hAnsi="Times New Roman"/>
          <w:b/>
          <w:bCs/>
          <w:sz w:val="24"/>
          <w:szCs w:val="24"/>
        </w:rPr>
      </w:pPr>
    </w:p>
    <w:p w14:paraId="1A037F0D"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2.10 Statistical Analysis</w:t>
      </w:r>
    </w:p>
    <w:p w14:paraId="132DCC80"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All assays were performed in triplicate, and results were expressed as mean ± standard error of the mean (SEM</w:t>
      </w:r>
      <w:r>
        <w:rPr>
          <w:rFonts w:ascii="Times New Roman" w:hAnsi="Times New Roman"/>
          <w:sz w:val="24"/>
          <w:szCs w:val="24"/>
        </w:rPr>
        <w:t xml:space="preserve">). Data were analyzed using one-way analysis of variance (ANOVA) followed by Tukey’s post hoc test to determine significant differences between concentrations. Statistical significance was accepted at p &lt; 0.05. Analyses were performed using GraphPad Prism </w:t>
      </w:r>
      <w:r>
        <w:rPr>
          <w:rFonts w:ascii="Times New Roman" w:hAnsi="Times New Roman"/>
          <w:sz w:val="24"/>
          <w:szCs w:val="24"/>
        </w:rPr>
        <w:t>version 8.0 (GraphPad Software, San Diego, USA).</w:t>
      </w:r>
    </w:p>
    <w:p w14:paraId="5F0AF582" w14:textId="77777777" w:rsidR="005D65E5" w:rsidRDefault="005D65E5">
      <w:pPr>
        <w:spacing w:after="0" w:line="360" w:lineRule="auto"/>
        <w:jc w:val="both"/>
        <w:rPr>
          <w:rFonts w:ascii="Times New Roman" w:hAnsi="Times New Roman"/>
          <w:b/>
          <w:bCs/>
          <w:caps/>
          <w:sz w:val="24"/>
          <w:szCs w:val="24"/>
        </w:rPr>
      </w:pPr>
    </w:p>
    <w:p w14:paraId="4279601B" w14:textId="77777777" w:rsidR="005D65E5" w:rsidRDefault="005D65E5">
      <w:pPr>
        <w:spacing w:after="0" w:line="360" w:lineRule="auto"/>
        <w:jc w:val="both"/>
        <w:rPr>
          <w:rFonts w:ascii="Times New Roman" w:hAnsi="Times New Roman"/>
          <w:b/>
          <w:bCs/>
          <w:caps/>
          <w:sz w:val="24"/>
          <w:szCs w:val="24"/>
        </w:rPr>
      </w:pPr>
    </w:p>
    <w:p w14:paraId="4568CA85" w14:textId="77777777" w:rsidR="005D65E5" w:rsidRDefault="005D65E5">
      <w:pPr>
        <w:spacing w:after="0" w:line="360" w:lineRule="auto"/>
        <w:jc w:val="both"/>
        <w:rPr>
          <w:rFonts w:ascii="Times New Roman" w:hAnsi="Times New Roman"/>
          <w:b/>
          <w:bCs/>
          <w:caps/>
          <w:sz w:val="24"/>
          <w:szCs w:val="24"/>
        </w:rPr>
      </w:pPr>
    </w:p>
    <w:p w14:paraId="602E1A92" w14:textId="77777777" w:rsidR="005D65E5" w:rsidRDefault="00736E5B">
      <w:pPr>
        <w:spacing w:after="0" w:line="360" w:lineRule="auto"/>
        <w:jc w:val="both"/>
        <w:rPr>
          <w:rFonts w:ascii="Times New Roman" w:hAnsi="Times New Roman"/>
          <w:sz w:val="24"/>
          <w:szCs w:val="24"/>
        </w:rPr>
      </w:pPr>
      <w:r>
        <w:rPr>
          <w:rFonts w:ascii="Times New Roman" w:hAnsi="Times New Roman"/>
          <w:b/>
          <w:bCs/>
          <w:caps/>
          <w:sz w:val="24"/>
          <w:szCs w:val="24"/>
        </w:rPr>
        <w:t xml:space="preserve">3. Results and Discussion </w:t>
      </w:r>
    </w:p>
    <w:p w14:paraId="63BE2D1A" w14:textId="77777777" w:rsidR="005D65E5" w:rsidRDefault="005D65E5">
      <w:pPr>
        <w:spacing w:after="0" w:line="360" w:lineRule="auto"/>
        <w:jc w:val="both"/>
        <w:rPr>
          <w:rFonts w:ascii="Times New Roman" w:eastAsia="Calibri" w:hAnsi="Times New Roman"/>
          <w:b/>
          <w:bCs/>
          <w:sz w:val="24"/>
          <w:szCs w:val="24"/>
          <w:lang w:eastAsia="en-US"/>
        </w:rPr>
      </w:pPr>
    </w:p>
    <w:p w14:paraId="11D52506"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2. Showed the Qualitative and Quantitative Phytochemical Composition of </w:t>
      </w:r>
      <w:proofErr w:type="spellStart"/>
      <w:r>
        <w:rPr>
          <w:rFonts w:ascii="Times New Roman" w:eastAsia="Calibri" w:hAnsi="Times New Roman"/>
          <w:b/>
          <w:bCs/>
          <w:sz w:val="24"/>
          <w:szCs w:val="24"/>
          <w:lang w:eastAsia="en-US"/>
        </w:rPr>
        <w:t>Trigonella</w:t>
      </w:r>
      <w:proofErr w:type="spellEnd"/>
      <w:r>
        <w:rPr>
          <w:rFonts w:ascii="Times New Roman" w:eastAsia="Calibri" w:hAnsi="Times New Roman"/>
          <w:b/>
          <w:bCs/>
          <w:sz w:val="24"/>
          <w:szCs w:val="24"/>
          <w:lang w:eastAsia="en-US"/>
        </w:rPr>
        <w:t xml:space="preserve"> </w:t>
      </w:r>
      <w:proofErr w:type="spellStart"/>
      <w:r>
        <w:rPr>
          <w:rFonts w:ascii="Times New Roman" w:eastAsia="Calibri" w:hAnsi="Times New Roman"/>
          <w:b/>
          <w:bCs/>
          <w:sz w:val="24"/>
          <w:szCs w:val="24"/>
          <w:lang w:eastAsia="en-US"/>
        </w:rPr>
        <w:t>foenum</w:t>
      </w:r>
      <w:proofErr w:type="spellEnd"/>
      <w:r>
        <w:rPr>
          <w:rFonts w:ascii="Times New Roman" w:eastAsia="Calibri" w:hAnsi="Times New Roman"/>
          <w:b/>
          <w:bCs/>
          <w:sz w:val="24"/>
          <w:szCs w:val="24"/>
          <w:lang w:eastAsia="en-US"/>
        </w:rPr>
        <w:t>-graecum seed ethanolic extract.</w:t>
      </w:r>
    </w:p>
    <w:tbl>
      <w:tblPr>
        <w:tblW w:w="0" w:type="auto"/>
        <w:tblLook w:val="04A0" w:firstRow="1" w:lastRow="0" w:firstColumn="1" w:lastColumn="0" w:noHBand="0" w:noVBand="1"/>
      </w:tblPr>
      <w:tblGrid>
        <w:gridCol w:w="3116"/>
        <w:gridCol w:w="1919"/>
        <w:gridCol w:w="1980"/>
      </w:tblGrid>
      <w:tr w:rsidR="005D65E5" w14:paraId="5881862C"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2435"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Phytochemical parameter</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BD49A"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Qualitative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7FF7F"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Quantitative</w:t>
            </w:r>
            <w:r>
              <w:rPr>
                <w:rFonts w:ascii="Times New Roman" w:eastAsia="Calibri" w:hAnsi="Times New Roman"/>
                <w:b/>
                <w:bCs/>
                <w:sz w:val="24"/>
                <w:szCs w:val="24"/>
                <w:lang w:eastAsia="en-US"/>
              </w:rPr>
              <w:t xml:space="preserve"> (mg/100g)</w:t>
            </w:r>
          </w:p>
        </w:tc>
      </w:tr>
      <w:tr w:rsidR="005D65E5" w14:paraId="74E2CAA5"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53A6B"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Alkaloids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2569"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B27C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1.94 ± 0.04</w:t>
            </w:r>
          </w:p>
        </w:tc>
      </w:tr>
      <w:tr w:rsidR="005D65E5" w14:paraId="3571CCD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520B7"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Phenols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4E139"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13241"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4.61 ± 0.05</w:t>
            </w:r>
          </w:p>
        </w:tc>
      </w:tr>
      <w:tr w:rsidR="005D65E5" w14:paraId="3F08CA7D"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C3D27"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Terpenoids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2F455"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441B0"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0.95 ± 0.02</w:t>
            </w:r>
          </w:p>
        </w:tc>
      </w:tr>
      <w:tr w:rsidR="005D65E5" w14:paraId="4A4BBFA6"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CF72C"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Cardiac glycosides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3440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6843C"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0.25 ± 0.03</w:t>
            </w:r>
          </w:p>
        </w:tc>
      </w:tr>
      <w:tr w:rsidR="005D65E5" w14:paraId="307D88BC"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41294"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Steroids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9859"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6D57"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0.18 ± 0.01</w:t>
            </w:r>
          </w:p>
        </w:tc>
      </w:tr>
      <w:tr w:rsidR="005D65E5" w14:paraId="6D6F0E7C"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35DF3"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Saponins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2252"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984F9"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3.26 ± 0.04</w:t>
            </w:r>
          </w:p>
        </w:tc>
      </w:tr>
      <w:tr w:rsidR="005D65E5" w14:paraId="347185EE"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B9691"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lastRenderedPageBreak/>
              <w:t>Flavonoids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C2BB0"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4F82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5.51 ± 0.07</w:t>
            </w:r>
          </w:p>
        </w:tc>
      </w:tr>
      <w:tr w:rsidR="005D65E5" w14:paraId="32AE10C7"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BBC0E"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Tannins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083A"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7A2E"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1.19 ± 0.03</w:t>
            </w:r>
          </w:p>
        </w:tc>
      </w:tr>
    </w:tbl>
    <w:p w14:paraId="5AC66281"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(Values are means ± SD of </w:t>
      </w:r>
      <w:r>
        <w:rPr>
          <w:rFonts w:ascii="Times New Roman" w:eastAsia="Calibri" w:hAnsi="Times New Roman"/>
          <w:sz w:val="24"/>
          <w:szCs w:val="24"/>
          <w:lang w:eastAsia="en-US"/>
        </w:rPr>
        <w:t>triplicate determinations.)</w:t>
      </w:r>
    </w:p>
    <w:p w14:paraId="07BDE242" w14:textId="77777777" w:rsidR="005D65E5" w:rsidRDefault="005D65E5">
      <w:pPr>
        <w:spacing w:after="0" w:line="360" w:lineRule="auto"/>
        <w:jc w:val="both"/>
        <w:rPr>
          <w:rFonts w:ascii="Times New Roman" w:hAnsi="Times New Roman"/>
          <w:b/>
          <w:bCs/>
          <w:sz w:val="24"/>
          <w:szCs w:val="24"/>
        </w:rPr>
      </w:pPr>
    </w:p>
    <w:p w14:paraId="1A9DA6F7"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3.1 Qualitative Phytochemical Screening</w:t>
      </w:r>
    </w:p>
    <w:p w14:paraId="2D1B12EB"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qualitative analysis of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seed ethanolic extract showed the presence of various classes of bioactive compounds, </w:t>
      </w:r>
      <w:proofErr w:type="gramStart"/>
      <w:r>
        <w:rPr>
          <w:rFonts w:ascii="Times New Roman" w:hAnsi="Times New Roman"/>
          <w:sz w:val="24"/>
          <w:szCs w:val="24"/>
        </w:rPr>
        <w:t>which  include</w:t>
      </w:r>
      <w:proofErr w:type="gramEnd"/>
      <w:r>
        <w:rPr>
          <w:rFonts w:ascii="Times New Roman" w:hAnsi="Times New Roman"/>
          <w:sz w:val="24"/>
          <w:szCs w:val="24"/>
        </w:rPr>
        <w:t xml:space="preserve"> alkaloids, phenols, terpenoids, </w:t>
      </w:r>
      <w:r>
        <w:rPr>
          <w:rFonts w:ascii="Times New Roman" w:hAnsi="Times New Roman"/>
          <w:sz w:val="24"/>
          <w:szCs w:val="24"/>
        </w:rPr>
        <w:t xml:space="preserve">cardiac glycosides, steroids, saponins, flavonoids, and tannins (Table 2). The presence of multiple secondary metabolites indicates that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possesses a wide spectrum of pharmacological potentials, consistent with its traditional use </w:t>
      </w:r>
      <w:r>
        <w:rPr>
          <w:rFonts w:ascii="Times New Roman" w:hAnsi="Times New Roman"/>
          <w:sz w:val="24"/>
          <w:szCs w:val="24"/>
        </w:rPr>
        <w:t xml:space="preserve">as a medicinal plant. These findings </w:t>
      </w:r>
      <w:proofErr w:type="gramStart"/>
      <w:r>
        <w:rPr>
          <w:rFonts w:ascii="Times New Roman" w:hAnsi="Times New Roman"/>
          <w:sz w:val="24"/>
          <w:szCs w:val="24"/>
        </w:rPr>
        <w:t>is</w:t>
      </w:r>
      <w:proofErr w:type="gramEnd"/>
      <w:r>
        <w:rPr>
          <w:rFonts w:ascii="Times New Roman" w:hAnsi="Times New Roman"/>
          <w:sz w:val="24"/>
          <w:szCs w:val="24"/>
        </w:rPr>
        <w:t xml:space="preserve"> consistent with previous studies that showed similar phytochemical profiles in fenugreek seeds (Patel </w:t>
      </w:r>
      <w:r>
        <w:rPr>
          <w:rFonts w:ascii="Times New Roman" w:hAnsi="Times New Roman"/>
          <w:i/>
          <w:iCs/>
          <w:sz w:val="24"/>
          <w:szCs w:val="24"/>
        </w:rPr>
        <w:t>et al</w:t>
      </w:r>
      <w:r>
        <w:rPr>
          <w:rFonts w:ascii="Times New Roman" w:hAnsi="Times New Roman"/>
          <w:sz w:val="24"/>
          <w:szCs w:val="24"/>
        </w:rPr>
        <w:t>., 2019; Kumar &amp; Gupta, 2020).</w:t>
      </w:r>
    </w:p>
    <w:p w14:paraId="02B19C43"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The relatively strong reactions (++), observed for phenols, flavonoids, and saponins, suggest that these compounds are more abundant compared to others such as steroids and cardiac glycosides. These metabolites are known to play vital roles in antioxidant,</w:t>
      </w:r>
      <w:r>
        <w:rPr>
          <w:rFonts w:ascii="Times New Roman" w:hAnsi="Times New Roman"/>
          <w:sz w:val="24"/>
          <w:szCs w:val="24"/>
        </w:rPr>
        <w:t xml:space="preserve"> anti-inflammatory, and antimicrobial activities of medicinal plants (</w:t>
      </w:r>
      <w:proofErr w:type="spellStart"/>
      <w:r>
        <w:rPr>
          <w:rFonts w:ascii="Times New Roman" w:hAnsi="Times New Roman"/>
          <w:sz w:val="24"/>
          <w:szCs w:val="24"/>
        </w:rPr>
        <w:t>Birben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2012; Lobo </w:t>
      </w:r>
      <w:r>
        <w:rPr>
          <w:rFonts w:ascii="Times New Roman" w:hAnsi="Times New Roman"/>
          <w:i/>
          <w:iCs/>
          <w:sz w:val="24"/>
          <w:szCs w:val="24"/>
        </w:rPr>
        <w:t>et al</w:t>
      </w:r>
      <w:r>
        <w:rPr>
          <w:rFonts w:ascii="Times New Roman" w:hAnsi="Times New Roman"/>
          <w:sz w:val="24"/>
          <w:szCs w:val="24"/>
        </w:rPr>
        <w:t>., 2010).</w:t>
      </w:r>
    </w:p>
    <w:p w14:paraId="72C4767A" w14:textId="77777777" w:rsidR="005D65E5" w:rsidRDefault="005D65E5">
      <w:pPr>
        <w:spacing w:after="0" w:line="360" w:lineRule="auto"/>
        <w:jc w:val="both"/>
        <w:rPr>
          <w:rFonts w:ascii="Times New Roman" w:hAnsi="Times New Roman"/>
          <w:b/>
          <w:bCs/>
          <w:sz w:val="10"/>
          <w:szCs w:val="24"/>
        </w:rPr>
      </w:pPr>
    </w:p>
    <w:p w14:paraId="760212BE" w14:textId="77777777" w:rsidR="005D65E5" w:rsidRDefault="00736E5B">
      <w:pPr>
        <w:spacing w:after="0" w:line="360" w:lineRule="auto"/>
        <w:jc w:val="both"/>
        <w:rPr>
          <w:rFonts w:ascii="Times New Roman" w:hAnsi="Times New Roman"/>
          <w:sz w:val="24"/>
          <w:szCs w:val="24"/>
        </w:rPr>
      </w:pPr>
      <w:r>
        <w:rPr>
          <w:rFonts w:ascii="Times New Roman" w:hAnsi="Times New Roman"/>
          <w:b/>
          <w:bCs/>
          <w:sz w:val="24"/>
          <w:szCs w:val="24"/>
        </w:rPr>
        <w:t>3.2 Quantitative Phytochemical Composition</w:t>
      </w:r>
    </w:p>
    <w:p w14:paraId="4895ED7F"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The quantitative phytochemical content of the ethanolic extract is presented in Table 2. The concentr</w:t>
      </w:r>
      <w:r>
        <w:rPr>
          <w:rFonts w:ascii="Times New Roman" w:hAnsi="Times New Roman"/>
          <w:sz w:val="24"/>
          <w:szCs w:val="24"/>
        </w:rPr>
        <w:t>ations of the various phytochemicals (mg/100 g dry weight) is in descending order:</w:t>
      </w:r>
    </w:p>
    <w:p w14:paraId="3AC4FF52"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Flavonoids (5.51 ± 0.08) &gt; Phenols (4.61 ± 0.05) &gt; Saponins (3.26 ± 0.04) &gt; Alkaloids (1.94 ± 0.04) &gt; Tannins (1.19 ± 0.03) &gt; Terpenoids (0.95 ± 0.02) &gt; Cardiac glycosides (</w:t>
      </w:r>
      <w:r>
        <w:rPr>
          <w:rFonts w:ascii="Times New Roman" w:hAnsi="Times New Roman"/>
          <w:sz w:val="24"/>
          <w:szCs w:val="24"/>
        </w:rPr>
        <w:t>0.25 ± 0.03) &gt; Steroids (0.18 ± 0.01).</w:t>
      </w:r>
    </w:p>
    <w:p w14:paraId="3283D2FE"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Statistical analysis showed significant differences (p &lt; 0.05) among the phytochemical groups. The relatively low standard deviations indicate the reliability and reproducibility of the triplicate determinations.</w:t>
      </w:r>
    </w:p>
    <w:p w14:paraId="06422AD3" w14:textId="77777777" w:rsidR="005D65E5" w:rsidRDefault="005D65E5">
      <w:pPr>
        <w:spacing w:after="0" w:line="360" w:lineRule="auto"/>
        <w:jc w:val="both"/>
        <w:rPr>
          <w:rFonts w:ascii="Times New Roman" w:hAnsi="Times New Roman"/>
          <w:b/>
          <w:bCs/>
          <w:sz w:val="24"/>
          <w:szCs w:val="24"/>
        </w:rPr>
      </w:pPr>
    </w:p>
    <w:p w14:paraId="33719E3F" w14:textId="77777777" w:rsidR="005D65E5" w:rsidRDefault="00736E5B">
      <w:pPr>
        <w:spacing w:after="0" w:line="36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 xml:space="preserve"> Discussion on Phytochemical Levels</w:t>
      </w:r>
    </w:p>
    <w:p w14:paraId="28D09634"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The high flavonoid and phenolic contents found in the ethanolic extract particularly significant because these compounds are naturally potent antioxidants that is capable of donating hydrogen atoms or electrons to neutra</w:t>
      </w:r>
      <w:r>
        <w:rPr>
          <w:rFonts w:ascii="Times New Roman" w:hAnsi="Times New Roman"/>
          <w:sz w:val="24"/>
          <w:szCs w:val="24"/>
        </w:rPr>
        <w:t>lize reactive oxygen species (ROS) (</w:t>
      </w:r>
      <w:proofErr w:type="spellStart"/>
      <w:r>
        <w:rPr>
          <w:rFonts w:ascii="Times New Roman" w:hAnsi="Times New Roman"/>
          <w:sz w:val="24"/>
          <w:szCs w:val="24"/>
        </w:rPr>
        <w:t>Pisoschi</w:t>
      </w:r>
      <w:proofErr w:type="spellEnd"/>
      <w:r>
        <w:rPr>
          <w:rFonts w:ascii="Times New Roman" w:hAnsi="Times New Roman"/>
          <w:sz w:val="24"/>
          <w:szCs w:val="24"/>
        </w:rPr>
        <w:t xml:space="preserve"> &amp; Pop, 2015). Flavonoids are also known to exhibit metal-chelating and anti-inflammatory activities, </w:t>
      </w:r>
      <w:proofErr w:type="gramStart"/>
      <w:r>
        <w:rPr>
          <w:rFonts w:ascii="Times New Roman" w:hAnsi="Times New Roman"/>
          <w:sz w:val="24"/>
          <w:szCs w:val="24"/>
        </w:rPr>
        <w:t xml:space="preserve">which  </w:t>
      </w:r>
      <w:r>
        <w:rPr>
          <w:rFonts w:ascii="Times New Roman" w:hAnsi="Times New Roman"/>
          <w:sz w:val="24"/>
          <w:szCs w:val="24"/>
        </w:rPr>
        <w:lastRenderedPageBreak/>
        <w:t>supports</w:t>
      </w:r>
      <w:proofErr w:type="gramEnd"/>
      <w:r>
        <w:rPr>
          <w:rFonts w:ascii="Times New Roman" w:hAnsi="Times New Roman"/>
          <w:sz w:val="24"/>
          <w:szCs w:val="24"/>
        </w:rPr>
        <w:t xml:space="preserve"> the modulation of oxidative stress and inflammation in biological systems (Middleton </w:t>
      </w:r>
      <w:r>
        <w:rPr>
          <w:rFonts w:ascii="Times New Roman" w:hAnsi="Times New Roman"/>
          <w:i/>
          <w:iCs/>
          <w:sz w:val="24"/>
          <w:szCs w:val="24"/>
        </w:rPr>
        <w:t>et al</w:t>
      </w:r>
      <w:r>
        <w:rPr>
          <w:rFonts w:ascii="Times New Roman" w:hAnsi="Times New Roman"/>
          <w:sz w:val="24"/>
          <w:szCs w:val="24"/>
        </w:rPr>
        <w:t>., 2</w:t>
      </w:r>
      <w:r>
        <w:rPr>
          <w:rFonts w:ascii="Times New Roman" w:hAnsi="Times New Roman"/>
          <w:sz w:val="24"/>
          <w:szCs w:val="24"/>
        </w:rPr>
        <w:t>000).</w:t>
      </w:r>
    </w:p>
    <w:p w14:paraId="651F0F06"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However, phenolic compounds act as reducing agents, free radical scavengers, and singlet oxygen quenchers (Shahidi &amp; </w:t>
      </w:r>
      <w:proofErr w:type="spellStart"/>
      <w:r>
        <w:rPr>
          <w:rFonts w:ascii="Times New Roman" w:hAnsi="Times New Roman"/>
          <w:sz w:val="24"/>
          <w:szCs w:val="24"/>
        </w:rPr>
        <w:t>Ambigaipalan</w:t>
      </w:r>
      <w:proofErr w:type="spellEnd"/>
      <w:r>
        <w:rPr>
          <w:rFonts w:ascii="Times New Roman" w:hAnsi="Times New Roman"/>
          <w:sz w:val="24"/>
          <w:szCs w:val="24"/>
        </w:rPr>
        <w:t xml:space="preserve">, 2015). Their presence in large amounts in T. </w:t>
      </w:r>
      <w:proofErr w:type="spellStart"/>
      <w:r>
        <w:rPr>
          <w:rFonts w:ascii="Times New Roman" w:hAnsi="Times New Roman"/>
          <w:sz w:val="24"/>
          <w:szCs w:val="24"/>
        </w:rPr>
        <w:t>foenum</w:t>
      </w:r>
      <w:proofErr w:type="spellEnd"/>
      <w:r>
        <w:rPr>
          <w:rFonts w:ascii="Times New Roman" w:hAnsi="Times New Roman"/>
          <w:sz w:val="24"/>
          <w:szCs w:val="24"/>
        </w:rPr>
        <w:t>-graecum may underlie the plant’s observed antioxidant and hepatopro</w:t>
      </w:r>
      <w:r>
        <w:rPr>
          <w:rFonts w:ascii="Times New Roman" w:hAnsi="Times New Roman"/>
          <w:sz w:val="24"/>
          <w:szCs w:val="24"/>
        </w:rPr>
        <w:t xml:space="preserve">tective potentials in other experimental models (Ahmad </w:t>
      </w:r>
      <w:r>
        <w:rPr>
          <w:rFonts w:ascii="Times New Roman" w:hAnsi="Times New Roman"/>
          <w:i/>
          <w:iCs/>
          <w:sz w:val="24"/>
          <w:szCs w:val="24"/>
        </w:rPr>
        <w:t>et al</w:t>
      </w:r>
      <w:r>
        <w:rPr>
          <w:rFonts w:ascii="Times New Roman" w:hAnsi="Times New Roman"/>
          <w:sz w:val="24"/>
          <w:szCs w:val="24"/>
        </w:rPr>
        <w:t>., 2020).</w:t>
      </w:r>
    </w:p>
    <w:p w14:paraId="7390339E" w14:textId="77777777" w:rsidR="005D65E5" w:rsidRDefault="005D65E5">
      <w:pPr>
        <w:spacing w:after="0" w:line="360" w:lineRule="auto"/>
        <w:jc w:val="both"/>
        <w:rPr>
          <w:rFonts w:ascii="Times New Roman" w:hAnsi="Times New Roman"/>
          <w:sz w:val="6"/>
          <w:szCs w:val="24"/>
        </w:rPr>
      </w:pPr>
    </w:p>
    <w:p w14:paraId="7E191773"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Saponins were also detected in significant amount (3.26 ± 0.04 mg/100 g). These compounds are surface-active glycosides that contribute to the immune-modulatory and </w:t>
      </w:r>
      <w:proofErr w:type="spellStart"/>
      <w:r>
        <w:rPr>
          <w:rFonts w:ascii="Times New Roman" w:hAnsi="Times New Roman"/>
          <w:sz w:val="24"/>
          <w:szCs w:val="24"/>
        </w:rPr>
        <w:t>hypocholesterolemic</w:t>
      </w:r>
      <w:proofErr w:type="spellEnd"/>
      <w:r>
        <w:rPr>
          <w:rFonts w:ascii="Times New Roman" w:hAnsi="Times New Roman"/>
          <w:sz w:val="24"/>
          <w:szCs w:val="24"/>
        </w:rPr>
        <w:t xml:space="preserve"> </w:t>
      </w:r>
      <w:r>
        <w:rPr>
          <w:rFonts w:ascii="Times New Roman" w:hAnsi="Times New Roman"/>
          <w:sz w:val="24"/>
          <w:szCs w:val="24"/>
        </w:rPr>
        <w:t>properties of fenugreek seeds (Srinivasan, 2006). Saponins have also been linked to membrane-stabilizing and anti-inflammatory effects, which may be beneficial in attenuating tissue damage during inflammation.</w:t>
      </w:r>
    </w:p>
    <w:p w14:paraId="23A59C14"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presence of alkaloids (1.94 ± 0.04 mg/100 </w:t>
      </w:r>
      <w:r>
        <w:rPr>
          <w:rFonts w:ascii="Times New Roman" w:hAnsi="Times New Roman"/>
          <w:sz w:val="24"/>
          <w:szCs w:val="24"/>
        </w:rPr>
        <w:t xml:space="preserve">g) indicates potential pharmacological activity, as alkaloids are known to possess analgesic, anti-inflammatory, and antimicrobial properties (Tiwari </w:t>
      </w:r>
      <w:r>
        <w:rPr>
          <w:rFonts w:ascii="Times New Roman" w:hAnsi="Times New Roman"/>
          <w:i/>
          <w:iCs/>
          <w:sz w:val="24"/>
          <w:szCs w:val="24"/>
        </w:rPr>
        <w:t>et al.</w:t>
      </w:r>
      <w:r>
        <w:rPr>
          <w:rFonts w:ascii="Times New Roman" w:hAnsi="Times New Roman"/>
          <w:sz w:val="24"/>
          <w:szCs w:val="24"/>
        </w:rPr>
        <w:t>, 2011). Similarly, tannins, though present in moderate quantities (1.19 ± 0.03 mg/100 g), are astri</w:t>
      </w:r>
      <w:r>
        <w:rPr>
          <w:rFonts w:ascii="Times New Roman" w:hAnsi="Times New Roman"/>
          <w:sz w:val="24"/>
          <w:szCs w:val="24"/>
        </w:rPr>
        <w:t>ngent polyphenols that can complex with proteins and form protective barriers against oxidative damage.</w:t>
      </w:r>
    </w:p>
    <w:p w14:paraId="23616423" w14:textId="77777777" w:rsidR="005D65E5" w:rsidRDefault="005D65E5">
      <w:pPr>
        <w:spacing w:after="0" w:line="360" w:lineRule="auto"/>
        <w:jc w:val="both"/>
        <w:rPr>
          <w:rFonts w:ascii="Times New Roman" w:hAnsi="Times New Roman"/>
          <w:sz w:val="6"/>
          <w:szCs w:val="24"/>
        </w:rPr>
      </w:pPr>
    </w:p>
    <w:p w14:paraId="6A4B6762"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Steroids and terpenoids, though relatively low in concentration, are also significant because they serve as precursors for various hormones and exhibit</w:t>
      </w:r>
      <w:r>
        <w:rPr>
          <w:rFonts w:ascii="Times New Roman" w:hAnsi="Times New Roman"/>
          <w:sz w:val="24"/>
          <w:szCs w:val="24"/>
        </w:rPr>
        <w:t xml:space="preserve"> strong anti-inflammatory and cytotoxic properties (Ferguson, 1956). The presence of cardiac glycosides, even in trace amounts, indicates possible cardiotonic effects associated with T. </w:t>
      </w:r>
      <w:proofErr w:type="spellStart"/>
      <w:r>
        <w:rPr>
          <w:rFonts w:ascii="Times New Roman" w:hAnsi="Times New Roman"/>
          <w:sz w:val="24"/>
          <w:szCs w:val="24"/>
        </w:rPr>
        <w:t>foenum</w:t>
      </w:r>
      <w:proofErr w:type="spellEnd"/>
      <w:r>
        <w:rPr>
          <w:rFonts w:ascii="Times New Roman" w:hAnsi="Times New Roman"/>
          <w:sz w:val="24"/>
          <w:szCs w:val="24"/>
        </w:rPr>
        <w:t>-graecum (Evans, 2002).</w:t>
      </w:r>
    </w:p>
    <w:p w14:paraId="69C9FE2E" w14:textId="77777777" w:rsidR="005D65E5" w:rsidRDefault="005D65E5">
      <w:pPr>
        <w:spacing w:after="0" w:line="360" w:lineRule="auto"/>
        <w:jc w:val="both"/>
        <w:rPr>
          <w:rFonts w:ascii="Times New Roman" w:eastAsia="Calibri" w:hAnsi="Times New Roman"/>
          <w:b/>
          <w:bCs/>
          <w:sz w:val="24"/>
          <w:szCs w:val="24"/>
          <w:lang w:eastAsia="en-US"/>
        </w:rPr>
      </w:pPr>
    </w:p>
    <w:p w14:paraId="052913EA" w14:textId="7BEBFDC5"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w:t>
      </w:r>
      <w:r w:rsidR="00E9533A">
        <w:rPr>
          <w:rFonts w:ascii="Times New Roman" w:eastAsia="Calibri" w:hAnsi="Times New Roman"/>
          <w:b/>
          <w:bCs/>
          <w:sz w:val="24"/>
          <w:szCs w:val="24"/>
          <w:lang w:eastAsia="en-US"/>
        </w:rPr>
        <w:t>3</w:t>
      </w:r>
      <w:r>
        <w:rPr>
          <w:rFonts w:ascii="Times New Roman" w:eastAsia="Calibri" w:hAnsi="Times New Roman"/>
          <w:b/>
          <w:bCs/>
          <w:sz w:val="24"/>
          <w:szCs w:val="24"/>
          <w:lang w:eastAsia="en-US"/>
        </w:rPr>
        <w:t>. Nitric Oxide (NO) Radical Scav</w:t>
      </w:r>
      <w:r>
        <w:rPr>
          <w:rFonts w:ascii="Times New Roman" w:eastAsia="Calibri" w:hAnsi="Times New Roman"/>
          <w:b/>
          <w:bCs/>
          <w:sz w:val="24"/>
          <w:szCs w:val="24"/>
          <w:lang w:eastAsia="en-US"/>
        </w:rPr>
        <w:t>enging Activity</w:t>
      </w:r>
    </w:p>
    <w:tbl>
      <w:tblPr>
        <w:tblW w:w="0" w:type="auto"/>
        <w:tblLook w:val="04A0" w:firstRow="1" w:lastRow="0" w:firstColumn="1" w:lastColumn="0" w:noHBand="0" w:noVBand="1"/>
      </w:tblPr>
      <w:tblGrid>
        <w:gridCol w:w="1696"/>
        <w:gridCol w:w="2397"/>
        <w:gridCol w:w="2199"/>
      </w:tblGrid>
      <w:tr w:rsidR="005D65E5" w14:paraId="36923775" w14:textId="77777777">
        <w:trPr>
          <w:trHeight w:val="910"/>
        </w:trPr>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AC63"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Concentration (µg/mL)</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42B" w14:textId="77777777" w:rsidR="005D65E5" w:rsidRDefault="00736E5B">
            <w:pPr>
              <w:spacing w:after="0" w:line="360" w:lineRule="auto"/>
              <w:jc w:val="both"/>
              <w:rPr>
                <w:rFonts w:ascii="Times New Roman" w:hAnsi="Times New Roman"/>
                <w:sz w:val="24"/>
                <w:szCs w:val="24"/>
              </w:rPr>
            </w:pPr>
            <w:proofErr w:type="gramStart"/>
            <w:r>
              <w:rPr>
                <w:rFonts w:ascii="Times New Roman" w:eastAsia="Calibri" w:hAnsi="Times New Roman"/>
                <w:b/>
                <w:bCs/>
                <w:sz w:val="24"/>
                <w:szCs w:val="24"/>
                <w:lang w:eastAsia="en-US"/>
              </w:rPr>
              <w:t>Extract(</w:t>
            </w:r>
            <w:proofErr w:type="gramEnd"/>
            <w:r>
              <w:rPr>
                <w:rFonts w:ascii="Times New Roman" w:eastAsia="Calibri" w:hAnsi="Times New Roman"/>
                <w:b/>
                <w:bCs/>
                <w:sz w:val="24"/>
                <w:szCs w:val="24"/>
                <w:lang w:eastAsia="en-US"/>
              </w:rPr>
              <w:t>%Inhibition, Mean ± SEM)</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BB3EB"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Vitamin C (%Inhibition, Mean ± SEM)</w:t>
            </w:r>
          </w:p>
        </w:tc>
      </w:tr>
      <w:tr w:rsidR="005D65E5" w14:paraId="73169DA7"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64B5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50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E9AE"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10.31 ± 0.07</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28935"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21.24 ± 0.54</w:t>
            </w:r>
          </w:p>
        </w:tc>
      </w:tr>
      <w:tr w:rsidR="005D65E5" w14:paraId="16B849F9"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02FC"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100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E4601"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20.06 ± 0.07</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060A3"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36.43 ± 0.51</w:t>
            </w:r>
          </w:p>
        </w:tc>
      </w:tr>
      <w:tr w:rsidR="005D65E5" w14:paraId="11372D49"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991"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200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22DC9"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39.90 ± 0.22</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35740"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60.34 ± 0.35</w:t>
            </w:r>
          </w:p>
        </w:tc>
      </w:tr>
      <w:tr w:rsidR="005D65E5" w14:paraId="096FBF59"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6E4"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400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2033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52.43 ± 0.20</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30DA8"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70.78 ± 0.25</w:t>
            </w:r>
          </w:p>
        </w:tc>
      </w:tr>
      <w:tr w:rsidR="005D65E5" w14:paraId="6FBCC92C"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C8097"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800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F0BB"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61.58 ± 0.11</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0189"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78.94 ± </w:t>
            </w:r>
            <w:r>
              <w:rPr>
                <w:rFonts w:ascii="Times New Roman" w:eastAsia="Calibri" w:hAnsi="Times New Roman"/>
                <w:sz w:val="24"/>
                <w:szCs w:val="24"/>
                <w:lang w:eastAsia="en-US"/>
              </w:rPr>
              <w:t>0.75</w:t>
            </w:r>
          </w:p>
        </w:tc>
      </w:tr>
    </w:tbl>
    <w:p w14:paraId="387E861C" w14:textId="77777777" w:rsidR="005D65E5" w:rsidRDefault="005D65E5">
      <w:pPr>
        <w:spacing w:after="0" w:line="360" w:lineRule="auto"/>
        <w:jc w:val="both"/>
        <w:rPr>
          <w:rFonts w:ascii="Times New Roman" w:hAnsi="Times New Roman"/>
          <w:sz w:val="24"/>
          <w:szCs w:val="24"/>
        </w:rPr>
      </w:pPr>
    </w:p>
    <w:p w14:paraId="68EBB404"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Nitric oxide is a reactive free radical involved in inflammatory and oxidative processes. Excess production of NO can react with superoxide anions to form </w:t>
      </w:r>
      <w:proofErr w:type="spellStart"/>
      <w:r>
        <w:rPr>
          <w:rFonts w:ascii="Times New Roman" w:hAnsi="Times New Roman"/>
          <w:sz w:val="24"/>
          <w:szCs w:val="24"/>
        </w:rPr>
        <w:t>peroxynitrite</w:t>
      </w:r>
      <w:proofErr w:type="spellEnd"/>
      <w:r>
        <w:rPr>
          <w:rFonts w:ascii="Times New Roman" w:hAnsi="Times New Roman"/>
          <w:sz w:val="24"/>
          <w:szCs w:val="24"/>
        </w:rPr>
        <w:t>, a potent oxidant capable of inducing cellular damage (Lobo et al., 2010). In th</w:t>
      </w:r>
      <w:r>
        <w:rPr>
          <w:rFonts w:ascii="Times New Roman" w:hAnsi="Times New Roman"/>
          <w:sz w:val="24"/>
          <w:szCs w:val="24"/>
        </w:rPr>
        <w:t>is study, the fenugreek seed extract showed a dose-dependent inhibition of nitric oxide radicals, increasing from 10.31 ± 0.07 % at 50 µg/mL to 61.58 ± 0.11 % at 800 µg/</w:t>
      </w:r>
      <w:proofErr w:type="spellStart"/>
      <w:r>
        <w:rPr>
          <w:rFonts w:ascii="Times New Roman" w:hAnsi="Times New Roman"/>
          <w:sz w:val="24"/>
          <w:szCs w:val="24"/>
        </w:rPr>
        <w:t>mL.</w:t>
      </w:r>
      <w:proofErr w:type="spellEnd"/>
      <w:r>
        <w:rPr>
          <w:rFonts w:ascii="Times New Roman" w:hAnsi="Times New Roman"/>
          <w:sz w:val="24"/>
          <w:szCs w:val="24"/>
        </w:rPr>
        <w:t xml:space="preserve"> This significant scavenging effect suggests that bioactive compounds in the extract</w:t>
      </w:r>
      <w:r>
        <w:rPr>
          <w:rFonts w:ascii="Times New Roman" w:hAnsi="Times New Roman"/>
          <w:sz w:val="24"/>
          <w:szCs w:val="24"/>
        </w:rPr>
        <w:t xml:space="preserve">, such as flavonoids and polyphenols, may interfere with nitrite accumulation and modulate reactive nitrogen species (Pandey &amp; Rizvi, 2009). These findings </w:t>
      </w:r>
      <w:proofErr w:type="gramStart"/>
      <w:r>
        <w:rPr>
          <w:rFonts w:ascii="Times New Roman" w:hAnsi="Times New Roman"/>
          <w:sz w:val="24"/>
          <w:szCs w:val="24"/>
        </w:rPr>
        <w:t>agrees</w:t>
      </w:r>
      <w:proofErr w:type="gramEnd"/>
      <w:r>
        <w:rPr>
          <w:rFonts w:ascii="Times New Roman" w:hAnsi="Times New Roman"/>
          <w:sz w:val="24"/>
          <w:szCs w:val="24"/>
        </w:rPr>
        <w:t xml:space="preserve"> with the previous studies reported by Raju </w:t>
      </w:r>
      <w:r>
        <w:rPr>
          <w:rFonts w:ascii="Times New Roman" w:hAnsi="Times New Roman"/>
          <w:i/>
          <w:iCs/>
          <w:sz w:val="24"/>
          <w:szCs w:val="24"/>
        </w:rPr>
        <w:t>et al.</w:t>
      </w:r>
      <w:r>
        <w:rPr>
          <w:rFonts w:ascii="Times New Roman" w:hAnsi="Times New Roman"/>
          <w:sz w:val="24"/>
          <w:szCs w:val="24"/>
        </w:rPr>
        <w:t xml:space="preserve"> (2020), who demonstrated the nitric oxide s</w:t>
      </w:r>
      <w:r>
        <w:rPr>
          <w:rFonts w:ascii="Times New Roman" w:hAnsi="Times New Roman"/>
          <w:sz w:val="24"/>
          <w:szCs w:val="24"/>
        </w:rPr>
        <w:t xml:space="preserve">cavenging potential of </w:t>
      </w:r>
      <w:r>
        <w:rPr>
          <w:rFonts w:ascii="Times New Roman" w:hAnsi="Times New Roman"/>
          <w:i/>
          <w:sz w:val="24"/>
          <w:szCs w:val="24"/>
        </w:rPr>
        <w:t xml:space="preserve">T. </w:t>
      </w:r>
      <w:proofErr w:type="spellStart"/>
      <w:r>
        <w:rPr>
          <w:rFonts w:ascii="Times New Roman" w:hAnsi="Times New Roman"/>
          <w:i/>
          <w:sz w:val="24"/>
          <w:szCs w:val="24"/>
        </w:rPr>
        <w:t>foenum</w:t>
      </w:r>
      <w:proofErr w:type="spellEnd"/>
      <w:r>
        <w:rPr>
          <w:rFonts w:ascii="Times New Roman" w:hAnsi="Times New Roman"/>
          <w:i/>
          <w:sz w:val="24"/>
          <w:szCs w:val="24"/>
        </w:rPr>
        <w:t>-graecum</w:t>
      </w:r>
      <w:r>
        <w:rPr>
          <w:rFonts w:ascii="Times New Roman" w:hAnsi="Times New Roman"/>
          <w:sz w:val="24"/>
          <w:szCs w:val="24"/>
        </w:rPr>
        <w:t xml:space="preserve"> methanolic extract, supporting its anti-inflammatory relevance.</w:t>
      </w:r>
    </w:p>
    <w:p w14:paraId="3565E11C" w14:textId="77777777" w:rsidR="005D65E5" w:rsidRDefault="005D65E5">
      <w:pPr>
        <w:spacing w:after="0" w:line="360" w:lineRule="auto"/>
        <w:jc w:val="both"/>
        <w:rPr>
          <w:rFonts w:ascii="Times New Roman" w:eastAsia="Calibri" w:hAnsi="Times New Roman"/>
          <w:b/>
          <w:bCs/>
          <w:sz w:val="24"/>
          <w:szCs w:val="24"/>
          <w:lang w:eastAsia="en-US"/>
        </w:rPr>
      </w:pPr>
    </w:p>
    <w:p w14:paraId="2079B8FA" w14:textId="77777777" w:rsidR="005D65E5" w:rsidRDefault="005D65E5">
      <w:pPr>
        <w:spacing w:after="0" w:line="360" w:lineRule="auto"/>
        <w:jc w:val="both"/>
        <w:rPr>
          <w:rFonts w:ascii="Times New Roman" w:eastAsia="Calibri" w:hAnsi="Times New Roman"/>
          <w:b/>
          <w:bCs/>
          <w:sz w:val="24"/>
          <w:szCs w:val="24"/>
          <w:lang w:eastAsia="en-US"/>
        </w:rPr>
      </w:pPr>
    </w:p>
    <w:p w14:paraId="78BA256F" w14:textId="77777777" w:rsidR="005D65E5" w:rsidRDefault="005D65E5">
      <w:pPr>
        <w:spacing w:after="0" w:line="360" w:lineRule="auto"/>
        <w:jc w:val="both"/>
        <w:rPr>
          <w:rFonts w:ascii="Times New Roman" w:eastAsia="Calibri" w:hAnsi="Times New Roman"/>
          <w:b/>
          <w:bCs/>
          <w:sz w:val="24"/>
          <w:szCs w:val="24"/>
          <w:lang w:eastAsia="en-US"/>
        </w:rPr>
      </w:pPr>
    </w:p>
    <w:p w14:paraId="183B12A1" w14:textId="6AE15FC9"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w:t>
      </w:r>
      <w:r w:rsidR="00E9533A">
        <w:rPr>
          <w:rFonts w:ascii="Times New Roman" w:eastAsia="Calibri" w:hAnsi="Times New Roman"/>
          <w:b/>
          <w:bCs/>
          <w:sz w:val="24"/>
          <w:szCs w:val="24"/>
          <w:lang w:eastAsia="en-US"/>
        </w:rPr>
        <w:t>4</w:t>
      </w:r>
      <w:r>
        <w:rPr>
          <w:rFonts w:ascii="Times New Roman" w:eastAsia="Calibri" w:hAnsi="Times New Roman"/>
          <w:b/>
          <w:bCs/>
          <w:sz w:val="24"/>
          <w:szCs w:val="24"/>
          <w:lang w:eastAsia="en-US"/>
        </w:rPr>
        <w:t>. DPPH Radical Scavenging Activity</w:t>
      </w:r>
    </w:p>
    <w:tbl>
      <w:tblPr>
        <w:tblW w:w="0" w:type="auto"/>
        <w:tblLook w:val="04A0" w:firstRow="1" w:lastRow="0" w:firstColumn="1" w:lastColumn="0" w:noHBand="0" w:noVBand="1"/>
      </w:tblPr>
      <w:tblGrid>
        <w:gridCol w:w="1696"/>
        <w:gridCol w:w="2397"/>
        <w:gridCol w:w="2855"/>
      </w:tblGrid>
      <w:tr w:rsidR="005D65E5" w14:paraId="3D8CC8B1" w14:textId="77777777">
        <w:trPr>
          <w:trHeight w:val="910"/>
        </w:trPr>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67558" w14:textId="77777777" w:rsidR="005D65E5" w:rsidRDefault="00736E5B">
            <w:pPr>
              <w:spacing w:after="0" w:line="240" w:lineRule="auto"/>
              <w:jc w:val="both"/>
              <w:rPr>
                <w:rFonts w:ascii="Times New Roman" w:hAnsi="Times New Roman"/>
                <w:sz w:val="24"/>
                <w:szCs w:val="24"/>
              </w:rPr>
            </w:pPr>
            <w:r>
              <w:rPr>
                <w:rFonts w:ascii="Times New Roman" w:eastAsia="Calibri" w:hAnsi="Times New Roman"/>
                <w:b/>
                <w:bCs/>
                <w:sz w:val="24"/>
                <w:szCs w:val="24"/>
                <w:lang w:eastAsia="en-US"/>
              </w:rPr>
              <w:t>Concentration (µg/mL)</w:t>
            </w:r>
          </w:p>
        </w:tc>
        <w:tc>
          <w:tcPr>
            <w:tcW w:w="2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0760F" w14:textId="77777777" w:rsidR="005D65E5" w:rsidRDefault="00736E5B">
            <w:pPr>
              <w:spacing w:after="0" w:line="240" w:lineRule="auto"/>
              <w:jc w:val="both"/>
              <w:rPr>
                <w:rFonts w:ascii="Times New Roman" w:hAnsi="Times New Roman"/>
                <w:sz w:val="24"/>
                <w:szCs w:val="24"/>
              </w:rPr>
            </w:pPr>
            <w:proofErr w:type="gramStart"/>
            <w:r>
              <w:rPr>
                <w:rFonts w:ascii="Times New Roman" w:eastAsia="Calibri" w:hAnsi="Times New Roman"/>
                <w:b/>
                <w:bCs/>
                <w:sz w:val="24"/>
                <w:szCs w:val="24"/>
                <w:lang w:eastAsia="en-US"/>
              </w:rPr>
              <w:t>Extract(</w:t>
            </w:r>
            <w:proofErr w:type="gramEnd"/>
            <w:r>
              <w:rPr>
                <w:rFonts w:ascii="Times New Roman" w:eastAsia="Calibri" w:hAnsi="Times New Roman"/>
                <w:b/>
                <w:bCs/>
                <w:sz w:val="24"/>
                <w:szCs w:val="24"/>
                <w:lang w:eastAsia="en-US"/>
              </w:rPr>
              <w:t>%Inhibition, Mean ± SEM)</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DBCB2" w14:textId="77777777" w:rsidR="005D65E5" w:rsidRDefault="00736E5B">
            <w:pPr>
              <w:spacing w:after="0" w:line="240" w:lineRule="auto"/>
              <w:jc w:val="both"/>
              <w:rPr>
                <w:rFonts w:ascii="Times New Roman" w:hAnsi="Times New Roman"/>
                <w:sz w:val="24"/>
                <w:szCs w:val="24"/>
              </w:rPr>
            </w:pPr>
            <w:r>
              <w:rPr>
                <w:rFonts w:ascii="Times New Roman" w:eastAsia="Calibri" w:hAnsi="Times New Roman"/>
                <w:b/>
                <w:bCs/>
                <w:sz w:val="24"/>
                <w:szCs w:val="24"/>
                <w:lang w:eastAsia="en-US"/>
              </w:rPr>
              <w:t>Vitamin C (%Inhibition, Mean ± SEM)</w:t>
            </w:r>
          </w:p>
        </w:tc>
      </w:tr>
      <w:tr w:rsidR="005D65E5" w14:paraId="41D409ED" w14:textId="77777777">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F87A"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50</w:t>
            </w:r>
          </w:p>
        </w:tc>
        <w:tc>
          <w:tcPr>
            <w:tcW w:w="2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859C7"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18.56 ± </w:t>
            </w:r>
            <w:r>
              <w:rPr>
                <w:rFonts w:ascii="Times New Roman" w:eastAsia="Calibri" w:hAnsi="Times New Roman"/>
                <w:sz w:val="24"/>
                <w:szCs w:val="24"/>
                <w:lang w:eastAsia="en-US"/>
              </w:rPr>
              <w:t>0.12</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911FE"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30.93 ± 0.32</w:t>
            </w:r>
          </w:p>
        </w:tc>
      </w:tr>
      <w:tr w:rsidR="005D65E5" w14:paraId="4F56A74D" w14:textId="77777777">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D9BF7"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100</w:t>
            </w:r>
          </w:p>
        </w:tc>
        <w:tc>
          <w:tcPr>
            <w:tcW w:w="2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4EE4"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27.74 ± 0.09</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338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49.81 ± 0.07</w:t>
            </w:r>
          </w:p>
        </w:tc>
      </w:tr>
      <w:tr w:rsidR="005D65E5" w14:paraId="5C8B0C3A" w14:textId="77777777">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D1136"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200</w:t>
            </w:r>
          </w:p>
        </w:tc>
        <w:tc>
          <w:tcPr>
            <w:tcW w:w="2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A0F18"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40.13 ± 0.15</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FAB0"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61.37 ± 0.09</w:t>
            </w:r>
          </w:p>
        </w:tc>
      </w:tr>
      <w:tr w:rsidR="005D65E5" w14:paraId="4BBB0960" w14:textId="77777777">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0E230"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400</w:t>
            </w:r>
          </w:p>
        </w:tc>
        <w:tc>
          <w:tcPr>
            <w:tcW w:w="2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23276"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55.98 ± 0.33</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CFB4"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68.99 ± 0.21</w:t>
            </w:r>
          </w:p>
        </w:tc>
      </w:tr>
      <w:tr w:rsidR="005D65E5" w14:paraId="36C9775D" w14:textId="77777777">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391AC"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800</w:t>
            </w:r>
          </w:p>
        </w:tc>
        <w:tc>
          <w:tcPr>
            <w:tcW w:w="2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85F9B"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70.39 ± 0.25</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89B44"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82.66 ± 0.16</w:t>
            </w:r>
          </w:p>
        </w:tc>
      </w:tr>
    </w:tbl>
    <w:p w14:paraId="69F507B2" w14:textId="77777777" w:rsidR="005D65E5" w:rsidRDefault="005D65E5">
      <w:pPr>
        <w:spacing w:after="0" w:line="360" w:lineRule="auto"/>
        <w:jc w:val="both"/>
        <w:rPr>
          <w:rFonts w:ascii="Times New Roman" w:hAnsi="Times New Roman"/>
          <w:sz w:val="24"/>
          <w:szCs w:val="24"/>
        </w:rPr>
      </w:pPr>
    </w:p>
    <w:p w14:paraId="78351A7E"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DPPH assay is widely used to assess the hydrogen-donating capacity of antioxidants (Brand-Williams, </w:t>
      </w:r>
      <w:proofErr w:type="spellStart"/>
      <w:r>
        <w:rPr>
          <w:rFonts w:ascii="Times New Roman" w:hAnsi="Times New Roman"/>
          <w:sz w:val="24"/>
          <w:szCs w:val="24"/>
        </w:rPr>
        <w:t>Cuvelier</w:t>
      </w:r>
      <w:proofErr w:type="spellEnd"/>
      <w:r>
        <w:rPr>
          <w:rFonts w:ascii="Times New Roman" w:hAnsi="Times New Roman"/>
          <w:sz w:val="24"/>
          <w:szCs w:val="24"/>
        </w:rPr>
        <w:t xml:space="preserve">, &amp; </w:t>
      </w:r>
      <w:proofErr w:type="spellStart"/>
      <w:r>
        <w:rPr>
          <w:rFonts w:ascii="Times New Roman" w:hAnsi="Times New Roman"/>
          <w:sz w:val="24"/>
          <w:szCs w:val="24"/>
        </w:rPr>
        <w:t>Berset</w:t>
      </w:r>
      <w:proofErr w:type="spellEnd"/>
      <w:r>
        <w:rPr>
          <w:rFonts w:ascii="Times New Roman" w:hAnsi="Times New Roman"/>
          <w:sz w:val="24"/>
          <w:szCs w:val="24"/>
        </w:rPr>
        <w:t xml:space="preserve">, 1995). The extract exhibited a progressive increase in scavenging capacity from 18.56 ± 0.12 % at 50 µg/mL to 70.39 ± 0.25 % at 800 </w:t>
      </w:r>
      <w:r>
        <w:rPr>
          <w:rFonts w:ascii="Times New Roman" w:hAnsi="Times New Roman"/>
          <w:sz w:val="24"/>
          <w:szCs w:val="24"/>
        </w:rPr>
        <w:t>µg/mL, compared to vitamin C (82.66 ± 0.16 % at the same concentration). This observation confirms the presence of compounds capable of donating hydrogen or electrons to neutralize free radicals. The strong antioxidant activity may be attributed to the syn</w:t>
      </w:r>
      <w:r>
        <w:rPr>
          <w:rFonts w:ascii="Times New Roman" w:hAnsi="Times New Roman"/>
          <w:sz w:val="24"/>
          <w:szCs w:val="24"/>
        </w:rPr>
        <w:t xml:space="preserve">ergistic effects of phenolic acids, flavonoids, and saponins known to be present in fenugreek seeds (Sharma </w:t>
      </w:r>
      <w:r>
        <w:rPr>
          <w:rFonts w:ascii="Times New Roman" w:hAnsi="Times New Roman"/>
          <w:i/>
          <w:iCs/>
          <w:sz w:val="24"/>
          <w:szCs w:val="24"/>
        </w:rPr>
        <w:t>et al.</w:t>
      </w:r>
      <w:r>
        <w:rPr>
          <w:rFonts w:ascii="Times New Roman" w:hAnsi="Times New Roman"/>
          <w:sz w:val="24"/>
          <w:szCs w:val="24"/>
        </w:rPr>
        <w:t xml:space="preserve">, 2016). These results corroborate </w:t>
      </w:r>
      <w:r>
        <w:rPr>
          <w:rFonts w:ascii="Times New Roman" w:hAnsi="Times New Roman"/>
          <w:sz w:val="24"/>
          <w:szCs w:val="24"/>
        </w:rPr>
        <w:lastRenderedPageBreak/>
        <w:t>previous studies indicating that fenugreek seed extracts possess potent radical-scavenging and lipid-peroxi</w:t>
      </w:r>
      <w:r>
        <w:rPr>
          <w:rFonts w:ascii="Times New Roman" w:hAnsi="Times New Roman"/>
          <w:sz w:val="24"/>
          <w:szCs w:val="24"/>
        </w:rPr>
        <w:t xml:space="preserve">dation-inhibiting properties (Sowmya &amp; </w:t>
      </w:r>
      <w:proofErr w:type="spellStart"/>
      <w:r>
        <w:rPr>
          <w:rFonts w:ascii="Times New Roman" w:hAnsi="Times New Roman"/>
          <w:sz w:val="24"/>
          <w:szCs w:val="24"/>
        </w:rPr>
        <w:t>Rajyalakshmi</w:t>
      </w:r>
      <w:proofErr w:type="spellEnd"/>
      <w:r>
        <w:rPr>
          <w:rFonts w:ascii="Times New Roman" w:hAnsi="Times New Roman"/>
          <w:sz w:val="24"/>
          <w:szCs w:val="24"/>
        </w:rPr>
        <w:t>, 2018).</w:t>
      </w:r>
    </w:p>
    <w:p w14:paraId="28464405" w14:textId="77777777" w:rsidR="005D65E5" w:rsidRDefault="005D65E5">
      <w:pPr>
        <w:spacing w:after="0" w:line="360" w:lineRule="auto"/>
        <w:jc w:val="both"/>
        <w:rPr>
          <w:rFonts w:ascii="Times New Roman" w:eastAsia="Calibri" w:hAnsi="Times New Roman"/>
          <w:b/>
          <w:bCs/>
          <w:sz w:val="8"/>
          <w:szCs w:val="24"/>
          <w:lang w:eastAsia="en-US"/>
        </w:rPr>
      </w:pPr>
    </w:p>
    <w:p w14:paraId="2A01B332" w14:textId="556F230F"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w:t>
      </w:r>
      <w:r w:rsidR="00E9533A">
        <w:rPr>
          <w:rFonts w:ascii="Times New Roman" w:eastAsia="Calibri" w:hAnsi="Times New Roman"/>
          <w:b/>
          <w:bCs/>
          <w:sz w:val="24"/>
          <w:szCs w:val="24"/>
          <w:lang w:eastAsia="en-US"/>
        </w:rPr>
        <w:t>5</w:t>
      </w:r>
      <w:r>
        <w:rPr>
          <w:rFonts w:ascii="Times New Roman" w:eastAsia="Calibri" w:hAnsi="Times New Roman"/>
          <w:b/>
          <w:bCs/>
          <w:sz w:val="24"/>
          <w:szCs w:val="24"/>
          <w:lang w:eastAsia="en-US"/>
        </w:rPr>
        <w:t>. Ferric Reducing Antioxidant Power (FRAP)</w:t>
      </w:r>
    </w:p>
    <w:tbl>
      <w:tblPr>
        <w:tblW w:w="0" w:type="auto"/>
        <w:tblLook w:val="04A0" w:firstRow="1" w:lastRow="0" w:firstColumn="1" w:lastColumn="0" w:noHBand="0" w:noVBand="1"/>
      </w:tblPr>
      <w:tblGrid>
        <w:gridCol w:w="1696"/>
        <w:gridCol w:w="2397"/>
        <w:gridCol w:w="2199"/>
      </w:tblGrid>
      <w:tr w:rsidR="005D65E5" w14:paraId="40570093" w14:textId="77777777">
        <w:trPr>
          <w:trHeight w:val="910"/>
        </w:trPr>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4814"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Concentration (µg/mL)</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DE29C" w14:textId="77777777" w:rsidR="005D65E5" w:rsidRDefault="00736E5B">
            <w:pPr>
              <w:spacing w:after="0" w:line="360" w:lineRule="auto"/>
              <w:jc w:val="both"/>
              <w:rPr>
                <w:rFonts w:ascii="Times New Roman" w:hAnsi="Times New Roman"/>
                <w:sz w:val="24"/>
                <w:szCs w:val="24"/>
              </w:rPr>
            </w:pPr>
            <w:proofErr w:type="gramStart"/>
            <w:r>
              <w:rPr>
                <w:rFonts w:ascii="Times New Roman" w:eastAsia="Calibri" w:hAnsi="Times New Roman"/>
                <w:b/>
                <w:bCs/>
                <w:sz w:val="24"/>
                <w:szCs w:val="24"/>
                <w:lang w:eastAsia="en-US"/>
              </w:rPr>
              <w:t>Extract(</w:t>
            </w:r>
            <w:proofErr w:type="gramEnd"/>
            <w:r>
              <w:rPr>
                <w:rFonts w:ascii="Times New Roman" w:eastAsia="Calibri" w:hAnsi="Times New Roman"/>
                <w:b/>
                <w:bCs/>
                <w:sz w:val="24"/>
                <w:szCs w:val="24"/>
                <w:lang w:eastAsia="en-US"/>
              </w:rPr>
              <w:t>%Inhibition, Mean ± SEM)</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4F1E"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Vitamin C (%Inhibition, Mean ± SEM)</w:t>
            </w:r>
          </w:p>
        </w:tc>
      </w:tr>
      <w:tr w:rsidR="005D65E5" w14:paraId="5FA09504"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DD69A"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50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EAB8F"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3.32 ± 0.04</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87015"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12.41 ± 0.06</w:t>
            </w:r>
          </w:p>
        </w:tc>
      </w:tr>
      <w:tr w:rsidR="005D65E5" w14:paraId="2053DE6A"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1ADEB"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100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9E6B0"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8.43 ± 0.17</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3D15D"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21.62 ± </w:t>
            </w:r>
            <w:r>
              <w:rPr>
                <w:rFonts w:ascii="Times New Roman" w:eastAsia="Calibri" w:hAnsi="Times New Roman"/>
                <w:sz w:val="24"/>
                <w:szCs w:val="24"/>
                <w:lang w:eastAsia="en-US"/>
              </w:rPr>
              <w:t>0.16</w:t>
            </w:r>
          </w:p>
        </w:tc>
      </w:tr>
      <w:tr w:rsidR="005D65E5" w14:paraId="1D5E20AB"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84546"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200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6742F"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17.83 ± 0.05</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FC2E"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39.06 ± 0.21</w:t>
            </w:r>
          </w:p>
        </w:tc>
      </w:tr>
      <w:tr w:rsidR="005D65E5" w14:paraId="61379F8A" w14:textId="77777777">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7FD30"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400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F5B4"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26.67 ± 0.13</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6B701"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48.77 ± 0.51</w:t>
            </w:r>
          </w:p>
        </w:tc>
      </w:tr>
      <w:tr w:rsidR="005D65E5" w14:paraId="4069D630" w14:textId="77777777">
        <w:trPr>
          <w:trHeight w:val="582"/>
        </w:trPr>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06CD7"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800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49AC"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41.20 ± 0.14</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35F5" w14:textId="77777777" w:rsidR="005D65E5" w:rsidRDefault="00736E5B">
            <w:pPr>
              <w:spacing w:after="0" w:line="360" w:lineRule="auto"/>
              <w:jc w:val="both"/>
              <w:rPr>
                <w:rFonts w:ascii="Times New Roman" w:hAnsi="Times New Roman"/>
                <w:sz w:val="24"/>
                <w:szCs w:val="24"/>
              </w:rPr>
            </w:pPr>
            <w:r>
              <w:rPr>
                <w:rFonts w:ascii="Times New Roman" w:eastAsia="Calibri" w:hAnsi="Times New Roman"/>
                <w:sz w:val="24"/>
                <w:szCs w:val="24"/>
                <w:lang w:eastAsia="en-US"/>
              </w:rPr>
              <w:t>65.41 ± 0.28</w:t>
            </w:r>
          </w:p>
        </w:tc>
      </w:tr>
    </w:tbl>
    <w:p w14:paraId="374AD5A4" w14:textId="77777777" w:rsidR="005D65E5" w:rsidRDefault="005D65E5">
      <w:pPr>
        <w:spacing w:after="0" w:line="360" w:lineRule="auto"/>
        <w:jc w:val="both"/>
        <w:rPr>
          <w:rFonts w:ascii="Times New Roman" w:hAnsi="Times New Roman"/>
          <w:sz w:val="24"/>
          <w:szCs w:val="24"/>
        </w:rPr>
      </w:pPr>
    </w:p>
    <w:p w14:paraId="4CF2C520"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The ferric reducing antioxidant power assay measures the ability of antioxidants to reduce Fe³⁺ to Fe²⁺, reflecting their electron-donating capacity. In this study, the fenugreek seed extract showed a significant increase in ferric-reducing potential, rang</w:t>
      </w:r>
      <w:r>
        <w:rPr>
          <w:rFonts w:ascii="Times New Roman" w:hAnsi="Times New Roman"/>
          <w:sz w:val="24"/>
          <w:szCs w:val="24"/>
        </w:rPr>
        <w:t>ing from 3.32 ± 0.04 % at 50 µg/mL to 41.20 ± 0.14 % at 800 µg/mL, while vitamin C achieved 65.41 ± 0.28 % at the same concentration. The gradual increase in reducing power across concentrations indicates that the extract is rich in redox-active phytochemi</w:t>
      </w:r>
      <w:r>
        <w:rPr>
          <w:rFonts w:ascii="Times New Roman" w:hAnsi="Times New Roman"/>
          <w:sz w:val="24"/>
          <w:szCs w:val="24"/>
        </w:rPr>
        <w:t xml:space="preserve">cals capable of terminating radical chain reactions by donating electrons (Benzie &amp; Strain, 1996). These results align with the findings of Balakrishnan </w:t>
      </w:r>
      <w:r>
        <w:rPr>
          <w:rFonts w:ascii="Times New Roman" w:hAnsi="Times New Roman"/>
          <w:i/>
          <w:iCs/>
          <w:sz w:val="24"/>
          <w:szCs w:val="24"/>
        </w:rPr>
        <w:t>et al.</w:t>
      </w:r>
      <w:r>
        <w:rPr>
          <w:rFonts w:ascii="Times New Roman" w:hAnsi="Times New Roman"/>
          <w:sz w:val="24"/>
          <w:szCs w:val="24"/>
        </w:rPr>
        <w:t xml:space="preserve"> (2021), who reported similar FRAP activity in fenugreek and related Fabaceae species, attributin</w:t>
      </w:r>
      <w:r>
        <w:rPr>
          <w:rFonts w:ascii="Times New Roman" w:hAnsi="Times New Roman"/>
          <w:sz w:val="24"/>
          <w:szCs w:val="24"/>
        </w:rPr>
        <w:t>g the effect to the high phenolic and flavonoid content</w:t>
      </w:r>
    </w:p>
    <w:p w14:paraId="18814095" w14:textId="77777777" w:rsidR="005D65E5" w:rsidRDefault="005D65E5">
      <w:pPr>
        <w:spacing w:after="0" w:line="360" w:lineRule="auto"/>
        <w:jc w:val="both"/>
        <w:rPr>
          <w:rFonts w:ascii="Times New Roman" w:hAnsi="Times New Roman"/>
          <w:b/>
          <w:bCs/>
          <w:sz w:val="24"/>
          <w:szCs w:val="24"/>
        </w:rPr>
      </w:pPr>
    </w:p>
    <w:p w14:paraId="31975372" w14:textId="77777777" w:rsidR="005D65E5" w:rsidRDefault="00736E5B">
      <w:pPr>
        <w:spacing w:after="0" w:line="360" w:lineRule="auto"/>
        <w:jc w:val="both"/>
        <w:rPr>
          <w:rFonts w:ascii="Times New Roman" w:hAnsi="Times New Roman"/>
          <w:b/>
          <w:bCs/>
          <w:sz w:val="24"/>
          <w:szCs w:val="24"/>
        </w:rPr>
      </w:pPr>
      <w:r>
        <w:rPr>
          <w:rFonts w:ascii="Times New Roman" w:hAnsi="Times New Roman"/>
          <w:b/>
          <w:bCs/>
          <w:sz w:val="24"/>
          <w:szCs w:val="24"/>
        </w:rPr>
        <w:t>3.7 Conclusion</w:t>
      </w:r>
    </w:p>
    <w:p w14:paraId="1569028D"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The results of this study demonstrate that the ethanolic extract of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-graecum seeds is rich in bioactive phytochemicals, particularly flavonoids, phenols, and saponins,</w:t>
      </w:r>
      <w:r>
        <w:rPr>
          <w:rFonts w:ascii="Times New Roman" w:hAnsi="Times New Roman"/>
          <w:sz w:val="24"/>
          <w:szCs w:val="24"/>
        </w:rPr>
        <w:t xml:space="preserve"> which significantly contribute to its antioxidant potency. The extract effectively scavenged nitric oxide and DPPH radicals and exhibited strong ferric-reducing power in a concentration-dependent manner, indicating robust free-radical-quenching and electr</w:t>
      </w:r>
      <w:r>
        <w:rPr>
          <w:rFonts w:ascii="Times New Roman" w:hAnsi="Times New Roman"/>
          <w:sz w:val="24"/>
          <w:szCs w:val="24"/>
        </w:rPr>
        <w:t xml:space="preserve">on-donating capabilities. These findings validate the traditional use of fenugreek in managing oxidative stress and suggest its potential as a valuable source of natural antioxidants for pharmaceutical and nutraceutical </w:t>
      </w:r>
      <w:r>
        <w:rPr>
          <w:rFonts w:ascii="Times New Roman" w:hAnsi="Times New Roman"/>
          <w:sz w:val="24"/>
          <w:szCs w:val="24"/>
        </w:rPr>
        <w:lastRenderedPageBreak/>
        <w:t>applications. Further studies involv</w:t>
      </w:r>
      <w:r>
        <w:rPr>
          <w:rFonts w:ascii="Times New Roman" w:hAnsi="Times New Roman"/>
          <w:sz w:val="24"/>
          <w:szCs w:val="24"/>
        </w:rPr>
        <w:t>ing in vivo models and compound isolation are recommended to elucidate the precise mechanisms underlying its antioxidant efficacy.</w:t>
      </w:r>
    </w:p>
    <w:p w14:paraId="77A892BD" w14:textId="77777777" w:rsidR="009440AB" w:rsidRDefault="009440AB">
      <w:pPr>
        <w:spacing w:after="0" w:line="360" w:lineRule="auto"/>
        <w:jc w:val="both"/>
        <w:rPr>
          <w:rFonts w:ascii="Times New Roman" w:hAnsi="Times New Roman"/>
          <w:sz w:val="24"/>
          <w:szCs w:val="24"/>
        </w:rPr>
      </w:pPr>
    </w:p>
    <w:p w14:paraId="6D3FC189" w14:textId="77777777" w:rsidR="009440AB" w:rsidRDefault="009440AB">
      <w:pPr>
        <w:spacing w:after="0" w:line="360" w:lineRule="auto"/>
        <w:jc w:val="both"/>
        <w:rPr>
          <w:rFonts w:ascii="Times New Roman" w:hAnsi="Times New Roman"/>
          <w:sz w:val="24"/>
          <w:szCs w:val="24"/>
        </w:rPr>
      </w:pPr>
    </w:p>
    <w:p w14:paraId="44104301" w14:textId="77777777" w:rsidR="009440AB" w:rsidRDefault="009440AB">
      <w:pPr>
        <w:spacing w:after="0" w:line="360" w:lineRule="auto"/>
        <w:jc w:val="both"/>
        <w:rPr>
          <w:rFonts w:ascii="Times New Roman" w:hAnsi="Times New Roman"/>
          <w:sz w:val="24"/>
          <w:szCs w:val="24"/>
        </w:rPr>
      </w:pPr>
    </w:p>
    <w:p w14:paraId="78938F4B" w14:textId="77777777" w:rsidR="005D65E5" w:rsidRDefault="005D65E5">
      <w:pPr>
        <w:spacing w:after="0" w:line="360" w:lineRule="auto"/>
        <w:jc w:val="both"/>
        <w:rPr>
          <w:rFonts w:ascii="Times New Roman" w:hAnsi="Times New Roman"/>
          <w:b/>
          <w:bCs/>
          <w:caps/>
          <w:sz w:val="24"/>
          <w:szCs w:val="24"/>
        </w:rPr>
      </w:pPr>
    </w:p>
    <w:p w14:paraId="4FED39AA" w14:textId="77777777" w:rsidR="005D65E5" w:rsidRDefault="00736E5B">
      <w:pPr>
        <w:spacing w:after="0" w:line="360" w:lineRule="auto"/>
        <w:jc w:val="both"/>
        <w:rPr>
          <w:rFonts w:ascii="Times New Roman" w:hAnsi="Times New Roman"/>
          <w:b/>
          <w:bCs/>
          <w:sz w:val="24"/>
          <w:szCs w:val="24"/>
        </w:rPr>
      </w:pPr>
      <w:r>
        <w:rPr>
          <w:rFonts w:ascii="Times New Roman" w:hAnsi="Times New Roman"/>
          <w:b/>
          <w:bCs/>
          <w:caps/>
          <w:sz w:val="24"/>
          <w:szCs w:val="24"/>
        </w:rPr>
        <w:t>Consent</w:t>
      </w:r>
      <w:r>
        <w:rPr>
          <w:rFonts w:ascii="Times New Roman" w:hAnsi="Times New Roman"/>
          <w:b/>
          <w:bCs/>
          <w:sz w:val="24"/>
          <w:szCs w:val="24"/>
        </w:rPr>
        <w:t xml:space="preserve"> </w:t>
      </w:r>
    </w:p>
    <w:p w14:paraId="5ACA0DB1"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It is not applicable </w:t>
      </w:r>
    </w:p>
    <w:p w14:paraId="147C1E76" w14:textId="77777777" w:rsidR="005D65E5" w:rsidRDefault="005D65E5">
      <w:pPr>
        <w:spacing w:after="0" w:line="360" w:lineRule="auto"/>
        <w:jc w:val="both"/>
        <w:rPr>
          <w:rFonts w:ascii="Times New Roman" w:hAnsi="Times New Roman"/>
          <w:b/>
          <w:bCs/>
          <w:caps/>
          <w:sz w:val="24"/>
          <w:szCs w:val="24"/>
        </w:rPr>
      </w:pPr>
    </w:p>
    <w:p w14:paraId="78A96291" w14:textId="77777777" w:rsidR="005D65E5" w:rsidRDefault="00736E5B">
      <w:pPr>
        <w:spacing w:after="0" w:line="360" w:lineRule="auto"/>
        <w:jc w:val="both"/>
        <w:rPr>
          <w:rFonts w:ascii="Times New Roman" w:hAnsi="Times New Roman"/>
          <w:b/>
          <w:bCs/>
          <w:caps/>
          <w:sz w:val="24"/>
          <w:szCs w:val="24"/>
        </w:rPr>
      </w:pPr>
      <w:r>
        <w:rPr>
          <w:rFonts w:ascii="Times New Roman" w:hAnsi="Times New Roman"/>
          <w:b/>
          <w:bCs/>
          <w:caps/>
          <w:sz w:val="24"/>
          <w:szCs w:val="24"/>
        </w:rPr>
        <w:t xml:space="preserve">Ethical Approval </w:t>
      </w:r>
    </w:p>
    <w:p w14:paraId="15373C61"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It is not applicable </w:t>
      </w:r>
    </w:p>
    <w:p w14:paraId="031417B4" w14:textId="77777777" w:rsidR="005D65E5" w:rsidRDefault="005D65E5">
      <w:pPr>
        <w:spacing w:after="0" w:line="360" w:lineRule="auto"/>
        <w:jc w:val="both"/>
        <w:rPr>
          <w:rFonts w:ascii="Times New Roman" w:hAnsi="Times New Roman"/>
          <w:b/>
          <w:bCs/>
          <w:caps/>
          <w:sz w:val="24"/>
          <w:szCs w:val="24"/>
        </w:rPr>
      </w:pPr>
    </w:p>
    <w:p w14:paraId="62D41EBB" w14:textId="77777777" w:rsidR="005D65E5" w:rsidRDefault="005D65E5">
      <w:pPr>
        <w:spacing w:after="0" w:line="360" w:lineRule="auto"/>
        <w:jc w:val="both"/>
        <w:rPr>
          <w:rFonts w:ascii="Times New Roman" w:hAnsi="Times New Roman"/>
          <w:b/>
          <w:bCs/>
          <w:caps/>
          <w:sz w:val="24"/>
          <w:szCs w:val="24"/>
        </w:rPr>
      </w:pPr>
      <w:bookmarkStart w:id="0" w:name="_GoBack"/>
      <w:bookmarkEnd w:id="0"/>
    </w:p>
    <w:p w14:paraId="7EABC731" w14:textId="77777777" w:rsidR="005D65E5" w:rsidRDefault="00736E5B">
      <w:pPr>
        <w:spacing w:after="0" w:line="360" w:lineRule="auto"/>
        <w:jc w:val="both"/>
        <w:rPr>
          <w:rFonts w:ascii="Times New Roman" w:hAnsi="Times New Roman"/>
          <w:b/>
          <w:bCs/>
          <w:caps/>
          <w:sz w:val="24"/>
          <w:szCs w:val="24"/>
        </w:rPr>
      </w:pPr>
      <w:r>
        <w:rPr>
          <w:rFonts w:ascii="Times New Roman" w:hAnsi="Times New Roman"/>
          <w:b/>
          <w:bCs/>
          <w:caps/>
          <w:sz w:val="24"/>
          <w:szCs w:val="24"/>
        </w:rPr>
        <w:t>Competing interest</w:t>
      </w:r>
    </w:p>
    <w:p w14:paraId="1F05AC26"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 xml:space="preserve">Author have declared, no existence of interest competition </w:t>
      </w:r>
    </w:p>
    <w:p w14:paraId="31A2B3BA" w14:textId="77777777" w:rsidR="009440AB" w:rsidRPr="009440AB" w:rsidRDefault="009440AB" w:rsidP="009440AB">
      <w:pPr>
        <w:spacing w:after="0" w:line="360" w:lineRule="auto"/>
        <w:jc w:val="both"/>
        <w:rPr>
          <w:rFonts w:ascii="Times New Roman" w:hAnsi="Times New Roman"/>
          <w:sz w:val="24"/>
          <w:szCs w:val="24"/>
        </w:rPr>
      </w:pPr>
      <w:r w:rsidRPr="009440AB">
        <w:rPr>
          <w:rFonts w:ascii="Times New Roman" w:hAnsi="Times New Roman"/>
          <w:sz w:val="24"/>
          <w:szCs w:val="24"/>
        </w:rPr>
        <w:t>COMPETING INTERESTS DISCLAIMER:</w:t>
      </w:r>
    </w:p>
    <w:p w14:paraId="49D5A955" w14:textId="77777777" w:rsidR="009440AB" w:rsidRDefault="009440AB" w:rsidP="009440AB">
      <w:pPr>
        <w:spacing w:after="0" w:line="360" w:lineRule="auto"/>
        <w:jc w:val="both"/>
        <w:rPr>
          <w:rFonts w:ascii="Times New Roman" w:hAnsi="Times New Roman"/>
          <w:sz w:val="24"/>
          <w:szCs w:val="24"/>
        </w:rPr>
      </w:pPr>
      <w:r w:rsidRPr="009440AB">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53D285BD" w14:textId="77777777" w:rsidR="005D65E5" w:rsidRDefault="005D65E5">
      <w:pPr>
        <w:spacing w:after="0" w:line="360" w:lineRule="auto"/>
        <w:jc w:val="both"/>
        <w:rPr>
          <w:rFonts w:ascii="Times New Roman" w:hAnsi="Times New Roman"/>
          <w:b/>
          <w:bCs/>
          <w:caps/>
          <w:sz w:val="24"/>
          <w:szCs w:val="24"/>
        </w:rPr>
      </w:pPr>
    </w:p>
    <w:p w14:paraId="4E617C3A" w14:textId="77777777" w:rsidR="005D65E5" w:rsidRDefault="005D65E5">
      <w:pPr>
        <w:spacing w:after="0" w:line="360" w:lineRule="auto"/>
        <w:jc w:val="both"/>
        <w:rPr>
          <w:rFonts w:ascii="Times New Roman" w:hAnsi="Times New Roman"/>
          <w:b/>
          <w:bCs/>
          <w:caps/>
          <w:sz w:val="24"/>
          <w:szCs w:val="24"/>
        </w:rPr>
      </w:pPr>
    </w:p>
    <w:p w14:paraId="0CE78B60" w14:textId="77777777" w:rsidR="005D65E5" w:rsidRDefault="00736E5B">
      <w:pPr>
        <w:spacing w:after="0" w:line="360" w:lineRule="auto"/>
        <w:jc w:val="center"/>
        <w:rPr>
          <w:rFonts w:ascii="Times New Roman" w:hAnsi="Times New Roman"/>
          <w:b/>
          <w:bCs/>
          <w:caps/>
          <w:sz w:val="24"/>
          <w:szCs w:val="24"/>
        </w:rPr>
      </w:pPr>
      <w:r>
        <w:rPr>
          <w:rFonts w:ascii="Times New Roman" w:hAnsi="Times New Roman"/>
          <w:b/>
          <w:bCs/>
          <w:caps/>
          <w:sz w:val="24"/>
          <w:szCs w:val="24"/>
        </w:rPr>
        <w:t>References</w:t>
      </w:r>
    </w:p>
    <w:p w14:paraId="29DA8E3C" w14:textId="77777777" w:rsidR="005D65E5" w:rsidRDefault="005D65E5">
      <w:pPr>
        <w:spacing w:after="0" w:line="240" w:lineRule="auto"/>
        <w:ind w:left="720" w:hanging="720"/>
        <w:jc w:val="both"/>
        <w:rPr>
          <w:rFonts w:ascii="Times New Roman" w:hAnsi="Times New Roman"/>
          <w:sz w:val="24"/>
          <w:szCs w:val="24"/>
        </w:rPr>
      </w:pPr>
    </w:p>
    <w:p w14:paraId="408F5BA7"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Acharya, S. N., Thomas, J. E.,</w:t>
      </w:r>
      <w:r>
        <w:rPr>
          <w:rFonts w:ascii="Times New Roman" w:hAnsi="Times New Roman"/>
          <w:sz w:val="24"/>
          <w:szCs w:val="24"/>
        </w:rPr>
        <w:t xml:space="preserve"> &amp; </w:t>
      </w:r>
      <w:proofErr w:type="spellStart"/>
      <w:r>
        <w:rPr>
          <w:rFonts w:ascii="Times New Roman" w:hAnsi="Times New Roman"/>
          <w:sz w:val="24"/>
          <w:szCs w:val="24"/>
        </w:rPr>
        <w:t>Basu</w:t>
      </w:r>
      <w:proofErr w:type="spellEnd"/>
      <w:r>
        <w:rPr>
          <w:rFonts w:ascii="Times New Roman" w:hAnsi="Times New Roman"/>
          <w:sz w:val="24"/>
          <w:szCs w:val="24"/>
        </w:rPr>
        <w:t>, S. K. (2006). Fenugreek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L.)—An old crop for new uses. </w:t>
      </w:r>
      <w:r>
        <w:rPr>
          <w:rFonts w:ascii="Times New Roman" w:hAnsi="Times New Roman"/>
          <w:i/>
          <w:iCs/>
          <w:sz w:val="24"/>
          <w:szCs w:val="24"/>
        </w:rPr>
        <w:t>Herbal Gram,</w:t>
      </w:r>
      <w:r>
        <w:rPr>
          <w:rFonts w:ascii="Times New Roman" w:hAnsi="Times New Roman"/>
          <w:sz w:val="24"/>
          <w:szCs w:val="24"/>
        </w:rPr>
        <w:t xml:space="preserve"> 71(Fall), 34–46.</w:t>
      </w:r>
    </w:p>
    <w:p w14:paraId="56BBF6ED"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Ahmad, A., Alghamdi, S. S., Mahmood, K., &amp; Afzal, M. (2020). Fenugreek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-graecum L.) seed: A review of its phytochemist</w:t>
      </w:r>
      <w:r>
        <w:rPr>
          <w:rFonts w:ascii="Times New Roman" w:hAnsi="Times New Roman"/>
          <w:sz w:val="24"/>
          <w:szCs w:val="24"/>
        </w:rPr>
        <w:t xml:space="preserve">ry and pharmacological profile. </w:t>
      </w:r>
      <w:proofErr w:type="spellStart"/>
      <w:r>
        <w:rPr>
          <w:rFonts w:ascii="Times New Roman" w:hAnsi="Times New Roman"/>
          <w:i/>
          <w:iCs/>
          <w:sz w:val="24"/>
          <w:szCs w:val="24"/>
        </w:rPr>
        <w:t>Phytotherapy</w:t>
      </w:r>
      <w:proofErr w:type="spellEnd"/>
      <w:r>
        <w:rPr>
          <w:rFonts w:ascii="Times New Roman" w:hAnsi="Times New Roman"/>
          <w:i/>
          <w:iCs/>
          <w:sz w:val="24"/>
          <w:szCs w:val="24"/>
        </w:rPr>
        <w:t xml:space="preserve"> Research</w:t>
      </w:r>
      <w:r>
        <w:rPr>
          <w:rFonts w:ascii="Times New Roman" w:hAnsi="Times New Roman"/>
          <w:sz w:val="24"/>
          <w:szCs w:val="24"/>
        </w:rPr>
        <w:t>, 34(2), 260–278. https://doi.org/10.1002/ptr.6532</w:t>
      </w:r>
    </w:p>
    <w:p w14:paraId="03FCB319"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Association of Official Analytical Chemists (AOAC). (2016). Official Methods of Analysis (20th ed.). AOAC International.</w:t>
      </w:r>
    </w:p>
    <w:p w14:paraId="106F871F"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Balakrishnan, R., Natarajan, S.</w:t>
      </w:r>
      <w:r>
        <w:rPr>
          <w:rFonts w:ascii="Times New Roman" w:hAnsi="Times New Roman"/>
          <w:sz w:val="24"/>
          <w:szCs w:val="24"/>
        </w:rPr>
        <w:t xml:space="preserve">, &amp; </w:t>
      </w:r>
      <w:proofErr w:type="spellStart"/>
      <w:r>
        <w:rPr>
          <w:rFonts w:ascii="Times New Roman" w:hAnsi="Times New Roman"/>
          <w:sz w:val="24"/>
          <w:szCs w:val="24"/>
        </w:rPr>
        <w:t>Shanmugasundaram</w:t>
      </w:r>
      <w:proofErr w:type="spellEnd"/>
      <w:r>
        <w:rPr>
          <w:rFonts w:ascii="Times New Roman" w:hAnsi="Times New Roman"/>
          <w:sz w:val="24"/>
          <w:szCs w:val="24"/>
        </w:rPr>
        <w:t xml:space="preserve">, P. (2021). Comparative evaluation of antioxidant activities in selected Fabaceae species. </w:t>
      </w:r>
      <w:r>
        <w:rPr>
          <w:rFonts w:ascii="Times New Roman" w:hAnsi="Times New Roman"/>
          <w:i/>
          <w:iCs/>
          <w:sz w:val="24"/>
          <w:szCs w:val="24"/>
        </w:rPr>
        <w:t xml:space="preserve">Journal of Applied Pharmaceutical Science, </w:t>
      </w:r>
      <w:r>
        <w:rPr>
          <w:rFonts w:ascii="Times New Roman" w:hAnsi="Times New Roman"/>
          <w:sz w:val="24"/>
          <w:szCs w:val="24"/>
        </w:rPr>
        <w:t>11(6), 89–96. https://doi.org/10.7324/JAPS.2021.110611</w:t>
      </w:r>
    </w:p>
    <w:p w14:paraId="219F7D37"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Basch</w:t>
      </w:r>
      <w:proofErr w:type="spellEnd"/>
      <w:r>
        <w:rPr>
          <w:rFonts w:ascii="Times New Roman" w:hAnsi="Times New Roman"/>
          <w:sz w:val="24"/>
          <w:szCs w:val="24"/>
        </w:rPr>
        <w:t xml:space="preserve">, E., Ulbricht, C., </w:t>
      </w:r>
      <w:proofErr w:type="spellStart"/>
      <w:r>
        <w:rPr>
          <w:rFonts w:ascii="Times New Roman" w:hAnsi="Times New Roman"/>
          <w:sz w:val="24"/>
          <w:szCs w:val="24"/>
        </w:rPr>
        <w:t>Kuo</w:t>
      </w:r>
      <w:proofErr w:type="spellEnd"/>
      <w:r>
        <w:rPr>
          <w:rFonts w:ascii="Times New Roman" w:hAnsi="Times New Roman"/>
          <w:sz w:val="24"/>
          <w:szCs w:val="24"/>
        </w:rPr>
        <w:t xml:space="preserve">, G., </w:t>
      </w:r>
      <w:proofErr w:type="spellStart"/>
      <w:r>
        <w:rPr>
          <w:rFonts w:ascii="Times New Roman" w:hAnsi="Times New Roman"/>
          <w:sz w:val="24"/>
          <w:szCs w:val="24"/>
        </w:rPr>
        <w:t>Szapary</w:t>
      </w:r>
      <w:proofErr w:type="spellEnd"/>
      <w:r>
        <w:rPr>
          <w:rFonts w:ascii="Times New Roman" w:hAnsi="Times New Roman"/>
          <w:sz w:val="24"/>
          <w:szCs w:val="24"/>
        </w:rPr>
        <w:t>, P.,</w:t>
      </w:r>
      <w:r>
        <w:rPr>
          <w:rFonts w:ascii="Times New Roman" w:hAnsi="Times New Roman"/>
          <w:sz w:val="24"/>
          <w:szCs w:val="24"/>
        </w:rPr>
        <w:t xml:space="preserve"> &amp; Smith, M. (2003). Therapeutic applications of fenugreek. </w:t>
      </w:r>
      <w:r>
        <w:rPr>
          <w:rFonts w:ascii="Times New Roman" w:hAnsi="Times New Roman"/>
          <w:i/>
          <w:iCs/>
          <w:sz w:val="24"/>
          <w:szCs w:val="24"/>
        </w:rPr>
        <w:t>Alternative Medicine Review</w:t>
      </w:r>
      <w:r>
        <w:rPr>
          <w:rFonts w:ascii="Times New Roman" w:hAnsi="Times New Roman"/>
          <w:sz w:val="24"/>
          <w:szCs w:val="24"/>
        </w:rPr>
        <w:t>, 8(1), 20–27.</w:t>
      </w:r>
    </w:p>
    <w:p w14:paraId="7E936F5C"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Benzie, I. F. F., &amp; Strain, J. J. (1996). The ferric reducing ability of plasma (FRAP) as a measure of “antioxidant power”: The FRAP assay. </w:t>
      </w:r>
      <w:r>
        <w:rPr>
          <w:rFonts w:ascii="Times New Roman" w:hAnsi="Times New Roman"/>
          <w:i/>
          <w:iCs/>
          <w:sz w:val="24"/>
          <w:szCs w:val="24"/>
        </w:rPr>
        <w:t>Analytical Bio</w:t>
      </w:r>
      <w:r>
        <w:rPr>
          <w:rFonts w:ascii="Times New Roman" w:hAnsi="Times New Roman"/>
          <w:i/>
          <w:iCs/>
          <w:sz w:val="24"/>
          <w:szCs w:val="24"/>
        </w:rPr>
        <w:t>chemistry,</w:t>
      </w:r>
      <w:r>
        <w:rPr>
          <w:rFonts w:ascii="Times New Roman" w:hAnsi="Times New Roman"/>
          <w:sz w:val="24"/>
          <w:szCs w:val="24"/>
        </w:rPr>
        <w:t xml:space="preserve"> 239(1), 70–76. https://doi.org/10.1006/abio.1996.0292</w:t>
      </w:r>
    </w:p>
    <w:p w14:paraId="79240817"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Birben</w:t>
      </w:r>
      <w:proofErr w:type="spellEnd"/>
      <w:r>
        <w:rPr>
          <w:rFonts w:ascii="Times New Roman" w:hAnsi="Times New Roman"/>
          <w:sz w:val="24"/>
          <w:szCs w:val="24"/>
        </w:rPr>
        <w:t xml:space="preserve">, E., </w:t>
      </w:r>
      <w:proofErr w:type="spellStart"/>
      <w:r>
        <w:rPr>
          <w:rFonts w:ascii="Times New Roman" w:hAnsi="Times New Roman"/>
          <w:sz w:val="24"/>
          <w:szCs w:val="24"/>
        </w:rPr>
        <w:t>Sahiner</w:t>
      </w:r>
      <w:proofErr w:type="spellEnd"/>
      <w:r>
        <w:rPr>
          <w:rFonts w:ascii="Times New Roman" w:hAnsi="Times New Roman"/>
          <w:sz w:val="24"/>
          <w:szCs w:val="24"/>
        </w:rPr>
        <w:t xml:space="preserve">, U. M., </w:t>
      </w:r>
      <w:proofErr w:type="spellStart"/>
      <w:r>
        <w:rPr>
          <w:rFonts w:ascii="Times New Roman" w:hAnsi="Times New Roman"/>
          <w:sz w:val="24"/>
          <w:szCs w:val="24"/>
        </w:rPr>
        <w:t>Sackesen</w:t>
      </w:r>
      <w:proofErr w:type="spellEnd"/>
      <w:r>
        <w:rPr>
          <w:rFonts w:ascii="Times New Roman" w:hAnsi="Times New Roman"/>
          <w:sz w:val="24"/>
          <w:szCs w:val="24"/>
        </w:rPr>
        <w:t xml:space="preserve">, C., Erzurum, S., &amp; </w:t>
      </w:r>
      <w:proofErr w:type="spellStart"/>
      <w:r>
        <w:rPr>
          <w:rFonts w:ascii="Times New Roman" w:hAnsi="Times New Roman"/>
          <w:sz w:val="24"/>
          <w:szCs w:val="24"/>
        </w:rPr>
        <w:t>Kalayci</w:t>
      </w:r>
      <w:proofErr w:type="spellEnd"/>
      <w:r>
        <w:rPr>
          <w:rFonts w:ascii="Times New Roman" w:hAnsi="Times New Roman"/>
          <w:sz w:val="24"/>
          <w:szCs w:val="24"/>
        </w:rPr>
        <w:t xml:space="preserve">, O. (2012). Oxidative stress and antioxidant defense. </w:t>
      </w:r>
      <w:r>
        <w:rPr>
          <w:rFonts w:ascii="Times New Roman" w:hAnsi="Times New Roman"/>
          <w:i/>
          <w:iCs/>
          <w:sz w:val="24"/>
          <w:szCs w:val="24"/>
        </w:rPr>
        <w:t>World Allergy Organization Journal</w:t>
      </w:r>
      <w:r>
        <w:rPr>
          <w:rFonts w:ascii="Times New Roman" w:hAnsi="Times New Roman"/>
          <w:sz w:val="24"/>
          <w:szCs w:val="24"/>
        </w:rPr>
        <w:t>, 5(1), 9–19. https://doi.org/10.1097/</w:t>
      </w:r>
      <w:r>
        <w:rPr>
          <w:rFonts w:ascii="Times New Roman" w:hAnsi="Times New Roman"/>
          <w:sz w:val="24"/>
          <w:szCs w:val="24"/>
        </w:rPr>
        <w:t>WOX.0b013e3182439613</w:t>
      </w:r>
    </w:p>
    <w:p w14:paraId="76575B4E"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Brand-Williams, W., </w:t>
      </w:r>
      <w:proofErr w:type="spellStart"/>
      <w:r>
        <w:rPr>
          <w:rFonts w:ascii="Times New Roman" w:hAnsi="Times New Roman"/>
          <w:sz w:val="24"/>
          <w:szCs w:val="24"/>
        </w:rPr>
        <w:t>Cuvelier</w:t>
      </w:r>
      <w:proofErr w:type="spellEnd"/>
      <w:r>
        <w:rPr>
          <w:rFonts w:ascii="Times New Roman" w:hAnsi="Times New Roman"/>
          <w:sz w:val="24"/>
          <w:szCs w:val="24"/>
        </w:rPr>
        <w:t xml:space="preserve">, M. E., &amp; </w:t>
      </w:r>
      <w:proofErr w:type="spellStart"/>
      <w:r>
        <w:rPr>
          <w:rFonts w:ascii="Times New Roman" w:hAnsi="Times New Roman"/>
          <w:sz w:val="24"/>
          <w:szCs w:val="24"/>
        </w:rPr>
        <w:t>Berset</w:t>
      </w:r>
      <w:proofErr w:type="spellEnd"/>
      <w:r>
        <w:rPr>
          <w:rFonts w:ascii="Times New Roman" w:hAnsi="Times New Roman"/>
          <w:sz w:val="24"/>
          <w:szCs w:val="24"/>
        </w:rPr>
        <w:t xml:space="preserve">, C. (1995). Use of a free radical method to evaluate antioxidant activity. LWT – </w:t>
      </w:r>
      <w:r>
        <w:rPr>
          <w:rFonts w:ascii="Times New Roman" w:hAnsi="Times New Roman"/>
          <w:i/>
          <w:iCs/>
          <w:sz w:val="24"/>
          <w:szCs w:val="24"/>
        </w:rPr>
        <w:t>Food Science and Technology,</w:t>
      </w:r>
      <w:r>
        <w:rPr>
          <w:rFonts w:ascii="Times New Roman" w:hAnsi="Times New Roman"/>
          <w:sz w:val="24"/>
          <w:szCs w:val="24"/>
        </w:rPr>
        <w:t xml:space="preserve"> 28(1), 25–30. https://doi.org/10.1016/S0023-6438(95)80008-5</w:t>
      </w:r>
    </w:p>
    <w:p w14:paraId="1056B068"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Chang, C. C., Yang,</w:t>
      </w:r>
      <w:r>
        <w:rPr>
          <w:rFonts w:ascii="Times New Roman" w:hAnsi="Times New Roman"/>
          <w:sz w:val="24"/>
          <w:szCs w:val="24"/>
        </w:rPr>
        <w:t xml:space="preserve"> M. H., Wen, H. M., &amp; </w:t>
      </w:r>
      <w:proofErr w:type="spellStart"/>
      <w:r>
        <w:rPr>
          <w:rFonts w:ascii="Times New Roman" w:hAnsi="Times New Roman"/>
          <w:sz w:val="24"/>
          <w:szCs w:val="24"/>
        </w:rPr>
        <w:t>Chern</w:t>
      </w:r>
      <w:proofErr w:type="spellEnd"/>
      <w:r>
        <w:rPr>
          <w:rFonts w:ascii="Times New Roman" w:hAnsi="Times New Roman"/>
          <w:sz w:val="24"/>
          <w:szCs w:val="24"/>
        </w:rPr>
        <w:t xml:space="preserve">, J. C. (2002). Estimation of total flavonoid content in propolis by two complementary colorimetric methods. </w:t>
      </w:r>
      <w:r>
        <w:rPr>
          <w:rFonts w:ascii="Times New Roman" w:hAnsi="Times New Roman"/>
          <w:i/>
          <w:iCs/>
          <w:sz w:val="24"/>
          <w:szCs w:val="24"/>
        </w:rPr>
        <w:t xml:space="preserve">Journal of Food and Drug Analysis, </w:t>
      </w:r>
      <w:r>
        <w:rPr>
          <w:rFonts w:ascii="Times New Roman" w:hAnsi="Times New Roman"/>
          <w:sz w:val="24"/>
          <w:szCs w:val="24"/>
        </w:rPr>
        <w:t>10(3), 178–182.</w:t>
      </w:r>
    </w:p>
    <w:p w14:paraId="68BA3D00"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Dixit, P., </w:t>
      </w:r>
      <w:proofErr w:type="spellStart"/>
      <w:r>
        <w:rPr>
          <w:rFonts w:ascii="Times New Roman" w:hAnsi="Times New Roman"/>
          <w:sz w:val="24"/>
          <w:szCs w:val="24"/>
        </w:rPr>
        <w:t>Ghaskadbi</w:t>
      </w:r>
      <w:proofErr w:type="spellEnd"/>
      <w:r>
        <w:rPr>
          <w:rFonts w:ascii="Times New Roman" w:hAnsi="Times New Roman"/>
          <w:sz w:val="24"/>
          <w:szCs w:val="24"/>
        </w:rPr>
        <w:t xml:space="preserve">, S., Mohan, H., &amp; </w:t>
      </w:r>
      <w:proofErr w:type="spellStart"/>
      <w:r>
        <w:rPr>
          <w:rFonts w:ascii="Times New Roman" w:hAnsi="Times New Roman"/>
          <w:sz w:val="24"/>
          <w:szCs w:val="24"/>
        </w:rPr>
        <w:t>Devasagayam</w:t>
      </w:r>
      <w:proofErr w:type="spellEnd"/>
      <w:r>
        <w:rPr>
          <w:rFonts w:ascii="Times New Roman" w:hAnsi="Times New Roman"/>
          <w:sz w:val="24"/>
          <w:szCs w:val="24"/>
        </w:rPr>
        <w:t xml:space="preserve">, T. P. A. (2005). </w:t>
      </w:r>
      <w:r>
        <w:rPr>
          <w:rFonts w:ascii="Times New Roman" w:hAnsi="Times New Roman"/>
          <w:sz w:val="24"/>
          <w:szCs w:val="24"/>
        </w:rPr>
        <w:t xml:space="preserve">Antioxidant properties of germinated fenugreek seeds. </w:t>
      </w:r>
      <w:proofErr w:type="spellStart"/>
      <w:r>
        <w:rPr>
          <w:rFonts w:ascii="Times New Roman" w:hAnsi="Times New Roman"/>
          <w:i/>
          <w:iCs/>
          <w:sz w:val="24"/>
          <w:szCs w:val="24"/>
        </w:rPr>
        <w:t>Phytotherapy</w:t>
      </w:r>
      <w:proofErr w:type="spellEnd"/>
      <w:r>
        <w:rPr>
          <w:rFonts w:ascii="Times New Roman" w:hAnsi="Times New Roman"/>
          <w:i/>
          <w:iCs/>
          <w:sz w:val="24"/>
          <w:szCs w:val="24"/>
        </w:rPr>
        <w:t xml:space="preserve"> Research, </w:t>
      </w:r>
      <w:r>
        <w:rPr>
          <w:rFonts w:ascii="Times New Roman" w:hAnsi="Times New Roman"/>
          <w:sz w:val="24"/>
          <w:szCs w:val="24"/>
        </w:rPr>
        <w:t>19(11), 977–983. https://doi.org/10.1002/ptr.1769</w:t>
      </w:r>
    </w:p>
    <w:p w14:paraId="4BC3242F"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Do, Q. D., </w:t>
      </w:r>
      <w:proofErr w:type="spellStart"/>
      <w:r>
        <w:rPr>
          <w:rFonts w:ascii="Times New Roman" w:hAnsi="Times New Roman"/>
          <w:sz w:val="24"/>
          <w:szCs w:val="24"/>
        </w:rPr>
        <w:t>Angkawijaya</w:t>
      </w:r>
      <w:proofErr w:type="spellEnd"/>
      <w:r>
        <w:rPr>
          <w:rFonts w:ascii="Times New Roman" w:hAnsi="Times New Roman"/>
          <w:sz w:val="24"/>
          <w:szCs w:val="24"/>
        </w:rPr>
        <w:t xml:space="preserve">, A. E., Tran-Nguyen, P. L., Huynh, L. H., </w:t>
      </w:r>
      <w:proofErr w:type="spellStart"/>
      <w:r>
        <w:rPr>
          <w:rFonts w:ascii="Times New Roman" w:hAnsi="Times New Roman"/>
          <w:sz w:val="24"/>
          <w:szCs w:val="24"/>
        </w:rPr>
        <w:t>Soetaredjo</w:t>
      </w:r>
      <w:proofErr w:type="spellEnd"/>
      <w:r>
        <w:rPr>
          <w:rFonts w:ascii="Times New Roman" w:hAnsi="Times New Roman"/>
          <w:sz w:val="24"/>
          <w:szCs w:val="24"/>
        </w:rPr>
        <w:t xml:space="preserve">, F. E., </w:t>
      </w:r>
      <w:proofErr w:type="spellStart"/>
      <w:r>
        <w:rPr>
          <w:rFonts w:ascii="Times New Roman" w:hAnsi="Times New Roman"/>
          <w:sz w:val="24"/>
          <w:szCs w:val="24"/>
        </w:rPr>
        <w:t>Ismadji</w:t>
      </w:r>
      <w:proofErr w:type="spellEnd"/>
      <w:r>
        <w:rPr>
          <w:rFonts w:ascii="Times New Roman" w:hAnsi="Times New Roman"/>
          <w:sz w:val="24"/>
          <w:szCs w:val="24"/>
        </w:rPr>
        <w:t>, S., &amp; Ju, Y. H. (2014). Effect of ex</w:t>
      </w:r>
      <w:r>
        <w:rPr>
          <w:rFonts w:ascii="Times New Roman" w:hAnsi="Times New Roman"/>
          <w:sz w:val="24"/>
          <w:szCs w:val="24"/>
        </w:rPr>
        <w:t xml:space="preserve">traction solvent on total phenol content, total flavonoid content, and antioxidant activity of </w:t>
      </w:r>
      <w:proofErr w:type="spellStart"/>
      <w:r>
        <w:rPr>
          <w:rFonts w:ascii="Times New Roman" w:hAnsi="Times New Roman"/>
          <w:sz w:val="24"/>
          <w:szCs w:val="24"/>
        </w:rPr>
        <w:t>Limnophila</w:t>
      </w:r>
      <w:proofErr w:type="spellEnd"/>
      <w:r>
        <w:rPr>
          <w:rFonts w:ascii="Times New Roman" w:hAnsi="Times New Roman"/>
          <w:sz w:val="24"/>
          <w:szCs w:val="24"/>
        </w:rPr>
        <w:t xml:space="preserve"> </w:t>
      </w:r>
      <w:proofErr w:type="spellStart"/>
      <w:r>
        <w:rPr>
          <w:rFonts w:ascii="Times New Roman" w:hAnsi="Times New Roman"/>
          <w:sz w:val="24"/>
          <w:szCs w:val="24"/>
        </w:rPr>
        <w:t>aromatica</w:t>
      </w:r>
      <w:proofErr w:type="spellEnd"/>
      <w:r>
        <w:rPr>
          <w:rFonts w:ascii="Times New Roman" w:hAnsi="Times New Roman"/>
          <w:sz w:val="24"/>
          <w:szCs w:val="24"/>
        </w:rPr>
        <w:t>.</w:t>
      </w:r>
      <w:r>
        <w:rPr>
          <w:rFonts w:ascii="Times New Roman" w:hAnsi="Times New Roman"/>
          <w:i/>
          <w:iCs/>
          <w:sz w:val="24"/>
          <w:szCs w:val="24"/>
        </w:rPr>
        <w:t xml:space="preserve"> Journal of Food and Drug Analysis</w:t>
      </w:r>
      <w:r>
        <w:rPr>
          <w:rFonts w:ascii="Times New Roman" w:hAnsi="Times New Roman"/>
          <w:sz w:val="24"/>
          <w:szCs w:val="24"/>
        </w:rPr>
        <w:t>, 22(3), 296–302. https://doi.org/10.1016/j.jfda.2013.11.001</w:t>
      </w:r>
    </w:p>
    <w:p w14:paraId="184FEA3B"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Edeoga</w:t>
      </w:r>
      <w:proofErr w:type="spellEnd"/>
      <w:r>
        <w:rPr>
          <w:rFonts w:ascii="Times New Roman" w:hAnsi="Times New Roman"/>
          <w:sz w:val="24"/>
          <w:szCs w:val="24"/>
        </w:rPr>
        <w:t xml:space="preserve">, H. O., </w:t>
      </w:r>
      <w:proofErr w:type="spellStart"/>
      <w:r>
        <w:rPr>
          <w:rFonts w:ascii="Times New Roman" w:hAnsi="Times New Roman"/>
          <w:sz w:val="24"/>
          <w:szCs w:val="24"/>
        </w:rPr>
        <w:t>Okwu</w:t>
      </w:r>
      <w:proofErr w:type="spellEnd"/>
      <w:r>
        <w:rPr>
          <w:rFonts w:ascii="Times New Roman" w:hAnsi="Times New Roman"/>
          <w:sz w:val="24"/>
          <w:szCs w:val="24"/>
        </w:rPr>
        <w:t xml:space="preserve">, D. E., &amp; </w:t>
      </w:r>
      <w:proofErr w:type="spellStart"/>
      <w:r>
        <w:rPr>
          <w:rFonts w:ascii="Times New Roman" w:hAnsi="Times New Roman"/>
          <w:sz w:val="24"/>
          <w:szCs w:val="24"/>
        </w:rPr>
        <w:t>Mbaebie</w:t>
      </w:r>
      <w:proofErr w:type="spellEnd"/>
      <w:r>
        <w:rPr>
          <w:rFonts w:ascii="Times New Roman" w:hAnsi="Times New Roman"/>
          <w:sz w:val="24"/>
          <w:szCs w:val="24"/>
        </w:rPr>
        <w:t xml:space="preserve">, B. O. </w:t>
      </w:r>
      <w:r>
        <w:rPr>
          <w:rFonts w:ascii="Times New Roman" w:hAnsi="Times New Roman"/>
          <w:sz w:val="24"/>
          <w:szCs w:val="24"/>
        </w:rPr>
        <w:t xml:space="preserve">(2005). Phytochemical constituents of some Nigerian medicinal plants. </w:t>
      </w:r>
      <w:r>
        <w:rPr>
          <w:rFonts w:ascii="Times New Roman" w:hAnsi="Times New Roman"/>
          <w:i/>
          <w:iCs/>
          <w:sz w:val="24"/>
          <w:szCs w:val="24"/>
        </w:rPr>
        <w:t>African Journal of Biotechnology</w:t>
      </w:r>
      <w:r>
        <w:rPr>
          <w:rFonts w:ascii="Times New Roman" w:hAnsi="Times New Roman"/>
          <w:sz w:val="24"/>
          <w:szCs w:val="24"/>
        </w:rPr>
        <w:t>, 4(7), 685–688. https://doi.org/10.5897/AJB2005.000-3127</w:t>
      </w:r>
    </w:p>
    <w:p w14:paraId="4CD99407"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Evans, W. C. (2002). </w:t>
      </w:r>
      <w:proofErr w:type="spellStart"/>
      <w:r>
        <w:rPr>
          <w:rFonts w:ascii="Times New Roman" w:hAnsi="Times New Roman"/>
          <w:sz w:val="24"/>
          <w:szCs w:val="24"/>
        </w:rPr>
        <w:t>Trease</w:t>
      </w:r>
      <w:proofErr w:type="spellEnd"/>
      <w:r>
        <w:rPr>
          <w:rFonts w:ascii="Times New Roman" w:hAnsi="Times New Roman"/>
          <w:sz w:val="24"/>
          <w:szCs w:val="24"/>
        </w:rPr>
        <w:t xml:space="preserve"> and Evans’ </w:t>
      </w:r>
      <w:r>
        <w:rPr>
          <w:rFonts w:ascii="Times New Roman" w:hAnsi="Times New Roman"/>
          <w:i/>
          <w:iCs/>
          <w:sz w:val="24"/>
          <w:szCs w:val="24"/>
        </w:rPr>
        <w:t>Pharmacognosy</w:t>
      </w:r>
      <w:r>
        <w:rPr>
          <w:rFonts w:ascii="Times New Roman" w:hAnsi="Times New Roman"/>
          <w:sz w:val="24"/>
          <w:szCs w:val="24"/>
        </w:rPr>
        <w:t xml:space="preserve"> (15th ed.). W. B. Saunders.</w:t>
      </w:r>
    </w:p>
    <w:p w14:paraId="5210AC08" w14:textId="77777777" w:rsidR="005D65E5" w:rsidRDefault="00736E5B">
      <w:pPr>
        <w:spacing w:after="0" w:line="360" w:lineRule="auto"/>
        <w:jc w:val="both"/>
        <w:rPr>
          <w:rFonts w:ascii="Times New Roman" w:hAnsi="Times New Roman"/>
          <w:sz w:val="24"/>
          <w:szCs w:val="24"/>
        </w:rPr>
      </w:pPr>
      <w:r>
        <w:rPr>
          <w:rFonts w:ascii="Times New Roman" w:hAnsi="Times New Roman"/>
          <w:sz w:val="24"/>
          <w:szCs w:val="24"/>
        </w:rPr>
        <w:t>Ferguson, N. M.</w:t>
      </w:r>
      <w:r>
        <w:rPr>
          <w:rFonts w:ascii="Times New Roman" w:hAnsi="Times New Roman"/>
          <w:sz w:val="24"/>
          <w:szCs w:val="24"/>
        </w:rPr>
        <w:t xml:space="preserve"> (1956).</w:t>
      </w:r>
      <w:r>
        <w:rPr>
          <w:rFonts w:ascii="Times New Roman" w:hAnsi="Times New Roman"/>
          <w:i/>
          <w:iCs/>
          <w:sz w:val="24"/>
          <w:szCs w:val="24"/>
        </w:rPr>
        <w:t xml:space="preserve"> A Textbook of Pharmacognosy</w:t>
      </w:r>
      <w:r>
        <w:rPr>
          <w:rFonts w:ascii="Times New Roman" w:hAnsi="Times New Roman"/>
          <w:sz w:val="24"/>
          <w:szCs w:val="24"/>
        </w:rPr>
        <w:t xml:space="preserve"> (2nd ed.). MacMillan Company.</w:t>
      </w:r>
    </w:p>
    <w:p w14:paraId="64A4806D"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Green, L. C., Wagner, D. A., </w:t>
      </w:r>
      <w:proofErr w:type="spellStart"/>
      <w:r>
        <w:rPr>
          <w:rFonts w:ascii="Times New Roman" w:hAnsi="Times New Roman"/>
          <w:sz w:val="24"/>
          <w:szCs w:val="24"/>
        </w:rPr>
        <w:t>Glogowski</w:t>
      </w:r>
      <w:proofErr w:type="spellEnd"/>
      <w:r>
        <w:rPr>
          <w:rFonts w:ascii="Times New Roman" w:hAnsi="Times New Roman"/>
          <w:sz w:val="24"/>
          <w:szCs w:val="24"/>
        </w:rPr>
        <w:t xml:space="preserve">, J., Skipper, P. L., </w:t>
      </w:r>
      <w:proofErr w:type="spellStart"/>
      <w:r>
        <w:rPr>
          <w:rFonts w:ascii="Times New Roman" w:hAnsi="Times New Roman"/>
          <w:sz w:val="24"/>
          <w:szCs w:val="24"/>
        </w:rPr>
        <w:t>Wishnok</w:t>
      </w:r>
      <w:proofErr w:type="spellEnd"/>
      <w:r>
        <w:rPr>
          <w:rFonts w:ascii="Times New Roman" w:hAnsi="Times New Roman"/>
          <w:sz w:val="24"/>
          <w:szCs w:val="24"/>
        </w:rPr>
        <w:t>, J. S., &amp; Tannenbaum, S. R. (1982). Analysis of nitrate, nitrite, and [15</w:t>
      </w:r>
      <w:proofErr w:type="gramStart"/>
      <w:r>
        <w:rPr>
          <w:rFonts w:ascii="Times New Roman" w:hAnsi="Times New Roman"/>
          <w:sz w:val="24"/>
          <w:szCs w:val="24"/>
        </w:rPr>
        <w:t>N]nitrate</w:t>
      </w:r>
      <w:proofErr w:type="gramEnd"/>
      <w:r>
        <w:rPr>
          <w:rFonts w:ascii="Times New Roman" w:hAnsi="Times New Roman"/>
          <w:sz w:val="24"/>
          <w:szCs w:val="24"/>
        </w:rPr>
        <w:t xml:space="preserve"> in biological fluids. </w:t>
      </w:r>
      <w:r>
        <w:rPr>
          <w:rFonts w:ascii="Times New Roman" w:hAnsi="Times New Roman"/>
          <w:i/>
          <w:iCs/>
          <w:sz w:val="24"/>
          <w:szCs w:val="24"/>
        </w:rPr>
        <w:t>Analytical Bioch</w:t>
      </w:r>
      <w:r>
        <w:rPr>
          <w:rFonts w:ascii="Times New Roman" w:hAnsi="Times New Roman"/>
          <w:i/>
          <w:iCs/>
          <w:sz w:val="24"/>
          <w:szCs w:val="24"/>
        </w:rPr>
        <w:t xml:space="preserve">emistry, </w:t>
      </w:r>
      <w:r>
        <w:rPr>
          <w:rFonts w:ascii="Times New Roman" w:hAnsi="Times New Roman"/>
          <w:sz w:val="24"/>
          <w:szCs w:val="24"/>
        </w:rPr>
        <w:t>126(1), 131–138. https://doi.org/10.1016/0003-2697(82)90118-X</w:t>
      </w:r>
    </w:p>
    <w:p w14:paraId="15DFC76B"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Halliwell, B., &amp; </w:t>
      </w:r>
      <w:proofErr w:type="spellStart"/>
      <w:r>
        <w:rPr>
          <w:rFonts w:ascii="Times New Roman" w:hAnsi="Times New Roman"/>
          <w:sz w:val="24"/>
          <w:szCs w:val="24"/>
        </w:rPr>
        <w:t>Gutteridge</w:t>
      </w:r>
      <w:proofErr w:type="spellEnd"/>
      <w:r>
        <w:rPr>
          <w:rFonts w:ascii="Times New Roman" w:hAnsi="Times New Roman"/>
          <w:sz w:val="24"/>
          <w:szCs w:val="24"/>
        </w:rPr>
        <w:t>, J. M. C. (2015). Free radicals in biology and medicine (5th ed.). Oxford University Press.</w:t>
      </w:r>
    </w:p>
    <w:p w14:paraId="44F203FA"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Harborne, J. B. (1998). Phytochemical methods: A guide to modern </w:t>
      </w:r>
      <w:r>
        <w:rPr>
          <w:rFonts w:ascii="Times New Roman" w:hAnsi="Times New Roman"/>
          <w:sz w:val="24"/>
          <w:szCs w:val="24"/>
        </w:rPr>
        <w:t>techniques of plant analysis (3rd ed.). Chapman and Hall.</w:t>
      </w:r>
    </w:p>
    <w:p w14:paraId="138F58D4"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Kumar, P., &amp; Gupta, V. K. (2020). Phytochemical and pharmacological profile of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w:t>
      </w:r>
      <w:r>
        <w:rPr>
          <w:rFonts w:ascii="Times New Roman" w:hAnsi="Times New Roman"/>
          <w:sz w:val="24"/>
          <w:szCs w:val="24"/>
        </w:rPr>
        <w:t xml:space="preserve">: A review. </w:t>
      </w:r>
      <w:r>
        <w:rPr>
          <w:rFonts w:ascii="Times New Roman" w:hAnsi="Times New Roman"/>
          <w:i/>
          <w:iCs/>
          <w:sz w:val="24"/>
          <w:szCs w:val="24"/>
        </w:rPr>
        <w:t xml:space="preserve">International Journal of Chemical Studies, </w:t>
      </w:r>
      <w:r>
        <w:rPr>
          <w:rFonts w:ascii="Times New Roman" w:hAnsi="Times New Roman"/>
          <w:sz w:val="24"/>
          <w:szCs w:val="24"/>
        </w:rPr>
        <w:t>8(1), 310–316.</w:t>
      </w:r>
    </w:p>
    <w:p w14:paraId="7D4F69AB"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Kumar, S., Pandey, A. K.</w:t>
      </w:r>
      <w:r>
        <w:rPr>
          <w:rFonts w:ascii="Times New Roman" w:hAnsi="Times New Roman"/>
          <w:sz w:val="24"/>
          <w:szCs w:val="24"/>
        </w:rPr>
        <w:t xml:space="preserve">, &amp; Singh, A. (2017). Antioxidant and free radical scavenging activities of phenolic and flavonoid compounds: A review. </w:t>
      </w:r>
      <w:r>
        <w:rPr>
          <w:rFonts w:ascii="Times New Roman" w:hAnsi="Times New Roman"/>
          <w:i/>
          <w:iCs/>
          <w:sz w:val="24"/>
          <w:szCs w:val="24"/>
        </w:rPr>
        <w:t xml:space="preserve">Journal of Plant Biochemistry and Physiology, </w:t>
      </w:r>
      <w:r>
        <w:rPr>
          <w:rFonts w:ascii="Times New Roman" w:hAnsi="Times New Roman"/>
          <w:sz w:val="24"/>
          <w:szCs w:val="24"/>
        </w:rPr>
        <w:t>5(3), 218–227. https://doi.org/10.4172/2329-9029.1000218</w:t>
      </w:r>
    </w:p>
    <w:p w14:paraId="6A95CF36"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Lobo, V., Patil, A., </w:t>
      </w:r>
      <w:proofErr w:type="spellStart"/>
      <w:r>
        <w:rPr>
          <w:rFonts w:ascii="Times New Roman" w:hAnsi="Times New Roman"/>
          <w:sz w:val="24"/>
          <w:szCs w:val="24"/>
        </w:rPr>
        <w:t>Phatak</w:t>
      </w:r>
      <w:proofErr w:type="spellEnd"/>
      <w:r>
        <w:rPr>
          <w:rFonts w:ascii="Times New Roman" w:hAnsi="Times New Roman"/>
          <w:sz w:val="24"/>
          <w:szCs w:val="24"/>
        </w:rPr>
        <w:t xml:space="preserve">, A., </w:t>
      </w:r>
      <w:r>
        <w:rPr>
          <w:rFonts w:ascii="Times New Roman" w:hAnsi="Times New Roman"/>
          <w:sz w:val="24"/>
          <w:szCs w:val="24"/>
        </w:rPr>
        <w:t xml:space="preserve">&amp; Chandra, N. (2010). Free radicals, antioxidants and functional foods: Impact on human health. </w:t>
      </w:r>
      <w:r>
        <w:rPr>
          <w:rFonts w:ascii="Times New Roman" w:hAnsi="Times New Roman"/>
          <w:i/>
          <w:iCs/>
          <w:sz w:val="24"/>
          <w:szCs w:val="24"/>
        </w:rPr>
        <w:t>Pharmacognosy Reviews,</w:t>
      </w:r>
      <w:r>
        <w:rPr>
          <w:rFonts w:ascii="Times New Roman" w:hAnsi="Times New Roman"/>
          <w:sz w:val="24"/>
          <w:szCs w:val="24"/>
        </w:rPr>
        <w:t xml:space="preserve"> 4(8), 118–126. https://doi.org/10.4103/0973-7847.70902</w:t>
      </w:r>
    </w:p>
    <w:p w14:paraId="103B41D5"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Meghwal</w:t>
      </w:r>
      <w:proofErr w:type="spellEnd"/>
      <w:r>
        <w:rPr>
          <w:rFonts w:ascii="Times New Roman" w:hAnsi="Times New Roman"/>
          <w:sz w:val="24"/>
          <w:szCs w:val="24"/>
        </w:rPr>
        <w:t>, M., &amp; Goswami, T. K. (2012). A review on the functional properties, nutri</w:t>
      </w:r>
      <w:r>
        <w:rPr>
          <w:rFonts w:ascii="Times New Roman" w:hAnsi="Times New Roman"/>
          <w:sz w:val="24"/>
          <w:szCs w:val="24"/>
        </w:rPr>
        <w:t xml:space="preserve">tional content, medicinal utilization and potential application of fenugreek. </w:t>
      </w:r>
      <w:r>
        <w:rPr>
          <w:rFonts w:ascii="Times New Roman" w:hAnsi="Times New Roman"/>
          <w:i/>
          <w:iCs/>
          <w:sz w:val="24"/>
          <w:szCs w:val="24"/>
        </w:rPr>
        <w:t xml:space="preserve">Journal of Food Processing &amp; Technology, </w:t>
      </w:r>
      <w:r>
        <w:rPr>
          <w:rFonts w:ascii="Times New Roman" w:hAnsi="Times New Roman"/>
          <w:sz w:val="24"/>
          <w:szCs w:val="24"/>
        </w:rPr>
        <w:t>3(9), 181. https://doi.org/10.4172/2157-7110.1000181</w:t>
      </w:r>
    </w:p>
    <w:p w14:paraId="4C593B7B"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Middleton, E., </w:t>
      </w:r>
      <w:proofErr w:type="spellStart"/>
      <w:r>
        <w:rPr>
          <w:rFonts w:ascii="Times New Roman" w:hAnsi="Times New Roman"/>
          <w:sz w:val="24"/>
          <w:szCs w:val="24"/>
        </w:rPr>
        <w:t>Kandaswami</w:t>
      </w:r>
      <w:proofErr w:type="spellEnd"/>
      <w:r>
        <w:rPr>
          <w:rFonts w:ascii="Times New Roman" w:hAnsi="Times New Roman"/>
          <w:sz w:val="24"/>
          <w:szCs w:val="24"/>
        </w:rPr>
        <w:t xml:space="preserve">, C., &amp; </w:t>
      </w:r>
      <w:proofErr w:type="spellStart"/>
      <w:r>
        <w:rPr>
          <w:rFonts w:ascii="Times New Roman" w:hAnsi="Times New Roman"/>
          <w:sz w:val="24"/>
          <w:szCs w:val="24"/>
        </w:rPr>
        <w:t>Theoharides</w:t>
      </w:r>
      <w:proofErr w:type="spellEnd"/>
      <w:r>
        <w:rPr>
          <w:rFonts w:ascii="Times New Roman" w:hAnsi="Times New Roman"/>
          <w:sz w:val="24"/>
          <w:szCs w:val="24"/>
        </w:rPr>
        <w:t>, T. C. (2000). The effects of plant fla</w:t>
      </w:r>
      <w:r>
        <w:rPr>
          <w:rFonts w:ascii="Times New Roman" w:hAnsi="Times New Roman"/>
          <w:sz w:val="24"/>
          <w:szCs w:val="24"/>
        </w:rPr>
        <w:t xml:space="preserve">vonoids on mammalian cells: Implications for inflammation, heart disease, and cancer. </w:t>
      </w:r>
      <w:r>
        <w:rPr>
          <w:rFonts w:ascii="Times New Roman" w:hAnsi="Times New Roman"/>
          <w:i/>
          <w:iCs/>
          <w:sz w:val="24"/>
          <w:szCs w:val="24"/>
        </w:rPr>
        <w:t>Pharmacological Reviews,</w:t>
      </w:r>
      <w:r>
        <w:rPr>
          <w:rFonts w:ascii="Times New Roman" w:hAnsi="Times New Roman"/>
          <w:sz w:val="24"/>
          <w:szCs w:val="24"/>
        </w:rPr>
        <w:t xml:space="preserve"> 52(4), 673–751.</w:t>
      </w:r>
    </w:p>
    <w:p w14:paraId="164BB2E1"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Obadoni</w:t>
      </w:r>
      <w:proofErr w:type="spellEnd"/>
      <w:r>
        <w:rPr>
          <w:rFonts w:ascii="Times New Roman" w:hAnsi="Times New Roman"/>
          <w:sz w:val="24"/>
          <w:szCs w:val="24"/>
        </w:rPr>
        <w:t xml:space="preserve">, B. O., &amp; </w:t>
      </w:r>
      <w:proofErr w:type="spellStart"/>
      <w:r>
        <w:rPr>
          <w:rFonts w:ascii="Times New Roman" w:hAnsi="Times New Roman"/>
          <w:sz w:val="24"/>
          <w:szCs w:val="24"/>
        </w:rPr>
        <w:t>Ochuko</w:t>
      </w:r>
      <w:proofErr w:type="spellEnd"/>
      <w:r>
        <w:rPr>
          <w:rFonts w:ascii="Times New Roman" w:hAnsi="Times New Roman"/>
          <w:sz w:val="24"/>
          <w:szCs w:val="24"/>
        </w:rPr>
        <w:t xml:space="preserve">, P. O. (2001). Phytochemical studies and comparative efficacy of the crude extracts of some </w:t>
      </w:r>
      <w:proofErr w:type="spellStart"/>
      <w:r>
        <w:rPr>
          <w:rFonts w:ascii="Times New Roman" w:hAnsi="Times New Roman"/>
          <w:sz w:val="24"/>
          <w:szCs w:val="24"/>
        </w:rPr>
        <w:t>haemostatic</w:t>
      </w:r>
      <w:proofErr w:type="spellEnd"/>
      <w:r>
        <w:rPr>
          <w:rFonts w:ascii="Times New Roman" w:hAnsi="Times New Roman"/>
          <w:sz w:val="24"/>
          <w:szCs w:val="24"/>
        </w:rPr>
        <w:t xml:space="preserve"> </w:t>
      </w:r>
      <w:r>
        <w:rPr>
          <w:rFonts w:ascii="Times New Roman" w:hAnsi="Times New Roman"/>
          <w:sz w:val="24"/>
          <w:szCs w:val="24"/>
        </w:rPr>
        <w:t xml:space="preserve">plants in Edo and Delta States of Nigeria. </w:t>
      </w:r>
      <w:r>
        <w:rPr>
          <w:rFonts w:ascii="Times New Roman" w:hAnsi="Times New Roman"/>
          <w:i/>
          <w:iCs/>
          <w:sz w:val="24"/>
          <w:szCs w:val="24"/>
        </w:rPr>
        <w:t xml:space="preserve">Global Journal of Pure and Applied Sciences, </w:t>
      </w:r>
      <w:r>
        <w:rPr>
          <w:rFonts w:ascii="Times New Roman" w:hAnsi="Times New Roman"/>
          <w:sz w:val="24"/>
          <w:szCs w:val="24"/>
        </w:rPr>
        <w:t>8(2), 203–208. https://doi.org/10.4314/gjpas.v8i2.16033</w:t>
      </w:r>
    </w:p>
    <w:p w14:paraId="711A295E"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Pandey, K. B., &amp; Rizvi, S. I. (2009). Plant polyphenols as dietary antioxidants in human health and disease. </w:t>
      </w:r>
      <w:r>
        <w:rPr>
          <w:rFonts w:ascii="Times New Roman" w:hAnsi="Times New Roman"/>
          <w:i/>
          <w:iCs/>
          <w:sz w:val="24"/>
          <w:szCs w:val="24"/>
        </w:rPr>
        <w:t>Oxi</w:t>
      </w:r>
      <w:r>
        <w:rPr>
          <w:rFonts w:ascii="Times New Roman" w:hAnsi="Times New Roman"/>
          <w:i/>
          <w:iCs/>
          <w:sz w:val="24"/>
          <w:szCs w:val="24"/>
        </w:rPr>
        <w:t>dative Medicine and Cellular Longevity,</w:t>
      </w:r>
      <w:r>
        <w:rPr>
          <w:rFonts w:ascii="Times New Roman" w:hAnsi="Times New Roman"/>
          <w:sz w:val="24"/>
          <w:szCs w:val="24"/>
        </w:rPr>
        <w:t xml:space="preserve"> 2(5), 270–278. https://doi.org/10.4161/oxim.2.5.9498</w:t>
      </w:r>
    </w:p>
    <w:p w14:paraId="13B1EDDE"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Patel, D., Desai, S., &amp; Patel, N. (2019). Phytochemical screening and antioxidant activity of fenugreek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seeds. </w:t>
      </w:r>
      <w:r>
        <w:rPr>
          <w:rFonts w:ascii="Times New Roman" w:hAnsi="Times New Roman"/>
          <w:i/>
          <w:iCs/>
          <w:sz w:val="24"/>
          <w:szCs w:val="24"/>
        </w:rPr>
        <w:t>International Journal of</w:t>
      </w:r>
      <w:r>
        <w:rPr>
          <w:rFonts w:ascii="Times New Roman" w:hAnsi="Times New Roman"/>
          <w:i/>
          <w:iCs/>
          <w:sz w:val="24"/>
          <w:szCs w:val="24"/>
        </w:rPr>
        <w:t xml:space="preserve"> Pharmaceutical </w:t>
      </w:r>
      <w:r>
        <w:rPr>
          <w:rFonts w:ascii="Times New Roman" w:hAnsi="Times New Roman"/>
          <w:i/>
          <w:iCs/>
          <w:sz w:val="24"/>
          <w:szCs w:val="24"/>
        </w:rPr>
        <w:lastRenderedPageBreak/>
        <w:t>Sciences and Research,</w:t>
      </w:r>
      <w:r>
        <w:rPr>
          <w:rFonts w:ascii="Times New Roman" w:hAnsi="Times New Roman"/>
          <w:sz w:val="24"/>
          <w:szCs w:val="24"/>
        </w:rPr>
        <w:t xml:space="preserve"> 10(7), 3342–3348. https://doi.org/10.13040/IJPSR.0975-8232.10(7).3342-48</w:t>
      </w:r>
    </w:p>
    <w:p w14:paraId="2BFF14B9"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Pisoschi</w:t>
      </w:r>
      <w:proofErr w:type="spellEnd"/>
      <w:r>
        <w:rPr>
          <w:rFonts w:ascii="Times New Roman" w:hAnsi="Times New Roman"/>
          <w:sz w:val="24"/>
          <w:szCs w:val="24"/>
        </w:rPr>
        <w:t xml:space="preserve">, A. M., &amp; Pop, A. (2015). The role of antioxidants in the chemistry of oxidative stress: A review. </w:t>
      </w:r>
      <w:r>
        <w:rPr>
          <w:rFonts w:ascii="Times New Roman" w:hAnsi="Times New Roman"/>
          <w:i/>
          <w:iCs/>
          <w:sz w:val="24"/>
          <w:szCs w:val="24"/>
        </w:rPr>
        <w:t>European Journal of Medicinal Chemis</w:t>
      </w:r>
      <w:r>
        <w:rPr>
          <w:rFonts w:ascii="Times New Roman" w:hAnsi="Times New Roman"/>
          <w:i/>
          <w:iCs/>
          <w:sz w:val="24"/>
          <w:szCs w:val="24"/>
        </w:rPr>
        <w:t xml:space="preserve">try, </w:t>
      </w:r>
      <w:r>
        <w:rPr>
          <w:rFonts w:ascii="Times New Roman" w:hAnsi="Times New Roman"/>
          <w:sz w:val="24"/>
          <w:szCs w:val="24"/>
        </w:rPr>
        <w:t>97, 55–74. https://doi.org/10.1016/j.ejmech.2015.04.040</w:t>
      </w:r>
    </w:p>
    <w:p w14:paraId="73CAC416"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Raju, R., Shanmugam, S., &amp; Manoharan, S. (2020). Evaluation of nitric oxide scavenging activity of fenugreek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seed extracts. </w:t>
      </w:r>
      <w:r>
        <w:rPr>
          <w:rFonts w:ascii="Times New Roman" w:hAnsi="Times New Roman"/>
          <w:i/>
          <w:iCs/>
          <w:sz w:val="24"/>
          <w:szCs w:val="24"/>
        </w:rPr>
        <w:t>International Journal of Pharmaceutical Sci</w:t>
      </w:r>
      <w:r>
        <w:rPr>
          <w:rFonts w:ascii="Times New Roman" w:hAnsi="Times New Roman"/>
          <w:i/>
          <w:iCs/>
          <w:sz w:val="24"/>
          <w:szCs w:val="24"/>
        </w:rPr>
        <w:t>ences Review and Research,</w:t>
      </w:r>
      <w:r>
        <w:rPr>
          <w:rFonts w:ascii="Times New Roman" w:hAnsi="Times New Roman"/>
          <w:sz w:val="24"/>
          <w:szCs w:val="24"/>
        </w:rPr>
        <w:t xml:space="preserve"> 62(1), 68–72.</w:t>
      </w:r>
    </w:p>
    <w:p w14:paraId="44D179C0"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Shahidi, F., &amp; </w:t>
      </w:r>
      <w:proofErr w:type="spellStart"/>
      <w:r>
        <w:rPr>
          <w:rFonts w:ascii="Times New Roman" w:hAnsi="Times New Roman"/>
          <w:sz w:val="24"/>
          <w:szCs w:val="24"/>
        </w:rPr>
        <w:t>Ambigaipalan</w:t>
      </w:r>
      <w:proofErr w:type="spellEnd"/>
      <w:r>
        <w:rPr>
          <w:rFonts w:ascii="Times New Roman" w:hAnsi="Times New Roman"/>
          <w:sz w:val="24"/>
          <w:szCs w:val="24"/>
        </w:rPr>
        <w:t xml:space="preserve">, P. (2015). Phenolics and polyphenolics in foods, beverages and spices: Antioxidant activity and health effects – A review. </w:t>
      </w:r>
      <w:r>
        <w:rPr>
          <w:rFonts w:ascii="Times New Roman" w:hAnsi="Times New Roman"/>
          <w:i/>
          <w:iCs/>
          <w:sz w:val="24"/>
          <w:szCs w:val="24"/>
        </w:rPr>
        <w:t>Journal of Functional Foods</w:t>
      </w:r>
      <w:r>
        <w:rPr>
          <w:rFonts w:ascii="Times New Roman" w:hAnsi="Times New Roman"/>
          <w:sz w:val="24"/>
          <w:szCs w:val="24"/>
        </w:rPr>
        <w:t>, 18(B), 820–897. https://doi.org/10</w:t>
      </w:r>
      <w:r>
        <w:rPr>
          <w:rFonts w:ascii="Times New Roman" w:hAnsi="Times New Roman"/>
          <w:sz w:val="24"/>
          <w:szCs w:val="24"/>
        </w:rPr>
        <w:t>.1016/j.jff.2015.06.018</w:t>
      </w:r>
    </w:p>
    <w:p w14:paraId="33389B09"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Sharma, R., Gupta, R., &amp; Singh, V. (2016). In vitro antioxidant activities of fenugreek (</w:t>
      </w:r>
      <w:proofErr w:type="spellStart"/>
      <w:r>
        <w:rPr>
          <w:rFonts w:ascii="Times New Roman" w:hAnsi="Times New Roman"/>
          <w:i/>
          <w:iCs/>
          <w:sz w:val="24"/>
          <w:szCs w:val="24"/>
        </w:rPr>
        <w:t>Trigonella</w:t>
      </w:r>
      <w:proofErr w:type="spellEnd"/>
      <w:r>
        <w:rPr>
          <w:rFonts w:ascii="Times New Roman" w:hAnsi="Times New Roman"/>
          <w:i/>
          <w:iCs/>
          <w:sz w:val="24"/>
          <w:szCs w:val="24"/>
        </w:rPr>
        <w:t xml:space="preserve"> </w:t>
      </w:r>
      <w:proofErr w:type="spellStart"/>
      <w:r>
        <w:rPr>
          <w:rFonts w:ascii="Times New Roman" w:hAnsi="Times New Roman"/>
          <w:i/>
          <w:iCs/>
          <w:sz w:val="24"/>
          <w:szCs w:val="24"/>
        </w:rPr>
        <w:t>foenum</w:t>
      </w:r>
      <w:proofErr w:type="spellEnd"/>
      <w:r>
        <w:rPr>
          <w:rFonts w:ascii="Times New Roman" w:hAnsi="Times New Roman"/>
          <w:i/>
          <w:iCs/>
          <w:sz w:val="24"/>
          <w:szCs w:val="24"/>
        </w:rPr>
        <w:t>-graecum</w:t>
      </w:r>
      <w:r>
        <w:rPr>
          <w:rFonts w:ascii="Times New Roman" w:hAnsi="Times New Roman"/>
          <w:sz w:val="24"/>
          <w:szCs w:val="24"/>
        </w:rPr>
        <w:t>) seed extracts.</w:t>
      </w:r>
      <w:r>
        <w:rPr>
          <w:rFonts w:ascii="Times New Roman" w:hAnsi="Times New Roman"/>
          <w:i/>
          <w:iCs/>
          <w:sz w:val="24"/>
          <w:szCs w:val="24"/>
        </w:rPr>
        <w:t xml:space="preserve"> International Journal of Pharmaceutical Sciences and Research,</w:t>
      </w:r>
      <w:r>
        <w:rPr>
          <w:rFonts w:ascii="Times New Roman" w:hAnsi="Times New Roman"/>
          <w:sz w:val="24"/>
          <w:szCs w:val="24"/>
        </w:rPr>
        <w:t xml:space="preserve"> 7(6), 2552–2558.</w:t>
      </w:r>
    </w:p>
    <w:p w14:paraId="1DA06B68"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Singleton, V. L., &amp; R</w:t>
      </w:r>
      <w:r>
        <w:rPr>
          <w:rFonts w:ascii="Times New Roman" w:hAnsi="Times New Roman"/>
          <w:sz w:val="24"/>
          <w:szCs w:val="24"/>
        </w:rPr>
        <w:t>ossi, J. A. (1965). Colorimetry of total phenolics with phosphomolybdic–</w:t>
      </w:r>
      <w:proofErr w:type="spellStart"/>
      <w:r>
        <w:rPr>
          <w:rFonts w:ascii="Times New Roman" w:hAnsi="Times New Roman"/>
          <w:sz w:val="24"/>
          <w:szCs w:val="24"/>
        </w:rPr>
        <w:t>phosphotungstic</w:t>
      </w:r>
      <w:proofErr w:type="spellEnd"/>
      <w:r>
        <w:rPr>
          <w:rFonts w:ascii="Times New Roman" w:hAnsi="Times New Roman"/>
          <w:sz w:val="24"/>
          <w:szCs w:val="24"/>
        </w:rPr>
        <w:t xml:space="preserve"> acid reagents. </w:t>
      </w:r>
      <w:r>
        <w:rPr>
          <w:rFonts w:ascii="Times New Roman" w:hAnsi="Times New Roman"/>
          <w:i/>
          <w:iCs/>
          <w:sz w:val="24"/>
          <w:szCs w:val="24"/>
        </w:rPr>
        <w:t xml:space="preserve">American Journal of Enology and Viticulture, </w:t>
      </w:r>
      <w:r>
        <w:rPr>
          <w:rFonts w:ascii="Times New Roman" w:hAnsi="Times New Roman"/>
          <w:sz w:val="24"/>
          <w:szCs w:val="24"/>
        </w:rPr>
        <w:t>16(3), 144–158.</w:t>
      </w:r>
    </w:p>
    <w:p w14:paraId="2E454508"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Sowmya, P., &amp; </w:t>
      </w:r>
      <w:proofErr w:type="spellStart"/>
      <w:r>
        <w:rPr>
          <w:rFonts w:ascii="Times New Roman" w:hAnsi="Times New Roman"/>
          <w:sz w:val="24"/>
          <w:szCs w:val="24"/>
        </w:rPr>
        <w:t>Rajyalakshmi</w:t>
      </w:r>
      <w:proofErr w:type="spellEnd"/>
      <w:r>
        <w:rPr>
          <w:rFonts w:ascii="Times New Roman" w:hAnsi="Times New Roman"/>
          <w:sz w:val="24"/>
          <w:szCs w:val="24"/>
        </w:rPr>
        <w:t xml:space="preserve">, P. (1999). </w:t>
      </w:r>
      <w:proofErr w:type="spellStart"/>
      <w:r>
        <w:rPr>
          <w:rFonts w:ascii="Times New Roman" w:hAnsi="Times New Roman"/>
          <w:sz w:val="24"/>
          <w:szCs w:val="24"/>
        </w:rPr>
        <w:t>Hypocholesterolemic</w:t>
      </w:r>
      <w:proofErr w:type="spellEnd"/>
      <w:r>
        <w:rPr>
          <w:rFonts w:ascii="Times New Roman" w:hAnsi="Times New Roman"/>
          <w:sz w:val="24"/>
          <w:szCs w:val="24"/>
        </w:rPr>
        <w:t xml:space="preserve"> effect of germinated fenugreek se</w:t>
      </w:r>
      <w:r>
        <w:rPr>
          <w:rFonts w:ascii="Times New Roman" w:hAnsi="Times New Roman"/>
          <w:sz w:val="24"/>
          <w:szCs w:val="24"/>
        </w:rPr>
        <w:t xml:space="preserve">eds in human subjects. </w:t>
      </w:r>
      <w:r>
        <w:rPr>
          <w:rFonts w:ascii="Times New Roman" w:hAnsi="Times New Roman"/>
          <w:i/>
          <w:iCs/>
          <w:sz w:val="24"/>
          <w:szCs w:val="24"/>
        </w:rPr>
        <w:t xml:space="preserve">Plant Foods for Human Nutrition, </w:t>
      </w:r>
      <w:r>
        <w:rPr>
          <w:rFonts w:ascii="Times New Roman" w:hAnsi="Times New Roman"/>
          <w:sz w:val="24"/>
          <w:szCs w:val="24"/>
        </w:rPr>
        <w:t>53(4), 359–365. https://doi.org/10.1023/A:1008044215851</w:t>
      </w:r>
    </w:p>
    <w:p w14:paraId="32760BFD"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Sowmya, P., &amp; </w:t>
      </w:r>
      <w:proofErr w:type="spellStart"/>
      <w:r>
        <w:rPr>
          <w:rFonts w:ascii="Times New Roman" w:hAnsi="Times New Roman"/>
          <w:sz w:val="24"/>
          <w:szCs w:val="24"/>
        </w:rPr>
        <w:t>Rajyalakshmi</w:t>
      </w:r>
      <w:proofErr w:type="spellEnd"/>
      <w:r>
        <w:rPr>
          <w:rFonts w:ascii="Times New Roman" w:hAnsi="Times New Roman"/>
          <w:sz w:val="24"/>
          <w:szCs w:val="24"/>
        </w:rPr>
        <w:t>, P. (2018). Antioxidant and lipid-lowering potential of fenugreek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seeds. </w:t>
      </w:r>
      <w:r>
        <w:rPr>
          <w:rFonts w:ascii="Times New Roman" w:hAnsi="Times New Roman"/>
          <w:i/>
          <w:iCs/>
          <w:sz w:val="24"/>
          <w:szCs w:val="24"/>
        </w:rPr>
        <w:t>Journal of Medic</w:t>
      </w:r>
      <w:r>
        <w:rPr>
          <w:rFonts w:ascii="Times New Roman" w:hAnsi="Times New Roman"/>
          <w:i/>
          <w:iCs/>
          <w:sz w:val="24"/>
          <w:szCs w:val="24"/>
        </w:rPr>
        <w:t xml:space="preserve">inal Food, </w:t>
      </w:r>
      <w:r>
        <w:rPr>
          <w:rFonts w:ascii="Times New Roman" w:hAnsi="Times New Roman"/>
          <w:sz w:val="24"/>
          <w:szCs w:val="24"/>
        </w:rPr>
        <w:t>21(10), 1002–1009. https://doi.org/10.1089/jmf.2018.0010</w:t>
      </w:r>
    </w:p>
    <w:p w14:paraId="75B6B8B5"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t>Srinivasan, K. (2006). Fenugreek (</w:t>
      </w:r>
      <w:proofErr w:type="spellStart"/>
      <w:r>
        <w:rPr>
          <w:rFonts w:ascii="Times New Roman" w:hAnsi="Times New Roman"/>
          <w:sz w:val="24"/>
          <w:szCs w:val="24"/>
        </w:rPr>
        <w:t>Trigonella</w:t>
      </w:r>
      <w:proofErr w:type="spellEnd"/>
      <w:r>
        <w:rPr>
          <w:rFonts w:ascii="Times New Roman" w:hAnsi="Times New Roman"/>
          <w:sz w:val="24"/>
          <w:szCs w:val="24"/>
        </w:rPr>
        <w:t xml:space="preserve"> </w:t>
      </w:r>
      <w:proofErr w:type="spellStart"/>
      <w:r>
        <w:rPr>
          <w:rFonts w:ascii="Times New Roman" w:hAnsi="Times New Roman"/>
          <w:sz w:val="24"/>
          <w:szCs w:val="24"/>
        </w:rPr>
        <w:t>foenum</w:t>
      </w:r>
      <w:proofErr w:type="spellEnd"/>
      <w:r>
        <w:rPr>
          <w:rFonts w:ascii="Times New Roman" w:hAnsi="Times New Roman"/>
          <w:sz w:val="24"/>
          <w:szCs w:val="24"/>
        </w:rPr>
        <w:t xml:space="preserve">-graecum): A review of its diverse physiological effects. </w:t>
      </w:r>
      <w:r>
        <w:rPr>
          <w:rFonts w:ascii="Times New Roman" w:hAnsi="Times New Roman"/>
          <w:i/>
          <w:iCs/>
          <w:sz w:val="24"/>
          <w:szCs w:val="24"/>
        </w:rPr>
        <w:t xml:space="preserve">Critical Reviews in Food Science and Nutrition, </w:t>
      </w:r>
      <w:r>
        <w:rPr>
          <w:rFonts w:ascii="Times New Roman" w:hAnsi="Times New Roman"/>
          <w:sz w:val="24"/>
          <w:szCs w:val="24"/>
        </w:rPr>
        <w:t>46(6), 507–512. https://doi.org</w:t>
      </w:r>
      <w:r>
        <w:rPr>
          <w:rFonts w:ascii="Times New Roman" w:hAnsi="Times New Roman"/>
          <w:sz w:val="24"/>
          <w:szCs w:val="24"/>
        </w:rPr>
        <w:t>/10.1080/10408390500295464</w:t>
      </w:r>
    </w:p>
    <w:p w14:paraId="7DD8E2C0" w14:textId="77777777" w:rsidR="005D65E5" w:rsidRDefault="00736E5B">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Thaipong</w:t>
      </w:r>
      <w:proofErr w:type="spellEnd"/>
      <w:r>
        <w:rPr>
          <w:rFonts w:ascii="Times New Roman" w:hAnsi="Times New Roman"/>
          <w:sz w:val="24"/>
          <w:szCs w:val="24"/>
        </w:rPr>
        <w:t xml:space="preserve">, K., </w:t>
      </w:r>
      <w:proofErr w:type="spellStart"/>
      <w:r>
        <w:rPr>
          <w:rFonts w:ascii="Times New Roman" w:hAnsi="Times New Roman"/>
          <w:sz w:val="24"/>
          <w:szCs w:val="24"/>
        </w:rPr>
        <w:t>Boonprakob</w:t>
      </w:r>
      <w:proofErr w:type="spellEnd"/>
      <w:r>
        <w:rPr>
          <w:rFonts w:ascii="Times New Roman" w:hAnsi="Times New Roman"/>
          <w:sz w:val="24"/>
          <w:szCs w:val="24"/>
        </w:rPr>
        <w:t>, U., Crosby, K., Cisneros-</w:t>
      </w:r>
      <w:proofErr w:type="spellStart"/>
      <w:r>
        <w:rPr>
          <w:rFonts w:ascii="Times New Roman" w:hAnsi="Times New Roman"/>
          <w:sz w:val="24"/>
          <w:szCs w:val="24"/>
        </w:rPr>
        <w:t>Zevallos</w:t>
      </w:r>
      <w:proofErr w:type="spellEnd"/>
      <w:r>
        <w:rPr>
          <w:rFonts w:ascii="Times New Roman" w:hAnsi="Times New Roman"/>
          <w:sz w:val="24"/>
          <w:szCs w:val="24"/>
        </w:rPr>
        <w:t xml:space="preserve">, L., &amp; Byrne, D. H. (2006). Comparison of ABTS, DPPH, FRAP, and ORAC assays for estimating antioxidant activity from guava fruit extracts. </w:t>
      </w:r>
      <w:r>
        <w:rPr>
          <w:rFonts w:ascii="Times New Roman" w:hAnsi="Times New Roman"/>
          <w:i/>
          <w:iCs/>
          <w:sz w:val="24"/>
          <w:szCs w:val="24"/>
        </w:rPr>
        <w:t>Journal of Food Composition an</w:t>
      </w:r>
      <w:r>
        <w:rPr>
          <w:rFonts w:ascii="Times New Roman" w:hAnsi="Times New Roman"/>
          <w:i/>
          <w:iCs/>
          <w:sz w:val="24"/>
          <w:szCs w:val="24"/>
        </w:rPr>
        <w:t xml:space="preserve">d Analysis, </w:t>
      </w:r>
      <w:r>
        <w:rPr>
          <w:rFonts w:ascii="Times New Roman" w:hAnsi="Times New Roman"/>
          <w:sz w:val="24"/>
          <w:szCs w:val="24"/>
        </w:rPr>
        <w:t>19(6–7), 669–675. https://doi.org/10.1016/j.jfca.2006.01.003</w:t>
      </w:r>
    </w:p>
    <w:p w14:paraId="047FC847" w14:textId="77777777" w:rsidR="005D65E5" w:rsidRDefault="00736E5B">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Tiwari, P., Kumar, B., Kaur, M., Kaur, G., &amp; Kaur, H. (2011). Phytochemical screening and extraction: A review. </w:t>
      </w:r>
      <w:r>
        <w:rPr>
          <w:rFonts w:ascii="Times New Roman" w:hAnsi="Times New Roman"/>
          <w:i/>
          <w:iCs/>
          <w:sz w:val="24"/>
          <w:szCs w:val="24"/>
        </w:rPr>
        <w:t xml:space="preserve">International </w:t>
      </w:r>
      <w:proofErr w:type="spellStart"/>
      <w:r>
        <w:rPr>
          <w:rFonts w:ascii="Times New Roman" w:hAnsi="Times New Roman"/>
          <w:i/>
          <w:iCs/>
          <w:sz w:val="24"/>
          <w:szCs w:val="24"/>
        </w:rPr>
        <w:t>Pharmaceutica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Sciencia</w:t>
      </w:r>
      <w:proofErr w:type="spellEnd"/>
      <w:r>
        <w:rPr>
          <w:rFonts w:ascii="Times New Roman" w:hAnsi="Times New Roman"/>
          <w:sz w:val="24"/>
          <w:szCs w:val="24"/>
        </w:rPr>
        <w:t>, 1(1), 98–106.</w:t>
      </w:r>
    </w:p>
    <w:sectPr w:rsidR="005D65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FC7C" w14:textId="77777777" w:rsidR="00736E5B" w:rsidRDefault="00736E5B" w:rsidP="00984E7B">
      <w:pPr>
        <w:spacing w:after="0" w:line="240" w:lineRule="auto"/>
      </w:pPr>
      <w:r>
        <w:separator/>
      </w:r>
    </w:p>
  </w:endnote>
  <w:endnote w:type="continuationSeparator" w:id="0">
    <w:p w14:paraId="52EA65A3" w14:textId="77777777" w:rsidR="00736E5B" w:rsidRDefault="00736E5B" w:rsidP="0098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C9F1" w14:textId="77777777" w:rsidR="00984E7B" w:rsidRDefault="00984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94F8" w14:textId="77777777" w:rsidR="00984E7B" w:rsidRDefault="00984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4A22" w14:textId="77777777" w:rsidR="00984E7B" w:rsidRDefault="0098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6F39" w14:textId="77777777" w:rsidR="00736E5B" w:rsidRDefault="00736E5B" w:rsidP="00984E7B">
      <w:pPr>
        <w:spacing w:after="0" w:line="240" w:lineRule="auto"/>
      </w:pPr>
      <w:r>
        <w:separator/>
      </w:r>
    </w:p>
  </w:footnote>
  <w:footnote w:type="continuationSeparator" w:id="0">
    <w:p w14:paraId="45D3B266" w14:textId="77777777" w:rsidR="00736E5B" w:rsidRDefault="00736E5B" w:rsidP="0098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F014" w14:textId="3CDDE906" w:rsidR="00984E7B" w:rsidRDefault="00984E7B">
    <w:pPr>
      <w:pStyle w:val="Header"/>
    </w:pPr>
    <w:r>
      <w:rPr>
        <w:noProof/>
      </w:rPr>
      <w:pict w14:anchorId="50613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51282"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1A17" w14:textId="23C46308" w:rsidR="00984E7B" w:rsidRDefault="00984E7B">
    <w:pPr>
      <w:pStyle w:val="Header"/>
    </w:pPr>
    <w:r>
      <w:rPr>
        <w:noProof/>
      </w:rPr>
      <w:pict w14:anchorId="2CCF3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51283" o:spid="_x0000_s2051"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6D2B" w14:textId="15DE0F36" w:rsidR="00984E7B" w:rsidRDefault="00984E7B">
    <w:pPr>
      <w:pStyle w:val="Header"/>
    </w:pPr>
    <w:r>
      <w:rPr>
        <w:noProof/>
      </w:rPr>
      <w:pict w14:anchorId="431BA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51281"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65E5"/>
    <w:rsid w:val="000F1B2F"/>
    <w:rsid w:val="00203F0C"/>
    <w:rsid w:val="00305975"/>
    <w:rsid w:val="003D570D"/>
    <w:rsid w:val="003F136C"/>
    <w:rsid w:val="0053283C"/>
    <w:rsid w:val="005D65E5"/>
    <w:rsid w:val="00637B85"/>
    <w:rsid w:val="00736E5B"/>
    <w:rsid w:val="009440AB"/>
    <w:rsid w:val="00984E7B"/>
    <w:rsid w:val="00B95D31"/>
    <w:rsid w:val="00E12251"/>
    <w:rsid w:val="00E9533A"/>
    <w:rsid w:val="00EA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1030"/>
        <o:r id="V:Rule2" type="connector" idref="#1031"/>
        <o:r id="V:Rule3" type="connector" idref="#_x0000_m1028"/>
      </o:rules>
    </o:shapelayout>
  </w:shapeDefaults>
  <w:decimalSymbol w:val="."/>
  <w:listSeparator w:val=","/>
  <w14:docId w14:val="068AF513"/>
  <w15:docId w15:val="{6A66BD6D-0FFE-4192-8497-C43D271A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rPr>
      <w:rFonts w:ascii="Times New Roman" w:hAnsi="Times New Roman"/>
    </w:rPr>
  </w:style>
  <w:style w:type="character" w:styleId="Hyperlink">
    <w:name w:val="Hyperlink"/>
    <w:uiPriority w:val="99"/>
    <w:unhideWhenUsed/>
    <w:rsid w:val="00305975"/>
    <w:rPr>
      <w:color w:val="0000FF"/>
      <w:u w:val="single"/>
    </w:rPr>
  </w:style>
  <w:style w:type="character" w:styleId="UnresolvedMention">
    <w:name w:val="Unresolved Mention"/>
    <w:uiPriority w:val="99"/>
    <w:semiHidden/>
    <w:unhideWhenUsed/>
    <w:rsid w:val="00305975"/>
    <w:rPr>
      <w:color w:val="605E5C"/>
      <w:shd w:val="clear" w:color="auto" w:fill="E1DFDD"/>
    </w:rPr>
  </w:style>
  <w:style w:type="paragraph" w:styleId="Header">
    <w:name w:val="header"/>
    <w:basedOn w:val="Normal"/>
    <w:link w:val="HeaderChar"/>
    <w:uiPriority w:val="99"/>
    <w:unhideWhenUsed/>
    <w:rsid w:val="00984E7B"/>
    <w:pPr>
      <w:tabs>
        <w:tab w:val="center" w:pos="4680"/>
        <w:tab w:val="right" w:pos="9360"/>
      </w:tabs>
    </w:pPr>
  </w:style>
  <w:style w:type="character" w:customStyle="1" w:styleId="HeaderChar">
    <w:name w:val="Header Char"/>
    <w:link w:val="Header"/>
    <w:uiPriority w:val="99"/>
    <w:rsid w:val="00984E7B"/>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4668</Words>
  <Characters>26609</Characters>
  <Application>Microsoft Office Word</Application>
  <DocSecurity>0</DocSecurity>
  <Lines>221</Lines>
  <Paragraphs>62</Paragraphs>
  <ScaleCrop>false</ScaleCrop>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KJ5</dc:creator>
  <cp:lastModifiedBy>SDI 1084</cp:lastModifiedBy>
  <cp:revision>17</cp:revision>
  <dcterms:created xsi:type="dcterms:W3CDTF">2025-10-15T18:17:00Z</dcterms:created>
  <dcterms:modified xsi:type="dcterms:W3CDTF">2025-10-16T11:53:00Z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4abb0f0057544975aea0e0e4f21451c3</vt:lpwstr>
  </property>
</Properties>
</file>