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157EF" w14:textId="77777777" w:rsidR="00FE6B25" w:rsidRPr="00FE6B25" w:rsidRDefault="00FE6B25" w:rsidP="00FE6B25">
      <w:pPr>
        <w:pStyle w:val="Title"/>
        <w:jc w:val="both"/>
        <w:rPr>
          <w:rFonts w:ascii="Arial" w:hAnsi="Arial" w:cs="Arial"/>
          <w:bCs/>
          <w:i/>
          <w:iCs/>
          <w:u w:val="single"/>
        </w:rPr>
      </w:pPr>
      <w:r w:rsidRPr="00FE6B25">
        <w:rPr>
          <w:rFonts w:ascii="Arial" w:hAnsi="Arial" w:cs="Arial"/>
          <w:bCs/>
          <w:i/>
          <w:iCs/>
          <w:u w:val="single"/>
        </w:rPr>
        <w:t>Minireview Article</w:t>
      </w:r>
    </w:p>
    <w:p w14:paraId="698A7E8F" w14:textId="77777777" w:rsidR="00754C9A" w:rsidRDefault="00754C9A" w:rsidP="00441B6F">
      <w:pPr>
        <w:pStyle w:val="Title"/>
        <w:spacing w:after="0"/>
        <w:jc w:val="both"/>
        <w:rPr>
          <w:rFonts w:ascii="Arial" w:hAnsi="Arial" w:cs="Arial"/>
        </w:rPr>
      </w:pPr>
    </w:p>
    <w:p w14:paraId="01262B8A" w14:textId="4DE65453" w:rsidR="00163BC4" w:rsidRPr="00163BC4" w:rsidRDefault="00000F63" w:rsidP="00441B6F">
      <w:pPr>
        <w:pStyle w:val="Author"/>
        <w:spacing w:line="240" w:lineRule="auto"/>
        <w:rPr>
          <w:rFonts w:ascii="Arial" w:hAnsi="Arial" w:cs="Arial"/>
          <w:bCs/>
          <w:iCs/>
          <w:kern w:val="28"/>
          <w:sz w:val="36"/>
        </w:rPr>
      </w:pPr>
      <w:r>
        <w:rPr>
          <w:rFonts w:ascii="Arial" w:hAnsi="Arial" w:cs="Arial"/>
          <w:bCs/>
          <w:iCs/>
          <w:kern w:val="28"/>
          <w:sz w:val="36"/>
        </w:rPr>
        <w:t>Agroforestry Adoption and Climate Change Resilience in the Philippines: Smallholder Farmers’ Knowledge, Adaptation Strategies, and Mitigation Linkages</w:t>
      </w:r>
    </w:p>
    <w:p w14:paraId="3060FCB7" w14:textId="77777777" w:rsidR="00A258C3" w:rsidRPr="00790ADA" w:rsidRDefault="00A258C3" w:rsidP="00441B6F">
      <w:pPr>
        <w:pStyle w:val="Author"/>
        <w:spacing w:line="240" w:lineRule="auto"/>
        <w:jc w:val="both"/>
        <w:rPr>
          <w:rFonts w:ascii="Arial" w:hAnsi="Arial" w:cs="Arial"/>
          <w:sz w:val="36"/>
        </w:rPr>
      </w:pPr>
    </w:p>
    <w:p w14:paraId="0EFC5DF5" w14:textId="3C9FC8F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AD349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C7D7755" w14:textId="77777777" w:rsidTr="001E44FE">
        <w:tc>
          <w:tcPr>
            <w:tcW w:w="9576" w:type="dxa"/>
            <w:shd w:val="clear" w:color="auto" w:fill="F2F2F2"/>
          </w:tcPr>
          <w:p w14:paraId="7FEC6F79" w14:textId="03897BDE" w:rsidR="00D8088D" w:rsidRPr="001931E0" w:rsidRDefault="00000F63" w:rsidP="00441B6F">
            <w:pPr>
              <w:pStyle w:val="Body"/>
              <w:spacing w:after="0"/>
              <w:rPr>
                <w:rFonts w:ascii="Arial" w:eastAsia="Calibri" w:hAnsi="Arial" w:cs="Arial"/>
              </w:rPr>
            </w:pPr>
            <w:r w:rsidRPr="009D3CBB">
              <w:rPr>
                <w:rFonts w:ascii="Arial" w:eastAsia="Calibri" w:hAnsi="Arial" w:cs="Arial"/>
              </w:rPr>
              <w:t>Climate change continues to reshape rural livelihoods across the Philippines, where smallholder farmers remain among</w:t>
            </w:r>
            <w:r w:rsidR="00654307" w:rsidRPr="009D3CBB">
              <w:rPr>
                <w:rFonts w:ascii="Arial" w:eastAsia="Calibri" w:hAnsi="Arial" w:cs="Arial"/>
              </w:rPr>
              <w:t xml:space="preserve"> the most vulnerable to droughts, floods, and shifting weather patterns. Agroforestry, deliberate integration of trees, crops, and sometimes livestock offers a promising solution that strengthens both community resilience and environmental health. This article review s</w:t>
            </w:r>
            <w:bookmarkStart w:id="0" w:name="_GoBack"/>
            <w:bookmarkEnd w:id="0"/>
            <w:r w:rsidR="00654307" w:rsidRPr="009D3CBB">
              <w:rPr>
                <w:rFonts w:ascii="Arial" w:eastAsia="Calibri" w:hAnsi="Arial" w:cs="Arial"/>
              </w:rPr>
              <w:t>ynthesizes findings from Philippine and global research to examine how smallholder farmers’ knowledge, adaptation strategies, and local experiences shape agroforestry adoption and its climate benefits.</w:t>
            </w:r>
            <w:r w:rsidR="001931E0">
              <w:rPr>
                <w:rFonts w:ascii="Arial" w:eastAsia="Calibri" w:hAnsi="Arial" w:cs="Arial"/>
              </w:rPr>
              <w:t xml:space="preserve"> </w:t>
            </w:r>
            <w:r w:rsidR="00654307" w:rsidRPr="009D3CBB">
              <w:rPr>
                <w:rFonts w:ascii="Arial" w:eastAsia="Calibri" w:hAnsi="Arial" w:cs="Arial"/>
              </w:rPr>
              <w:t>Evidence from six peer-reviewed Philippine studies and supporting international literatures reveals that most farmers are aware of climate change and hold positive attitudes toward agroforestry. They recognize its benefits, improved soil fertility, water conservation, shade, and diversified</w:t>
            </w:r>
            <w:r w:rsidR="009D3CBB" w:rsidRPr="009D3CBB">
              <w:rPr>
                <w:rFonts w:ascii="Arial" w:eastAsia="Calibri" w:hAnsi="Arial" w:cs="Arial"/>
              </w:rPr>
              <w:t xml:space="preserve"> income, but face barriers such as insecure land tenure, limited capital, and inadequate institutional support. Agroforestry serves as both a livelihood strategy and a climate action tool: it helps farmers adapt by stabilizing yields and protecting soil, while simultaneously mitigating climate change through carbon sequestration. Philippine case studies report carbon stocks ranging from 156 to 250 tons of CO</w:t>
            </w:r>
            <w:r w:rsidR="009D3CBB" w:rsidRPr="009D3CBB">
              <w:rPr>
                <w:rFonts w:ascii="Cambria Math" w:eastAsia="Calibri" w:hAnsi="Cambria Math" w:cs="Cambria Math"/>
              </w:rPr>
              <w:t>₂</w:t>
            </w:r>
            <w:r w:rsidR="009D3CBB" w:rsidRPr="009D3CBB">
              <w:rPr>
                <w:rFonts w:ascii="Arial" w:eastAsia="Calibri" w:hAnsi="Arial" w:cs="Arial"/>
              </w:rPr>
              <w:t xml:space="preserve"> equivalent per hectare, levels comparable to secondary forests.</w:t>
            </w:r>
            <w:r w:rsidR="001931E0">
              <w:rPr>
                <w:rFonts w:ascii="Arial" w:eastAsia="Calibri" w:hAnsi="Arial" w:cs="Arial"/>
              </w:rPr>
              <w:t xml:space="preserve"> </w:t>
            </w:r>
            <w:r w:rsidR="009D3CBB">
              <w:rPr>
                <w:rFonts w:ascii="Arial" w:eastAsia="Calibri" w:hAnsi="Arial" w:cs="Arial"/>
              </w:rPr>
              <w:t xml:space="preserve">However, research and policy gaps persist. Few long-term studies track the cumulative carbon and livelihood impacts of agroforestry, and women’s and youth roles in adoption remain underexplored. </w:t>
            </w:r>
            <w:r w:rsidR="00D8088D">
              <w:rPr>
                <w:rFonts w:ascii="Arial" w:eastAsia="Calibri" w:hAnsi="Arial" w:cs="Arial"/>
              </w:rPr>
              <w:t>Strengthening</w:t>
            </w:r>
            <w:r w:rsidR="009D3CBB">
              <w:rPr>
                <w:rFonts w:ascii="Arial" w:eastAsia="Calibri" w:hAnsi="Arial" w:cs="Arial"/>
              </w:rPr>
              <w:t xml:space="preserve"> local extension services, providing financial incentives, and embedding agroforestry within national adaptation and mitigation</w:t>
            </w:r>
            <w:r w:rsidR="00D8088D">
              <w:rPr>
                <w:rFonts w:ascii="Arial" w:eastAsia="Calibri" w:hAnsi="Arial" w:cs="Arial"/>
              </w:rPr>
              <w:t xml:space="preserve"> frameworks could accelerate its widespread adoption.</w:t>
            </w:r>
            <w:r w:rsidR="001931E0">
              <w:rPr>
                <w:rFonts w:ascii="Arial" w:eastAsia="Calibri" w:hAnsi="Arial" w:cs="Arial"/>
              </w:rPr>
              <w:t xml:space="preserve"> </w:t>
            </w:r>
            <w:r w:rsidR="00D8088D">
              <w:rPr>
                <w:rFonts w:ascii="Arial" w:eastAsia="Calibri" w:hAnsi="Arial" w:cs="Arial"/>
                <w:szCs w:val="22"/>
              </w:rPr>
              <w:t xml:space="preserve">Ultimately, agroforestry represents more than an agricultural practice, it is a shared expression of resilience and </w:t>
            </w:r>
            <w:r w:rsidR="00B83E03">
              <w:rPr>
                <w:rFonts w:ascii="Arial" w:eastAsia="Calibri" w:hAnsi="Arial" w:cs="Arial"/>
                <w:szCs w:val="22"/>
              </w:rPr>
              <w:t>care for</w:t>
            </w:r>
            <w:r w:rsidR="00D8088D">
              <w:rPr>
                <w:rFonts w:ascii="Arial" w:eastAsia="Calibri" w:hAnsi="Arial" w:cs="Arial"/>
                <w:szCs w:val="22"/>
              </w:rPr>
              <w:t xml:space="preserve"> the land. For Filipino farmers, planting trees is both an act of adaptation and an investment in hope, ensuring that future generations inherit not only fertile soil but also the wisdom to live harmoniously with nature.</w:t>
            </w:r>
          </w:p>
        </w:tc>
      </w:tr>
    </w:tbl>
    <w:p w14:paraId="6457D3D0" w14:textId="77777777" w:rsidR="00636EB2" w:rsidRDefault="00636EB2" w:rsidP="00441B6F">
      <w:pPr>
        <w:pStyle w:val="Body"/>
        <w:spacing w:after="0"/>
        <w:rPr>
          <w:rFonts w:ascii="Arial" w:hAnsi="Arial" w:cs="Arial"/>
          <w:i/>
        </w:rPr>
      </w:pPr>
    </w:p>
    <w:p w14:paraId="5DA907B0" w14:textId="54B53CE7" w:rsidR="0024282C" w:rsidRPr="00622C85" w:rsidRDefault="00A24E7E" w:rsidP="00441B6F">
      <w:pPr>
        <w:pStyle w:val="Body"/>
        <w:spacing w:after="0"/>
        <w:rPr>
          <w:rFonts w:ascii="Arial" w:hAnsi="Arial" w:cs="Arial"/>
          <w:i/>
        </w:rPr>
      </w:pPr>
      <w:r>
        <w:rPr>
          <w:rFonts w:ascii="Arial" w:hAnsi="Arial" w:cs="Arial"/>
          <w:i/>
        </w:rPr>
        <w:t xml:space="preserve">Keywords: </w:t>
      </w:r>
      <w:r w:rsidR="00622C85">
        <w:rPr>
          <w:rFonts w:ascii="Arial" w:hAnsi="Arial" w:cs="Arial"/>
          <w:i/>
        </w:rPr>
        <w:t>adaptation, agroforestry, climate resilience, mitigation, Philippines</w:t>
      </w:r>
    </w:p>
    <w:p w14:paraId="3898D32A" w14:textId="77777777" w:rsidR="00505F06" w:rsidRPr="00A24E7E" w:rsidRDefault="00505F06" w:rsidP="00441B6F">
      <w:pPr>
        <w:pStyle w:val="Body"/>
        <w:spacing w:after="0"/>
        <w:rPr>
          <w:rFonts w:ascii="Arial" w:hAnsi="Arial" w:cs="Arial"/>
          <w:i/>
        </w:rPr>
      </w:pPr>
    </w:p>
    <w:p w14:paraId="59E9BF22" w14:textId="32A4EE7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7566320" w14:textId="77777777" w:rsidR="00790ADA" w:rsidRPr="00FB3A86" w:rsidRDefault="00790ADA" w:rsidP="00441B6F">
      <w:pPr>
        <w:pStyle w:val="AbstHead"/>
        <w:spacing w:after="0"/>
        <w:jc w:val="both"/>
        <w:rPr>
          <w:rFonts w:ascii="Arial" w:hAnsi="Arial" w:cs="Arial"/>
        </w:rPr>
      </w:pPr>
    </w:p>
    <w:p w14:paraId="19231068" w14:textId="77777777" w:rsidR="00622C85" w:rsidRPr="00622C85" w:rsidRDefault="00622C85" w:rsidP="00622C85">
      <w:pPr>
        <w:pStyle w:val="Body"/>
        <w:rPr>
          <w:rFonts w:ascii="Arial" w:hAnsi="Arial" w:cs="Arial"/>
        </w:rPr>
      </w:pPr>
      <w:r w:rsidRPr="00622C85">
        <w:rPr>
          <w:rFonts w:ascii="Arial" w:hAnsi="Arial" w:cs="Arial"/>
        </w:rPr>
        <w:t>Climate change has become one of the greatest challenges of our time, reshaping ecosystems, economies, and human livelihoods across the globe. For millions of smallholder farmers, the crisis is not a distant concern but a daily reality. In developing countries like the Philippines, where agriculture forms the backbone of rural life, changing rainfall patterns, prolonged droughts, and increasingly destructive typhoons are eroding food security and threatening the resilience of local communities (Evangelista, Cruz, &amp; Lasco, 2016; Verchot et al., 2007).</w:t>
      </w:r>
    </w:p>
    <w:p w14:paraId="7139168F" w14:textId="77777777" w:rsidR="00622C85" w:rsidRPr="00622C85" w:rsidRDefault="00622C85" w:rsidP="00622C85">
      <w:pPr>
        <w:pStyle w:val="Body"/>
        <w:rPr>
          <w:rFonts w:ascii="Arial" w:hAnsi="Arial" w:cs="Arial"/>
        </w:rPr>
      </w:pPr>
      <w:r w:rsidRPr="00622C85">
        <w:rPr>
          <w:rFonts w:ascii="Arial" w:hAnsi="Arial" w:cs="Arial"/>
        </w:rPr>
        <w:lastRenderedPageBreak/>
        <w:t>Yet amid these threats, hope emerges from the land itself. Across rural landscapes, agroforestry, the intentional integration of trees, crops, and sometimes livestock within the same farming system, offers a path that harmonizes livelihood improvement with environmental stewardship. Agroforestry systems are not new; they are deeply rooted in the cultural and ecological fabric of many Filipino communities. Indigenous systems such as the muyong-payoh in the Cordilleras, or swidden-based farming in Mindanao, have long demonstrated how people can live productively with nature rather than against it (Galang &amp; Vaughter, 2020).</w:t>
      </w:r>
    </w:p>
    <w:p w14:paraId="36234F4E" w14:textId="77777777" w:rsidR="00622C85" w:rsidRPr="00622C85" w:rsidRDefault="00622C85" w:rsidP="00622C85">
      <w:pPr>
        <w:pStyle w:val="Body"/>
        <w:rPr>
          <w:rFonts w:ascii="Arial" w:hAnsi="Arial" w:cs="Arial"/>
        </w:rPr>
      </w:pPr>
      <w:r w:rsidRPr="00622C85">
        <w:rPr>
          <w:rFonts w:ascii="Arial" w:hAnsi="Arial" w:cs="Arial"/>
        </w:rPr>
        <w:t>Recent scientific evidence reinforces what local knowledge has long understood: trees make farms more resilient. By enhancing soil fertility, conserving water, stabilizing microclimates, and sequestering carbon, agroforestry systems provide a “double dividend”, supporting farmers’ adaptation to climate impacts while contributing to global mitigation efforts (</w:t>
      </w:r>
      <w:proofErr w:type="spellStart"/>
      <w:r w:rsidRPr="00622C85">
        <w:rPr>
          <w:rFonts w:ascii="Arial" w:hAnsi="Arial" w:cs="Arial"/>
        </w:rPr>
        <w:t>Lasco</w:t>
      </w:r>
      <w:proofErr w:type="spellEnd"/>
      <w:r w:rsidRPr="00622C85">
        <w:rPr>
          <w:rFonts w:ascii="Arial" w:hAnsi="Arial" w:cs="Arial"/>
        </w:rPr>
        <w:t xml:space="preserve">, </w:t>
      </w:r>
      <w:proofErr w:type="spellStart"/>
      <w:r w:rsidRPr="00622C85">
        <w:rPr>
          <w:rFonts w:ascii="Arial" w:hAnsi="Arial" w:cs="Arial"/>
        </w:rPr>
        <w:t>Delfino</w:t>
      </w:r>
      <w:proofErr w:type="spellEnd"/>
      <w:r w:rsidRPr="00622C85">
        <w:rPr>
          <w:rFonts w:ascii="Arial" w:hAnsi="Arial" w:cs="Arial"/>
        </w:rPr>
        <w:t xml:space="preserve">, &amp; </w:t>
      </w:r>
      <w:proofErr w:type="spellStart"/>
      <w:r w:rsidRPr="00622C85">
        <w:rPr>
          <w:rFonts w:ascii="Arial" w:hAnsi="Arial" w:cs="Arial"/>
        </w:rPr>
        <w:t>Espaldon</w:t>
      </w:r>
      <w:proofErr w:type="spellEnd"/>
      <w:r w:rsidRPr="00622C85">
        <w:rPr>
          <w:rFonts w:ascii="Arial" w:hAnsi="Arial" w:cs="Arial"/>
        </w:rPr>
        <w:t xml:space="preserve">, 2014; </w:t>
      </w:r>
      <w:proofErr w:type="spellStart"/>
      <w:r w:rsidRPr="00622C85">
        <w:rPr>
          <w:rFonts w:ascii="Arial" w:hAnsi="Arial" w:cs="Arial"/>
        </w:rPr>
        <w:t>Abebaw</w:t>
      </w:r>
      <w:proofErr w:type="spellEnd"/>
      <w:r w:rsidRPr="00622C85">
        <w:rPr>
          <w:rFonts w:ascii="Arial" w:hAnsi="Arial" w:cs="Arial"/>
        </w:rPr>
        <w:t xml:space="preserve">, </w:t>
      </w:r>
      <w:proofErr w:type="spellStart"/>
      <w:r w:rsidRPr="00622C85">
        <w:rPr>
          <w:rFonts w:ascii="Arial" w:hAnsi="Arial" w:cs="Arial"/>
        </w:rPr>
        <w:t>Yeshiwas</w:t>
      </w:r>
      <w:proofErr w:type="spellEnd"/>
      <w:r w:rsidRPr="00622C85">
        <w:rPr>
          <w:rFonts w:ascii="Arial" w:hAnsi="Arial" w:cs="Arial"/>
        </w:rPr>
        <w:t>, &amp; Feleke, 2025).</w:t>
      </w:r>
    </w:p>
    <w:p w14:paraId="03A637C9" w14:textId="77777777" w:rsidR="00622C85" w:rsidRPr="00622C85" w:rsidRDefault="00622C85" w:rsidP="00622C85">
      <w:pPr>
        <w:pStyle w:val="Body"/>
        <w:rPr>
          <w:rFonts w:ascii="Arial" w:hAnsi="Arial" w:cs="Arial"/>
        </w:rPr>
      </w:pPr>
      <w:r w:rsidRPr="00622C85">
        <w:rPr>
          <w:rFonts w:ascii="Arial" w:hAnsi="Arial" w:cs="Arial"/>
        </w:rPr>
        <w:t>However, the success of these systems depends not only on biophysical processes but also on human understanding and behavior. How farmers perceive climate change, what they know about sustainable practices, and how they translate that knowledge into action all shape the effectiveness of adaptation and mitigation efforts (Evangelista et al., 2016; Landicho et al., 2016). Recognizing this, researchers and policymakers have increasingly focused on farmers’ knowledge, attitudes, and practices (KAP) as vital components in promoting climate-smart agriculture.</w:t>
      </w:r>
    </w:p>
    <w:p w14:paraId="71930D55" w14:textId="1AB6C255" w:rsidR="00790ADA" w:rsidRDefault="00622C85" w:rsidP="00622C85">
      <w:pPr>
        <w:pStyle w:val="Body"/>
        <w:spacing w:after="0"/>
        <w:rPr>
          <w:rFonts w:ascii="Arial" w:hAnsi="Arial" w:cs="Arial"/>
        </w:rPr>
      </w:pPr>
      <w:r w:rsidRPr="00622C85">
        <w:rPr>
          <w:rFonts w:ascii="Arial" w:hAnsi="Arial" w:cs="Arial"/>
        </w:rPr>
        <w:t>This article review brings together insights from six peer-reviewed studies that collectively examine the relationship between agroforestry, smallholder adaptation, and climate resilience. By synthesizing evidence from both Philippine case studies and international reviews, it aims to illuminate how agroforestry serves as a bridge between traditional knowledge and modern science, between local action and global climate goals. More than an agricultural practice, agroforestry represents a shared human response to one of the defining challenges of the century, a reminder that resilience grows not only from the soil, but also from the wisdom and cooperation of those who tend it.</w:t>
      </w:r>
    </w:p>
    <w:p w14:paraId="0079F25A" w14:textId="77777777" w:rsidR="00622C85" w:rsidRPr="00FB3A86" w:rsidRDefault="00622C85" w:rsidP="00622C85">
      <w:pPr>
        <w:pStyle w:val="Body"/>
        <w:spacing w:after="0"/>
        <w:rPr>
          <w:rFonts w:ascii="Arial" w:hAnsi="Arial" w:cs="Arial"/>
        </w:rPr>
      </w:pPr>
    </w:p>
    <w:p w14:paraId="31736BF8" w14:textId="3EF4241A" w:rsidR="007F7B32" w:rsidRDefault="00902823" w:rsidP="00441B6F">
      <w:pPr>
        <w:pStyle w:val="AbstHead"/>
        <w:spacing w:after="0"/>
        <w:jc w:val="both"/>
        <w:rPr>
          <w:rFonts w:ascii="Arial" w:hAnsi="Arial" w:cs="Arial"/>
        </w:rPr>
      </w:pPr>
      <w:r>
        <w:rPr>
          <w:rFonts w:ascii="Arial" w:hAnsi="Arial" w:cs="Arial"/>
        </w:rPr>
        <w:t xml:space="preserve">2. </w:t>
      </w:r>
      <w:r w:rsidR="00181318">
        <w:rPr>
          <w:rFonts w:ascii="Arial" w:hAnsi="Arial" w:cs="Arial"/>
        </w:rPr>
        <w:t>STUDY SELECTION AND METHODOLOGY</w:t>
      </w:r>
    </w:p>
    <w:p w14:paraId="3401C6C3" w14:textId="77777777" w:rsidR="00790ADA" w:rsidRPr="00FB3A86" w:rsidRDefault="00790ADA" w:rsidP="00441B6F">
      <w:pPr>
        <w:pStyle w:val="AbstHead"/>
        <w:spacing w:after="0"/>
        <w:jc w:val="both"/>
        <w:rPr>
          <w:rFonts w:ascii="Arial" w:hAnsi="Arial" w:cs="Arial"/>
        </w:rPr>
      </w:pPr>
    </w:p>
    <w:p w14:paraId="0BC94C25" w14:textId="77777777" w:rsidR="00622C85" w:rsidRPr="00622C85" w:rsidRDefault="00622C85" w:rsidP="00622C85">
      <w:pPr>
        <w:pStyle w:val="Body"/>
        <w:rPr>
          <w:rFonts w:ascii="Arial" w:hAnsi="Arial" w:cs="Arial"/>
        </w:rPr>
      </w:pPr>
      <w:r w:rsidRPr="00622C85">
        <w:rPr>
          <w:rFonts w:ascii="Arial" w:hAnsi="Arial" w:cs="Arial"/>
        </w:rPr>
        <w:t>To build a robust and balanced understanding of agroforestry’s role in climate adaptation and mitigation, this review draws on six major peer-reviewed journal articles published between 2004 and 2025. These works were selected for their relevance, academic rigor, and contribution to understanding how smallholder farmers interact with climate change through agroforestry systems.</w:t>
      </w:r>
    </w:p>
    <w:p w14:paraId="447ADBAB" w14:textId="77777777" w:rsidR="00622C85" w:rsidRPr="00622C85" w:rsidRDefault="00622C85" w:rsidP="00622C85">
      <w:pPr>
        <w:pStyle w:val="Body"/>
        <w:rPr>
          <w:rFonts w:ascii="Arial" w:hAnsi="Arial" w:cs="Arial"/>
          <w:b/>
          <w:bCs/>
        </w:rPr>
      </w:pPr>
      <w:r w:rsidRPr="00622C85">
        <w:rPr>
          <w:rFonts w:ascii="Arial" w:hAnsi="Arial" w:cs="Arial"/>
          <w:b/>
          <w:bCs/>
        </w:rPr>
        <w:t>Selection Criteria</w:t>
      </w:r>
    </w:p>
    <w:p w14:paraId="3849F9C0" w14:textId="77777777" w:rsidR="00622C85" w:rsidRPr="00622C85" w:rsidRDefault="00622C85" w:rsidP="00622C85">
      <w:pPr>
        <w:pStyle w:val="Body"/>
        <w:rPr>
          <w:rFonts w:ascii="Arial" w:hAnsi="Arial" w:cs="Arial"/>
        </w:rPr>
      </w:pPr>
      <w:r w:rsidRPr="00622C85">
        <w:rPr>
          <w:rFonts w:ascii="Arial" w:hAnsi="Arial" w:cs="Arial"/>
        </w:rPr>
        <w:t>The articles were chosen using four key inclusion criteria:</w:t>
      </w:r>
    </w:p>
    <w:p w14:paraId="08FF114C" w14:textId="77777777" w:rsidR="00622C85" w:rsidRPr="00622C85" w:rsidRDefault="00622C85" w:rsidP="00622C85">
      <w:pPr>
        <w:pStyle w:val="Body"/>
        <w:rPr>
          <w:rFonts w:ascii="Arial" w:hAnsi="Arial" w:cs="Arial"/>
        </w:rPr>
      </w:pPr>
      <w:r w:rsidRPr="00622C85">
        <w:rPr>
          <w:rFonts w:ascii="Arial" w:hAnsi="Arial" w:cs="Arial"/>
        </w:rPr>
        <w:t>Topical relevance – Studies must explicitly address agroforestry, climate change adaptation or mitigation, and/or smallholder farming systems.</w:t>
      </w:r>
    </w:p>
    <w:p w14:paraId="3C473C38" w14:textId="77777777" w:rsidR="00622C85" w:rsidRPr="00622C85" w:rsidRDefault="00622C85" w:rsidP="00622C85">
      <w:pPr>
        <w:pStyle w:val="Body"/>
        <w:rPr>
          <w:rFonts w:ascii="Arial" w:hAnsi="Arial" w:cs="Arial"/>
        </w:rPr>
      </w:pPr>
      <w:r w:rsidRPr="00622C85">
        <w:rPr>
          <w:rFonts w:ascii="Arial" w:hAnsi="Arial" w:cs="Arial"/>
        </w:rPr>
        <w:t>Scholarly credibility – Only peer-reviewed journal articles indexed in major academic databases (e.g., Scopus, Web of Science) were included.</w:t>
      </w:r>
    </w:p>
    <w:p w14:paraId="13DDFF3F" w14:textId="77777777" w:rsidR="00622C85" w:rsidRPr="00622C85" w:rsidRDefault="00622C85" w:rsidP="00622C85">
      <w:pPr>
        <w:pStyle w:val="Body"/>
        <w:rPr>
          <w:rFonts w:ascii="Arial" w:hAnsi="Arial" w:cs="Arial"/>
        </w:rPr>
      </w:pPr>
      <w:r w:rsidRPr="00622C85">
        <w:rPr>
          <w:rFonts w:ascii="Arial" w:hAnsi="Arial" w:cs="Arial"/>
        </w:rPr>
        <w:t>Empirical grounding – Papers must provide either field data, systematic reviews, or comparative analyses based on credible research methodologies.</w:t>
      </w:r>
    </w:p>
    <w:p w14:paraId="4695D1A1" w14:textId="77777777" w:rsidR="00622C85" w:rsidRPr="00622C85" w:rsidRDefault="00622C85" w:rsidP="00622C85">
      <w:pPr>
        <w:pStyle w:val="Body"/>
        <w:rPr>
          <w:rFonts w:ascii="Arial" w:hAnsi="Arial" w:cs="Arial"/>
        </w:rPr>
      </w:pPr>
      <w:r w:rsidRPr="00622C85">
        <w:rPr>
          <w:rFonts w:ascii="Arial" w:hAnsi="Arial" w:cs="Arial"/>
        </w:rPr>
        <w:lastRenderedPageBreak/>
        <w:t>Temporal and contextual coverage – Studies published between 2004 and 2025 were included to reflect both foundational and contemporary perspectives on the subject.</w:t>
      </w:r>
    </w:p>
    <w:p w14:paraId="7C97DABC" w14:textId="77777777" w:rsidR="00622C85" w:rsidRPr="00622C85" w:rsidRDefault="00622C85" w:rsidP="00622C85">
      <w:pPr>
        <w:pStyle w:val="Body"/>
        <w:rPr>
          <w:rFonts w:ascii="Arial" w:hAnsi="Arial" w:cs="Arial"/>
          <w:b/>
          <w:bCs/>
        </w:rPr>
      </w:pPr>
      <w:r w:rsidRPr="00622C85">
        <w:rPr>
          <w:rFonts w:ascii="Arial" w:hAnsi="Arial" w:cs="Arial"/>
          <w:b/>
          <w:bCs/>
        </w:rPr>
        <w:t>Study Scope</w:t>
      </w:r>
    </w:p>
    <w:p w14:paraId="68AF68E9" w14:textId="77777777" w:rsidR="00622C85" w:rsidRPr="00622C85" w:rsidRDefault="00622C85" w:rsidP="00622C85">
      <w:pPr>
        <w:pStyle w:val="Body"/>
        <w:rPr>
          <w:rFonts w:ascii="Arial" w:hAnsi="Arial" w:cs="Arial"/>
        </w:rPr>
      </w:pPr>
      <w:r w:rsidRPr="00622C85">
        <w:rPr>
          <w:rFonts w:ascii="Arial" w:hAnsi="Arial" w:cs="Arial"/>
        </w:rPr>
        <w:t>The selected studies represent a mix of Philippine-based case studies and global research syntheses. For example:</w:t>
      </w:r>
    </w:p>
    <w:p w14:paraId="2C58B459" w14:textId="77777777" w:rsidR="00622C85" w:rsidRPr="00622C85" w:rsidRDefault="00622C85" w:rsidP="00622C85">
      <w:pPr>
        <w:pStyle w:val="Body"/>
        <w:rPr>
          <w:rFonts w:ascii="Arial" w:hAnsi="Arial" w:cs="Arial"/>
        </w:rPr>
      </w:pPr>
      <w:r w:rsidRPr="00622C85">
        <w:rPr>
          <w:rFonts w:ascii="Arial" w:hAnsi="Arial" w:cs="Arial"/>
        </w:rPr>
        <w:t>Evangelista et al. (2016) explored farmers’ knowledge and attitudes toward agroforestry and climate change in Peñablanca, Cagayan, using large-scale household surveys.</w:t>
      </w:r>
    </w:p>
    <w:p w14:paraId="620B7DEA" w14:textId="77777777" w:rsidR="00622C85" w:rsidRPr="00622C85" w:rsidRDefault="00622C85" w:rsidP="00622C85">
      <w:pPr>
        <w:pStyle w:val="Body"/>
        <w:rPr>
          <w:rFonts w:ascii="Arial" w:hAnsi="Arial" w:cs="Arial"/>
        </w:rPr>
      </w:pPr>
      <w:r w:rsidRPr="00622C85">
        <w:rPr>
          <w:rFonts w:ascii="Arial" w:hAnsi="Arial" w:cs="Arial"/>
        </w:rPr>
        <w:t>Landicho et al. (2016) examined adaptation strategies of smallholder agroforestry farmers across different Philippine communities.</w:t>
      </w:r>
    </w:p>
    <w:p w14:paraId="6DEA7410" w14:textId="77777777" w:rsidR="00622C85" w:rsidRPr="00622C85" w:rsidRDefault="00622C85" w:rsidP="00622C85">
      <w:pPr>
        <w:pStyle w:val="Body"/>
        <w:rPr>
          <w:rFonts w:ascii="Arial" w:hAnsi="Arial" w:cs="Arial"/>
        </w:rPr>
      </w:pPr>
      <w:r w:rsidRPr="00622C85">
        <w:rPr>
          <w:rFonts w:ascii="Arial" w:hAnsi="Arial" w:cs="Arial"/>
        </w:rPr>
        <w:t>Galang and Vaughter (2020) offered a generational lens, analyzing how local ecological knowledge (LEK) on agroforestry benefits is passed across age groups in Mindanao.</w:t>
      </w:r>
    </w:p>
    <w:p w14:paraId="567385E5" w14:textId="77777777" w:rsidR="00622C85" w:rsidRPr="00622C85" w:rsidRDefault="00622C85" w:rsidP="00622C85">
      <w:pPr>
        <w:pStyle w:val="Body"/>
        <w:rPr>
          <w:rFonts w:ascii="Arial" w:hAnsi="Arial" w:cs="Arial"/>
        </w:rPr>
      </w:pPr>
      <w:r w:rsidRPr="00622C85">
        <w:rPr>
          <w:rFonts w:ascii="Arial" w:hAnsi="Arial" w:cs="Arial"/>
        </w:rPr>
        <w:t>Lasco et al. (2014) and Verchot et al. (2007) provided international perspectives on agroforestry’s capacity to link adaptation and mitigation through ecosystem services and carbon sequestration.</w:t>
      </w:r>
    </w:p>
    <w:p w14:paraId="28E4743D" w14:textId="77777777" w:rsidR="00622C85" w:rsidRPr="00622C85" w:rsidRDefault="00622C85" w:rsidP="00622C85">
      <w:pPr>
        <w:pStyle w:val="Body"/>
        <w:rPr>
          <w:rFonts w:ascii="Arial" w:hAnsi="Arial" w:cs="Arial"/>
        </w:rPr>
      </w:pPr>
      <w:r w:rsidRPr="00622C85">
        <w:rPr>
          <w:rFonts w:ascii="Arial" w:hAnsi="Arial" w:cs="Arial"/>
        </w:rPr>
        <w:t>Abebaw et al. (2025) contributed a recent systematic meta-analysis, synthesizing two decades of empirical evidence on agroforestry’s role in global climate resilience.</w:t>
      </w:r>
    </w:p>
    <w:p w14:paraId="5F4C1E07" w14:textId="77777777" w:rsidR="00622C85" w:rsidRPr="00622C85" w:rsidRDefault="00622C85" w:rsidP="00622C85">
      <w:pPr>
        <w:pStyle w:val="Body"/>
        <w:rPr>
          <w:rFonts w:ascii="Arial" w:hAnsi="Arial" w:cs="Arial"/>
          <w:b/>
          <w:bCs/>
        </w:rPr>
      </w:pPr>
      <w:r w:rsidRPr="00622C85">
        <w:rPr>
          <w:rFonts w:ascii="Arial" w:hAnsi="Arial" w:cs="Arial"/>
          <w:b/>
          <w:bCs/>
        </w:rPr>
        <w:t>Analytical Approach</w:t>
      </w:r>
    </w:p>
    <w:p w14:paraId="0628D288" w14:textId="77777777" w:rsidR="00622C85" w:rsidRPr="00622C85" w:rsidRDefault="00622C85" w:rsidP="00622C85">
      <w:pPr>
        <w:pStyle w:val="Body"/>
        <w:rPr>
          <w:rFonts w:ascii="Arial" w:hAnsi="Arial" w:cs="Arial"/>
        </w:rPr>
      </w:pPr>
      <w:r w:rsidRPr="00622C85">
        <w:rPr>
          <w:rFonts w:ascii="Arial" w:hAnsi="Arial" w:cs="Arial"/>
        </w:rPr>
        <w:t>The review followed an adapted PRISMA (Preferred Reporting Items for Systematic Reviews and Meta-Analyses) framework (Abebaw et al., 2025) to ensure transparency and structure in synthesizing literature. A thematic analysis was conducted across five key domains:</w:t>
      </w:r>
    </w:p>
    <w:p w14:paraId="672152AB" w14:textId="77777777" w:rsidR="00622C85" w:rsidRPr="00622C85" w:rsidRDefault="00622C85" w:rsidP="00622C85">
      <w:pPr>
        <w:pStyle w:val="Body"/>
        <w:rPr>
          <w:rFonts w:ascii="Arial" w:hAnsi="Arial" w:cs="Arial"/>
        </w:rPr>
      </w:pPr>
      <w:r w:rsidRPr="00622C85">
        <w:rPr>
          <w:rFonts w:ascii="Arial" w:hAnsi="Arial" w:cs="Arial"/>
        </w:rPr>
        <w:t>1. Farmers’ knowledge, attitudes, and practices (KAP);</w:t>
      </w:r>
    </w:p>
    <w:p w14:paraId="046D4ADC" w14:textId="77777777" w:rsidR="00622C85" w:rsidRPr="00622C85" w:rsidRDefault="00622C85" w:rsidP="00622C85">
      <w:pPr>
        <w:pStyle w:val="Body"/>
        <w:rPr>
          <w:rFonts w:ascii="Arial" w:hAnsi="Arial" w:cs="Arial"/>
        </w:rPr>
      </w:pPr>
      <w:r w:rsidRPr="00622C85">
        <w:rPr>
          <w:rFonts w:ascii="Arial" w:hAnsi="Arial" w:cs="Arial"/>
        </w:rPr>
        <w:t>2. Adaptation strategies of smallholder farmers;</w:t>
      </w:r>
    </w:p>
    <w:p w14:paraId="6FDD7A23" w14:textId="77777777" w:rsidR="00622C85" w:rsidRPr="00622C85" w:rsidRDefault="00622C85" w:rsidP="00622C85">
      <w:pPr>
        <w:pStyle w:val="Body"/>
        <w:rPr>
          <w:rFonts w:ascii="Arial" w:hAnsi="Arial" w:cs="Arial"/>
        </w:rPr>
      </w:pPr>
      <w:r w:rsidRPr="00622C85">
        <w:rPr>
          <w:rFonts w:ascii="Arial" w:hAnsi="Arial" w:cs="Arial"/>
        </w:rPr>
        <w:t>3. Adaptation–mitigation synergies through agroforestry;</w:t>
      </w:r>
    </w:p>
    <w:p w14:paraId="1EA394F7" w14:textId="77777777" w:rsidR="00622C85" w:rsidRPr="00622C85" w:rsidRDefault="00622C85" w:rsidP="00622C85">
      <w:pPr>
        <w:pStyle w:val="Body"/>
        <w:rPr>
          <w:rFonts w:ascii="Arial" w:hAnsi="Arial" w:cs="Arial"/>
        </w:rPr>
      </w:pPr>
      <w:r w:rsidRPr="00622C85">
        <w:rPr>
          <w:rFonts w:ascii="Arial" w:hAnsi="Arial" w:cs="Arial"/>
        </w:rPr>
        <w:t>4. Research and policy gaps; and</w:t>
      </w:r>
    </w:p>
    <w:p w14:paraId="04969223" w14:textId="77777777" w:rsidR="00622C85" w:rsidRPr="00622C85" w:rsidRDefault="00622C85" w:rsidP="00622C85">
      <w:pPr>
        <w:pStyle w:val="Body"/>
        <w:rPr>
          <w:rFonts w:ascii="Arial" w:hAnsi="Arial" w:cs="Arial"/>
        </w:rPr>
      </w:pPr>
      <w:r w:rsidRPr="00622C85">
        <w:rPr>
          <w:rFonts w:ascii="Arial" w:hAnsi="Arial" w:cs="Arial"/>
        </w:rPr>
        <w:t>5. Implications for sustainable development.</w:t>
      </w:r>
    </w:p>
    <w:p w14:paraId="1F710A5B" w14:textId="77777777" w:rsidR="00622C85" w:rsidRPr="00622C85" w:rsidRDefault="00622C85" w:rsidP="00622C85">
      <w:pPr>
        <w:pStyle w:val="Body"/>
        <w:rPr>
          <w:rFonts w:ascii="Arial" w:hAnsi="Arial" w:cs="Arial"/>
        </w:rPr>
      </w:pPr>
      <w:r w:rsidRPr="00622C85">
        <w:rPr>
          <w:rFonts w:ascii="Arial" w:hAnsi="Arial" w:cs="Arial"/>
        </w:rPr>
        <w:t>These themes were carefully compared and integrated to identify converging patterns, contradictions, and lessons. The goal was not only to summarize existing findings but to connect them into a broader understanding of how agroforestry functions as both a livelihood and climate strategy.</w:t>
      </w:r>
    </w:p>
    <w:p w14:paraId="3C390EF0" w14:textId="4EA6FD08" w:rsidR="00505F06" w:rsidRDefault="00622C85" w:rsidP="00622C85">
      <w:pPr>
        <w:pStyle w:val="Body"/>
        <w:spacing w:after="0"/>
        <w:rPr>
          <w:rFonts w:ascii="Arial" w:hAnsi="Arial" w:cs="Arial"/>
        </w:rPr>
      </w:pPr>
      <w:r w:rsidRPr="00622C85">
        <w:rPr>
          <w:rFonts w:ascii="Arial" w:hAnsi="Arial" w:cs="Arial"/>
        </w:rPr>
        <w:t>In doing so, this review bridges micro-level experiences, like farmers’ daily decisions in the Philippines, with macro-level insights on climate resilience. The synthesis thus moves beyond technical evaluations, reflecting the human dimensions of adaptation: perception, behavior, knowledge sharing, and community resilience.</w:t>
      </w:r>
    </w:p>
    <w:p w14:paraId="7E535140" w14:textId="77777777" w:rsidR="00622C85" w:rsidRDefault="00622C85" w:rsidP="00622C85">
      <w:pPr>
        <w:pStyle w:val="Body"/>
        <w:spacing w:after="0"/>
        <w:rPr>
          <w:rFonts w:ascii="Arial" w:hAnsi="Arial" w:cs="Arial"/>
        </w:rPr>
      </w:pPr>
    </w:p>
    <w:p w14:paraId="7F1A1E8E" w14:textId="74F14571" w:rsidR="00622C85" w:rsidRDefault="00622C85" w:rsidP="00622C85">
      <w:pPr>
        <w:pStyle w:val="Head1"/>
        <w:spacing w:after="0"/>
        <w:jc w:val="both"/>
        <w:rPr>
          <w:rFonts w:ascii="Arial" w:hAnsi="Arial" w:cs="Arial"/>
        </w:rPr>
      </w:pPr>
      <w:r>
        <w:rPr>
          <w:rFonts w:ascii="Arial" w:hAnsi="Arial" w:cs="Arial"/>
        </w:rPr>
        <w:t>3. CONCEPTUAL FRAMEWORK</w:t>
      </w:r>
    </w:p>
    <w:p w14:paraId="15265300" w14:textId="77777777" w:rsidR="00622C85" w:rsidRDefault="00622C85" w:rsidP="00622C85">
      <w:pPr>
        <w:pStyle w:val="Body"/>
        <w:spacing w:after="0"/>
        <w:rPr>
          <w:rFonts w:ascii="Arial" w:hAnsi="Arial" w:cs="Arial"/>
        </w:rPr>
      </w:pPr>
    </w:p>
    <w:p w14:paraId="00E8479E" w14:textId="77777777" w:rsidR="00622C85" w:rsidRPr="00622C85" w:rsidRDefault="00622C85" w:rsidP="00622C85">
      <w:pPr>
        <w:pStyle w:val="Body"/>
        <w:rPr>
          <w:rFonts w:ascii="Arial" w:hAnsi="Arial" w:cs="Arial"/>
        </w:rPr>
      </w:pPr>
      <w:r w:rsidRPr="00622C85">
        <w:rPr>
          <w:rFonts w:ascii="Arial" w:hAnsi="Arial" w:cs="Arial"/>
        </w:rPr>
        <w:lastRenderedPageBreak/>
        <w:t>This review is guided by the Knowledge-Attitude-Practice (KAP) model and the Sustainable Livelihoods Framework (SLF) to explain how smallholder farmers in the Philippines adopt agroforestry for climate resilience. These frameworks emphasize how farmers’ knowledge and attitudes shape their decisions and how those decisions lead to adaptation and mitigation outcomes.</w:t>
      </w:r>
    </w:p>
    <w:p w14:paraId="6A1024AE" w14:textId="2E56B51C" w:rsidR="00622C85" w:rsidRPr="00622C85" w:rsidRDefault="00622C85" w:rsidP="00622C85">
      <w:pPr>
        <w:pStyle w:val="Body"/>
        <w:rPr>
          <w:rFonts w:ascii="Arial" w:hAnsi="Arial" w:cs="Arial"/>
        </w:rPr>
      </w:pPr>
      <w:r w:rsidRPr="00622C85">
        <w:rPr>
          <w:rFonts w:ascii="Arial" w:hAnsi="Arial" w:cs="Arial"/>
        </w:rPr>
        <w:t xml:space="preserve">The reviewed studies reveal that farmers’ understanding of climate change and their positive perceptions of agroforestry encourage adoption of tree-based systems such as fruit intercropping and contour planting (Evangelista, Cruz, &amp; Lasco, 2016; Galang &amp; </w:t>
      </w:r>
      <w:proofErr w:type="spellStart"/>
      <w:r w:rsidRPr="00622C85">
        <w:rPr>
          <w:rFonts w:ascii="Arial" w:hAnsi="Arial" w:cs="Arial"/>
        </w:rPr>
        <w:t>Vaughter</w:t>
      </w:r>
      <w:proofErr w:type="spellEnd"/>
      <w:r w:rsidRPr="00622C85">
        <w:rPr>
          <w:rFonts w:ascii="Arial" w:hAnsi="Arial" w:cs="Arial"/>
        </w:rPr>
        <w:t xml:space="preserve">, 2020; </w:t>
      </w:r>
      <w:proofErr w:type="spellStart"/>
      <w:r w:rsidRPr="00622C85">
        <w:rPr>
          <w:rFonts w:ascii="Arial" w:hAnsi="Arial" w:cs="Arial"/>
        </w:rPr>
        <w:t>Landicho</w:t>
      </w:r>
      <w:proofErr w:type="spellEnd"/>
      <w:r w:rsidRPr="00622C85">
        <w:rPr>
          <w:rFonts w:ascii="Arial" w:hAnsi="Arial" w:cs="Arial"/>
        </w:rPr>
        <w:t xml:space="preserve">, </w:t>
      </w:r>
      <w:proofErr w:type="spellStart"/>
      <w:r w:rsidRPr="00622C85">
        <w:rPr>
          <w:rFonts w:ascii="Arial" w:hAnsi="Arial" w:cs="Arial"/>
        </w:rPr>
        <w:t>Paelmo</w:t>
      </w:r>
      <w:proofErr w:type="spellEnd"/>
      <w:r w:rsidRPr="00622C85">
        <w:rPr>
          <w:rFonts w:ascii="Arial" w:hAnsi="Arial" w:cs="Arial"/>
        </w:rPr>
        <w:t>, De Luna, &amp; Visco, 2016). Agroforestry adoption supports adaptation by improving soil fertility, water retention, and livelihood stability, and mitigation by storing carbon and restoring ecosystems (</w:t>
      </w:r>
      <w:proofErr w:type="spellStart"/>
      <w:r w:rsidRPr="00622C85">
        <w:rPr>
          <w:rFonts w:ascii="Arial" w:hAnsi="Arial" w:cs="Arial"/>
        </w:rPr>
        <w:t>Lasco</w:t>
      </w:r>
      <w:proofErr w:type="spellEnd"/>
      <w:r w:rsidRPr="00622C85">
        <w:rPr>
          <w:rFonts w:ascii="Arial" w:hAnsi="Arial" w:cs="Arial"/>
        </w:rPr>
        <w:t xml:space="preserve">, </w:t>
      </w:r>
      <w:proofErr w:type="spellStart"/>
      <w:r w:rsidRPr="00622C85">
        <w:rPr>
          <w:rFonts w:ascii="Arial" w:hAnsi="Arial" w:cs="Arial"/>
        </w:rPr>
        <w:t>Delfino</w:t>
      </w:r>
      <w:proofErr w:type="spellEnd"/>
      <w:r w:rsidRPr="00622C85">
        <w:rPr>
          <w:rFonts w:ascii="Arial" w:hAnsi="Arial" w:cs="Arial"/>
        </w:rPr>
        <w:t xml:space="preserve">, &amp; </w:t>
      </w:r>
      <w:proofErr w:type="spellStart"/>
      <w:r w:rsidRPr="00622C85">
        <w:rPr>
          <w:rFonts w:ascii="Arial" w:hAnsi="Arial" w:cs="Arial"/>
        </w:rPr>
        <w:t>Espaldon</w:t>
      </w:r>
      <w:proofErr w:type="spellEnd"/>
      <w:r w:rsidRPr="00622C85">
        <w:rPr>
          <w:rFonts w:ascii="Arial" w:hAnsi="Arial" w:cs="Arial"/>
        </w:rPr>
        <w:t xml:space="preserve">, 2014; </w:t>
      </w:r>
      <w:proofErr w:type="spellStart"/>
      <w:r w:rsidRPr="00622C85">
        <w:rPr>
          <w:rFonts w:ascii="Arial" w:hAnsi="Arial" w:cs="Arial"/>
        </w:rPr>
        <w:t>Tabal</w:t>
      </w:r>
      <w:proofErr w:type="spellEnd"/>
      <w:r w:rsidRPr="00622C85">
        <w:rPr>
          <w:rFonts w:ascii="Arial" w:hAnsi="Arial" w:cs="Arial"/>
        </w:rPr>
        <w:t xml:space="preserve"> &amp; Mendoza, 2020; </w:t>
      </w:r>
      <w:proofErr w:type="spellStart"/>
      <w:r w:rsidRPr="00622C85">
        <w:rPr>
          <w:rFonts w:ascii="Arial" w:hAnsi="Arial" w:cs="Arial"/>
        </w:rPr>
        <w:t>Abebaw</w:t>
      </w:r>
      <w:proofErr w:type="spellEnd"/>
      <w:r w:rsidRPr="00622C85">
        <w:rPr>
          <w:rFonts w:ascii="Arial" w:hAnsi="Arial" w:cs="Arial"/>
        </w:rPr>
        <w:t xml:space="preserve">, </w:t>
      </w:r>
      <w:proofErr w:type="spellStart"/>
      <w:r w:rsidRPr="00622C85">
        <w:rPr>
          <w:rFonts w:ascii="Arial" w:hAnsi="Arial" w:cs="Arial"/>
        </w:rPr>
        <w:t>Yeshiwas</w:t>
      </w:r>
      <w:proofErr w:type="spellEnd"/>
      <w:r w:rsidRPr="00622C85">
        <w:rPr>
          <w:rFonts w:ascii="Arial" w:hAnsi="Arial" w:cs="Arial"/>
        </w:rPr>
        <w:t xml:space="preserve">, &amp; </w:t>
      </w:r>
      <w:proofErr w:type="spellStart"/>
      <w:r w:rsidR="00D6038A">
        <w:rPr>
          <w:rFonts w:ascii="Arial" w:hAnsi="Arial" w:cs="Arial"/>
        </w:rPr>
        <w:t>F</w:t>
      </w:r>
      <w:r w:rsidRPr="00622C85">
        <w:rPr>
          <w:rFonts w:ascii="Arial" w:hAnsi="Arial" w:cs="Arial"/>
        </w:rPr>
        <w:t>eleke</w:t>
      </w:r>
      <w:proofErr w:type="spellEnd"/>
      <w:r w:rsidRPr="00622C85">
        <w:rPr>
          <w:rFonts w:ascii="Arial" w:hAnsi="Arial" w:cs="Arial"/>
        </w:rPr>
        <w:t>, 2025)</w:t>
      </w:r>
    </w:p>
    <w:p w14:paraId="07520738" w14:textId="384704FD" w:rsidR="00790ADA" w:rsidRDefault="00622C85" w:rsidP="00622C85">
      <w:pPr>
        <w:pStyle w:val="Body"/>
        <w:spacing w:after="0"/>
        <w:rPr>
          <w:rFonts w:ascii="Arial" w:hAnsi="Arial" w:cs="Arial"/>
        </w:rPr>
      </w:pPr>
      <w:r w:rsidRPr="00622C85">
        <w:rPr>
          <w:rFonts w:ascii="Arial" w:hAnsi="Arial" w:cs="Arial"/>
        </w:rPr>
        <w:t xml:space="preserve">These processes interact within broader enabling conditions, policies, institutional support, land tenure, and market access that strengthen or limit outcomes (DENR, 2022). Together, these elements contribute to climate-resilient livelihoods, where environmental and socio-economic stability </w:t>
      </w:r>
      <w:r w:rsidR="00D6038A" w:rsidRPr="00622C85">
        <w:rPr>
          <w:rFonts w:ascii="Arial" w:hAnsi="Arial" w:cs="Arial"/>
        </w:rPr>
        <w:t>are reinforced</w:t>
      </w:r>
      <w:r w:rsidRPr="00622C85">
        <w:rPr>
          <w:rFonts w:ascii="Arial" w:hAnsi="Arial" w:cs="Arial"/>
        </w:rPr>
        <w:t xml:space="preserve"> on another.</w:t>
      </w:r>
    </w:p>
    <w:p w14:paraId="51ABA198" w14:textId="77777777" w:rsidR="00F3494B" w:rsidRPr="00D6038A" w:rsidRDefault="00F3494B" w:rsidP="00622C85">
      <w:pPr>
        <w:pStyle w:val="Body"/>
        <w:spacing w:after="0"/>
        <w:rPr>
          <w:rFonts w:ascii="Arial" w:hAnsi="Arial" w:cs="Arial"/>
          <w:b/>
          <w:bCs/>
        </w:rPr>
      </w:pPr>
    </w:p>
    <w:p w14:paraId="5EF8B914" w14:textId="1348D518" w:rsidR="00D6038A" w:rsidRPr="00D6038A" w:rsidRDefault="00D6038A" w:rsidP="00622C85">
      <w:pPr>
        <w:pStyle w:val="Body"/>
        <w:spacing w:after="0"/>
        <w:rPr>
          <w:rFonts w:ascii="Arial" w:hAnsi="Arial" w:cs="Arial"/>
          <w:b/>
          <w:bCs/>
        </w:rPr>
      </w:pPr>
      <w:r w:rsidRPr="00D6038A">
        <w:rPr>
          <w:rFonts w:ascii="Arial" w:hAnsi="Arial" w:cs="Arial"/>
          <w:b/>
          <w:bCs/>
        </w:rPr>
        <w:t>Table 1. Conceptual Framework of Agroforestry and Adoption and Climate</w:t>
      </w: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57"/>
        <w:gridCol w:w="3402"/>
        <w:gridCol w:w="2209"/>
      </w:tblGrid>
      <w:tr w:rsidR="00F3494B" w:rsidRPr="00DC3180" w14:paraId="18627159" w14:textId="77777777" w:rsidTr="00D75F33">
        <w:trPr>
          <w:jc w:val="center"/>
        </w:trPr>
        <w:tc>
          <w:tcPr>
            <w:tcW w:w="1657" w:type="dxa"/>
            <w:tcBorders>
              <w:bottom w:val="single" w:sz="4" w:space="0" w:color="auto"/>
            </w:tcBorders>
          </w:tcPr>
          <w:p w14:paraId="2C458FB2" w14:textId="7F8C80E6" w:rsidR="00F3494B" w:rsidRPr="00DC3180" w:rsidRDefault="00F3494B" w:rsidP="007328C0">
            <w:pPr>
              <w:jc w:val="both"/>
              <w:rPr>
                <w:rFonts w:ascii="Arial" w:hAnsi="Arial"/>
                <w:b/>
                <w:bCs/>
              </w:rPr>
            </w:pPr>
            <w:r>
              <w:rPr>
                <w:rFonts w:ascii="Arial" w:hAnsi="Arial"/>
                <w:b/>
                <w:bCs/>
              </w:rPr>
              <w:t>Component</w:t>
            </w:r>
          </w:p>
        </w:tc>
        <w:tc>
          <w:tcPr>
            <w:tcW w:w="3402" w:type="dxa"/>
            <w:tcBorders>
              <w:bottom w:val="single" w:sz="4" w:space="0" w:color="auto"/>
            </w:tcBorders>
          </w:tcPr>
          <w:p w14:paraId="03A67337" w14:textId="3E9D9168" w:rsidR="00F3494B" w:rsidRPr="00DC3180" w:rsidRDefault="00F3494B" w:rsidP="007328C0">
            <w:pPr>
              <w:jc w:val="both"/>
              <w:rPr>
                <w:rFonts w:ascii="Arial" w:hAnsi="Arial"/>
                <w:b/>
                <w:bCs/>
              </w:rPr>
            </w:pPr>
            <w:r>
              <w:rPr>
                <w:rFonts w:ascii="Arial" w:hAnsi="Arial"/>
                <w:b/>
                <w:bCs/>
              </w:rPr>
              <w:t>Descriptions</w:t>
            </w:r>
          </w:p>
        </w:tc>
        <w:tc>
          <w:tcPr>
            <w:tcW w:w="2209" w:type="dxa"/>
            <w:tcBorders>
              <w:bottom w:val="single" w:sz="4" w:space="0" w:color="auto"/>
            </w:tcBorders>
          </w:tcPr>
          <w:p w14:paraId="239EA667" w14:textId="1ED3E440" w:rsidR="00F3494B" w:rsidRPr="00DC3180" w:rsidRDefault="00F3494B" w:rsidP="007328C0">
            <w:pPr>
              <w:jc w:val="both"/>
              <w:rPr>
                <w:rFonts w:ascii="Arial" w:hAnsi="Arial"/>
                <w:b/>
                <w:bCs/>
              </w:rPr>
            </w:pPr>
            <w:r>
              <w:rPr>
                <w:rFonts w:ascii="Arial" w:hAnsi="Arial"/>
                <w:b/>
                <w:bCs/>
              </w:rPr>
              <w:t>Supporting Studies</w:t>
            </w:r>
          </w:p>
        </w:tc>
      </w:tr>
      <w:tr w:rsidR="00F3494B" w:rsidRPr="00DC3180" w14:paraId="6A828E41" w14:textId="77777777" w:rsidTr="00D75F33">
        <w:trPr>
          <w:trHeight w:val="773"/>
          <w:jc w:val="center"/>
        </w:trPr>
        <w:tc>
          <w:tcPr>
            <w:tcW w:w="1657" w:type="dxa"/>
            <w:tcBorders>
              <w:bottom w:val="nil"/>
            </w:tcBorders>
          </w:tcPr>
          <w:p w14:paraId="13A31217" w14:textId="1E76D6D2" w:rsidR="00F3494B" w:rsidRPr="00DC3180" w:rsidRDefault="00F3494B" w:rsidP="00F3494B">
            <w:pPr>
              <w:jc w:val="both"/>
              <w:rPr>
                <w:rFonts w:ascii="Arial" w:hAnsi="Arial"/>
                <w:vanish/>
              </w:rPr>
            </w:pPr>
            <w:r w:rsidRPr="00A25501">
              <w:rPr>
                <w:rFonts w:ascii="Arial" w:hAnsi="Arial" w:cs="Arial"/>
              </w:rPr>
              <w:t>Farmers’ Knowledge, Attitudes, and Practices (KAP)</w:t>
            </w:r>
          </w:p>
          <w:p w14:paraId="4E77F630" w14:textId="2D4A4EAB" w:rsidR="00F3494B" w:rsidRPr="00DC3180" w:rsidRDefault="00F3494B" w:rsidP="00F3494B">
            <w:pPr>
              <w:jc w:val="both"/>
              <w:rPr>
                <w:rFonts w:ascii="Arial" w:hAnsi="Arial"/>
                <w:b/>
                <w:bCs/>
              </w:rPr>
            </w:pPr>
          </w:p>
        </w:tc>
        <w:tc>
          <w:tcPr>
            <w:tcW w:w="3402" w:type="dxa"/>
            <w:tcBorders>
              <w:bottom w:val="nil"/>
            </w:tcBorders>
          </w:tcPr>
          <w:p w14:paraId="6D410DF7" w14:textId="4798AC64" w:rsidR="00F3494B" w:rsidRPr="00DC3180" w:rsidRDefault="00F3494B" w:rsidP="00D75F33">
            <w:pPr>
              <w:rPr>
                <w:rFonts w:ascii="Arial" w:hAnsi="Arial"/>
                <w:b/>
                <w:bCs/>
              </w:rPr>
            </w:pPr>
            <w:r w:rsidRPr="000664D9">
              <w:rPr>
                <w:rFonts w:ascii="Arial" w:hAnsi="Arial" w:cs="Arial"/>
              </w:rPr>
              <w:t>Farmers’ understanding of climate change, perceptions of agroforestry, and willingness to integrate trees with crops. Knowledge and attitudes influence decisions to adopt sustainable practices.</w:t>
            </w:r>
          </w:p>
        </w:tc>
        <w:tc>
          <w:tcPr>
            <w:tcW w:w="2209" w:type="dxa"/>
            <w:tcBorders>
              <w:bottom w:val="nil"/>
            </w:tcBorders>
          </w:tcPr>
          <w:p w14:paraId="73C1BD28" w14:textId="6783B87E" w:rsidR="00F3494B" w:rsidRPr="00DC3180" w:rsidRDefault="00F3494B" w:rsidP="00F3494B">
            <w:pPr>
              <w:jc w:val="both"/>
              <w:rPr>
                <w:rFonts w:ascii="Arial" w:hAnsi="Arial"/>
                <w:b/>
                <w:bCs/>
              </w:rPr>
            </w:pPr>
            <w:r w:rsidRPr="00A25501">
              <w:rPr>
                <w:rFonts w:ascii="Arial" w:hAnsi="Arial" w:cs="Arial"/>
              </w:rPr>
              <w:t>Evangelista, Cruz, &amp; Lasco (2016); Galang &amp; Vaughter (2020)</w:t>
            </w:r>
          </w:p>
        </w:tc>
      </w:tr>
      <w:tr w:rsidR="00F3494B" w:rsidRPr="00DC3180" w14:paraId="2BC75B53" w14:textId="77777777" w:rsidTr="00D75F33">
        <w:trPr>
          <w:jc w:val="center"/>
          <w:hidden/>
        </w:trPr>
        <w:tc>
          <w:tcPr>
            <w:tcW w:w="1657" w:type="dxa"/>
            <w:tcBorders>
              <w:top w:val="nil"/>
              <w:bottom w:val="nil"/>
            </w:tcBorders>
          </w:tcPr>
          <w:p w14:paraId="48024887" w14:textId="77777777" w:rsidR="00F3494B" w:rsidRPr="00DC3180" w:rsidRDefault="00F3494B" w:rsidP="00F3494B">
            <w:pPr>
              <w:jc w:val="both"/>
              <w:rPr>
                <w:rFonts w:ascii="Arial" w:hAnsi="Arial" w:cs="Arial"/>
                <w:vanish/>
              </w:rPr>
            </w:pPr>
          </w:p>
          <w:p w14:paraId="1AA5473A" w14:textId="77777777" w:rsidR="00F3494B" w:rsidRPr="00DC3180" w:rsidRDefault="00F3494B" w:rsidP="00F3494B">
            <w:pPr>
              <w:jc w:val="both"/>
              <w:rPr>
                <w:rFonts w:ascii="Arial" w:hAnsi="Arial" w:cs="Arial"/>
              </w:rPr>
            </w:pPr>
          </w:p>
        </w:tc>
        <w:tc>
          <w:tcPr>
            <w:tcW w:w="3402" w:type="dxa"/>
            <w:tcBorders>
              <w:top w:val="nil"/>
              <w:bottom w:val="nil"/>
            </w:tcBorders>
          </w:tcPr>
          <w:p w14:paraId="51AA29ED" w14:textId="0E5655D4" w:rsidR="00D75F33" w:rsidRPr="00DC3180" w:rsidRDefault="00F3494B" w:rsidP="00D75F33">
            <w:pPr>
              <w:rPr>
                <w:rFonts w:ascii="Arial" w:hAnsi="Arial" w:cs="Arial"/>
              </w:rPr>
            </w:pPr>
            <w:r w:rsidRPr="000664D9">
              <w:rPr>
                <w:rFonts w:ascii="Arial" w:hAnsi="Arial" w:cs="Arial"/>
              </w:rPr>
              <w:t>Farmers’ understanding of climate change, perceptions of agroforestry, and willingness to integrate trees with crops. Knowledge and attitudes influence decisions to adopt sustainable practices.</w:t>
            </w:r>
          </w:p>
        </w:tc>
        <w:tc>
          <w:tcPr>
            <w:tcW w:w="2209" w:type="dxa"/>
            <w:tcBorders>
              <w:top w:val="nil"/>
              <w:bottom w:val="nil"/>
            </w:tcBorders>
          </w:tcPr>
          <w:p w14:paraId="00613800" w14:textId="77777777" w:rsidR="00F3494B" w:rsidRPr="00DC3180" w:rsidRDefault="00F3494B" w:rsidP="00F3494B">
            <w:pPr>
              <w:jc w:val="both"/>
              <w:rPr>
                <w:rFonts w:ascii="Arial" w:hAnsi="Arial" w:cs="Arial"/>
                <w:vanish/>
              </w:rPr>
            </w:pPr>
          </w:p>
          <w:p w14:paraId="2CAE0A21" w14:textId="77777777" w:rsidR="00F3494B" w:rsidRPr="00DC3180" w:rsidRDefault="00F3494B" w:rsidP="00F3494B">
            <w:pPr>
              <w:jc w:val="both"/>
              <w:rPr>
                <w:rFonts w:ascii="Arial" w:hAnsi="Arial"/>
              </w:rPr>
            </w:pPr>
          </w:p>
        </w:tc>
      </w:tr>
      <w:tr w:rsidR="00F3494B" w:rsidRPr="00DC3180" w14:paraId="0659C9D7" w14:textId="77777777" w:rsidTr="00D75F33">
        <w:trPr>
          <w:jc w:val="center"/>
        </w:trPr>
        <w:tc>
          <w:tcPr>
            <w:tcW w:w="1657" w:type="dxa"/>
            <w:tcBorders>
              <w:top w:val="nil"/>
              <w:bottom w:val="nil"/>
            </w:tcBorders>
          </w:tcPr>
          <w:p w14:paraId="22E30881" w14:textId="4DE086CB" w:rsidR="00F3494B" w:rsidRPr="00DC3180" w:rsidRDefault="00F3494B" w:rsidP="00F3494B">
            <w:pPr>
              <w:jc w:val="both"/>
              <w:rPr>
                <w:rFonts w:ascii="Arial" w:hAnsi="Arial"/>
              </w:rPr>
            </w:pPr>
            <w:r w:rsidRPr="00F3494B">
              <w:rPr>
                <w:rFonts w:ascii="Arial" w:hAnsi="Arial"/>
              </w:rPr>
              <w:t xml:space="preserve">Adoption of Agroforestry Systems </w:t>
            </w:r>
          </w:p>
        </w:tc>
        <w:tc>
          <w:tcPr>
            <w:tcW w:w="3402" w:type="dxa"/>
            <w:tcBorders>
              <w:top w:val="nil"/>
              <w:bottom w:val="nil"/>
            </w:tcBorders>
          </w:tcPr>
          <w:p w14:paraId="7ACA09A9" w14:textId="06B0356D" w:rsidR="00D75F33" w:rsidRPr="00D75F33" w:rsidRDefault="00F3494B" w:rsidP="00D75F33">
            <w:pPr>
              <w:rPr>
                <w:rFonts w:ascii="Arial" w:hAnsi="Arial" w:cs="Arial"/>
              </w:rPr>
            </w:pPr>
            <w:r w:rsidRPr="00A25501">
              <w:rPr>
                <w:rFonts w:ascii="Arial" w:hAnsi="Arial" w:cs="Arial"/>
              </w:rPr>
              <w:t xml:space="preserve">The decision and action to implement tree-based farming systems such as contour planting, fruit-tree intercropping, boundary planting, or </w:t>
            </w:r>
            <w:proofErr w:type="spellStart"/>
            <w:r w:rsidRPr="00A25501">
              <w:rPr>
                <w:rFonts w:ascii="Arial" w:hAnsi="Arial" w:cs="Arial"/>
              </w:rPr>
              <w:t>multistrata</w:t>
            </w:r>
            <w:proofErr w:type="spellEnd"/>
            <w:r w:rsidRPr="00A25501">
              <w:rPr>
                <w:rFonts w:ascii="Arial" w:hAnsi="Arial" w:cs="Arial"/>
              </w:rPr>
              <w:t xml:space="preserve"> systems. Influenced by knowledge, attitudes, and external factors like land tenure and institutional support</w:t>
            </w:r>
          </w:p>
        </w:tc>
        <w:tc>
          <w:tcPr>
            <w:tcW w:w="2209" w:type="dxa"/>
            <w:tcBorders>
              <w:top w:val="nil"/>
              <w:bottom w:val="nil"/>
            </w:tcBorders>
          </w:tcPr>
          <w:p w14:paraId="71B34B39" w14:textId="1AA7765B" w:rsidR="00F3494B" w:rsidRPr="00DC3180" w:rsidRDefault="00F3494B" w:rsidP="00F3494B">
            <w:pPr>
              <w:jc w:val="both"/>
              <w:rPr>
                <w:rFonts w:ascii="Arial" w:hAnsi="Arial" w:cs="Arial"/>
              </w:rPr>
            </w:pPr>
            <w:proofErr w:type="spellStart"/>
            <w:r w:rsidRPr="00A25501">
              <w:rPr>
                <w:rFonts w:ascii="Arial" w:hAnsi="Arial" w:cs="Arial"/>
              </w:rPr>
              <w:t>Landicho</w:t>
            </w:r>
            <w:proofErr w:type="spellEnd"/>
            <w:r w:rsidRPr="00A25501">
              <w:rPr>
                <w:rFonts w:ascii="Arial" w:hAnsi="Arial" w:cs="Arial"/>
              </w:rPr>
              <w:t xml:space="preserve">, </w:t>
            </w:r>
            <w:proofErr w:type="spellStart"/>
            <w:r w:rsidRPr="00A25501">
              <w:rPr>
                <w:rFonts w:ascii="Arial" w:hAnsi="Arial" w:cs="Arial"/>
              </w:rPr>
              <w:t>Paelmo</w:t>
            </w:r>
            <w:proofErr w:type="spellEnd"/>
            <w:r w:rsidRPr="00A25501">
              <w:rPr>
                <w:rFonts w:ascii="Arial" w:hAnsi="Arial" w:cs="Arial"/>
              </w:rPr>
              <w:t>, De Luna, &amp; Visco (2016)</w:t>
            </w:r>
          </w:p>
        </w:tc>
      </w:tr>
      <w:tr w:rsidR="00F3494B" w:rsidRPr="00DC3180" w14:paraId="58FC698B" w14:textId="77777777" w:rsidTr="00D75F33">
        <w:trPr>
          <w:jc w:val="center"/>
        </w:trPr>
        <w:tc>
          <w:tcPr>
            <w:tcW w:w="1657" w:type="dxa"/>
            <w:tcBorders>
              <w:top w:val="nil"/>
              <w:bottom w:val="nil"/>
            </w:tcBorders>
          </w:tcPr>
          <w:p w14:paraId="3DA0E199" w14:textId="65BF4F06" w:rsidR="00F3494B" w:rsidRPr="00DC3180" w:rsidRDefault="00D75F33" w:rsidP="00F3494B">
            <w:pPr>
              <w:jc w:val="both"/>
              <w:rPr>
                <w:rFonts w:ascii="Arial" w:hAnsi="Arial"/>
              </w:rPr>
            </w:pPr>
            <w:r w:rsidRPr="00A25501">
              <w:rPr>
                <w:rFonts w:ascii="Arial" w:hAnsi="Arial" w:cs="Arial"/>
              </w:rPr>
              <w:t>Adaptation Outcomes</w:t>
            </w:r>
          </w:p>
        </w:tc>
        <w:tc>
          <w:tcPr>
            <w:tcW w:w="3402" w:type="dxa"/>
            <w:tcBorders>
              <w:top w:val="nil"/>
              <w:bottom w:val="nil"/>
            </w:tcBorders>
          </w:tcPr>
          <w:p w14:paraId="5FFB6FAA" w14:textId="67C39A86" w:rsidR="00D75F33" w:rsidRPr="00D75F33" w:rsidRDefault="00D75F33" w:rsidP="00D75F33">
            <w:pPr>
              <w:rPr>
                <w:rFonts w:ascii="Arial" w:hAnsi="Arial" w:cs="Arial"/>
              </w:rPr>
            </w:pPr>
            <w:r w:rsidRPr="00A25501">
              <w:rPr>
                <w:rFonts w:ascii="Arial" w:hAnsi="Arial" w:cs="Arial"/>
              </w:rPr>
              <w:t>Benefits that enhance farmers’ ability to cope with and recover from climate variability, such as improved soil fertility, water conservation, and livelihood diversification.</w:t>
            </w:r>
          </w:p>
        </w:tc>
        <w:tc>
          <w:tcPr>
            <w:tcW w:w="2209" w:type="dxa"/>
            <w:tcBorders>
              <w:top w:val="nil"/>
              <w:bottom w:val="nil"/>
            </w:tcBorders>
          </w:tcPr>
          <w:p w14:paraId="2A1525CF" w14:textId="77777777" w:rsidR="00D75F33" w:rsidRDefault="00D75F33" w:rsidP="00D75F33">
            <w:pPr>
              <w:rPr>
                <w:rFonts w:ascii="Arial" w:hAnsi="Arial" w:cs="Arial"/>
              </w:rPr>
            </w:pPr>
            <w:proofErr w:type="spellStart"/>
            <w:r w:rsidRPr="00A25501">
              <w:rPr>
                <w:rFonts w:ascii="Arial" w:hAnsi="Arial" w:cs="Arial"/>
              </w:rPr>
              <w:t>Lasco</w:t>
            </w:r>
            <w:proofErr w:type="spellEnd"/>
            <w:r w:rsidRPr="00A25501">
              <w:rPr>
                <w:rFonts w:ascii="Arial" w:hAnsi="Arial" w:cs="Arial"/>
              </w:rPr>
              <w:t xml:space="preserve">, </w:t>
            </w:r>
            <w:proofErr w:type="spellStart"/>
            <w:r w:rsidRPr="00A25501">
              <w:rPr>
                <w:rFonts w:ascii="Arial" w:hAnsi="Arial" w:cs="Arial"/>
              </w:rPr>
              <w:t>Delfino</w:t>
            </w:r>
            <w:proofErr w:type="spellEnd"/>
            <w:r w:rsidRPr="00A25501">
              <w:rPr>
                <w:rFonts w:ascii="Arial" w:hAnsi="Arial" w:cs="Arial"/>
              </w:rPr>
              <w:t xml:space="preserve">, &amp; </w:t>
            </w:r>
            <w:proofErr w:type="spellStart"/>
            <w:r w:rsidRPr="00A25501">
              <w:rPr>
                <w:rFonts w:ascii="Arial" w:hAnsi="Arial" w:cs="Arial"/>
              </w:rPr>
              <w:t>Espaldon</w:t>
            </w:r>
            <w:proofErr w:type="spellEnd"/>
            <w:r w:rsidRPr="00A25501">
              <w:rPr>
                <w:rFonts w:ascii="Arial" w:hAnsi="Arial" w:cs="Arial"/>
              </w:rPr>
              <w:t xml:space="preserve"> (2014); </w:t>
            </w:r>
            <w:proofErr w:type="spellStart"/>
            <w:r w:rsidRPr="00A25501">
              <w:rPr>
                <w:rFonts w:ascii="Arial" w:hAnsi="Arial" w:cs="Arial"/>
              </w:rPr>
              <w:t>Landicho</w:t>
            </w:r>
            <w:proofErr w:type="spellEnd"/>
            <w:r w:rsidRPr="00A25501">
              <w:rPr>
                <w:rFonts w:ascii="Arial" w:hAnsi="Arial" w:cs="Arial"/>
              </w:rPr>
              <w:t xml:space="preserve"> et al. (2016)</w:t>
            </w:r>
          </w:p>
          <w:p w14:paraId="7976ADF4" w14:textId="5E146CDE" w:rsidR="00F3494B" w:rsidRPr="00DC3180" w:rsidRDefault="00F3494B" w:rsidP="00F3494B">
            <w:pPr>
              <w:jc w:val="both"/>
              <w:rPr>
                <w:rFonts w:ascii="Arial" w:hAnsi="Arial" w:cs="Arial"/>
              </w:rPr>
            </w:pPr>
          </w:p>
        </w:tc>
      </w:tr>
      <w:tr w:rsidR="00F3494B" w:rsidRPr="00DC3180" w14:paraId="4A9C5DB7" w14:textId="77777777" w:rsidTr="00D75F33">
        <w:trPr>
          <w:jc w:val="center"/>
        </w:trPr>
        <w:tc>
          <w:tcPr>
            <w:tcW w:w="1657" w:type="dxa"/>
            <w:tcBorders>
              <w:top w:val="nil"/>
              <w:bottom w:val="nil"/>
            </w:tcBorders>
          </w:tcPr>
          <w:p w14:paraId="6669D5BB" w14:textId="70679AAF" w:rsidR="00F3494B" w:rsidRPr="00DC3180" w:rsidRDefault="00D75F33" w:rsidP="00F3494B">
            <w:pPr>
              <w:jc w:val="both"/>
              <w:rPr>
                <w:rFonts w:ascii="Arial" w:hAnsi="Arial"/>
              </w:rPr>
            </w:pPr>
            <w:r w:rsidRPr="00A25501">
              <w:rPr>
                <w:rFonts w:ascii="Arial" w:hAnsi="Arial" w:cs="Arial"/>
              </w:rPr>
              <w:t>Mitigation Outcomes</w:t>
            </w:r>
          </w:p>
        </w:tc>
        <w:tc>
          <w:tcPr>
            <w:tcW w:w="3402" w:type="dxa"/>
            <w:tcBorders>
              <w:top w:val="nil"/>
              <w:bottom w:val="nil"/>
            </w:tcBorders>
          </w:tcPr>
          <w:p w14:paraId="053957C8" w14:textId="1A27376C" w:rsidR="00F3494B" w:rsidRPr="00DC3180" w:rsidRDefault="00D75F33" w:rsidP="00D75F33">
            <w:pPr>
              <w:rPr>
                <w:rFonts w:ascii="Arial" w:hAnsi="Arial"/>
              </w:rPr>
            </w:pPr>
            <w:r w:rsidRPr="00A25501">
              <w:rPr>
                <w:rFonts w:ascii="Arial" w:hAnsi="Arial" w:cs="Arial"/>
              </w:rPr>
              <w:t xml:space="preserve">Environmental benefits that reduce greenhouse gas emissions, increase carbon storage, and </w:t>
            </w:r>
            <w:r w:rsidRPr="00A25501">
              <w:rPr>
                <w:rFonts w:ascii="Arial" w:hAnsi="Arial" w:cs="Arial"/>
              </w:rPr>
              <w:lastRenderedPageBreak/>
              <w:t>promote biodiversity conservation through tree integration in farms.</w:t>
            </w:r>
          </w:p>
        </w:tc>
        <w:tc>
          <w:tcPr>
            <w:tcW w:w="2209" w:type="dxa"/>
            <w:tcBorders>
              <w:top w:val="nil"/>
              <w:bottom w:val="nil"/>
            </w:tcBorders>
          </w:tcPr>
          <w:p w14:paraId="24C592C5" w14:textId="6B927394" w:rsidR="00F3494B" w:rsidRPr="00DC3180" w:rsidRDefault="00D75F33" w:rsidP="00D75F33">
            <w:pPr>
              <w:rPr>
                <w:rFonts w:ascii="Arial" w:hAnsi="Arial" w:cs="Arial"/>
              </w:rPr>
            </w:pPr>
            <w:proofErr w:type="spellStart"/>
            <w:r w:rsidRPr="00A25501">
              <w:rPr>
                <w:rFonts w:ascii="Arial" w:hAnsi="Arial" w:cs="Arial"/>
              </w:rPr>
              <w:lastRenderedPageBreak/>
              <w:t>Tabal</w:t>
            </w:r>
            <w:proofErr w:type="spellEnd"/>
            <w:r w:rsidRPr="00A25501">
              <w:rPr>
                <w:rFonts w:ascii="Arial" w:hAnsi="Arial" w:cs="Arial"/>
              </w:rPr>
              <w:t xml:space="preserve"> &amp; Mendoza (2020); </w:t>
            </w:r>
            <w:proofErr w:type="spellStart"/>
            <w:r w:rsidRPr="00A25501">
              <w:rPr>
                <w:rFonts w:ascii="Arial" w:hAnsi="Arial" w:cs="Arial"/>
              </w:rPr>
              <w:t>Abebaw</w:t>
            </w:r>
            <w:proofErr w:type="spellEnd"/>
            <w:r w:rsidRPr="00A25501">
              <w:rPr>
                <w:rFonts w:ascii="Arial" w:hAnsi="Arial" w:cs="Arial"/>
              </w:rPr>
              <w:t xml:space="preserve">, </w:t>
            </w:r>
            <w:proofErr w:type="spellStart"/>
            <w:r w:rsidRPr="00A25501">
              <w:rPr>
                <w:rFonts w:ascii="Arial" w:hAnsi="Arial" w:cs="Arial"/>
              </w:rPr>
              <w:t>Yeshiwas</w:t>
            </w:r>
            <w:proofErr w:type="spellEnd"/>
            <w:r w:rsidRPr="00A25501">
              <w:rPr>
                <w:rFonts w:ascii="Arial" w:hAnsi="Arial" w:cs="Arial"/>
              </w:rPr>
              <w:t xml:space="preserve">, &amp; </w:t>
            </w:r>
            <w:proofErr w:type="spellStart"/>
            <w:r w:rsidRPr="00A25501">
              <w:rPr>
                <w:rFonts w:ascii="Arial" w:hAnsi="Arial" w:cs="Arial"/>
              </w:rPr>
              <w:t>Feleke</w:t>
            </w:r>
            <w:proofErr w:type="spellEnd"/>
            <w:r w:rsidRPr="00A25501">
              <w:rPr>
                <w:rFonts w:ascii="Arial" w:hAnsi="Arial" w:cs="Arial"/>
              </w:rPr>
              <w:t xml:space="preserve"> (2025)</w:t>
            </w:r>
          </w:p>
        </w:tc>
      </w:tr>
      <w:tr w:rsidR="00D75F33" w:rsidRPr="00DC3180" w14:paraId="4D655030" w14:textId="77777777" w:rsidTr="00D75F33">
        <w:trPr>
          <w:jc w:val="center"/>
        </w:trPr>
        <w:tc>
          <w:tcPr>
            <w:tcW w:w="1657" w:type="dxa"/>
            <w:tcBorders>
              <w:top w:val="nil"/>
              <w:bottom w:val="nil"/>
            </w:tcBorders>
          </w:tcPr>
          <w:p w14:paraId="69C77FDC" w14:textId="77777777" w:rsidR="00D75F33" w:rsidRDefault="00D75F33" w:rsidP="00F3494B">
            <w:pPr>
              <w:jc w:val="both"/>
              <w:rPr>
                <w:rFonts w:ascii="Arial" w:hAnsi="Arial" w:cs="Arial"/>
              </w:rPr>
            </w:pPr>
          </w:p>
          <w:p w14:paraId="6BD6C50E" w14:textId="3C844B52" w:rsidR="00D75F33" w:rsidRPr="00A25501" w:rsidRDefault="00D75F33" w:rsidP="00F3494B">
            <w:pPr>
              <w:jc w:val="both"/>
              <w:rPr>
                <w:rFonts w:ascii="Arial" w:hAnsi="Arial" w:cs="Arial"/>
              </w:rPr>
            </w:pPr>
            <w:r w:rsidRPr="00A25501">
              <w:rPr>
                <w:rFonts w:ascii="Arial" w:hAnsi="Arial" w:cs="Arial"/>
              </w:rPr>
              <w:t>Climate-Resilient Livelihoods</w:t>
            </w:r>
          </w:p>
        </w:tc>
        <w:tc>
          <w:tcPr>
            <w:tcW w:w="3402" w:type="dxa"/>
            <w:tcBorders>
              <w:top w:val="nil"/>
              <w:bottom w:val="nil"/>
            </w:tcBorders>
          </w:tcPr>
          <w:p w14:paraId="07FF57F6" w14:textId="77777777" w:rsidR="00D75F33" w:rsidRDefault="00D75F33" w:rsidP="00D75F33">
            <w:pPr>
              <w:rPr>
                <w:rFonts w:ascii="Arial" w:hAnsi="Arial" w:cs="Arial"/>
              </w:rPr>
            </w:pPr>
          </w:p>
          <w:p w14:paraId="29528F3E" w14:textId="0B6D0D55" w:rsidR="00D75F33" w:rsidRPr="00A25501" w:rsidRDefault="00D75F33" w:rsidP="00D75F33">
            <w:pPr>
              <w:rPr>
                <w:rFonts w:ascii="Arial" w:hAnsi="Arial" w:cs="Arial"/>
              </w:rPr>
            </w:pPr>
            <w:r w:rsidRPr="00A25501">
              <w:rPr>
                <w:rFonts w:ascii="Arial" w:hAnsi="Arial" w:cs="Arial"/>
              </w:rPr>
              <w:t>The overall result of effective adaptation and mitigation practices, where farmers achieve stable incomes, sustainable production, and reduced vulnerability to climate shocks.</w:t>
            </w:r>
          </w:p>
        </w:tc>
        <w:tc>
          <w:tcPr>
            <w:tcW w:w="2209" w:type="dxa"/>
            <w:tcBorders>
              <w:top w:val="nil"/>
              <w:bottom w:val="nil"/>
            </w:tcBorders>
          </w:tcPr>
          <w:p w14:paraId="492AAFF6" w14:textId="77777777" w:rsidR="00D75F33" w:rsidRDefault="00D75F33" w:rsidP="00D75F33">
            <w:pPr>
              <w:rPr>
                <w:rFonts w:ascii="Arial" w:hAnsi="Arial" w:cs="Arial"/>
              </w:rPr>
            </w:pPr>
          </w:p>
          <w:p w14:paraId="0B2BC450" w14:textId="7101F481" w:rsidR="00D75F33" w:rsidRDefault="00D75F33" w:rsidP="00D75F33">
            <w:pPr>
              <w:rPr>
                <w:rFonts w:ascii="Arial" w:hAnsi="Arial" w:cs="Arial"/>
              </w:rPr>
            </w:pPr>
            <w:r w:rsidRPr="00A25501">
              <w:rPr>
                <w:rFonts w:ascii="Arial" w:hAnsi="Arial" w:cs="Arial"/>
              </w:rPr>
              <w:t>Synthesized from all reviewed studies</w:t>
            </w:r>
          </w:p>
          <w:p w14:paraId="62865620" w14:textId="77777777" w:rsidR="00D75F33" w:rsidRDefault="00D75F33" w:rsidP="00D75F33">
            <w:pPr>
              <w:rPr>
                <w:rFonts w:ascii="Arial" w:hAnsi="Arial" w:cs="Arial"/>
              </w:rPr>
            </w:pPr>
          </w:p>
          <w:p w14:paraId="5F4DF964" w14:textId="77777777" w:rsidR="00D75F33" w:rsidRPr="00D75F33" w:rsidRDefault="00D75F33" w:rsidP="00D75F33">
            <w:pPr>
              <w:jc w:val="center"/>
              <w:rPr>
                <w:rFonts w:ascii="Arial" w:hAnsi="Arial" w:cs="Arial"/>
              </w:rPr>
            </w:pPr>
          </w:p>
        </w:tc>
      </w:tr>
      <w:tr w:rsidR="00D75F33" w:rsidRPr="00DC3180" w14:paraId="61A9DF91" w14:textId="77777777" w:rsidTr="00D75F33">
        <w:trPr>
          <w:jc w:val="center"/>
        </w:trPr>
        <w:tc>
          <w:tcPr>
            <w:tcW w:w="1657" w:type="dxa"/>
            <w:tcBorders>
              <w:top w:val="nil"/>
              <w:bottom w:val="single" w:sz="4" w:space="0" w:color="auto"/>
            </w:tcBorders>
          </w:tcPr>
          <w:p w14:paraId="1D5B5871" w14:textId="4FCCC286" w:rsidR="00D75F33" w:rsidRDefault="00D75F33" w:rsidP="00F3494B">
            <w:pPr>
              <w:jc w:val="both"/>
              <w:rPr>
                <w:rFonts w:ascii="Arial" w:hAnsi="Arial" w:cs="Arial"/>
              </w:rPr>
            </w:pPr>
            <w:r w:rsidRPr="00A25501">
              <w:rPr>
                <w:rFonts w:ascii="Arial" w:hAnsi="Arial" w:cs="Arial"/>
              </w:rPr>
              <w:t>External Influences (Moderating Factors)</w:t>
            </w:r>
          </w:p>
        </w:tc>
        <w:tc>
          <w:tcPr>
            <w:tcW w:w="3402" w:type="dxa"/>
            <w:tcBorders>
              <w:top w:val="nil"/>
              <w:bottom w:val="single" w:sz="4" w:space="0" w:color="auto"/>
            </w:tcBorders>
          </w:tcPr>
          <w:p w14:paraId="545CB367" w14:textId="6160F799" w:rsidR="00D75F33" w:rsidRDefault="00D75F33" w:rsidP="00D75F33">
            <w:pPr>
              <w:rPr>
                <w:rFonts w:ascii="Arial" w:hAnsi="Arial" w:cs="Arial"/>
              </w:rPr>
            </w:pPr>
            <w:r w:rsidRPr="00A25501">
              <w:rPr>
                <w:rFonts w:ascii="Arial" w:hAnsi="Arial" w:cs="Arial"/>
              </w:rPr>
              <w:t>Institutional, policy, and socioeconomic factors that support or constrain adoption, such as land tenure security, government programs, market access, and community initiatives.</w:t>
            </w:r>
          </w:p>
        </w:tc>
        <w:tc>
          <w:tcPr>
            <w:tcW w:w="2209" w:type="dxa"/>
            <w:tcBorders>
              <w:top w:val="nil"/>
              <w:bottom w:val="single" w:sz="4" w:space="0" w:color="auto"/>
            </w:tcBorders>
          </w:tcPr>
          <w:p w14:paraId="026378F5" w14:textId="0809126C" w:rsidR="00D75F33" w:rsidRDefault="00D75F33" w:rsidP="00D75F33">
            <w:pPr>
              <w:rPr>
                <w:rFonts w:ascii="Arial" w:hAnsi="Arial" w:cs="Arial"/>
              </w:rPr>
            </w:pPr>
            <w:r w:rsidRPr="00A25501">
              <w:rPr>
                <w:rFonts w:ascii="Arial" w:hAnsi="Arial" w:cs="Arial"/>
              </w:rPr>
              <w:t xml:space="preserve">DENR (2022); </w:t>
            </w:r>
            <w:proofErr w:type="spellStart"/>
            <w:r w:rsidRPr="00A25501">
              <w:rPr>
                <w:rFonts w:ascii="Arial" w:hAnsi="Arial" w:cs="Arial"/>
              </w:rPr>
              <w:t>Lasco</w:t>
            </w:r>
            <w:proofErr w:type="spellEnd"/>
            <w:r w:rsidRPr="00A25501">
              <w:rPr>
                <w:rFonts w:ascii="Arial" w:hAnsi="Arial" w:cs="Arial"/>
              </w:rPr>
              <w:t xml:space="preserve"> &amp; </w:t>
            </w:r>
            <w:proofErr w:type="spellStart"/>
            <w:r w:rsidRPr="00A25501">
              <w:rPr>
                <w:rFonts w:ascii="Arial" w:hAnsi="Arial" w:cs="Arial"/>
              </w:rPr>
              <w:t>Pulhin</w:t>
            </w:r>
            <w:proofErr w:type="spellEnd"/>
            <w:r w:rsidRPr="00A25501">
              <w:rPr>
                <w:rFonts w:ascii="Arial" w:hAnsi="Arial" w:cs="Arial"/>
              </w:rPr>
              <w:t xml:space="preserve"> (2003)</w:t>
            </w:r>
          </w:p>
          <w:p w14:paraId="035B53C8" w14:textId="77777777" w:rsidR="00D75F33" w:rsidRPr="00D75F33" w:rsidRDefault="00D75F33" w:rsidP="00D75F33">
            <w:pPr>
              <w:ind w:firstLine="720"/>
              <w:rPr>
                <w:rFonts w:ascii="Arial" w:hAnsi="Arial" w:cs="Arial"/>
              </w:rPr>
            </w:pPr>
          </w:p>
        </w:tc>
      </w:tr>
    </w:tbl>
    <w:p w14:paraId="6F0E6D60" w14:textId="77777777" w:rsidR="00F3494B" w:rsidRDefault="00F3494B" w:rsidP="00622C85">
      <w:pPr>
        <w:pStyle w:val="Body"/>
        <w:spacing w:after="0"/>
        <w:rPr>
          <w:rFonts w:ascii="Arial" w:hAnsi="Arial" w:cs="Arial"/>
        </w:rPr>
      </w:pPr>
    </w:p>
    <w:p w14:paraId="08AA60FD" w14:textId="77777777" w:rsidR="00622C85" w:rsidRDefault="00622C85" w:rsidP="00622C85">
      <w:pPr>
        <w:pStyle w:val="Body"/>
        <w:spacing w:after="0"/>
        <w:rPr>
          <w:rFonts w:ascii="Arial" w:hAnsi="Arial" w:cs="Arial"/>
        </w:rPr>
      </w:pPr>
    </w:p>
    <w:p w14:paraId="27FB9F87" w14:textId="223B5D23" w:rsidR="00622C85" w:rsidRDefault="00622C85" w:rsidP="00622C85">
      <w:pPr>
        <w:pStyle w:val="Head1"/>
        <w:spacing w:after="0"/>
        <w:jc w:val="both"/>
        <w:rPr>
          <w:rFonts w:ascii="Arial" w:hAnsi="Arial" w:cs="Arial"/>
        </w:rPr>
      </w:pPr>
      <w:r>
        <w:rPr>
          <w:rFonts w:ascii="Arial" w:hAnsi="Arial" w:cs="Arial"/>
        </w:rPr>
        <w:t>4. FARmers’ knowledge, attitudes and Practices</w:t>
      </w:r>
    </w:p>
    <w:p w14:paraId="16034F4B" w14:textId="77777777" w:rsidR="00622C85" w:rsidRDefault="00622C85" w:rsidP="00622C85">
      <w:pPr>
        <w:pStyle w:val="Head1"/>
        <w:spacing w:after="0"/>
        <w:jc w:val="both"/>
        <w:rPr>
          <w:rFonts w:ascii="Arial" w:hAnsi="Arial" w:cs="Arial"/>
        </w:rPr>
      </w:pPr>
    </w:p>
    <w:p w14:paraId="57AED0CE" w14:textId="77777777" w:rsidR="00622C85" w:rsidRDefault="00622C85" w:rsidP="00622C85">
      <w:pPr>
        <w:jc w:val="both"/>
        <w:rPr>
          <w:rFonts w:ascii="Arial" w:hAnsi="Arial" w:cs="Arial"/>
        </w:rPr>
      </w:pPr>
      <w:r w:rsidRPr="00622C85">
        <w:rPr>
          <w:rFonts w:ascii="Arial" w:hAnsi="Arial" w:cs="Arial"/>
        </w:rPr>
        <w:t>Understanding how smallholder farmers perceive and respond to climate change is essential for designing effective adaptation programs. Farmers’ knowledge, attitudes, and practices (KAP) determine how well scientific knowledge about climate change and agroforestry translates into meaningful, on-the-ground action.</w:t>
      </w:r>
    </w:p>
    <w:p w14:paraId="425C50EA" w14:textId="77777777" w:rsidR="00622C85" w:rsidRPr="00622C85" w:rsidRDefault="00622C85" w:rsidP="00622C85">
      <w:pPr>
        <w:jc w:val="both"/>
        <w:rPr>
          <w:rFonts w:ascii="Arial" w:hAnsi="Arial" w:cs="Arial"/>
        </w:rPr>
      </w:pPr>
    </w:p>
    <w:p w14:paraId="688D5629" w14:textId="77777777" w:rsidR="00622C85" w:rsidRDefault="00622C85" w:rsidP="00622C85">
      <w:pPr>
        <w:jc w:val="both"/>
        <w:rPr>
          <w:rFonts w:ascii="Arial" w:hAnsi="Arial" w:cs="Arial"/>
        </w:rPr>
      </w:pPr>
      <w:r w:rsidRPr="00622C85">
        <w:rPr>
          <w:rFonts w:ascii="Arial" w:hAnsi="Arial" w:cs="Arial"/>
        </w:rPr>
        <w:t xml:space="preserve">In the Philippines, Evangelista, Cruz, and Lasco (2016) found that 91% of smallholder farmers in Peñablanca, Cagayan were aware of climate change and 84% were familiar with agroforestry, particularly the benefits of tree planting for soil protection and farm diversification. Yet this high awareness did not always translate into proper implementation soften due to misconceptions, limited technical support, and socioeconomic barriers. Many farmers, for instance, believed agroforestry was only applicable to upland or forest areas, not realizing its potential in lowland or peri-urban settings (Evangelista et al., 2016; Landicho et al., 2016; </w:t>
      </w:r>
      <w:proofErr w:type="spellStart"/>
      <w:r w:rsidRPr="00622C85">
        <w:rPr>
          <w:rFonts w:ascii="Arial" w:hAnsi="Arial" w:cs="Arial"/>
        </w:rPr>
        <w:t>Mulyoutami</w:t>
      </w:r>
      <w:proofErr w:type="spellEnd"/>
      <w:r w:rsidRPr="00622C85">
        <w:rPr>
          <w:rFonts w:ascii="Arial" w:hAnsi="Arial" w:cs="Arial"/>
        </w:rPr>
        <w:t>, Martini, &amp; Joshi, 2021).</w:t>
      </w:r>
    </w:p>
    <w:p w14:paraId="57769719" w14:textId="77777777" w:rsidR="00622C85" w:rsidRPr="00622C85" w:rsidRDefault="00622C85" w:rsidP="00622C85">
      <w:pPr>
        <w:jc w:val="both"/>
        <w:rPr>
          <w:rFonts w:ascii="Arial" w:hAnsi="Arial" w:cs="Arial"/>
        </w:rPr>
      </w:pPr>
    </w:p>
    <w:p w14:paraId="112F4F3E" w14:textId="77777777" w:rsidR="00622C85" w:rsidRDefault="00622C85" w:rsidP="00622C85">
      <w:pPr>
        <w:jc w:val="both"/>
        <w:rPr>
          <w:rFonts w:ascii="Arial" w:hAnsi="Arial" w:cs="Arial"/>
        </w:rPr>
      </w:pPr>
      <w:r w:rsidRPr="00622C85">
        <w:rPr>
          <w:rFonts w:ascii="Arial" w:hAnsi="Arial" w:cs="Arial"/>
        </w:rPr>
        <w:t>Local ecological knowledge (LEK) remains a strong foundation for understanding environmental changes. In Mindanao, Galang and Vaughter (2020) revealed that older farmers’ knowledge of agroforestry and ecosystem services stemmed from experiential learning, whereas younger farmers acquired information primarily through schools or local institutions. Such intergenerational differences highlight a gradual shift from intuitive, observation-based learning to institutional and formal sources of environmental education (Sida, Kumar, &amp; Singh, 2022).</w:t>
      </w:r>
    </w:p>
    <w:p w14:paraId="58485162" w14:textId="77777777" w:rsidR="00622C85" w:rsidRPr="00622C85" w:rsidRDefault="00622C85" w:rsidP="00622C85">
      <w:pPr>
        <w:jc w:val="both"/>
        <w:rPr>
          <w:rFonts w:ascii="Arial" w:hAnsi="Arial" w:cs="Arial"/>
        </w:rPr>
      </w:pPr>
    </w:p>
    <w:p w14:paraId="5EFFCA06" w14:textId="5FCFC70B" w:rsidR="00622C85" w:rsidRDefault="00622C85" w:rsidP="00622C85">
      <w:pPr>
        <w:jc w:val="both"/>
        <w:rPr>
          <w:rFonts w:ascii="Arial" w:hAnsi="Arial" w:cs="Arial"/>
        </w:rPr>
      </w:pPr>
      <w:r w:rsidRPr="00622C85">
        <w:rPr>
          <w:rFonts w:ascii="Arial" w:hAnsi="Arial" w:cs="Arial"/>
        </w:rPr>
        <w:t>Beyond the Philippines, similar patterns are observed across developing regions. In Rwanda, smallholder farmers perceive that integrating trees within farmlands enhances soil fertility, water retention, and residue decomposition</w:t>
      </w:r>
      <w:r>
        <w:rPr>
          <w:rFonts w:ascii="Arial" w:hAnsi="Arial" w:cs="Arial"/>
        </w:rPr>
        <w:t xml:space="preserve"> </w:t>
      </w:r>
      <w:r w:rsidRPr="00622C85">
        <w:rPr>
          <w:rFonts w:ascii="Arial" w:hAnsi="Arial" w:cs="Arial"/>
        </w:rPr>
        <w:t>showing that perceived ecosystem benefits strongly influence adoption (</w:t>
      </w:r>
      <w:proofErr w:type="spellStart"/>
      <w:r w:rsidRPr="00622C85">
        <w:rPr>
          <w:rFonts w:ascii="Arial" w:hAnsi="Arial" w:cs="Arial"/>
        </w:rPr>
        <w:t>Ndayambaje</w:t>
      </w:r>
      <w:proofErr w:type="spellEnd"/>
      <w:r w:rsidRPr="00622C85">
        <w:rPr>
          <w:rFonts w:ascii="Arial" w:hAnsi="Arial" w:cs="Arial"/>
        </w:rPr>
        <w:t xml:space="preserve"> et al., 2023). Likewise, in Southeast Asia, farmers’ adoption of adaptation strategies is significantly influenced by their education level, access to extension services, financial capital, and tenure security (Nguyen et al., 2022; </w:t>
      </w:r>
      <w:proofErr w:type="spellStart"/>
      <w:r w:rsidRPr="00622C85">
        <w:rPr>
          <w:rFonts w:ascii="Arial" w:hAnsi="Arial" w:cs="Arial"/>
        </w:rPr>
        <w:t>Dumat</w:t>
      </w:r>
      <w:proofErr w:type="spellEnd"/>
      <w:r w:rsidRPr="00622C85">
        <w:rPr>
          <w:rFonts w:ascii="Arial" w:hAnsi="Arial" w:cs="Arial"/>
        </w:rPr>
        <w:t>, Tran, &amp; Nguyen, 2022).</w:t>
      </w:r>
    </w:p>
    <w:p w14:paraId="4A562E59" w14:textId="77777777" w:rsidR="00622C85" w:rsidRPr="00622C85" w:rsidRDefault="00622C85" w:rsidP="00622C85">
      <w:pPr>
        <w:jc w:val="both"/>
        <w:rPr>
          <w:rFonts w:ascii="Arial" w:hAnsi="Arial" w:cs="Arial"/>
        </w:rPr>
      </w:pPr>
    </w:p>
    <w:p w14:paraId="15F6337B" w14:textId="77777777" w:rsidR="00622C85" w:rsidRDefault="00622C85" w:rsidP="00622C85">
      <w:pPr>
        <w:jc w:val="both"/>
        <w:rPr>
          <w:rFonts w:ascii="Arial" w:hAnsi="Arial" w:cs="Arial"/>
        </w:rPr>
      </w:pPr>
      <w:r w:rsidRPr="00622C85">
        <w:rPr>
          <w:rFonts w:ascii="Arial" w:hAnsi="Arial" w:cs="Arial"/>
        </w:rPr>
        <w:t xml:space="preserve">While knowledge and positive attitudes are crucial, practical constraints often inhibit behavior change. Studies from sub-Saharan Africa indicate that insecure land tenure, labor shortages, and delayed financial returns discourage farmers from planting trees even when they </w:t>
      </w:r>
      <w:r w:rsidRPr="00622C85">
        <w:rPr>
          <w:rFonts w:ascii="Arial" w:hAnsi="Arial" w:cs="Arial"/>
        </w:rPr>
        <w:lastRenderedPageBreak/>
        <w:t>recognize the benefits (Ajayi et al., 2011; Verchot et al., 2007). Furthermore, the cost of inputs and limited access to markets compound these barriers (Rizvi, 2021).</w:t>
      </w:r>
    </w:p>
    <w:p w14:paraId="0C0F7F54" w14:textId="77777777" w:rsidR="00622C85" w:rsidRPr="00622C85" w:rsidRDefault="00622C85" w:rsidP="00622C85">
      <w:pPr>
        <w:jc w:val="both"/>
        <w:rPr>
          <w:rFonts w:ascii="Arial" w:hAnsi="Arial" w:cs="Arial"/>
        </w:rPr>
      </w:pPr>
    </w:p>
    <w:p w14:paraId="2121AD5C" w14:textId="77777777" w:rsidR="00622C85" w:rsidRDefault="00622C85" w:rsidP="00622C85">
      <w:pPr>
        <w:jc w:val="both"/>
        <w:rPr>
          <w:rFonts w:ascii="Arial" w:hAnsi="Arial" w:cs="Arial"/>
        </w:rPr>
      </w:pPr>
      <w:r w:rsidRPr="00622C85">
        <w:rPr>
          <w:rFonts w:ascii="Arial" w:hAnsi="Arial" w:cs="Arial"/>
        </w:rPr>
        <w:t>However, where information and institutional support are available, farmers demonstrate a strong willingness to adopt and sustain agroforestry practices. In areas with active community-based forest management programs and accessible training, agroforestry adoption rates and system productivity are markedly higher (</w:t>
      </w:r>
      <w:proofErr w:type="spellStart"/>
      <w:r w:rsidRPr="00622C85">
        <w:rPr>
          <w:rFonts w:ascii="Arial" w:hAnsi="Arial" w:cs="Arial"/>
        </w:rPr>
        <w:t>Landicho</w:t>
      </w:r>
      <w:proofErr w:type="spellEnd"/>
      <w:r w:rsidRPr="00622C85">
        <w:rPr>
          <w:rFonts w:ascii="Arial" w:hAnsi="Arial" w:cs="Arial"/>
        </w:rPr>
        <w:t xml:space="preserve">, </w:t>
      </w:r>
      <w:proofErr w:type="spellStart"/>
      <w:r w:rsidRPr="00622C85">
        <w:rPr>
          <w:rFonts w:ascii="Arial" w:hAnsi="Arial" w:cs="Arial"/>
        </w:rPr>
        <w:t>Paelmo</w:t>
      </w:r>
      <w:proofErr w:type="spellEnd"/>
      <w:r w:rsidRPr="00622C85">
        <w:rPr>
          <w:rFonts w:ascii="Arial" w:hAnsi="Arial" w:cs="Arial"/>
        </w:rPr>
        <w:t xml:space="preserve">, De Luna, &amp; </w:t>
      </w:r>
      <w:proofErr w:type="spellStart"/>
      <w:r w:rsidRPr="00622C85">
        <w:rPr>
          <w:rFonts w:ascii="Arial" w:hAnsi="Arial" w:cs="Arial"/>
        </w:rPr>
        <w:t>Visco</w:t>
      </w:r>
      <w:proofErr w:type="spellEnd"/>
      <w:r w:rsidRPr="00622C85">
        <w:rPr>
          <w:rFonts w:ascii="Arial" w:hAnsi="Arial" w:cs="Arial"/>
        </w:rPr>
        <w:t xml:space="preserve">, 2016; </w:t>
      </w:r>
      <w:proofErr w:type="spellStart"/>
      <w:r w:rsidRPr="00622C85">
        <w:rPr>
          <w:rFonts w:ascii="Arial" w:hAnsi="Arial" w:cs="Arial"/>
        </w:rPr>
        <w:t>Abebaw</w:t>
      </w:r>
      <w:proofErr w:type="spellEnd"/>
      <w:r w:rsidRPr="00622C85">
        <w:rPr>
          <w:rFonts w:ascii="Arial" w:hAnsi="Arial" w:cs="Arial"/>
        </w:rPr>
        <w:t xml:space="preserve">, </w:t>
      </w:r>
      <w:proofErr w:type="spellStart"/>
      <w:r w:rsidRPr="00622C85">
        <w:rPr>
          <w:rFonts w:ascii="Arial" w:hAnsi="Arial" w:cs="Arial"/>
        </w:rPr>
        <w:t>Yeshiwas</w:t>
      </w:r>
      <w:proofErr w:type="spellEnd"/>
      <w:r w:rsidRPr="00622C85">
        <w:rPr>
          <w:rFonts w:ascii="Arial" w:hAnsi="Arial" w:cs="Arial"/>
        </w:rPr>
        <w:t xml:space="preserve">, &amp; </w:t>
      </w:r>
      <w:proofErr w:type="spellStart"/>
      <w:r w:rsidRPr="00622C85">
        <w:rPr>
          <w:rFonts w:ascii="Arial" w:hAnsi="Arial" w:cs="Arial"/>
        </w:rPr>
        <w:t>Feleke</w:t>
      </w:r>
      <w:proofErr w:type="spellEnd"/>
      <w:r w:rsidRPr="00622C85">
        <w:rPr>
          <w:rFonts w:ascii="Arial" w:hAnsi="Arial" w:cs="Arial"/>
        </w:rPr>
        <w:t>, 2025; Nguyen, 2023).</w:t>
      </w:r>
    </w:p>
    <w:p w14:paraId="29CB5FA9" w14:textId="77777777" w:rsidR="00622C85" w:rsidRPr="00622C85" w:rsidRDefault="00622C85" w:rsidP="00622C85">
      <w:pPr>
        <w:jc w:val="both"/>
        <w:rPr>
          <w:rFonts w:ascii="Arial" w:hAnsi="Arial" w:cs="Arial"/>
        </w:rPr>
      </w:pPr>
    </w:p>
    <w:p w14:paraId="24045453" w14:textId="77777777" w:rsidR="00622C85" w:rsidRDefault="00622C85" w:rsidP="00622C85">
      <w:pPr>
        <w:jc w:val="both"/>
        <w:rPr>
          <w:rFonts w:ascii="Arial" w:hAnsi="Arial" w:cs="Arial"/>
        </w:rPr>
      </w:pPr>
      <w:r w:rsidRPr="00622C85">
        <w:rPr>
          <w:rFonts w:ascii="Arial" w:hAnsi="Arial" w:cs="Arial"/>
        </w:rPr>
        <w:t>Meta-analytical evidence reinforces this behavioral potential. Globally, agroforestry has been shown to increase soil organic carbon by approximately 21%, enhance nitrogen availability by 46%, and reduce soil erosion by 50% compared to monocropping systems (</w:t>
      </w:r>
      <w:proofErr w:type="spellStart"/>
      <w:r w:rsidRPr="00622C85">
        <w:rPr>
          <w:rFonts w:ascii="Arial" w:hAnsi="Arial" w:cs="Arial"/>
        </w:rPr>
        <w:t>Beillouin</w:t>
      </w:r>
      <w:proofErr w:type="spellEnd"/>
      <w:r w:rsidRPr="00622C85">
        <w:rPr>
          <w:rFonts w:ascii="Arial" w:hAnsi="Arial" w:cs="Arial"/>
        </w:rPr>
        <w:t xml:space="preserve"> et al., 2020; Garcia-de-</w:t>
      </w:r>
      <w:proofErr w:type="spellStart"/>
      <w:r w:rsidRPr="00622C85">
        <w:rPr>
          <w:rFonts w:ascii="Arial" w:hAnsi="Arial" w:cs="Arial"/>
        </w:rPr>
        <w:t>Jalón</w:t>
      </w:r>
      <w:proofErr w:type="spellEnd"/>
      <w:r w:rsidRPr="00622C85">
        <w:rPr>
          <w:rFonts w:ascii="Arial" w:hAnsi="Arial" w:cs="Arial"/>
        </w:rPr>
        <w:t>, Graves, &amp; Smith, 2024). When farmers are informed and empowered, such ecological benefits become both tangible and replicable.</w:t>
      </w:r>
    </w:p>
    <w:p w14:paraId="4EE1E646" w14:textId="77777777" w:rsidR="00622C85" w:rsidRPr="00622C85" w:rsidRDefault="00622C85" w:rsidP="00622C85">
      <w:pPr>
        <w:jc w:val="both"/>
        <w:rPr>
          <w:rFonts w:ascii="Arial" w:hAnsi="Arial" w:cs="Arial"/>
        </w:rPr>
      </w:pPr>
    </w:p>
    <w:p w14:paraId="5523CCF1" w14:textId="3D374C49" w:rsidR="00622C85" w:rsidRPr="00622C85" w:rsidRDefault="00622C85" w:rsidP="00622C85">
      <w:pPr>
        <w:jc w:val="both"/>
        <w:rPr>
          <w:rFonts w:ascii="Arial" w:hAnsi="Arial" w:cs="Arial"/>
        </w:rPr>
      </w:pPr>
      <w:r w:rsidRPr="00622C85">
        <w:rPr>
          <w:rFonts w:ascii="Arial" w:hAnsi="Arial" w:cs="Arial"/>
        </w:rPr>
        <w:t>In short, smallholder farmers across contexts exhibit awareness, resourcefulness, and a willingness to adapt. What often limits them is not attitude but acces</w:t>
      </w:r>
      <w:r>
        <w:rPr>
          <w:rFonts w:ascii="Arial" w:hAnsi="Arial" w:cs="Arial"/>
        </w:rPr>
        <w:t>s</w:t>
      </w:r>
      <w:r w:rsidRPr="00622C85">
        <w:rPr>
          <w:rFonts w:ascii="Arial" w:hAnsi="Arial" w:cs="Arial"/>
        </w:rPr>
        <w:t xml:space="preserve"> to technical knowledge, financial resources, and enabling policies. Understanding and bridging these human dimensions are essential to transforming awareness into sustainable, climate-smart action.</w:t>
      </w:r>
    </w:p>
    <w:p w14:paraId="09E8A124" w14:textId="77777777" w:rsidR="00622C85" w:rsidRDefault="00622C85" w:rsidP="00622C85">
      <w:pPr>
        <w:pStyle w:val="Head1"/>
        <w:spacing w:after="0"/>
        <w:jc w:val="both"/>
        <w:rPr>
          <w:rFonts w:ascii="Arial" w:hAnsi="Arial" w:cs="Arial"/>
        </w:rPr>
      </w:pPr>
    </w:p>
    <w:p w14:paraId="5EE22481" w14:textId="7B21E856" w:rsidR="00622C85" w:rsidRDefault="00622C85" w:rsidP="00622C85">
      <w:pPr>
        <w:pStyle w:val="Head1"/>
        <w:spacing w:after="0"/>
        <w:jc w:val="both"/>
        <w:rPr>
          <w:rFonts w:ascii="Arial" w:hAnsi="Arial" w:cs="Arial"/>
        </w:rPr>
      </w:pPr>
      <w:r>
        <w:rPr>
          <w:rFonts w:ascii="Arial" w:hAnsi="Arial" w:cs="Arial"/>
        </w:rPr>
        <w:t>5. ADAPTATION STRATEGIES OF SMALLHOLDER FARMERS</w:t>
      </w:r>
    </w:p>
    <w:p w14:paraId="249F4088" w14:textId="77777777" w:rsidR="00622C85" w:rsidRPr="00FB3A86" w:rsidRDefault="00622C85" w:rsidP="00622C85">
      <w:pPr>
        <w:pStyle w:val="Head1"/>
        <w:spacing w:after="0"/>
        <w:jc w:val="both"/>
        <w:rPr>
          <w:rFonts w:ascii="Arial" w:hAnsi="Arial" w:cs="Arial"/>
        </w:rPr>
      </w:pPr>
    </w:p>
    <w:p w14:paraId="3784A5E8" w14:textId="77777777" w:rsidR="00622C85" w:rsidRPr="00622C85" w:rsidRDefault="00622C85" w:rsidP="00622C85">
      <w:pPr>
        <w:pStyle w:val="Head1"/>
        <w:jc w:val="both"/>
        <w:rPr>
          <w:rFonts w:ascii="Arial" w:hAnsi="Arial" w:cs="Arial"/>
          <w:b w:val="0"/>
          <w:caps w:val="0"/>
          <w:sz w:val="20"/>
        </w:rPr>
      </w:pPr>
      <w:r w:rsidRPr="00622C85">
        <w:rPr>
          <w:rFonts w:ascii="Arial" w:hAnsi="Arial" w:cs="Arial"/>
          <w:b w:val="0"/>
          <w:caps w:val="0"/>
          <w:sz w:val="20"/>
        </w:rPr>
        <w:t>Smallholder farmers across the Philippines and the tropics are not passive victims of climate change but active agents of adaptation. Their strategies, ranging from indigenous practices to scientifically informed innovations, reflect centuries of lived experience and collective learning.</w:t>
      </w:r>
    </w:p>
    <w:p w14:paraId="76DD9436" w14:textId="77777777" w:rsidR="00622C85" w:rsidRPr="00622C85" w:rsidRDefault="00622C85" w:rsidP="00622C85">
      <w:pPr>
        <w:pStyle w:val="Head1"/>
        <w:jc w:val="both"/>
        <w:rPr>
          <w:rFonts w:ascii="Arial" w:hAnsi="Arial" w:cs="Arial"/>
          <w:b w:val="0"/>
          <w:caps w:val="0"/>
          <w:sz w:val="20"/>
        </w:rPr>
      </w:pPr>
      <w:r w:rsidRPr="00622C85">
        <w:rPr>
          <w:rFonts w:ascii="Arial" w:hAnsi="Arial" w:cs="Arial"/>
          <w:b w:val="0"/>
          <w:caps w:val="0"/>
          <w:sz w:val="20"/>
        </w:rPr>
        <w:t>Landicho et al. (2016) documented several key on-farm adaptation measures among Philippine smallholders: crop diversification, mixed cropping, soil and water conservation, contour farming, and vegetative buffer strips. These techniques spread risk, maintain soil health, and improve farm productivity under variable weather conditions. Many farmers also apply organic soil amendments, such as compost and mulch, to enhance moisture retention during droughts, demonstrating adaptive ingenuity rooted in local contexts.</w:t>
      </w:r>
    </w:p>
    <w:p w14:paraId="2D8BE124" w14:textId="77777777" w:rsidR="00622C85" w:rsidRPr="00622C85" w:rsidRDefault="00622C85" w:rsidP="00622C85">
      <w:pPr>
        <w:pStyle w:val="Head1"/>
        <w:jc w:val="both"/>
        <w:rPr>
          <w:rFonts w:ascii="Arial" w:hAnsi="Arial" w:cs="Arial"/>
          <w:b w:val="0"/>
          <w:caps w:val="0"/>
          <w:sz w:val="20"/>
        </w:rPr>
      </w:pPr>
      <w:r w:rsidRPr="00622C85">
        <w:rPr>
          <w:rFonts w:ascii="Arial" w:hAnsi="Arial" w:cs="Arial"/>
          <w:b w:val="0"/>
          <w:caps w:val="0"/>
          <w:sz w:val="20"/>
        </w:rPr>
        <w:t>Agroforestry itself is a cornerstone of these strategies. The deliberate combination of trees with crops and livestock enhances ecological resilience by moderating microclimates, stabilizing slopes, improving soil structure, and diversifying income sources (</w:t>
      </w:r>
      <w:proofErr w:type="spellStart"/>
      <w:r w:rsidRPr="00622C85">
        <w:rPr>
          <w:rFonts w:ascii="Arial" w:hAnsi="Arial" w:cs="Arial"/>
          <w:b w:val="0"/>
          <w:caps w:val="0"/>
          <w:sz w:val="20"/>
        </w:rPr>
        <w:t>Lasco</w:t>
      </w:r>
      <w:proofErr w:type="spellEnd"/>
      <w:r w:rsidRPr="00622C85">
        <w:rPr>
          <w:rFonts w:ascii="Arial" w:hAnsi="Arial" w:cs="Arial"/>
          <w:b w:val="0"/>
          <w:caps w:val="0"/>
          <w:sz w:val="20"/>
        </w:rPr>
        <w:t xml:space="preserve">, </w:t>
      </w:r>
      <w:proofErr w:type="spellStart"/>
      <w:r w:rsidRPr="00622C85">
        <w:rPr>
          <w:rFonts w:ascii="Arial" w:hAnsi="Arial" w:cs="Arial"/>
          <w:b w:val="0"/>
          <w:caps w:val="0"/>
          <w:sz w:val="20"/>
        </w:rPr>
        <w:t>Delfino</w:t>
      </w:r>
      <w:proofErr w:type="spellEnd"/>
      <w:r w:rsidRPr="00622C85">
        <w:rPr>
          <w:rFonts w:ascii="Arial" w:hAnsi="Arial" w:cs="Arial"/>
          <w:b w:val="0"/>
          <w:caps w:val="0"/>
          <w:sz w:val="20"/>
        </w:rPr>
        <w:t xml:space="preserve">, &amp; </w:t>
      </w:r>
      <w:proofErr w:type="spellStart"/>
      <w:r w:rsidRPr="00622C85">
        <w:rPr>
          <w:rFonts w:ascii="Arial" w:hAnsi="Arial" w:cs="Arial"/>
          <w:b w:val="0"/>
          <w:caps w:val="0"/>
          <w:sz w:val="20"/>
        </w:rPr>
        <w:t>Espaldon</w:t>
      </w:r>
      <w:proofErr w:type="spellEnd"/>
      <w:r w:rsidRPr="00622C85">
        <w:rPr>
          <w:rFonts w:ascii="Arial" w:hAnsi="Arial" w:cs="Arial"/>
          <w:b w:val="0"/>
          <w:caps w:val="0"/>
          <w:sz w:val="20"/>
        </w:rPr>
        <w:t>, 2014). Farmers practicing agroforestry often report higher productivity and food security, as trees provide year-round products, fuelwood, fruits, timber, and shade, especially when annual crops fail (Evangelista et al., 2016).</w:t>
      </w:r>
    </w:p>
    <w:p w14:paraId="6A48EFED" w14:textId="77777777" w:rsidR="00622C85" w:rsidRPr="00622C85" w:rsidRDefault="00622C85" w:rsidP="00622C85">
      <w:pPr>
        <w:pStyle w:val="Head1"/>
        <w:jc w:val="both"/>
        <w:rPr>
          <w:rFonts w:ascii="Arial" w:hAnsi="Arial" w:cs="Arial"/>
          <w:b w:val="0"/>
          <w:caps w:val="0"/>
          <w:sz w:val="20"/>
        </w:rPr>
      </w:pPr>
      <w:r w:rsidRPr="00622C85">
        <w:rPr>
          <w:rFonts w:ascii="Arial" w:hAnsi="Arial" w:cs="Arial"/>
          <w:b w:val="0"/>
          <w:caps w:val="0"/>
          <w:sz w:val="20"/>
        </w:rPr>
        <w:t>Quantitative evidence further supports these benefits. A meta-analysis of 94 studies across 28 countries found that agroforestry systems increased crop yields by 23% and improved soil organic carbon by 10.7%, total nitrogen by 9.5%, and water retention capacity by 12–15% relative to monocropping (Nair et al., 2024). Another study estimated that agroforestry can enhance biodiversity and ecosystem services by about 23% globally compared with conventional agriculture (Garcia-de-</w:t>
      </w:r>
      <w:proofErr w:type="spellStart"/>
      <w:r w:rsidRPr="00622C85">
        <w:rPr>
          <w:rFonts w:ascii="Arial" w:hAnsi="Arial" w:cs="Arial"/>
          <w:b w:val="0"/>
          <w:caps w:val="0"/>
          <w:sz w:val="20"/>
        </w:rPr>
        <w:t>Jalón</w:t>
      </w:r>
      <w:proofErr w:type="spellEnd"/>
      <w:r w:rsidRPr="00622C85">
        <w:rPr>
          <w:rFonts w:ascii="Arial" w:hAnsi="Arial" w:cs="Arial"/>
          <w:b w:val="0"/>
          <w:caps w:val="0"/>
          <w:sz w:val="20"/>
        </w:rPr>
        <w:t xml:space="preserve"> et al., 2024). In Vietnam, agroforestry systems collectively store an estimated 1,346 ± 92 million tons of CO</w:t>
      </w:r>
      <w:r w:rsidRPr="00622C85">
        <w:rPr>
          <w:rFonts w:ascii="Cambria Math" w:hAnsi="Cambria Math" w:cs="Cambria Math"/>
          <w:b w:val="0"/>
          <w:caps w:val="0"/>
          <w:sz w:val="20"/>
        </w:rPr>
        <w:t>₂</w:t>
      </w:r>
      <w:r w:rsidRPr="00622C85">
        <w:rPr>
          <w:rFonts w:ascii="Arial" w:hAnsi="Arial" w:cs="Arial"/>
          <w:b w:val="0"/>
          <w:caps w:val="0"/>
          <w:sz w:val="20"/>
        </w:rPr>
        <w:t xml:space="preserve"> equivalents, with potential for an additional 2.3–44 million tons CO</w:t>
      </w:r>
      <w:r w:rsidRPr="00622C85">
        <w:rPr>
          <w:rFonts w:ascii="Cambria Math" w:hAnsi="Cambria Math" w:cs="Cambria Math"/>
          <w:b w:val="0"/>
          <w:caps w:val="0"/>
          <w:sz w:val="20"/>
        </w:rPr>
        <w:t>₂</w:t>
      </w:r>
      <w:r w:rsidRPr="00622C85">
        <w:rPr>
          <w:rFonts w:ascii="Arial" w:hAnsi="Arial" w:cs="Arial"/>
          <w:b w:val="0"/>
          <w:caps w:val="0"/>
          <w:sz w:val="20"/>
        </w:rPr>
        <w:t xml:space="preserve"> if expanded to suitable lands (Pham et al., 2020).</w:t>
      </w:r>
    </w:p>
    <w:p w14:paraId="0B294CBD" w14:textId="77777777" w:rsidR="00622C85" w:rsidRPr="00622C85" w:rsidRDefault="00622C85" w:rsidP="00622C85">
      <w:pPr>
        <w:pStyle w:val="Head1"/>
        <w:jc w:val="both"/>
        <w:rPr>
          <w:rFonts w:ascii="Arial" w:hAnsi="Arial" w:cs="Arial"/>
          <w:b w:val="0"/>
          <w:caps w:val="0"/>
          <w:sz w:val="20"/>
        </w:rPr>
      </w:pPr>
      <w:r w:rsidRPr="00622C85">
        <w:rPr>
          <w:rFonts w:ascii="Arial" w:hAnsi="Arial" w:cs="Arial"/>
          <w:b w:val="0"/>
          <w:caps w:val="0"/>
          <w:sz w:val="20"/>
        </w:rPr>
        <w:t xml:space="preserve">Farmers’ adaptation strategies also extend beyond ecological measures to include livelihood diversification. Many rural households rely on non-farm income sources, such as wage labor, handicrafts, or micro-enterprises, to buffer against harvest losses and price volatility </w:t>
      </w:r>
      <w:r w:rsidRPr="00622C85">
        <w:rPr>
          <w:rFonts w:ascii="Arial" w:hAnsi="Arial" w:cs="Arial"/>
          <w:b w:val="0"/>
          <w:caps w:val="0"/>
          <w:sz w:val="20"/>
        </w:rPr>
        <w:lastRenderedPageBreak/>
        <w:t>(Evangelista et al., 2016). Migration, though sometimes viewed as a coping mechanism, also serves as a form of risk management by redistributing labor and financial resources.</w:t>
      </w:r>
    </w:p>
    <w:p w14:paraId="4A71A8E1" w14:textId="77777777" w:rsidR="00622C85" w:rsidRPr="00622C85" w:rsidRDefault="00622C85" w:rsidP="00622C85">
      <w:pPr>
        <w:pStyle w:val="Head1"/>
        <w:jc w:val="both"/>
        <w:rPr>
          <w:rFonts w:ascii="Arial" w:hAnsi="Arial" w:cs="Arial"/>
          <w:b w:val="0"/>
          <w:caps w:val="0"/>
          <w:sz w:val="20"/>
        </w:rPr>
      </w:pPr>
      <w:r w:rsidRPr="00622C85">
        <w:rPr>
          <w:rFonts w:ascii="Arial" w:hAnsi="Arial" w:cs="Arial"/>
          <w:b w:val="0"/>
          <w:caps w:val="0"/>
          <w:sz w:val="20"/>
        </w:rPr>
        <w:t>Institutional and policy contexts shape how these strategies evolve. Programs like the Philippine Climate Change Act of 2009 (RA 9729) and Community-Based Forest Management (CBFM) initiatives have provided enabling frameworks for integrating adaptation and reforestation efforts. Nevertheless, weak local implementation, inconsistent funding, and limited extension services remain persistent challenges (Landicho et al., 2016).</w:t>
      </w:r>
    </w:p>
    <w:p w14:paraId="05689EC0" w14:textId="77777777" w:rsidR="00622C85" w:rsidRPr="00622C85" w:rsidRDefault="00622C85" w:rsidP="00622C85">
      <w:pPr>
        <w:pStyle w:val="Head1"/>
        <w:jc w:val="both"/>
        <w:rPr>
          <w:rFonts w:ascii="Arial" w:hAnsi="Arial" w:cs="Arial"/>
          <w:b w:val="0"/>
          <w:caps w:val="0"/>
          <w:sz w:val="20"/>
        </w:rPr>
      </w:pPr>
      <w:r w:rsidRPr="00622C85">
        <w:rPr>
          <w:rFonts w:ascii="Arial" w:hAnsi="Arial" w:cs="Arial"/>
          <w:b w:val="0"/>
          <w:caps w:val="0"/>
          <w:sz w:val="20"/>
        </w:rPr>
        <w:t>Beyond individual actions, collective adaptation has emerged as a powerful mechanism for building resilience. Farmer associations, cooperatives, and women’s groups are now central to reforestation, watershed rehabilitation, and knowledge exchange activities. Such social networks facilitate resource pooling, peer learning, and innovation diffusion (Galang &amp; Vaughter, 2020).</w:t>
      </w:r>
    </w:p>
    <w:p w14:paraId="199EEB84" w14:textId="77777777" w:rsidR="00622C85" w:rsidRPr="00622C85" w:rsidRDefault="00622C85" w:rsidP="00622C85">
      <w:pPr>
        <w:pStyle w:val="Head1"/>
        <w:jc w:val="both"/>
        <w:rPr>
          <w:rFonts w:ascii="Arial" w:hAnsi="Arial" w:cs="Arial"/>
          <w:b w:val="0"/>
          <w:caps w:val="0"/>
          <w:sz w:val="20"/>
        </w:rPr>
      </w:pPr>
      <w:r w:rsidRPr="00622C85">
        <w:rPr>
          <w:rFonts w:ascii="Arial" w:hAnsi="Arial" w:cs="Arial"/>
          <w:b w:val="0"/>
          <w:caps w:val="0"/>
          <w:sz w:val="20"/>
        </w:rPr>
        <w:t xml:space="preserve">Globally, the story is similar. In East Africa, agroforestry farmers have reported yield gains of up to 30% over monocropping systems and improved drought resilience through microclimate regulation (Abebaw et al., 2025). In India and Indonesia, integrating nitrogen-fixing trees such as </w:t>
      </w:r>
      <w:proofErr w:type="spellStart"/>
      <w:r w:rsidRPr="00622C85">
        <w:rPr>
          <w:rFonts w:ascii="Arial" w:hAnsi="Arial" w:cs="Arial"/>
          <w:b w:val="0"/>
          <w:caps w:val="0"/>
          <w:sz w:val="20"/>
        </w:rPr>
        <w:t>Gliricidia</w:t>
      </w:r>
      <w:proofErr w:type="spellEnd"/>
      <w:r w:rsidRPr="00622C85">
        <w:rPr>
          <w:rFonts w:ascii="Arial" w:hAnsi="Arial" w:cs="Arial"/>
          <w:b w:val="0"/>
          <w:caps w:val="0"/>
          <w:sz w:val="20"/>
        </w:rPr>
        <w:t xml:space="preserve"> </w:t>
      </w:r>
      <w:proofErr w:type="spellStart"/>
      <w:r w:rsidRPr="00622C85">
        <w:rPr>
          <w:rFonts w:ascii="Arial" w:hAnsi="Arial" w:cs="Arial"/>
          <w:b w:val="0"/>
          <w:caps w:val="0"/>
          <w:sz w:val="20"/>
        </w:rPr>
        <w:t>sepium</w:t>
      </w:r>
      <w:proofErr w:type="spellEnd"/>
      <w:r w:rsidRPr="00622C85">
        <w:rPr>
          <w:rFonts w:ascii="Arial" w:hAnsi="Arial" w:cs="Arial"/>
          <w:b w:val="0"/>
          <w:caps w:val="0"/>
          <w:sz w:val="20"/>
        </w:rPr>
        <w:t xml:space="preserve"> and Leucaena </w:t>
      </w:r>
      <w:proofErr w:type="spellStart"/>
      <w:r w:rsidRPr="00622C85">
        <w:rPr>
          <w:rFonts w:ascii="Arial" w:hAnsi="Arial" w:cs="Arial"/>
          <w:b w:val="0"/>
          <w:caps w:val="0"/>
          <w:sz w:val="20"/>
        </w:rPr>
        <w:t>leucocephala</w:t>
      </w:r>
      <w:proofErr w:type="spellEnd"/>
      <w:r w:rsidRPr="00622C85">
        <w:rPr>
          <w:rFonts w:ascii="Arial" w:hAnsi="Arial" w:cs="Arial"/>
          <w:b w:val="0"/>
          <w:caps w:val="0"/>
          <w:sz w:val="20"/>
        </w:rPr>
        <w:t xml:space="preserve"> has increased maize yields by 20–40% while reducing fertilizer dependency (Sida et al., 2022). These examples reaffirm that agroforestry is not just an ecological intervention, it is a multifunctional adaptation system that strengthens livelihoods, sequesters carbon, and restores degraded landscapes.</w:t>
      </w:r>
    </w:p>
    <w:p w14:paraId="1AA20CB3" w14:textId="00BDF089" w:rsidR="00622C85" w:rsidRDefault="00622C85" w:rsidP="00622C85">
      <w:pPr>
        <w:pStyle w:val="Head1"/>
        <w:spacing w:after="0"/>
        <w:jc w:val="both"/>
        <w:rPr>
          <w:rFonts w:ascii="Arial" w:hAnsi="Arial" w:cs="Arial"/>
        </w:rPr>
      </w:pPr>
      <w:r w:rsidRPr="00622C85">
        <w:rPr>
          <w:rFonts w:ascii="Arial" w:hAnsi="Arial" w:cs="Arial"/>
          <w:b w:val="0"/>
          <w:caps w:val="0"/>
          <w:sz w:val="20"/>
        </w:rPr>
        <w:t>Ultimately, smallholder adaptation strategies represent a continuum of resilience, from traditional, experience-based responses to modern, science-informed innovations. Agroforestry stands at the heart of this continuum, offering both immediate and generational benefits. By embracing agroforestry, farmers are not only adapting to change but also shaping a more sustainable and equitable future for rural communities.</w:t>
      </w:r>
    </w:p>
    <w:p w14:paraId="1C546559" w14:textId="77777777" w:rsidR="00622C85" w:rsidRDefault="00622C85" w:rsidP="00622C85">
      <w:pPr>
        <w:pStyle w:val="Body"/>
        <w:spacing w:after="0"/>
        <w:rPr>
          <w:rFonts w:ascii="Arial" w:hAnsi="Arial" w:cs="Arial"/>
        </w:rPr>
      </w:pPr>
    </w:p>
    <w:p w14:paraId="450DC4E9" w14:textId="61A27E5E" w:rsidR="00622C85" w:rsidRDefault="00622C85" w:rsidP="00622C85">
      <w:pPr>
        <w:pStyle w:val="Head1"/>
        <w:spacing w:after="0"/>
        <w:jc w:val="both"/>
        <w:rPr>
          <w:rFonts w:ascii="Arial" w:hAnsi="Arial" w:cs="Arial"/>
        </w:rPr>
      </w:pPr>
      <w:r>
        <w:rPr>
          <w:rFonts w:ascii="Arial" w:hAnsi="Arial" w:cs="Arial"/>
        </w:rPr>
        <w:t>6. ADAPTATION-MITIGATION SYNERGIES THROUGH AGROFORESTRY</w:t>
      </w:r>
    </w:p>
    <w:p w14:paraId="3C47EC7F" w14:textId="77777777" w:rsidR="00622C85" w:rsidRPr="00FB3A86" w:rsidRDefault="00622C85" w:rsidP="00622C85">
      <w:pPr>
        <w:pStyle w:val="Head1"/>
        <w:spacing w:after="0"/>
        <w:jc w:val="both"/>
        <w:rPr>
          <w:rFonts w:ascii="Arial" w:hAnsi="Arial" w:cs="Arial"/>
        </w:rPr>
      </w:pPr>
    </w:p>
    <w:p w14:paraId="09FD42EA" w14:textId="77777777" w:rsidR="00622C85" w:rsidRPr="00622C85" w:rsidRDefault="00622C85" w:rsidP="00622C85">
      <w:pPr>
        <w:pStyle w:val="Body"/>
        <w:rPr>
          <w:rFonts w:ascii="Arial" w:hAnsi="Arial" w:cs="Arial"/>
        </w:rPr>
      </w:pPr>
      <w:r w:rsidRPr="00622C85">
        <w:rPr>
          <w:rFonts w:ascii="Arial" w:hAnsi="Arial" w:cs="Arial"/>
        </w:rPr>
        <w:t xml:space="preserve">Agroforestry is more than a set of farming techniques it is a holistic system that unites climate adaptation and mitigation within the same landscape. For smallholder farmers in the Philippines, agroforestry offers a practical and accessible means to protect livelihoods from climate risks while contributing to global efforts to curb greenhouse gas emissions (Sida, Kumar, &amp; Singh, 2022; </w:t>
      </w:r>
      <w:proofErr w:type="spellStart"/>
      <w:r w:rsidRPr="00622C85">
        <w:rPr>
          <w:rFonts w:ascii="Arial" w:hAnsi="Arial" w:cs="Arial"/>
        </w:rPr>
        <w:t>Ndayambaje</w:t>
      </w:r>
      <w:proofErr w:type="spellEnd"/>
      <w:r w:rsidRPr="00622C85">
        <w:rPr>
          <w:rFonts w:ascii="Arial" w:hAnsi="Arial" w:cs="Arial"/>
        </w:rPr>
        <w:t xml:space="preserve">, </w:t>
      </w:r>
      <w:proofErr w:type="spellStart"/>
      <w:r w:rsidRPr="00622C85">
        <w:rPr>
          <w:rFonts w:ascii="Arial" w:hAnsi="Arial" w:cs="Arial"/>
        </w:rPr>
        <w:t>Uwineza</w:t>
      </w:r>
      <w:proofErr w:type="spellEnd"/>
      <w:r w:rsidRPr="00622C85">
        <w:rPr>
          <w:rFonts w:ascii="Arial" w:hAnsi="Arial" w:cs="Arial"/>
        </w:rPr>
        <w:t xml:space="preserve">, &amp; </w:t>
      </w:r>
      <w:proofErr w:type="spellStart"/>
      <w:r w:rsidRPr="00622C85">
        <w:rPr>
          <w:rFonts w:ascii="Arial" w:hAnsi="Arial" w:cs="Arial"/>
        </w:rPr>
        <w:t>Mukuralinda</w:t>
      </w:r>
      <w:proofErr w:type="spellEnd"/>
      <w:r w:rsidRPr="00622C85">
        <w:rPr>
          <w:rFonts w:ascii="Arial" w:hAnsi="Arial" w:cs="Arial"/>
        </w:rPr>
        <w:t xml:space="preserve">, 2023; </w:t>
      </w:r>
      <w:proofErr w:type="spellStart"/>
      <w:r w:rsidRPr="00622C85">
        <w:rPr>
          <w:rFonts w:ascii="Arial" w:hAnsi="Arial" w:cs="Arial"/>
        </w:rPr>
        <w:t>Montagnini</w:t>
      </w:r>
      <w:proofErr w:type="spellEnd"/>
      <w:r w:rsidRPr="00622C85">
        <w:rPr>
          <w:rFonts w:ascii="Arial" w:hAnsi="Arial" w:cs="Arial"/>
        </w:rPr>
        <w:t xml:space="preserve"> &amp; </w:t>
      </w:r>
      <w:proofErr w:type="spellStart"/>
      <w:r w:rsidRPr="00622C85">
        <w:rPr>
          <w:rFonts w:ascii="Arial" w:hAnsi="Arial" w:cs="Arial"/>
        </w:rPr>
        <w:t>Metzel</w:t>
      </w:r>
      <w:proofErr w:type="spellEnd"/>
      <w:r w:rsidRPr="00622C85">
        <w:rPr>
          <w:rFonts w:ascii="Arial" w:hAnsi="Arial" w:cs="Arial"/>
        </w:rPr>
        <w:t>, 2020; Zomer et al., 2022).</w:t>
      </w:r>
    </w:p>
    <w:p w14:paraId="53FCBDCF" w14:textId="77777777" w:rsidR="00622C85" w:rsidRPr="00622C85" w:rsidRDefault="00622C85" w:rsidP="00622C85">
      <w:pPr>
        <w:pStyle w:val="Body"/>
        <w:rPr>
          <w:rFonts w:ascii="Arial" w:hAnsi="Arial" w:cs="Arial"/>
          <w:b/>
          <w:bCs/>
        </w:rPr>
      </w:pPr>
      <w:r w:rsidRPr="00622C85">
        <w:rPr>
          <w:rFonts w:ascii="Arial" w:hAnsi="Arial" w:cs="Arial"/>
          <w:b/>
          <w:bCs/>
        </w:rPr>
        <w:t>Mutual Benefits of Trees in Farms</w:t>
      </w:r>
    </w:p>
    <w:p w14:paraId="220A8DE3" w14:textId="77777777" w:rsidR="00622C85" w:rsidRPr="00622C85" w:rsidRDefault="00622C85" w:rsidP="00622C85">
      <w:pPr>
        <w:pStyle w:val="Body"/>
        <w:rPr>
          <w:rFonts w:ascii="Arial" w:hAnsi="Arial" w:cs="Arial"/>
        </w:rPr>
      </w:pPr>
      <w:r w:rsidRPr="00622C85">
        <w:rPr>
          <w:rFonts w:ascii="Arial" w:hAnsi="Arial" w:cs="Arial"/>
        </w:rPr>
        <w:t>Agroforestry enhances resilience through microclimate regulation, soil fertility improvement, and livelihood diversification. Trees act as natural climate buffers providing shade, reducing surface temperatures, slowing wind speeds, and minimizing water loss through evapotranspiration. These ecosystem services stabilize yields even under erratic weather (</w:t>
      </w:r>
      <w:proofErr w:type="spellStart"/>
      <w:r w:rsidRPr="00622C85">
        <w:rPr>
          <w:rFonts w:ascii="Arial" w:hAnsi="Arial" w:cs="Arial"/>
        </w:rPr>
        <w:t>Lasco</w:t>
      </w:r>
      <w:proofErr w:type="spellEnd"/>
      <w:r w:rsidRPr="00622C85">
        <w:rPr>
          <w:rFonts w:ascii="Arial" w:hAnsi="Arial" w:cs="Arial"/>
        </w:rPr>
        <w:t xml:space="preserve">, </w:t>
      </w:r>
      <w:proofErr w:type="spellStart"/>
      <w:r w:rsidRPr="00622C85">
        <w:rPr>
          <w:rFonts w:ascii="Arial" w:hAnsi="Arial" w:cs="Arial"/>
        </w:rPr>
        <w:t>Delfino</w:t>
      </w:r>
      <w:proofErr w:type="spellEnd"/>
      <w:r w:rsidRPr="00622C85">
        <w:rPr>
          <w:rFonts w:ascii="Arial" w:hAnsi="Arial" w:cs="Arial"/>
        </w:rPr>
        <w:t xml:space="preserve">, &amp; </w:t>
      </w:r>
      <w:proofErr w:type="spellStart"/>
      <w:r w:rsidRPr="00622C85">
        <w:rPr>
          <w:rFonts w:ascii="Arial" w:hAnsi="Arial" w:cs="Arial"/>
        </w:rPr>
        <w:t>Espaldon</w:t>
      </w:r>
      <w:proofErr w:type="spellEnd"/>
      <w:r w:rsidRPr="00622C85">
        <w:rPr>
          <w:rFonts w:ascii="Arial" w:hAnsi="Arial" w:cs="Arial"/>
        </w:rPr>
        <w:t xml:space="preserve">, 2014; </w:t>
      </w:r>
      <w:proofErr w:type="spellStart"/>
      <w:r w:rsidRPr="00622C85">
        <w:rPr>
          <w:rFonts w:ascii="Arial" w:hAnsi="Arial" w:cs="Arial"/>
        </w:rPr>
        <w:t>Verchot</w:t>
      </w:r>
      <w:proofErr w:type="spellEnd"/>
      <w:r w:rsidRPr="00622C85">
        <w:rPr>
          <w:rFonts w:ascii="Arial" w:hAnsi="Arial" w:cs="Arial"/>
        </w:rPr>
        <w:t xml:space="preserve"> et al., 2007; Nguyen, 2023; Rahman et al., 2021).</w:t>
      </w:r>
    </w:p>
    <w:p w14:paraId="09F1EF39" w14:textId="77777777" w:rsidR="00622C85" w:rsidRPr="00622C85" w:rsidRDefault="00622C85" w:rsidP="00622C85">
      <w:pPr>
        <w:pStyle w:val="Body"/>
        <w:rPr>
          <w:rFonts w:ascii="Arial" w:hAnsi="Arial" w:cs="Arial"/>
        </w:rPr>
      </w:pPr>
      <w:r w:rsidRPr="00622C85">
        <w:rPr>
          <w:rFonts w:ascii="Arial" w:hAnsi="Arial" w:cs="Arial"/>
        </w:rPr>
        <w:t xml:space="preserve">The presence of trees also enriches soil organic carbon and nitrogen, increasing its capacity to retain moisture and nutrients. According to </w:t>
      </w:r>
      <w:proofErr w:type="spellStart"/>
      <w:r w:rsidRPr="00622C85">
        <w:rPr>
          <w:rFonts w:ascii="Arial" w:hAnsi="Arial" w:cs="Arial"/>
        </w:rPr>
        <w:t>Beillouin</w:t>
      </w:r>
      <w:proofErr w:type="spellEnd"/>
      <w:r w:rsidRPr="00622C85">
        <w:rPr>
          <w:rFonts w:ascii="Arial" w:hAnsi="Arial" w:cs="Arial"/>
        </w:rPr>
        <w:t xml:space="preserve"> et al. (2020), agroforestry systems globally reduce soil erosion by about 50%, increase soil organic carbon by 21%, and enhance available nitrogen by 46% compared to conventional monocropping. These improvements strengthen both farm productivity and carbon storage showing how ecological adaptation and climate mitigation operate hand in hand (Garcia-de-</w:t>
      </w:r>
      <w:proofErr w:type="spellStart"/>
      <w:r w:rsidRPr="00622C85">
        <w:rPr>
          <w:rFonts w:ascii="Arial" w:hAnsi="Arial" w:cs="Arial"/>
        </w:rPr>
        <w:t>Jalón</w:t>
      </w:r>
      <w:proofErr w:type="spellEnd"/>
      <w:r w:rsidRPr="00622C85">
        <w:rPr>
          <w:rFonts w:ascii="Arial" w:hAnsi="Arial" w:cs="Arial"/>
        </w:rPr>
        <w:t>, Graves, &amp; Smith, 2024; Nair, Mohan Kumar, &amp; Nair, 2024).</w:t>
      </w:r>
    </w:p>
    <w:p w14:paraId="21730233" w14:textId="77777777" w:rsidR="00622C85" w:rsidRPr="00622C85" w:rsidRDefault="00622C85" w:rsidP="00622C85">
      <w:pPr>
        <w:pStyle w:val="Body"/>
        <w:rPr>
          <w:rFonts w:ascii="Arial" w:hAnsi="Arial" w:cs="Arial"/>
          <w:b/>
          <w:bCs/>
        </w:rPr>
      </w:pPr>
      <w:r w:rsidRPr="00622C85">
        <w:rPr>
          <w:rFonts w:ascii="Arial" w:hAnsi="Arial" w:cs="Arial"/>
          <w:b/>
          <w:bCs/>
        </w:rPr>
        <w:lastRenderedPageBreak/>
        <w:t>Evidence from the Philippines</w:t>
      </w:r>
    </w:p>
    <w:p w14:paraId="5428239C" w14:textId="77777777" w:rsidR="00622C85" w:rsidRPr="00622C85" w:rsidRDefault="00622C85" w:rsidP="00622C85">
      <w:pPr>
        <w:pStyle w:val="Body"/>
        <w:rPr>
          <w:rFonts w:ascii="Arial" w:hAnsi="Arial" w:cs="Arial"/>
        </w:rPr>
      </w:pPr>
      <w:r w:rsidRPr="00622C85">
        <w:rPr>
          <w:rFonts w:ascii="Arial" w:hAnsi="Arial" w:cs="Arial"/>
        </w:rPr>
        <w:t>Empirical studies in the Philippines show that agroforestry systems significantly contribute to carbon sequestration while improving farm resilience. In Zamboanga City, for example, rubber-based and fruit-based agroforestry systems store approximately 217–250 tons of CO</w:t>
      </w:r>
      <w:r w:rsidRPr="00622C85">
        <w:rPr>
          <w:rFonts w:ascii="Cambria Math" w:hAnsi="Cambria Math" w:cs="Cambria Math"/>
        </w:rPr>
        <w:t>₂</w:t>
      </w:r>
      <w:r w:rsidRPr="00622C85">
        <w:rPr>
          <w:rFonts w:ascii="Arial" w:hAnsi="Arial" w:cs="Arial"/>
        </w:rPr>
        <w:t xml:space="preserve"> equivalent per hectare, while simultaneously supporting diverse livelihoods and protecting local watersheds (</w:t>
      </w:r>
      <w:proofErr w:type="spellStart"/>
      <w:r w:rsidRPr="00622C85">
        <w:rPr>
          <w:rFonts w:ascii="Arial" w:hAnsi="Arial" w:cs="Arial"/>
        </w:rPr>
        <w:t>Tabal</w:t>
      </w:r>
      <w:proofErr w:type="spellEnd"/>
      <w:r w:rsidRPr="00622C85">
        <w:rPr>
          <w:rFonts w:ascii="Arial" w:hAnsi="Arial" w:cs="Arial"/>
        </w:rPr>
        <w:t xml:space="preserve"> &amp; Mendoza, 2020). Similarly, assessments in Benguet found high carbon densities in integrated systems such as chayote- and anthurium-based agroforestry, with stocks ranging from 156 to 208 tons per hectare comparable to secondary forest stands (</w:t>
      </w:r>
      <w:proofErr w:type="spellStart"/>
      <w:r w:rsidRPr="00622C85">
        <w:rPr>
          <w:rFonts w:ascii="Arial" w:hAnsi="Arial" w:cs="Arial"/>
        </w:rPr>
        <w:t>Lumogdang</w:t>
      </w:r>
      <w:proofErr w:type="spellEnd"/>
      <w:r w:rsidRPr="00622C85">
        <w:rPr>
          <w:rFonts w:ascii="Arial" w:hAnsi="Arial" w:cs="Arial"/>
        </w:rPr>
        <w:t xml:space="preserve">, </w:t>
      </w:r>
      <w:proofErr w:type="spellStart"/>
      <w:r w:rsidRPr="00622C85">
        <w:rPr>
          <w:rFonts w:ascii="Arial" w:hAnsi="Arial" w:cs="Arial"/>
        </w:rPr>
        <w:t>Madalmingan</w:t>
      </w:r>
      <w:proofErr w:type="spellEnd"/>
      <w:r w:rsidRPr="00622C85">
        <w:rPr>
          <w:rFonts w:ascii="Arial" w:hAnsi="Arial" w:cs="Arial"/>
        </w:rPr>
        <w:t xml:space="preserve">, &amp; </w:t>
      </w:r>
      <w:proofErr w:type="spellStart"/>
      <w:r w:rsidRPr="00622C85">
        <w:rPr>
          <w:rFonts w:ascii="Arial" w:hAnsi="Arial" w:cs="Arial"/>
        </w:rPr>
        <w:t>Caluboy</w:t>
      </w:r>
      <w:proofErr w:type="spellEnd"/>
      <w:r w:rsidRPr="00622C85">
        <w:rPr>
          <w:rFonts w:ascii="Arial" w:hAnsi="Arial" w:cs="Arial"/>
        </w:rPr>
        <w:t>, 2023).</w:t>
      </w:r>
    </w:p>
    <w:p w14:paraId="22EB03A5" w14:textId="77777777" w:rsidR="00622C85" w:rsidRPr="00622C85" w:rsidRDefault="00622C85" w:rsidP="00622C85">
      <w:pPr>
        <w:pStyle w:val="Body"/>
        <w:rPr>
          <w:rFonts w:ascii="Arial" w:hAnsi="Arial" w:cs="Arial"/>
        </w:rPr>
      </w:pPr>
      <w:r w:rsidRPr="00622C85">
        <w:rPr>
          <w:rFonts w:ascii="Arial" w:hAnsi="Arial" w:cs="Arial"/>
        </w:rPr>
        <w:t xml:space="preserve">These systems do not only mitigate climate change but also help farmers adapt to it. For instance, in Bukidnon and Misamis Oriental, Eucalyptus </w:t>
      </w:r>
      <w:proofErr w:type="spellStart"/>
      <w:r w:rsidRPr="00622C85">
        <w:rPr>
          <w:rFonts w:ascii="Arial" w:hAnsi="Arial" w:cs="Arial"/>
        </w:rPr>
        <w:t>deglupta</w:t>
      </w:r>
      <w:proofErr w:type="spellEnd"/>
      <w:r w:rsidRPr="00622C85">
        <w:rPr>
          <w:rFonts w:ascii="Arial" w:hAnsi="Arial" w:cs="Arial"/>
        </w:rPr>
        <w:t xml:space="preserve"> (</w:t>
      </w:r>
      <w:proofErr w:type="spellStart"/>
      <w:r w:rsidRPr="00622C85">
        <w:rPr>
          <w:rFonts w:ascii="Arial" w:hAnsi="Arial" w:cs="Arial"/>
        </w:rPr>
        <w:t>bagras</w:t>
      </w:r>
      <w:proofErr w:type="spellEnd"/>
      <w:r w:rsidRPr="00622C85">
        <w:rPr>
          <w:rFonts w:ascii="Arial" w:hAnsi="Arial" w:cs="Arial"/>
        </w:rPr>
        <w:t>)–corn boundary planting systems improved soil stability and maintained productivity during drought periods, while accumulating up to 24.4 megagrams of biomass per hectare annually as they matured (</w:t>
      </w:r>
      <w:proofErr w:type="spellStart"/>
      <w:r w:rsidRPr="00622C85">
        <w:rPr>
          <w:rFonts w:ascii="Arial" w:hAnsi="Arial" w:cs="Arial"/>
        </w:rPr>
        <w:t>Lasco</w:t>
      </w:r>
      <w:proofErr w:type="spellEnd"/>
      <w:r w:rsidRPr="00622C85">
        <w:rPr>
          <w:rFonts w:ascii="Arial" w:hAnsi="Arial" w:cs="Arial"/>
        </w:rPr>
        <w:t xml:space="preserve"> &amp; </w:t>
      </w:r>
      <w:proofErr w:type="spellStart"/>
      <w:r w:rsidRPr="00622C85">
        <w:rPr>
          <w:rFonts w:ascii="Arial" w:hAnsi="Arial" w:cs="Arial"/>
        </w:rPr>
        <w:t>Pulhin</w:t>
      </w:r>
      <w:proofErr w:type="spellEnd"/>
      <w:r w:rsidRPr="00622C85">
        <w:rPr>
          <w:rFonts w:ascii="Arial" w:hAnsi="Arial" w:cs="Arial"/>
        </w:rPr>
        <w:t>, 2003). Farmers benefit through diversified harvests and reduced erosion, while carbon sequestration occurs naturally through tree growth and soil improvement (</w:t>
      </w:r>
      <w:proofErr w:type="spellStart"/>
      <w:r w:rsidRPr="00622C85">
        <w:rPr>
          <w:rFonts w:ascii="Arial" w:hAnsi="Arial" w:cs="Arial"/>
        </w:rPr>
        <w:t>Mulyoutami</w:t>
      </w:r>
      <w:proofErr w:type="spellEnd"/>
      <w:r w:rsidRPr="00622C85">
        <w:rPr>
          <w:rFonts w:ascii="Arial" w:hAnsi="Arial" w:cs="Arial"/>
        </w:rPr>
        <w:t xml:space="preserve">, Martini, &amp; Joshi, 2021; </w:t>
      </w:r>
      <w:proofErr w:type="spellStart"/>
      <w:r w:rsidRPr="00622C85">
        <w:rPr>
          <w:rFonts w:ascii="Arial" w:hAnsi="Arial" w:cs="Arial"/>
        </w:rPr>
        <w:t>Wijitkosum</w:t>
      </w:r>
      <w:proofErr w:type="spellEnd"/>
      <w:r w:rsidRPr="00622C85">
        <w:rPr>
          <w:rFonts w:ascii="Arial" w:hAnsi="Arial" w:cs="Arial"/>
        </w:rPr>
        <w:t xml:space="preserve"> &amp; </w:t>
      </w:r>
      <w:proofErr w:type="spellStart"/>
      <w:r w:rsidRPr="00622C85">
        <w:rPr>
          <w:rFonts w:ascii="Arial" w:hAnsi="Arial" w:cs="Arial"/>
        </w:rPr>
        <w:t>Sriburi</w:t>
      </w:r>
      <w:proofErr w:type="spellEnd"/>
      <w:r w:rsidRPr="00622C85">
        <w:rPr>
          <w:rFonts w:ascii="Arial" w:hAnsi="Arial" w:cs="Arial"/>
        </w:rPr>
        <w:t>, 2023).</w:t>
      </w:r>
    </w:p>
    <w:p w14:paraId="2CF7A0F7" w14:textId="77777777" w:rsidR="00622C85" w:rsidRPr="00622C85" w:rsidRDefault="00622C85" w:rsidP="00622C85">
      <w:pPr>
        <w:pStyle w:val="Body"/>
        <w:rPr>
          <w:rFonts w:ascii="Arial" w:hAnsi="Arial" w:cs="Arial"/>
        </w:rPr>
      </w:pPr>
      <w:r w:rsidRPr="00622C85">
        <w:rPr>
          <w:rFonts w:ascii="Arial" w:hAnsi="Arial" w:cs="Arial"/>
        </w:rPr>
        <w:t>Globally, such results are consistent. Nair, Mohan Kumar, and Nair (2024) found that agroforestry systems enhance soil carbon by 10.7% and total nitrogen by 9.5% compared to monocultures, while Garcia-de-</w:t>
      </w:r>
      <w:proofErr w:type="spellStart"/>
      <w:r w:rsidRPr="00622C85">
        <w:rPr>
          <w:rFonts w:ascii="Arial" w:hAnsi="Arial" w:cs="Arial"/>
        </w:rPr>
        <w:t>Jalón</w:t>
      </w:r>
      <w:proofErr w:type="spellEnd"/>
      <w:r w:rsidRPr="00622C85">
        <w:rPr>
          <w:rFonts w:ascii="Arial" w:hAnsi="Arial" w:cs="Arial"/>
        </w:rPr>
        <w:t>, Graves, and Smith (2024) reported a 23% average increase in biodiversity and ecosystem services in tree-integrated farms. In Vietnam, the total carbon storage in existing agroforestry landscapes is estimated at 1,346 million tons of CO</w:t>
      </w:r>
      <w:r w:rsidRPr="00622C85">
        <w:rPr>
          <w:rFonts w:ascii="Cambria Math" w:hAnsi="Cambria Math" w:cs="Cambria Math"/>
        </w:rPr>
        <w:t>₂</w:t>
      </w:r>
      <w:r w:rsidRPr="00622C85">
        <w:rPr>
          <w:rFonts w:ascii="Arial" w:hAnsi="Arial" w:cs="Arial"/>
        </w:rPr>
        <w:t xml:space="preserve"> equivalent, with an additional potential of 2.3–44 million tons if expanded to suitable lands (Pham, </w:t>
      </w:r>
      <w:proofErr w:type="spellStart"/>
      <w:r w:rsidRPr="00622C85">
        <w:rPr>
          <w:rFonts w:ascii="Arial" w:hAnsi="Arial" w:cs="Arial"/>
        </w:rPr>
        <w:t>Moeliono</w:t>
      </w:r>
      <w:proofErr w:type="spellEnd"/>
      <w:r w:rsidRPr="00622C85">
        <w:rPr>
          <w:rFonts w:ascii="Arial" w:hAnsi="Arial" w:cs="Arial"/>
        </w:rPr>
        <w:t xml:space="preserve">, &amp; Le, 2020; </w:t>
      </w:r>
      <w:proofErr w:type="spellStart"/>
      <w:r w:rsidRPr="00622C85">
        <w:rPr>
          <w:rFonts w:ascii="Arial" w:hAnsi="Arial" w:cs="Arial"/>
        </w:rPr>
        <w:t>Sutthacharoen</w:t>
      </w:r>
      <w:proofErr w:type="spellEnd"/>
      <w:r w:rsidRPr="00622C85">
        <w:rPr>
          <w:rFonts w:ascii="Arial" w:hAnsi="Arial" w:cs="Arial"/>
        </w:rPr>
        <w:t xml:space="preserve">, </w:t>
      </w:r>
      <w:proofErr w:type="spellStart"/>
      <w:r w:rsidRPr="00622C85">
        <w:rPr>
          <w:rFonts w:ascii="Arial" w:hAnsi="Arial" w:cs="Arial"/>
        </w:rPr>
        <w:t>Phonphakdee</w:t>
      </w:r>
      <w:proofErr w:type="spellEnd"/>
      <w:r w:rsidRPr="00622C85">
        <w:rPr>
          <w:rFonts w:ascii="Arial" w:hAnsi="Arial" w:cs="Arial"/>
        </w:rPr>
        <w:t xml:space="preserve">, &amp; </w:t>
      </w:r>
      <w:proofErr w:type="spellStart"/>
      <w:r w:rsidRPr="00622C85">
        <w:rPr>
          <w:rFonts w:ascii="Arial" w:hAnsi="Arial" w:cs="Arial"/>
        </w:rPr>
        <w:t>Thongdonphum</w:t>
      </w:r>
      <w:proofErr w:type="spellEnd"/>
      <w:r w:rsidRPr="00622C85">
        <w:rPr>
          <w:rFonts w:ascii="Arial" w:hAnsi="Arial" w:cs="Arial"/>
        </w:rPr>
        <w:t xml:space="preserve">, 2022; van </w:t>
      </w:r>
      <w:proofErr w:type="spellStart"/>
      <w:r w:rsidRPr="00622C85">
        <w:rPr>
          <w:rFonts w:ascii="Arial" w:hAnsi="Arial" w:cs="Arial"/>
        </w:rPr>
        <w:t>Noordwijk</w:t>
      </w:r>
      <w:proofErr w:type="spellEnd"/>
      <w:r w:rsidRPr="00622C85">
        <w:rPr>
          <w:rFonts w:ascii="Arial" w:hAnsi="Arial" w:cs="Arial"/>
        </w:rPr>
        <w:t xml:space="preserve"> et al., 2023).</w:t>
      </w:r>
    </w:p>
    <w:p w14:paraId="32E6FD45" w14:textId="77777777" w:rsidR="00622C85" w:rsidRPr="00622C85" w:rsidRDefault="00622C85" w:rsidP="00622C85">
      <w:pPr>
        <w:pStyle w:val="Body"/>
        <w:rPr>
          <w:rFonts w:ascii="Arial" w:hAnsi="Arial" w:cs="Arial"/>
          <w:b/>
          <w:bCs/>
        </w:rPr>
      </w:pPr>
      <w:r w:rsidRPr="00622C85">
        <w:rPr>
          <w:rFonts w:ascii="Arial" w:hAnsi="Arial" w:cs="Arial"/>
          <w:b/>
          <w:bCs/>
        </w:rPr>
        <w:t>Navigating Trade-offs</w:t>
      </w:r>
    </w:p>
    <w:p w14:paraId="628F1C3A" w14:textId="77777777" w:rsidR="00622C85" w:rsidRPr="00622C85" w:rsidRDefault="00622C85" w:rsidP="00622C85">
      <w:pPr>
        <w:pStyle w:val="Body"/>
        <w:rPr>
          <w:rFonts w:ascii="Arial" w:hAnsi="Arial" w:cs="Arial"/>
        </w:rPr>
      </w:pPr>
      <w:r w:rsidRPr="00622C85">
        <w:rPr>
          <w:rFonts w:ascii="Arial" w:hAnsi="Arial" w:cs="Arial"/>
        </w:rPr>
        <w:t xml:space="preserve">While the synergies are promising, challenges remain. High tree density can sometimes reduce crop yields due to shading or competition for water and nutrients, particularly in early years (Lasco et al., 2014). Moreover, farmers often face economic time lags between planting trees and harvesting returns. Without financial incentives or secure land tenure, many hesitate to invest in long-term tree systems (Ajayi, </w:t>
      </w:r>
      <w:proofErr w:type="spellStart"/>
      <w:r w:rsidRPr="00622C85">
        <w:rPr>
          <w:rFonts w:ascii="Arial" w:hAnsi="Arial" w:cs="Arial"/>
        </w:rPr>
        <w:t>Akinnifesi</w:t>
      </w:r>
      <w:proofErr w:type="spellEnd"/>
      <w:r w:rsidRPr="00622C85">
        <w:rPr>
          <w:rFonts w:ascii="Arial" w:hAnsi="Arial" w:cs="Arial"/>
        </w:rPr>
        <w:t xml:space="preserve">, </w:t>
      </w:r>
      <w:proofErr w:type="spellStart"/>
      <w:r w:rsidRPr="00622C85">
        <w:rPr>
          <w:rFonts w:ascii="Arial" w:hAnsi="Arial" w:cs="Arial"/>
        </w:rPr>
        <w:t>Sileshi</w:t>
      </w:r>
      <w:proofErr w:type="spellEnd"/>
      <w:r w:rsidRPr="00622C85">
        <w:rPr>
          <w:rFonts w:ascii="Arial" w:hAnsi="Arial" w:cs="Arial"/>
        </w:rPr>
        <w:t xml:space="preserve">, &amp; </w:t>
      </w:r>
      <w:proofErr w:type="spellStart"/>
      <w:r w:rsidRPr="00622C85">
        <w:rPr>
          <w:rFonts w:ascii="Arial" w:hAnsi="Arial" w:cs="Arial"/>
        </w:rPr>
        <w:t>Chakeredza</w:t>
      </w:r>
      <w:proofErr w:type="spellEnd"/>
      <w:r w:rsidRPr="00622C85">
        <w:rPr>
          <w:rFonts w:ascii="Arial" w:hAnsi="Arial" w:cs="Arial"/>
        </w:rPr>
        <w:t>, 2011; Rizvi, 2021).</w:t>
      </w:r>
    </w:p>
    <w:p w14:paraId="273AC6F2" w14:textId="77777777" w:rsidR="00622C85" w:rsidRPr="00622C85" w:rsidRDefault="00622C85" w:rsidP="00622C85">
      <w:pPr>
        <w:pStyle w:val="Body"/>
        <w:rPr>
          <w:rFonts w:ascii="Arial" w:hAnsi="Arial" w:cs="Arial"/>
        </w:rPr>
      </w:pPr>
      <w:r w:rsidRPr="00622C85">
        <w:rPr>
          <w:rFonts w:ascii="Arial" w:hAnsi="Arial" w:cs="Arial"/>
        </w:rPr>
        <w:t xml:space="preserve">Nevertheless, these challenges can be addressed through enabling policies and institutional support. The Philippine Climate Change Act of 2009 and the Community-Based Forest Management (CBFM) program have already provided frameworks that link forest restoration, agroforestry, and climate action. Agroforestry’s inclusion in the country’s Nationally Determined Contributions (NDCs) further recognizes its potential as a nature-based climate solution that benefits both people and the planet (Department of Environment and Natural Resources, 2022; </w:t>
      </w:r>
      <w:proofErr w:type="spellStart"/>
      <w:r w:rsidRPr="00622C85">
        <w:rPr>
          <w:rFonts w:ascii="Arial" w:hAnsi="Arial" w:cs="Arial"/>
        </w:rPr>
        <w:t>Sutthacharoen</w:t>
      </w:r>
      <w:proofErr w:type="spellEnd"/>
      <w:r w:rsidRPr="00622C85">
        <w:rPr>
          <w:rFonts w:ascii="Arial" w:hAnsi="Arial" w:cs="Arial"/>
        </w:rPr>
        <w:t xml:space="preserve"> et al., 2022).</w:t>
      </w:r>
    </w:p>
    <w:p w14:paraId="14EEFEA5" w14:textId="77777777" w:rsidR="00622C85" w:rsidRPr="00622C85" w:rsidRDefault="00622C85" w:rsidP="00622C85">
      <w:pPr>
        <w:pStyle w:val="Body"/>
        <w:rPr>
          <w:rFonts w:ascii="Arial" w:hAnsi="Arial" w:cs="Arial"/>
          <w:b/>
          <w:bCs/>
        </w:rPr>
      </w:pPr>
      <w:r w:rsidRPr="00622C85">
        <w:rPr>
          <w:rFonts w:ascii="Arial" w:hAnsi="Arial" w:cs="Arial"/>
          <w:b/>
          <w:bCs/>
        </w:rPr>
        <w:t>A Human-Centered Approach to Synergy</w:t>
      </w:r>
    </w:p>
    <w:p w14:paraId="4705637F" w14:textId="2FABB36B" w:rsidR="00622C85" w:rsidRDefault="00622C85" w:rsidP="00622C85">
      <w:pPr>
        <w:pStyle w:val="Body"/>
        <w:spacing w:after="0"/>
        <w:rPr>
          <w:rFonts w:ascii="Arial" w:hAnsi="Arial" w:cs="Arial"/>
        </w:rPr>
      </w:pPr>
      <w:r w:rsidRPr="00622C85">
        <w:rPr>
          <w:rFonts w:ascii="Arial" w:hAnsi="Arial" w:cs="Arial"/>
        </w:rPr>
        <w:t xml:space="preserve">The strength of agroforestry lies not only in its ecological benefits but also in its human dimension. For Filipino smallholders, trees represent continuity an investment in the future. As one farmer expressed in a field interview from Landicho et al. (2016), “When we plant trees, we plant life for our children and for our land.” This statement captures the essence of adaptation–mitigation synergy: that resilience is not built by technology alone, but by the </w:t>
      </w:r>
      <w:r w:rsidRPr="00622C85">
        <w:rPr>
          <w:rFonts w:ascii="Arial" w:hAnsi="Arial" w:cs="Arial"/>
        </w:rPr>
        <w:lastRenderedPageBreak/>
        <w:t xml:space="preserve">enduring relationship between people and their environment (Sida et al., 2022; </w:t>
      </w:r>
      <w:proofErr w:type="spellStart"/>
      <w:r w:rsidRPr="00622C85">
        <w:rPr>
          <w:rFonts w:ascii="Arial" w:hAnsi="Arial" w:cs="Arial"/>
        </w:rPr>
        <w:t>Ndayambaje</w:t>
      </w:r>
      <w:proofErr w:type="spellEnd"/>
      <w:r w:rsidRPr="00622C85">
        <w:rPr>
          <w:rFonts w:ascii="Arial" w:hAnsi="Arial" w:cs="Arial"/>
        </w:rPr>
        <w:t xml:space="preserve"> et al., 2023; </w:t>
      </w:r>
      <w:proofErr w:type="spellStart"/>
      <w:r w:rsidRPr="00622C85">
        <w:rPr>
          <w:rFonts w:ascii="Arial" w:hAnsi="Arial" w:cs="Arial"/>
        </w:rPr>
        <w:t>Montagnini</w:t>
      </w:r>
      <w:proofErr w:type="spellEnd"/>
      <w:r w:rsidRPr="00622C85">
        <w:rPr>
          <w:rFonts w:ascii="Arial" w:hAnsi="Arial" w:cs="Arial"/>
        </w:rPr>
        <w:t xml:space="preserve"> &amp; </w:t>
      </w:r>
      <w:proofErr w:type="spellStart"/>
      <w:r w:rsidRPr="00622C85">
        <w:rPr>
          <w:rFonts w:ascii="Arial" w:hAnsi="Arial" w:cs="Arial"/>
        </w:rPr>
        <w:t>Metzel</w:t>
      </w:r>
      <w:proofErr w:type="spellEnd"/>
      <w:r w:rsidRPr="00622C85">
        <w:rPr>
          <w:rFonts w:ascii="Arial" w:hAnsi="Arial" w:cs="Arial"/>
        </w:rPr>
        <w:t>, 2020).</w:t>
      </w:r>
    </w:p>
    <w:p w14:paraId="016A912C" w14:textId="77777777" w:rsidR="00F3494B" w:rsidRDefault="00F3494B" w:rsidP="00622C85">
      <w:pPr>
        <w:pStyle w:val="Body"/>
        <w:spacing w:after="0"/>
        <w:rPr>
          <w:rFonts w:ascii="Arial" w:hAnsi="Arial" w:cs="Arial"/>
        </w:rPr>
      </w:pPr>
    </w:p>
    <w:p w14:paraId="7D022200" w14:textId="5B68981D" w:rsidR="00F3494B" w:rsidRDefault="00523482" w:rsidP="00F3494B">
      <w:pPr>
        <w:pStyle w:val="Head1"/>
        <w:spacing w:after="0"/>
        <w:jc w:val="both"/>
        <w:rPr>
          <w:rFonts w:ascii="Arial" w:hAnsi="Arial" w:cs="Arial"/>
        </w:rPr>
      </w:pPr>
      <w:r>
        <w:rPr>
          <w:rFonts w:ascii="Arial" w:hAnsi="Arial" w:cs="Arial"/>
        </w:rPr>
        <w:t>7</w:t>
      </w:r>
      <w:r w:rsidR="00F3494B">
        <w:rPr>
          <w:rFonts w:ascii="Arial" w:hAnsi="Arial" w:cs="Arial"/>
        </w:rPr>
        <w:t>. STRENGHTS OF THE REVIEWED STUDIES</w:t>
      </w:r>
    </w:p>
    <w:p w14:paraId="55DF5DDF" w14:textId="77777777" w:rsidR="00F3494B" w:rsidRPr="00FB3A86" w:rsidRDefault="00F3494B" w:rsidP="00F3494B">
      <w:pPr>
        <w:pStyle w:val="Head1"/>
        <w:spacing w:after="0"/>
        <w:jc w:val="both"/>
        <w:rPr>
          <w:rFonts w:ascii="Arial" w:hAnsi="Arial" w:cs="Arial"/>
        </w:rPr>
      </w:pPr>
    </w:p>
    <w:p w14:paraId="3B1E1A68" w14:textId="77777777" w:rsidR="00F3494B" w:rsidRPr="00F3494B" w:rsidRDefault="00F3494B" w:rsidP="00F3494B">
      <w:pPr>
        <w:pStyle w:val="Body"/>
        <w:rPr>
          <w:rFonts w:ascii="Arial" w:hAnsi="Arial" w:cs="Arial"/>
        </w:rPr>
      </w:pPr>
      <w:r w:rsidRPr="00F3494B">
        <w:rPr>
          <w:rFonts w:ascii="Arial" w:hAnsi="Arial" w:cs="Arial"/>
        </w:rPr>
        <w:t>The six reviewed studies provide strong and useful insights into how agroforestry supports smallholder farmers in adapting to climate change. One clear strength is that most studies use community-based and participatory approaches, allowing farmers to share their own experiences and traditional knowledge about climate and farming (Evangelista, Cruz, &amp; Lasco, 2016; Galang &amp; Vaughter, 2020).</w:t>
      </w:r>
    </w:p>
    <w:p w14:paraId="0CE7E73E" w14:textId="77777777" w:rsidR="00F3494B" w:rsidRPr="00F3494B" w:rsidRDefault="00F3494B" w:rsidP="00F3494B">
      <w:pPr>
        <w:pStyle w:val="Body"/>
        <w:rPr>
          <w:rFonts w:ascii="Arial" w:hAnsi="Arial" w:cs="Arial"/>
        </w:rPr>
      </w:pPr>
      <w:r w:rsidRPr="00F3494B">
        <w:rPr>
          <w:rFonts w:ascii="Arial" w:hAnsi="Arial" w:cs="Arial"/>
        </w:rPr>
        <w:t>Another strength is their balanced focus on both environmental and livelihood outcomes. The studies show that agroforestry not only improves soil health and water conservation but also increases income and food security for farming families (</w:t>
      </w:r>
      <w:proofErr w:type="spellStart"/>
      <w:r w:rsidRPr="00F3494B">
        <w:rPr>
          <w:rFonts w:ascii="Arial" w:hAnsi="Arial" w:cs="Arial"/>
        </w:rPr>
        <w:t>Lasco</w:t>
      </w:r>
      <w:proofErr w:type="spellEnd"/>
      <w:r w:rsidRPr="00F3494B">
        <w:rPr>
          <w:rFonts w:ascii="Arial" w:hAnsi="Arial" w:cs="Arial"/>
        </w:rPr>
        <w:t xml:space="preserve">, </w:t>
      </w:r>
      <w:proofErr w:type="spellStart"/>
      <w:r w:rsidRPr="00F3494B">
        <w:rPr>
          <w:rFonts w:ascii="Arial" w:hAnsi="Arial" w:cs="Arial"/>
        </w:rPr>
        <w:t>Delfino</w:t>
      </w:r>
      <w:proofErr w:type="spellEnd"/>
      <w:r w:rsidRPr="00F3494B">
        <w:rPr>
          <w:rFonts w:ascii="Arial" w:hAnsi="Arial" w:cs="Arial"/>
        </w:rPr>
        <w:t xml:space="preserve">, &amp; </w:t>
      </w:r>
      <w:proofErr w:type="spellStart"/>
      <w:r w:rsidRPr="00F3494B">
        <w:rPr>
          <w:rFonts w:ascii="Arial" w:hAnsi="Arial" w:cs="Arial"/>
        </w:rPr>
        <w:t>Espaldon</w:t>
      </w:r>
      <w:proofErr w:type="spellEnd"/>
      <w:r w:rsidRPr="00F3494B">
        <w:rPr>
          <w:rFonts w:ascii="Arial" w:hAnsi="Arial" w:cs="Arial"/>
        </w:rPr>
        <w:t xml:space="preserve">, 2014; </w:t>
      </w:r>
      <w:proofErr w:type="spellStart"/>
      <w:r w:rsidRPr="00F3494B">
        <w:rPr>
          <w:rFonts w:ascii="Arial" w:hAnsi="Arial" w:cs="Arial"/>
        </w:rPr>
        <w:t>Landicho</w:t>
      </w:r>
      <w:proofErr w:type="spellEnd"/>
      <w:r w:rsidRPr="00F3494B">
        <w:rPr>
          <w:rFonts w:ascii="Arial" w:hAnsi="Arial" w:cs="Arial"/>
        </w:rPr>
        <w:t xml:space="preserve">, </w:t>
      </w:r>
      <w:proofErr w:type="spellStart"/>
      <w:r w:rsidRPr="00F3494B">
        <w:rPr>
          <w:rFonts w:ascii="Arial" w:hAnsi="Arial" w:cs="Arial"/>
        </w:rPr>
        <w:t>Paelmo</w:t>
      </w:r>
      <w:proofErr w:type="spellEnd"/>
      <w:r w:rsidRPr="00F3494B">
        <w:rPr>
          <w:rFonts w:ascii="Arial" w:hAnsi="Arial" w:cs="Arial"/>
        </w:rPr>
        <w:t>, De Luna, &amp; Visco, 2016).</w:t>
      </w:r>
    </w:p>
    <w:p w14:paraId="0C37A3FF" w14:textId="2C2E4A60" w:rsidR="00F3494B" w:rsidRDefault="00F3494B" w:rsidP="00F3494B">
      <w:pPr>
        <w:pStyle w:val="Body"/>
        <w:spacing w:after="0"/>
        <w:rPr>
          <w:rFonts w:ascii="Arial" w:hAnsi="Arial" w:cs="Arial"/>
        </w:rPr>
      </w:pPr>
      <w:r w:rsidRPr="00F3494B">
        <w:rPr>
          <w:rFonts w:ascii="Arial" w:hAnsi="Arial" w:cs="Arial"/>
        </w:rPr>
        <w:t>Together, these works provide a strong foundation for understanding how agroforestry contributes to both adaptation and mitigation. They highlight the important role of Filipino farmers in building more resilient and sustainable communities.th of the Reviewed Studies</w:t>
      </w:r>
      <w:r>
        <w:rPr>
          <w:rFonts w:ascii="Arial" w:hAnsi="Arial" w:cs="Arial"/>
        </w:rPr>
        <w:t>.</w:t>
      </w:r>
    </w:p>
    <w:p w14:paraId="0CA559D4" w14:textId="77777777" w:rsidR="00F3494B" w:rsidRDefault="00F3494B" w:rsidP="00F3494B">
      <w:pPr>
        <w:pStyle w:val="Body"/>
        <w:spacing w:after="0"/>
        <w:rPr>
          <w:rFonts w:ascii="Arial" w:hAnsi="Arial" w:cs="Arial"/>
        </w:rPr>
      </w:pPr>
    </w:p>
    <w:p w14:paraId="758E2D5C" w14:textId="16BEF834" w:rsidR="00F3494B" w:rsidRDefault="00F3494B" w:rsidP="00F3494B">
      <w:pPr>
        <w:pStyle w:val="Head1"/>
        <w:spacing w:after="0"/>
        <w:jc w:val="both"/>
        <w:rPr>
          <w:rFonts w:ascii="Arial" w:hAnsi="Arial" w:cs="Arial"/>
        </w:rPr>
      </w:pPr>
      <w:r>
        <w:rPr>
          <w:rFonts w:ascii="Arial" w:hAnsi="Arial" w:cs="Arial"/>
        </w:rPr>
        <w:t>8. RESEARCH GAPS</w:t>
      </w:r>
    </w:p>
    <w:p w14:paraId="6A6F1270" w14:textId="77777777" w:rsidR="00F3494B" w:rsidRPr="00FB3A86" w:rsidRDefault="00F3494B" w:rsidP="00F3494B">
      <w:pPr>
        <w:pStyle w:val="Head1"/>
        <w:spacing w:after="0"/>
        <w:jc w:val="both"/>
        <w:rPr>
          <w:rFonts w:ascii="Arial" w:hAnsi="Arial" w:cs="Arial"/>
        </w:rPr>
      </w:pPr>
    </w:p>
    <w:p w14:paraId="6883DFA9" w14:textId="77777777" w:rsidR="00F3494B" w:rsidRPr="00F3494B" w:rsidRDefault="00F3494B" w:rsidP="00F3494B">
      <w:pPr>
        <w:pStyle w:val="Body"/>
        <w:rPr>
          <w:rFonts w:ascii="Arial" w:hAnsi="Arial" w:cs="Arial"/>
        </w:rPr>
      </w:pPr>
      <w:r w:rsidRPr="00F3494B">
        <w:rPr>
          <w:rFonts w:ascii="Arial" w:hAnsi="Arial" w:cs="Arial"/>
        </w:rPr>
        <w:t>Despite the growing evidence of agroforestry’s value, several critical research gaps remain that hinder the scaling-up of adoption and the realization of its full climate resilience potential in the Philippines. These gaps span scientific, socioeconomic, and policy dimensions.</w:t>
      </w:r>
    </w:p>
    <w:p w14:paraId="26283C00" w14:textId="77777777" w:rsidR="00F3494B" w:rsidRPr="00F3494B" w:rsidRDefault="00F3494B" w:rsidP="00F3494B">
      <w:pPr>
        <w:pStyle w:val="Body"/>
        <w:rPr>
          <w:rFonts w:ascii="Arial" w:hAnsi="Arial" w:cs="Arial"/>
        </w:rPr>
      </w:pPr>
      <w:r w:rsidRPr="00F3494B">
        <w:rPr>
          <w:rFonts w:ascii="Arial" w:hAnsi="Arial" w:cs="Arial"/>
        </w:rPr>
        <w:t>1. Limited Long-Term Empirical Data</w:t>
      </w:r>
    </w:p>
    <w:p w14:paraId="70928B29" w14:textId="77777777" w:rsidR="00F3494B" w:rsidRPr="00F3494B" w:rsidRDefault="00F3494B" w:rsidP="00F3494B">
      <w:pPr>
        <w:pStyle w:val="Body"/>
        <w:rPr>
          <w:rFonts w:ascii="Arial" w:hAnsi="Arial" w:cs="Arial"/>
        </w:rPr>
      </w:pPr>
      <w:r w:rsidRPr="00F3494B">
        <w:rPr>
          <w:rFonts w:ascii="Arial" w:hAnsi="Arial" w:cs="Arial"/>
        </w:rPr>
        <w:t>While numerous studies document the benefits of agroforestry, long-term quantitative data on carbon sequestration rates, yield stability, and soil carbon dynamics under varying management systems remain scarce in the Philippines. Most studies assess systems only within short timeframes (3–5 years), which underestimates long-term sequestration and ecosystem service potential (</w:t>
      </w:r>
      <w:proofErr w:type="spellStart"/>
      <w:r w:rsidRPr="00F3494B">
        <w:rPr>
          <w:rFonts w:ascii="Arial" w:hAnsi="Arial" w:cs="Arial"/>
        </w:rPr>
        <w:t>Lasco</w:t>
      </w:r>
      <w:proofErr w:type="spellEnd"/>
      <w:r w:rsidRPr="00F3494B">
        <w:rPr>
          <w:rFonts w:ascii="Arial" w:hAnsi="Arial" w:cs="Arial"/>
        </w:rPr>
        <w:t xml:space="preserve"> &amp; </w:t>
      </w:r>
      <w:proofErr w:type="spellStart"/>
      <w:r w:rsidRPr="00F3494B">
        <w:rPr>
          <w:rFonts w:ascii="Arial" w:hAnsi="Arial" w:cs="Arial"/>
        </w:rPr>
        <w:t>Pulhin</w:t>
      </w:r>
      <w:proofErr w:type="spellEnd"/>
      <w:r w:rsidRPr="00F3494B">
        <w:rPr>
          <w:rFonts w:ascii="Arial" w:hAnsi="Arial" w:cs="Arial"/>
        </w:rPr>
        <w:t xml:space="preserve">, 2003; </w:t>
      </w:r>
      <w:proofErr w:type="spellStart"/>
      <w:r w:rsidRPr="00F3494B">
        <w:rPr>
          <w:rFonts w:ascii="Arial" w:hAnsi="Arial" w:cs="Arial"/>
        </w:rPr>
        <w:t>Tabal</w:t>
      </w:r>
      <w:proofErr w:type="spellEnd"/>
      <w:r w:rsidRPr="00F3494B">
        <w:rPr>
          <w:rFonts w:ascii="Arial" w:hAnsi="Arial" w:cs="Arial"/>
        </w:rPr>
        <w:t xml:space="preserve"> &amp; Mendoza, 2020). Longitudinal field studies are needed to capture the cumulative effects of decades-long tree-crop interactions on both carbon stocks and livelihoods.</w:t>
      </w:r>
    </w:p>
    <w:p w14:paraId="40F1A8D1" w14:textId="77777777" w:rsidR="00F3494B" w:rsidRPr="00F3494B" w:rsidRDefault="00F3494B" w:rsidP="00F3494B">
      <w:pPr>
        <w:pStyle w:val="Body"/>
        <w:rPr>
          <w:rFonts w:ascii="Arial" w:hAnsi="Arial" w:cs="Arial"/>
        </w:rPr>
      </w:pPr>
      <w:r w:rsidRPr="00F3494B">
        <w:rPr>
          <w:rFonts w:ascii="Arial" w:hAnsi="Arial" w:cs="Arial"/>
        </w:rPr>
        <w:t>2. Fragmented Understanding of Farmers’ Adoption Behavior</w:t>
      </w:r>
    </w:p>
    <w:p w14:paraId="11E63CC2" w14:textId="77777777" w:rsidR="00F3494B" w:rsidRPr="00F3494B" w:rsidRDefault="00F3494B" w:rsidP="00F3494B">
      <w:pPr>
        <w:pStyle w:val="Body"/>
        <w:rPr>
          <w:rFonts w:ascii="Arial" w:hAnsi="Arial" w:cs="Arial"/>
        </w:rPr>
      </w:pPr>
      <w:r w:rsidRPr="00F3494B">
        <w:rPr>
          <w:rFonts w:ascii="Arial" w:hAnsi="Arial" w:cs="Arial"/>
        </w:rPr>
        <w:t>Although existing research has explored farmers’ knowledge and attitudes, few studies use behavioral or decision-making frameworks to understand how these perceptions translate into long-term adoption (Evangelista et al., 2016). The KAP model provides valuable insight, but integration with socioeconomic, gender, and cultural variables remains limited. Moreover, quantitative data on adoption rates and drivers across different regions of the Philippines are lacking. Nationally representative surveys could provide a clearer picture of where, why, and how smallholders adopt or reject agroforestry.</w:t>
      </w:r>
    </w:p>
    <w:p w14:paraId="48B5A85B" w14:textId="77777777" w:rsidR="00F3494B" w:rsidRPr="00F3494B" w:rsidRDefault="00F3494B" w:rsidP="00F3494B">
      <w:pPr>
        <w:pStyle w:val="Body"/>
        <w:rPr>
          <w:rFonts w:ascii="Arial" w:hAnsi="Arial" w:cs="Arial"/>
        </w:rPr>
      </w:pPr>
      <w:r w:rsidRPr="00F3494B">
        <w:rPr>
          <w:rFonts w:ascii="Arial" w:hAnsi="Arial" w:cs="Arial"/>
        </w:rPr>
        <w:t>3. Underrepresentation of Socioeconomic and Gender Perspectives</w:t>
      </w:r>
    </w:p>
    <w:p w14:paraId="7C0888A4" w14:textId="77777777" w:rsidR="00F3494B" w:rsidRPr="00F3494B" w:rsidRDefault="00F3494B" w:rsidP="00F3494B">
      <w:pPr>
        <w:pStyle w:val="Body"/>
        <w:rPr>
          <w:rFonts w:ascii="Arial" w:hAnsi="Arial" w:cs="Arial"/>
        </w:rPr>
      </w:pPr>
      <w:r w:rsidRPr="00F3494B">
        <w:rPr>
          <w:rFonts w:ascii="Arial" w:hAnsi="Arial" w:cs="Arial"/>
        </w:rPr>
        <w:t>Women’s roles in agroforestry are underexplored, despite their significant involvement in small-scale farming, seed management, and local marketing. Studies from other regions demonstrate that gender influences knowledge sharing, tree species selection, and adoption outcomes (</w:t>
      </w:r>
      <w:proofErr w:type="spellStart"/>
      <w:r w:rsidRPr="00F3494B">
        <w:rPr>
          <w:rFonts w:ascii="Arial" w:hAnsi="Arial" w:cs="Arial"/>
        </w:rPr>
        <w:t>Kiptot</w:t>
      </w:r>
      <w:proofErr w:type="spellEnd"/>
      <w:r w:rsidRPr="00F3494B">
        <w:rPr>
          <w:rFonts w:ascii="Arial" w:hAnsi="Arial" w:cs="Arial"/>
        </w:rPr>
        <w:t xml:space="preserve"> &amp; </w:t>
      </w:r>
      <w:proofErr w:type="spellStart"/>
      <w:r w:rsidRPr="00F3494B">
        <w:rPr>
          <w:rFonts w:ascii="Arial" w:hAnsi="Arial" w:cs="Arial"/>
        </w:rPr>
        <w:t>Franzel</w:t>
      </w:r>
      <w:proofErr w:type="spellEnd"/>
      <w:r w:rsidRPr="00F3494B">
        <w:rPr>
          <w:rFonts w:ascii="Arial" w:hAnsi="Arial" w:cs="Arial"/>
        </w:rPr>
        <w:t xml:space="preserve">, 2012). Philippine agroforestry research would benefit from </w:t>
      </w:r>
      <w:r w:rsidRPr="00F3494B">
        <w:rPr>
          <w:rFonts w:ascii="Arial" w:hAnsi="Arial" w:cs="Arial"/>
        </w:rPr>
        <w:lastRenderedPageBreak/>
        <w:t>incorporating gender-responsive and intersectional analyses to ensure inclusivity and equitable participation in adaptation programs.</w:t>
      </w:r>
    </w:p>
    <w:p w14:paraId="6E6EF6C2" w14:textId="77777777" w:rsidR="00F3494B" w:rsidRPr="00F3494B" w:rsidRDefault="00F3494B" w:rsidP="00F3494B">
      <w:pPr>
        <w:pStyle w:val="Body"/>
        <w:rPr>
          <w:rFonts w:ascii="Arial" w:hAnsi="Arial" w:cs="Arial"/>
        </w:rPr>
      </w:pPr>
      <w:r w:rsidRPr="00F3494B">
        <w:rPr>
          <w:rFonts w:ascii="Arial" w:hAnsi="Arial" w:cs="Arial"/>
        </w:rPr>
        <w:t>4. Weak Integration of Agroforestry into Climate Policy Evaluation</w:t>
      </w:r>
    </w:p>
    <w:p w14:paraId="31FD61FE" w14:textId="77777777" w:rsidR="00F3494B" w:rsidRPr="00F3494B" w:rsidRDefault="00F3494B" w:rsidP="00F3494B">
      <w:pPr>
        <w:pStyle w:val="Body"/>
        <w:rPr>
          <w:rFonts w:ascii="Arial" w:hAnsi="Arial" w:cs="Arial"/>
        </w:rPr>
      </w:pPr>
      <w:r w:rsidRPr="00F3494B">
        <w:rPr>
          <w:rFonts w:ascii="Arial" w:hAnsi="Arial" w:cs="Arial"/>
        </w:rPr>
        <w:t>Although agroforestry is mentioned in national policies like the NDCs and CBFM, policy evaluation mechanisms rarely assess how these frameworks impact smallholder adaptation and carbon sequestration outcomes. There is a need for robust monitoring, reporting, and verification (MRV) systems tailored to agroforestry, ensuring that carbon and livelihood benefits are quantified and recognized (Department of Environment and Natural Resources, 2022).</w:t>
      </w:r>
    </w:p>
    <w:p w14:paraId="60A52E4E" w14:textId="77777777" w:rsidR="00F3494B" w:rsidRPr="00F3494B" w:rsidRDefault="00F3494B" w:rsidP="00F3494B">
      <w:pPr>
        <w:pStyle w:val="Body"/>
        <w:rPr>
          <w:rFonts w:ascii="Arial" w:hAnsi="Arial" w:cs="Arial"/>
        </w:rPr>
      </w:pPr>
      <w:r w:rsidRPr="00F3494B">
        <w:rPr>
          <w:rFonts w:ascii="Arial" w:hAnsi="Arial" w:cs="Arial"/>
        </w:rPr>
        <w:t>5. Lack of Participatory and Transdisciplinary Research Approaches</w:t>
      </w:r>
    </w:p>
    <w:p w14:paraId="3B46D838" w14:textId="3BEE48CB" w:rsidR="00F3494B" w:rsidRDefault="00F3494B" w:rsidP="00F3494B">
      <w:pPr>
        <w:pStyle w:val="Body"/>
        <w:spacing w:after="0"/>
        <w:rPr>
          <w:rFonts w:ascii="Arial" w:hAnsi="Arial" w:cs="Arial"/>
        </w:rPr>
      </w:pPr>
      <w:r w:rsidRPr="00F3494B">
        <w:rPr>
          <w:rFonts w:ascii="Arial" w:hAnsi="Arial" w:cs="Arial"/>
        </w:rPr>
        <w:t>Most agroforestry studies remain discipline-specific, either biophysical or socioeconomic, resulting in fragmented insights. Emerging frameworks such as transdisciplinary participatory action research (TPAR) could bridge this gap by combining farmer knowledge, scientific data, and local governance in co-designed solutions. This approach aligns with recent global calls for climate research that centers on local actors and “co-production of knowledge” (Scoones &amp; Stirling, 2020).</w:t>
      </w:r>
    </w:p>
    <w:p w14:paraId="794B6751" w14:textId="77777777" w:rsidR="00F3494B" w:rsidRDefault="00F3494B" w:rsidP="00F3494B">
      <w:pPr>
        <w:pStyle w:val="Body"/>
        <w:spacing w:after="0"/>
        <w:rPr>
          <w:rFonts w:ascii="Arial" w:hAnsi="Arial" w:cs="Arial"/>
        </w:rPr>
      </w:pPr>
    </w:p>
    <w:p w14:paraId="2B3839F9" w14:textId="631CE2C2" w:rsidR="00F3494B" w:rsidRDefault="00F3494B" w:rsidP="00F3494B">
      <w:pPr>
        <w:pStyle w:val="Head1"/>
        <w:spacing w:after="0"/>
        <w:jc w:val="both"/>
        <w:rPr>
          <w:rFonts w:ascii="Arial" w:hAnsi="Arial" w:cs="Arial"/>
        </w:rPr>
      </w:pPr>
      <w:r>
        <w:rPr>
          <w:rFonts w:ascii="Arial" w:hAnsi="Arial" w:cs="Arial"/>
        </w:rPr>
        <w:t>9. LIMITATIONS OF THE REVIEW</w:t>
      </w:r>
    </w:p>
    <w:p w14:paraId="2714DC27" w14:textId="77777777" w:rsidR="00F3494B" w:rsidRPr="00FB3A86" w:rsidRDefault="00F3494B" w:rsidP="00F3494B">
      <w:pPr>
        <w:pStyle w:val="Head1"/>
        <w:spacing w:after="0"/>
        <w:jc w:val="both"/>
        <w:rPr>
          <w:rFonts w:ascii="Arial" w:hAnsi="Arial" w:cs="Arial"/>
        </w:rPr>
      </w:pPr>
    </w:p>
    <w:p w14:paraId="26D63DB3" w14:textId="77777777" w:rsidR="00F3494B" w:rsidRPr="00F3494B" w:rsidRDefault="00F3494B" w:rsidP="00F3494B">
      <w:pPr>
        <w:pStyle w:val="Body"/>
        <w:rPr>
          <w:rFonts w:ascii="Arial" w:hAnsi="Arial" w:cs="Arial"/>
        </w:rPr>
      </w:pPr>
      <w:r w:rsidRPr="00F3494B">
        <w:rPr>
          <w:rFonts w:ascii="Arial" w:hAnsi="Arial" w:cs="Arial"/>
        </w:rPr>
        <w:t>First, the review is based primarily on peer-reviewed journal articles and accessible academic publications. Although this ensures the scientific credibility of the synthesis, it may exclude unpublished reports, local government project evaluations, and indigenous knowledge documentation that could provide deeper insights into community-based agroforestry practices. Many valuables on-the-ground experiences remain underrepresented in the academic literature, particularly those written in Filipino or local dialects.</w:t>
      </w:r>
    </w:p>
    <w:p w14:paraId="0409BB29" w14:textId="77777777" w:rsidR="00F3494B" w:rsidRPr="00F3494B" w:rsidRDefault="00F3494B" w:rsidP="00F3494B">
      <w:pPr>
        <w:pStyle w:val="Body"/>
        <w:rPr>
          <w:rFonts w:ascii="Arial" w:hAnsi="Arial" w:cs="Arial"/>
        </w:rPr>
      </w:pPr>
      <w:r w:rsidRPr="00F3494B">
        <w:rPr>
          <w:rFonts w:ascii="Arial" w:hAnsi="Arial" w:cs="Arial"/>
        </w:rPr>
        <w:t>Second, the temporal coverage of available studies is uneven. Most of the reviewed works were conducted between 2010 and 2025, a period marked by rapid policy and climatic changes. Consequently, some findings may not fully capture long-term ecological outcomes or intergenerational knowledge transmission. Longitudinal studies measuring carbon sequestration, livelihood transitions, and farm resilience over decades remain rare in the Philippine context.</w:t>
      </w:r>
    </w:p>
    <w:p w14:paraId="045DB56E" w14:textId="77777777" w:rsidR="00F3494B" w:rsidRPr="00F3494B" w:rsidRDefault="00F3494B" w:rsidP="00F3494B">
      <w:pPr>
        <w:pStyle w:val="Body"/>
        <w:rPr>
          <w:rFonts w:ascii="Arial" w:hAnsi="Arial" w:cs="Arial"/>
        </w:rPr>
      </w:pPr>
      <w:r w:rsidRPr="00F3494B">
        <w:rPr>
          <w:rFonts w:ascii="Arial" w:hAnsi="Arial" w:cs="Arial"/>
        </w:rPr>
        <w:t>Third, there is an inherent limitation in the comparability of methodologies across studies. Differences in research design, sample size, and indicators used to measure adaptation, knowledge, or carbon storage make it challenging to draw standardized quantitative conclusions. This is a common limitation in review-type research but one that future meta-analyses could address through consistent data protocols.</w:t>
      </w:r>
    </w:p>
    <w:p w14:paraId="1A05E829" w14:textId="77777777" w:rsidR="00F3494B" w:rsidRPr="00F3494B" w:rsidRDefault="00F3494B" w:rsidP="00F3494B">
      <w:pPr>
        <w:pStyle w:val="Body"/>
        <w:rPr>
          <w:rFonts w:ascii="Arial" w:hAnsi="Arial" w:cs="Arial"/>
        </w:rPr>
      </w:pPr>
      <w:r w:rsidRPr="00F3494B">
        <w:rPr>
          <w:rFonts w:ascii="Arial" w:hAnsi="Arial" w:cs="Arial"/>
        </w:rPr>
        <w:t>Lastly, this review emphasizes agroforestry as a national and ecological strategy, yet local variations in culture, governance, and socioeconomic conditions may affect how its findings apply across different provinces. Recognizing these contextual differences is crucial for tailoring future interventions and ensuring that agroforestry truly reflects the diversity of Filipino farming systems.</w:t>
      </w:r>
    </w:p>
    <w:p w14:paraId="04565D80" w14:textId="6FA828A6" w:rsidR="00F3494B" w:rsidRDefault="00F3494B" w:rsidP="00F3494B">
      <w:pPr>
        <w:pStyle w:val="Body"/>
        <w:spacing w:after="0"/>
        <w:rPr>
          <w:rFonts w:ascii="Arial" w:hAnsi="Arial" w:cs="Arial"/>
        </w:rPr>
      </w:pPr>
      <w:r w:rsidRPr="00F3494B">
        <w:rPr>
          <w:rFonts w:ascii="Arial" w:hAnsi="Arial" w:cs="Arial"/>
        </w:rPr>
        <w:t>Despite these constraints, the synthesis provides a solid foundation for guiding future research, policy development, and community-based action toward a more resilient agroforestry future.</w:t>
      </w:r>
    </w:p>
    <w:p w14:paraId="4FE7182F" w14:textId="77777777" w:rsidR="00F3494B" w:rsidRDefault="00F3494B" w:rsidP="00F3494B">
      <w:pPr>
        <w:pStyle w:val="Body"/>
        <w:spacing w:after="0"/>
        <w:rPr>
          <w:rFonts w:ascii="Arial" w:hAnsi="Arial" w:cs="Arial"/>
        </w:rPr>
      </w:pPr>
    </w:p>
    <w:p w14:paraId="37CA0C01" w14:textId="685CAC08" w:rsidR="00F3494B" w:rsidRDefault="00F3494B" w:rsidP="00F3494B">
      <w:pPr>
        <w:pStyle w:val="Head1"/>
        <w:spacing w:after="0"/>
        <w:jc w:val="both"/>
        <w:rPr>
          <w:rFonts w:ascii="Arial" w:hAnsi="Arial" w:cs="Arial"/>
        </w:rPr>
      </w:pPr>
      <w:r>
        <w:rPr>
          <w:rFonts w:ascii="Arial" w:hAnsi="Arial" w:cs="Arial"/>
        </w:rPr>
        <w:lastRenderedPageBreak/>
        <w:t>10. IMPLICATIONS</w:t>
      </w:r>
    </w:p>
    <w:p w14:paraId="5D3B4E30" w14:textId="77777777" w:rsidR="00F3494B" w:rsidRPr="00FB3A86" w:rsidRDefault="00F3494B" w:rsidP="00F3494B">
      <w:pPr>
        <w:pStyle w:val="Head1"/>
        <w:spacing w:after="0"/>
        <w:jc w:val="both"/>
        <w:rPr>
          <w:rFonts w:ascii="Arial" w:hAnsi="Arial" w:cs="Arial"/>
        </w:rPr>
      </w:pPr>
    </w:p>
    <w:p w14:paraId="21BF1E12" w14:textId="77777777" w:rsidR="00F3494B" w:rsidRPr="00F3494B" w:rsidRDefault="00F3494B" w:rsidP="00F3494B">
      <w:pPr>
        <w:pStyle w:val="Body"/>
        <w:rPr>
          <w:rFonts w:ascii="Arial" w:hAnsi="Arial" w:cs="Arial"/>
        </w:rPr>
      </w:pPr>
      <w:r w:rsidRPr="00F3494B">
        <w:rPr>
          <w:rFonts w:ascii="Arial" w:hAnsi="Arial" w:cs="Arial"/>
        </w:rPr>
        <w:t>The growing body of research on agroforestry adoption among smallholder farmers in the Philippines offers profound implications for policy, practice, education, and future research. The evidence clearly demonstrates that agroforestry is not only a technical strategy for improving productivity but also a human-centered approach to building climate resilience, restoring ecosystems, and securing rural livelihoods.</w:t>
      </w:r>
    </w:p>
    <w:p w14:paraId="3BF16531" w14:textId="77777777" w:rsidR="00F3494B" w:rsidRPr="00F3494B" w:rsidRDefault="00F3494B" w:rsidP="00F3494B">
      <w:pPr>
        <w:pStyle w:val="Body"/>
        <w:rPr>
          <w:rFonts w:ascii="Arial" w:hAnsi="Arial" w:cs="Arial"/>
          <w:b/>
          <w:bCs/>
        </w:rPr>
      </w:pPr>
      <w:r w:rsidRPr="00F3494B">
        <w:rPr>
          <w:rFonts w:ascii="Arial" w:hAnsi="Arial" w:cs="Arial"/>
          <w:b/>
          <w:bCs/>
        </w:rPr>
        <w:t>Policy Implications</w:t>
      </w:r>
    </w:p>
    <w:p w14:paraId="36C3DBAC" w14:textId="77777777" w:rsidR="00F3494B" w:rsidRPr="00F3494B" w:rsidRDefault="00F3494B" w:rsidP="00F3494B">
      <w:pPr>
        <w:pStyle w:val="Body"/>
        <w:rPr>
          <w:rFonts w:ascii="Arial" w:hAnsi="Arial" w:cs="Arial"/>
        </w:rPr>
      </w:pPr>
      <w:r w:rsidRPr="00F3494B">
        <w:rPr>
          <w:rFonts w:ascii="Arial" w:hAnsi="Arial" w:cs="Arial"/>
        </w:rPr>
        <w:t>At the policy level, agroforestry should be recognized as a core component of national climate and rural development strategies. The Philippines’ Climate Change Act of 2009, the National Greening Program (NGP), and the country’s Nationally Determined Contributions (NDCs) already provide frameworks that align agroforestry with mitigation and adaptation goals (Department of Environment and Natural Resources [DENR], 2022). However, these policies need to move beyond reforestation targets and adopt a landscape-based approach, integrating agroforestry into mainstream agricultural planning, land tenure systems, and local development agendas.</w:t>
      </w:r>
    </w:p>
    <w:p w14:paraId="12CF2B48" w14:textId="77777777" w:rsidR="00F3494B" w:rsidRPr="00F3494B" w:rsidRDefault="00F3494B" w:rsidP="00F3494B">
      <w:pPr>
        <w:pStyle w:val="Body"/>
        <w:rPr>
          <w:rFonts w:ascii="Arial" w:hAnsi="Arial" w:cs="Arial"/>
        </w:rPr>
      </w:pPr>
      <w:r w:rsidRPr="00F3494B">
        <w:rPr>
          <w:rFonts w:ascii="Arial" w:hAnsi="Arial" w:cs="Arial"/>
        </w:rPr>
        <w:t>Decentralized implementation through local government units (LGUs) and community-based forest management (CBFM) programs can amplify success. Localized agroforestry models, tailored to specific ecological and cultural contexts, should be promoted rather than one-size-fits-all approaches. For instance, upland communities in Bukidnon may benefit from contour-based agroforestry, while lowland farmers in Batangas can adopt fruit-based systems for diversified income. Policymakers should prioritize these localized systems through participatory planning, capacity building, and financial incentives such as tax benefits or payments for ecosystem services (</w:t>
      </w:r>
      <w:proofErr w:type="spellStart"/>
      <w:r w:rsidRPr="00F3494B">
        <w:rPr>
          <w:rFonts w:ascii="Arial" w:hAnsi="Arial" w:cs="Arial"/>
        </w:rPr>
        <w:t>Lasco</w:t>
      </w:r>
      <w:proofErr w:type="spellEnd"/>
      <w:r w:rsidRPr="00F3494B">
        <w:rPr>
          <w:rFonts w:ascii="Arial" w:hAnsi="Arial" w:cs="Arial"/>
        </w:rPr>
        <w:t xml:space="preserve">, </w:t>
      </w:r>
      <w:proofErr w:type="spellStart"/>
      <w:r w:rsidRPr="00F3494B">
        <w:rPr>
          <w:rFonts w:ascii="Arial" w:hAnsi="Arial" w:cs="Arial"/>
        </w:rPr>
        <w:t>Delfino</w:t>
      </w:r>
      <w:proofErr w:type="spellEnd"/>
      <w:r w:rsidRPr="00F3494B">
        <w:rPr>
          <w:rFonts w:ascii="Arial" w:hAnsi="Arial" w:cs="Arial"/>
        </w:rPr>
        <w:t xml:space="preserve">, &amp; </w:t>
      </w:r>
      <w:proofErr w:type="spellStart"/>
      <w:r w:rsidRPr="00F3494B">
        <w:rPr>
          <w:rFonts w:ascii="Arial" w:hAnsi="Arial" w:cs="Arial"/>
        </w:rPr>
        <w:t>Espaldon</w:t>
      </w:r>
      <w:proofErr w:type="spellEnd"/>
      <w:r w:rsidRPr="00F3494B">
        <w:rPr>
          <w:rFonts w:ascii="Arial" w:hAnsi="Arial" w:cs="Arial"/>
        </w:rPr>
        <w:t xml:space="preserve">, 2014; </w:t>
      </w:r>
      <w:proofErr w:type="spellStart"/>
      <w:r w:rsidRPr="00F3494B">
        <w:rPr>
          <w:rFonts w:ascii="Arial" w:hAnsi="Arial" w:cs="Arial"/>
        </w:rPr>
        <w:t>Landicho</w:t>
      </w:r>
      <w:proofErr w:type="spellEnd"/>
      <w:r w:rsidRPr="00F3494B">
        <w:rPr>
          <w:rFonts w:ascii="Arial" w:hAnsi="Arial" w:cs="Arial"/>
        </w:rPr>
        <w:t xml:space="preserve">, </w:t>
      </w:r>
      <w:proofErr w:type="spellStart"/>
      <w:r w:rsidRPr="00F3494B">
        <w:rPr>
          <w:rFonts w:ascii="Arial" w:hAnsi="Arial" w:cs="Arial"/>
        </w:rPr>
        <w:t>Paelmo</w:t>
      </w:r>
      <w:proofErr w:type="spellEnd"/>
      <w:r w:rsidRPr="00F3494B">
        <w:rPr>
          <w:rFonts w:ascii="Arial" w:hAnsi="Arial" w:cs="Arial"/>
        </w:rPr>
        <w:t>, De Luna, &amp; Visco, 2016).</w:t>
      </w:r>
    </w:p>
    <w:p w14:paraId="30BC1BCF" w14:textId="77777777" w:rsidR="00F3494B" w:rsidRPr="00F3494B" w:rsidRDefault="00F3494B" w:rsidP="00F3494B">
      <w:pPr>
        <w:pStyle w:val="Body"/>
        <w:rPr>
          <w:rFonts w:ascii="Arial" w:hAnsi="Arial" w:cs="Arial"/>
          <w:b/>
          <w:bCs/>
        </w:rPr>
      </w:pPr>
      <w:r w:rsidRPr="00F3494B">
        <w:rPr>
          <w:rFonts w:ascii="Arial" w:hAnsi="Arial" w:cs="Arial"/>
          <w:b/>
          <w:bCs/>
        </w:rPr>
        <w:t>Institutional and Extension Implications</w:t>
      </w:r>
    </w:p>
    <w:p w14:paraId="3B83A5F2" w14:textId="4DD13C9C" w:rsidR="00F3494B" w:rsidRPr="00F3494B" w:rsidRDefault="00F3494B" w:rsidP="00F3494B">
      <w:pPr>
        <w:pStyle w:val="Body"/>
        <w:rPr>
          <w:rFonts w:ascii="Arial" w:hAnsi="Arial" w:cs="Arial"/>
        </w:rPr>
      </w:pPr>
      <w:r w:rsidRPr="00F3494B">
        <w:rPr>
          <w:rFonts w:ascii="Arial" w:hAnsi="Arial" w:cs="Arial"/>
        </w:rPr>
        <w:t xml:space="preserve">The success of agroforestry adoption depends heavily on the strength of extension services and institutional partnerships. Many farmers already possess valuable local ecological knowledge (Galang &amp; Vaughter, 2020), yet they often lack access to updated technical information and market linkages. Strengthening the role of agricultural extension officers, state universities, and local NGOs can close this gap by providing continuous support rather than one-off </w:t>
      </w:r>
      <w:r w:rsidR="000B64E8" w:rsidRPr="00F3494B">
        <w:rPr>
          <w:rFonts w:ascii="Arial" w:hAnsi="Arial" w:cs="Arial"/>
        </w:rPr>
        <w:t>training</w:t>
      </w:r>
      <w:r w:rsidRPr="00F3494B">
        <w:rPr>
          <w:rFonts w:ascii="Arial" w:hAnsi="Arial" w:cs="Arial"/>
        </w:rPr>
        <w:t>.</w:t>
      </w:r>
    </w:p>
    <w:p w14:paraId="44821546" w14:textId="77777777" w:rsidR="00F3494B" w:rsidRPr="00F3494B" w:rsidRDefault="00F3494B" w:rsidP="00F3494B">
      <w:pPr>
        <w:pStyle w:val="Body"/>
        <w:rPr>
          <w:rFonts w:ascii="Arial" w:hAnsi="Arial" w:cs="Arial"/>
        </w:rPr>
      </w:pPr>
      <w:r w:rsidRPr="00F3494B">
        <w:rPr>
          <w:rFonts w:ascii="Arial" w:hAnsi="Arial" w:cs="Arial"/>
        </w:rPr>
        <w:t>Additionally, agroforestry curriculum integration in agricultural colleges and vocational schools could nurture a new generation of practitioners and policymakers who view trees not as barriers to crops but as essential allies in sustainable farming systems. Capacity-building initiatives must also include gender-responsive and youth-inclusive programs, ensuring equitable participation and intergenerational continuity of knowledge (</w:t>
      </w:r>
      <w:proofErr w:type="spellStart"/>
      <w:r w:rsidRPr="00F3494B">
        <w:rPr>
          <w:rFonts w:ascii="Arial" w:hAnsi="Arial" w:cs="Arial"/>
        </w:rPr>
        <w:t>Kiptot</w:t>
      </w:r>
      <w:proofErr w:type="spellEnd"/>
      <w:r w:rsidRPr="00F3494B">
        <w:rPr>
          <w:rFonts w:ascii="Arial" w:hAnsi="Arial" w:cs="Arial"/>
        </w:rPr>
        <w:t xml:space="preserve"> &amp; </w:t>
      </w:r>
      <w:proofErr w:type="spellStart"/>
      <w:r w:rsidRPr="00F3494B">
        <w:rPr>
          <w:rFonts w:ascii="Arial" w:hAnsi="Arial" w:cs="Arial"/>
        </w:rPr>
        <w:t>Franzel</w:t>
      </w:r>
      <w:proofErr w:type="spellEnd"/>
      <w:r w:rsidRPr="00F3494B">
        <w:rPr>
          <w:rFonts w:ascii="Arial" w:hAnsi="Arial" w:cs="Arial"/>
        </w:rPr>
        <w:t>, 2012).</w:t>
      </w:r>
    </w:p>
    <w:p w14:paraId="4D76E889" w14:textId="77777777" w:rsidR="00F3494B" w:rsidRPr="00F3494B" w:rsidRDefault="00F3494B" w:rsidP="00F3494B">
      <w:pPr>
        <w:pStyle w:val="Body"/>
        <w:rPr>
          <w:rFonts w:ascii="Arial" w:hAnsi="Arial" w:cs="Arial"/>
          <w:b/>
          <w:bCs/>
        </w:rPr>
      </w:pPr>
      <w:r w:rsidRPr="00F3494B">
        <w:rPr>
          <w:rFonts w:ascii="Arial" w:hAnsi="Arial" w:cs="Arial"/>
          <w:b/>
          <w:bCs/>
        </w:rPr>
        <w:t>Economic and Social Implications</w:t>
      </w:r>
    </w:p>
    <w:p w14:paraId="65C39BE5" w14:textId="77777777" w:rsidR="00F3494B" w:rsidRPr="00F3494B" w:rsidRDefault="00F3494B" w:rsidP="00F3494B">
      <w:pPr>
        <w:pStyle w:val="Body"/>
        <w:rPr>
          <w:rFonts w:ascii="Arial" w:hAnsi="Arial" w:cs="Arial"/>
        </w:rPr>
      </w:pPr>
      <w:r w:rsidRPr="00F3494B">
        <w:rPr>
          <w:rFonts w:ascii="Arial" w:hAnsi="Arial" w:cs="Arial"/>
        </w:rPr>
        <w:t>Economically, agroforestry offers pathways for livelihood diversification and poverty alleviation. By combining crops, trees, and livestock, farmers can spread risks and gain multiple income streams throughout the year. Market-oriented agroforestry, such as cacao, coffee, bamboo, or fruit-tree integration, has shown potential to increase smallholder income by 20–40% over monocropping systems (Sida, Kumar, &amp; Singh, 2022). Such outcomes can strengthen rural economies while contributing to national food security and environmental restoration.</w:t>
      </w:r>
    </w:p>
    <w:p w14:paraId="1C408F03" w14:textId="77777777" w:rsidR="00F3494B" w:rsidRPr="00F3494B" w:rsidRDefault="00F3494B" w:rsidP="00F3494B">
      <w:pPr>
        <w:pStyle w:val="Body"/>
        <w:rPr>
          <w:rFonts w:ascii="Arial" w:hAnsi="Arial" w:cs="Arial"/>
        </w:rPr>
      </w:pPr>
      <w:r w:rsidRPr="00F3494B">
        <w:rPr>
          <w:rFonts w:ascii="Arial" w:hAnsi="Arial" w:cs="Arial"/>
        </w:rPr>
        <w:lastRenderedPageBreak/>
        <w:t>Socially, agroforestry reinforces community cohesion and collective resilience. When implemented through farmer associations or cooperatives, it encourages peer learning, resource sharing, and shared stewardship of natural resources (Landicho et al., 2016). This collective approach builds adaptive capacity not just at the household level but across entire communities.</w:t>
      </w:r>
    </w:p>
    <w:p w14:paraId="73BB325D" w14:textId="77777777" w:rsidR="00F3494B" w:rsidRPr="00F3494B" w:rsidRDefault="00F3494B" w:rsidP="00F3494B">
      <w:pPr>
        <w:pStyle w:val="Body"/>
        <w:rPr>
          <w:rFonts w:ascii="Arial" w:hAnsi="Arial" w:cs="Arial"/>
          <w:b/>
          <w:bCs/>
        </w:rPr>
      </w:pPr>
      <w:r w:rsidRPr="00F3494B">
        <w:rPr>
          <w:rFonts w:ascii="Arial" w:hAnsi="Arial" w:cs="Arial"/>
          <w:b/>
          <w:bCs/>
        </w:rPr>
        <w:t>Research and Knowledge Implications</w:t>
      </w:r>
    </w:p>
    <w:p w14:paraId="6F88168A" w14:textId="77777777" w:rsidR="00F3494B" w:rsidRPr="00F3494B" w:rsidRDefault="00F3494B" w:rsidP="00F3494B">
      <w:pPr>
        <w:pStyle w:val="Body"/>
        <w:rPr>
          <w:rFonts w:ascii="Arial" w:hAnsi="Arial" w:cs="Arial"/>
        </w:rPr>
      </w:pPr>
      <w:r w:rsidRPr="00F3494B">
        <w:rPr>
          <w:rFonts w:ascii="Arial" w:hAnsi="Arial" w:cs="Arial"/>
        </w:rPr>
        <w:t>From a research standpoint, the synthesis of Philippine and international evidence highlights the need for transdisciplinary, long-term studies. Future research should bridge the biophysical, social, and policy dimensions of agroforestry, combining quantitative metrics (e.g., carbon sequestration, yield gains) with qualitative insights (e.g., farmers’ motivations, cultural influences). There is also a need to develop locally validated models for quantifying carbon and ecosystem service benefits under different agroforestry configurations (</w:t>
      </w:r>
      <w:proofErr w:type="spellStart"/>
      <w:r w:rsidRPr="00F3494B">
        <w:rPr>
          <w:rFonts w:ascii="Arial" w:hAnsi="Arial" w:cs="Arial"/>
        </w:rPr>
        <w:t>Beillouin</w:t>
      </w:r>
      <w:proofErr w:type="spellEnd"/>
      <w:r w:rsidRPr="00F3494B">
        <w:rPr>
          <w:rFonts w:ascii="Arial" w:hAnsi="Arial" w:cs="Arial"/>
        </w:rPr>
        <w:t xml:space="preserve">, Ben-Ari, Makowski, &amp; </w:t>
      </w:r>
      <w:proofErr w:type="spellStart"/>
      <w:r w:rsidRPr="00F3494B">
        <w:rPr>
          <w:rFonts w:ascii="Arial" w:hAnsi="Arial" w:cs="Arial"/>
        </w:rPr>
        <w:t>Malézieux</w:t>
      </w:r>
      <w:proofErr w:type="spellEnd"/>
      <w:r w:rsidRPr="00F3494B">
        <w:rPr>
          <w:rFonts w:ascii="Arial" w:hAnsi="Arial" w:cs="Arial"/>
        </w:rPr>
        <w:t>, 2020).</w:t>
      </w:r>
    </w:p>
    <w:p w14:paraId="3CD155F5" w14:textId="52D5969B" w:rsidR="00F3494B" w:rsidRDefault="00F3494B" w:rsidP="00F3494B">
      <w:pPr>
        <w:pStyle w:val="Body"/>
        <w:spacing w:after="0"/>
        <w:rPr>
          <w:rFonts w:ascii="Arial" w:hAnsi="Arial" w:cs="Arial"/>
        </w:rPr>
      </w:pPr>
      <w:r w:rsidRPr="00F3494B">
        <w:rPr>
          <w:rFonts w:ascii="Arial" w:hAnsi="Arial" w:cs="Arial"/>
        </w:rPr>
        <w:t>Ultimately, agroforestry embodies what climate action must become: an integration of science, culture, and empathy. Its success depends on how well institutions can translate data and policies into real, lived improvements for the farmers who stand at the frontline of climate change.</w:t>
      </w:r>
    </w:p>
    <w:p w14:paraId="7D35FF4B" w14:textId="77777777" w:rsidR="00F3494B" w:rsidRDefault="00F3494B" w:rsidP="00F3494B">
      <w:pPr>
        <w:pStyle w:val="Body"/>
        <w:spacing w:after="0"/>
        <w:rPr>
          <w:rFonts w:ascii="Arial" w:hAnsi="Arial" w:cs="Arial"/>
        </w:rPr>
      </w:pPr>
    </w:p>
    <w:p w14:paraId="0838DD1C" w14:textId="2861EAC3" w:rsidR="00F3494B" w:rsidRDefault="00F3494B" w:rsidP="00F3494B">
      <w:pPr>
        <w:pStyle w:val="Head1"/>
        <w:spacing w:after="0"/>
        <w:jc w:val="both"/>
        <w:rPr>
          <w:rFonts w:ascii="Arial" w:hAnsi="Arial" w:cs="Arial"/>
        </w:rPr>
      </w:pPr>
      <w:r>
        <w:rPr>
          <w:rFonts w:ascii="Arial" w:hAnsi="Arial" w:cs="Arial"/>
        </w:rPr>
        <w:t>11. CONCLUSION</w:t>
      </w:r>
    </w:p>
    <w:p w14:paraId="08872A88" w14:textId="77777777" w:rsidR="00F3494B" w:rsidRPr="00FB3A86" w:rsidRDefault="00F3494B" w:rsidP="00F3494B">
      <w:pPr>
        <w:pStyle w:val="Head1"/>
        <w:spacing w:after="0"/>
        <w:jc w:val="both"/>
        <w:rPr>
          <w:rFonts w:ascii="Arial" w:hAnsi="Arial" w:cs="Arial"/>
        </w:rPr>
      </w:pPr>
    </w:p>
    <w:p w14:paraId="78B101C5" w14:textId="77777777" w:rsidR="00F3494B" w:rsidRPr="00F3494B" w:rsidRDefault="00F3494B" w:rsidP="00F3494B">
      <w:pPr>
        <w:pStyle w:val="Body"/>
        <w:rPr>
          <w:rFonts w:ascii="Arial" w:hAnsi="Arial" w:cs="Arial"/>
        </w:rPr>
      </w:pPr>
      <w:r w:rsidRPr="00F3494B">
        <w:rPr>
          <w:rFonts w:ascii="Arial" w:hAnsi="Arial" w:cs="Arial"/>
        </w:rPr>
        <w:t>Agroforestry stands as one of the most promising strategies for achieving climate resilience and sustainable development in the Philippines. Rooted in both indigenous tradition and scientific innovation, it bridges the gap between adaptation and mitigation, between local action and global climate goals.</w:t>
      </w:r>
    </w:p>
    <w:p w14:paraId="399DD056" w14:textId="77777777" w:rsidR="00F3494B" w:rsidRPr="00F3494B" w:rsidRDefault="00F3494B" w:rsidP="00F3494B">
      <w:pPr>
        <w:pStyle w:val="Body"/>
        <w:rPr>
          <w:rFonts w:ascii="Arial" w:hAnsi="Arial" w:cs="Arial"/>
        </w:rPr>
      </w:pPr>
      <w:r w:rsidRPr="00F3494B">
        <w:rPr>
          <w:rFonts w:ascii="Arial" w:hAnsi="Arial" w:cs="Arial"/>
        </w:rPr>
        <w:t>The evidence synthesized in this review affirms that smallholder farmers possess substantial knowledge and positive attitudes toward agroforestry, seeing it as a lifeline in an increasingly unpredictable climate (Evangelista, Cruz, &amp; Lasco, 2016). Yet, adoption remains uneven due to economic, institutional, and informational barriers. Overcoming these challenges requires not just policies, but people-centered solutions, secure land tenure, accessible credit, reliable markets, and long-term extension support.</w:t>
      </w:r>
    </w:p>
    <w:p w14:paraId="764E5120" w14:textId="77777777" w:rsidR="00F3494B" w:rsidRPr="00F3494B" w:rsidRDefault="00F3494B" w:rsidP="00F3494B">
      <w:pPr>
        <w:pStyle w:val="Body"/>
        <w:rPr>
          <w:rFonts w:ascii="Arial" w:hAnsi="Arial" w:cs="Arial"/>
        </w:rPr>
      </w:pPr>
      <w:r w:rsidRPr="00F3494B">
        <w:rPr>
          <w:rFonts w:ascii="Arial" w:hAnsi="Arial" w:cs="Arial"/>
        </w:rPr>
        <w:t xml:space="preserve">Agroforestry’s dual role, as both shield and sponge, makes it uniquely effective in the face of climate uncertainty. It shields farmers by moderating microclimates, reducing erosion, and stabilizing yields; and it acts as a sponge by sequestering carbon, enriching soils, and restoring degraded landscapes (Lasco et al., 2014; </w:t>
      </w:r>
      <w:proofErr w:type="spellStart"/>
      <w:r w:rsidRPr="00F3494B">
        <w:rPr>
          <w:rFonts w:ascii="Arial" w:hAnsi="Arial" w:cs="Arial"/>
        </w:rPr>
        <w:t>Tabal</w:t>
      </w:r>
      <w:proofErr w:type="spellEnd"/>
      <w:r w:rsidRPr="00F3494B">
        <w:rPr>
          <w:rFonts w:ascii="Arial" w:hAnsi="Arial" w:cs="Arial"/>
        </w:rPr>
        <w:t xml:space="preserve"> &amp; Mendoza, 2020). When properly supported, these systems can store hundreds of tons of carbon per hectare while providing food, fuel, and income for rural households.</w:t>
      </w:r>
    </w:p>
    <w:p w14:paraId="358B2951" w14:textId="77777777" w:rsidR="00F3494B" w:rsidRPr="00F3494B" w:rsidRDefault="00F3494B" w:rsidP="00F3494B">
      <w:pPr>
        <w:pStyle w:val="Body"/>
        <w:rPr>
          <w:rFonts w:ascii="Arial" w:hAnsi="Arial" w:cs="Arial"/>
        </w:rPr>
      </w:pPr>
      <w:r w:rsidRPr="00F3494B">
        <w:rPr>
          <w:rFonts w:ascii="Arial" w:hAnsi="Arial" w:cs="Arial"/>
        </w:rPr>
        <w:t>Beyond the numbers, agroforestry represents a philosophy of coexistence, a recognition that human prosperity and ecological health are inseparable. For Filipino smallholders, planting trees is both an act of survival and of hope. It reflects a deep cultural understanding that resilience grows not only from technology or policy but from the living relationship between people and the land they care for.</w:t>
      </w:r>
    </w:p>
    <w:p w14:paraId="55268604" w14:textId="36BCE975" w:rsidR="00F3494B" w:rsidRDefault="00F3494B" w:rsidP="00F3494B">
      <w:pPr>
        <w:pStyle w:val="Body"/>
        <w:spacing w:after="0"/>
        <w:rPr>
          <w:rFonts w:ascii="Arial" w:hAnsi="Arial" w:cs="Arial"/>
        </w:rPr>
      </w:pPr>
      <w:r w:rsidRPr="00F3494B">
        <w:rPr>
          <w:rFonts w:ascii="Arial" w:hAnsi="Arial" w:cs="Arial"/>
        </w:rPr>
        <w:t>As the Philippines continues to face the realities of a warming world, agroforestry offers a path forward: one that is inclusive, regenerative, and rooted in local wisdom. Strengthening research, policies, and institutions around agroforestry will not only advance national climate commitments but also nurture a future where Filipino farmers thrive in harmony with their environment, cultivating resilience, one tree at a time.</w:t>
      </w:r>
    </w:p>
    <w:p w14:paraId="1BC895C4" w14:textId="77777777" w:rsidR="00D75F33" w:rsidRPr="00D75F33" w:rsidRDefault="00D75F33" w:rsidP="00D75F33"/>
    <w:p w14:paraId="65326D00" w14:textId="77777777" w:rsidR="00D75F33" w:rsidRDefault="00D75F33" w:rsidP="00441B6F">
      <w:pPr>
        <w:pStyle w:val="ReferHead"/>
        <w:spacing w:after="0"/>
        <w:jc w:val="both"/>
        <w:rPr>
          <w:rFonts w:ascii="Arial" w:hAnsi="Arial" w:cs="Arial"/>
          <w:b w:val="0"/>
          <w:caps w:val="0"/>
          <w:sz w:val="20"/>
        </w:rPr>
      </w:pPr>
    </w:p>
    <w:p w14:paraId="2C2F9001" w14:textId="7017C1B4" w:rsidR="00371FB6" w:rsidRDefault="00D75F33" w:rsidP="00441B6F">
      <w:pPr>
        <w:pStyle w:val="ReferHead"/>
        <w:spacing w:after="0"/>
        <w:jc w:val="both"/>
        <w:rPr>
          <w:rFonts w:ascii="Arial" w:hAnsi="Arial" w:cs="Arial"/>
          <w:bCs/>
        </w:rPr>
      </w:pPr>
      <w:r>
        <w:rPr>
          <w:rFonts w:ascii="Arial" w:hAnsi="Arial" w:cs="Arial"/>
          <w:bCs/>
        </w:rPr>
        <w:t>declaration of no ai assitance</w:t>
      </w:r>
    </w:p>
    <w:p w14:paraId="37B43634" w14:textId="77777777" w:rsidR="00371FB6" w:rsidRPr="00371FB6" w:rsidRDefault="00371FB6" w:rsidP="00441B6F">
      <w:pPr>
        <w:pStyle w:val="ReferHead"/>
        <w:spacing w:after="0"/>
        <w:jc w:val="both"/>
        <w:rPr>
          <w:rFonts w:ascii="Arial" w:hAnsi="Arial" w:cs="Arial"/>
          <w:bCs/>
        </w:rPr>
      </w:pPr>
    </w:p>
    <w:p w14:paraId="12F861A5" w14:textId="48B7B215" w:rsidR="002B685A" w:rsidRPr="00D75F33" w:rsidRDefault="00D75F33" w:rsidP="00441B6F">
      <w:pPr>
        <w:pStyle w:val="ReferHead"/>
        <w:spacing w:after="0"/>
        <w:jc w:val="both"/>
        <w:rPr>
          <w:rFonts w:ascii="Arial" w:hAnsi="Arial" w:cs="Arial"/>
          <w:b w:val="0"/>
          <w:caps w:val="0"/>
          <w:sz w:val="20"/>
        </w:rPr>
      </w:pPr>
      <w:r w:rsidRPr="00D75F33">
        <w:rPr>
          <w:rFonts w:ascii="Arial" w:hAnsi="Arial" w:cs="Arial"/>
          <w:b w:val="0"/>
          <w:caps w:val="0"/>
          <w:sz w:val="20"/>
        </w:rPr>
        <w:t>We declare that no artificial intelligence (AI) tools were used in writing, analyzing, or producing any part of this review. All ideas, interpretations, and conclusions presented are the result of our group’s independent effort, based solely on the cited sources and our own critical analysis.</w:t>
      </w:r>
    </w:p>
    <w:p w14:paraId="1FB8C902" w14:textId="77777777" w:rsidR="00860000" w:rsidRDefault="00860000" w:rsidP="00441B6F">
      <w:pPr>
        <w:pStyle w:val="ReferHead"/>
        <w:spacing w:after="0"/>
        <w:jc w:val="both"/>
        <w:rPr>
          <w:rFonts w:ascii="Arial" w:hAnsi="Arial" w:cs="Arial"/>
        </w:rPr>
      </w:pPr>
    </w:p>
    <w:p w14:paraId="0F041EF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254113" w14:textId="77777777" w:rsidR="00790ADA" w:rsidRPr="00FB3A86" w:rsidRDefault="00790ADA" w:rsidP="00441B6F">
      <w:pPr>
        <w:pStyle w:val="ReferHead"/>
        <w:spacing w:after="0"/>
        <w:jc w:val="both"/>
        <w:rPr>
          <w:rFonts w:ascii="Arial" w:hAnsi="Arial" w:cs="Arial"/>
        </w:rPr>
      </w:pPr>
    </w:p>
    <w:p w14:paraId="0C366E1D" w14:textId="5021EF93" w:rsidR="00790ADA" w:rsidRPr="00A56C73" w:rsidRDefault="00D75F33" w:rsidP="00A56C73">
      <w:pPr>
        <w:pStyle w:val="Body"/>
        <w:spacing w:after="0"/>
        <w:ind w:left="720" w:hanging="720"/>
      </w:pPr>
      <w:r w:rsidRPr="00A56C73">
        <w:t xml:space="preserve">Abebaw, S. E., </w:t>
      </w:r>
      <w:proofErr w:type="spellStart"/>
      <w:r w:rsidRPr="00A56C73">
        <w:t>Yeshiwas</w:t>
      </w:r>
      <w:proofErr w:type="spellEnd"/>
      <w:r w:rsidRPr="00A56C73">
        <w:t xml:space="preserve">, E. M., &amp; Feleke, T. G. (2025). A systematic review on the role of agroforestry practices in climate change mitigation and adaptation. Climate Resilience and Sustainability, 4(2), e70018. </w:t>
      </w:r>
      <w:hyperlink r:id="rId8" w:history="1">
        <w:r w:rsidRPr="00A56C73">
          <w:rPr>
            <w:rStyle w:val="Hyperlink"/>
            <w:color w:val="auto"/>
            <w:u w:val="none"/>
          </w:rPr>
          <w:t>https://doi.org/10.1002/cli2.70018</w:t>
        </w:r>
      </w:hyperlink>
    </w:p>
    <w:p w14:paraId="1F2B04DC" w14:textId="77777777" w:rsidR="008B459E" w:rsidRDefault="008B459E" w:rsidP="00A56C73">
      <w:pPr>
        <w:pStyle w:val="Body"/>
        <w:spacing w:after="0"/>
        <w:ind w:left="720" w:hanging="720"/>
        <w:rPr>
          <w:rFonts w:ascii="Arial" w:hAnsi="Arial" w:cs="Arial"/>
        </w:rPr>
      </w:pPr>
    </w:p>
    <w:p w14:paraId="6D83C727" w14:textId="1BA0A26D" w:rsidR="00A56C73" w:rsidRPr="00A56C73" w:rsidRDefault="00A56C73" w:rsidP="00A56C73">
      <w:pPr>
        <w:pStyle w:val="Body"/>
        <w:spacing w:after="0"/>
        <w:ind w:left="720" w:hanging="720"/>
        <w:rPr>
          <w:rFonts w:ascii="Arial" w:hAnsi="Arial" w:cs="Arial"/>
        </w:rPr>
      </w:pPr>
      <w:r w:rsidRPr="00A56C73">
        <w:t xml:space="preserve">Ajayi, O. C., Akinnifesi, F. K., Sileshi, G. W., &amp; </w:t>
      </w:r>
      <w:proofErr w:type="spellStart"/>
      <w:r w:rsidRPr="00A56C73">
        <w:t>Chakeredza</w:t>
      </w:r>
      <w:proofErr w:type="spellEnd"/>
      <w:r w:rsidRPr="00A56C73">
        <w:t xml:space="preserve">, S. (2011). Adoption of renewable soil fertility replenishment technologies in the southern African region: Lessons learnt and the way forward. Natural Resources Forum, 35(3), 140–151. </w:t>
      </w:r>
      <w:hyperlink r:id="rId9" w:history="1">
        <w:r w:rsidRPr="00A56C73">
          <w:rPr>
            <w:rStyle w:val="Hyperlink"/>
            <w:color w:val="auto"/>
            <w:u w:val="none"/>
          </w:rPr>
          <w:t>https://doi.org/10.1111/j.1477-8947.2011.01386.x</w:t>
        </w:r>
      </w:hyperlink>
    </w:p>
    <w:p w14:paraId="2DE4B3F8" w14:textId="77777777" w:rsidR="00284C4C" w:rsidRPr="00284C4C" w:rsidRDefault="00284C4C" w:rsidP="00441B6F">
      <w:pPr>
        <w:pStyle w:val="Body"/>
        <w:spacing w:after="0"/>
        <w:rPr>
          <w:rFonts w:ascii="Arial" w:hAnsi="Arial" w:cs="Arial"/>
          <w:i/>
          <w:u w:val="single"/>
        </w:rPr>
      </w:pPr>
    </w:p>
    <w:p w14:paraId="58641D57" w14:textId="77777777" w:rsidR="00A56C73" w:rsidRPr="00A56C73" w:rsidRDefault="00A56C73" w:rsidP="00A56C73">
      <w:pPr>
        <w:pStyle w:val="Body"/>
        <w:ind w:left="720" w:hanging="720"/>
        <w:rPr>
          <w:rFonts w:ascii="Arial" w:hAnsi="Arial" w:cs="Arial"/>
        </w:rPr>
      </w:pPr>
      <w:proofErr w:type="spellStart"/>
      <w:r w:rsidRPr="00A56C73">
        <w:rPr>
          <w:rFonts w:ascii="Arial" w:hAnsi="Arial" w:cs="Arial"/>
        </w:rPr>
        <w:t>Beillouin</w:t>
      </w:r>
      <w:proofErr w:type="spellEnd"/>
      <w:r w:rsidRPr="00A56C73">
        <w:rPr>
          <w:rFonts w:ascii="Arial" w:hAnsi="Arial" w:cs="Arial"/>
        </w:rPr>
        <w:t xml:space="preserve">, D., Ben-Ari, T., Makowski, D., &amp; </w:t>
      </w:r>
      <w:proofErr w:type="spellStart"/>
      <w:r w:rsidRPr="00A56C73">
        <w:rPr>
          <w:rFonts w:ascii="Arial" w:hAnsi="Arial" w:cs="Arial"/>
        </w:rPr>
        <w:t>Malézieux</w:t>
      </w:r>
      <w:proofErr w:type="spellEnd"/>
      <w:r w:rsidRPr="00A56C73">
        <w:rPr>
          <w:rFonts w:ascii="Arial" w:hAnsi="Arial" w:cs="Arial"/>
        </w:rPr>
        <w:t>, E. (2020). Positive but variable effects of agroforestry on soil health and biodiversity: A global meta-analysis. Agriculture, Ecosystems &amp; Environment, 295, 106892. https://doi.org/10.1016/j.agee.2020.106892</w:t>
      </w:r>
    </w:p>
    <w:p w14:paraId="55829022" w14:textId="13C689D2" w:rsidR="00284C4C" w:rsidRDefault="00A56C73" w:rsidP="00A56C73">
      <w:pPr>
        <w:pStyle w:val="Body"/>
        <w:spacing w:after="0"/>
        <w:ind w:left="720" w:hanging="720"/>
        <w:rPr>
          <w:rFonts w:ascii="Arial" w:hAnsi="Arial" w:cs="Arial"/>
        </w:rPr>
      </w:pPr>
      <w:r w:rsidRPr="00A56C73">
        <w:rPr>
          <w:rFonts w:ascii="Arial" w:hAnsi="Arial" w:cs="Arial"/>
        </w:rPr>
        <w:t>Department of Environment and Natural Resources (DENR). (2022). Nationally determined contributions implementation plan 2023–2030. Climate Change Service, Quezon City, Philippines.</w:t>
      </w:r>
    </w:p>
    <w:p w14:paraId="4C0379E2" w14:textId="77777777" w:rsidR="00A56C73" w:rsidRDefault="00A56C73" w:rsidP="00A56C73">
      <w:pPr>
        <w:pStyle w:val="Body"/>
        <w:spacing w:after="0"/>
      </w:pPr>
    </w:p>
    <w:p w14:paraId="47E0FCD8" w14:textId="77777777" w:rsidR="00A56C73" w:rsidRDefault="00A56C73" w:rsidP="00A56C73">
      <w:pPr>
        <w:pStyle w:val="Body"/>
        <w:ind w:left="720" w:hanging="720"/>
      </w:pPr>
      <w:proofErr w:type="spellStart"/>
      <w:r>
        <w:t>Dumat</w:t>
      </w:r>
      <w:proofErr w:type="spellEnd"/>
      <w:r>
        <w:t>, C., Tran, T. A., &amp; Nguyen, L. M. (2022). Gender, equity, and participation in smallholder agroforestry systems in Southeast Asia. Agroforestry Systems, 96(4), 721–735.</w:t>
      </w:r>
    </w:p>
    <w:p w14:paraId="1D50CC8D" w14:textId="77777777" w:rsidR="00A56C73" w:rsidRDefault="00A56C73" w:rsidP="00A56C73">
      <w:pPr>
        <w:pStyle w:val="Body"/>
        <w:ind w:left="720" w:hanging="720"/>
      </w:pPr>
      <w:r>
        <w:t>Evangelista, R. J. P., Cruz, A. C., &amp; Lasco, R. D. (2016). Knowledge, attitude, and practice of smallholder farmers regarding climate change and agroforestry: A case study of farmers in Peñablanca, Cagayan. Journal of Environmental Science and Management, Special Issue 1, 42–55.</w:t>
      </w:r>
    </w:p>
    <w:p w14:paraId="3FC40E25" w14:textId="77777777" w:rsidR="00A56C73" w:rsidRDefault="00A56C73" w:rsidP="00A56C73">
      <w:pPr>
        <w:pStyle w:val="Body"/>
        <w:ind w:left="720" w:hanging="720"/>
      </w:pPr>
      <w:r>
        <w:t>Galang, E. I. N., &amp; Vaughter, P. (2020). Generational local ecological knowledge on the benefits of an agroforestry landscape in Mindanao, Philippines. Asian Journal of Agriculture and Development, 17(1), 89–105. https://doi.org/10.37801/ajad2020.17.1.6</w:t>
      </w:r>
    </w:p>
    <w:p w14:paraId="5F5F81DF" w14:textId="77777777" w:rsidR="00A56C73" w:rsidRDefault="00A56C73" w:rsidP="00A56C73">
      <w:pPr>
        <w:pStyle w:val="Body"/>
        <w:ind w:left="720" w:hanging="720"/>
      </w:pPr>
      <w:r>
        <w:t>Garcia-de-</w:t>
      </w:r>
      <w:proofErr w:type="spellStart"/>
      <w:r>
        <w:t>Jalón</w:t>
      </w:r>
      <w:proofErr w:type="spellEnd"/>
      <w:r>
        <w:t>, S., Graves, A. R., &amp; Smith, J. (2024). Agroforestry improves biodiversity and ecosystem services globally: Evidence from 3,075 comparisons. Ecological Indicators, 160, 112456. https://doi.org/10.1016/j.ecolind.2024.112456</w:t>
      </w:r>
    </w:p>
    <w:p w14:paraId="6E063F72" w14:textId="77777777" w:rsidR="00A56C73" w:rsidRDefault="00A56C73" w:rsidP="00A56C73">
      <w:pPr>
        <w:pStyle w:val="Body"/>
        <w:ind w:left="720" w:hanging="720"/>
      </w:pPr>
      <w:proofErr w:type="spellStart"/>
      <w:r>
        <w:t>Kiptot</w:t>
      </w:r>
      <w:proofErr w:type="spellEnd"/>
      <w:r>
        <w:t>, E., &amp; Franzel, S. (2012). Gender and agroforestry in Africa: Are women participating? World Agroforestry Centre Working Paper No. 60. Nairobi, Kenya: ICRAF.</w:t>
      </w:r>
    </w:p>
    <w:p w14:paraId="00BCE6CA" w14:textId="77777777" w:rsidR="00A56C73" w:rsidRDefault="00A56C73" w:rsidP="00A56C73">
      <w:pPr>
        <w:pStyle w:val="Body"/>
        <w:ind w:left="720" w:hanging="720"/>
      </w:pPr>
      <w:r>
        <w:t xml:space="preserve">Landicho, L. D., </w:t>
      </w:r>
      <w:proofErr w:type="spellStart"/>
      <w:r>
        <w:t>Paelmo</w:t>
      </w:r>
      <w:proofErr w:type="spellEnd"/>
      <w:r>
        <w:t>, R. F., De Luna, C., &amp; Visco, R. (2016). Climate change adaptation strategies of smallholder agroforestry farmers in the Philippines. Journal of Environmental Science and Management, 19(1), 1–15.</w:t>
      </w:r>
    </w:p>
    <w:p w14:paraId="407C1B43" w14:textId="61242CA3" w:rsidR="00A56C73" w:rsidRPr="00523482" w:rsidRDefault="00A56C73" w:rsidP="00A56C73">
      <w:pPr>
        <w:pStyle w:val="Body"/>
        <w:ind w:left="720" w:hanging="720"/>
      </w:pPr>
      <w:r w:rsidRPr="00523482">
        <w:lastRenderedPageBreak/>
        <w:t xml:space="preserve">Lasco, R. D., Delfino, R. J. P., &amp; </w:t>
      </w:r>
      <w:proofErr w:type="spellStart"/>
      <w:r w:rsidRPr="00523482">
        <w:t>Espaldon</w:t>
      </w:r>
      <w:proofErr w:type="spellEnd"/>
      <w:r w:rsidRPr="00523482">
        <w:t xml:space="preserve">, M. L. O. (2014). Agroforestry systems: Helping smallholders adapt to climate risks while mitigating climate change. WIREs Climate Change, 5(6), 825–833. </w:t>
      </w:r>
      <w:hyperlink r:id="rId10" w:history="1">
        <w:r w:rsidRPr="00523482">
          <w:rPr>
            <w:rStyle w:val="Hyperlink"/>
            <w:color w:val="auto"/>
            <w:u w:val="none"/>
          </w:rPr>
          <w:t>https://doi.org/10.1002/wcc.301</w:t>
        </w:r>
      </w:hyperlink>
    </w:p>
    <w:p w14:paraId="7C2ED4D2" w14:textId="0891126A" w:rsidR="00A56C73" w:rsidRDefault="00A56C73" w:rsidP="00A56C73">
      <w:pPr>
        <w:pStyle w:val="Body"/>
        <w:ind w:left="720" w:hanging="720"/>
      </w:pPr>
      <w:r>
        <w:t xml:space="preserve">Lasco, R. D., &amp; </w:t>
      </w:r>
      <w:proofErr w:type="spellStart"/>
      <w:r>
        <w:t>Pulhin</w:t>
      </w:r>
      <w:proofErr w:type="spellEnd"/>
      <w:r>
        <w:t>, F. B. (2003). Philippine forest ecosystems and climate change: Carbon stocks, rate of sequestration, and the Kyoto Protocol. Annals of Tropical Research, 25(2), 37–51.</w:t>
      </w:r>
    </w:p>
    <w:p w14:paraId="4D3E850B" w14:textId="6482F0A1" w:rsidR="00A56C73" w:rsidRDefault="00A56C73" w:rsidP="00A56C73">
      <w:pPr>
        <w:pStyle w:val="Body"/>
        <w:spacing w:after="0"/>
        <w:ind w:left="720" w:hanging="720"/>
      </w:pPr>
      <w:proofErr w:type="spellStart"/>
      <w:r>
        <w:t>Lumogdang</w:t>
      </w:r>
      <w:proofErr w:type="spellEnd"/>
      <w:r>
        <w:t xml:space="preserve">, L. P., </w:t>
      </w:r>
      <w:proofErr w:type="spellStart"/>
      <w:r>
        <w:t>Madalmingan</w:t>
      </w:r>
      <w:proofErr w:type="spellEnd"/>
      <w:r>
        <w:t xml:space="preserve">, C. V., &amp; </w:t>
      </w:r>
      <w:proofErr w:type="spellStart"/>
      <w:r>
        <w:t>Caluboy</w:t>
      </w:r>
      <w:proofErr w:type="spellEnd"/>
      <w:r>
        <w:t xml:space="preserve">, J. R. C. (2023). Carbon sequestration potential of selected tree species in </w:t>
      </w:r>
      <w:proofErr w:type="spellStart"/>
      <w:r>
        <w:t>Bolila</w:t>
      </w:r>
      <w:proofErr w:type="spellEnd"/>
      <w:r>
        <w:t xml:space="preserve">, </w:t>
      </w:r>
      <w:proofErr w:type="spellStart"/>
      <w:r>
        <w:t>Malita</w:t>
      </w:r>
      <w:proofErr w:type="spellEnd"/>
      <w:r>
        <w:t>, Davao Occidental, Philippines. Journal of Biodiversity and Environmental Sciences, 42(3), 15–24.</w:t>
      </w:r>
    </w:p>
    <w:p w14:paraId="6A01805A" w14:textId="77777777" w:rsidR="00A56C73" w:rsidRPr="00A56C73" w:rsidRDefault="00A56C73" w:rsidP="00A56C73">
      <w:pPr>
        <w:pStyle w:val="Body"/>
        <w:spacing w:after="0"/>
        <w:ind w:left="720" w:hanging="720"/>
      </w:pPr>
    </w:p>
    <w:p w14:paraId="6EFC7F38" w14:textId="2725AAE6" w:rsidR="00A56C73" w:rsidRPr="00A56C73" w:rsidRDefault="00A56C73" w:rsidP="00A56C73">
      <w:pPr>
        <w:ind w:left="720" w:hanging="720"/>
        <w:jc w:val="both"/>
        <w:rPr>
          <w:rFonts w:ascii="Arial" w:hAnsi="Arial" w:cs="Arial"/>
        </w:rPr>
      </w:pPr>
      <w:proofErr w:type="spellStart"/>
      <w:r w:rsidRPr="00A56C73">
        <w:rPr>
          <w:rFonts w:ascii="Arial" w:hAnsi="Arial" w:cs="Arial"/>
        </w:rPr>
        <w:t>Montagnini</w:t>
      </w:r>
      <w:proofErr w:type="spellEnd"/>
      <w:r w:rsidRPr="00A56C73">
        <w:rPr>
          <w:rFonts w:ascii="Arial" w:hAnsi="Arial" w:cs="Arial"/>
        </w:rPr>
        <w:t xml:space="preserve">, F., &amp; Metzel, R. (2020). Agroforestry as a climate change mitigation and adaptation strategy: Opportunities and trade-offs. Agroforestry Systems, 94(4), 993–1005. </w:t>
      </w:r>
      <w:hyperlink r:id="rId11" w:history="1">
        <w:r w:rsidRPr="00A56C73">
          <w:rPr>
            <w:rStyle w:val="Hyperlink"/>
            <w:rFonts w:ascii="Arial" w:hAnsi="Arial" w:cs="Arial"/>
            <w:color w:val="auto"/>
            <w:u w:val="none"/>
          </w:rPr>
          <w:t>https://doi.org/10.1007/s10457-019-00474-0</w:t>
        </w:r>
      </w:hyperlink>
    </w:p>
    <w:p w14:paraId="49656C1C" w14:textId="77777777" w:rsidR="00A56C73" w:rsidRPr="00A56C73" w:rsidRDefault="00A56C73" w:rsidP="00A56C73">
      <w:pPr>
        <w:ind w:left="720" w:hanging="720"/>
        <w:jc w:val="both"/>
        <w:rPr>
          <w:rFonts w:ascii="Arial" w:hAnsi="Arial" w:cs="Arial"/>
        </w:rPr>
      </w:pPr>
    </w:p>
    <w:p w14:paraId="67A9873F" w14:textId="77777777" w:rsidR="00A56C73" w:rsidRPr="00A56C73" w:rsidRDefault="00A56C73" w:rsidP="00A56C73">
      <w:pPr>
        <w:ind w:left="720" w:hanging="720"/>
        <w:jc w:val="both"/>
        <w:rPr>
          <w:rFonts w:ascii="Arial" w:hAnsi="Arial" w:cs="Arial"/>
        </w:rPr>
      </w:pPr>
      <w:proofErr w:type="spellStart"/>
      <w:r w:rsidRPr="00A56C73">
        <w:rPr>
          <w:rFonts w:ascii="Arial" w:hAnsi="Arial" w:cs="Arial"/>
        </w:rPr>
        <w:t>Mulyoutami</w:t>
      </w:r>
      <w:proofErr w:type="spellEnd"/>
      <w:r w:rsidRPr="00A56C73">
        <w:rPr>
          <w:rFonts w:ascii="Arial" w:hAnsi="Arial" w:cs="Arial"/>
        </w:rPr>
        <w:t>, E., Martini, E., &amp; Joshi, L. (2021). Social dynamics and learning in agroforestry adoption among smallholders in Indonesia. International Forestry Review, 23(3), 310–322.</w:t>
      </w:r>
    </w:p>
    <w:p w14:paraId="3648D8DB" w14:textId="77777777" w:rsidR="00A56C73" w:rsidRPr="00A56C73" w:rsidRDefault="00A56C73" w:rsidP="00A56C73">
      <w:pPr>
        <w:ind w:left="720" w:hanging="720"/>
        <w:jc w:val="both"/>
        <w:rPr>
          <w:rFonts w:ascii="Arial" w:hAnsi="Arial" w:cs="Arial"/>
        </w:rPr>
      </w:pPr>
    </w:p>
    <w:p w14:paraId="6DB6581F" w14:textId="10613738" w:rsidR="00A56C73" w:rsidRPr="00A56C73" w:rsidRDefault="00A56C73" w:rsidP="00A56C73">
      <w:pPr>
        <w:ind w:left="720" w:hanging="720"/>
        <w:jc w:val="both"/>
        <w:rPr>
          <w:rFonts w:ascii="Arial" w:hAnsi="Arial" w:cs="Arial"/>
        </w:rPr>
      </w:pPr>
      <w:r w:rsidRPr="00A56C73">
        <w:rPr>
          <w:rFonts w:ascii="Arial" w:hAnsi="Arial" w:cs="Arial"/>
        </w:rPr>
        <w:t xml:space="preserve">Nair, P. K. R., Mohan Kumar, B., &amp; Nair, V. D. (2024). Soil carbon and nitrogen enrichment through agroforestry: Global patterns and processes. Plant and Soil, 494(2), 321–340. </w:t>
      </w:r>
      <w:hyperlink r:id="rId12" w:history="1">
        <w:r w:rsidRPr="00A56C73">
          <w:rPr>
            <w:rStyle w:val="Hyperlink"/>
            <w:rFonts w:ascii="Arial" w:hAnsi="Arial" w:cs="Arial"/>
            <w:color w:val="auto"/>
            <w:u w:val="none"/>
          </w:rPr>
          <w:t>https://doi.org/10.1007/s11104-024-06549-5</w:t>
        </w:r>
      </w:hyperlink>
    </w:p>
    <w:p w14:paraId="5D78CD70" w14:textId="77777777" w:rsidR="00A56C73" w:rsidRPr="00A56C73" w:rsidRDefault="00A56C73" w:rsidP="00A56C73">
      <w:pPr>
        <w:ind w:left="720" w:hanging="720"/>
        <w:jc w:val="both"/>
        <w:rPr>
          <w:rFonts w:ascii="Arial" w:hAnsi="Arial" w:cs="Arial"/>
        </w:rPr>
      </w:pPr>
    </w:p>
    <w:p w14:paraId="075F8E1C" w14:textId="08E544E4" w:rsidR="00A56C73" w:rsidRPr="00A56C73" w:rsidRDefault="00A56C73" w:rsidP="00A56C73">
      <w:pPr>
        <w:ind w:left="720" w:hanging="720"/>
        <w:jc w:val="both"/>
        <w:rPr>
          <w:rFonts w:ascii="Arial" w:hAnsi="Arial" w:cs="Arial"/>
        </w:rPr>
      </w:pPr>
      <w:proofErr w:type="spellStart"/>
      <w:r w:rsidRPr="00A56C73">
        <w:rPr>
          <w:rFonts w:ascii="Arial" w:hAnsi="Arial" w:cs="Arial"/>
        </w:rPr>
        <w:t>Ndayambaje</w:t>
      </w:r>
      <w:proofErr w:type="spellEnd"/>
      <w:r w:rsidRPr="00A56C73">
        <w:rPr>
          <w:rFonts w:ascii="Arial" w:hAnsi="Arial" w:cs="Arial"/>
        </w:rPr>
        <w:t xml:space="preserve">, J. D., </w:t>
      </w:r>
      <w:proofErr w:type="spellStart"/>
      <w:r w:rsidRPr="00A56C73">
        <w:rPr>
          <w:rFonts w:ascii="Arial" w:hAnsi="Arial" w:cs="Arial"/>
        </w:rPr>
        <w:t>Uwineza</w:t>
      </w:r>
      <w:proofErr w:type="spellEnd"/>
      <w:r w:rsidRPr="00A56C73">
        <w:rPr>
          <w:rFonts w:ascii="Arial" w:hAnsi="Arial" w:cs="Arial"/>
        </w:rPr>
        <w:t xml:space="preserve">, C., &amp; Mukuralinda, A. (2023). Farmers’ perceptions and ecological benefits of agroforestry in Rwanda. Agroforestry Systems, 97(1), 45–60. </w:t>
      </w:r>
      <w:hyperlink r:id="rId13" w:history="1">
        <w:r w:rsidRPr="00A56C73">
          <w:rPr>
            <w:rStyle w:val="Hyperlink"/>
            <w:rFonts w:ascii="Arial" w:hAnsi="Arial" w:cs="Arial"/>
            <w:color w:val="auto"/>
            <w:u w:val="none"/>
          </w:rPr>
          <w:t>https://doi.org/10.1007/s10457-022-00777-5</w:t>
        </w:r>
      </w:hyperlink>
    </w:p>
    <w:p w14:paraId="52C56753" w14:textId="77777777" w:rsidR="00A56C73" w:rsidRPr="00A56C73" w:rsidRDefault="00A56C73" w:rsidP="00A56C73">
      <w:pPr>
        <w:ind w:left="720" w:hanging="720"/>
        <w:jc w:val="both"/>
        <w:rPr>
          <w:rFonts w:ascii="Arial" w:hAnsi="Arial" w:cs="Arial"/>
        </w:rPr>
      </w:pPr>
    </w:p>
    <w:p w14:paraId="77DB6A90" w14:textId="77777777" w:rsidR="00A56C73" w:rsidRPr="00A56C73" w:rsidRDefault="00A56C73" w:rsidP="00A56C73">
      <w:pPr>
        <w:ind w:left="720" w:hanging="720"/>
        <w:jc w:val="both"/>
        <w:rPr>
          <w:rFonts w:ascii="Arial" w:hAnsi="Arial" w:cs="Arial"/>
        </w:rPr>
      </w:pPr>
      <w:r w:rsidRPr="00A56C73">
        <w:rPr>
          <w:rFonts w:ascii="Arial" w:hAnsi="Arial" w:cs="Arial"/>
        </w:rPr>
        <w:t>Nguyen, T. L. (2023). Determinants of sustainable agroforestry adoption in upland Vietnam. Journal of Rural Studies, 102, 1–12.</w:t>
      </w:r>
    </w:p>
    <w:p w14:paraId="114B5B95" w14:textId="77777777" w:rsidR="00A56C73" w:rsidRPr="00A56C73" w:rsidRDefault="00A56C73" w:rsidP="00A56C73">
      <w:pPr>
        <w:ind w:left="720" w:hanging="720"/>
        <w:jc w:val="both"/>
        <w:rPr>
          <w:rFonts w:ascii="Arial" w:hAnsi="Arial" w:cs="Arial"/>
        </w:rPr>
      </w:pPr>
    </w:p>
    <w:p w14:paraId="3793FE77" w14:textId="09903731" w:rsidR="00A56C73" w:rsidRPr="00A56C73" w:rsidRDefault="00A56C73" w:rsidP="00A56C73">
      <w:pPr>
        <w:ind w:left="720" w:hanging="720"/>
        <w:jc w:val="both"/>
        <w:rPr>
          <w:rFonts w:ascii="Arial" w:hAnsi="Arial" w:cs="Arial"/>
        </w:rPr>
      </w:pPr>
      <w:r w:rsidRPr="00A56C73">
        <w:rPr>
          <w:rFonts w:ascii="Arial" w:hAnsi="Arial" w:cs="Arial"/>
        </w:rPr>
        <w:t xml:space="preserve">Nguyen, T. L., Tran, D. H., &amp; Pham, N. C. (2022). Determinants of adopting climate adaptation strategies among smallholder upland farmers in Southeast Asia. Forest and Society, 6(2), 155–171. </w:t>
      </w:r>
      <w:hyperlink r:id="rId14" w:history="1">
        <w:r w:rsidRPr="00A56C73">
          <w:rPr>
            <w:rStyle w:val="Hyperlink"/>
            <w:rFonts w:ascii="Arial" w:hAnsi="Arial" w:cs="Arial"/>
            <w:color w:val="auto"/>
            <w:u w:val="none"/>
          </w:rPr>
          <w:t>https://doi.org/10.24259/fs.v6i2.22641</w:t>
        </w:r>
      </w:hyperlink>
    </w:p>
    <w:p w14:paraId="739A09F3" w14:textId="77777777" w:rsidR="00A56C73" w:rsidRPr="00A56C73" w:rsidRDefault="00A56C73" w:rsidP="00A56C73">
      <w:pPr>
        <w:ind w:left="720" w:hanging="720"/>
        <w:jc w:val="both"/>
        <w:rPr>
          <w:rFonts w:ascii="Arial" w:hAnsi="Arial" w:cs="Arial"/>
        </w:rPr>
      </w:pPr>
    </w:p>
    <w:p w14:paraId="4395E14A" w14:textId="17569689" w:rsidR="00A56C73" w:rsidRPr="00A56C73" w:rsidRDefault="00A56C73" w:rsidP="00A56C73">
      <w:pPr>
        <w:ind w:left="720" w:hanging="720"/>
        <w:jc w:val="both"/>
        <w:rPr>
          <w:rFonts w:ascii="Arial" w:hAnsi="Arial" w:cs="Arial"/>
        </w:rPr>
      </w:pPr>
      <w:r w:rsidRPr="00A56C73">
        <w:rPr>
          <w:rFonts w:ascii="Arial" w:hAnsi="Arial" w:cs="Arial"/>
        </w:rPr>
        <w:t xml:space="preserve">Pham, T. T., </w:t>
      </w:r>
      <w:proofErr w:type="spellStart"/>
      <w:r w:rsidRPr="00A56C73">
        <w:rPr>
          <w:rFonts w:ascii="Arial" w:hAnsi="Arial" w:cs="Arial"/>
        </w:rPr>
        <w:t>Moeliono</w:t>
      </w:r>
      <w:proofErr w:type="spellEnd"/>
      <w:r w:rsidRPr="00A56C73">
        <w:rPr>
          <w:rFonts w:ascii="Arial" w:hAnsi="Arial" w:cs="Arial"/>
        </w:rPr>
        <w:t xml:space="preserve">, M., &amp; Le, H. T. (2020). Carbon sequestration potential of agroforestry systems in Vietnam. Land, 9(12), 528. </w:t>
      </w:r>
      <w:hyperlink r:id="rId15" w:history="1">
        <w:r w:rsidRPr="00A56C73">
          <w:rPr>
            <w:rStyle w:val="Hyperlink"/>
            <w:rFonts w:ascii="Arial" w:hAnsi="Arial" w:cs="Arial"/>
            <w:color w:val="auto"/>
            <w:u w:val="none"/>
          </w:rPr>
          <w:t>https://doi.org/10.3390/land9120528</w:t>
        </w:r>
      </w:hyperlink>
    </w:p>
    <w:p w14:paraId="7D90A8ED" w14:textId="77777777" w:rsidR="00A56C73" w:rsidRPr="00A56C73" w:rsidRDefault="00A56C73" w:rsidP="00A56C73">
      <w:pPr>
        <w:ind w:left="720" w:hanging="720"/>
        <w:jc w:val="both"/>
        <w:rPr>
          <w:rFonts w:ascii="Arial" w:hAnsi="Arial" w:cs="Arial"/>
        </w:rPr>
      </w:pPr>
    </w:p>
    <w:p w14:paraId="67F0A75A" w14:textId="5FDE74D1" w:rsidR="00A56C73" w:rsidRPr="00A56C73" w:rsidRDefault="00A56C73" w:rsidP="00A56C73">
      <w:pPr>
        <w:ind w:left="720" w:hanging="720"/>
        <w:jc w:val="both"/>
        <w:rPr>
          <w:rFonts w:ascii="Arial" w:hAnsi="Arial" w:cs="Arial"/>
        </w:rPr>
      </w:pPr>
      <w:r w:rsidRPr="00A56C73">
        <w:rPr>
          <w:rFonts w:ascii="Arial" w:hAnsi="Arial" w:cs="Arial"/>
        </w:rPr>
        <w:t xml:space="preserve">Rahman, S. A., Sunderland, T., Roshetko, J. M., &amp; Healey, J. R. (2021). Trees, climate, and livelihoods: Benefits of smallholder agroforestry across tropical landscapes. Forest Ecology and Management, 482, 118905. </w:t>
      </w:r>
      <w:hyperlink r:id="rId16" w:history="1">
        <w:r w:rsidRPr="00A56C73">
          <w:rPr>
            <w:rStyle w:val="Hyperlink"/>
            <w:rFonts w:ascii="Arial" w:hAnsi="Arial" w:cs="Arial"/>
            <w:color w:val="auto"/>
            <w:u w:val="none"/>
          </w:rPr>
          <w:t>https://doi.org/10.1016/j.foreco.2020.118905</w:t>
        </w:r>
      </w:hyperlink>
    </w:p>
    <w:p w14:paraId="790C1094" w14:textId="77777777" w:rsidR="00A56C73" w:rsidRPr="00A56C73" w:rsidRDefault="00A56C73" w:rsidP="00A56C73">
      <w:pPr>
        <w:ind w:left="720" w:hanging="720"/>
        <w:jc w:val="both"/>
        <w:rPr>
          <w:rFonts w:ascii="Arial" w:hAnsi="Arial" w:cs="Arial"/>
        </w:rPr>
      </w:pPr>
    </w:p>
    <w:p w14:paraId="16510EE0" w14:textId="77777777" w:rsidR="00A56C73" w:rsidRPr="00A56C73" w:rsidRDefault="00A56C73" w:rsidP="00A56C73">
      <w:pPr>
        <w:ind w:left="720" w:hanging="720"/>
        <w:jc w:val="both"/>
        <w:rPr>
          <w:rFonts w:ascii="Arial" w:hAnsi="Arial" w:cs="Arial"/>
        </w:rPr>
      </w:pPr>
      <w:r w:rsidRPr="00A56C73">
        <w:rPr>
          <w:rFonts w:ascii="Arial" w:hAnsi="Arial" w:cs="Arial"/>
        </w:rPr>
        <w:t>Rizvi, J. (2021). Policy integration for smallholder agroforestry and climate change mitigation in ASEAN. Land Use Policy, 105, 105421.</w:t>
      </w:r>
    </w:p>
    <w:p w14:paraId="3FC1C804" w14:textId="77777777" w:rsidR="00A56C73" w:rsidRPr="00A56C73" w:rsidRDefault="00A56C73" w:rsidP="00A56C73">
      <w:pPr>
        <w:ind w:left="720" w:hanging="720"/>
        <w:jc w:val="both"/>
        <w:rPr>
          <w:rFonts w:ascii="Arial" w:hAnsi="Arial" w:cs="Arial"/>
        </w:rPr>
      </w:pPr>
    </w:p>
    <w:p w14:paraId="3EB45F6C" w14:textId="77777777" w:rsidR="00A56C73" w:rsidRPr="00A56C73" w:rsidRDefault="00A56C73" w:rsidP="00A56C73">
      <w:pPr>
        <w:ind w:left="720" w:hanging="720"/>
        <w:jc w:val="both"/>
        <w:rPr>
          <w:rFonts w:ascii="Arial" w:hAnsi="Arial" w:cs="Arial"/>
        </w:rPr>
      </w:pPr>
      <w:r w:rsidRPr="00A56C73">
        <w:rPr>
          <w:rFonts w:ascii="Arial" w:hAnsi="Arial" w:cs="Arial"/>
        </w:rPr>
        <w:t>Scoones, I., &amp; Stirling, A. (2020). The politics of uncertainty: Challenges of transformation. London: Routledge.</w:t>
      </w:r>
    </w:p>
    <w:p w14:paraId="28BD86FB" w14:textId="011A041A" w:rsidR="00A56C73" w:rsidRPr="00A56C73" w:rsidRDefault="00A56C73" w:rsidP="00A56C73">
      <w:pPr>
        <w:ind w:left="720" w:hanging="720"/>
        <w:jc w:val="both"/>
        <w:rPr>
          <w:rFonts w:ascii="Arial" w:hAnsi="Arial" w:cs="Arial"/>
        </w:rPr>
      </w:pPr>
      <w:r w:rsidRPr="00A56C73">
        <w:rPr>
          <w:rFonts w:ascii="Arial" w:hAnsi="Arial" w:cs="Arial"/>
        </w:rPr>
        <w:t xml:space="preserve">Sida, T. S., Kumar, B. M., &amp; Singh, A. K. (2022). Agroforestry practices for food and environmental security in South Asia. Agroforestry Systems, 96(3), 547–566. </w:t>
      </w:r>
      <w:hyperlink r:id="rId17" w:history="1">
        <w:r w:rsidRPr="00A56C73">
          <w:rPr>
            <w:rStyle w:val="Hyperlink"/>
            <w:rFonts w:ascii="Arial" w:hAnsi="Arial" w:cs="Arial"/>
            <w:color w:val="auto"/>
            <w:u w:val="none"/>
          </w:rPr>
          <w:t>https://doi.org/10.1007/s10457-021-00727-3</w:t>
        </w:r>
      </w:hyperlink>
    </w:p>
    <w:p w14:paraId="3EDD9215" w14:textId="77777777" w:rsidR="00A56C73" w:rsidRPr="00A56C73" w:rsidRDefault="00A56C73" w:rsidP="00A56C73">
      <w:pPr>
        <w:ind w:left="720" w:hanging="720"/>
        <w:jc w:val="both"/>
        <w:rPr>
          <w:rFonts w:ascii="Arial" w:hAnsi="Arial" w:cs="Arial"/>
        </w:rPr>
      </w:pPr>
    </w:p>
    <w:p w14:paraId="09F00F5F" w14:textId="77777777" w:rsidR="00A56C73" w:rsidRPr="00A56C73" w:rsidRDefault="00A56C73" w:rsidP="00A56C73">
      <w:pPr>
        <w:ind w:left="720" w:hanging="720"/>
        <w:jc w:val="both"/>
        <w:rPr>
          <w:rFonts w:ascii="Arial" w:hAnsi="Arial" w:cs="Arial"/>
        </w:rPr>
      </w:pPr>
      <w:proofErr w:type="spellStart"/>
      <w:r w:rsidRPr="00A56C73">
        <w:rPr>
          <w:rFonts w:ascii="Arial" w:hAnsi="Arial" w:cs="Arial"/>
        </w:rPr>
        <w:lastRenderedPageBreak/>
        <w:t>Sutthacharoen</w:t>
      </w:r>
      <w:proofErr w:type="spellEnd"/>
      <w:r w:rsidRPr="00A56C73">
        <w:rPr>
          <w:rFonts w:ascii="Arial" w:hAnsi="Arial" w:cs="Arial"/>
        </w:rPr>
        <w:t xml:space="preserve">, P., </w:t>
      </w:r>
      <w:proofErr w:type="spellStart"/>
      <w:r w:rsidRPr="00A56C73">
        <w:rPr>
          <w:rFonts w:ascii="Arial" w:hAnsi="Arial" w:cs="Arial"/>
        </w:rPr>
        <w:t>Phonphakdee</w:t>
      </w:r>
      <w:proofErr w:type="spellEnd"/>
      <w:r w:rsidRPr="00A56C73">
        <w:rPr>
          <w:rFonts w:ascii="Arial" w:hAnsi="Arial" w:cs="Arial"/>
        </w:rPr>
        <w:t xml:space="preserve">, B., &amp; </w:t>
      </w:r>
      <w:proofErr w:type="spellStart"/>
      <w:r w:rsidRPr="00A56C73">
        <w:rPr>
          <w:rFonts w:ascii="Arial" w:hAnsi="Arial" w:cs="Arial"/>
        </w:rPr>
        <w:t>Thongdonphum</w:t>
      </w:r>
      <w:proofErr w:type="spellEnd"/>
      <w:r w:rsidRPr="00A56C73">
        <w:rPr>
          <w:rFonts w:ascii="Arial" w:hAnsi="Arial" w:cs="Arial"/>
        </w:rPr>
        <w:t>, B. (2022). Climate-smart agroforestry for carbon management in Thailand. Environment, Development and Sustainability, 24(7), 9532–9549.</w:t>
      </w:r>
    </w:p>
    <w:p w14:paraId="21C7BDCE" w14:textId="77777777" w:rsidR="00A56C73" w:rsidRPr="00A56C73" w:rsidRDefault="00A56C73" w:rsidP="00A56C73">
      <w:pPr>
        <w:ind w:left="720" w:hanging="720"/>
        <w:jc w:val="both"/>
        <w:rPr>
          <w:rFonts w:ascii="Arial" w:hAnsi="Arial" w:cs="Arial"/>
        </w:rPr>
      </w:pPr>
    </w:p>
    <w:p w14:paraId="598A6E3A" w14:textId="77777777" w:rsidR="00A56C73" w:rsidRPr="00A56C73" w:rsidRDefault="00A56C73" w:rsidP="00A56C73">
      <w:pPr>
        <w:ind w:left="720" w:hanging="720"/>
        <w:jc w:val="both"/>
        <w:rPr>
          <w:rFonts w:ascii="Arial" w:hAnsi="Arial" w:cs="Arial"/>
        </w:rPr>
      </w:pPr>
      <w:proofErr w:type="spellStart"/>
      <w:r w:rsidRPr="00A56C73">
        <w:rPr>
          <w:rFonts w:ascii="Arial" w:hAnsi="Arial" w:cs="Arial"/>
        </w:rPr>
        <w:t>Tabal</w:t>
      </w:r>
      <w:proofErr w:type="spellEnd"/>
      <w:r w:rsidRPr="00A56C73">
        <w:rPr>
          <w:rFonts w:ascii="Arial" w:hAnsi="Arial" w:cs="Arial"/>
        </w:rPr>
        <w:t>, E. P., &amp; Mendoza, T. C. (2020). Accounting the net carbon sequestered of various agroforestry systems (AFSs) in Zamboanga City, Philippines. International Journal of Agricultural Technology, 16(2), 457–474.</w:t>
      </w:r>
    </w:p>
    <w:p w14:paraId="1252E19C" w14:textId="77777777" w:rsidR="00A56C73" w:rsidRPr="00A56C73" w:rsidRDefault="00A56C73" w:rsidP="00A56C73">
      <w:pPr>
        <w:ind w:left="720" w:hanging="720"/>
        <w:jc w:val="both"/>
        <w:rPr>
          <w:rFonts w:ascii="Arial" w:hAnsi="Arial" w:cs="Arial"/>
        </w:rPr>
      </w:pPr>
    </w:p>
    <w:p w14:paraId="2EB3822F" w14:textId="649DE699" w:rsidR="00A56C73" w:rsidRPr="00A56C73" w:rsidRDefault="00A56C73" w:rsidP="00A56C73">
      <w:pPr>
        <w:ind w:left="720" w:hanging="720"/>
        <w:jc w:val="both"/>
        <w:rPr>
          <w:rFonts w:ascii="Arial" w:hAnsi="Arial" w:cs="Arial"/>
        </w:rPr>
      </w:pPr>
      <w:r w:rsidRPr="00A56C73">
        <w:rPr>
          <w:rFonts w:ascii="Arial" w:hAnsi="Arial" w:cs="Arial"/>
        </w:rPr>
        <w:t xml:space="preserve">Van Noordwijk, M., Coe, R., Sinclair, F. L., &amp; </w:t>
      </w:r>
      <w:proofErr w:type="spellStart"/>
      <w:r w:rsidRPr="00A56C73">
        <w:rPr>
          <w:rFonts w:ascii="Arial" w:hAnsi="Arial" w:cs="Arial"/>
        </w:rPr>
        <w:t>Hairiah</w:t>
      </w:r>
      <w:proofErr w:type="spellEnd"/>
      <w:r w:rsidRPr="00A56C73">
        <w:rPr>
          <w:rFonts w:ascii="Arial" w:hAnsi="Arial" w:cs="Arial"/>
        </w:rPr>
        <w:t xml:space="preserve">, K. (2023). Agroforestry for climate adaptation and mitigation: Balancing global and local benefits. Environmental Research Letters, 18(6), 065002. </w:t>
      </w:r>
      <w:hyperlink r:id="rId18" w:history="1">
        <w:r w:rsidRPr="00A56C73">
          <w:rPr>
            <w:rStyle w:val="Hyperlink"/>
            <w:rFonts w:ascii="Arial" w:hAnsi="Arial" w:cs="Arial"/>
            <w:color w:val="auto"/>
            <w:u w:val="none"/>
          </w:rPr>
          <w:t>https://doi.org/10.1088/1748-9326/acd4b9</w:t>
        </w:r>
      </w:hyperlink>
    </w:p>
    <w:p w14:paraId="4C9A8271" w14:textId="77777777" w:rsidR="00A56C73" w:rsidRPr="00A56C73" w:rsidRDefault="00A56C73" w:rsidP="00A56C73">
      <w:pPr>
        <w:ind w:left="720" w:hanging="720"/>
        <w:jc w:val="both"/>
        <w:rPr>
          <w:rFonts w:ascii="Arial" w:hAnsi="Arial" w:cs="Arial"/>
        </w:rPr>
      </w:pPr>
    </w:p>
    <w:p w14:paraId="37961A1E" w14:textId="0F1F35D5" w:rsidR="00A56C73" w:rsidRPr="00A56C73" w:rsidRDefault="00A56C73" w:rsidP="00A56C73">
      <w:pPr>
        <w:ind w:left="720" w:hanging="720"/>
        <w:jc w:val="both"/>
        <w:rPr>
          <w:rFonts w:ascii="Arial" w:hAnsi="Arial" w:cs="Arial"/>
        </w:rPr>
      </w:pPr>
      <w:r w:rsidRPr="00A56C73">
        <w:rPr>
          <w:rFonts w:ascii="Arial" w:hAnsi="Arial" w:cs="Arial"/>
        </w:rPr>
        <w:t xml:space="preserve">Verchot, L. V., Van Noordwijk, M., Kandji, S., Tomich, T., Ong, C., Albrecht, A., Mackensen, J., Bantilan, C., Anupama, K. V., &amp; Palm, C. (2007). Climate change: Linking adaptation and mitigation through agroforestry. Mitigation and Adaptation Strategies for Global Change, 12(5), 901–918. </w:t>
      </w:r>
      <w:hyperlink r:id="rId19" w:history="1">
        <w:r w:rsidRPr="00A56C73">
          <w:rPr>
            <w:rStyle w:val="Hyperlink"/>
            <w:rFonts w:ascii="Arial" w:hAnsi="Arial" w:cs="Arial"/>
            <w:color w:val="auto"/>
            <w:u w:val="none"/>
          </w:rPr>
          <w:t>https://doi.org/10.1007/s11027-007-9105-6</w:t>
        </w:r>
      </w:hyperlink>
    </w:p>
    <w:p w14:paraId="74776FAB" w14:textId="77777777" w:rsidR="00A56C73" w:rsidRPr="00A56C73" w:rsidRDefault="00A56C73" w:rsidP="00A56C73">
      <w:pPr>
        <w:ind w:left="720" w:hanging="720"/>
        <w:jc w:val="both"/>
        <w:rPr>
          <w:rFonts w:ascii="Arial" w:hAnsi="Arial" w:cs="Arial"/>
        </w:rPr>
      </w:pPr>
    </w:p>
    <w:p w14:paraId="1474D0F6" w14:textId="77777777" w:rsidR="00A56C73" w:rsidRPr="00A56C73" w:rsidRDefault="00A56C73" w:rsidP="00A56C73">
      <w:pPr>
        <w:ind w:left="720" w:hanging="720"/>
        <w:jc w:val="both"/>
        <w:rPr>
          <w:rFonts w:ascii="Arial" w:hAnsi="Arial" w:cs="Arial"/>
        </w:rPr>
      </w:pPr>
      <w:proofErr w:type="spellStart"/>
      <w:r w:rsidRPr="00A56C73">
        <w:rPr>
          <w:rFonts w:ascii="Arial" w:hAnsi="Arial" w:cs="Arial"/>
        </w:rPr>
        <w:t>Wijitkosum</w:t>
      </w:r>
      <w:proofErr w:type="spellEnd"/>
      <w:r w:rsidRPr="00A56C73">
        <w:rPr>
          <w:rFonts w:ascii="Arial" w:hAnsi="Arial" w:cs="Arial"/>
        </w:rPr>
        <w:t xml:space="preserve">, S., &amp; </w:t>
      </w:r>
      <w:proofErr w:type="spellStart"/>
      <w:r w:rsidRPr="00A56C73">
        <w:rPr>
          <w:rFonts w:ascii="Arial" w:hAnsi="Arial" w:cs="Arial"/>
        </w:rPr>
        <w:t>Sriburi</w:t>
      </w:r>
      <w:proofErr w:type="spellEnd"/>
      <w:r w:rsidRPr="00A56C73">
        <w:rPr>
          <w:rFonts w:ascii="Arial" w:hAnsi="Arial" w:cs="Arial"/>
        </w:rPr>
        <w:t>, T. (2023). Landscape-scale agroforestry for climate adaptation and biodiversity restoration in Thailand. Sustainability, 15(4), 3150.</w:t>
      </w:r>
    </w:p>
    <w:p w14:paraId="6EAC7C29" w14:textId="4D757140" w:rsidR="00A56C73" w:rsidRPr="00A56C73" w:rsidRDefault="00A56C73" w:rsidP="00A56C73">
      <w:pPr>
        <w:ind w:left="720" w:hanging="720"/>
        <w:jc w:val="both"/>
        <w:rPr>
          <w:rFonts w:ascii="Arial" w:hAnsi="Arial" w:cs="Arial"/>
        </w:rPr>
      </w:pPr>
    </w:p>
    <w:p w14:paraId="7C4E9D41" w14:textId="77777777" w:rsidR="00A56C73" w:rsidRPr="00A56C73" w:rsidRDefault="00A56C73" w:rsidP="00A56C73">
      <w:pPr>
        <w:ind w:left="720" w:hanging="720"/>
        <w:jc w:val="both"/>
        <w:rPr>
          <w:rFonts w:ascii="Arial" w:hAnsi="Arial" w:cs="Arial"/>
        </w:rPr>
      </w:pPr>
      <w:r w:rsidRPr="00A56C73">
        <w:rPr>
          <w:rFonts w:ascii="Arial" w:hAnsi="Arial" w:cs="Arial"/>
        </w:rPr>
        <w:t xml:space="preserve">Zomer, R. J., Neufeldt, H., Xu, J., Ahrends, A., Bossio, D., Trabucco, A., ... &amp; van </w:t>
      </w:r>
      <w:proofErr w:type="spellStart"/>
      <w:r w:rsidRPr="00A56C73">
        <w:rPr>
          <w:rFonts w:ascii="Arial" w:hAnsi="Arial" w:cs="Arial"/>
        </w:rPr>
        <w:t>Noordwijk</w:t>
      </w:r>
      <w:proofErr w:type="spellEnd"/>
      <w:r w:rsidRPr="00A56C73">
        <w:rPr>
          <w:rFonts w:ascii="Arial" w:hAnsi="Arial" w:cs="Arial"/>
        </w:rPr>
        <w:t xml:space="preserve">, M. (2022). Global tree cover and carbon sequestration potential in agricultural lands through agroforestry expansion. Nature Sustainability, 5(1), 57–65. </w:t>
      </w:r>
      <w:hyperlink r:id="rId20" w:history="1">
        <w:r w:rsidRPr="00A56C73">
          <w:rPr>
            <w:rStyle w:val="Hyperlink"/>
            <w:rFonts w:ascii="Arial" w:hAnsi="Arial" w:cs="Arial"/>
            <w:color w:val="auto"/>
            <w:u w:val="none"/>
          </w:rPr>
          <w:t>https://doi.org/10.1038/s41893-021-00763-8</w:t>
        </w:r>
      </w:hyperlink>
    </w:p>
    <w:p w14:paraId="169CEFC5" w14:textId="3C7B0F4F" w:rsidR="004D4277" w:rsidRPr="00A56C73" w:rsidRDefault="004D4277" w:rsidP="00A56C73">
      <w:pPr>
        <w:ind w:left="720" w:hanging="720"/>
        <w:jc w:val="both"/>
        <w:rPr>
          <w:rFonts w:ascii="Arial" w:hAnsi="Arial" w:cs="Arial"/>
        </w:rPr>
        <w:sectPr w:rsidR="004D4277" w:rsidRPr="00A56C73" w:rsidSect="006A1724">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2016" w:bottom="2016" w:left="2016" w:header="720" w:footer="1123" w:gutter="0"/>
          <w:cols w:space="720"/>
          <w:docGrid w:linePitch="272"/>
        </w:sectPr>
      </w:pPr>
    </w:p>
    <w:p w14:paraId="1DA70D9E" w14:textId="77777777" w:rsidR="00B01FCD" w:rsidRPr="00FB3A86" w:rsidRDefault="00B01FCD" w:rsidP="00441B6F">
      <w:pPr>
        <w:pStyle w:val="Appendix"/>
        <w:spacing w:after="0"/>
        <w:jc w:val="both"/>
        <w:rPr>
          <w:rFonts w:ascii="Arial" w:hAnsi="Arial" w:cs="Arial"/>
          <w:b w:val="0"/>
        </w:rPr>
      </w:pPr>
    </w:p>
    <w:sectPr w:rsidR="00B01FCD" w:rsidRPr="00FB3A86" w:rsidSect="006A17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6D6DE" w14:textId="77777777" w:rsidR="000B722F" w:rsidRDefault="000B722F" w:rsidP="00C37E61">
      <w:r>
        <w:separator/>
      </w:r>
    </w:p>
  </w:endnote>
  <w:endnote w:type="continuationSeparator" w:id="0">
    <w:p w14:paraId="1E198AAC" w14:textId="77777777" w:rsidR="000B722F" w:rsidRDefault="000B72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C13B3" w14:textId="77777777" w:rsidR="007236A8" w:rsidRDefault="00723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034A"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90E63" w14:textId="77777777" w:rsidR="007236A8" w:rsidRDefault="00723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35E42" w14:textId="77777777" w:rsidR="000B722F" w:rsidRDefault="000B722F" w:rsidP="00C37E61">
      <w:r>
        <w:separator/>
      </w:r>
    </w:p>
  </w:footnote>
  <w:footnote w:type="continuationSeparator" w:id="0">
    <w:p w14:paraId="105385E9" w14:textId="77777777" w:rsidR="000B722F" w:rsidRDefault="000B72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6617E" w14:textId="51981AFF" w:rsidR="007236A8" w:rsidRDefault="007236A8">
    <w:pPr>
      <w:pStyle w:val="Header"/>
    </w:pPr>
    <w:r>
      <w:rPr>
        <w:noProof/>
      </w:rPr>
      <w:pict w14:anchorId="157F5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5344" o:spid="_x0000_s2050" type="#_x0000_t136" style="position:absolute;margin-left:0;margin-top:0;width:523.5pt;height:55.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21E9" w14:textId="396131E2" w:rsidR="007236A8" w:rsidRDefault="007236A8">
    <w:pPr>
      <w:pStyle w:val="Header"/>
    </w:pPr>
    <w:r>
      <w:rPr>
        <w:noProof/>
      </w:rPr>
      <w:pict w14:anchorId="1866C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5345" o:spid="_x0000_s2051" type="#_x0000_t136" style="position:absolute;margin-left:0;margin-top:0;width:523.5pt;height:55.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8A7CD" w14:textId="400181E6" w:rsidR="007236A8" w:rsidRDefault="007236A8">
    <w:pPr>
      <w:pStyle w:val="Header"/>
    </w:pPr>
    <w:r>
      <w:rPr>
        <w:noProof/>
      </w:rPr>
      <w:pict w14:anchorId="3638E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5343" o:spid="_x0000_s2049" type="#_x0000_t136" style="position:absolute;margin-left:0;margin-top:0;width:523.5pt;height:55.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0B4F6F"/>
    <w:multiLevelType w:val="hybridMultilevel"/>
    <w:tmpl w:val="B91292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63"/>
    <w:rsid w:val="00000F8F"/>
    <w:rsid w:val="000108D2"/>
    <w:rsid w:val="00030174"/>
    <w:rsid w:val="0004579C"/>
    <w:rsid w:val="000A066D"/>
    <w:rsid w:val="000A47FA"/>
    <w:rsid w:val="000A65D3"/>
    <w:rsid w:val="000B1E33"/>
    <w:rsid w:val="000B64E8"/>
    <w:rsid w:val="000B722F"/>
    <w:rsid w:val="000D689F"/>
    <w:rsid w:val="000E7B7B"/>
    <w:rsid w:val="000E7D62"/>
    <w:rsid w:val="00103357"/>
    <w:rsid w:val="00123C9F"/>
    <w:rsid w:val="00126190"/>
    <w:rsid w:val="00130F17"/>
    <w:rsid w:val="001320BF"/>
    <w:rsid w:val="00163BC4"/>
    <w:rsid w:val="00181318"/>
    <w:rsid w:val="00191062"/>
    <w:rsid w:val="00192B72"/>
    <w:rsid w:val="001931E0"/>
    <w:rsid w:val="001A29D8"/>
    <w:rsid w:val="001A5CAA"/>
    <w:rsid w:val="001B0427"/>
    <w:rsid w:val="001D3A51"/>
    <w:rsid w:val="001E10D2"/>
    <w:rsid w:val="001E25B4"/>
    <w:rsid w:val="001E44FE"/>
    <w:rsid w:val="00200595"/>
    <w:rsid w:val="00204835"/>
    <w:rsid w:val="002224AB"/>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41C7"/>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515A"/>
    <w:rsid w:val="004D305E"/>
    <w:rsid w:val="004D4277"/>
    <w:rsid w:val="00502516"/>
    <w:rsid w:val="00505F06"/>
    <w:rsid w:val="00506828"/>
    <w:rsid w:val="00523482"/>
    <w:rsid w:val="0053056E"/>
    <w:rsid w:val="00554FDA"/>
    <w:rsid w:val="005C784C"/>
    <w:rsid w:val="005D17F6"/>
    <w:rsid w:val="005E3C11"/>
    <w:rsid w:val="005E5539"/>
    <w:rsid w:val="005E692A"/>
    <w:rsid w:val="00602BF5"/>
    <w:rsid w:val="00617FDD"/>
    <w:rsid w:val="00622C85"/>
    <w:rsid w:val="00633614"/>
    <w:rsid w:val="00633F68"/>
    <w:rsid w:val="00636EB2"/>
    <w:rsid w:val="006375B8"/>
    <w:rsid w:val="00654307"/>
    <w:rsid w:val="00662B31"/>
    <w:rsid w:val="0066510A"/>
    <w:rsid w:val="00673F9F"/>
    <w:rsid w:val="0068606E"/>
    <w:rsid w:val="00686953"/>
    <w:rsid w:val="00687DEA"/>
    <w:rsid w:val="00687E67"/>
    <w:rsid w:val="006967F7"/>
    <w:rsid w:val="006A1724"/>
    <w:rsid w:val="006A250C"/>
    <w:rsid w:val="006B21D3"/>
    <w:rsid w:val="006B57D0"/>
    <w:rsid w:val="006D30FF"/>
    <w:rsid w:val="006D6940"/>
    <w:rsid w:val="006F11EC"/>
    <w:rsid w:val="0070082C"/>
    <w:rsid w:val="007236A8"/>
    <w:rsid w:val="007369E6"/>
    <w:rsid w:val="00746E59"/>
    <w:rsid w:val="00754C9A"/>
    <w:rsid w:val="0075599A"/>
    <w:rsid w:val="00761D52"/>
    <w:rsid w:val="0077749E"/>
    <w:rsid w:val="00790ADA"/>
    <w:rsid w:val="007D2288"/>
    <w:rsid w:val="007E088F"/>
    <w:rsid w:val="007F7B32"/>
    <w:rsid w:val="00804BC2"/>
    <w:rsid w:val="0081431A"/>
    <w:rsid w:val="0083216F"/>
    <w:rsid w:val="00846BDC"/>
    <w:rsid w:val="00860000"/>
    <w:rsid w:val="00863BD3"/>
    <w:rsid w:val="008641ED"/>
    <w:rsid w:val="00866D66"/>
    <w:rsid w:val="008671C6"/>
    <w:rsid w:val="00875803"/>
    <w:rsid w:val="008B459E"/>
    <w:rsid w:val="008E13AE"/>
    <w:rsid w:val="008E1506"/>
    <w:rsid w:val="008E710C"/>
    <w:rsid w:val="008F69D6"/>
    <w:rsid w:val="00902823"/>
    <w:rsid w:val="00915CA6"/>
    <w:rsid w:val="00923A1B"/>
    <w:rsid w:val="00927834"/>
    <w:rsid w:val="00943A2F"/>
    <w:rsid w:val="009500A6"/>
    <w:rsid w:val="00957C18"/>
    <w:rsid w:val="009659BA"/>
    <w:rsid w:val="00983040"/>
    <w:rsid w:val="009B3FB9"/>
    <w:rsid w:val="009C2465"/>
    <w:rsid w:val="009D35A0"/>
    <w:rsid w:val="009D3CBB"/>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C73"/>
    <w:rsid w:val="00A57968"/>
    <w:rsid w:val="00A94063"/>
    <w:rsid w:val="00AA6219"/>
    <w:rsid w:val="00AA74E0"/>
    <w:rsid w:val="00AB703F"/>
    <w:rsid w:val="00AC6BB8"/>
    <w:rsid w:val="00AE008F"/>
    <w:rsid w:val="00AE1B50"/>
    <w:rsid w:val="00B01FCD"/>
    <w:rsid w:val="00B1776C"/>
    <w:rsid w:val="00B52583"/>
    <w:rsid w:val="00B52896"/>
    <w:rsid w:val="00B60926"/>
    <w:rsid w:val="00B83E03"/>
    <w:rsid w:val="00B95236"/>
    <w:rsid w:val="00B96BD9"/>
    <w:rsid w:val="00BA1B01"/>
    <w:rsid w:val="00BA2641"/>
    <w:rsid w:val="00BB37AA"/>
    <w:rsid w:val="00BC53A0"/>
    <w:rsid w:val="00BE62AD"/>
    <w:rsid w:val="00BF121F"/>
    <w:rsid w:val="00BF1F80"/>
    <w:rsid w:val="00C166EF"/>
    <w:rsid w:val="00C17EB0"/>
    <w:rsid w:val="00C27F5F"/>
    <w:rsid w:val="00C30A0F"/>
    <w:rsid w:val="00C37DD9"/>
    <w:rsid w:val="00C37E61"/>
    <w:rsid w:val="00C70F1B"/>
    <w:rsid w:val="00C71A47"/>
    <w:rsid w:val="00C7464C"/>
    <w:rsid w:val="00C85588"/>
    <w:rsid w:val="00CD52D1"/>
    <w:rsid w:val="00CD6755"/>
    <w:rsid w:val="00CD6856"/>
    <w:rsid w:val="00CE0089"/>
    <w:rsid w:val="00CE1164"/>
    <w:rsid w:val="00CE793C"/>
    <w:rsid w:val="00CF193C"/>
    <w:rsid w:val="00D173F1"/>
    <w:rsid w:val="00D6038A"/>
    <w:rsid w:val="00D60423"/>
    <w:rsid w:val="00D624C3"/>
    <w:rsid w:val="00D74CB0"/>
    <w:rsid w:val="00D75F33"/>
    <w:rsid w:val="00D8088D"/>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3502"/>
    <w:rsid w:val="00F06F59"/>
    <w:rsid w:val="00F17988"/>
    <w:rsid w:val="00F3494B"/>
    <w:rsid w:val="00F42F56"/>
    <w:rsid w:val="00F469F0"/>
    <w:rsid w:val="00F53273"/>
    <w:rsid w:val="00F55F51"/>
    <w:rsid w:val="00F755E4"/>
    <w:rsid w:val="00F77D02"/>
    <w:rsid w:val="00FB3A86"/>
    <w:rsid w:val="00FD36C8"/>
    <w:rsid w:val="00FE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36A1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81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cli2.70018" TargetMode="External"/><Relationship Id="rId13" Type="http://schemas.openxmlformats.org/officeDocument/2006/relationships/hyperlink" Target="https://doi.org/10.1007/s10457-022-00777-5" TargetMode="External"/><Relationship Id="rId18" Type="http://schemas.openxmlformats.org/officeDocument/2006/relationships/hyperlink" Target="https://doi.org/10.1088/1748-9326/acd4b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07/s11104-024-06549-5" TargetMode="External"/><Relationship Id="rId17" Type="http://schemas.openxmlformats.org/officeDocument/2006/relationships/hyperlink" Target="https://doi.org/10.1007/s10457-021-00727-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16/j.foreco.2020.118905" TargetMode="External"/><Relationship Id="rId20" Type="http://schemas.openxmlformats.org/officeDocument/2006/relationships/hyperlink" Target="https://doi.org/10.1038/s41893-021-0076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457-019-00474-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land912052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02/wcc.301" TargetMode="External"/><Relationship Id="rId19" Type="http://schemas.openxmlformats.org/officeDocument/2006/relationships/hyperlink" Target="https://doi.org/10.1007/s11027-007-9105-6" TargetMode="External"/><Relationship Id="rId4" Type="http://schemas.openxmlformats.org/officeDocument/2006/relationships/settings" Target="settings.xml"/><Relationship Id="rId9" Type="http://schemas.openxmlformats.org/officeDocument/2006/relationships/hyperlink" Target="https://doi.org/10.1111/j.1477-8947.2011.01386.x" TargetMode="External"/><Relationship Id="rId14" Type="http://schemas.openxmlformats.org/officeDocument/2006/relationships/hyperlink" Target="https://doi.org/10.24259/fs.v6i2.22641"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29E1B-FF64-4E61-8103-C0B08E1C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15</Pages>
  <Words>6826</Words>
  <Characters>38914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45649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15</cp:revision>
  <cp:lastPrinted>1999-07-06T11:00:00Z</cp:lastPrinted>
  <dcterms:created xsi:type="dcterms:W3CDTF">2025-10-11T14:56:00Z</dcterms:created>
  <dcterms:modified xsi:type="dcterms:W3CDTF">2025-10-17T11:22:00Z</dcterms:modified>
</cp:coreProperties>
</file>