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F8EE3" w14:textId="24EBBF5F" w:rsidR="00330014" w:rsidRDefault="006C6091">
      <w:pPr>
        <w:pStyle w:val="Title"/>
        <w:spacing w:after="0"/>
        <w:jc w:val="both"/>
        <w:rPr>
          <w:rFonts w:ascii="Arial" w:eastAsia="Arial" w:hAnsi="Arial" w:cs="Arial"/>
        </w:rPr>
      </w:pPr>
      <w:r w:rsidRPr="006C6091">
        <w:rPr>
          <w:rFonts w:ascii="Arial" w:eastAsia="Arial" w:hAnsi="Arial" w:cs="Arial"/>
        </w:rPr>
        <w:t>Case report</w:t>
      </w:r>
    </w:p>
    <w:p w14:paraId="33455CC8" w14:textId="77777777" w:rsidR="006C6091" w:rsidRDefault="006C6091" w:rsidP="006C6091"/>
    <w:p w14:paraId="1E67D084" w14:textId="77777777" w:rsidR="006C6091" w:rsidRPr="006C6091" w:rsidRDefault="006C6091" w:rsidP="006C6091"/>
    <w:p w14:paraId="04696B9E" w14:textId="77777777" w:rsidR="00330014" w:rsidRPr="0009415C" w:rsidRDefault="001B5E43">
      <w:pPr>
        <w:pBdr>
          <w:top w:val="nil"/>
          <w:left w:val="nil"/>
          <w:bottom w:val="nil"/>
          <w:right w:val="nil"/>
          <w:between w:val="nil"/>
        </w:pBdr>
        <w:jc w:val="right"/>
        <w:rPr>
          <w:rFonts w:ascii="Arial" w:eastAsia="Arial" w:hAnsi="Arial" w:cs="Arial"/>
          <w:b/>
          <w:color w:val="000000"/>
          <w:sz w:val="36"/>
          <w:szCs w:val="36"/>
          <w:lang w:val="es-MX"/>
        </w:rPr>
      </w:pPr>
      <w:proofErr w:type="spellStart"/>
      <w:r w:rsidRPr="0009415C">
        <w:rPr>
          <w:rFonts w:ascii="Arial" w:eastAsia="Arial" w:hAnsi="Arial" w:cs="Arial"/>
          <w:b/>
          <w:color w:val="000000"/>
          <w:sz w:val="36"/>
          <w:szCs w:val="36"/>
          <w:lang w:val="es-MX"/>
        </w:rPr>
        <w:t>Osteogenesis</w:t>
      </w:r>
      <w:proofErr w:type="spellEnd"/>
      <w:r w:rsidRPr="0009415C">
        <w:rPr>
          <w:rFonts w:ascii="Arial" w:eastAsia="Arial" w:hAnsi="Arial" w:cs="Arial"/>
          <w:b/>
          <w:color w:val="000000"/>
          <w:sz w:val="36"/>
          <w:szCs w:val="36"/>
          <w:lang w:val="es-MX"/>
        </w:rPr>
        <w:t xml:space="preserve"> imperfecta: A case </w:t>
      </w:r>
      <w:proofErr w:type="spellStart"/>
      <w:r w:rsidRPr="0009415C">
        <w:rPr>
          <w:rFonts w:ascii="Arial" w:eastAsia="Arial" w:hAnsi="Arial" w:cs="Arial"/>
          <w:b/>
          <w:color w:val="000000"/>
          <w:sz w:val="36"/>
          <w:szCs w:val="36"/>
          <w:lang w:val="es-MX"/>
        </w:rPr>
        <w:t>report</w:t>
      </w:r>
      <w:proofErr w:type="spellEnd"/>
      <w:r w:rsidRPr="0009415C">
        <w:rPr>
          <w:rFonts w:ascii="Arial" w:eastAsia="Arial" w:hAnsi="Arial" w:cs="Arial"/>
          <w:b/>
          <w:color w:val="000000"/>
          <w:sz w:val="36"/>
          <w:szCs w:val="36"/>
          <w:lang w:val="es-MX"/>
        </w:rPr>
        <w:t xml:space="preserve"> </w:t>
      </w:r>
    </w:p>
    <w:p w14:paraId="5B523502" w14:textId="77777777" w:rsidR="00330014" w:rsidRPr="0009415C" w:rsidRDefault="00330014">
      <w:pPr>
        <w:pBdr>
          <w:top w:val="nil"/>
          <w:left w:val="nil"/>
          <w:bottom w:val="nil"/>
          <w:right w:val="nil"/>
          <w:between w:val="nil"/>
        </w:pBdr>
        <w:jc w:val="both"/>
        <w:rPr>
          <w:rFonts w:ascii="Arial" w:eastAsia="Arial" w:hAnsi="Arial" w:cs="Arial"/>
          <w:b/>
          <w:color w:val="000000"/>
          <w:sz w:val="36"/>
          <w:szCs w:val="36"/>
          <w:lang w:val="es-MX"/>
        </w:rPr>
      </w:pPr>
    </w:p>
    <w:p w14:paraId="55A20451" w14:textId="77777777" w:rsidR="00330014" w:rsidRDefault="00330014">
      <w:pPr>
        <w:pBdr>
          <w:top w:val="nil"/>
          <w:left w:val="nil"/>
          <w:bottom w:val="nil"/>
          <w:right w:val="nil"/>
          <w:between w:val="nil"/>
        </w:pBdr>
        <w:jc w:val="both"/>
        <w:rPr>
          <w:rFonts w:ascii="Arial" w:eastAsia="Arial" w:hAnsi="Arial" w:cs="Arial"/>
          <w:color w:val="000000"/>
        </w:rPr>
      </w:pPr>
      <w:bookmarkStart w:id="0" w:name="_heading=h.y7vcs2ok0a69" w:colFirst="0" w:colLast="0"/>
      <w:bookmarkEnd w:id="0"/>
    </w:p>
    <w:p w14:paraId="438C8B31" w14:textId="77777777" w:rsidR="00330014" w:rsidRDefault="001B5E43">
      <w:pPr>
        <w:pBdr>
          <w:top w:val="nil"/>
          <w:left w:val="nil"/>
          <w:bottom w:val="nil"/>
          <w:right w:val="nil"/>
          <w:between w:val="nil"/>
        </w:pBdr>
        <w:jc w:val="both"/>
        <w:rPr>
          <w:rFonts w:ascii="Arial" w:eastAsia="Arial" w:hAnsi="Arial" w:cs="Arial"/>
          <w:color w:val="000000"/>
          <w:sz w:val="16"/>
          <w:szCs w:val="16"/>
        </w:rPr>
        <w:sectPr w:rsidR="00330014" w:rsidSect="00447AC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625EC585" wp14:editId="68CC7BD8">
                <wp:extent cx="635" cy="19050"/>
                <wp:effectExtent l="0" t="0" r="0" b="0"/>
                <wp:docPr id="1959366633" name="Conector recto de flecha 1959366633"/>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195936663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01C4A2A2"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F9FCD6E"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330014" w14:paraId="67724FF6" w14:textId="77777777">
        <w:tc>
          <w:tcPr>
            <w:tcW w:w="8198" w:type="dxa"/>
            <w:shd w:val="clear" w:color="auto" w:fill="F2F2F2"/>
          </w:tcPr>
          <w:p w14:paraId="6098F816"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Introduction:</w:t>
            </w:r>
            <w:r>
              <w:rPr>
                <w:color w:val="000000"/>
              </w:rPr>
              <w:t xml:space="preserve"> </w:t>
            </w:r>
            <w:r>
              <w:rPr>
                <w:rFonts w:ascii="Arial" w:eastAsia="Arial" w:hAnsi="Arial" w:cs="Arial"/>
                <w:color w:val="000000"/>
              </w:rPr>
              <w:t>Osteogenesis imperfecta is a heterogeneous group of inherited connective tissue disorders that share similar skeletal abnormalities that cause fragility, bone deformity, and fracture risk, leading to the name brittle bones. It has an incidence of approxima</w:t>
            </w:r>
            <w:r>
              <w:rPr>
                <w:rFonts w:ascii="Arial" w:eastAsia="Arial" w:hAnsi="Arial" w:cs="Arial"/>
                <w:color w:val="000000"/>
              </w:rPr>
              <w:t xml:space="preserve">tely 1 in every 15,000 to 20,000 newborns and is considered a rare disease. </w:t>
            </w:r>
            <w:r>
              <w:rPr>
                <w:rFonts w:ascii="Arial" w:eastAsia="Arial" w:hAnsi="Arial" w:cs="Arial"/>
                <w:b/>
                <w:color w:val="000000"/>
              </w:rPr>
              <w:t xml:space="preserve">Presentation of case: </w:t>
            </w:r>
            <w:r>
              <w:rPr>
                <w:rFonts w:ascii="Arial" w:eastAsia="Arial" w:hAnsi="Arial" w:cs="Arial"/>
                <w:color w:val="000000"/>
              </w:rPr>
              <w:t>A woman who was unaware of her pregnancy and without prenatal care delivered a 2.2 kg male infant at home; he was admitted with head trauma, cranial crepitati</w:t>
            </w:r>
            <w:r>
              <w:rPr>
                <w:rFonts w:ascii="Arial" w:eastAsia="Arial" w:hAnsi="Arial" w:cs="Arial"/>
                <w:color w:val="000000"/>
              </w:rPr>
              <w:t>on, occipital fracture, and neonatal sepsis. Radiological evaluation revealed fractures in various bones, and osteogenesis imperfecta was suspected. The mother said that</w:t>
            </w:r>
            <w:r>
              <w:rPr>
                <w:color w:val="000000"/>
              </w:rPr>
              <w:t xml:space="preserve"> </w:t>
            </w:r>
            <w:r>
              <w:rPr>
                <w:rFonts w:ascii="Arial" w:eastAsia="Arial" w:hAnsi="Arial" w:cs="Arial"/>
                <w:color w:val="000000"/>
              </w:rPr>
              <w:t xml:space="preserve">father and paternal grandfather had osteogenesis imperfecta. The patient was referred </w:t>
            </w:r>
            <w:r>
              <w:rPr>
                <w:rFonts w:ascii="Arial" w:eastAsia="Arial" w:hAnsi="Arial" w:cs="Arial"/>
                <w:color w:val="000000"/>
              </w:rPr>
              <w:t xml:space="preserve">to for genetic sequencing (pending). The mother said that </w:t>
            </w:r>
            <w:proofErr w:type="gramStart"/>
            <w:r>
              <w:rPr>
                <w:rFonts w:ascii="Arial" w:eastAsia="Arial" w:hAnsi="Arial" w:cs="Arial"/>
                <w:color w:val="000000"/>
              </w:rPr>
              <w:t>The</w:t>
            </w:r>
            <w:proofErr w:type="gramEnd"/>
            <w:r>
              <w:rPr>
                <w:rFonts w:ascii="Arial" w:eastAsia="Arial" w:hAnsi="Arial" w:cs="Arial"/>
                <w:color w:val="000000"/>
              </w:rPr>
              <w:t xml:space="preserve"> patient's progress was good, with adequate fracture healing. </w:t>
            </w:r>
            <w:r>
              <w:rPr>
                <w:rFonts w:ascii="Arial" w:eastAsia="Arial" w:hAnsi="Arial" w:cs="Arial"/>
                <w:b/>
                <w:color w:val="000000"/>
              </w:rPr>
              <w:t>Conclusion:</w:t>
            </w:r>
            <w:r>
              <w:rPr>
                <w:rFonts w:ascii="Arial" w:eastAsia="Arial" w:hAnsi="Arial" w:cs="Arial"/>
                <w:color w:val="000000"/>
              </w:rPr>
              <w:t xml:space="preserve"> the control prenatal is fundamental to detect osteogenesis imperfecta and avoid a late diagnosis with poor prognostic of </w:t>
            </w:r>
            <w:r>
              <w:rPr>
                <w:rFonts w:ascii="Arial" w:eastAsia="Arial" w:hAnsi="Arial" w:cs="Arial"/>
                <w:color w:val="000000"/>
              </w:rPr>
              <w:t>the newborn.</w:t>
            </w:r>
          </w:p>
        </w:tc>
      </w:tr>
    </w:tbl>
    <w:p w14:paraId="277286C1" w14:textId="77777777" w:rsidR="00330014" w:rsidRDefault="00330014">
      <w:pPr>
        <w:pBdr>
          <w:top w:val="nil"/>
          <w:left w:val="nil"/>
          <w:bottom w:val="nil"/>
          <w:right w:val="nil"/>
          <w:between w:val="nil"/>
        </w:pBdr>
        <w:jc w:val="both"/>
        <w:rPr>
          <w:rFonts w:ascii="Arial" w:eastAsia="Arial" w:hAnsi="Arial" w:cs="Arial"/>
          <w:i/>
          <w:color w:val="000000"/>
        </w:rPr>
      </w:pPr>
    </w:p>
    <w:p w14:paraId="6FA873A6" w14:textId="77777777" w:rsidR="00330014" w:rsidRDefault="001B5E43">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Bone metabolism, Bone defects, Fractures; Newborns</w:t>
      </w:r>
    </w:p>
    <w:p w14:paraId="2C69A9D5" w14:textId="77777777" w:rsidR="00330014" w:rsidRDefault="00330014">
      <w:pPr>
        <w:pBdr>
          <w:top w:val="nil"/>
          <w:left w:val="nil"/>
          <w:bottom w:val="nil"/>
          <w:right w:val="nil"/>
          <w:between w:val="nil"/>
        </w:pBdr>
        <w:jc w:val="both"/>
        <w:rPr>
          <w:rFonts w:ascii="Arial" w:eastAsia="Arial" w:hAnsi="Arial" w:cs="Arial"/>
          <w:i/>
          <w:color w:val="000000"/>
        </w:rPr>
      </w:pPr>
    </w:p>
    <w:p w14:paraId="6CA51409"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3FE9E4D"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p w14:paraId="2A0B9B5C" w14:textId="77777777" w:rsidR="00330014" w:rsidRDefault="001B5E43">
      <w:pPr>
        <w:pBdr>
          <w:top w:val="nil"/>
          <w:left w:val="nil"/>
          <w:bottom w:val="nil"/>
          <w:right w:val="nil"/>
          <w:between w:val="nil"/>
        </w:pBdr>
        <w:spacing w:after="240"/>
        <w:jc w:val="both"/>
        <w:rPr>
          <w:rFonts w:ascii="Arial" w:eastAsia="Arial" w:hAnsi="Arial" w:cs="Arial"/>
          <w:color w:val="000000"/>
        </w:rPr>
      </w:pPr>
      <w:bookmarkStart w:id="2" w:name="_heading=h.gfcq15m8213f" w:colFirst="0" w:colLast="0"/>
      <w:bookmarkEnd w:id="2"/>
      <w:r>
        <w:rPr>
          <w:rFonts w:ascii="Arial" w:eastAsia="Arial" w:hAnsi="Arial" w:cs="Arial"/>
          <w:color w:val="000000"/>
        </w:rPr>
        <w:t xml:space="preserve">Osteogenesis imperfecta (OI) is a heterogeneous group of inherited connective tissue disorders that share similar skeletal abnormalities that cause fragility, </w:t>
      </w:r>
      <w:r>
        <w:rPr>
          <w:rFonts w:ascii="Arial" w:eastAsia="Arial" w:hAnsi="Arial" w:cs="Arial"/>
          <w:color w:val="000000"/>
        </w:rPr>
        <w:t>bone deformity, and fracture risk, leading to the name brittle bones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(Torrent, 2020).</w:t>
      </w:r>
    </w:p>
    <w:p w14:paraId="1A53D26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OI has an incidence of approximately 1 in every 15,000 to 20,000 newborns and is considered a rare disease (Torrent, 2020).</w:t>
      </w:r>
      <w:r>
        <w:rPr>
          <w:color w:val="000000"/>
        </w:rPr>
        <w:t xml:space="preserve"> </w:t>
      </w:r>
      <w:r>
        <w:rPr>
          <w:rFonts w:ascii="Arial" w:eastAsia="Arial" w:hAnsi="Arial" w:cs="Arial"/>
          <w:color w:val="000000"/>
        </w:rPr>
        <w:t>Osteogenesis imperfec</w:t>
      </w:r>
      <w:r>
        <w:rPr>
          <w:rFonts w:ascii="Arial" w:eastAsia="Arial" w:hAnsi="Arial" w:cs="Arial"/>
          <w:color w:val="000000"/>
        </w:rPr>
        <w:t>ta is a disease with an estimated worldwide prevalence of 1/15,000 to 1/20,000 newborns, and an estimated prevalence in the United States of between 25,000 and 50,000 affected individuals (Marini &amp; Dang Do, 2020).</w:t>
      </w:r>
    </w:p>
    <w:p w14:paraId="1CBC1CF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1979, </w:t>
      </w:r>
      <w:proofErr w:type="spellStart"/>
      <w:r>
        <w:rPr>
          <w:rFonts w:ascii="Arial" w:eastAsia="Arial" w:hAnsi="Arial" w:cs="Arial"/>
          <w:color w:val="000000"/>
        </w:rPr>
        <w:t>Sillence</w:t>
      </w:r>
      <w:proofErr w:type="spellEnd"/>
      <w:r>
        <w:rPr>
          <w:rFonts w:ascii="Arial" w:eastAsia="Arial" w:hAnsi="Arial" w:cs="Arial"/>
          <w:color w:val="000000"/>
        </w:rPr>
        <w:t xml:space="preserve">, </w:t>
      </w:r>
      <w:proofErr w:type="spellStart"/>
      <w:r>
        <w:rPr>
          <w:rFonts w:ascii="Arial" w:eastAsia="Arial" w:hAnsi="Arial" w:cs="Arial"/>
          <w:color w:val="000000"/>
        </w:rPr>
        <w:t>Senn</w:t>
      </w:r>
      <w:proofErr w:type="spellEnd"/>
      <w:r>
        <w:rPr>
          <w:rFonts w:ascii="Arial" w:eastAsia="Arial" w:hAnsi="Arial" w:cs="Arial"/>
          <w:color w:val="000000"/>
        </w:rPr>
        <w:t xml:space="preserve"> &amp; </w:t>
      </w:r>
      <w:proofErr w:type="spellStart"/>
      <w:r>
        <w:rPr>
          <w:rFonts w:ascii="Arial" w:eastAsia="Arial" w:hAnsi="Arial" w:cs="Arial"/>
          <w:color w:val="000000"/>
        </w:rPr>
        <w:t>Danks</w:t>
      </w:r>
      <w:proofErr w:type="spellEnd"/>
      <w:r>
        <w:rPr>
          <w:rFonts w:ascii="Arial" w:eastAsia="Arial" w:hAnsi="Arial" w:cs="Arial"/>
          <w:color w:val="000000"/>
        </w:rPr>
        <w:t xml:space="preserve"> (1979), pr</w:t>
      </w:r>
      <w:r>
        <w:rPr>
          <w:rFonts w:ascii="Arial" w:eastAsia="Arial" w:hAnsi="Arial" w:cs="Arial"/>
          <w:color w:val="000000"/>
        </w:rPr>
        <w:t>oposed a classification based on clinical/radiological features and mode of inheritance: OI type I, autosomal dominant (AD) with blue, non-deforming sclera; OI type II, with multiple fractures and severe deformities leading to death in the perinatal period</w:t>
      </w:r>
      <w:r>
        <w:rPr>
          <w:rFonts w:ascii="Arial" w:eastAsia="Arial" w:hAnsi="Arial" w:cs="Arial"/>
          <w:color w:val="000000"/>
        </w:rPr>
        <w:t xml:space="preserve">; OI type III, a severe, progressively deforming form with scoliosis and white sclera; OI type IV is the most heterogeneous group, with moderate deformities, variable sclera coloration, and </w:t>
      </w:r>
      <w:proofErr w:type="spellStart"/>
      <w:r>
        <w:rPr>
          <w:rFonts w:ascii="Arial" w:eastAsia="Arial" w:hAnsi="Arial" w:cs="Arial"/>
          <w:color w:val="000000"/>
        </w:rPr>
        <w:t>dentinogenesis</w:t>
      </w:r>
      <w:proofErr w:type="spellEnd"/>
      <w:r>
        <w:rPr>
          <w:rFonts w:ascii="Arial" w:eastAsia="Arial" w:hAnsi="Arial" w:cs="Arial"/>
          <w:color w:val="000000"/>
        </w:rPr>
        <w:t xml:space="preserve"> imperfecta.</w:t>
      </w:r>
    </w:p>
    <w:p w14:paraId="77B06EF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Subsequently, several classifications h</w:t>
      </w:r>
      <w:r>
        <w:rPr>
          <w:rFonts w:ascii="Arial" w:eastAsia="Arial" w:hAnsi="Arial" w:cs="Arial"/>
          <w:color w:val="000000"/>
        </w:rPr>
        <w:t>ave been made, until the most recent, in which an alternative functional classification based on the metabolic mechanism was proposed: Group A, defects in collagen synthesis, structure, or processing; Group B, defects in collagen modification; Group C, def</w:t>
      </w:r>
      <w:r>
        <w:rPr>
          <w:rFonts w:ascii="Arial" w:eastAsia="Arial" w:hAnsi="Arial" w:cs="Arial"/>
          <w:color w:val="000000"/>
        </w:rPr>
        <w:t>ects in collagen folding and cross-linking; Group D, compromised bone mineralization; and Group E, defects in osteoblast development with collagen insufficiency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(Marini, Reich, &amp; Smith, 2014). </w:t>
      </w:r>
    </w:p>
    <w:p w14:paraId="469D28BC" w14:textId="77777777" w:rsidR="00330014" w:rsidRDefault="001B5E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classification of OI has been deb</w:t>
      </w:r>
      <w:r>
        <w:rPr>
          <w:rFonts w:ascii="Arial" w:eastAsia="Arial" w:hAnsi="Arial" w:cs="Arial"/>
          <w:color w:val="000000"/>
        </w:rPr>
        <w:t xml:space="preserve">ated in recent years due to the discovery of several genes, including non-collagen genes (Marini, </w:t>
      </w:r>
      <w:proofErr w:type="spellStart"/>
      <w:r>
        <w:rPr>
          <w:rFonts w:ascii="Arial" w:eastAsia="Arial" w:hAnsi="Arial" w:cs="Arial"/>
          <w:color w:val="000000"/>
        </w:rPr>
        <w:t>Forlino</w:t>
      </w:r>
      <w:proofErr w:type="spellEnd"/>
      <w:r>
        <w:rPr>
          <w:rFonts w:ascii="Arial" w:eastAsia="Arial" w:hAnsi="Arial" w:cs="Arial"/>
          <w:color w:val="000000"/>
        </w:rPr>
        <w:t xml:space="preserve">, </w:t>
      </w:r>
      <w:proofErr w:type="spellStart"/>
      <w:r>
        <w:rPr>
          <w:rFonts w:ascii="Arial" w:eastAsia="Arial" w:hAnsi="Arial" w:cs="Arial"/>
          <w:color w:val="000000"/>
        </w:rPr>
        <w:t>Bächinger</w:t>
      </w:r>
      <w:proofErr w:type="spellEnd"/>
      <w:r>
        <w:rPr>
          <w:rFonts w:ascii="Arial" w:eastAsia="Arial" w:hAnsi="Arial" w:cs="Arial"/>
          <w:color w:val="000000"/>
        </w:rPr>
        <w:t xml:space="preserve">, Bishop, Byers, </w:t>
      </w:r>
      <w:proofErr w:type="spellStart"/>
      <w:proofErr w:type="gramStart"/>
      <w:r>
        <w:rPr>
          <w:rFonts w:ascii="Arial" w:eastAsia="Arial" w:hAnsi="Arial" w:cs="Arial"/>
          <w:color w:val="000000"/>
        </w:rPr>
        <w:t>Paepe</w:t>
      </w:r>
      <w:proofErr w:type="spellEnd"/>
      <w:r>
        <w:rPr>
          <w:rFonts w:ascii="Arial" w:eastAsia="Arial" w:hAnsi="Arial" w:cs="Arial"/>
          <w:color w:val="000000"/>
        </w:rPr>
        <w:t xml:space="preserve">,  </w:t>
      </w:r>
      <w:proofErr w:type="spellStart"/>
      <w:r>
        <w:rPr>
          <w:rFonts w:ascii="Arial" w:eastAsia="Arial" w:hAnsi="Arial" w:cs="Arial"/>
          <w:color w:val="000000"/>
        </w:rPr>
        <w:t>Fassier</w:t>
      </w:r>
      <w:proofErr w:type="spellEnd"/>
      <w:proofErr w:type="gramEnd"/>
      <w:r>
        <w:rPr>
          <w:rFonts w:ascii="Arial" w:eastAsia="Arial" w:hAnsi="Arial" w:cs="Arial"/>
          <w:color w:val="000000"/>
        </w:rPr>
        <w:t xml:space="preserve">, </w:t>
      </w:r>
      <w:proofErr w:type="spellStart"/>
      <w:r>
        <w:rPr>
          <w:rFonts w:ascii="Arial" w:eastAsia="Arial" w:hAnsi="Arial" w:cs="Arial"/>
          <w:color w:val="000000"/>
        </w:rPr>
        <w:t>Fratzl</w:t>
      </w:r>
      <w:proofErr w:type="spellEnd"/>
      <w:r>
        <w:rPr>
          <w:rFonts w:ascii="Arial" w:eastAsia="Arial" w:hAnsi="Arial" w:cs="Arial"/>
          <w:color w:val="000000"/>
        </w:rPr>
        <w:t xml:space="preserve">-Zelman, </w:t>
      </w:r>
      <w:proofErr w:type="spellStart"/>
      <w:r>
        <w:rPr>
          <w:rFonts w:ascii="Arial" w:eastAsia="Arial" w:hAnsi="Arial" w:cs="Arial"/>
          <w:color w:val="000000"/>
        </w:rPr>
        <w:t>Kozloff</w:t>
      </w:r>
      <w:proofErr w:type="spellEnd"/>
      <w:r>
        <w:rPr>
          <w:rFonts w:ascii="Arial" w:eastAsia="Arial" w:hAnsi="Arial" w:cs="Arial"/>
          <w:color w:val="000000"/>
        </w:rPr>
        <w:t xml:space="preserve">, Krakow, Montpetit, &amp; Semler, 2017). Although a strictly genetic classification is </w:t>
      </w:r>
      <w:r>
        <w:rPr>
          <w:rFonts w:ascii="Arial" w:eastAsia="Arial" w:hAnsi="Arial" w:cs="Arial"/>
          <w:color w:val="000000"/>
        </w:rPr>
        <w:t xml:space="preserve">used, it has been expanded due to the growing number of different types of OI (Marini, et al., 2017). Therefore, the most recent recommendations are to continue using the </w:t>
      </w:r>
      <w:proofErr w:type="spellStart"/>
      <w:r>
        <w:rPr>
          <w:rFonts w:ascii="Arial" w:eastAsia="Arial" w:hAnsi="Arial" w:cs="Arial"/>
          <w:color w:val="000000"/>
        </w:rPr>
        <w:t>Sillence</w:t>
      </w:r>
      <w:proofErr w:type="spellEnd"/>
      <w:r>
        <w:rPr>
          <w:rFonts w:ascii="Arial" w:eastAsia="Arial" w:hAnsi="Arial" w:cs="Arial"/>
          <w:color w:val="000000"/>
        </w:rPr>
        <w:t xml:space="preserve"> type (I-IV) classification for osteogenesis imperfecta. This recommendation </w:t>
      </w:r>
      <w:r>
        <w:rPr>
          <w:rFonts w:ascii="Arial" w:eastAsia="Arial" w:hAnsi="Arial" w:cs="Arial"/>
          <w:color w:val="000000"/>
        </w:rPr>
        <w:t>is based on the phenotypic characteristics of the disease and not on its molecular genetics, but an OI type V is added since this type is radiologically distinguishable from the others, type V is associated with additional distinctive features, such as hyp</w:t>
      </w:r>
      <w:r>
        <w:rPr>
          <w:rFonts w:ascii="Arial" w:eastAsia="Arial" w:hAnsi="Arial" w:cs="Arial"/>
          <w:color w:val="000000"/>
        </w:rPr>
        <w:t xml:space="preserve">erplastic callus formation (seen in approximately 66% of patients) and ossification of the interosseous membrane of the forearms (Bonafe, Cormier-Daire, Hall, Lachman, Mortier, </w:t>
      </w:r>
      <w:proofErr w:type="spellStart"/>
      <w:r>
        <w:rPr>
          <w:rFonts w:ascii="Arial" w:eastAsia="Arial" w:hAnsi="Arial" w:cs="Arial"/>
          <w:color w:val="000000"/>
        </w:rPr>
        <w:t>Mundlos</w:t>
      </w:r>
      <w:proofErr w:type="spellEnd"/>
      <w:r>
        <w:rPr>
          <w:rFonts w:ascii="Arial" w:eastAsia="Arial" w:hAnsi="Arial" w:cs="Arial"/>
          <w:color w:val="000000"/>
        </w:rPr>
        <w:t xml:space="preserve">, Nishimura, </w:t>
      </w:r>
      <w:proofErr w:type="spellStart"/>
      <w:r>
        <w:rPr>
          <w:rFonts w:ascii="Arial" w:eastAsia="Arial" w:hAnsi="Arial" w:cs="Arial"/>
          <w:color w:val="000000"/>
        </w:rPr>
        <w:t>Sangiorgi</w:t>
      </w:r>
      <w:proofErr w:type="spellEnd"/>
      <w:r>
        <w:rPr>
          <w:rFonts w:ascii="Arial" w:eastAsia="Arial" w:hAnsi="Arial" w:cs="Arial"/>
          <w:color w:val="000000"/>
        </w:rPr>
        <w:t xml:space="preserve">, </w:t>
      </w:r>
      <w:proofErr w:type="spellStart"/>
      <w:r>
        <w:rPr>
          <w:rFonts w:ascii="Arial" w:eastAsia="Arial" w:hAnsi="Arial" w:cs="Arial"/>
          <w:color w:val="000000"/>
        </w:rPr>
        <w:t>Savarirayan</w:t>
      </w:r>
      <w:proofErr w:type="spellEnd"/>
      <w:r>
        <w:rPr>
          <w:rFonts w:ascii="Arial" w:eastAsia="Arial" w:hAnsi="Arial" w:cs="Arial"/>
          <w:color w:val="000000"/>
        </w:rPr>
        <w:t xml:space="preserve">, </w:t>
      </w:r>
      <w:proofErr w:type="spellStart"/>
      <w:r>
        <w:rPr>
          <w:rFonts w:ascii="Arial" w:eastAsia="Arial" w:hAnsi="Arial" w:cs="Arial"/>
          <w:color w:val="000000"/>
        </w:rPr>
        <w:t>Sillence</w:t>
      </w:r>
      <w:proofErr w:type="spellEnd"/>
      <w:r>
        <w:rPr>
          <w:rFonts w:ascii="Arial" w:eastAsia="Arial" w:hAnsi="Arial" w:cs="Arial"/>
          <w:color w:val="000000"/>
        </w:rPr>
        <w:t xml:space="preserve">, </w:t>
      </w:r>
      <w:proofErr w:type="spellStart"/>
      <w:r>
        <w:rPr>
          <w:rFonts w:ascii="Arial" w:eastAsia="Arial" w:hAnsi="Arial" w:cs="Arial"/>
          <w:color w:val="000000"/>
        </w:rPr>
        <w:t>Spranger</w:t>
      </w:r>
      <w:proofErr w:type="spellEnd"/>
      <w:r>
        <w:rPr>
          <w:rFonts w:ascii="Arial" w:eastAsia="Arial" w:hAnsi="Arial" w:cs="Arial"/>
          <w:color w:val="000000"/>
        </w:rPr>
        <w:t xml:space="preserve">, </w:t>
      </w:r>
      <w:proofErr w:type="spellStart"/>
      <w:r>
        <w:rPr>
          <w:rFonts w:ascii="Arial" w:eastAsia="Arial" w:hAnsi="Arial" w:cs="Arial"/>
          <w:color w:val="000000"/>
        </w:rPr>
        <w:t>Superti-Furga</w:t>
      </w:r>
      <w:proofErr w:type="spellEnd"/>
      <w:r>
        <w:rPr>
          <w:rFonts w:ascii="Arial" w:eastAsia="Arial" w:hAnsi="Arial" w:cs="Arial"/>
          <w:color w:val="000000"/>
        </w:rPr>
        <w:t xml:space="preserve">, </w:t>
      </w:r>
      <w:r>
        <w:rPr>
          <w:rFonts w:ascii="Arial" w:eastAsia="Arial" w:hAnsi="Arial" w:cs="Arial"/>
          <w:color w:val="000000"/>
        </w:rPr>
        <w:t>Warman, &amp; Unger, 2015).</w:t>
      </w:r>
    </w:p>
    <w:p w14:paraId="163080A7" w14:textId="77777777" w:rsidR="00330014" w:rsidRDefault="00330014">
      <w:pPr>
        <w:pBdr>
          <w:top w:val="nil"/>
          <w:left w:val="nil"/>
          <w:bottom w:val="nil"/>
          <w:right w:val="nil"/>
          <w:between w:val="nil"/>
        </w:pBdr>
        <w:jc w:val="both"/>
        <w:rPr>
          <w:rFonts w:ascii="Arial" w:eastAsia="Arial" w:hAnsi="Arial" w:cs="Arial"/>
          <w:color w:val="000000"/>
        </w:rPr>
      </w:pPr>
    </w:p>
    <w:p w14:paraId="5DC43DA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It presents with a wide spectrum of clinical manifestations, and five clinical forms of OI have been identified: non-deforming type I with persistently blue sclera; perinatally lethal type II; progressively deforming type III; mode</w:t>
      </w:r>
      <w:r>
        <w:rPr>
          <w:rFonts w:ascii="Arial" w:eastAsia="Arial" w:hAnsi="Arial" w:cs="Arial"/>
          <w:color w:val="000000"/>
        </w:rPr>
        <w:t>rate type IV; and type V with calcification of the interosseous membranes and/or hypertrophic callus (</w:t>
      </w:r>
      <w:proofErr w:type="spellStart"/>
      <w:r>
        <w:rPr>
          <w:rFonts w:ascii="Arial" w:eastAsia="Arial" w:hAnsi="Arial" w:cs="Arial"/>
          <w:color w:val="000000"/>
        </w:rPr>
        <w:t>Sillence</w:t>
      </w:r>
      <w:proofErr w:type="spellEnd"/>
      <w:r>
        <w:rPr>
          <w:rFonts w:ascii="Arial" w:eastAsia="Arial" w:hAnsi="Arial" w:cs="Arial"/>
          <w:color w:val="000000"/>
        </w:rPr>
        <w:t xml:space="preserve">, </w:t>
      </w:r>
      <w:proofErr w:type="spellStart"/>
      <w:r>
        <w:rPr>
          <w:rFonts w:ascii="Arial" w:eastAsia="Arial" w:hAnsi="Arial" w:cs="Arial"/>
          <w:color w:val="000000"/>
        </w:rPr>
        <w:t>Senn</w:t>
      </w:r>
      <w:proofErr w:type="spellEnd"/>
      <w:r>
        <w:rPr>
          <w:rFonts w:ascii="Arial" w:eastAsia="Arial" w:hAnsi="Arial" w:cs="Arial"/>
          <w:color w:val="000000"/>
        </w:rPr>
        <w:t xml:space="preserve">, &amp; </w:t>
      </w:r>
      <w:proofErr w:type="spellStart"/>
      <w:r>
        <w:rPr>
          <w:rFonts w:ascii="Arial" w:eastAsia="Arial" w:hAnsi="Arial" w:cs="Arial"/>
          <w:color w:val="000000"/>
        </w:rPr>
        <w:t>Danks</w:t>
      </w:r>
      <w:proofErr w:type="spellEnd"/>
      <w:r>
        <w:rPr>
          <w:rFonts w:ascii="Arial" w:eastAsia="Arial" w:hAnsi="Arial" w:cs="Arial"/>
          <w:color w:val="000000"/>
        </w:rPr>
        <w:t>, 1979).</w:t>
      </w:r>
    </w:p>
    <w:p w14:paraId="4C7E890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Differential diagnoses for this disease include child abuse, </w:t>
      </w:r>
      <w:proofErr w:type="spellStart"/>
      <w:r>
        <w:rPr>
          <w:rFonts w:ascii="Arial" w:eastAsia="Arial" w:hAnsi="Arial" w:cs="Arial"/>
          <w:color w:val="000000"/>
        </w:rPr>
        <w:t>thanatophoric</w:t>
      </w:r>
      <w:proofErr w:type="spellEnd"/>
      <w:r>
        <w:rPr>
          <w:rFonts w:ascii="Arial" w:eastAsia="Arial" w:hAnsi="Arial" w:cs="Arial"/>
          <w:color w:val="000000"/>
        </w:rPr>
        <w:t xml:space="preserve"> dysplasia, </w:t>
      </w:r>
      <w:proofErr w:type="spellStart"/>
      <w:r>
        <w:rPr>
          <w:rFonts w:ascii="Arial" w:eastAsia="Arial" w:hAnsi="Arial" w:cs="Arial"/>
          <w:color w:val="000000"/>
        </w:rPr>
        <w:t>achondrogenesis</w:t>
      </w:r>
      <w:proofErr w:type="spellEnd"/>
      <w:r>
        <w:rPr>
          <w:rFonts w:ascii="Arial" w:eastAsia="Arial" w:hAnsi="Arial" w:cs="Arial"/>
          <w:color w:val="000000"/>
        </w:rPr>
        <w:t xml:space="preserve"> type I, campomelic dysplasia, hypophosphatasia, and osteoporosis (Martin &amp; Shapiro, 2007). Given the patient's clinical characteristics, the patient could be classified as type I, as she has had several fractures and has thus far reported good healing. Sh</w:t>
      </w:r>
      <w:r>
        <w:rPr>
          <w:rFonts w:ascii="Arial" w:eastAsia="Arial" w:hAnsi="Arial" w:cs="Arial"/>
          <w:color w:val="000000"/>
        </w:rPr>
        <w:t>e also has blue sclera and autosomal dominant inheritance. This means that one copy of a mutated (changed) gene from one of the parents can cause the genetic condition, and the child has a 50% chance of inheriting that mutated gene. Daughters and sons have</w:t>
      </w:r>
      <w:r>
        <w:rPr>
          <w:rFonts w:ascii="Arial" w:eastAsia="Arial" w:hAnsi="Arial" w:cs="Arial"/>
          <w:color w:val="000000"/>
        </w:rPr>
        <w:t xml:space="preserve"> the same chance of inheriting the condition. In this case, there is a family history; in the case described, the father and grandfather had the condition, and the mother appears healthy.</w:t>
      </w:r>
    </w:p>
    <w:p w14:paraId="2D5BF5CA" w14:textId="77777777" w:rsidR="00330014" w:rsidRDefault="001B5E4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Treatment should be multifactorial, including orthopedic management,</w:t>
      </w:r>
      <w:r>
        <w:rPr>
          <w:rFonts w:ascii="Arial" w:eastAsia="Arial" w:hAnsi="Arial" w:cs="Arial"/>
          <w:color w:val="000000"/>
        </w:rPr>
        <w:t xml:space="preserve"> nutritional rehabilitation, dental care, and other subspecialties, as well as emotional support for the parents, since the survival of these patients depends significantly on the care provided.</w:t>
      </w:r>
    </w:p>
    <w:p w14:paraId="3BF0FFDA" w14:textId="77777777" w:rsidR="00330014" w:rsidRDefault="00330014">
      <w:pPr>
        <w:pBdr>
          <w:top w:val="nil"/>
          <w:left w:val="nil"/>
          <w:bottom w:val="nil"/>
          <w:right w:val="nil"/>
          <w:between w:val="nil"/>
        </w:pBdr>
        <w:jc w:val="both"/>
        <w:rPr>
          <w:rFonts w:ascii="Arial" w:eastAsia="Arial" w:hAnsi="Arial" w:cs="Arial"/>
          <w:color w:val="000000"/>
        </w:rPr>
      </w:pPr>
    </w:p>
    <w:p w14:paraId="27943440"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CASE DESCRIPTION</w:t>
      </w:r>
    </w:p>
    <w:p w14:paraId="7BA53DDC"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p w14:paraId="0D430D1F"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is a 20-year-old mother who came t</w:t>
      </w:r>
      <w:r>
        <w:rPr>
          <w:rFonts w:ascii="Arial" w:eastAsia="Arial" w:hAnsi="Arial" w:cs="Arial"/>
          <w:color w:val="000000"/>
        </w:rPr>
        <w:t>o Hospital General Guanajuato (HGG). She was unaware she was pregnant, so she did not take any supplements or receive prenatal care during the pregnancy. She reported having had whitish vaginal discharge for the previous 3 days. The baby, male sex, was bor</w:t>
      </w:r>
      <w:r>
        <w:rPr>
          <w:rFonts w:ascii="Arial" w:eastAsia="Arial" w:hAnsi="Arial" w:cs="Arial"/>
          <w:color w:val="000000"/>
        </w:rPr>
        <w:t>n in the toilet bowl at her home on March 9, 2023. The cord tore, and the father provided immediate care. He tied the cord with non-sterile tape, dried it, and reported crying and spontaneous breathing. He was taken to HGG by paramedics. Upon admission, th</w:t>
      </w:r>
      <w:r>
        <w:rPr>
          <w:rFonts w:ascii="Arial" w:eastAsia="Arial" w:hAnsi="Arial" w:cs="Arial"/>
          <w:color w:val="000000"/>
        </w:rPr>
        <w:t>e patient was pale and hypothermic (35.4°C). He was placed in a warming crib, dried, and showed adequate respiratory effort with an arterial oxygen saturation of 92%. The patient was evaluated and found abundant cranial crepitation with a 2x2 anterior font</w:t>
      </w:r>
      <w:r>
        <w:rPr>
          <w:rFonts w:ascii="Arial" w:eastAsia="Arial" w:hAnsi="Arial" w:cs="Arial"/>
          <w:color w:val="000000"/>
        </w:rPr>
        <w:t xml:space="preserve">anelle, facial symmetry, an intact oral cavity, a chest with good air entry and exit in the lung fields, a precordium with rhythmic heart sounds and no murmurs, an abdominal cord with an artery/vein ratio of 2/1, adequate peristalsis without </w:t>
      </w:r>
      <w:proofErr w:type="spellStart"/>
      <w:r>
        <w:rPr>
          <w:rFonts w:ascii="Arial" w:eastAsia="Arial" w:hAnsi="Arial" w:cs="Arial"/>
          <w:color w:val="000000"/>
        </w:rPr>
        <w:t>megalia</w:t>
      </w:r>
      <w:proofErr w:type="spellEnd"/>
      <w:r>
        <w:rPr>
          <w:rFonts w:ascii="Arial" w:eastAsia="Arial" w:hAnsi="Arial" w:cs="Arial"/>
          <w:color w:val="000000"/>
        </w:rPr>
        <w:t>, intac</w:t>
      </w:r>
      <w:r>
        <w:rPr>
          <w:rFonts w:ascii="Arial" w:eastAsia="Arial" w:hAnsi="Arial" w:cs="Arial"/>
          <w:color w:val="000000"/>
        </w:rPr>
        <w:t>t extremities with good capillary refill, no edema, and no mobility limitations.</w:t>
      </w:r>
    </w:p>
    <w:p w14:paraId="605B1CD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Thermoregulation was performed. Due to the maternal history of infection and the place of birth, ampicillin (50 mg/kg every 12 hours) and amikacin (15 mg/kg every 24 hours) we</w:t>
      </w:r>
      <w:r>
        <w:rPr>
          <w:rFonts w:ascii="Arial" w:eastAsia="Arial" w:hAnsi="Arial" w:cs="Arial"/>
          <w:color w:val="000000"/>
        </w:rPr>
        <w:t>re started. Blood gases were taken (pH 7.29, pCO2: 35, pO2: 31, HCO3: 17.5, with BE: -9.2 sat 61%) with no signs of asphyxia, so oral administration was started.</w:t>
      </w:r>
    </w:p>
    <w:p w14:paraId="226DBE3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The patient was admitted with a diagnosis of a newborn of 40 gestation weeks with a low birth </w:t>
      </w:r>
      <w:r>
        <w:rPr>
          <w:rFonts w:ascii="Arial" w:eastAsia="Arial" w:hAnsi="Arial" w:cs="Arial"/>
          <w:color w:val="000000"/>
        </w:rPr>
        <w:t>weight for gestational age (2.200 kg), head trauma, occipital fracture, perinatal sepsis, and accidental delivery. A head x-ray was taken, showing loss of bone continuity at the occipital level (Figure 1).</w:t>
      </w:r>
    </w:p>
    <w:p w14:paraId="67263B16" w14:textId="77777777" w:rsidR="00330014" w:rsidRDefault="001B5E43">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7B80954" wp14:editId="3A4A98A8">
            <wp:extent cx="3486150" cy="2802890"/>
            <wp:effectExtent l="0" t="0" r="0" b="0"/>
            <wp:docPr id="19593666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486150" cy="2802890"/>
                    </a:xfrm>
                    <a:prstGeom prst="rect">
                      <a:avLst/>
                    </a:prstGeom>
                    <a:ln/>
                  </pic:spPr>
                </pic:pic>
              </a:graphicData>
            </a:graphic>
          </wp:inline>
        </w:drawing>
      </w:r>
    </w:p>
    <w:p w14:paraId="40B59A4D" w14:textId="77777777" w:rsidR="00330014" w:rsidRDefault="001B5E4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Medical file of the patient </w:t>
      </w:r>
    </w:p>
    <w:p w14:paraId="11ED579D" w14:textId="77777777" w:rsidR="00330014" w:rsidRDefault="001B5E4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1 </w:t>
      </w:r>
      <w:r>
        <w:rPr>
          <w:rFonts w:ascii="Times New Roman" w:eastAsia="Times New Roman" w:hAnsi="Times New Roman" w:cs="Times New Roman"/>
          <w:b/>
          <w:color w:val="000000"/>
          <w:sz w:val="24"/>
          <w:szCs w:val="24"/>
        </w:rPr>
        <w:t>X-ray showing loss of bone continuity in the occipital region.</w:t>
      </w:r>
    </w:p>
    <w:p w14:paraId="5946DB2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 soft chest x-ray was obtained, with limited clinical significance (Figure 2). </w:t>
      </w:r>
    </w:p>
    <w:p w14:paraId="0E516A91" w14:textId="77777777" w:rsidR="00330014" w:rsidRDefault="001B5E43">
      <w:pPr>
        <w:pBdr>
          <w:top w:val="nil"/>
          <w:left w:val="nil"/>
          <w:bottom w:val="nil"/>
          <w:right w:val="nil"/>
          <w:between w:val="nil"/>
        </w:pBdr>
        <w:spacing w:after="240"/>
        <w:jc w:val="center"/>
        <w:rPr>
          <w:rFonts w:ascii="Arial" w:eastAsia="Arial" w:hAnsi="Arial" w:cs="Arial"/>
          <w:color w:val="000000"/>
        </w:rPr>
      </w:pPr>
      <w:r>
        <w:rPr>
          <w:rFonts w:ascii="Arial" w:eastAsia="Arial" w:hAnsi="Arial" w:cs="Arial"/>
          <w:noProof/>
          <w:color w:val="000000"/>
        </w:rPr>
        <w:drawing>
          <wp:inline distT="0" distB="0" distL="0" distR="0" wp14:anchorId="5ACF4743" wp14:editId="5CEDB433">
            <wp:extent cx="3429000" cy="2867025"/>
            <wp:effectExtent l="0" t="0" r="0" b="0"/>
            <wp:docPr id="19593666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3429000" cy="2867025"/>
                    </a:xfrm>
                    <a:prstGeom prst="rect">
                      <a:avLst/>
                    </a:prstGeom>
                    <a:ln/>
                  </pic:spPr>
                </pic:pic>
              </a:graphicData>
            </a:graphic>
          </wp:inline>
        </w:drawing>
      </w:r>
    </w:p>
    <w:p w14:paraId="6471ED87" w14:textId="77777777" w:rsidR="00330014" w:rsidRDefault="001B5E43">
      <w:pPr>
        <w:pBdr>
          <w:top w:val="nil"/>
          <w:left w:val="nil"/>
          <w:bottom w:val="nil"/>
          <w:right w:val="nil"/>
          <w:between w:val="nil"/>
        </w:pBdr>
        <w:spacing w:after="240"/>
        <w:rPr>
          <w:rFonts w:ascii="Arial" w:eastAsia="Arial" w:hAnsi="Arial" w:cs="Arial"/>
          <w:color w:val="000000"/>
        </w:rPr>
      </w:pPr>
      <w:bookmarkStart w:id="3" w:name="_heading=h.xnrss93fg9u5" w:colFirst="0" w:colLast="0"/>
      <w:bookmarkEnd w:id="3"/>
      <w:r>
        <w:rPr>
          <w:rFonts w:ascii="Arial" w:eastAsia="Arial" w:hAnsi="Arial" w:cs="Arial"/>
          <w:color w:val="000000"/>
        </w:rPr>
        <w:t>Source: Medical file of the patient</w:t>
      </w:r>
    </w:p>
    <w:p w14:paraId="01B23E5F" w14:textId="77777777" w:rsidR="00330014" w:rsidRDefault="001B5E43">
      <w:pPr>
        <w:pBdr>
          <w:top w:val="nil"/>
          <w:left w:val="nil"/>
          <w:bottom w:val="nil"/>
          <w:right w:val="nil"/>
          <w:between w:val="nil"/>
        </w:pBdr>
        <w:spacing w:after="240"/>
        <w:rPr>
          <w:rFonts w:ascii="Arial" w:eastAsia="Arial" w:hAnsi="Arial" w:cs="Arial"/>
          <w:b/>
          <w:color w:val="000000"/>
        </w:rPr>
      </w:pPr>
      <w:r>
        <w:rPr>
          <w:rFonts w:ascii="Arial" w:eastAsia="Arial" w:hAnsi="Arial" w:cs="Arial"/>
          <w:b/>
          <w:color w:val="000000"/>
        </w:rPr>
        <w:t>Figure 2 Chest X-ray showing no significant data, and humerus deformed.</w:t>
      </w:r>
    </w:p>
    <w:p w14:paraId="2E0F6C5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Laboratory results included a complete blood count with a tendency toward thrombocytopenia, with no other infectious signs, and no significative C-reactive protein (CRP). A </w:t>
      </w:r>
      <w:proofErr w:type="spellStart"/>
      <w:r>
        <w:rPr>
          <w:rFonts w:ascii="Arial" w:eastAsia="Arial" w:hAnsi="Arial" w:cs="Arial"/>
          <w:color w:val="000000"/>
        </w:rPr>
        <w:t>transfontanellar</w:t>
      </w:r>
      <w:proofErr w:type="spellEnd"/>
      <w:r>
        <w:rPr>
          <w:rFonts w:ascii="Arial" w:eastAsia="Arial" w:hAnsi="Arial" w:cs="Arial"/>
          <w:color w:val="000000"/>
        </w:rPr>
        <w:t xml:space="preserve"> ultrasound was requested, which was reported as unremarkable.</w:t>
      </w:r>
    </w:p>
    <w:p w14:paraId="20BB6D4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w:t>
      </w:r>
      <w:r>
        <w:rPr>
          <w:rFonts w:ascii="Arial" w:eastAsia="Arial" w:hAnsi="Arial" w:cs="Arial"/>
          <w:color w:val="000000"/>
        </w:rPr>
        <w:t>arch 10, 2023, the newborns had stable neurological evolution, without deterioration or complications. The patient was observed with no mobility of the left thoracic limb, left clavicle deformity, evaluated by traumatology where a diaphyseal clavicle fract</w:t>
      </w:r>
      <w:r>
        <w:rPr>
          <w:rFonts w:ascii="Arial" w:eastAsia="Arial" w:hAnsi="Arial" w:cs="Arial"/>
          <w:color w:val="000000"/>
        </w:rPr>
        <w:t xml:space="preserve">ure was confirmed (Figure 1 and 2). Conservative treatment was given. Control laboratory results showed a complete blood count with hemoglobin (HB) </w:t>
      </w:r>
      <w:r w:rsidRPr="0009415C">
        <w:rPr>
          <w:rFonts w:ascii="Arial" w:eastAsia="Arial" w:hAnsi="Arial" w:cs="Arial"/>
          <w:color w:val="000000"/>
        </w:rPr>
        <w:t>16.4 gr/d</w:t>
      </w:r>
      <w:r w:rsidRPr="0009415C">
        <w:rPr>
          <w:rFonts w:ascii="Arial" w:eastAsia="Arial" w:hAnsi="Arial" w:cs="Arial"/>
        </w:rPr>
        <w:t>L</w:t>
      </w:r>
      <w:r w:rsidRPr="0009415C">
        <w:rPr>
          <w:rFonts w:ascii="Arial" w:eastAsia="Arial" w:hAnsi="Arial" w:cs="Arial"/>
          <w:color w:val="000000"/>
        </w:rPr>
        <w:t>, hematocrit (HCT): 46%, platelets of 183,000/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leukocytes of 17,760/</w:t>
      </w:r>
      <w:proofErr w:type="spellStart"/>
      <w:r w:rsidRPr="0009415C">
        <w:rPr>
          <w:rFonts w:ascii="Arial" w:eastAsia="Arial" w:hAnsi="Arial" w:cs="Arial"/>
          <w:color w:val="000000"/>
        </w:rPr>
        <w:t>uL</w:t>
      </w:r>
      <w:proofErr w:type="spellEnd"/>
      <w:r w:rsidRPr="0009415C">
        <w:rPr>
          <w:rFonts w:ascii="Arial" w:eastAsia="Arial" w:hAnsi="Arial" w:cs="Arial"/>
          <w:color w:val="000000"/>
        </w:rPr>
        <w:t xml:space="preserve">, 72% segmented, glucose </w:t>
      </w:r>
      <w:r w:rsidRPr="0009415C">
        <w:rPr>
          <w:rFonts w:ascii="Arial" w:eastAsia="Arial" w:hAnsi="Arial" w:cs="Arial"/>
          <w:color w:val="000000"/>
        </w:rPr>
        <w:t>of 75 mg/dL, indirect bilirubin (IB): 7.3 mg/dL, with total bilirubin (TB): 7.7 mg/d</w:t>
      </w:r>
      <w:r w:rsidRPr="0009415C">
        <w:rPr>
          <w:rFonts w:ascii="Arial" w:eastAsia="Arial" w:hAnsi="Arial" w:cs="Arial"/>
        </w:rPr>
        <w:t>L</w:t>
      </w:r>
      <w:r w:rsidRPr="0009415C">
        <w:rPr>
          <w:rFonts w:ascii="Arial" w:eastAsia="Arial" w:hAnsi="Arial" w:cs="Arial"/>
          <w:color w:val="000000"/>
        </w:rPr>
        <w:t xml:space="preserve">, creatine phosphokinase 2785 </w:t>
      </w:r>
      <w:r w:rsidRPr="0009415C">
        <w:rPr>
          <w:rFonts w:ascii="Arial" w:eastAsia="Arial" w:hAnsi="Arial" w:cs="Arial"/>
        </w:rPr>
        <w:t>u</w:t>
      </w:r>
      <w:r w:rsidRPr="0009415C">
        <w:rPr>
          <w:rFonts w:ascii="Arial" w:eastAsia="Arial" w:hAnsi="Arial" w:cs="Arial"/>
          <w:color w:val="000000"/>
        </w:rPr>
        <w:t xml:space="preserve">/L, mb fraction 90u/L, antibiotics continued. On March 11, 2023, the patient presented with no seizures or abnormal movements. Irritability </w:t>
      </w:r>
      <w:r w:rsidRPr="0009415C">
        <w:rPr>
          <w:rFonts w:ascii="Arial" w:eastAsia="Arial" w:hAnsi="Arial" w:cs="Arial"/>
          <w:color w:val="000000"/>
        </w:rPr>
        <w:t>decreased with analgesics: paracetamol (15 mg/kg every 6 hours) and metamizole 10 mg/kg every 8 hours, ampicillin and amikacin on day 2. Blood cultures were unreactive. He tolerated oral administration and was euglycemic. On March 12, 2023, the patient pre</w:t>
      </w:r>
      <w:r w:rsidRPr="0009415C">
        <w:rPr>
          <w:rFonts w:ascii="Arial" w:eastAsia="Arial" w:hAnsi="Arial" w:cs="Arial"/>
          <w:color w:val="000000"/>
        </w:rPr>
        <w:t>sented with edema and pain in the lower left extremity. Barlow and Ortolani scores were not evaluable. Range of motion was limited. He continued to show signs of an inflammatory response. HB</w:t>
      </w:r>
      <w:r w:rsidRPr="0009415C">
        <w:rPr>
          <w:rFonts w:ascii="Arial" w:eastAsia="Arial" w:hAnsi="Arial" w:cs="Arial"/>
        </w:rPr>
        <w:t>; 16.2 mg/dl HCT:</w:t>
      </w:r>
      <w:r w:rsidRPr="0009415C">
        <w:rPr>
          <w:rFonts w:ascii="Arial" w:eastAsia="Arial" w:hAnsi="Arial" w:cs="Arial"/>
          <w:color w:val="000000"/>
        </w:rPr>
        <w:t xml:space="preserve"> 47.3%, platelets: 141,000/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leukocytes: 15,930</w:t>
      </w:r>
      <w:r w:rsidRPr="0009415C">
        <w:rPr>
          <w:rFonts w:ascii="Arial" w:eastAsia="Arial" w:hAnsi="Arial" w:cs="Arial"/>
          <w:color w:val="000000"/>
        </w:rPr>
        <w:t>/</w:t>
      </w:r>
      <w:proofErr w:type="spellStart"/>
      <w:r w:rsidRPr="0009415C">
        <w:rPr>
          <w:rFonts w:ascii="Arial" w:eastAsia="Arial" w:hAnsi="Arial" w:cs="Arial"/>
          <w:color w:val="000000"/>
        </w:rPr>
        <w:t>uL</w:t>
      </w:r>
      <w:proofErr w:type="spellEnd"/>
      <w:r w:rsidRPr="0009415C">
        <w:rPr>
          <w:rFonts w:ascii="Arial" w:eastAsia="Arial" w:hAnsi="Arial" w:cs="Arial"/>
          <w:color w:val="000000"/>
        </w:rPr>
        <w:t>, 71% segmented, and CRP: 39.9 mg/L. The antibiotic was changed to cefepime (30 mg/kg/day every 12 hours) and amikacin (15 mg/kg/day every</w:t>
      </w:r>
      <w:r>
        <w:rPr>
          <w:rFonts w:ascii="Arial" w:eastAsia="Arial" w:hAnsi="Arial" w:cs="Arial"/>
          <w:color w:val="000000"/>
        </w:rPr>
        <w:t xml:space="preserve"> 24 hours). TB: 10.2mg/dL, with IB: 9.8mg/dL. He was reassessed due to trauma with a distal femur fracture (Figure </w:t>
      </w:r>
      <w:r>
        <w:rPr>
          <w:rFonts w:ascii="Arial" w:eastAsia="Arial" w:hAnsi="Arial" w:cs="Arial"/>
          <w:color w:val="000000"/>
        </w:rPr>
        <w:t>3). Osteogenesis imperfecta was suspected.</w:t>
      </w:r>
      <w:r>
        <w:rPr>
          <w:color w:val="000000"/>
        </w:rPr>
        <w:t xml:space="preserve"> </w:t>
      </w:r>
      <w:r>
        <w:rPr>
          <w:rFonts w:ascii="Arial" w:eastAsia="Arial" w:hAnsi="Arial" w:cs="Arial"/>
          <w:color w:val="000000"/>
        </w:rPr>
        <w:t>Peripheral blood culture was reported at 68 hours without development.</w:t>
      </w:r>
    </w:p>
    <w:p w14:paraId="515BB4A0"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462D3FAE"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50F0E315"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4444738C" w14:textId="77777777" w:rsidR="00330014" w:rsidRDefault="001B5E43">
      <w:pPr>
        <w:pBdr>
          <w:top w:val="nil"/>
          <w:left w:val="nil"/>
          <w:bottom w:val="nil"/>
          <w:right w:val="nil"/>
          <w:between w:val="nil"/>
        </w:pBdr>
        <w:spacing w:after="240"/>
        <w:jc w:val="center"/>
        <w:rPr>
          <w:color w:val="000000"/>
        </w:rPr>
      </w:pPr>
      <w:r>
        <w:rPr>
          <w:color w:val="000000"/>
        </w:rPr>
        <w:t>A                                                        B</w:t>
      </w:r>
      <w:r>
        <w:rPr>
          <w:noProof/>
        </w:rPr>
        <mc:AlternateContent>
          <mc:Choice Requires="wps">
            <w:drawing>
              <wp:anchor distT="0" distB="0" distL="114300" distR="114300" simplePos="0" relativeHeight="251658240" behindDoc="0" locked="0" layoutInCell="1" hidden="0" allowOverlap="1" wp14:anchorId="2626E0B8" wp14:editId="3C87C4AA">
                <wp:simplePos x="0" y="0"/>
                <wp:positionH relativeFrom="column">
                  <wp:posOffset>2640965</wp:posOffset>
                </wp:positionH>
                <wp:positionV relativeFrom="paragraph">
                  <wp:posOffset>530225</wp:posOffset>
                </wp:positionV>
                <wp:extent cx="606425" cy="263525"/>
                <wp:effectExtent l="0" t="0" r="0" b="0"/>
                <wp:wrapNone/>
                <wp:docPr id="1959366632" name="Rectángulo 1959366632"/>
                <wp:cNvGraphicFramePr/>
                <a:graphic xmlns:a="http://schemas.openxmlformats.org/drawingml/2006/main">
                  <a:graphicData uri="http://schemas.microsoft.com/office/word/2010/wordprocessingShape">
                    <wps:wsp>
                      <wps:cNvSpPr/>
                      <wps:spPr>
                        <a:xfrm>
                          <a:off x="5055488" y="3660938"/>
                          <a:ext cx="581025" cy="238125"/>
                        </a:xfrm>
                        <a:prstGeom prst="rect">
                          <a:avLst/>
                        </a:prstGeom>
                        <a:solidFill>
                          <a:schemeClr val="dk1"/>
                        </a:solidFill>
                        <a:ln w="25400" cap="flat" cmpd="sng">
                          <a:solidFill>
                            <a:schemeClr val="dk1"/>
                          </a:solidFill>
                          <a:prstDash val="solid"/>
                          <a:round/>
                          <a:headEnd type="none" w="sm" len="sm"/>
                          <a:tailEnd type="none" w="sm" len="sm"/>
                        </a:ln>
                      </wps:spPr>
                      <wps:txbx>
                        <w:txbxContent>
                          <w:p w14:paraId="07244892" w14:textId="77777777" w:rsidR="00330014" w:rsidRDefault="00330014">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26E0B8" id="Rectángulo 1959366632" o:spid="_x0000_s1026" style="position:absolute;left:0;text-align:left;margin-left:207.95pt;margin-top:41.75pt;width:47.75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" fillcolor="black [3200]" strokecolor="black [3200]" strokeweight="2pt">
                <v:stroke startarrowwidth="narrow" startarrowlength="short" endarrowwidth="narrow" endarrowlength="short" joinstyle="round"/>
                <v:textbox inset="2.53958mm,2.53958mm,2.53958mm,2.53958mm">
                  <w:txbxContent>
                    <w:p w14:paraId="07244892" w14:textId="77777777" w:rsidR="00330014" w:rsidRDefault="00330014">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F909516" wp14:editId="28B432FA">
            <wp:simplePos x="0" y="0"/>
            <wp:positionH relativeFrom="column">
              <wp:posOffset>486727</wp:posOffset>
            </wp:positionH>
            <wp:positionV relativeFrom="paragraph">
              <wp:posOffset>190500</wp:posOffset>
            </wp:positionV>
            <wp:extent cx="4238625" cy="2593975"/>
            <wp:effectExtent l="0" t="0" r="0" b="0"/>
            <wp:wrapNone/>
            <wp:docPr id="19593666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238625" cy="2593975"/>
                    </a:xfrm>
                    <a:prstGeom prst="rect">
                      <a:avLst/>
                    </a:prstGeom>
                    <a:ln/>
                  </pic:spPr>
                </pic:pic>
              </a:graphicData>
            </a:graphic>
          </wp:anchor>
        </w:drawing>
      </w:r>
    </w:p>
    <w:p w14:paraId="11119050" w14:textId="77777777" w:rsidR="00330014" w:rsidRDefault="00330014">
      <w:pPr>
        <w:pBdr>
          <w:top w:val="nil"/>
          <w:left w:val="nil"/>
          <w:bottom w:val="nil"/>
          <w:right w:val="nil"/>
          <w:between w:val="nil"/>
        </w:pBdr>
        <w:spacing w:after="240"/>
        <w:rPr>
          <w:color w:val="000000"/>
        </w:rPr>
      </w:pPr>
    </w:p>
    <w:p w14:paraId="69DA075B" w14:textId="77777777" w:rsidR="00330014" w:rsidRDefault="00330014">
      <w:pPr>
        <w:pBdr>
          <w:top w:val="nil"/>
          <w:left w:val="nil"/>
          <w:bottom w:val="nil"/>
          <w:right w:val="nil"/>
          <w:between w:val="nil"/>
        </w:pBdr>
        <w:spacing w:after="240"/>
        <w:rPr>
          <w:color w:val="000000"/>
        </w:rPr>
      </w:pPr>
    </w:p>
    <w:p w14:paraId="6C591409" w14:textId="77777777" w:rsidR="00330014" w:rsidRDefault="00330014">
      <w:pPr>
        <w:pBdr>
          <w:top w:val="nil"/>
          <w:left w:val="nil"/>
          <w:bottom w:val="nil"/>
          <w:right w:val="nil"/>
          <w:between w:val="nil"/>
        </w:pBdr>
        <w:spacing w:after="240"/>
        <w:rPr>
          <w:color w:val="000000"/>
        </w:rPr>
      </w:pPr>
    </w:p>
    <w:p w14:paraId="30627F47" w14:textId="77777777" w:rsidR="00330014" w:rsidRDefault="00330014">
      <w:pPr>
        <w:pBdr>
          <w:top w:val="nil"/>
          <w:left w:val="nil"/>
          <w:bottom w:val="nil"/>
          <w:right w:val="nil"/>
          <w:between w:val="nil"/>
        </w:pBdr>
        <w:spacing w:after="240"/>
        <w:rPr>
          <w:color w:val="000000"/>
        </w:rPr>
      </w:pPr>
    </w:p>
    <w:p w14:paraId="4DB990BF" w14:textId="77777777" w:rsidR="00330014" w:rsidRDefault="00330014">
      <w:pPr>
        <w:pBdr>
          <w:top w:val="nil"/>
          <w:left w:val="nil"/>
          <w:bottom w:val="nil"/>
          <w:right w:val="nil"/>
          <w:between w:val="nil"/>
        </w:pBdr>
        <w:spacing w:after="240"/>
        <w:rPr>
          <w:color w:val="000000"/>
        </w:rPr>
      </w:pPr>
    </w:p>
    <w:p w14:paraId="62F2D3F0" w14:textId="77777777" w:rsidR="00330014" w:rsidRDefault="00330014">
      <w:pPr>
        <w:pBdr>
          <w:top w:val="nil"/>
          <w:left w:val="nil"/>
          <w:bottom w:val="nil"/>
          <w:right w:val="nil"/>
          <w:between w:val="nil"/>
        </w:pBdr>
        <w:spacing w:after="240"/>
        <w:rPr>
          <w:color w:val="000000"/>
        </w:rPr>
      </w:pPr>
    </w:p>
    <w:p w14:paraId="18B99540" w14:textId="77777777" w:rsidR="00330014" w:rsidRDefault="00330014">
      <w:pPr>
        <w:pBdr>
          <w:top w:val="nil"/>
          <w:left w:val="nil"/>
          <w:bottom w:val="nil"/>
          <w:right w:val="nil"/>
          <w:between w:val="nil"/>
        </w:pBdr>
        <w:spacing w:after="240"/>
        <w:rPr>
          <w:color w:val="000000"/>
        </w:rPr>
      </w:pPr>
    </w:p>
    <w:p w14:paraId="229F83C8" w14:textId="77777777" w:rsidR="00330014" w:rsidRDefault="00330014">
      <w:pPr>
        <w:pBdr>
          <w:top w:val="nil"/>
          <w:left w:val="nil"/>
          <w:bottom w:val="nil"/>
          <w:right w:val="nil"/>
          <w:between w:val="nil"/>
        </w:pBdr>
        <w:spacing w:after="240"/>
        <w:rPr>
          <w:color w:val="000000"/>
        </w:rPr>
      </w:pPr>
    </w:p>
    <w:p w14:paraId="5C8F46BA" w14:textId="77777777" w:rsidR="00330014" w:rsidRDefault="00330014">
      <w:pPr>
        <w:pBdr>
          <w:top w:val="nil"/>
          <w:left w:val="nil"/>
          <w:bottom w:val="nil"/>
          <w:right w:val="nil"/>
          <w:between w:val="nil"/>
        </w:pBdr>
        <w:spacing w:after="240"/>
        <w:rPr>
          <w:rFonts w:ascii="Arial" w:eastAsia="Arial" w:hAnsi="Arial" w:cs="Arial"/>
          <w:color w:val="000000"/>
        </w:rPr>
      </w:pPr>
    </w:p>
    <w:p w14:paraId="7F993AD0" w14:textId="77777777" w:rsidR="00330014" w:rsidRDefault="001B5E43">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Source: Medical file of the patient</w:t>
      </w:r>
    </w:p>
    <w:p w14:paraId="34723752" w14:textId="77777777" w:rsidR="00330014" w:rsidRDefault="001B5E43">
      <w:pPr>
        <w:pBdr>
          <w:top w:val="nil"/>
          <w:left w:val="nil"/>
          <w:bottom w:val="nil"/>
          <w:right w:val="nil"/>
          <w:between w:val="nil"/>
        </w:pBdr>
        <w:spacing w:after="240"/>
        <w:rPr>
          <w:rFonts w:ascii="Arial" w:eastAsia="Arial" w:hAnsi="Arial" w:cs="Arial"/>
          <w:b/>
          <w:color w:val="000000"/>
        </w:rPr>
      </w:pPr>
      <w:r>
        <w:rPr>
          <w:rFonts w:ascii="Arial" w:eastAsia="Arial" w:hAnsi="Arial" w:cs="Arial"/>
          <w:b/>
          <w:color w:val="000000"/>
        </w:rPr>
        <w:lastRenderedPageBreak/>
        <w:t xml:space="preserve">Figure 3 Right tibia fracture </w:t>
      </w:r>
      <w:r>
        <w:rPr>
          <w:rFonts w:ascii="Arial" w:eastAsia="Arial" w:hAnsi="Arial" w:cs="Arial"/>
          <w:b/>
          <w:color w:val="000000"/>
        </w:rPr>
        <w:t>(A), left distal femur fracture (B)</w:t>
      </w:r>
    </w:p>
    <w:p w14:paraId="1CC1251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March 13, 2023, the patient's progress was stable, with no deterioration or complications. There was no evidence of systemic inflammatory response syndrome (SIRS). Laboratory tests </w:t>
      </w:r>
      <w:r w:rsidRPr="0009415C">
        <w:rPr>
          <w:rFonts w:ascii="Arial" w:eastAsia="Arial" w:hAnsi="Arial" w:cs="Arial"/>
          <w:color w:val="000000"/>
        </w:rPr>
        <w:t>showed glucose 84 mg</w:t>
      </w:r>
      <w:r w:rsidRPr="0009415C">
        <w:rPr>
          <w:rFonts w:ascii="Arial" w:eastAsia="Arial" w:hAnsi="Arial" w:cs="Arial"/>
        </w:rPr>
        <w:t>/</w:t>
      </w:r>
      <w:r w:rsidRPr="0009415C">
        <w:rPr>
          <w:rFonts w:ascii="Arial" w:eastAsia="Arial" w:hAnsi="Arial" w:cs="Arial"/>
          <w:color w:val="000000"/>
        </w:rPr>
        <w:t>dL, urea 27.8 m</w:t>
      </w:r>
      <w:r w:rsidRPr="0009415C">
        <w:rPr>
          <w:rFonts w:ascii="Arial" w:eastAsia="Arial" w:hAnsi="Arial" w:cs="Arial"/>
          <w:color w:val="000000"/>
        </w:rPr>
        <w:t>g/d</w:t>
      </w:r>
      <w:r w:rsidRPr="0009415C">
        <w:rPr>
          <w:rFonts w:ascii="Arial" w:eastAsia="Arial" w:hAnsi="Arial" w:cs="Arial"/>
        </w:rPr>
        <w:t>L</w:t>
      </w:r>
      <w:r w:rsidRPr="0009415C">
        <w:rPr>
          <w:rFonts w:ascii="Arial" w:eastAsia="Arial" w:hAnsi="Arial" w:cs="Arial"/>
          <w:color w:val="000000"/>
        </w:rPr>
        <w:t xml:space="preserve">, Cr 1.04 mg/dL, TB 3.4mg/dL, IB 2.9 mg/dL, HB 15.4 </w:t>
      </w:r>
      <w:r w:rsidRPr="0009415C">
        <w:rPr>
          <w:rFonts w:ascii="Arial" w:eastAsia="Arial" w:hAnsi="Arial" w:cs="Arial"/>
        </w:rPr>
        <w:t>g/dL</w:t>
      </w:r>
      <w:r w:rsidRPr="0009415C">
        <w:rPr>
          <w:rFonts w:ascii="Arial" w:eastAsia="Arial" w:hAnsi="Arial" w:cs="Arial"/>
          <w:color w:val="000000"/>
        </w:rPr>
        <w:t>, HCT 44.6%, platelets 184,000/</w:t>
      </w:r>
      <w:proofErr w:type="spellStart"/>
      <w:r w:rsidRPr="0009415C">
        <w:rPr>
          <w:rFonts w:ascii="Arial" w:eastAsia="Arial" w:hAnsi="Arial" w:cs="Arial"/>
        </w:rPr>
        <w:t>uL</w:t>
      </w:r>
      <w:proofErr w:type="spellEnd"/>
      <w:r w:rsidRPr="0009415C">
        <w:rPr>
          <w:rFonts w:ascii="Arial" w:eastAsia="Arial" w:hAnsi="Arial" w:cs="Arial"/>
          <w:color w:val="000000"/>
        </w:rPr>
        <w:t>, leukocytes 12,240</w:t>
      </w:r>
      <w:r w:rsidRPr="0009415C">
        <w:rPr>
          <w:rFonts w:ascii="Arial" w:eastAsia="Arial" w:hAnsi="Arial" w:cs="Arial"/>
        </w:rPr>
        <w:t>/</w:t>
      </w:r>
      <w:proofErr w:type="spellStart"/>
      <w:r w:rsidRPr="0009415C">
        <w:rPr>
          <w:rFonts w:ascii="Arial" w:eastAsia="Arial" w:hAnsi="Arial" w:cs="Arial"/>
        </w:rPr>
        <w:t>uL</w:t>
      </w:r>
      <w:proofErr w:type="spellEnd"/>
      <w:r w:rsidRPr="0009415C">
        <w:rPr>
          <w:rFonts w:ascii="Arial" w:eastAsia="Arial" w:hAnsi="Arial" w:cs="Arial"/>
          <w:color w:val="000000"/>
        </w:rPr>
        <w:t xml:space="preserve"> with 62% neutrophils, and CRP 37.1 mg/L. Antibiotic treatment was continued. The patient was re-evaluated for a distal fracture of the left </w:t>
      </w:r>
      <w:r w:rsidRPr="0009415C">
        <w:rPr>
          <w:rFonts w:ascii="Arial" w:eastAsia="Arial" w:hAnsi="Arial" w:cs="Arial"/>
          <w:color w:val="000000"/>
        </w:rPr>
        <w:t>femur. A shin splint was placed for 4 weeks</w:t>
      </w:r>
      <w:r>
        <w:rPr>
          <w:rFonts w:ascii="Arial" w:eastAsia="Arial" w:hAnsi="Arial" w:cs="Arial"/>
          <w:color w:val="000000"/>
        </w:rPr>
        <w:t>.</w:t>
      </w:r>
    </w:p>
    <w:p w14:paraId="38B80D0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14, 2023, the patient was progressing toward improvement and well-tolerated oral administration. Amikacin, cefepime, and analgesics were continued. The management continued as discussed by the traumatol</w:t>
      </w:r>
      <w:r>
        <w:rPr>
          <w:rFonts w:ascii="Arial" w:eastAsia="Arial" w:hAnsi="Arial" w:cs="Arial"/>
          <w:color w:val="000000"/>
        </w:rPr>
        <w:t>ogy service.</w:t>
      </w:r>
    </w:p>
    <w:p w14:paraId="07D908E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March 15, 2023, the patient was hemodynamically stable. The infectious disease status was decreased: </w:t>
      </w:r>
      <w:r w:rsidRPr="0009415C">
        <w:rPr>
          <w:rFonts w:ascii="Arial" w:eastAsia="Arial" w:hAnsi="Arial" w:cs="Arial"/>
          <w:color w:val="000000"/>
        </w:rPr>
        <w:t>7,930/</w:t>
      </w:r>
      <w:proofErr w:type="spellStart"/>
      <w:r w:rsidRPr="0009415C">
        <w:rPr>
          <w:rFonts w:ascii="Arial" w:eastAsia="Arial" w:hAnsi="Arial" w:cs="Arial"/>
          <w:color w:val="000000"/>
        </w:rPr>
        <w:t>uL</w:t>
      </w:r>
      <w:proofErr w:type="spellEnd"/>
      <w:r w:rsidRPr="0009415C">
        <w:rPr>
          <w:rFonts w:ascii="Arial" w:eastAsia="Arial" w:hAnsi="Arial" w:cs="Arial"/>
          <w:color w:val="000000"/>
        </w:rPr>
        <w:t xml:space="preserve"> </w:t>
      </w:r>
      <w:r w:rsidRPr="0009415C">
        <w:rPr>
          <w:rFonts w:ascii="Arial" w:eastAsia="Arial" w:hAnsi="Arial" w:cs="Arial"/>
        </w:rPr>
        <w:t>leukocytes</w:t>
      </w:r>
      <w:r w:rsidRPr="0009415C">
        <w:rPr>
          <w:rFonts w:ascii="Arial" w:eastAsia="Arial" w:hAnsi="Arial" w:cs="Arial"/>
          <w:color w:val="000000"/>
        </w:rPr>
        <w:t>, 40% segmented, platelets, 283,000/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and CRP 17.1</w:t>
      </w:r>
      <w:r w:rsidRPr="0009415C">
        <w:rPr>
          <w:rFonts w:ascii="Arial" w:eastAsia="Arial" w:hAnsi="Arial" w:cs="Arial"/>
        </w:rPr>
        <w:t>mg/L.</w:t>
      </w:r>
      <w:r w:rsidRPr="0009415C">
        <w:rPr>
          <w:rFonts w:ascii="Arial" w:eastAsia="Arial" w:hAnsi="Arial" w:cs="Arial"/>
          <w:color w:val="000000"/>
        </w:rPr>
        <w:t xml:space="preserve"> The patient continues with the same management</w:t>
      </w:r>
      <w:r>
        <w:rPr>
          <w:rFonts w:ascii="Arial" w:eastAsia="Arial" w:hAnsi="Arial" w:cs="Arial"/>
          <w:color w:val="000000"/>
        </w:rPr>
        <w:t>. Ventilation wa</w:t>
      </w:r>
      <w:r>
        <w:rPr>
          <w:rFonts w:ascii="Arial" w:eastAsia="Arial" w:hAnsi="Arial" w:cs="Arial"/>
          <w:color w:val="000000"/>
        </w:rPr>
        <w:t>s monitored with no signs of respiratory distress, pain control was maintained, and close monitoring was maintained.</w:t>
      </w:r>
    </w:p>
    <w:p w14:paraId="2C368E2F"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16, 2023, the mother was re-examined and informed that her father and paternal grandfather had osteogenesis imperfecta.</w:t>
      </w:r>
    </w:p>
    <w:p w14:paraId="43F970DF"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1</w:t>
      </w:r>
      <w:r>
        <w:rPr>
          <w:rFonts w:ascii="Arial" w:eastAsia="Arial" w:hAnsi="Arial" w:cs="Arial"/>
          <w:color w:val="000000"/>
        </w:rPr>
        <w:t xml:space="preserve">8, 2023, the patient's respiratory status was adequate, with no supplemental oxygen support. The patient was infected with no signs of SIRS. Cefepime and amikacin were continued. </w:t>
      </w:r>
      <w:proofErr w:type="spellStart"/>
      <w:r>
        <w:rPr>
          <w:rFonts w:ascii="Arial" w:eastAsia="Arial" w:hAnsi="Arial" w:cs="Arial"/>
          <w:color w:val="000000"/>
        </w:rPr>
        <w:t>Gastrometabolic</w:t>
      </w:r>
      <w:proofErr w:type="spellEnd"/>
      <w:r>
        <w:rPr>
          <w:rFonts w:ascii="Arial" w:eastAsia="Arial" w:hAnsi="Arial" w:cs="Arial"/>
          <w:color w:val="000000"/>
        </w:rPr>
        <w:t xml:space="preserve"> status was adequate: oral intake was adequate, suction was pr</w:t>
      </w:r>
      <w:r>
        <w:rPr>
          <w:rFonts w:ascii="Arial" w:eastAsia="Arial" w:hAnsi="Arial" w:cs="Arial"/>
          <w:color w:val="000000"/>
        </w:rPr>
        <w:t>esent, and the patient was euglycemic.</w:t>
      </w:r>
    </w:p>
    <w:p w14:paraId="536C060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03/20/23 Control labs with </w:t>
      </w:r>
      <w:r w:rsidRPr="0009415C">
        <w:rPr>
          <w:rFonts w:ascii="Arial" w:eastAsia="Arial" w:hAnsi="Arial" w:cs="Arial"/>
          <w:color w:val="000000"/>
        </w:rPr>
        <w:t>PCR: 4.2 mg/L, with HB: 13.5</w:t>
      </w:r>
      <w:r w:rsidRPr="0009415C">
        <w:rPr>
          <w:rFonts w:ascii="Arial" w:eastAsia="Arial" w:hAnsi="Arial" w:cs="Arial"/>
        </w:rPr>
        <w:t>gr/dL</w:t>
      </w:r>
      <w:r w:rsidRPr="0009415C">
        <w:rPr>
          <w:rFonts w:ascii="Arial" w:eastAsia="Arial" w:hAnsi="Arial" w:cs="Arial"/>
          <w:color w:val="000000"/>
        </w:rPr>
        <w:t>, HCT: 39%, platelets of 531,000/</w:t>
      </w:r>
      <w:proofErr w:type="spellStart"/>
      <w:r w:rsidRPr="0009415C">
        <w:rPr>
          <w:rFonts w:ascii="Arial" w:eastAsia="Arial" w:hAnsi="Arial" w:cs="Arial"/>
          <w:color w:val="000000"/>
        </w:rPr>
        <w:t>uL</w:t>
      </w:r>
      <w:proofErr w:type="spellEnd"/>
      <w:r w:rsidRPr="0009415C">
        <w:rPr>
          <w:rFonts w:ascii="Arial" w:eastAsia="Arial" w:hAnsi="Arial" w:cs="Arial"/>
          <w:color w:val="000000"/>
        </w:rPr>
        <w:t>, leukocytes of 11,340/</w:t>
      </w:r>
      <w:proofErr w:type="spellStart"/>
      <w:r w:rsidRPr="0009415C">
        <w:rPr>
          <w:rFonts w:ascii="Arial" w:eastAsia="Arial" w:hAnsi="Arial" w:cs="Arial"/>
          <w:color w:val="000000"/>
        </w:rPr>
        <w:t>uL</w:t>
      </w:r>
      <w:proofErr w:type="spellEnd"/>
      <w:r w:rsidRPr="0009415C">
        <w:rPr>
          <w:rFonts w:ascii="Arial" w:eastAsia="Arial" w:hAnsi="Arial" w:cs="Arial"/>
          <w:color w:val="000000"/>
        </w:rPr>
        <w:t xml:space="preserve">, 40% segmented, 10 days of amikacin and 8 days of cefepime are completed, antibiotics are </w:t>
      </w:r>
      <w:r w:rsidRPr="0009415C">
        <w:rPr>
          <w:rFonts w:ascii="Arial" w:eastAsia="Arial" w:hAnsi="Arial" w:cs="Arial"/>
          <w:color w:val="000000"/>
        </w:rPr>
        <w:t>discontinued.</w:t>
      </w:r>
    </w:p>
    <w:p w14:paraId="722F634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21, 2023, a consultation with the Orthopedic Department was requested due to a functional limitation in the left thoracic limb. Physical examination revealed abduction and internal rotation of the arm and forearm in the left thoracic</w:t>
      </w:r>
      <w:r>
        <w:rPr>
          <w:rFonts w:ascii="Arial" w:eastAsia="Arial" w:hAnsi="Arial" w:cs="Arial"/>
          <w:color w:val="000000"/>
        </w:rPr>
        <w:t xml:space="preserve"> limb, preserved range of motion in the wrist and fingers, and severe pain when palpating the surface of the proximal humerus. An x-ray showed loss of bone continuity in the left proximal humerus in the metaphyseal area, a simple, non-angulated line, and m</w:t>
      </w:r>
      <w:r>
        <w:rPr>
          <w:rFonts w:ascii="Arial" w:eastAsia="Arial" w:hAnsi="Arial" w:cs="Arial"/>
          <w:color w:val="000000"/>
        </w:rPr>
        <w:t>ild displacement. A diagnosis was made of a fracture of the left humerus in the proximal metaphyseal area, and Duchenne Erb's palsy in the left thoracic limb. Conservative management was provided, without the use of a splint on the left humerus.</w:t>
      </w:r>
    </w:p>
    <w:p w14:paraId="1EFF770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On March 2</w:t>
      </w:r>
      <w:r>
        <w:rPr>
          <w:rFonts w:ascii="Arial" w:eastAsia="Arial" w:hAnsi="Arial" w:cs="Arial"/>
          <w:color w:val="000000"/>
        </w:rPr>
        <w:t>2, 2023, the patient was discharged with information to parents about alarming symptoms and an open appointment to the Emergency Department. The mother was trained in special care for probable osteogenesis imperfecta, and a continuous splint was prescribed</w:t>
      </w:r>
      <w:r>
        <w:rPr>
          <w:rFonts w:ascii="Arial" w:eastAsia="Arial" w:hAnsi="Arial" w:cs="Arial"/>
          <w:color w:val="000000"/>
        </w:rPr>
        <w:t>. A referral was made to pediatric genetics and traumatology. On May 3, 2023, the patient attended a pediatric consultation and was reported to be stable, with a reserved prognosis.</w:t>
      </w:r>
    </w:p>
    <w:p w14:paraId="4985127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April 14, 2023, the patient attended a trauma consultation for a </w:t>
      </w:r>
      <w:r>
        <w:rPr>
          <w:rFonts w:ascii="Arial" w:eastAsia="Arial" w:hAnsi="Arial" w:cs="Arial"/>
          <w:color w:val="000000"/>
        </w:rPr>
        <w:t>subsequent fracture of the clavicle, femur, and humerus. The patient was asymptomatic. An X-ray was requested and an appointment was scheduled for two months.</w:t>
      </w:r>
    </w:p>
    <w:p w14:paraId="112151E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trauma consultation showed adequate healing on June 16, 2023.</w:t>
      </w:r>
    </w:p>
    <w:p w14:paraId="4650682E"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The pediatric consultation reve</w:t>
      </w:r>
      <w:r>
        <w:rPr>
          <w:rFonts w:ascii="Arial" w:eastAsia="Arial" w:hAnsi="Arial" w:cs="Arial"/>
          <w:color w:val="000000"/>
        </w:rPr>
        <w:t>aled delayed psychomotor development in the motor area on July 24,2023. An appointment was scheduled for a neurodevelopmental consultation.</w:t>
      </w:r>
    </w:p>
    <w:p w14:paraId="15B99550" w14:textId="77777777" w:rsidR="00330014" w:rsidRDefault="00330014">
      <w:pPr>
        <w:pBdr>
          <w:top w:val="nil"/>
          <w:left w:val="nil"/>
          <w:bottom w:val="nil"/>
          <w:right w:val="nil"/>
          <w:between w:val="nil"/>
        </w:pBdr>
        <w:jc w:val="both"/>
        <w:rPr>
          <w:rFonts w:ascii="Arial" w:eastAsia="Arial" w:hAnsi="Arial" w:cs="Arial"/>
          <w:color w:val="000000"/>
        </w:rPr>
      </w:pPr>
    </w:p>
    <w:p w14:paraId="0BA1E76C" w14:textId="77777777" w:rsidR="00330014" w:rsidRDefault="001B5E4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discussion</w:t>
      </w:r>
    </w:p>
    <w:p w14:paraId="5D37C70A" w14:textId="77777777" w:rsidR="00330014" w:rsidRDefault="00330014">
      <w:pPr>
        <w:keepNext/>
        <w:pBdr>
          <w:top w:val="nil"/>
          <w:left w:val="nil"/>
          <w:bottom w:val="nil"/>
          <w:right w:val="nil"/>
          <w:between w:val="nil"/>
        </w:pBdr>
        <w:jc w:val="both"/>
        <w:rPr>
          <w:rFonts w:ascii="Arial" w:eastAsia="Arial" w:hAnsi="Arial" w:cs="Arial"/>
          <w:b/>
          <w:smallCaps/>
          <w:color w:val="000000"/>
          <w:sz w:val="22"/>
          <w:szCs w:val="22"/>
        </w:rPr>
      </w:pPr>
    </w:p>
    <w:p w14:paraId="3FDBBC4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disease primarily affects the skeletal system. Skeletal manifestations include bone fragility re</w:t>
      </w:r>
      <w:r>
        <w:rPr>
          <w:rFonts w:ascii="Arial" w:eastAsia="Arial" w:hAnsi="Arial" w:cs="Arial"/>
          <w:color w:val="000000"/>
        </w:rPr>
        <w:t xml:space="preserve">sulting from primary bone fragility and secondary fragility resulting from osteoporosis (Van Dijk, &amp; </w:t>
      </w:r>
      <w:proofErr w:type="spellStart"/>
      <w:r>
        <w:rPr>
          <w:rFonts w:ascii="Arial" w:eastAsia="Arial" w:hAnsi="Arial" w:cs="Arial"/>
          <w:color w:val="000000"/>
        </w:rPr>
        <w:t>Sillence</w:t>
      </w:r>
      <w:proofErr w:type="spellEnd"/>
      <w:r>
        <w:rPr>
          <w:rFonts w:ascii="Arial" w:eastAsia="Arial" w:hAnsi="Arial" w:cs="Arial"/>
          <w:color w:val="000000"/>
        </w:rPr>
        <w:t xml:space="preserve">, 2014), which lead to recurrent fractures, fractures in atypical sites, and low-trauma fractures (including in utero fractures in severe forms of </w:t>
      </w:r>
      <w:r>
        <w:rPr>
          <w:rFonts w:ascii="Arial" w:eastAsia="Arial" w:hAnsi="Arial" w:cs="Arial"/>
          <w:color w:val="000000"/>
        </w:rPr>
        <w:t>OI)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(Torrent, 2020). At least in the most common and mildest type I OI, the incidence of fractures is higher in the pediatric population and decreases with age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w:t>
      </w:r>
    </w:p>
    <w:p w14:paraId="6BD39E8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most common spinal deformities are scolio</w:t>
      </w:r>
      <w:r>
        <w:rPr>
          <w:rFonts w:ascii="Arial" w:eastAsia="Arial" w:hAnsi="Arial" w:cs="Arial"/>
          <w:color w:val="000000"/>
        </w:rPr>
        <w:t xml:space="preserve">sis, spondylosis, and spondylolisthesis; abnormalities of the </w:t>
      </w:r>
      <w:proofErr w:type="spellStart"/>
      <w:r>
        <w:rPr>
          <w:rFonts w:ascii="Arial" w:eastAsia="Arial" w:hAnsi="Arial" w:cs="Arial"/>
          <w:color w:val="000000"/>
        </w:rPr>
        <w:t>craniocervical</w:t>
      </w:r>
      <w:proofErr w:type="spellEnd"/>
      <w:r>
        <w:rPr>
          <w:rFonts w:ascii="Arial" w:eastAsia="Arial" w:hAnsi="Arial" w:cs="Arial"/>
          <w:color w:val="000000"/>
        </w:rPr>
        <w:t xml:space="preserve"> junction, such as basilar invagination, are reported in up to 37% of patients and can cause serious complications (</w:t>
      </w:r>
      <w:proofErr w:type="spellStart"/>
      <w:r>
        <w:rPr>
          <w:rFonts w:ascii="Arial" w:eastAsia="Arial" w:hAnsi="Arial" w:cs="Arial"/>
          <w:color w:val="000000"/>
        </w:rPr>
        <w:t>Arponen</w:t>
      </w:r>
      <w:proofErr w:type="spellEnd"/>
      <w:r>
        <w:rPr>
          <w:rFonts w:ascii="Arial" w:eastAsia="Arial" w:hAnsi="Arial" w:cs="Arial"/>
          <w:color w:val="000000"/>
        </w:rPr>
        <w:t xml:space="preserve">, </w:t>
      </w:r>
      <w:proofErr w:type="spellStart"/>
      <w:r>
        <w:rPr>
          <w:rFonts w:ascii="Arial" w:eastAsia="Arial" w:hAnsi="Arial" w:cs="Arial"/>
          <w:color w:val="000000"/>
        </w:rPr>
        <w:t>Makitie</w:t>
      </w:r>
      <w:proofErr w:type="spellEnd"/>
      <w:r>
        <w:rPr>
          <w:rFonts w:ascii="Arial" w:eastAsia="Arial" w:hAnsi="Arial" w:cs="Arial"/>
          <w:color w:val="000000"/>
        </w:rPr>
        <w:t xml:space="preserve">, </w:t>
      </w:r>
      <w:proofErr w:type="spellStart"/>
      <w:r>
        <w:rPr>
          <w:rFonts w:ascii="Arial" w:eastAsia="Arial" w:hAnsi="Arial" w:cs="Arial"/>
          <w:color w:val="000000"/>
        </w:rPr>
        <w:t>Haukka</w:t>
      </w:r>
      <w:proofErr w:type="spellEnd"/>
      <w:r>
        <w:rPr>
          <w:rFonts w:ascii="Arial" w:eastAsia="Arial" w:hAnsi="Arial" w:cs="Arial"/>
          <w:color w:val="000000"/>
        </w:rPr>
        <w:t xml:space="preserve">, </w:t>
      </w:r>
      <w:proofErr w:type="spellStart"/>
      <w:r>
        <w:rPr>
          <w:rFonts w:ascii="Arial" w:eastAsia="Arial" w:hAnsi="Arial" w:cs="Arial"/>
          <w:color w:val="000000"/>
        </w:rPr>
        <w:t>Ranta</w:t>
      </w:r>
      <w:proofErr w:type="spellEnd"/>
      <w:r>
        <w:rPr>
          <w:rFonts w:ascii="Arial" w:eastAsia="Arial" w:hAnsi="Arial" w:cs="Arial"/>
          <w:color w:val="000000"/>
        </w:rPr>
        <w:t xml:space="preserve">, </w:t>
      </w:r>
      <w:proofErr w:type="spellStart"/>
      <w:r>
        <w:rPr>
          <w:rFonts w:ascii="Arial" w:eastAsia="Arial" w:hAnsi="Arial" w:cs="Arial"/>
          <w:color w:val="000000"/>
        </w:rPr>
        <w:t>Ekholm</w:t>
      </w:r>
      <w:proofErr w:type="spellEnd"/>
      <w:r>
        <w:rPr>
          <w:rFonts w:ascii="Arial" w:eastAsia="Arial" w:hAnsi="Arial" w:cs="Arial"/>
          <w:color w:val="000000"/>
        </w:rPr>
        <w:t xml:space="preserve">, </w:t>
      </w:r>
      <w:proofErr w:type="spellStart"/>
      <w:r>
        <w:rPr>
          <w:rFonts w:ascii="Arial" w:eastAsia="Arial" w:hAnsi="Arial" w:cs="Arial"/>
          <w:color w:val="000000"/>
        </w:rPr>
        <w:t>Mayranpaa</w:t>
      </w:r>
      <w:proofErr w:type="spellEnd"/>
      <w:r>
        <w:rPr>
          <w:rFonts w:ascii="Arial" w:eastAsia="Arial" w:hAnsi="Arial" w:cs="Arial"/>
          <w:color w:val="000000"/>
        </w:rPr>
        <w:t xml:space="preserve">, </w:t>
      </w:r>
      <w:proofErr w:type="spellStart"/>
      <w:r>
        <w:rPr>
          <w:rFonts w:ascii="Arial" w:eastAsia="Arial" w:hAnsi="Arial" w:cs="Arial"/>
          <w:color w:val="000000"/>
        </w:rPr>
        <w:t>Kaitila</w:t>
      </w:r>
      <w:proofErr w:type="spellEnd"/>
      <w:r>
        <w:rPr>
          <w:rFonts w:ascii="Arial" w:eastAsia="Arial" w:hAnsi="Arial" w:cs="Arial"/>
          <w:color w:val="000000"/>
        </w:rPr>
        <w:t xml:space="preserve">, &amp; </w:t>
      </w:r>
      <w:proofErr w:type="spellStart"/>
      <w:r>
        <w:rPr>
          <w:rFonts w:ascii="Arial" w:eastAsia="Arial" w:hAnsi="Arial" w:cs="Arial"/>
          <w:color w:val="000000"/>
        </w:rPr>
        <w:t>W</w:t>
      </w:r>
      <w:r>
        <w:rPr>
          <w:rFonts w:ascii="Arial" w:eastAsia="Arial" w:hAnsi="Arial" w:cs="Arial"/>
          <w:color w:val="000000"/>
        </w:rPr>
        <w:t>altimo</w:t>
      </w:r>
      <w:proofErr w:type="spellEnd"/>
      <w:r>
        <w:rPr>
          <w:rFonts w:ascii="Arial" w:eastAsia="Arial" w:hAnsi="Arial" w:cs="Arial"/>
          <w:color w:val="000000"/>
        </w:rPr>
        <w:t xml:space="preserve">-Sired, 2012) (Reznikov, Dagdeviren, Tamimi,  Glorieux, Rauch, &amp; </w:t>
      </w:r>
      <w:proofErr w:type="spellStart"/>
      <w:r>
        <w:rPr>
          <w:rFonts w:ascii="Arial" w:eastAsia="Arial" w:hAnsi="Arial" w:cs="Arial"/>
          <w:color w:val="000000"/>
        </w:rPr>
        <w:t>Retrouvey</w:t>
      </w:r>
      <w:proofErr w:type="spellEnd"/>
      <w:r>
        <w:rPr>
          <w:rFonts w:ascii="Arial" w:eastAsia="Arial" w:hAnsi="Arial" w:cs="Arial"/>
          <w:color w:val="000000"/>
        </w:rPr>
        <w:t>, 2019). As a consequence of structural and functional skeletal abnormalities, bone pain is common.</w:t>
      </w:r>
    </w:p>
    <w:p w14:paraId="30748E1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Craniofacial disorders include abnormal development of craniofacial structur</w:t>
      </w:r>
      <w:r>
        <w:rPr>
          <w:rFonts w:ascii="Arial" w:eastAsia="Arial" w:hAnsi="Arial" w:cs="Arial"/>
          <w:color w:val="000000"/>
        </w:rPr>
        <w:t xml:space="preserve">es, such as a hypoplastic face with maxillary retrusion and mandibular prognathism, as well as an abnormal skull base (Van Dijk, &amp; </w:t>
      </w:r>
      <w:proofErr w:type="spellStart"/>
      <w:r>
        <w:rPr>
          <w:rFonts w:ascii="Arial" w:eastAsia="Arial" w:hAnsi="Arial" w:cs="Arial"/>
          <w:color w:val="000000"/>
        </w:rPr>
        <w:t>Sillence</w:t>
      </w:r>
      <w:proofErr w:type="spellEnd"/>
      <w:r>
        <w:rPr>
          <w:rFonts w:ascii="Arial" w:eastAsia="Arial" w:hAnsi="Arial" w:cs="Arial"/>
          <w:color w:val="000000"/>
        </w:rPr>
        <w:t>, 2014).</w:t>
      </w:r>
    </w:p>
    <w:p w14:paraId="027C9A86"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the hip, the condition is characterized by coxa </w:t>
      </w:r>
      <w:proofErr w:type="spellStart"/>
      <w:r>
        <w:rPr>
          <w:rFonts w:ascii="Arial" w:eastAsia="Arial" w:hAnsi="Arial" w:cs="Arial"/>
          <w:color w:val="000000"/>
        </w:rPr>
        <w:t>vara</w:t>
      </w:r>
      <w:proofErr w:type="spellEnd"/>
      <w:r>
        <w:rPr>
          <w:rFonts w:ascii="Arial" w:eastAsia="Arial" w:hAnsi="Arial" w:cs="Arial"/>
          <w:color w:val="000000"/>
        </w:rPr>
        <w:t xml:space="preserve"> and sometimes coxa </w:t>
      </w:r>
      <w:proofErr w:type="spellStart"/>
      <w:r>
        <w:rPr>
          <w:rFonts w:ascii="Arial" w:eastAsia="Arial" w:hAnsi="Arial" w:cs="Arial"/>
          <w:color w:val="000000"/>
        </w:rPr>
        <w:t>valga</w:t>
      </w:r>
      <w:proofErr w:type="spellEnd"/>
      <w:r>
        <w:rPr>
          <w:rFonts w:ascii="Arial" w:eastAsia="Arial" w:hAnsi="Arial" w:cs="Arial"/>
          <w:color w:val="000000"/>
        </w:rPr>
        <w:t xml:space="preserve"> (Torrent, 2020).  </w:t>
      </w:r>
    </w:p>
    <w:p w14:paraId="0140ABB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Short st</w:t>
      </w:r>
      <w:r>
        <w:rPr>
          <w:rFonts w:ascii="Arial" w:eastAsia="Arial" w:hAnsi="Arial" w:cs="Arial"/>
          <w:color w:val="000000"/>
        </w:rPr>
        <w:t>ature is a common feature, especially in severe forms of OI, and to a lesser extent in milder type I OI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In addition to skeletal findings, multiple systems can be affected.</w:t>
      </w:r>
    </w:p>
    <w:p w14:paraId="29079B2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Ocular disorders include bluish or grayish discoloration o</w:t>
      </w:r>
      <w:r>
        <w:rPr>
          <w:rFonts w:ascii="Arial" w:eastAsia="Arial" w:hAnsi="Arial" w:cs="Arial"/>
          <w:color w:val="000000"/>
        </w:rPr>
        <w:t xml:space="preserve">f the sclera, corneal abnormalities, refractive errors, and glaucoma (Torrent, 2020).  </w:t>
      </w:r>
    </w:p>
    <w:p w14:paraId="23D8806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Oral: </w:t>
      </w:r>
      <w:proofErr w:type="spellStart"/>
      <w:r>
        <w:rPr>
          <w:rFonts w:ascii="Arial" w:eastAsia="Arial" w:hAnsi="Arial" w:cs="Arial"/>
          <w:color w:val="000000"/>
        </w:rPr>
        <w:t>dentinogenesis</w:t>
      </w:r>
      <w:proofErr w:type="spellEnd"/>
      <w:r>
        <w:rPr>
          <w:rFonts w:ascii="Arial" w:eastAsia="Arial" w:hAnsi="Arial" w:cs="Arial"/>
          <w:color w:val="000000"/>
        </w:rPr>
        <w:t xml:space="preserve"> imperfecta (yellowing and brittle teeth), tooth eruption abnormalities, malposition, malocclusion (Marom, Rabenhorst, &amp; Morello, 2020) (Morello, 2018).</w:t>
      </w:r>
    </w:p>
    <w:p w14:paraId="43C1E60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Auditory: progressive conductive hearing loss, sensorineural or mixed hearing loss, even deafness (Mari</w:t>
      </w:r>
      <w:r>
        <w:rPr>
          <w:rFonts w:ascii="Arial" w:eastAsia="Arial" w:hAnsi="Arial" w:cs="Arial"/>
          <w:color w:val="000000"/>
        </w:rPr>
        <w:t>ni, et al., 2017).</w:t>
      </w:r>
    </w:p>
    <w:p w14:paraId="00A2D2D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Muscle weakness and reduced muscle mass may also result from the patient's limited mobility (</w:t>
      </w:r>
      <w:proofErr w:type="spellStart"/>
      <w:proofErr w:type="gramStart"/>
      <w:r>
        <w:rPr>
          <w:rFonts w:ascii="Arial" w:eastAsia="Arial" w:hAnsi="Arial" w:cs="Arial"/>
          <w:color w:val="000000"/>
        </w:rPr>
        <w:t>Veilleux,Trejo</w:t>
      </w:r>
      <w:proofErr w:type="spellEnd"/>
      <w:proofErr w:type="gramEnd"/>
      <w:r>
        <w:rPr>
          <w:rFonts w:ascii="Arial" w:eastAsia="Arial" w:hAnsi="Arial" w:cs="Arial"/>
          <w:color w:val="000000"/>
        </w:rPr>
        <w:t>, &amp; Rauch, 2017).</w:t>
      </w:r>
    </w:p>
    <w:p w14:paraId="017EF23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Cardiovascular manifestations include aortic root dilation, valvular dysfunction, and rarely, aortic aneurysm an</w:t>
      </w:r>
      <w:r>
        <w:rPr>
          <w:rFonts w:ascii="Arial" w:eastAsia="Arial" w:hAnsi="Arial" w:cs="Arial"/>
          <w:color w:val="000000"/>
        </w:rPr>
        <w:t xml:space="preserve">d </w:t>
      </w:r>
      <w:proofErr w:type="gramStart"/>
      <w:r>
        <w:rPr>
          <w:rFonts w:ascii="Arial" w:eastAsia="Arial" w:hAnsi="Arial" w:cs="Arial"/>
          <w:color w:val="000000"/>
        </w:rPr>
        <w:t>dissection(</w:t>
      </w:r>
      <w:proofErr w:type="gramEnd"/>
      <w:r>
        <w:rPr>
          <w:rFonts w:ascii="Arial" w:eastAsia="Arial" w:hAnsi="Arial" w:cs="Arial"/>
          <w:color w:val="000000"/>
        </w:rPr>
        <w:t xml:space="preserve">Balasubramanian, </w:t>
      </w:r>
      <w:proofErr w:type="spellStart"/>
      <w:r>
        <w:rPr>
          <w:rFonts w:ascii="Arial" w:eastAsia="Arial" w:hAnsi="Arial" w:cs="Arial"/>
          <w:color w:val="000000"/>
        </w:rPr>
        <w:t>Verschueren</w:t>
      </w:r>
      <w:proofErr w:type="spellEnd"/>
      <w:r>
        <w:rPr>
          <w:rFonts w:ascii="Arial" w:eastAsia="Arial" w:hAnsi="Arial" w:cs="Arial"/>
          <w:color w:val="000000"/>
        </w:rPr>
        <w:t xml:space="preserve">, </w:t>
      </w:r>
      <w:proofErr w:type="spellStart"/>
      <w:r>
        <w:rPr>
          <w:rFonts w:ascii="Arial" w:eastAsia="Arial" w:hAnsi="Arial" w:cs="Arial"/>
          <w:color w:val="000000"/>
        </w:rPr>
        <w:t>Kleevens</w:t>
      </w:r>
      <w:proofErr w:type="spellEnd"/>
      <w:r>
        <w:rPr>
          <w:rFonts w:ascii="Arial" w:eastAsia="Arial" w:hAnsi="Arial" w:cs="Arial"/>
          <w:color w:val="000000"/>
        </w:rPr>
        <w:t xml:space="preserve">, </w:t>
      </w:r>
      <w:proofErr w:type="spellStart"/>
      <w:r>
        <w:rPr>
          <w:rFonts w:ascii="Arial" w:eastAsia="Arial" w:hAnsi="Arial" w:cs="Arial"/>
          <w:color w:val="000000"/>
        </w:rPr>
        <w:t>Luyckx</w:t>
      </w:r>
      <w:proofErr w:type="spellEnd"/>
      <w:r>
        <w:rPr>
          <w:rFonts w:ascii="Arial" w:eastAsia="Arial" w:hAnsi="Arial" w:cs="Arial"/>
          <w:color w:val="000000"/>
        </w:rPr>
        <w:t xml:space="preserve">, </w:t>
      </w:r>
      <w:proofErr w:type="spellStart"/>
      <w:r>
        <w:rPr>
          <w:rFonts w:ascii="Arial" w:eastAsia="Arial" w:hAnsi="Arial" w:cs="Arial"/>
          <w:color w:val="000000"/>
        </w:rPr>
        <w:t>Perik</w:t>
      </w:r>
      <w:proofErr w:type="spellEnd"/>
      <w:r>
        <w:rPr>
          <w:rFonts w:ascii="Arial" w:eastAsia="Arial" w:hAnsi="Arial" w:cs="Arial"/>
          <w:color w:val="000000"/>
        </w:rPr>
        <w:t xml:space="preserve">, </w:t>
      </w:r>
      <w:proofErr w:type="spellStart"/>
      <w:r>
        <w:rPr>
          <w:rFonts w:ascii="Arial" w:eastAsia="Arial" w:hAnsi="Arial" w:cs="Arial"/>
          <w:color w:val="000000"/>
        </w:rPr>
        <w:t>Schirwani</w:t>
      </w:r>
      <w:proofErr w:type="spellEnd"/>
      <w:r>
        <w:rPr>
          <w:rFonts w:ascii="Arial" w:eastAsia="Arial" w:hAnsi="Arial" w:cs="Arial"/>
          <w:color w:val="000000"/>
        </w:rPr>
        <w:t xml:space="preserve">, Mortier, Morisaki, </w:t>
      </w:r>
      <w:proofErr w:type="spellStart"/>
      <w:r>
        <w:rPr>
          <w:rFonts w:ascii="Arial" w:eastAsia="Arial" w:hAnsi="Arial" w:cs="Arial"/>
          <w:color w:val="000000"/>
        </w:rPr>
        <w:t>Rodrigus</w:t>
      </w:r>
      <w:proofErr w:type="spellEnd"/>
      <w:r>
        <w:rPr>
          <w:rFonts w:ascii="Arial" w:eastAsia="Arial" w:hAnsi="Arial" w:cs="Arial"/>
          <w:color w:val="000000"/>
        </w:rPr>
        <w:t xml:space="preserve">, Van </w:t>
      </w:r>
      <w:proofErr w:type="spellStart"/>
      <w:r>
        <w:rPr>
          <w:rFonts w:ascii="Arial" w:eastAsia="Arial" w:hAnsi="Arial" w:cs="Arial"/>
          <w:color w:val="000000"/>
        </w:rPr>
        <w:t>Laer</w:t>
      </w:r>
      <w:proofErr w:type="spellEnd"/>
      <w:r>
        <w:rPr>
          <w:rFonts w:ascii="Arial" w:eastAsia="Arial" w:hAnsi="Arial" w:cs="Arial"/>
          <w:color w:val="000000"/>
        </w:rPr>
        <w:t xml:space="preserve">, </w:t>
      </w:r>
      <w:proofErr w:type="spellStart"/>
      <w:r>
        <w:rPr>
          <w:rFonts w:ascii="Arial" w:eastAsia="Arial" w:hAnsi="Arial" w:cs="Arial"/>
          <w:color w:val="000000"/>
        </w:rPr>
        <w:t>Verstraeten</w:t>
      </w:r>
      <w:proofErr w:type="spellEnd"/>
      <w:r>
        <w:rPr>
          <w:rFonts w:ascii="Arial" w:eastAsia="Arial" w:hAnsi="Arial" w:cs="Arial"/>
          <w:color w:val="000000"/>
        </w:rPr>
        <w:t xml:space="preserve">, &amp; </w:t>
      </w:r>
      <w:proofErr w:type="spellStart"/>
      <w:r>
        <w:rPr>
          <w:rFonts w:ascii="Arial" w:eastAsia="Arial" w:hAnsi="Arial" w:cs="Arial"/>
          <w:color w:val="000000"/>
        </w:rPr>
        <w:t>Loeys</w:t>
      </w:r>
      <w:proofErr w:type="spellEnd"/>
      <w:r>
        <w:rPr>
          <w:rFonts w:ascii="Arial" w:eastAsia="Arial" w:hAnsi="Arial" w:cs="Arial"/>
          <w:color w:val="000000"/>
        </w:rPr>
        <w:t xml:space="preserve">, 2019) (Marom, Rabenhorst, &amp; Morello, 2020). </w:t>
      </w:r>
    </w:p>
    <w:p w14:paraId="7E1F3B1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Lung function: Loss of lung function is associated with scoliosis great</w:t>
      </w:r>
      <w:r>
        <w:rPr>
          <w:rFonts w:ascii="Arial" w:eastAsia="Arial" w:hAnsi="Arial" w:cs="Arial"/>
          <w:color w:val="000000"/>
        </w:rPr>
        <w:t>er than 60° (</w:t>
      </w:r>
      <w:proofErr w:type="spellStart"/>
      <w:r>
        <w:rPr>
          <w:rFonts w:ascii="Arial" w:eastAsia="Arial" w:hAnsi="Arial" w:cs="Arial"/>
          <w:color w:val="000000"/>
        </w:rPr>
        <w:t>Widmann</w:t>
      </w:r>
      <w:proofErr w:type="spellEnd"/>
      <w:r>
        <w:rPr>
          <w:rFonts w:ascii="Arial" w:eastAsia="Arial" w:hAnsi="Arial" w:cs="Arial"/>
          <w:color w:val="000000"/>
        </w:rPr>
        <w:t xml:space="preserve">, </w:t>
      </w:r>
      <w:proofErr w:type="spellStart"/>
      <w:r>
        <w:rPr>
          <w:rFonts w:ascii="Arial" w:eastAsia="Arial" w:hAnsi="Arial" w:cs="Arial"/>
          <w:color w:val="000000"/>
        </w:rPr>
        <w:t>Bitan</w:t>
      </w:r>
      <w:proofErr w:type="spellEnd"/>
      <w:r>
        <w:rPr>
          <w:rFonts w:ascii="Arial" w:eastAsia="Arial" w:hAnsi="Arial" w:cs="Arial"/>
          <w:color w:val="000000"/>
        </w:rPr>
        <w:t xml:space="preserve">, </w:t>
      </w:r>
      <w:proofErr w:type="spellStart"/>
      <w:r>
        <w:rPr>
          <w:rFonts w:ascii="Arial" w:eastAsia="Arial" w:hAnsi="Arial" w:cs="Arial"/>
          <w:color w:val="000000"/>
        </w:rPr>
        <w:t>Laplaza</w:t>
      </w:r>
      <w:proofErr w:type="spellEnd"/>
      <w:r>
        <w:rPr>
          <w:rFonts w:ascii="Arial" w:eastAsia="Arial" w:hAnsi="Arial" w:cs="Arial"/>
          <w:color w:val="000000"/>
        </w:rPr>
        <w:t xml:space="preserve">, Burke, </w:t>
      </w:r>
      <w:proofErr w:type="spellStart"/>
      <w:r>
        <w:rPr>
          <w:rFonts w:ascii="Arial" w:eastAsia="Arial" w:hAnsi="Arial" w:cs="Arial"/>
          <w:color w:val="000000"/>
        </w:rPr>
        <w:t>DiMaio</w:t>
      </w:r>
      <w:proofErr w:type="spellEnd"/>
      <w:r>
        <w:rPr>
          <w:rFonts w:ascii="Arial" w:eastAsia="Arial" w:hAnsi="Arial" w:cs="Arial"/>
          <w:color w:val="000000"/>
        </w:rPr>
        <w:t>, &amp; Schneider, 1999), skeletal abnormalities affecting the rib cage and pectoral deformity, which impair the action of the respiratory muscles and chest wall, contributing to respiratory infections and res</w:t>
      </w:r>
      <w:r>
        <w:rPr>
          <w:rFonts w:ascii="Arial" w:eastAsia="Arial" w:hAnsi="Arial" w:cs="Arial"/>
          <w:color w:val="000000"/>
        </w:rPr>
        <w:t>piratory failure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(LoMauro, </w:t>
      </w:r>
      <w:r>
        <w:rPr>
          <w:rFonts w:ascii="Arial" w:eastAsia="Arial" w:hAnsi="Arial" w:cs="Arial"/>
          <w:color w:val="000000"/>
        </w:rPr>
        <w:lastRenderedPageBreak/>
        <w:t xml:space="preserve">Pochintesta, </w:t>
      </w:r>
      <w:proofErr w:type="spellStart"/>
      <w:r>
        <w:rPr>
          <w:rFonts w:ascii="Arial" w:eastAsia="Arial" w:hAnsi="Arial" w:cs="Arial"/>
          <w:color w:val="000000"/>
        </w:rPr>
        <w:t>Romei</w:t>
      </w:r>
      <w:proofErr w:type="spellEnd"/>
      <w:r>
        <w:rPr>
          <w:rFonts w:ascii="Arial" w:eastAsia="Arial" w:hAnsi="Arial" w:cs="Arial"/>
          <w:color w:val="000000"/>
        </w:rPr>
        <w:t xml:space="preserve">, D'Angelo, </w:t>
      </w:r>
      <w:proofErr w:type="spellStart"/>
      <w:r>
        <w:rPr>
          <w:rFonts w:ascii="Arial" w:eastAsia="Arial" w:hAnsi="Arial" w:cs="Arial"/>
          <w:color w:val="000000"/>
        </w:rPr>
        <w:t>Pedotti</w:t>
      </w:r>
      <w:proofErr w:type="spellEnd"/>
      <w:r>
        <w:rPr>
          <w:rFonts w:ascii="Arial" w:eastAsia="Arial" w:hAnsi="Arial" w:cs="Arial"/>
          <w:color w:val="000000"/>
        </w:rPr>
        <w:t xml:space="preserve">, </w:t>
      </w:r>
      <w:proofErr w:type="spellStart"/>
      <w:r>
        <w:rPr>
          <w:rFonts w:ascii="Arial" w:eastAsia="Arial" w:hAnsi="Arial" w:cs="Arial"/>
          <w:color w:val="000000"/>
        </w:rPr>
        <w:t>Turconi</w:t>
      </w:r>
      <w:proofErr w:type="spellEnd"/>
      <w:r>
        <w:rPr>
          <w:rFonts w:ascii="Arial" w:eastAsia="Arial" w:hAnsi="Arial" w:cs="Arial"/>
          <w:color w:val="000000"/>
        </w:rPr>
        <w:t xml:space="preserve">, &amp; </w:t>
      </w:r>
      <w:proofErr w:type="spellStart"/>
      <w:r>
        <w:rPr>
          <w:rFonts w:ascii="Arial" w:eastAsia="Arial" w:hAnsi="Arial" w:cs="Arial"/>
          <w:color w:val="000000"/>
        </w:rPr>
        <w:t>Aliverti</w:t>
      </w:r>
      <w:proofErr w:type="spellEnd"/>
      <w:r>
        <w:rPr>
          <w:rFonts w:ascii="Arial" w:eastAsia="Arial" w:hAnsi="Arial" w:cs="Arial"/>
          <w:color w:val="000000"/>
        </w:rPr>
        <w:t>, 2012) (Torrent, 2020) (Veilleux, Trejo, &amp; Rauch, 2017).</w:t>
      </w:r>
    </w:p>
    <w:p w14:paraId="0F29CFA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Impaired lung function is the main cause of morbidity and mortality in osteogenesis impe</w:t>
      </w:r>
      <w:r>
        <w:rPr>
          <w:rFonts w:ascii="Arial" w:eastAsia="Arial" w:hAnsi="Arial" w:cs="Arial"/>
          <w:color w:val="000000"/>
        </w:rPr>
        <w:t>rfecta (Singer, Ogston, &amp; Paterson, 2001).</w:t>
      </w:r>
    </w:p>
    <w:p w14:paraId="52102E7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diagnosis is based on clinical and radiological findings. The main features are fractures due to mild trauma, accompanied by deformities in the long bones and thorax, scoliosis, kyphosis, and growth retardatio</w:t>
      </w:r>
      <w:r>
        <w:rPr>
          <w:rFonts w:ascii="Arial" w:eastAsia="Arial" w:hAnsi="Arial" w:cs="Arial"/>
          <w:color w:val="000000"/>
        </w:rPr>
        <w:t>n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w:t>
      </w:r>
    </w:p>
    <w:p w14:paraId="51D40557"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management for OI is multidisciplinary and tailored to the patient based on their age, type, and severity of OI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w:t>
      </w:r>
    </w:p>
    <w:p w14:paraId="4DDDC09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It is based on four main pillars:</w:t>
      </w:r>
    </w:p>
    <w:p w14:paraId="4F31F62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 Physical rehabilitation is possibly the most impo</w:t>
      </w:r>
      <w:r>
        <w:rPr>
          <w:rFonts w:ascii="Arial" w:eastAsia="Arial" w:hAnsi="Arial" w:cs="Arial"/>
          <w:color w:val="000000"/>
        </w:rPr>
        <w:t xml:space="preserve">rtant contribution to the function of this pathology, helping patients recover from fractures and achieving maximum functional independence in basic activities of daily living (Barnes, Chang, Morello, Cabral, Weis, Eyre, </w:t>
      </w:r>
      <w:proofErr w:type="spellStart"/>
      <w:r>
        <w:rPr>
          <w:rFonts w:ascii="Arial" w:eastAsia="Arial" w:hAnsi="Arial" w:cs="Arial"/>
          <w:color w:val="000000"/>
        </w:rPr>
        <w:t>Leikin</w:t>
      </w:r>
      <w:proofErr w:type="spellEnd"/>
      <w:r>
        <w:rPr>
          <w:rFonts w:ascii="Arial" w:eastAsia="Arial" w:hAnsi="Arial" w:cs="Arial"/>
          <w:color w:val="000000"/>
        </w:rPr>
        <w:t xml:space="preserve">, </w:t>
      </w:r>
      <w:proofErr w:type="spellStart"/>
      <w:r>
        <w:rPr>
          <w:rFonts w:ascii="Arial" w:eastAsia="Arial" w:hAnsi="Arial" w:cs="Arial"/>
          <w:color w:val="000000"/>
        </w:rPr>
        <w:t>Makareeva</w:t>
      </w:r>
      <w:proofErr w:type="spellEnd"/>
      <w:r>
        <w:rPr>
          <w:rFonts w:ascii="Arial" w:eastAsia="Arial" w:hAnsi="Arial" w:cs="Arial"/>
          <w:color w:val="000000"/>
        </w:rPr>
        <w:t xml:space="preserve">, Kuznetsova, </w:t>
      </w:r>
      <w:proofErr w:type="spellStart"/>
      <w:r>
        <w:rPr>
          <w:rFonts w:ascii="Arial" w:eastAsia="Arial" w:hAnsi="Arial" w:cs="Arial"/>
          <w:color w:val="000000"/>
        </w:rPr>
        <w:t>Uveg</w:t>
      </w:r>
      <w:r>
        <w:rPr>
          <w:rFonts w:ascii="Arial" w:eastAsia="Arial" w:hAnsi="Arial" w:cs="Arial"/>
          <w:color w:val="000000"/>
        </w:rPr>
        <w:t>es</w:t>
      </w:r>
      <w:proofErr w:type="spellEnd"/>
      <w:r>
        <w:rPr>
          <w:rFonts w:ascii="Arial" w:eastAsia="Arial" w:hAnsi="Arial" w:cs="Arial"/>
          <w:color w:val="000000"/>
        </w:rPr>
        <w:t>, Ashok, Flor, Mulvihill, Wilson, Sundaram, Lee, &amp; Marini, 2006). (Torrent, 2020).</w:t>
      </w:r>
    </w:p>
    <w:p w14:paraId="4ABC66A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 Orthopedic surgery with intramedullary nailing, and in pediatric patients, telescopic intramedullary nails that enlarge as the bone grows, correcting bone deformities w</w:t>
      </w:r>
      <w:r>
        <w:rPr>
          <w:rFonts w:ascii="Arial" w:eastAsia="Arial" w:hAnsi="Arial" w:cs="Arial"/>
          <w:color w:val="000000"/>
        </w:rPr>
        <w:t>ith osteotomies (Torrent, 2020).</w:t>
      </w:r>
    </w:p>
    <w:p w14:paraId="38BB92A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 The most commonly used medical treatment is oral or intravenous bisphosphonates, which improve bone mass and architecture (Marini, et al., 2017) (Reznikov et al., 2019).  Bisphosphonates act by inhibiting osteoclastic ac</w:t>
      </w:r>
      <w:r>
        <w:rPr>
          <w:rFonts w:ascii="Arial" w:eastAsia="Arial" w:hAnsi="Arial" w:cs="Arial"/>
          <w:color w:val="000000"/>
        </w:rPr>
        <w:t>tivity and bone resorption, which improves bone mineral density and reduces the incidence of fractures (Reznikov, et al.,2019).</w:t>
      </w:r>
    </w:p>
    <w:p w14:paraId="0EF6C78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Teriparatide (PTH) is associated with an anabolic bone response, with increased bone mineral formation and density (Neer, Arnaud</w:t>
      </w:r>
      <w:r>
        <w:rPr>
          <w:rFonts w:ascii="Arial" w:eastAsia="Arial" w:hAnsi="Arial" w:cs="Arial"/>
          <w:color w:val="000000"/>
        </w:rPr>
        <w:t xml:space="preserve">, </w:t>
      </w:r>
      <w:proofErr w:type="spellStart"/>
      <w:r>
        <w:rPr>
          <w:rFonts w:ascii="Arial" w:eastAsia="Arial" w:hAnsi="Arial" w:cs="Arial"/>
          <w:color w:val="000000"/>
        </w:rPr>
        <w:t>Zanchetta</w:t>
      </w:r>
      <w:proofErr w:type="spellEnd"/>
      <w:r>
        <w:rPr>
          <w:rFonts w:ascii="Arial" w:eastAsia="Arial" w:hAnsi="Arial" w:cs="Arial"/>
          <w:color w:val="000000"/>
        </w:rPr>
        <w:t xml:space="preserve">, Prince, </w:t>
      </w:r>
      <w:proofErr w:type="spellStart"/>
      <w:r>
        <w:rPr>
          <w:rFonts w:ascii="Arial" w:eastAsia="Arial" w:hAnsi="Arial" w:cs="Arial"/>
          <w:color w:val="000000"/>
        </w:rPr>
        <w:t>Gaich</w:t>
      </w:r>
      <w:proofErr w:type="spellEnd"/>
      <w:r>
        <w:rPr>
          <w:rFonts w:ascii="Arial" w:eastAsia="Arial" w:hAnsi="Arial" w:cs="Arial"/>
          <w:color w:val="000000"/>
        </w:rPr>
        <w:t xml:space="preserve">, </w:t>
      </w:r>
      <w:proofErr w:type="spellStart"/>
      <w:r>
        <w:rPr>
          <w:rFonts w:ascii="Arial" w:eastAsia="Arial" w:hAnsi="Arial" w:cs="Arial"/>
          <w:color w:val="000000"/>
        </w:rPr>
        <w:t>Reginster</w:t>
      </w:r>
      <w:proofErr w:type="spellEnd"/>
      <w:r>
        <w:rPr>
          <w:rFonts w:ascii="Arial" w:eastAsia="Arial" w:hAnsi="Arial" w:cs="Arial"/>
          <w:color w:val="000000"/>
        </w:rPr>
        <w:t xml:space="preserve">, </w:t>
      </w:r>
      <w:proofErr w:type="spellStart"/>
      <w:r>
        <w:rPr>
          <w:rFonts w:ascii="Arial" w:eastAsia="Arial" w:hAnsi="Arial" w:cs="Arial"/>
          <w:color w:val="000000"/>
        </w:rPr>
        <w:t>Hodsman</w:t>
      </w:r>
      <w:proofErr w:type="spellEnd"/>
      <w:r>
        <w:rPr>
          <w:rFonts w:ascii="Arial" w:eastAsia="Arial" w:hAnsi="Arial" w:cs="Arial"/>
          <w:color w:val="000000"/>
        </w:rPr>
        <w:t xml:space="preserve">, Eriksen, </w:t>
      </w:r>
      <w:proofErr w:type="spellStart"/>
      <w:r>
        <w:rPr>
          <w:rFonts w:ascii="Arial" w:eastAsia="Arial" w:hAnsi="Arial" w:cs="Arial"/>
          <w:color w:val="000000"/>
        </w:rPr>
        <w:t>Ish</w:t>
      </w:r>
      <w:proofErr w:type="spellEnd"/>
      <w:r>
        <w:rPr>
          <w:rFonts w:ascii="Arial" w:eastAsia="Arial" w:hAnsi="Arial" w:cs="Arial"/>
          <w:color w:val="000000"/>
        </w:rPr>
        <w:t xml:space="preserve">-Shalom, </w:t>
      </w:r>
      <w:proofErr w:type="spellStart"/>
      <w:r>
        <w:rPr>
          <w:rFonts w:ascii="Arial" w:eastAsia="Arial" w:hAnsi="Arial" w:cs="Arial"/>
          <w:color w:val="000000"/>
        </w:rPr>
        <w:t>Genant</w:t>
      </w:r>
      <w:proofErr w:type="spellEnd"/>
      <w:r>
        <w:rPr>
          <w:rFonts w:ascii="Arial" w:eastAsia="Arial" w:hAnsi="Arial" w:cs="Arial"/>
          <w:color w:val="000000"/>
        </w:rPr>
        <w:t xml:space="preserve">, Wang, &amp; </w:t>
      </w:r>
      <w:proofErr w:type="spellStart"/>
      <w:r>
        <w:rPr>
          <w:rFonts w:ascii="Arial" w:eastAsia="Arial" w:hAnsi="Arial" w:cs="Arial"/>
          <w:color w:val="000000"/>
        </w:rPr>
        <w:t>Mitlak</w:t>
      </w:r>
      <w:proofErr w:type="spellEnd"/>
      <w:r>
        <w:rPr>
          <w:rFonts w:ascii="Arial" w:eastAsia="Arial" w:hAnsi="Arial" w:cs="Arial"/>
          <w:color w:val="000000"/>
        </w:rPr>
        <w:t>, 2001).</w:t>
      </w:r>
    </w:p>
    <w:p w14:paraId="2C52116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Other therapies used are under investigation, such as denosumab (an anti-RANKL monoclonal antibody), anti-sclerostin antibody, and TGFB inhibitor antibody, </w:t>
      </w:r>
      <w:r>
        <w:rPr>
          <w:rFonts w:ascii="Arial" w:eastAsia="Arial" w:hAnsi="Arial" w:cs="Arial"/>
          <w:color w:val="000000"/>
        </w:rPr>
        <w:t>as well as stem cell therapy (</w:t>
      </w:r>
      <w:proofErr w:type="spellStart"/>
      <w:r>
        <w:rPr>
          <w:rFonts w:ascii="Arial" w:eastAsia="Arial" w:hAnsi="Arial" w:cs="Arial"/>
          <w:color w:val="000000"/>
        </w:rPr>
        <w:t>Forlino</w:t>
      </w:r>
      <w:proofErr w:type="spellEnd"/>
      <w:r>
        <w:rPr>
          <w:rFonts w:ascii="Arial" w:eastAsia="Arial" w:hAnsi="Arial" w:cs="Arial"/>
          <w:color w:val="000000"/>
        </w:rPr>
        <w:t xml:space="preserve"> &amp; Marini, 2016) (Reznikov, et al., 2019). (Hoyer-Kuhn, Franklin, </w:t>
      </w:r>
      <w:proofErr w:type="spellStart"/>
      <w:r>
        <w:rPr>
          <w:rFonts w:ascii="Arial" w:eastAsia="Arial" w:hAnsi="Arial" w:cs="Arial"/>
          <w:color w:val="000000"/>
        </w:rPr>
        <w:t>Allo</w:t>
      </w:r>
      <w:proofErr w:type="spellEnd"/>
      <w:r>
        <w:rPr>
          <w:rFonts w:ascii="Arial" w:eastAsia="Arial" w:hAnsi="Arial" w:cs="Arial"/>
          <w:color w:val="000000"/>
        </w:rPr>
        <w:t xml:space="preserve">, </w:t>
      </w:r>
      <w:proofErr w:type="spellStart"/>
      <w:r>
        <w:rPr>
          <w:rFonts w:ascii="Arial" w:eastAsia="Arial" w:hAnsi="Arial" w:cs="Arial"/>
          <w:color w:val="000000"/>
        </w:rPr>
        <w:t>Kron</w:t>
      </w:r>
      <w:proofErr w:type="spellEnd"/>
      <w:r>
        <w:rPr>
          <w:rFonts w:ascii="Arial" w:eastAsia="Arial" w:hAnsi="Arial" w:cs="Arial"/>
          <w:color w:val="000000"/>
        </w:rPr>
        <w:t xml:space="preserve">, </w:t>
      </w:r>
      <w:proofErr w:type="spellStart"/>
      <w:r>
        <w:rPr>
          <w:rFonts w:ascii="Arial" w:eastAsia="Arial" w:hAnsi="Arial" w:cs="Arial"/>
          <w:color w:val="000000"/>
        </w:rPr>
        <w:t>Netzer</w:t>
      </w:r>
      <w:proofErr w:type="spellEnd"/>
      <w:r>
        <w:rPr>
          <w:rFonts w:ascii="Arial" w:eastAsia="Arial" w:hAnsi="Arial" w:cs="Arial"/>
          <w:color w:val="000000"/>
        </w:rPr>
        <w:t xml:space="preserve">, </w:t>
      </w:r>
      <w:proofErr w:type="spellStart"/>
      <w:r>
        <w:rPr>
          <w:rFonts w:ascii="Arial" w:eastAsia="Arial" w:hAnsi="Arial" w:cs="Arial"/>
          <w:color w:val="000000"/>
        </w:rPr>
        <w:t>Eysel</w:t>
      </w:r>
      <w:proofErr w:type="spellEnd"/>
      <w:r>
        <w:rPr>
          <w:rFonts w:ascii="Arial" w:eastAsia="Arial" w:hAnsi="Arial" w:cs="Arial"/>
          <w:color w:val="000000"/>
        </w:rPr>
        <w:t xml:space="preserve">, Hero, </w:t>
      </w:r>
      <w:proofErr w:type="spellStart"/>
      <w:r>
        <w:rPr>
          <w:rFonts w:ascii="Arial" w:eastAsia="Arial" w:hAnsi="Arial" w:cs="Arial"/>
          <w:color w:val="000000"/>
        </w:rPr>
        <w:t>Schoenau</w:t>
      </w:r>
      <w:proofErr w:type="spellEnd"/>
      <w:r>
        <w:rPr>
          <w:rFonts w:ascii="Arial" w:eastAsia="Arial" w:hAnsi="Arial" w:cs="Arial"/>
          <w:color w:val="000000"/>
        </w:rPr>
        <w:t>, &amp; Semler, 2016) (Tauer, Robinson, &amp; Rauch, 2019).</w:t>
      </w:r>
    </w:p>
    <w:p w14:paraId="6371E066"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 Psychological treatment.</w:t>
      </w:r>
    </w:p>
    <w:p w14:paraId="22BA964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Patients with mild OI will likel</w:t>
      </w:r>
      <w:r>
        <w:rPr>
          <w:rFonts w:ascii="Arial" w:eastAsia="Arial" w:hAnsi="Arial" w:cs="Arial"/>
          <w:color w:val="000000"/>
        </w:rPr>
        <w:t>y only require monitoring for complications, but patients with moderate and severe OI will require multidisciplinary management with medications, physical therapy, occupational therapy, orthopedic interventions, and follow-up by other subspecialists (</w:t>
      </w:r>
      <w:proofErr w:type="spellStart"/>
      <w:r>
        <w:rPr>
          <w:rFonts w:ascii="Arial" w:eastAsia="Arial" w:hAnsi="Arial" w:cs="Arial"/>
          <w:color w:val="000000"/>
        </w:rPr>
        <w:t>Forli</w:t>
      </w:r>
      <w:r>
        <w:rPr>
          <w:rFonts w:ascii="Arial" w:eastAsia="Arial" w:hAnsi="Arial" w:cs="Arial"/>
          <w:color w:val="000000"/>
        </w:rPr>
        <w:t>no</w:t>
      </w:r>
      <w:proofErr w:type="spellEnd"/>
      <w:r>
        <w:rPr>
          <w:rFonts w:ascii="Arial" w:eastAsia="Arial" w:hAnsi="Arial" w:cs="Arial"/>
          <w:color w:val="000000"/>
        </w:rPr>
        <w:t xml:space="preserve"> &amp; Marini, 2016).</w:t>
      </w:r>
    </w:p>
    <w:p w14:paraId="6B24DB5E"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Orthopedic treatment has been conservative so far, as the patient reportedly had several fractures with adequate healing. The newborn's progress was satisfactory, and the fracture healing was as expected.</w:t>
      </w:r>
    </w:p>
    <w:p w14:paraId="0000855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complication associated </w:t>
      </w:r>
      <w:r>
        <w:rPr>
          <w:rFonts w:ascii="Arial" w:eastAsia="Arial" w:hAnsi="Arial" w:cs="Arial"/>
          <w:color w:val="000000"/>
        </w:rPr>
        <w:t>with the highest mortality is respiratory failure (Singer, Ogston, &amp; Paterson, 2001).</w:t>
      </w:r>
    </w:p>
    <w:p w14:paraId="2F08D697"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Prenatal care is very important, as early diagnosis of this condition allows for a successful delivery and management of the newborn with the necessary care, minimizing m</w:t>
      </w:r>
      <w:r>
        <w:rPr>
          <w:rFonts w:ascii="Arial" w:eastAsia="Arial" w:hAnsi="Arial" w:cs="Arial"/>
          <w:color w:val="000000"/>
        </w:rPr>
        <w:t>obilization, which increases the chances of survival. However, in our case, this was not performed because the mother stated that she was unaware she was pregnant, and the birth conditions were inadequate, thus increasing the risk of fractures.</w:t>
      </w:r>
    </w:p>
    <w:p w14:paraId="011D333B"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Although th</w:t>
      </w:r>
      <w:r>
        <w:rPr>
          <w:rFonts w:ascii="Arial" w:eastAsia="Arial" w:hAnsi="Arial" w:cs="Arial"/>
          <w:color w:val="000000"/>
        </w:rPr>
        <w:t>e definitive diagnosis is made by genetic sequencing, as this service is not available in the unit, the patient was referred to a tertiary hospital for further evaluation. The patient is still awaiting evaluation.</w:t>
      </w:r>
    </w:p>
    <w:p w14:paraId="58430D9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newborn had background of family membe</w:t>
      </w:r>
      <w:r>
        <w:rPr>
          <w:rFonts w:ascii="Arial" w:eastAsia="Arial" w:hAnsi="Arial" w:cs="Arial"/>
          <w:color w:val="000000"/>
        </w:rPr>
        <w:t>rs with osteogenesis imperfecta; If the mother had had prenatal care and with the family history, it was a possibility of a better prognosis for the newborn (</w:t>
      </w:r>
      <w:proofErr w:type="spellStart"/>
      <w:r>
        <w:rPr>
          <w:rFonts w:ascii="Arial" w:eastAsia="Arial" w:hAnsi="Arial" w:cs="Arial"/>
          <w:color w:val="000000"/>
        </w:rPr>
        <w:t>Zhytnik</w:t>
      </w:r>
      <w:proofErr w:type="spellEnd"/>
      <w:r>
        <w:rPr>
          <w:rFonts w:ascii="Arial" w:eastAsia="Arial" w:hAnsi="Arial" w:cs="Arial"/>
          <w:color w:val="000000"/>
        </w:rPr>
        <w:t xml:space="preserve">, </w:t>
      </w:r>
      <w:proofErr w:type="spellStart"/>
      <w:r>
        <w:rPr>
          <w:rFonts w:ascii="Arial" w:eastAsia="Arial" w:hAnsi="Arial" w:cs="Arial"/>
          <w:color w:val="000000"/>
        </w:rPr>
        <w:t>Simm</w:t>
      </w:r>
      <w:proofErr w:type="spellEnd"/>
      <w:r>
        <w:rPr>
          <w:rFonts w:ascii="Arial" w:eastAsia="Arial" w:hAnsi="Arial" w:cs="Arial"/>
          <w:color w:val="000000"/>
        </w:rPr>
        <w:t xml:space="preserve">, </w:t>
      </w:r>
      <w:proofErr w:type="spellStart"/>
      <w:r>
        <w:rPr>
          <w:rFonts w:ascii="Arial" w:eastAsia="Arial" w:hAnsi="Arial" w:cs="Arial"/>
          <w:color w:val="000000"/>
        </w:rPr>
        <w:t>Salumets</w:t>
      </w:r>
      <w:proofErr w:type="spellEnd"/>
      <w:r>
        <w:rPr>
          <w:rFonts w:ascii="Arial" w:eastAsia="Arial" w:hAnsi="Arial" w:cs="Arial"/>
          <w:color w:val="000000"/>
        </w:rPr>
        <w:t xml:space="preserve">, Peters, </w:t>
      </w:r>
      <w:proofErr w:type="spellStart"/>
      <w:r>
        <w:rPr>
          <w:rFonts w:ascii="Arial" w:eastAsia="Arial" w:hAnsi="Arial" w:cs="Arial"/>
          <w:color w:val="000000"/>
        </w:rPr>
        <w:t>Märtson</w:t>
      </w:r>
      <w:proofErr w:type="spellEnd"/>
      <w:r>
        <w:rPr>
          <w:rFonts w:ascii="Arial" w:eastAsia="Arial" w:hAnsi="Arial" w:cs="Arial"/>
          <w:color w:val="000000"/>
        </w:rPr>
        <w:t xml:space="preserve">, &amp; </w:t>
      </w:r>
      <w:proofErr w:type="spellStart"/>
      <w:r>
        <w:rPr>
          <w:rFonts w:ascii="Arial" w:eastAsia="Arial" w:hAnsi="Arial" w:cs="Arial"/>
          <w:color w:val="000000"/>
        </w:rPr>
        <w:t>Maasalu</w:t>
      </w:r>
      <w:proofErr w:type="spellEnd"/>
      <w:r>
        <w:rPr>
          <w:rFonts w:ascii="Arial" w:eastAsia="Arial" w:hAnsi="Arial" w:cs="Arial"/>
          <w:color w:val="000000"/>
        </w:rPr>
        <w:t>, 2020).</w:t>
      </w:r>
    </w:p>
    <w:p w14:paraId="1F6C30D2"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4. CONCLUSION</w:t>
      </w:r>
    </w:p>
    <w:p w14:paraId="1499AFA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Control prenatal is fund</w:t>
      </w:r>
      <w:r>
        <w:rPr>
          <w:rFonts w:ascii="Arial" w:eastAsia="Arial" w:hAnsi="Arial" w:cs="Arial"/>
          <w:color w:val="000000"/>
        </w:rPr>
        <w:t xml:space="preserve">amental for the care of mother and outcome. In this case, </w:t>
      </w:r>
      <w:proofErr w:type="spellStart"/>
      <w:r>
        <w:rPr>
          <w:rFonts w:ascii="Arial" w:eastAsia="Arial" w:hAnsi="Arial" w:cs="Arial"/>
          <w:color w:val="000000"/>
        </w:rPr>
        <w:t>tha</w:t>
      </w:r>
      <w:proofErr w:type="spellEnd"/>
      <w:r>
        <w:rPr>
          <w:rFonts w:ascii="Arial" w:eastAsia="Arial" w:hAnsi="Arial" w:cs="Arial"/>
          <w:color w:val="000000"/>
        </w:rPr>
        <w:t xml:space="preserve"> absence of it, caused more problems on health for the newborns.</w:t>
      </w:r>
    </w:p>
    <w:p w14:paraId="66F33D9A"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evolution of the case was satisfactory.</w:t>
      </w:r>
    </w:p>
    <w:p w14:paraId="76AAC15E"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CONSENT</w:t>
      </w:r>
    </w:p>
    <w:p w14:paraId="0FC926C4"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mother of th</w:t>
      </w:r>
      <w:r>
        <w:rPr>
          <w:rFonts w:ascii="Arial" w:eastAsia="Arial" w:hAnsi="Arial" w:cs="Arial"/>
          <w:color w:val="000000"/>
        </w:rPr>
        <w:t>e newborn signed a consent</w:t>
      </w:r>
      <w:r>
        <w:rPr>
          <w:rFonts w:ascii="Arial" w:eastAsia="Arial" w:hAnsi="Arial" w:cs="Arial"/>
        </w:rPr>
        <w:t xml:space="preserve"> form</w:t>
      </w:r>
      <w:r>
        <w:rPr>
          <w:rFonts w:ascii="Arial" w:eastAsia="Arial" w:hAnsi="Arial" w:cs="Arial"/>
          <w:color w:val="000000"/>
        </w:rPr>
        <w:t xml:space="preserve"> to publish clinical and image data, and the patients cannot be identified. </w:t>
      </w:r>
    </w:p>
    <w:p w14:paraId="32E0EB2C"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 copy of the written consent is available for review by the Editorial office/Chief Editor/Editorial Board members of this journal.</w:t>
      </w:r>
    </w:p>
    <w:p w14:paraId="79AAB2C6"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ETHICAL APPROVAL</w:t>
      </w:r>
      <w:r>
        <w:rPr>
          <w:rFonts w:ascii="Arial" w:eastAsia="Arial" w:hAnsi="Arial" w:cs="Arial"/>
          <w:b/>
          <w:color w:val="000000"/>
          <w:sz w:val="22"/>
          <w:szCs w:val="22"/>
        </w:rPr>
        <w:t xml:space="preserve"> </w:t>
      </w:r>
    </w:p>
    <w:p w14:paraId="2499543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Not applicable</w:t>
      </w:r>
    </w:p>
    <w:p w14:paraId="293F6B76" w14:textId="77777777" w:rsidR="00330014" w:rsidRDefault="001B5E43">
      <w:pPr>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sz w:val="22"/>
          <w:szCs w:val="22"/>
        </w:rPr>
        <w:t>REFERENCES</w:t>
      </w:r>
    </w:p>
    <w:p w14:paraId="010A6649"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rPr>
        <w:t>A</w:t>
      </w:r>
      <w:r>
        <w:rPr>
          <w:rFonts w:ascii="Arial" w:eastAsia="Arial" w:hAnsi="Arial" w:cs="Arial"/>
          <w:color w:val="000000"/>
        </w:rPr>
        <w:t xml:space="preserve">rponen, H., </w:t>
      </w:r>
      <w:proofErr w:type="spellStart"/>
      <w:r>
        <w:rPr>
          <w:rFonts w:ascii="Arial" w:eastAsia="Arial" w:hAnsi="Arial" w:cs="Arial"/>
          <w:color w:val="000000"/>
        </w:rPr>
        <w:t>Makitie</w:t>
      </w:r>
      <w:proofErr w:type="spellEnd"/>
      <w:r>
        <w:rPr>
          <w:rFonts w:ascii="Arial" w:eastAsia="Arial" w:hAnsi="Arial" w:cs="Arial"/>
          <w:color w:val="000000"/>
        </w:rPr>
        <w:t xml:space="preserve">, O., </w:t>
      </w:r>
      <w:proofErr w:type="spellStart"/>
      <w:r>
        <w:rPr>
          <w:rFonts w:ascii="Arial" w:eastAsia="Arial" w:hAnsi="Arial" w:cs="Arial"/>
          <w:color w:val="000000"/>
        </w:rPr>
        <w:t>Haukka</w:t>
      </w:r>
      <w:proofErr w:type="spellEnd"/>
      <w:r>
        <w:rPr>
          <w:rFonts w:ascii="Arial" w:eastAsia="Arial" w:hAnsi="Arial" w:cs="Arial"/>
          <w:color w:val="000000"/>
        </w:rPr>
        <w:t xml:space="preserve">, J., Ranta, H., Ekholm, M., </w:t>
      </w:r>
      <w:proofErr w:type="spellStart"/>
      <w:r>
        <w:rPr>
          <w:rFonts w:ascii="Arial" w:eastAsia="Arial" w:hAnsi="Arial" w:cs="Arial"/>
          <w:color w:val="000000"/>
        </w:rPr>
        <w:t>Mayranpaa</w:t>
      </w:r>
      <w:proofErr w:type="spellEnd"/>
      <w:r>
        <w:rPr>
          <w:rFonts w:ascii="Arial" w:eastAsia="Arial" w:hAnsi="Arial" w:cs="Arial"/>
          <w:color w:val="000000"/>
        </w:rPr>
        <w:t xml:space="preserve">, M.K., </w:t>
      </w:r>
      <w:proofErr w:type="spellStart"/>
      <w:r>
        <w:rPr>
          <w:rFonts w:ascii="Arial" w:eastAsia="Arial" w:hAnsi="Arial" w:cs="Arial"/>
          <w:color w:val="000000"/>
        </w:rPr>
        <w:t>Kaitila</w:t>
      </w:r>
      <w:proofErr w:type="spellEnd"/>
      <w:r>
        <w:rPr>
          <w:rFonts w:ascii="Arial" w:eastAsia="Arial" w:hAnsi="Arial" w:cs="Arial"/>
          <w:color w:val="000000"/>
        </w:rPr>
        <w:t xml:space="preserve">, I., &amp; </w:t>
      </w:r>
      <w:proofErr w:type="spellStart"/>
      <w:r>
        <w:rPr>
          <w:rFonts w:ascii="Arial" w:eastAsia="Arial" w:hAnsi="Arial" w:cs="Arial"/>
          <w:color w:val="000000"/>
        </w:rPr>
        <w:t>Waltimo</w:t>
      </w:r>
      <w:proofErr w:type="spellEnd"/>
      <w:r>
        <w:rPr>
          <w:rFonts w:ascii="Arial" w:eastAsia="Arial" w:hAnsi="Arial" w:cs="Arial"/>
          <w:color w:val="000000"/>
        </w:rPr>
        <w:t xml:space="preserve">-Sired, J. (2012). Prevalence and natural course of </w:t>
      </w:r>
      <w:proofErr w:type="spellStart"/>
      <w:r>
        <w:rPr>
          <w:rFonts w:ascii="Arial" w:eastAsia="Arial" w:hAnsi="Arial" w:cs="Arial"/>
          <w:color w:val="000000"/>
        </w:rPr>
        <w:t>craniocervical</w:t>
      </w:r>
      <w:proofErr w:type="spellEnd"/>
      <w:r>
        <w:rPr>
          <w:rFonts w:ascii="Arial" w:eastAsia="Arial" w:hAnsi="Arial" w:cs="Arial"/>
          <w:color w:val="000000"/>
        </w:rPr>
        <w:t xml:space="preserve"> junction anomalies during growth in patients with osteogenesi</w:t>
      </w:r>
      <w:r>
        <w:rPr>
          <w:rFonts w:ascii="Arial" w:eastAsia="Arial" w:hAnsi="Arial" w:cs="Arial"/>
          <w:color w:val="000000"/>
        </w:rPr>
        <w:t>s imperfecta. J Bone Miner Res. 27(5),1142–1149. DOI: https://doi.org/10.1002/jbmr.1555.</w:t>
      </w:r>
    </w:p>
    <w:p w14:paraId="0702BEE3"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Balasubramanian, M., Verschueren, A., </w:t>
      </w:r>
      <w:proofErr w:type="spellStart"/>
      <w:r>
        <w:rPr>
          <w:rFonts w:ascii="Arial" w:eastAsia="Arial" w:hAnsi="Arial" w:cs="Arial"/>
          <w:color w:val="000000"/>
        </w:rPr>
        <w:t>Kleevens</w:t>
      </w:r>
      <w:proofErr w:type="spellEnd"/>
      <w:r>
        <w:rPr>
          <w:rFonts w:ascii="Arial" w:eastAsia="Arial" w:hAnsi="Arial" w:cs="Arial"/>
          <w:color w:val="000000"/>
        </w:rPr>
        <w:t xml:space="preserve">, S., Luyckx, I., Perik, M., Schirwani, S., Mortier, G., Morisaki, H., Rodrigus, I., Van Laer, L., </w:t>
      </w:r>
      <w:proofErr w:type="spellStart"/>
      <w:r>
        <w:rPr>
          <w:rFonts w:ascii="Arial" w:eastAsia="Arial" w:hAnsi="Arial" w:cs="Arial"/>
          <w:color w:val="000000"/>
        </w:rPr>
        <w:t>Verstraeten</w:t>
      </w:r>
      <w:proofErr w:type="spellEnd"/>
      <w:r>
        <w:rPr>
          <w:rFonts w:ascii="Arial" w:eastAsia="Arial" w:hAnsi="Arial" w:cs="Arial"/>
          <w:color w:val="000000"/>
        </w:rPr>
        <w:t xml:space="preserve">, A., &amp; </w:t>
      </w:r>
      <w:proofErr w:type="spellStart"/>
      <w:r>
        <w:rPr>
          <w:rFonts w:ascii="Arial" w:eastAsia="Arial" w:hAnsi="Arial" w:cs="Arial"/>
          <w:color w:val="000000"/>
        </w:rPr>
        <w:t>Loe</w:t>
      </w:r>
      <w:r>
        <w:rPr>
          <w:rFonts w:ascii="Arial" w:eastAsia="Arial" w:hAnsi="Arial" w:cs="Arial"/>
          <w:color w:val="000000"/>
        </w:rPr>
        <w:t>ys</w:t>
      </w:r>
      <w:proofErr w:type="spellEnd"/>
      <w:r>
        <w:rPr>
          <w:rFonts w:ascii="Arial" w:eastAsia="Arial" w:hAnsi="Arial" w:cs="Arial"/>
          <w:color w:val="000000"/>
        </w:rPr>
        <w:t>, B. (2019). Aortic aneurysm/dissection and osteogenesis imperfecta: Four new families and review of the literature. Bone, 121, 191-195. https://doi.org/10.1016/j.bone.2019.01.022</w:t>
      </w:r>
    </w:p>
    <w:p w14:paraId="0F61BF12"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Barnes, A.M., Chang, W., Morello, R., Cabral, W.A., Weis, M., Eyre, D.R., </w:t>
      </w:r>
      <w:r>
        <w:rPr>
          <w:rFonts w:ascii="Arial" w:eastAsia="Arial" w:hAnsi="Arial" w:cs="Arial"/>
          <w:color w:val="000000"/>
        </w:rPr>
        <w:t xml:space="preserve">Leikin, S., </w:t>
      </w:r>
      <w:proofErr w:type="spellStart"/>
      <w:r>
        <w:rPr>
          <w:rFonts w:ascii="Arial" w:eastAsia="Arial" w:hAnsi="Arial" w:cs="Arial"/>
          <w:color w:val="000000"/>
        </w:rPr>
        <w:t>Makareeva</w:t>
      </w:r>
      <w:proofErr w:type="spellEnd"/>
      <w:r>
        <w:rPr>
          <w:rFonts w:ascii="Arial" w:eastAsia="Arial" w:hAnsi="Arial" w:cs="Arial"/>
          <w:color w:val="000000"/>
        </w:rPr>
        <w:t xml:space="preserve">, E., Kuznetsova, N., Uveges, T.E., Ashok, A., Flor, A.W., Mulvihill, J.J., Wilson, P.L., Sundaram, U.T., Lee, B., &amp; Marini, J.C. (2006). Deficiency of cartilage-associated protein in recessive lethal osteogenesis imperfecta. N Engl J </w:t>
      </w:r>
      <w:r>
        <w:rPr>
          <w:rFonts w:ascii="Arial" w:eastAsia="Arial" w:hAnsi="Arial" w:cs="Arial"/>
          <w:color w:val="000000"/>
        </w:rPr>
        <w:t>Med, 355(26), 2757-2764. DOI: https://doi.org/10.1056/NEJMoa063804.</w:t>
      </w:r>
    </w:p>
    <w:p w14:paraId="33EBC1C9"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lastRenderedPageBreak/>
        <w:t>Bonafe, L.</w:t>
      </w:r>
      <w:proofErr w:type="gramStart"/>
      <w:r>
        <w:rPr>
          <w:rFonts w:ascii="Arial" w:eastAsia="Arial" w:hAnsi="Arial" w:cs="Arial"/>
          <w:color w:val="000000"/>
        </w:rPr>
        <w:t>,  Cormier</w:t>
      </w:r>
      <w:proofErr w:type="gramEnd"/>
      <w:r>
        <w:rPr>
          <w:rFonts w:ascii="Arial" w:eastAsia="Arial" w:hAnsi="Arial" w:cs="Arial"/>
          <w:color w:val="000000"/>
        </w:rPr>
        <w:t xml:space="preserve">-Daire, V.,  Hall, C.,  Lachman, R., Mortier, G., </w:t>
      </w:r>
      <w:proofErr w:type="spellStart"/>
      <w:r>
        <w:rPr>
          <w:rFonts w:ascii="Arial" w:eastAsia="Arial" w:hAnsi="Arial" w:cs="Arial"/>
          <w:color w:val="000000"/>
        </w:rPr>
        <w:t>Mundlos</w:t>
      </w:r>
      <w:proofErr w:type="spellEnd"/>
      <w:r>
        <w:rPr>
          <w:rFonts w:ascii="Arial" w:eastAsia="Arial" w:hAnsi="Arial" w:cs="Arial"/>
          <w:color w:val="000000"/>
        </w:rPr>
        <w:t xml:space="preserve">, S.,  Nishimura, G.,  Sangiorgi, L.,  </w:t>
      </w:r>
      <w:proofErr w:type="spellStart"/>
      <w:r>
        <w:rPr>
          <w:rFonts w:ascii="Arial" w:eastAsia="Arial" w:hAnsi="Arial" w:cs="Arial"/>
          <w:color w:val="000000"/>
        </w:rPr>
        <w:t>Savarirayan</w:t>
      </w:r>
      <w:proofErr w:type="spellEnd"/>
      <w:r>
        <w:rPr>
          <w:rFonts w:ascii="Arial" w:eastAsia="Arial" w:hAnsi="Arial" w:cs="Arial"/>
          <w:color w:val="000000"/>
        </w:rPr>
        <w:t xml:space="preserve">, R., </w:t>
      </w:r>
      <w:proofErr w:type="spellStart"/>
      <w:r>
        <w:rPr>
          <w:rFonts w:ascii="Arial" w:eastAsia="Arial" w:hAnsi="Arial" w:cs="Arial"/>
          <w:color w:val="000000"/>
        </w:rPr>
        <w:t>Sillence</w:t>
      </w:r>
      <w:proofErr w:type="spellEnd"/>
      <w:r>
        <w:rPr>
          <w:rFonts w:ascii="Arial" w:eastAsia="Arial" w:hAnsi="Arial" w:cs="Arial"/>
          <w:color w:val="000000"/>
        </w:rPr>
        <w:t xml:space="preserve">, D.,  Spranger, J.,  </w:t>
      </w:r>
      <w:proofErr w:type="spellStart"/>
      <w:r>
        <w:rPr>
          <w:rFonts w:ascii="Arial" w:eastAsia="Arial" w:hAnsi="Arial" w:cs="Arial"/>
          <w:color w:val="000000"/>
        </w:rPr>
        <w:t>Superti-Furga</w:t>
      </w:r>
      <w:proofErr w:type="spellEnd"/>
      <w:r>
        <w:rPr>
          <w:rFonts w:ascii="Arial" w:eastAsia="Arial" w:hAnsi="Arial" w:cs="Arial"/>
          <w:color w:val="000000"/>
        </w:rPr>
        <w:t xml:space="preserve">, A., </w:t>
      </w:r>
      <w:r>
        <w:rPr>
          <w:rFonts w:ascii="Arial" w:eastAsia="Arial" w:hAnsi="Arial" w:cs="Arial"/>
          <w:color w:val="000000"/>
        </w:rPr>
        <w:t>Warman, M., &amp; Unger, S. (2015). Nosology and classification of genetic skeletal disorders: 2015 revision. Am J Med Genet, 167(12), 2869-2892. DOI: https://doi.org/10.1002/ajmg.a.37365.</w:t>
      </w:r>
    </w:p>
    <w:p w14:paraId="76760C9A" w14:textId="77777777" w:rsidR="00330014" w:rsidRPr="0009415C" w:rsidRDefault="001B5E43">
      <w:pPr>
        <w:pBdr>
          <w:top w:val="nil"/>
          <w:left w:val="nil"/>
          <w:bottom w:val="nil"/>
          <w:right w:val="nil"/>
          <w:between w:val="nil"/>
        </w:pBdr>
        <w:spacing w:after="240"/>
        <w:jc w:val="both"/>
        <w:rPr>
          <w:rFonts w:ascii="Arial" w:eastAsia="Arial" w:hAnsi="Arial" w:cs="Arial"/>
          <w:color w:val="000000"/>
          <w:lang w:val="es-MX"/>
        </w:rPr>
      </w:pPr>
      <w:bookmarkStart w:id="4" w:name="_heading=h.kxqlagpddtdn" w:colFirst="0" w:colLast="0"/>
      <w:bookmarkEnd w:id="4"/>
      <w:r>
        <w:rPr>
          <w:rFonts w:ascii="Arial" w:eastAsia="Arial" w:hAnsi="Arial" w:cs="Arial"/>
          <w:color w:val="000000"/>
        </w:rPr>
        <w:t xml:space="preserve">1. </w:t>
      </w:r>
      <w:proofErr w:type="spellStart"/>
      <w:r>
        <w:rPr>
          <w:rFonts w:ascii="Arial" w:eastAsia="Arial" w:hAnsi="Arial" w:cs="Arial"/>
          <w:color w:val="000000"/>
        </w:rPr>
        <w:t>Forlino</w:t>
      </w:r>
      <w:proofErr w:type="spellEnd"/>
      <w:r>
        <w:rPr>
          <w:rFonts w:ascii="Arial" w:eastAsia="Arial" w:hAnsi="Arial" w:cs="Arial"/>
          <w:color w:val="000000"/>
        </w:rPr>
        <w:t xml:space="preserve">, A. </w:t>
      </w:r>
      <w:proofErr w:type="gramStart"/>
      <w:r>
        <w:rPr>
          <w:rFonts w:ascii="Arial" w:eastAsia="Arial" w:hAnsi="Arial" w:cs="Arial"/>
          <w:color w:val="000000"/>
        </w:rPr>
        <w:t>&amp;  Marini</w:t>
      </w:r>
      <w:proofErr w:type="gramEnd"/>
      <w:r>
        <w:rPr>
          <w:rFonts w:ascii="Arial" w:eastAsia="Arial" w:hAnsi="Arial" w:cs="Arial"/>
          <w:color w:val="000000"/>
        </w:rPr>
        <w:t xml:space="preserve">, J.C. (2016). </w:t>
      </w:r>
      <w:proofErr w:type="spellStart"/>
      <w:r w:rsidRPr="0009415C">
        <w:rPr>
          <w:rFonts w:ascii="Arial" w:eastAsia="Arial" w:hAnsi="Arial" w:cs="Arial"/>
          <w:color w:val="000000"/>
          <w:lang w:val="es-MX"/>
        </w:rPr>
        <w:t>Osteogenesis</w:t>
      </w:r>
      <w:proofErr w:type="spellEnd"/>
      <w:r w:rsidRPr="0009415C">
        <w:rPr>
          <w:rFonts w:ascii="Arial" w:eastAsia="Arial" w:hAnsi="Arial" w:cs="Arial"/>
          <w:color w:val="000000"/>
          <w:lang w:val="es-MX"/>
        </w:rPr>
        <w:t xml:space="preserve"> imperfecta. Lancet,</w:t>
      </w:r>
      <w:r w:rsidRPr="0009415C">
        <w:rPr>
          <w:rFonts w:ascii="Arial" w:eastAsia="Arial" w:hAnsi="Arial" w:cs="Arial"/>
          <w:color w:val="000000"/>
          <w:lang w:val="es-MX"/>
        </w:rPr>
        <w:t xml:space="preserve"> 387(10028), 1657-1671. DOI:  </w:t>
      </w:r>
      <w:hyperlink r:id="rId18">
        <w:r w:rsidR="00330014" w:rsidRPr="0009415C">
          <w:rPr>
            <w:rFonts w:ascii="Arial" w:eastAsia="Arial" w:hAnsi="Arial" w:cs="Arial"/>
            <w:color w:val="FF0080"/>
            <w:u w:val="single"/>
            <w:lang w:val="es-MX"/>
          </w:rPr>
          <w:t>https://doi.org/10.1016/S0140-6736(15)00728-X</w:t>
        </w:r>
      </w:hyperlink>
      <w:r w:rsidRPr="0009415C">
        <w:rPr>
          <w:rFonts w:ascii="Arial" w:eastAsia="Arial" w:hAnsi="Arial" w:cs="Arial"/>
          <w:color w:val="000000"/>
          <w:lang w:val="es-MX"/>
        </w:rPr>
        <w:t xml:space="preserve">.  </w:t>
      </w:r>
    </w:p>
    <w:p w14:paraId="29CE6A91"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Hoyer-Kuhn, H., Franklin, J., </w:t>
      </w:r>
      <w:proofErr w:type="spellStart"/>
      <w:r>
        <w:rPr>
          <w:rFonts w:ascii="Arial" w:eastAsia="Arial" w:hAnsi="Arial" w:cs="Arial"/>
          <w:color w:val="000000"/>
        </w:rPr>
        <w:t>Allo</w:t>
      </w:r>
      <w:proofErr w:type="spellEnd"/>
      <w:r>
        <w:rPr>
          <w:rFonts w:ascii="Arial" w:eastAsia="Arial" w:hAnsi="Arial" w:cs="Arial"/>
          <w:color w:val="000000"/>
        </w:rPr>
        <w:t xml:space="preserve">, G., Kron, M., Netzer, C., </w:t>
      </w:r>
      <w:proofErr w:type="spellStart"/>
      <w:r>
        <w:rPr>
          <w:rFonts w:ascii="Arial" w:eastAsia="Arial" w:hAnsi="Arial" w:cs="Arial"/>
          <w:color w:val="000000"/>
        </w:rPr>
        <w:t>Eysel</w:t>
      </w:r>
      <w:proofErr w:type="spellEnd"/>
      <w:r>
        <w:rPr>
          <w:rFonts w:ascii="Arial" w:eastAsia="Arial" w:hAnsi="Arial" w:cs="Arial"/>
          <w:color w:val="000000"/>
        </w:rPr>
        <w:t xml:space="preserve">, P., Hero, B., </w:t>
      </w:r>
      <w:proofErr w:type="spellStart"/>
      <w:r>
        <w:rPr>
          <w:rFonts w:ascii="Arial" w:eastAsia="Arial" w:hAnsi="Arial" w:cs="Arial"/>
          <w:color w:val="000000"/>
        </w:rPr>
        <w:t>Schoenau</w:t>
      </w:r>
      <w:proofErr w:type="spellEnd"/>
      <w:r>
        <w:rPr>
          <w:rFonts w:ascii="Arial" w:eastAsia="Arial" w:hAnsi="Arial" w:cs="Arial"/>
          <w:color w:val="000000"/>
        </w:rPr>
        <w:t>, E., &amp; Semler, O. (2</w:t>
      </w:r>
      <w:r>
        <w:rPr>
          <w:rFonts w:ascii="Arial" w:eastAsia="Arial" w:hAnsi="Arial" w:cs="Arial"/>
          <w:color w:val="000000"/>
        </w:rPr>
        <w:t xml:space="preserve">016). Safety and efficacy of denosumab in children with osteogenesis imperfect a first prospective trial. J </w:t>
      </w:r>
      <w:proofErr w:type="spellStart"/>
      <w:r>
        <w:rPr>
          <w:rFonts w:ascii="Arial" w:eastAsia="Arial" w:hAnsi="Arial" w:cs="Arial"/>
          <w:color w:val="000000"/>
        </w:rPr>
        <w:t>Musculoskelet</w:t>
      </w:r>
      <w:proofErr w:type="spellEnd"/>
      <w:r>
        <w:rPr>
          <w:rFonts w:ascii="Arial" w:eastAsia="Arial" w:hAnsi="Arial" w:cs="Arial"/>
          <w:color w:val="000000"/>
        </w:rPr>
        <w:t xml:space="preserve"> Neuronal Interact, 16(1),24-32. Available in: PMID: 26944820</w:t>
      </w:r>
    </w:p>
    <w:p w14:paraId="6EDB0D39"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 xml:space="preserve">LoMauro, A., Pochintesta, S., Romei, M., D'Angelo, M.G., Pedotti, A., </w:t>
      </w:r>
      <w:proofErr w:type="spellStart"/>
      <w:r>
        <w:rPr>
          <w:rFonts w:ascii="Arial" w:eastAsia="Arial" w:hAnsi="Arial" w:cs="Arial"/>
          <w:color w:val="000000"/>
        </w:rPr>
        <w:t>Tur</w:t>
      </w:r>
      <w:r>
        <w:rPr>
          <w:rFonts w:ascii="Arial" w:eastAsia="Arial" w:hAnsi="Arial" w:cs="Arial"/>
          <w:color w:val="000000"/>
        </w:rPr>
        <w:t>coni</w:t>
      </w:r>
      <w:proofErr w:type="spellEnd"/>
      <w:r>
        <w:rPr>
          <w:rFonts w:ascii="Arial" w:eastAsia="Arial" w:hAnsi="Arial" w:cs="Arial"/>
          <w:color w:val="000000"/>
        </w:rPr>
        <w:t xml:space="preserve">, A.C., &amp; </w:t>
      </w:r>
      <w:proofErr w:type="spellStart"/>
      <w:r>
        <w:rPr>
          <w:rFonts w:ascii="Arial" w:eastAsia="Arial" w:hAnsi="Arial" w:cs="Arial"/>
          <w:color w:val="000000"/>
        </w:rPr>
        <w:t>Aliverti</w:t>
      </w:r>
      <w:proofErr w:type="spellEnd"/>
      <w:r>
        <w:rPr>
          <w:rFonts w:ascii="Arial" w:eastAsia="Arial" w:hAnsi="Arial" w:cs="Arial"/>
          <w:color w:val="000000"/>
        </w:rPr>
        <w:t xml:space="preserve">, A. (2012). Rib cage deformities alter respiratory muscle action and chest wall function in patients with severe osteogenesis imperfecta. </w:t>
      </w:r>
      <w:proofErr w:type="spellStart"/>
      <w:r>
        <w:rPr>
          <w:rFonts w:ascii="Arial" w:eastAsia="Arial" w:hAnsi="Arial" w:cs="Arial"/>
          <w:color w:val="000000"/>
        </w:rPr>
        <w:t>PLoS</w:t>
      </w:r>
      <w:proofErr w:type="spellEnd"/>
      <w:r>
        <w:rPr>
          <w:rFonts w:ascii="Arial" w:eastAsia="Arial" w:hAnsi="Arial" w:cs="Arial"/>
          <w:color w:val="000000"/>
        </w:rPr>
        <w:t xml:space="preserve"> One, 7(4), e35965. DOI: </w:t>
      </w:r>
      <w:proofErr w:type="gramStart"/>
      <w:r>
        <w:rPr>
          <w:rFonts w:ascii="Arial" w:eastAsia="Arial" w:hAnsi="Arial" w:cs="Arial"/>
          <w:color w:val="000000"/>
        </w:rPr>
        <w:t>https://doi.org/10.1371/journal.pone.0035965.  .</w:t>
      </w:r>
      <w:proofErr w:type="gramEnd"/>
    </w:p>
    <w:p w14:paraId="649727A9" w14:textId="77777777" w:rsidR="00330014" w:rsidRDefault="001B5E43">
      <w:pPr>
        <w:rPr>
          <w:rFonts w:ascii="Arial" w:eastAsia="Arial" w:hAnsi="Arial" w:cs="Arial"/>
        </w:rPr>
      </w:pPr>
      <w:r>
        <w:rPr>
          <w:rFonts w:ascii="Arial" w:eastAsia="Arial" w:hAnsi="Arial" w:cs="Arial"/>
        </w:rPr>
        <w:t xml:space="preserve">Marini, J.C. &amp; Dang Do, A.N. (2020). Osteogenesis Imperfecta. </w:t>
      </w:r>
      <w:proofErr w:type="spellStart"/>
      <w:r>
        <w:rPr>
          <w:rFonts w:ascii="Arial" w:eastAsia="Arial" w:hAnsi="Arial" w:cs="Arial"/>
        </w:rPr>
        <w:t>Endotext</w:t>
      </w:r>
      <w:proofErr w:type="spellEnd"/>
      <w:r>
        <w:rPr>
          <w:rFonts w:ascii="Arial" w:eastAsia="Arial" w:hAnsi="Arial" w:cs="Arial"/>
        </w:rPr>
        <w:t xml:space="preserve">. Available in: https://endotext.org/wp-content/uploads/pdfs/osteogenesis-imperfecta.pdf </w:t>
      </w:r>
    </w:p>
    <w:p w14:paraId="15D9643A" w14:textId="77777777" w:rsidR="00330014" w:rsidRDefault="00330014">
      <w:pPr>
        <w:rPr>
          <w:rFonts w:ascii="Arial" w:eastAsia="Arial" w:hAnsi="Arial" w:cs="Arial"/>
        </w:rPr>
      </w:pPr>
    </w:p>
    <w:p w14:paraId="4FE6B2C7" w14:textId="77777777" w:rsidR="00330014" w:rsidRDefault="001B5E43">
      <w:pPr>
        <w:rPr>
          <w:rFonts w:ascii="Arial" w:eastAsia="Arial" w:hAnsi="Arial" w:cs="Arial"/>
        </w:rPr>
      </w:pPr>
      <w:r>
        <w:rPr>
          <w:rFonts w:ascii="Arial" w:eastAsia="Arial" w:hAnsi="Arial" w:cs="Arial"/>
        </w:rPr>
        <w:t xml:space="preserve">Marini, J.C., </w:t>
      </w:r>
      <w:proofErr w:type="spellStart"/>
      <w:r>
        <w:rPr>
          <w:rFonts w:ascii="Arial" w:eastAsia="Arial" w:hAnsi="Arial" w:cs="Arial"/>
        </w:rPr>
        <w:t>Forlino</w:t>
      </w:r>
      <w:proofErr w:type="spellEnd"/>
      <w:r>
        <w:rPr>
          <w:rFonts w:ascii="Arial" w:eastAsia="Arial" w:hAnsi="Arial" w:cs="Arial"/>
        </w:rPr>
        <w:t xml:space="preserve">, A., </w:t>
      </w:r>
      <w:proofErr w:type="spellStart"/>
      <w:r>
        <w:rPr>
          <w:rFonts w:ascii="Arial" w:eastAsia="Arial" w:hAnsi="Arial" w:cs="Arial"/>
        </w:rPr>
        <w:t>Bächinger</w:t>
      </w:r>
      <w:proofErr w:type="spellEnd"/>
      <w:r>
        <w:rPr>
          <w:rFonts w:ascii="Arial" w:eastAsia="Arial" w:hAnsi="Arial" w:cs="Arial"/>
        </w:rPr>
        <w:t xml:space="preserve">, H.P., Bishop, N.J., Byers, P.H., Paepe, A., </w:t>
      </w:r>
      <w:proofErr w:type="spellStart"/>
      <w:r>
        <w:rPr>
          <w:rFonts w:ascii="Arial" w:eastAsia="Arial" w:hAnsi="Arial" w:cs="Arial"/>
        </w:rPr>
        <w:t>Fassier</w:t>
      </w:r>
      <w:proofErr w:type="spellEnd"/>
      <w:r>
        <w:rPr>
          <w:rFonts w:ascii="Arial" w:eastAsia="Arial" w:hAnsi="Arial" w:cs="Arial"/>
        </w:rPr>
        <w:t xml:space="preserve">, F., </w:t>
      </w:r>
      <w:r>
        <w:rPr>
          <w:rFonts w:ascii="Arial" w:eastAsia="Arial" w:hAnsi="Arial" w:cs="Arial"/>
        </w:rPr>
        <w:t xml:space="preserve">Fratzl-Zelman, N., Kozloff, K.M., Krakow, D., Montpetit, K. &amp; Semler, O. (2017). Osteogenesis imperfecta. Nat Rev Dis Primers, 18 (3),17052. DOI: </w:t>
      </w:r>
      <w:hyperlink r:id="rId19">
        <w:r w:rsidR="00330014">
          <w:rPr>
            <w:rFonts w:ascii="Arial" w:eastAsia="Arial" w:hAnsi="Arial" w:cs="Arial"/>
            <w:color w:val="FF0080"/>
            <w:u w:val="single"/>
          </w:rPr>
          <w:t>https://doi.org/10.1038/nrdp.2017.52</w:t>
        </w:r>
      </w:hyperlink>
      <w:r>
        <w:rPr>
          <w:rFonts w:ascii="Arial" w:eastAsia="Arial" w:hAnsi="Arial" w:cs="Arial"/>
        </w:rPr>
        <w:t>.</w:t>
      </w:r>
    </w:p>
    <w:p w14:paraId="60654E7D" w14:textId="77777777" w:rsidR="00330014" w:rsidRDefault="00330014">
      <w:pPr>
        <w:pBdr>
          <w:top w:val="nil"/>
          <w:left w:val="nil"/>
          <w:bottom w:val="nil"/>
          <w:right w:val="nil"/>
          <w:between w:val="nil"/>
        </w:pBdr>
        <w:spacing w:after="240"/>
        <w:jc w:val="both"/>
        <w:rPr>
          <w:rFonts w:ascii="Arial" w:eastAsia="Arial" w:hAnsi="Arial" w:cs="Arial"/>
          <w:color w:val="000000"/>
        </w:rPr>
      </w:pPr>
    </w:p>
    <w:p w14:paraId="2980F537"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Marini, J.C., R</w:t>
      </w:r>
      <w:r>
        <w:rPr>
          <w:rFonts w:ascii="Arial" w:eastAsia="Arial" w:hAnsi="Arial" w:cs="Arial"/>
          <w:color w:val="000000"/>
        </w:rPr>
        <w:t xml:space="preserve">eich, A. &amp; Smith, </w:t>
      </w:r>
      <w:proofErr w:type="gramStart"/>
      <w:r>
        <w:rPr>
          <w:rFonts w:ascii="Arial" w:eastAsia="Arial" w:hAnsi="Arial" w:cs="Arial"/>
          <w:color w:val="000000"/>
        </w:rPr>
        <w:t>S,M.</w:t>
      </w:r>
      <w:proofErr w:type="gramEnd"/>
      <w:r>
        <w:rPr>
          <w:rFonts w:ascii="Arial" w:eastAsia="Arial" w:hAnsi="Arial" w:cs="Arial"/>
          <w:color w:val="000000"/>
        </w:rPr>
        <w:t xml:space="preserve"> (2014). Osteogenesis imperfecta due to mutations in non-collagenous genes: lessons in the biology of bone formation. </w:t>
      </w:r>
      <w:proofErr w:type="spellStart"/>
      <w:r>
        <w:rPr>
          <w:rFonts w:ascii="Arial" w:eastAsia="Arial" w:hAnsi="Arial" w:cs="Arial"/>
          <w:color w:val="000000"/>
        </w:rPr>
        <w:t>Curr</w:t>
      </w:r>
      <w:proofErr w:type="spellEnd"/>
      <w:r>
        <w:rPr>
          <w:rFonts w:ascii="Arial" w:eastAsia="Arial" w:hAnsi="Arial" w:cs="Arial"/>
          <w:color w:val="000000"/>
        </w:rPr>
        <w:t xml:space="preserve"> </w:t>
      </w:r>
      <w:proofErr w:type="spellStart"/>
      <w:r>
        <w:rPr>
          <w:rFonts w:ascii="Arial" w:eastAsia="Arial" w:hAnsi="Arial" w:cs="Arial"/>
          <w:color w:val="000000"/>
        </w:rPr>
        <w:t>Opin</w:t>
      </w:r>
      <w:proofErr w:type="spellEnd"/>
      <w:r>
        <w:rPr>
          <w:rFonts w:ascii="Arial" w:eastAsia="Arial" w:hAnsi="Arial" w:cs="Arial"/>
          <w:color w:val="000000"/>
        </w:rPr>
        <w:t xml:space="preserve"> </w:t>
      </w:r>
      <w:proofErr w:type="spellStart"/>
      <w:r>
        <w:rPr>
          <w:rFonts w:ascii="Arial" w:eastAsia="Arial" w:hAnsi="Arial" w:cs="Arial"/>
          <w:color w:val="000000"/>
        </w:rPr>
        <w:t>Pediatr</w:t>
      </w:r>
      <w:proofErr w:type="spellEnd"/>
      <w:r>
        <w:rPr>
          <w:rFonts w:ascii="Arial" w:eastAsia="Arial" w:hAnsi="Arial" w:cs="Arial"/>
          <w:color w:val="000000"/>
        </w:rPr>
        <w:t>, 26, 500–507. DOI: https://doi.org/10.1097/MOP.0000000000000117.</w:t>
      </w:r>
    </w:p>
    <w:p w14:paraId="534C16B8"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Marom, R., Rabenhorst, B., &amp; More</w:t>
      </w:r>
      <w:r>
        <w:rPr>
          <w:rFonts w:ascii="Arial" w:eastAsia="Arial" w:hAnsi="Arial" w:cs="Arial"/>
          <w:color w:val="000000"/>
        </w:rPr>
        <w:t xml:space="preserve">llo, R. (2020). Osteogenesis Imperfecta: An Update on Clinical Features and Therapies Eur J Endocrinol, 183(4). R95–106. DOI: </w:t>
      </w:r>
      <w:hyperlink r:id="rId20">
        <w:r w:rsidR="00330014">
          <w:rPr>
            <w:rFonts w:ascii="Arial" w:eastAsia="Arial" w:hAnsi="Arial" w:cs="Arial"/>
            <w:color w:val="FF0080"/>
            <w:u w:val="single"/>
          </w:rPr>
          <w:t>https://doi.org/10.1530/EJE-20-0299</w:t>
        </w:r>
      </w:hyperlink>
      <w:r>
        <w:rPr>
          <w:rFonts w:ascii="Arial" w:eastAsia="Arial" w:hAnsi="Arial" w:cs="Arial"/>
          <w:color w:val="000000"/>
        </w:rPr>
        <w:t>.</w:t>
      </w:r>
    </w:p>
    <w:p w14:paraId="29108595"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Martin, E., &amp; Shapiro, J.R. (2007). Os</w:t>
      </w:r>
      <w:r>
        <w:rPr>
          <w:rFonts w:ascii="Arial" w:eastAsia="Arial" w:hAnsi="Arial" w:cs="Arial"/>
          <w:color w:val="000000"/>
        </w:rPr>
        <w:t xml:space="preserve">teogenesis imperfecta: epidemiology and pathophysiology. </w:t>
      </w:r>
      <w:proofErr w:type="spellStart"/>
      <w:r>
        <w:rPr>
          <w:rFonts w:ascii="Arial" w:eastAsia="Arial" w:hAnsi="Arial" w:cs="Arial"/>
          <w:color w:val="000000"/>
        </w:rPr>
        <w:t>Curr</w:t>
      </w:r>
      <w:proofErr w:type="spellEnd"/>
      <w:r>
        <w:rPr>
          <w:rFonts w:ascii="Arial" w:eastAsia="Arial" w:hAnsi="Arial" w:cs="Arial"/>
          <w:color w:val="000000"/>
        </w:rPr>
        <w:t xml:space="preserve"> </w:t>
      </w:r>
      <w:proofErr w:type="spellStart"/>
      <w:r>
        <w:rPr>
          <w:rFonts w:ascii="Arial" w:eastAsia="Arial" w:hAnsi="Arial" w:cs="Arial"/>
          <w:color w:val="000000"/>
        </w:rPr>
        <w:t>Osteoporos</w:t>
      </w:r>
      <w:proofErr w:type="spellEnd"/>
      <w:r>
        <w:rPr>
          <w:rFonts w:ascii="Arial" w:eastAsia="Arial" w:hAnsi="Arial" w:cs="Arial"/>
          <w:color w:val="000000"/>
        </w:rPr>
        <w:t xml:space="preserve"> Rep, 5(3), 91-97. DOI: https://doi.org/10.1007/s11914-007-0023-z.</w:t>
      </w:r>
    </w:p>
    <w:p w14:paraId="79E17ED1" w14:textId="77777777" w:rsidR="00330014" w:rsidRPr="0009415C" w:rsidRDefault="001B5E43">
      <w:pPr>
        <w:pBdr>
          <w:top w:val="nil"/>
          <w:left w:val="nil"/>
          <w:bottom w:val="nil"/>
          <w:right w:val="nil"/>
          <w:between w:val="nil"/>
        </w:pBdr>
        <w:spacing w:after="240"/>
        <w:jc w:val="both"/>
        <w:rPr>
          <w:rFonts w:ascii="Arial" w:eastAsia="Arial" w:hAnsi="Arial" w:cs="Arial"/>
          <w:color w:val="000000"/>
          <w:highlight w:val="yellow"/>
          <w:lang w:val="es-MX"/>
        </w:rPr>
      </w:pPr>
      <w:r>
        <w:rPr>
          <w:rFonts w:ascii="Arial" w:eastAsia="Arial" w:hAnsi="Arial" w:cs="Arial"/>
          <w:color w:val="000000"/>
        </w:rPr>
        <w:t xml:space="preserve">Morello, R. (2018). </w:t>
      </w:r>
      <w:proofErr w:type="spellStart"/>
      <w:r w:rsidRPr="0009415C">
        <w:rPr>
          <w:rFonts w:ascii="Arial" w:eastAsia="Arial" w:hAnsi="Arial" w:cs="Arial"/>
          <w:color w:val="000000"/>
          <w:lang w:val="es-MX"/>
        </w:rPr>
        <w:t>Osteogenesis</w:t>
      </w:r>
      <w:proofErr w:type="spellEnd"/>
      <w:r w:rsidRPr="0009415C">
        <w:rPr>
          <w:rFonts w:ascii="Arial" w:eastAsia="Arial" w:hAnsi="Arial" w:cs="Arial"/>
          <w:color w:val="000000"/>
          <w:lang w:val="es-MX"/>
        </w:rPr>
        <w:t xml:space="preserve"> imperfecta y </w:t>
      </w:r>
      <w:proofErr w:type="spellStart"/>
      <w:r w:rsidRPr="0009415C">
        <w:rPr>
          <w:rFonts w:ascii="Arial" w:eastAsia="Arial" w:hAnsi="Arial" w:cs="Arial"/>
          <w:color w:val="000000"/>
          <w:lang w:val="es-MX"/>
        </w:rPr>
        <w:t>terapeutics</w:t>
      </w:r>
      <w:proofErr w:type="spellEnd"/>
      <w:r w:rsidRPr="0009415C">
        <w:rPr>
          <w:rFonts w:ascii="Arial" w:eastAsia="Arial" w:hAnsi="Arial" w:cs="Arial"/>
          <w:color w:val="000000"/>
          <w:lang w:val="es-MX"/>
        </w:rPr>
        <w:t xml:space="preserve"> Matrix </w:t>
      </w:r>
      <w:proofErr w:type="spellStart"/>
      <w:r w:rsidRPr="0009415C">
        <w:rPr>
          <w:rFonts w:ascii="Arial" w:eastAsia="Arial" w:hAnsi="Arial" w:cs="Arial"/>
          <w:color w:val="000000"/>
          <w:lang w:val="es-MX"/>
        </w:rPr>
        <w:t>Biol</w:t>
      </w:r>
      <w:proofErr w:type="spellEnd"/>
      <w:r w:rsidRPr="0009415C">
        <w:rPr>
          <w:rFonts w:ascii="Arial" w:eastAsia="Arial" w:hAnsi="Arial" w:cs="Arial"/>
          <w:color w:val="000000"/>
          <w:lang w:val="es-MX"/>
        </w:rPr>
        <w:t xml:space="preserve">, 71-72, 294–312. DOI: </w:t>
      </w:r>
      <w:r w:rsidRPr="0009415C">
        <w:rPr>
          <w:rFonts w:ascii="Arial" w:eastAsia="Arial" w:hAnsi="Arial" w:cs="Arial"/>
          <w:color w:val="000000"/>
          <w:lang w:val="es-MX"/>
        </w:rPr>
        <w:t>https://doi.org/10.1016/j.matbio.2018.03.010</w:t>
      </w:r>
    </w:p>
    <w:p w14:paraId="5ACB0206"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sidRPr="0009415C">
        <w:rPr>
          <w:rFonts w:ascii="Arial" w:eastAsia="Arial" w:hAnsi="Arial" w:cs="Arial"/>
          <w:color w:val="000000"/>
          <w:lang w:val="es-MX"/>
        </w:rPr>
        <w:t xml:space="preserve">Neer, R.M., Arnaud, C.D., </w:t>
      </w:r>
      <w:proofErr w:type="spellStart"/>
      <w:r w:rsidRPr="0009415C">
        <w:rPr>
          <w:rFonts w:ascii="Arial" w:eastAsia="Arial" w:hAnsi="Arial" w:cs="Arial"/>
          <w:color w:val="000000"/>
          <w:lang w:val="es-MX"/>
        </w:rPr>
        <w:t>Zanchetta</w:t>
      </w:r>
      <w:proofErr w:type="spellEnd"/>
      <w:r w:rsidRPr="0009415C">
        <w:rPr>
          <w:rFonts w:ascii="Arial" w:eastAsia="Arial" w:hAnsi="Arial" w:cs="Arial"/>
          <w:color w:val="000000"/>
          <w:lang w:val="es-MX"/>
        </w:rPr>
        <w:t xml:space="preserve">, J.R., Prince, R., </w:t>
      </w:r>
      <w:proofErr w:type="spellStart"/>
      <w:r w:rsidRPr="0009415C">
        <w:rPr>
          <w:rFonts w:ascii="Arial" w:eastAsia="Arial" w:hAnsi="Arial" w:cs="Arial"/>
          <w:color w:val="000000"/>
          <w:lang w:val="es-MX"/>
        </w:rPr>
        <w:t>Gaich</w:t>
      </w:r>
      <w:proofErr w:type="spellEnd"/>
      <w:r w:rsidRPr="0009415C">
        <w:rPr>
          <w:rFonts w:ascii="Arial" w:eastAsia="Arial" w:hAnsi="Arial" w:cs="Arial"/>
          <w:color w:val="000000"/>
          <w:lang w:val="es-MX"/>
        </w:rPr>
        <w:t xml:space="preserve">, G.A., </w:t>
      </w:r>
      <w:proofErr w:type="spellStart"/>
      <w:r w:rsidRPr="0009415C">
        <w:rPr>
          <w:rFonts w:ascii="Arial" w:eastAsia="Arial" w:hAnsi="Arial" w:cs="Arial"/>
          <w:color w:val="000000"/>
          <w:lang w:val="es-MX"/>
        </w:rPr>
        <w:t>Reginster</w:t>
      </w:r>
      <w:proofErr w:type="spellEnd"/>
      <w:r w:rsidRPr="0009415C">
        <w:rPr>
          <w:rFonts w:ascii="Arial" w:eastAsia="Arial" w:hAnsi="Arial" w:cs="Arial"/>
          <w:color w:val="000000"/>
          <w:lang w:val="es-MX"/>
        </w:rPr>
        <w:t xml:space="preserve">, J.Y., </w:t>
      </w:r>
      <w:proofErr w:type="spellStart"/>
      <w:r w:rsidRPr="0009415C">
        <w:rPr>
          <w:rFonts w:ascii="Arial" w:eastAsia="Arial" w:hAnsi="Arial" w:cs="Arial"/>
          <w:color w:val="000000"/>
          <w:lang w:val="es-MX"/>
        </w:rPr>
        <w:t>Hodsman</w:t>
      </w:r>
      <w:proofErr w:type="spellEnd"/>
      <w:r w:rsidRPr="0009415C">
        <w:rPr>
          <w:rFonts w:ascii="Arial" w:eastAsia="Arial" w:hAnsi="Arial" w:cs="Arial"/>
          <w:color w:val="000000"/>
          <w:lang w:val="es-MX"/>
        </w:rPr>
        <w:t xml:space="preserve">, A.B., Eriksen, E.F., Ish-Shalom, S., </w:t>
      </w:r>
      <w:proofErr w:type="spellStart"/>
      <w:r w:rsidRPr="0009415C">
        <w:rPr>
          <w:rFonts w:ascii="Arial" w:eastAsia="Arial" w:hAnsi="Arial" w:cs="Arial"/>
          <w:color w:val="000000"/>
          <w:lang w:val="es-MX"/>
        </w:rPr>
        <w:t>Genant</w:t>
      </w:r>
      <w:proofErr w:type="spellEnd"/>
      <w:r w:rsidRPr="0009415C">
        <w:rPr>
          <w:rFonts w:ascii="Arial" w:eastAsia="Arial" w:hAnsi="Arial" w:cs="Arial"/>
          <w:color w:val="000000"/>
          <w:lang w:val="es-MX"/>
        </w:rPr>
        <w:t xml:space="preserve">, H.K., Wang, O., &amp; </w:t>
      </w:r>
      <w:proofErr w:type="spellStart"/>
      <w:r w:rsidRPr="0009415C">
        <w:rPr>
          <w:rFonts w:ascii="Arial" w:eastAsia="Arial" w:hAnsi="Arial" w:cs="Arial"/>
          <w:color w:val="000000"/>
          <w:lang w:val="es-MX"/>
        </w:rPr>
        <w:t>Mitlak</w:t>
      </w:r>
      <w:proofErr w:type="spellEnd"/>
      <w:r w:rsidRPr="0009415C">
        <w:rPr>
          <w:rFonts w:ascii="Arial" w:eastAsia="Arial" w:hAnsi="Arial" w:cs="Arial"/>
          <w:color w:val="000000"/>
          <w:lang w:val="es-MX"/>
        </w:rPr>
        <w:t xml:space="preserve">, B.H. (2001). </w:t>
      </w:r>
      <w:r>
        <w:rPr>
          <w:rFonts w:ascii="Arial" w:eastAsia="Arial" w:hAnsi="Arial" w:cs="Arial"/>
          <w:color w:val="000000"/>
        </w:rPr>
        <w:t>Effect of parathyroid hormone (1-</w:t>
      </w:r>
      <w:r>
        <w:rPr>
          <w:rFonts w:ascii="Arial" w:eastAsia="Arial" w:hAnsi="Arial" w:cs="Arial"/>
          <w:color w:val="000000"/>
        </w:rPr>
        <w:t>34) on fractures and bone mineral density in postmenopausal women with osteoporosis. N Engl J Med, 344(19), 1434-1441. DOI: https://doi.org/10.1056/NEJM200105103441904.</w:t>
      </w:r>
    </w:p>
    <w:p w14:paraId="391981D0"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Reznikov, N., Dagdeviren, D., Tamimi, F., Glorieux, F., Rauch, F., &amp; </w:t>
      </w:r>
      <w:proofErr w:type="spellStart"/>
      <w:r>
        <w:rPr>
          <w:rFonts w:ascii="Arial" w:eastAsia="Arial" w:hAnsi="Arial" w:cs="Arial"/>
          <w:color w:val="000000"/>
        </w:rPr>
        <w:t>Retrouvey</w:t>
      </w:r>
      <w:proofErr w:type="spellEnd"/>
      <w:r>
        <w:rPr>
          <w:rFonts w:ascii="Arial" w:eastAsia="Arial" w:hAnsi="Arial" w:cs="Arial"/>
          <w:color w:val="000000"/>
        </w:rPr>
        <w:t>, J.M. (2</w:t>
      </w:r>
      <w:r>
        <w:rPr>
          <w:rFonts w:ascii="Arial" w:eastAsia="Arial" w:hAnsi="Arial" w:cs="Arial"/>
          <w:color w:val="000000"/>
        </w:rPr>
        <w:t>019). Cone-Beam Computed Tomography of Osteogenesis Imperfecta Types III and IV: Three-Dimensional Evaluation of Craniofacial Features and Upper Airways. JBMR Plus, 3(6), e10124. DOI: https://doi.org/10.1002/jbm4.10124.</w:t>
      </w:r>
    </w:p>
    <w:p w14:paraId="2295D60A" w14:textId="77777777" w:rsidR="00330014" w:rsidRDefault="001B5E43">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lastRenderedPageBreak/>
        <w:t>Sillence</w:t>
      </w:r>
      <w:proofErr w:type="spellEnd"/>
      <w:r>
        <w:rPr>
          <w:rFonts w:ascii="Arial" w:eastAsia="Arial" w:hAnsi="Arial" w:cs="Arial"/>
          <w:color w:val="000000"/>
        </w:rPr>
        <w:t xml:space="preserve">, D.O., </w:t>
      </w:r>
      <w:proofErr w:type="spellStart"/>
      <w:r>
        <w:rPr>
          <w:rFonts w:ascii="Arial" w:eastAsia="Arial" w:hAnsi="Arial" w:cs="Arial"/>
          <w:color w:val="000000"/>
        </w:rPr>
        <w:t>Senn</w:t>
      </w:r>
      <w:proofErr w:type="spellEnd"/>
      <w:r>
        <w:rPr>
          <w:rFonts w:ascii="Arial" w:eastAsia="Arial" w:hAnsi="Arial" w:cs="Arial"/>
          <w:color w:val="000000"/>
        </w:rPr>
        <w:t>, A.  &amp; Danks, D</w:t>
      </w:r>
      <w:r>
        <w:rPr>
          <w:rFonts w:ascii="Arial" w:eastAsia="Arial" w:hAnsi="Arial" w:cs="Arial"/>
          <w:color w:val="000000"/>
        </w:rPr>
        <w:t xml:space="preserve">. (1979). Genetic heterogeneity in osteogenesis imperfecta. J. </w:t>
      </w:r>
      <w:proofErr w:type="spellStart"/>
      <w:r>
        <w:rPr>
          <w:rFonts w:ascii="Arial" w:eastAsia="Arial" w:hAnsi="Arial" w:cs="Arial"/>
          <w:color w:val="000000"/>
        </w:rPr>
        <w:t>Med.Genet</w:t>
      </w:r>
      <w:proofErr w:type="spellEnd"/>
      <w:r>
        <w:rPr>
          <w:rFonts w:ascii="Arial" w:eastAsia="Arial" w:hAnsi="Arial" w:cs="Arial"/>
          <w:color w:val="000000"/>
        </w:rPr>
        <w:t>, 16(2), 101-</w:t>
      </w:r>
      <w:proofErr w:type="gramStart"/>
      <w:r>
        <w:rPr>
          <w:rFonts w:ascii="Arial" w:eastAsia="Arial" w:hAnsi="Arial" w:cs="Arial"/>
          <w:color w:val="000000"/>
        </w:rPr>
        <w:t>116 .DOI</w:t>
      </w:r>
      <w:proofErr w:type="gramEnd"/>
      <w:r>
        <w:rPr>
          <w:rFonts w:ascii="Arial" w:eastAsia="Arial" w:hAnsi="Arial" w:cs="Arial"/>
          <w:color w:val="000000"/>
        </w:rPr>
        <w:t xml:space="preserve">: https://doi.org/10.1136/jmg.16.2.101.  </w:t>
      </w:r>
    </w:p>
    <w:p w14:paraId="6941106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Singer, R.B., Ogston, S.A., &amp; Paterson, C.R. (2001). Mortality in various types of osteogenesis imperfecta. J </w:t>
      </w:r>
      <w:proofErr w:type="spellStart"/>
      <w:r>
        <w:rPr>
          <w:rFonts w:ascii="Arial" w:eastAsia="Arial" w:hAnsi="Arial" w:cs="Arial"/>
          <w:color w:val="000000"/>
        </w:rPr>
        <w:t>Insur</w:t>
      </w:r>
      <w:proofErr w:type="spellEnd"/>
      <w:r>
        <w:rPr>
          <w:rFonts w:ascii="Arial" w:eastAsia="Arial" w:hAnsi="Arial" w:cs="Arial"/>
          <w:color w:val="000000"/>
        </w:rPr>
        <w:t xml:space="preserve"> Med, </w:t>
      </w:r>
      <w:r>
        <w:rPr>
          <w:rFonts w:ascii="Arial" w:eastAsia="Arial" w:hAnsi="Arial" w:cs="Arial"/>
          <w:color w:val="000000"/>
        </w:rPr>
        <w:t>33(3), 216-220. PMID: 11558400.</w:t>
      </w:r>
    </w:p>
    <w:p w14:paraId="00201ACA" w14:textId="77777777" w:rsidR="00330014" w:rsidRDefault="001B5E43">
      <w:pPr>
        <w:pBdr>
          <w:top w:val="nil"/>
          <w:left w:val="nil"/>
          <w:bottom w:val="nil"/>
          <w:right w:val="nil"/>
          <w:between w:val="nil"/>
        </w:pBdr>
        <w:spacing w:after="240"/>
        <w:jc w:val="both"/>
        <w:rPr>
          <w:rFonts w:ascii="Arial" w:eastAsia="Arial" w:hAnsi="Arial" w:cs="Arial"/>
          <w:color w:val="000000"/>
          <w:highlight w:val="yellow"/>
        </w:rPr>
      </w:pPr>
      <w:r>
        <w:rPr>
          <w:rFonts w:ascii="Arial" w:eastAsia="Arial" w:hAnsi="Arial" w:cs="Arial"/>
          <w:color w:val="000000"/>
        </w:rPr>
        <w:t xml:space="preserve">Tauer, J.T., Robinson, M.E., Rauch F. (2019). Osteogenesis Imperfecta: New Perspectives </w:t>
      </w:r>
      <w:proofErr w:type="gramStart"/>
      <w:r>
        <w:rPr>
          <w:rFonts w:ascii="Arial" w:eastAsia="Arial" w:hAnsi="Arial" w:cs="Arial"/>
          <w:color w:val="000000"/>
        </w:rPr>
        <w:t>From</w:t>
      </w:r>
      <w:proofErr w:type="gramEnd"/>
      <w:r>
        <w:rPr>
          <w:rFonts w:ascii="Arial" w:eastAsia="Arial" w:hAnsi="Arial" w:cs="Arial"/>
          <w:color w:val="000000"/>
        </w:rPr>
        <w:t xml:space="preserve"> Clinical and Translational Research. JBMR Plus, 3(8), e10174. DOI: https://doi.org/10.1002/jbm4.10174.</w:t>
      </w:r>
    </w:p>
    <w:p w14:paraId="6AB06E27" w14:textId="77777777" w:rsidR="00330014" w:rsidRDefault="001B5E43">
      <w:pPr>
        <w:pBdr>
          <w:top w:val="nil"/>
          <w:left w:val="nil"/>
          <w:bottom w:val="nil"/>
          <w:right w:val="nil"/>
          <w:between w:val="nil"/>
        </w:pBdr>
        <w:spacing w:after="240"/>
        <w:jc w:val="both"/>
        <w:rPr>
          <w:rFonts w:ascii="Arial" w:eastAsia="Arial" w:hAnsi="Arial" w:cs="Arial"/>
          <w:color w:val="000000"/>
        </w:rPr>
      </w:pPr>
      <w:bookmarkStart w:id="5" w:name="_heading=h.bhdztjvfrjt2" w:colFirst="0" w:colLast="0"/>
      <w:bookmarkEnd w:id="5"/>
      <w:r>
        <w:rPr>
          <w:rFonts w:ascii="Arial" w:eastAsia="Arial" w:hAnsi="Arial" w:cs="Arial"/>
          <w:color w:val="000000"/>
        </w:rPr>
        <w:t xml:space="preserve">Torrent, R. B. (2020). </w:t>
      </w:r>
      <w:r w:rsidRPr="0009415C">
        <w:rPr>
          <w:rFonts w:ascii="Arial" w:eastAsia="Arial" w:hAnsi="Arial" w:cs="Arial"/>
          <w:color w:val="000000"/>
          <w:lang w:val="es-MX"/>
        </w:rPr>
        <w:t>Osteo</w:t>
      </w:r>
      <w:r w:rsidRPr="0009415C">
        <w:rPr>
          <w:rFonts w:ascii="Arial" w:eastAsia="Arial" w:hAnsi="Arial" w:cs="Arial"/>
          <w:color w:val="000000"/>
          <w:lang w:val="es-MX"/>
        </w:rPr>
        <w:t xml:space="preserve">génesis imperfecta. Protocolos diagnósticos y terapéuticos en Pediatría, 2, 349-359. </w:t>
      </w:r>
      <w:r>
        <w:rPr>
          <w:rFonts w:ascii="Arial" w:eastAsia="Arial" w:hAnsi="Arial" w:cs="Arial"/>
          <w:color w:val="000000"/>
        </w:rPr>
        <w:t xml:space="preserve">Available in: </w:t>
      </w:r>
      <w:hyperlink r:id="rId21">
        <w:r w:rsidR="00330014">
          <w:rPr>
            <w:rFonts w:ascii="Arial" w:eastAsia="Arial" w:hAnsi="Arial" w:cs="Arial"/>
            <w:color w:val="FF0080"/>
            <w:u w:val="single"/>
          </w:rPr>
          <w:t>https://www.aeped.es/sites/default/files/documentos/30_osteogenesis_imp.pdf</w:t>
        </w:r>
      </w:hyperlink>
      <w:r>
        <w:rPr>
          <w:rFonts w:ascii="Arial" w:eastAsia="Arial" w:hAnsi="Arial" w:cs="Arial"/>
          <w:color w:val="000000"/>
        </w:rPr>
        <w:t xml:space="preserve"> </w:t>
      </w:r>
    </w:p>
    <w:p w14:paraId="0D7EC5E9" w14:textId="77777777" w:rsidR="00330014" w:rsidRDefault="001B5E43">
      <w:pPr>
        <w:pBdr>
          <w:top w:val="nil"/>
          <w:left w:val="nil"/>
          <w:bottom w:val="nil"/>
          <w:right w:val="nil"/>
          <w:between w:val="nil"/>
        </w:pBdr>
        <w:spacing w:after="240"/>
        <w:jc w:val="both"/>
        <w:rPr>
          <w:rFonts w:ascii="Arial" w:eastAsia="Arial" w:hAnsi="Arial" w:cs="Arial"/>
          <w:color w:val="000000"/>
        </w:rPr>
      </w:pPr>
      <w:bookmarkStart w:id="6" w:name="_heading=h.1v2xhh2lmm8c" w:colFirst="0" w:colLast="0"/>
      <w:bookmarkEnd w:id="6"/>
      <w:r w:rsidRPr="0009415C">
        <w:rPr>
          <w:rFonts w:ascii="Arial" w:eastAsia="Arial" w:hAnsi="Arial" w:cs="Arial"/>
          <w:color w:val="000000"/>
          <w:lang w:val="es-MX"/>
        </w:rPr>
        <w:t xml:space="preserve">Van Dijk, F.S., &amp; </w:t>
      </w:r>
      <w:proofErr w:type="spellStart"/>
      <w:r w:rsidRPr="0009415C">
        <w:rPr>
          <w:rFonts w:ascii="Arial" w:eastAsia="Arial" w:hAnsi="Arial" w:cs="Arial"/>
          <w:color w:val="000000"/>
          <w:lang w:val="es-MX"/>
        </w:rPr>
        <w:t>Sillence</w:t>
      </w:r>
      <w:proofErr w:type="spellEnd"/>
      <w:r w:rsidRPr="0009415C">
        <w:rPr>
          <w:rFonts w:ascii="Arial" w:eastAsia="Arial" w:hAnsi="Arial" w:cs="Arial"/>
          <w:color w:val="000000"/>
          <w:lang w:val="es-MX"/>
        </w:rPr>
        <w:t xml:space="preserve">, D.O. (2014). </w:t>
      </w:r>
      <w:r>
        <w:rPr>
          <w:rFonts w:ascii="Arial" w:eastAsia="Arial" w:hAnsi="Arial" w:cs="Arial"/>
          <w:color w:val="000000"/>
        </w:rPr>
        <w:t xml:space="preserve">Osteogenesis imperfecta: clinical diagnosis, nomenclature and severity assessment. Am J Med Genet, 164(6), 1470–1481. DOI: </w:t>
      </w:r>
      <w:hyperlink r:id="rId22">
        <w:r w:rsidR="00330014">
          <w:rPr>
            <w:rFonts w:ascii="Arial" w:eastAsia="Arial" w:hAnsi="Arial" w:cs="Arial"/>
            <w:color w:val="FF0080"/>
            <w:u w:val="single"/>
          </w:rPr>
          <w:t>https://doi.org/10.1002/ajmg.a.36545</w:t>
        </w:r>
      </w:hyperlink>
      <w:r>
        <w:rPr>
          <w:rFonts w:ascii="Arial" w:eastAsia="Arial" w:hAnsi="Arial" w:cs="Arial"/>
          <w:color w:val="000000"/>
        </w:rPr>
        <w:t xml:space="preserve">, </w:t>
      </w:r>
    </w:p>
    <w:p w14:paraId="537B212F" w14:textId="77777777" w:rsidR="00330014" w:rsidRDefault="001B5E43">
      <w:pPr>
        <w:pBdr>
          <w:top w:val="nil"/>
          <w:left w:val="nil"/>
          <w:bottom w:val="nil"/>
          <w:right w:val="nil"/>
          <w:between w:val="nil"/>
        </w:pBdr>
        <w:spacing w:after="240"/>
        <w:jc w:val="both"/>
        <w:rPr>
          <w:rFonts w:ascii="Arial" w:eastAsia="Arial" w:hAnsi="Arial" w:cs="Arial"/>
          <w:color w:val="000000"/>
        </w:rPr>
      </w:pPr>
      <w:bookmarkStart w:id="7" w:name="_heading=h.z4zniv9k13ee" w:colFirst="0" w:colLast="0"/>
      <w:bookmarkEnd w:id="7"/>
      <w:proofErr w:type="spellStart"/>
      <w:r w:rsidRPr="0009415C">
        <w:rPr>
          <w:rFonts w:ascii="Arial" w:eastAsia="Arial" w:hAnsi="Arial" w:cs="Arial"/>
          <w:color w:val="000000"/>
          <w:lang w:val="es-MX"/>
        </w:rPr>
        <w:t>Veilleux</w:t>
      </w:r>
      <w:proofErr w:type="spellEnd"/>
      <w:r w:rsidRPr="0009415C">
        <w:rPr>
          <w:rFonts w:ascii="Arial" w:eastAsia="Arial" w:hAnsi="Arial" w:cs="Arial"/>
          <w:color w:val="000000"/>
          <w:lang w:val="es-MX"/>
        </w:rPr>
        <w:t xml:space="preserve">, L.N., Trejo, P., &amp; Rauch, F. (2017). </w:t>
      </w:r>
      <w:r>
        <w:rPr>
          <w:rFonts w:ascii="Arial" w:eastAsia="Arial" w:hAnsi="Arial" w:cs="Arial"/>
          <w:color w:val="000000"/>
        </w:rPr>
        <w:t xml:space="preserve">Muscle abnormalities in osteogenesis imperfecta. J </w:t>
      </w:r>
      <w:proofErr w:type="spellStart"/>
      <w:r>
        <w:rPr>
          <w:rFonts w:ascii="Arial" w:eastAsia="Arial" w:hAnsi="Arial" w:cs="Arial"/>
          <w:color w:val="000000"/>
        </w:rPr>
        <w:t>Musculoskelet</w:t>
      </w:r>
      <w:proofErr w:type="spellEnd"/>
      <w:r>
        <w:rPr>
          <w:rFonts w:ascii="Arial" w:eastAsia="Arial" w:hAnsi="Arial" w:cs="Arial"/>
          <w:color w:val="000000"/>
        </w:rPr>
        <w:t xml:space="preserve"> Neuronal Interact, 17(2): 1-7. Available in: </w:t>
      </w:r>
      <w:hyperlink r:id="rId23">
        <w:r w:rsidR="00330014">
          <w:rPr>
            <w:rFonts w:ascii="Arial" w:eastAsia="Arial" w:hAnsi="Arial" w:cs="Arial"/>
            <w:color w:val="FF0080"/>
            <w:u w:val="single"/>
          </w:rPr>
          <w:t>https://pmc.ncbi.nlm.nih.gov/articles/PMC5492314/</w:t>
        </w:r>
      </w:hyperlink>
      <w:r>
        <w:rPr>
          <w:rFonts w:ascii="Arial" w:eastAsia="Arial" w:hAnsi="Arial" w:cs="Arial"/>
          <w:color w:val="000000"/>
        </w:rPr>
        <w:t xml:space="preserve"> </w:t>
      </w:r>
    </w:p>
    <w:p w14:paraId="35B4E1FD" w14:textId="77777777" w:rsidR="00330014" w:rsidRDefault="001B5E4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Widmann, R.F., </w:t>
      </w:r>
      <w:proofErr w:type="spellStart"/>
      <w:r>
        <w:rPr>
          <w:rFonts w:ascii="Arial" w:eastAsia="Arial" w:hAnsi="Arial" w:cs="Arial"/>
          <w:color w:val="000000"/>
        </w:rPr>
        <w:t>Bitan</w:t>
      </w:r>
      <w:proofErr w:type="spellEnd"/>
      <w:r>
        <w:rPr>
          <w:rFonts w:ascii="Arial" w:eastAsia="Arial" w:hAnsi="Arial" w:cs="Arial"/>
          <w:color w:val="000000"/>
        </w:rPr>
        <w:t xml:space="preserve">, F.D., </w:t>
      </w:r>
      <w:proofErr w:type="spellStart"/>
      <w:r>
        <w:rPr>
          <w:rFonts w:ascii="Arial" w:eastAsia="Arial" w:hAnsi="Arial" w:cs="Arial"/>
          <w:color w:val="000000"/>
        </w:rPr>
        <w:t>Laplaza</w:t>
      </w:r>
      <w:proofErr w:type="spellEnd"/>
      <w:r>
        <w:rPr>
          <w:rFonts w:ascii="Arial" w:eastAsia="Arial" w:hAnsi="Arial" w:cs="Arial"/>
          <w:color w:val="000000"/>
        </w:rPr>
        <w:t xml:space="preserve">, F.J., Burke, S.W., DiMaio, M.F., &amp; Schneider, R. (1999). Spinal deformity, pulmonary compromise, and quality of life in osteogenesis imperfecta, Spine, 24: 1673–1678. DOI: </w:t>
      </w:r>
      <w:hyperlink r:id="rId24">
        <w:r w:rsidR="00330014">
          <w:rPr>
            <w:rFonts w:ascii="Arial" w:eastAsia="Arial" w:hAnsi="Arial" w:cs="Arial"/>
            <w:color w:val="FF0080"/>
            <w:u w:val="single"/>
          </w:rPr>
          <w:t>https://doi.org/10.1097/00007632-199908150-00008</w:t>
        </w:r>
      </w:hyperlink>
      <w:r>
        <w:rPr>
          <w:rFonts w:ascii="Arial" w:eastAsia="Arial" w:hAnsi="Arial" w:cs="Arial"/>
          <w:color w:val="000000"/>
        </w:rPr>
        <w:t xml:space="preserve">. </w:t>
      </w:r>
    </w:p>
    <w:p w14:paraId="774E7F8C" w14:textId="77777777" w:rsidR="00330014" w:rsidRDefault="001B5E43">
      <w:pPr>
        <w:pBdr>
          <w:top w:val="nil"/>
          <w:left w:val="nil"/>
          <w:bottom w:val="nil"/>
          <w:right w:val="nil"/>
          <w:between w:val="nil"/>
        </w:pBdr>
        <w:jc w:val="both"/>
        <w:rPr>
          <w:rFonts w:ascii="Arial" w:eastAsia="Arial" w:hAnsi="Arial" w:cs="Arial"/>
          <w:color w:val="000000"/>
        </w:rPr>
      </w:pPr>
      <w:bookmarkStart w:id="8" w:name="_heading=h.kyjbztv5l2qv" w:colFirst="0" w:colLast="0"/>
      <w:bookmarkEnd w:id="8"/>
      <w:proofErr w:type="spellStart"/>
      <w:r>
        <w:rPr>
          <w:rFonts w:ascii="Arial" w:eastAsia="Arial" w:hAnsi="Arial" w:cs="Arial"/>
          <w:color w:val="000000"/>
        </w:rPr>
        <w:t>Zhytnik</w:t>
      </w:r>
      <w:proofErr w:type="spellEnd"/>
      <w:r>
        <w:rPr>
          <w:rFonts w:ascii="Arial" w:eastAsia="Arial" w:hAnsi="Arial" w:cs="Arial"/>
          <w:color w:val="000000"/>
        </w:rPr>
        <w:t xml:space="preserve">, L., Simm, K., </w:t>
      </w:r>
      <w:proofErr w:type="spellStart"/>
      <w:r>
        <w:rPr>
          <w:rFonts w:ascii="Arial" w:eastAsia="Arial" w:hAnsi="Arial" w:cs="Arial"/>
          <w:color w:val="000000"/>
        </w:rPr>
        <w:t>Salumets</w:t>
      </w:r>
      <w:proofErr w:type="spellEnd"/>
      <w:r>
        <w:rPr>
          <w:rFonts w:ascii="Arial" w:eastAsia="Arial" w:hAnsi="Arial" w:cs="Arial"/>
          <w:color w:val="000000"/>
        </w:rPr>
        <w:t xml:space="preserve">, A., Peters, M., Märtson, A., &amp; </w:t>
      </w:r>
      <w:proofErr w:type="spellStart"/>
      <w:r>
        <w:rPr>
          <w:rFonts w:ascii="Arial" w:eastAsia="Arial" w:hAnsi="Arial" w:cs="Arial"/>
          <w:color w:val="000000"/>
        </w:rPr>
        <w:t>Maasalu</w:t>
      </w:r>
      <w:proofErr w:type="spellEnd"/>
      <w:r>
        <w:rPr>
          <w:rFonts w:ascii="Arial" w:eastAsia="Arial" w:hAnsi="Arial" w:cs="Arial"/>
          <w:color w:val="000000"/>
        </w:rPr>
        <w:t>, K. (2020). Reproductive options for families at risk of Osteogenesis Imp</w:t>
      </w:r>
      <w:r>
        <w:rPr>
          <w:rFonts w:ascii="Arial" w:eastAsia="Arial" w:hAnsi="Arial" w:cs="Arial"/>
          <w:color w:val="000000"/>
        </w:rPr>
        <w:t xml:space="preserve">erfecta: a review. </w:t>
      </w:r>
      <w:proofErr w:type="spellStart"/>
      <w:r>
        <w:rPr>
          <w:rFonts w:ascii="Arial" w:eastAsia="Arial" w:hAnsi="Arial" w:cs="Arial"/>
          <w:color w:val="000000"/>
        </w:rPr>
        <w:t>Orphanet</w:t>
      </w:r>
      <w:proofErr w:type="spellEnd"/>
      <w:r>
        <w:rPr>
          <w:rFonts w:ascii="Arial" w:eastAsia="Arial" w:hAnsi="Arial" w:cs="Arial"/>
          <w:color w:val="000000"/>
        </w:rPr>
        <w:t xml:space="preserve"> J Rare Dis 15, 128. DOI: https://doi.org/10.1186/s13023-020-01404-w</w:t>
      </w:r>
    </w:p>
    <w:p w14:paraId="1980197E" w14:textId="77777777" w:rsidR="00330014" w:rsidRDefault="00330014">
      <w:pPr>
        <w:pBdr>
          <w:top w:val="nil"/>
          <w:left w:val="nil"/>
          <w:bottom w:val="nil"/>
          <w:right w:val="nil"/>
          <w:between w:val="nil"/>
        </w:pBdr>
        <w:jc w:val="both"/>
        <w:rPr>
          <w:rFonts w:ascii="Arial" w:eastAsia="Arial" w:hAnsi="Arial" w:cs="Arial"/>
          <w:color w:val="000000"/>
        </w:rPr>
      </w:pPr>
    </w:p>
    <w:sectPr w:rsidR="00330014" w:rsidSect="00447AC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2EFF3" w14:textId="77777777" w:rsidR="001B5E43" w:rsidRDefault="001B5E43">
      <w:r>
        <w:separator/>
      </w:r>
    </w:p>
  </w:endnote>
  <w:endnote w:type="continuationSeparator" w:id="0">
    <w:p w14:paraId="15877389" w14:textId="77777777" w:rsidR="001B5E43" w:rsidRDefault="001B5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F8E33927-570A-433C-AF5A-9831F3B654F7}"/>
    <w:embedBold r:id="rId2" w:fontKey="{466F60BC-A5AA-4D38-BBDF-545931A7FEC5}"/>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3" w:fontKey="{4F7FDD7B-CFFC-46D6-B4D2-A86432025634}"/>
  </w:font>
  <w:font w:name="Helvetica">
    <w:panose1 w:val="020B0604020202020204"/>
    <w:charset w:val="00"/>
    <w:family w:val="swiss"/>
    <w:pitch w:val="variable"/>
    <w:sig w:usb0="E0002EFF" w:usb1="C000785B" w:usb2="00000009" w:usb3="00000000" w:csb0="000001FF" w:csb1="00000000"/>
    <w:embedRegular r:id="rId4" w:fontKey="{71C8074C-7C91-4493-994F-55E7751A151F}"/>
  </w:font>
  <w:font w:name="Tahoma">
    <w:panose1 w:val="020B0604030504040204"/>
    <w:charset w:val="00"/>
    <w:family w:val="swiss"/>
    <w:pitch w:val="variable"/>
    <w:sig w:usb0="E1002EFF" w:usb1="C000605B" w:usb2="00000029" w:usb3="00000000" w:csb0="000101FF" w:csb1="00000000"/>
    <w:embedRegular r:id="rId5" w:fontKey="{F24A115E-71F9-4CE1-BEC3-A16E1C5CCF29}"/>
  </w:font>
  <w:font w:name="Georgia">
    <w:panose1 w:val="02040502050405020303"/>
    <w:charset w:val="00"/>
    <w:family w:val="roman"/>
    <w:pitch w:val="variable"/>
    <w:sig w:usb0="00000287" w:usb1="00000000" w:usb2="00000000" w:usb3="00000000" w:csb0="0000009F" w:csb1="00000000"/>
    <w:embedRegular r:id="rId6" w:fontKey="{9AFD4D60-B480-45A4-A7EE-F69F8C1BC9C6}"/>
    <w:embedItalic r:id="rId7" w:fontKey="{791CBD56-FA73-4706-BDA2-5883E8F8FCC6}"/>
  </w:font>
  <w:font w:name="Cambria">
    <w:panose1 w:val="02040503050406030204"/>
    <w:charset w:val="00"/>
    <w:family w:val="roman"/>
    <w:pitch w:val="variable"/>
    <w:sig w:usb0="E00006FF" w:usb1="420024FF" w:usb2="02000000" w:usb3="00000000" w:csb0="0000019F" w:csb1="00000000"/>
    <w:embedRegular r:id="rId8" w:fontKey="{AF069C42-D78E-429E-B1F6-C0AA91D8A5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3929" w14:textId="77777777" w:rsidR="00447ACD" w:rsidRDefault="00447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B126A" w14:textId="77777777" w:rsidR="00447ACD" w:rsidRDefault="00447A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FA83F" w14:textId="1D101F0B" w:rsidR="00330014" w:rsidRPr="00447ACD" w:rsidRDefault="00330014" w:rsidP="00447ACD">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95EA6" w14:textId="77777777" w:rsidR="001B5E43" w:rsidRDefault="001B5E43">
      <w:r>
        <w:separator/>
      </w:r>
    </w:p>
  </w:footnote>
  <w:footnote w:type="continuationSeparator" w:id="0">
    <w:p w14:paraId="347D3EDB" w14:textId="77777777" w:rsidR="001B5E43" w:rsidRDefault="001B5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B3CEE" w14:textId="7CE7B7B7" w:rsidR="00447ACD" w:rsidRDefault="00447ACD">
    <w:pPr>
      <w:pStyle w:val="Header"/>
    </w:pPr>
    <w:r>
      <w:rPr>
        <w:noProof/>
      </w:rPr>
      <w:pict w14:anchorId="66419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550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7E90E" w14:textId="051EB127" w:rsidR="00447ACD" w:rsidRDefault="00447ACD">
    <w:pPr>
      <w:pStyle w:val="Header"/>
    </w:pPr>
    <w:r>
      <w:rPr>
        <w:noProof/>
      </w:rPr>
      <w:pict w14:anchorId="6DAF9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550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DE816" w14:textId="49979FFA" w:rsidR="00330014" w:rsidRDefault="00447ACD">
    <w:pPr>
      <w:ind w:left="2160"/>
      <w:jc w:val="center"/>
      <w:rPr>
        <w:rFonts w:ascii="Times New Roman" w:eastAsia="Times New Roman" w:hAnsi="Times New Roman" w:cs="Times New Roman"/>
        <w:i/>
        <w:sz w:val="18"/>
        <w:szCs w:val="18"/>
      </w:rPr>
    </w:pPr>
    <w:r>
      <w:rPr>
        <w:noProof/>
      </w:rPr>
      <w:pict w14:anchorId="2CC2D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550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B1D649D" w14:textId="77777777" w:rsidR="00330014" w:rsidRDefault="001B5E4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1A9C5F6" w14:textId="77777777" w:rsidR="00330014" w:rsidRDefault="001B5E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91C29A2" w14:textId="77777777" w:rsidR="00330014" w:rsidRDefault="001B5E4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8761FB1" w14:textId="77777777" w:rsidR="00330014" w:rsidRDefault="001B5E4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6AA9C18" w14:textId="77777777" w:rsidR="00330014" w:rsidRDefault="001B5E4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A3339E8" w14:textId="77777777" w:rsidR="00330014" w:rsidRDefault="001B5E43">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3E3EFE"/>
    <w:multiLevelType w:val="multilevel"/>
    <w:tmpl w:val="1C5ECB1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014"/>
    <w:rsid w:val="0009415C"/>
    <w:rsid w:val="001B5E43"/>
    <w:rsid w:val="00330014"/>
    <w:rsid w:val="00447ACD"/>
    <w:rsid w:val="00621FD9"/>
    <w:rsid w:val="006C6091"/>
    <w:rsid w:val="00722E99"/>
    <w:rsid w:val="008225AE"/>
    <w:rsid w:val="00A953FF"/>
    <w:rsid w:val="00B12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82DCB"/>
  <w15:docId w15:val="{3940207C-993E-46CC-A99F-46212F0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C67D3A"/>
    <w:pPr>
      <w:spacing w:before="100" w:beforeAutospacing="1" w:after="100" w:afterAutospacing="1"/>
    </w:pPr>
    <w:rPr>
      <w:rFonts w:ascii="Times New Roman" w:hAnsi="Times New Roman"/>
      <w:sz w:val="24"/>
      <w:szCs w:val="24"/>
      <w:lang w:val="es-MX"/>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S0140-6736(15)00728-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eped.es/sites/default/files/documentos/30_osteogenesis_imp.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doi.org/10.1530/EJE-20-02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97/00007632-199908150-00008"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pmc.ncbi.nlm.nih.gov/articles/PMC5492314/" TargetMode="External"/><Relationship Id="rId10" Type="http://schemas.openxmlformats.org/officeDocument/2006/relationships/footer" Target="footer1.xml"/><Relationship Id="rId19" Type="http://schemas.openxmlformats.org/officeDocument/2006/relationships/hyperlink" Target="https://doi.org/10.1038/nrdp.2017.5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doi.org/10.1002/ajmg.a.3654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tyqbHrIW+hdrcvda5VqDb+U1w==">CgMxLjAyDmgueTd2Y3Myb2swYTY5Mg5oLjRydGppbXhpOWw5YzIOaC5nZmNxMTVtODIxM2YyDmgueG5yc3M5M2ZnOXU1Mg5oLmt4cWxhZ3BkZHRkbjIOaC5iaGR6dGp2ZnJqdDIyDmguMXYyeGhoMmxtbThjMg5oLno0em5pdjlrMTNlZTIOaC5reWpienR2NWwycXY4AHIhMWJZQjNaZW5rSkh2d08xZDktaU1VWldKZ21XNy1IZEs4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3917</Words>
  <Characters>22329</Characters>
  <Application>Microsoft Office Word</Application>
  <DocSecurity>0</DocSecurity>
  <Lines>186</Lines>
  <Paragraphs>52</Paragraphs>
  <ScaleCrop>false</ScaleCrop>
  <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5</cp:revision>
  <dcterms:created xsi:type="dcterms:W3CDTF">2025-09-18T12:45:00Z</dcterms:created>
  <dcterms:modified xsi:type="dcterms:W3CDTF">2025-10-04T09:37:00Z</dcterms:modified>
</cp:coreProperties>
</file>