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28E0B" w14:textId="704D549E" w:rsidR="00AA117C" w:rsidRDefault="003E27E2" w:rsidP="00AA117C">
      <w:pPr>
        <w:rPr>
          <w:rFonts w:ascii="Times New Roman" w:hAnsi="Times New Roman"/>
          <w:b/>
          <w:color w:val="000000" w:themeColor="text1"/>
          <w:sz w:val="28"/>
          <w:szCs w:val="28"/>
        </w:rPr>
      </w:pPr>
      <w:r w:rsidRPr="003E27E2">
        <w:rPr>
          <w:rFonts w:ascii="Times New Roman" w:hAnsi="Times New Roman"/>
          <w:b/>
          <w:color w:val="000000" w:themeColor="text1"/>
          <w:sz w:val="28"/>
          <w:szCs w:val="28"/>
        </w:rPr>
        <w:t>Review Article</w:t>
      </w:r>
    </w:p>
    <w:p w14:paraId="4B12CF87" w14:textId="7654CAE5" w:rsidR="00C553B3" w:rsidRPr="00F07DBC" w:rsidRDefault="00B85070" w:rsidP="00C553B3">
      <w:pPr>
        <w:jc w:val="center"/>
        <w:rPr>
          <w:rFonts w:ascii="Times New Roman" w:hAnsi="Times New Roman"/>
          <w:b/>
          <w:color w:val="000000" w:themeColor="text1"/>
          <w:sz w:val="28"/>
          <w:szCs w:val="28"/>
        </w:rPr>
      </w:pPr>
      <w:r w:rsidRPr="00F07DBC">
        <w:rPr>
          <w:rFonts w:ascii="Times New Roman" w:hAnsi="Times New Roman"/>
          <w:b/>
          <w:color w:val="000000" w:themeColor="text1"/>
          <w:sz w:val="28"/>
          <w:szCs w:val="28"/>
        </w:rPr>
        <w:t>A Review of Height as an Important Growth Index Among Paediatrics Age Group</w:t>
      </w:r>
    </w:p>
    <w:p w14:paraId="66A74D46" w14:textId="696C9CC7" w:rsidR="00F07DBC" w:rsidRDefault="00F07DBC">
      <w:pPr>
        <w:spacing w:after="0" w:line="240" w:lineRule="auto"/>
        <w:rPr>
          <w:rFonts w:ascii="Times New Roman" w:hAnsi="Times New Roman"/>
          <w:b/>
          <w:color w:val="000000" w:themeColor="text1"/>
          <w:sz w:val="24"/>
          <w:szCs w:val="24"/>
        </w:rPr>
      </w:pPr>
    </w:p>
    <w:p w14:paraId="06C76F37" w14:textId="77777777" w:rsidR="001045F3" w:rsidRDefault="001045F3">
      <w:pPr>
        <w:spacing w:after="0" w:line="240" w:lineRule="auto"/>
        <w:rPr>
          <w:rFonts w:ascii="Times New Roman" w:hAnsi="Times New Roman"/>
          <w:b/>
          <w:color w:val="000000" w:themeColor="text1"/>
          <w:sz w:val="24"/>
          <w:szCs w:val="24"/>
        </w:rPr>
      </w:pPr>
    </w:p>
    <w:p w14:paraId="173EE1C5" w14:textId="7A108410" w:rsidR="00527633" w:rsidRDefault="00066825" w:rsidP="00C553B3">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Abstracts</w:t>
      </w:r>
    </w:p>
    <w:p w14:paraId="51C4776C" w14:textId="77777777" w:rsidR="00066825" w:rsidRPr="00071D04" w:rsidRDefault="00066825" w:rsidP="00C553B3">
      <w:pPr>
        <w:spacing w:after="0"/>
        <w:rPr>
          <w:rFonts w:ascii="Times New Roman" w:hAnsi="Times New Roman"/>
          <w:b/>
          <w:color w:val="000000" w:themeColor="text1"/>
          <w:sz w:val="24"/>
          <w:szCs w:val="24"/>
        </w:rPr>
      </w:pPr>
    </w:p>
    <w:p w14:paraId="2BC84735" w14:textId="23FA774B" w:rsidR="00C553B3" w:rsidRDefault="00066825" w:rsidP="00A34816">
      <w:pPr>
        <w:jc w:val="both"/>
        <w:rPr>
          <w:rFonts w:ascii="Times New Roman" w:hAnsi="Times New Roman"/>
          <w:color w:val="000000" w:themeColor="text1"/>
          <w:sz w:val="24"/>
          <w:szCs w:val="24"/>
        </w:rPr>
      </w:pPr>
      <w:r>
        <w:rPr>
          <w:rFonts w:ascii="Times New Roman" w:hAnsi="Times New Roman"/>
          <w:color w:val="000000" w:themeColor="text1"/>
          <w:sz w:val="24"/>
          <w:szCs w:val="24"/>
        </w:rPr>
        <w:t>D</w:t>
      </w:r>
      <w:r w:rsidR="00527633" w:rsidRPr="00071D04">
        <w:rPr>
          <w:rFonts w:ascii="Times New Roman" w:hAnsi="Times New Roman"/>
          <w:color w:val="000000" w:themeColor="text1"/>
          <w:sz w:val="24"/>
          <w:szCs w:val="24"/>
        </w:rPr>
        <w:t xml:space="preserve">etermination of height is a major component of routine growth monitoring </w:t>
      </w:r>
      <w:r w:rsidR="004C4EA1" w:rsidRPr="00071D04">
        <w:rPr>
          <w:rFonts w:ascii="Times New Roman" w:hAnsi="Times New Roman"/>
          <w:color w:val="000000" w:themeColor="text1"/>
          <w:sz w:val="24"/>
          <w:szCs w:val="24"/>
        </w:rPr>
        <w:t xml:space="preserve">of </w:t>
      </w:r>
      <w:r w:rsidR="005B231C" w:rsidRPr="00071D04">
        <w:rPr>
          <w:rFonts w:ascii="Times New Roman" w:hAnsi="Times New Roman"/>
          <w:color w:val="000000" w:themeColor="text1"/>
          <w:sz w:val="24"/>
          <w:szCs w:val="24"/>
        </w:rPr>
        <w:t xml:space="preserve">wellness </w:t>
      </w:r>
      <w:r w:rsidR="00527633" w:rsidRPr="00071D04">
        <w:rPr>
          <w:rFonts w:ascii="Times New Roman" w:hAnsi="Times New Roman"/>
          <w:color w:val="000000" w:themeColor="text1"/>
          <w:sz w:val="24"/>
          <w:szCs w:val="24"/>
        </w:rPr>
        <w:t xml:space="preserve">in child welfare </w:t>
      </w:r>
      <w:r w:rsidRPr="00071D04">
        <w:rPr>
          <w:rFonts w:ascii="Times New Roman" w:hAnsi="Times New Roman"/>
          <w:color w:val="000000" w:themeColor="text1"/>
          <w:sz w:val="24"/>
          <w:szCs w:val="24"/>
        </w:rPr>
        <w:t>clinics,</w:t>
      </w:r>
      <w:r w:rsidR="00527633" w:rsidRPr="00071D04">
        <w:rPr>
          <w:rFonts w:ascii="Times New Roman" w:hAnsi="Times New Roman"/>
          <w:color w:val="000000" w:themeColor="text1"/>
          <w:sz w:val="24"/>
          <w:szCs w:val="24"/>
        </w:rPr>
        <w:t xml:space="preserve"> and it is essential to many preventive child health interventions.</w:t>
      </w:r>
      <w:r w:rsidR="005B231C" w:rsidRPr="00071D04">
        <w:rPr>
          <w:rFonts w:ascii="Times New Roman" w:hAnsi="Times New Roman"/>
          <w:color w:val="000000" w:themeColor="text1"/>
          <w:sz w:val="24"/>
          <w:szCs w:val="24"/>
        </w:rPr>
        <w:t xml:space="preserve"> Monitoring a child`s height alongside</w:t>
      </w:r>
      <w:r w:rsidR="00527633" w:rsidRPr="00071D04">
        <w:rPr>
          <w:rFonts w:ascii="Times New Roman" w:hAnsi="Times New Roman"/>
          <w:color w:val="000000" w:themeColor="text1"/>
          <w:sz w:val="24"/>
          <w:szCs w:val="24"/>
        </w:rPr>
        <w:t xml:space="preserve"> weight and </w:t>
      </w:r>
      <w:r w:rsidR="005B231C" w:rsidRPr="00071D04">
        <w:rPr>
          <w:rFonts w:ascii="Times New Roman" w:hAnsi="Times New Roman"/>
          <w:color w:val="000000" w:themeColor="text1"/>
          <w:sz w:val="24"/>
          <w:szCs w:val="24"/>
        </w:rPr>
        <w:t xml:space="preserve">physical development is </w:t>
      </w:r>
      <w:r w:rsidR="00527633" w:rsidRPr="00071D04">
        <w:rPr>
          <w:rFonts w:ascii="Times New Roman" w:hAnsi="Times New Roman"/>
          <w:color w:val="000000" w:themeColor="text1"/>
          <w:sz w:val="24"/>
          <w:szCs w:val="24"/>
        </w:rPr>
        <w:t>routine</w:t>
      </w:r>
      <w:r w:rsidR="005B231C" w:rsidRPr="00071D04">
        <w:rPr>
          <w:rFonts w:ascii="Times New Roman" w:hAnsi="Times New Roman"/>
          <w:color w:val="000000" w:themeColor="text1"/>
          <w:sz w:val="24"/>
          <w:szCs w:val="24"/>
        </w:rPr>
        <w:t>ly done</w:t>
      </w:r>
      <w:r w:rsidR="00527633" w:rsidRPr="00071D04">
        <w:rPr>
          <w:rFonts w:ascii="Times New Roman" w:hAnsi="Times New Roman"/>
          <w:color w:val="000000" w:themeColor="text1"/>
          <w:sz w:val="24"/>
          <w:szCs w:val="24"/>
        </w:rPr>
        <w:t xml:space="preserve"> </w:t>
      </w:r>
      <w:r w:rsidR="005B231C" w:rsidRPr="00071D04">
        <w:rPr>
          <w:rFonts w:ascii="Times New Roman" w:hAnsi="Times New Roman"/>
          <w:color w:val="000000" w:themeColor="text1"/>
          <w:sz w:val="24"/>
          <w:szCs w:val="24"/>
        </w:rPr>
        <w:t xml:space="preserve">as </w:t>
      </w:r>
      <w:r w:rsidR="00527633" w:rsidRPr="00071D04">
        <w:rPr>
          <w:rFonts w:ascii="Times New Roman" w:hAnsi="Times New Roman"/>
          <w:color w:val="000000" w:themeColor="text1"/>
          <w:sz w:val="24"/>
          <w:szCs w:val="24"/>
        </w:rPr>
        <w:t xml:space="preserve">part of child health care in many countries including Nigeria. Height measurement </w:t>
      </w:r>
      <w:r w:rsidRPr="00071D04">
        <w:rPr>
          <w:rFonts w:ascii="Times New Roman" w:hAnsi="Times New Roman"/>
          <w:color w:val="000000" w:themeColor="text1"/>
          <w:sz w:val="24"/>
          <w:szCs w:val="24"/>
        </w:rPr>
        <w:t>is,</w:t>
      </w:r>
      <w:r w:rsidR="00527633" w:rsidRPr="00071D04">
        <w:rPr>
          <w:rFonts w:ascii="Times New Roman" w:hAnsi="Times New Roman"/>
          <w:color w:val="000000" w:themeColor="text1"/>
          <w:sz w:val="24"/>
          <w:szCs w:val="24"/>
        </w:rPr>
        <w:t xml:space="preserve"> therefore, an important step in </w:t>
      </w:r>
      <w:r w:rsidR="004C4EA1" w:rsidRPr="00071D04">
        <w:rPr>
          <w:rFonts w:ascii="Times New Roman" w:hAnsi="Times New Roman"/>
          <w:color w:val="000000" w:themeColor="text1"/>
          <w:sz w:val="24"/>
          <w:szCs w:val="24"/>
        </w:rPr>
        <w:t xml:space="preserve">the </w:t>
      </w:r>
      <w:r w:rsidR="00527633" w:rsidRPr="00071D04">
        <w:rPr>
          <w:rFonts w:ascii="Times New Roman" w:hAnsi="Times New Roman"/>
          <w:color w:val="000000" w:themeColor="text1"/>
          <w:sz w:val="24"/>
          <w:szCs w:val="24"/>
        </w:rPr>
        <w:t xml:space="preserve">identification of conditions </w:t>
      </w:r>
      <w:r w:rsidR="00970BF9" w:rsidRPr="00071D04">
        <w:rPr>
          <w:rFonts w:ascii="Times New Roman" w:hAnsi="Times New Roman"/>
          <w:color w:val="000000" w:themeColor="text1"/>
          <w:sz w:val="24"/>
          <w:szCs w:val="24"/>
        </w:rPr>
        <w:t>such as</w:t>
      </w:r>
      <w:r w:rsidR="00527633" w:rsidRPr="00071D04">
        <w:rPr>
          <w:rFonts w:ascii="Times New Roman" w:hAnsi="Times New Roman"/>
          <w:color w:val="000000" w:themeColor="text1"/>
          <w:sz w:val="24"/>
          <w:szCs w:val="24"/>
        </w:rPr>
        <w:t xml:space="preserve"> chronic malnutrition, failure to thrive, precocious puberty, short stature, Turner syndrome </w:t>
      </w:r>
      <w:r w:rsidR="00BC5555" w:rsidRPr="00071D04">
        <w:rPr>
          <w:rFonts w:ascii="Times New Roman" w:hAnsi="Times New Roman"/>
          <w:color w:val="000000" w:themeColor="text1"/>
          <w:sz w:val="24"/>
          <w:szCs w:val="24"/>
        </w:rPr>
        <w:t xml:space="preserve">and </w:t>
      </w:r>
      <w:r w:rsidR="00527633" w:rsidRPr="00071D04">
        <w:rPr>
          <w:rFonts w:ascii="Times New Roman" w:hAnsi="Times New Roman"/>
          <w:color w:val="000000" w:themeColor="text1"/>
          <w:sz w:val="24"/>
          <w:szCs w:val="24"/>
        </w:rPr>
        <w:t>growth hormone deficiency</w:t>
      </w:r>
      <w:r w:rsidR="00BC5555" w:rsidRPr="00071D0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6F6C0E1D" w14:textId="4D5FF03F" w:rsidR="00A34816" w:rsidRDefault="00A34816" w:rsidP="00A34816">
      <w:pPr>
        <w:autoSpaceDE w:val="0"/>
        <w:autoSpaceDN w:val="0"/>
        <w:adjustRightInd w:val="0"/>
        <w:spacing w:after="0"/>
        <w:jc w:val="both"/>
        <w:rPr>
          <w:rFonts w:ascii="Times New Roman" w:eastAsia="Times New Roman" w:hAnsi="Times New Roman"/>
          <w:color w:val="000000" w:themeColor="text1"/>
          <w:sz w:val="24"/>
          <w:szCs w:val="24"/>
          <w:lang w:eastAsia="en-GB"/>
        </w:rPr>
      </w:pPr>
      <w:r w:rsidRPr="00071D04">
        <w:rPr>
          <w:rFonts w:ascii="Times New Roman" w:hAnsi="Times New Roman"/>
          <w:color w:val="000000" w:themeColor="text1"/>
          <w:sz w:val="24"/>
          <w:szCs w:val="24"/>
        </w:rPr>
        <w:t xml:space="preserve">The most accurate method of determining a child’s height is to use a standard calibrated stadiometer. However, this may not always be practicable in cases of </w:t>
      </w:r>
      <w:r w:rsidRPr="00071D04">
        <w:rPr>
          <w:rFonts w:ascii="Times New Roman" w:eastAsia="Times New Roman" w:hAnsi="Times New Roman"/>
          <w:color w:val="000000" w:themeColor="text1"/>
          <w:sz w:val="24"/>
          <w:szCs w:val="24"/>
          <w:lang w:eastAsia="en-GB"/>
        </w:rPr>
        <w:t xml:space="preserve">emergent illnesses like severe dehydration with shock or severe respiratory distress, the need for urgent resuscitation and restriction of patient’s movements may pose challenges to height measurement. </w:t>
      </w:r>
      <w:r w:rsidRPr="00071D04">
        <w:rPr>
          <w:rFonts w:ascii="Times New Roman" w:hAnsi="Times New Roman"/>
          <w:color w:val="000000" w:themeColor="text1"/>
          <w:sz w:val="24"/>
          <w:szCs w:val="24"/>
        </w:rPr>
        <w:t xml:space="preserve">Nelson formula </w:t>
      </w:r>
      <w:r>
        <w:rPr>
          <w:rFonts w:ascii="Times New Roman" w:hAnsi="Times New Roman"/>
          <w:color w:val="000000" w:themeColor="text1"/>
          <w:sz w:val="24"/>
          <w:szCs w:val="24"/>
        </w:rPr>
        <w:t xml:space="preserve">has been useful </w:t>
      </w:r>
      <w:r w:rsidRPr="00071D04">
        <w:rPr>
          <w:rFonts w:ascii="Times New Roman" w:hAnsi="Times New Roman"/>
          <w:color w:val="000000" w:themeColor="text1"/>
          <w:sz w:val="24"/>
          <w:szCs w:val="24"/>
        </w:rPr>
        <w:t xml:space="preserve">for quick estimation of children’s height </w:t>
      </w:r>
      <w:r>
        <w:rPr>
          <w:rFonts w:ascii="Times New Roman" w:hAnsi="Times New Roman"/>
          <w:color w:val="000000" w:themeColor="text1"/>
          <w:sz w:val="24"/>
          <w:szCs w:val="24"/>
        </w:rPr>
        <w:t xml:space="preserve">such </w:t>
      </w:r>
      <w:r w:rsidRPr="00071D04">
        <w:rPr>
          <w:rFonts w:ascii="Times New Roman" w:hAnsi="Times New Roman"/>
          <w:color w:val="000000" w:themeColor="text1"/>
          <w:sz w:val="24"/>
          <w:szCs w:val="24"/>
        </w:rPr>
        <w:t>difficulty situation.</w:t>
      </w:r>
    </w:p>
    <w:p w14:paraId="1F666DEA" w14:textId="77777777" w:rsidR="00A34816" w:rsidRDefault="00A34816" w:rsidP="00A34816">
      <w:pPr>
        <w:autoSpaceDE w:val="0"/>
        <w:autoSpaceDN w:val="0"/>
        <w:adjustRightInd w:val="0"/>
        <w:spacing w:after="0"/>
        <w:jc w:val="both"/>
        <w:rPr>
          <w:rFonts w:ascii="Times New Roman" w:eastAsia="Times New Roman" w:hAnsi="Times New Roman"/>
          <w:color w:val="000000" w:themeColor="text1"/>
          <w:sz w:val="24"/>
          <w:szCs w:val="24"/>
          <w:lang w:eastAsia="en-GB"/>
        </w:rPr>
      </w:pPr>
    </w:p>
    <w:p w14:paraId="5CB38E6F" w14:textId="570989DB" w:rsidR="00A34816" w:rsidRDefault="00A34816" w:rsidP="00A34816">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Furthermore, the accuracy of other methods of height estimations, such as the formulae involving the use of ulna bone length, hand length and even mid parental height, have been shown to vary amongst populations. </w:t>
      </w:r>
    </w:p>
    <w:p w14:paraId="3DDDE338" w14:textId="4E710212" w:rsidR="00C553B3" w:rsidRDefault="00C553B3" w:rsidP="00C553B3">
      <w:pPr>
        <w:jc w:val="both"/>
        <w:rPr>
          <w:rFonts w:ascii="Times New Roman" w:hAnsi="Times New Roman"/>
          <w:color w:val="000000" w:themeColor="text1"/>
          <w:sz w:val="24"/>
          <w:szCs w:val="24"/>
        </w:rPr>
      </w:pPr>
      <w:r>
        <w:rPr>
          <w:rFonts w:ascii="Times New Roman" w:hAnsi="Times New Roman"/>
          <w:color w:val="000000" w:themeColor="text1"/>
          <w:sz w:val="24"/>
          <w:szCs w:val="24"/>
        </w:rPr>
        <w:t>This review aimed to bring to the limelight the</w:t>
      </w:r>
      <w:r w:rsidR="00A34816">
        <w:rPr>
          <w:rFonts w:ascii="Times New Roman" w:hAnsi="Times New Roman"/>
          <w:color w:val="000000" w:themeColor="text1"/>
          <w:sz w:val="24"/>
          <w:szCs w:val="24"/>
        </w:rPr>
        <w:t xml:space="preserve"> various</w:t>
      </w:r>
      <w:r>
        <w:rPr>
          <w:rFonts w:ascii="Times New Roman" w:hAnsi="Times New Roman"/>
          <w:color w:val="000000" w:themeColor="text1"/>
          <w:sz w:val="24"/>
          <w:szCs w:val="24"/>
        </w:rPr>
        <w:t xml:space="preserve"> </w:t>
      </w:r>
      <w:r w:rsidR="00A34816">
        <w:rPr>
          <w:rFonts w:ascii="Times New Roman" w:hAnsi="Times New Roman"/>
          <w:color w:val="000000" w:themeColor="text1"/>
          <w:sz w:val="24"/>
          <w:szCs w:val="24"/>
        </w:rPr>
        <w:t xml:space="preserve">methods, factors affecting height and clinical importance of </w:t>
      </w:r>
      <w:r>
        <w:rPr>
          <w:rFonts w:ascii="Times New Roman" w:hAnsi="Times New Roman"/>
          <w:color w:val="000000" w:themeColor="text1"/>
          <w:sz w:val="24"/>
          <w:szCs w:val="24"/>
        </w:rPr>
        <w:t>height measurements as a significant growth index among paediatrics age group.</w:t>
      </w:r>
    </w:p>
    <w:p w14:paraId="147E9891" w14:textId="357CB232" w:rsidR="00F07DBC" w:rsidRDefault="00F07DBC" w:rsidP="00C553B3">
      <w:pPr>
        <w:jc w:val="both"/>
        <w:rPr>
          <w:rFonts w:ascii="Times New Roman" w:hAnsi="Times New Roman"/>
          <w:color w:val="000000" w:themeColor="text1"/>
          <w:sz w:val="24"/>
          <w:szCs w:val="24"/>
        </w:rPr>
      </w:pPr>
      <w:r w:rsidRPr="00F07DBC">
        <w:rPr>
          <w:rFonts w:ascii="Times New Roman" w:hAnsi="Times New Roman"/>
          <w:b/>
          <w:bCs/>
          <w:color w:val="000000" w:themeColor="text1"/>
          <w:sz w:val="24"/>
          <w:szCs w:val="24"/>
        </w:rPr>
        <w:t>Keywords:</w:t>
      </w:r>
      <w:r>
        <w:rPr>
          <w:rFonts w:ascii="Times New Roman" w:hAnsi="Times New Roman"/>
          <w:color w:val="000000" w:themeColor="text1"/>
          <w:sz w:val="24"/>
          <w:szCs w:val="24"/>
        </w:rPr>
        <w:t xml:space="preserve"> Height, paediatrics, growth index</w:t>
      </w:r>
    </w:p>
    <w:p w14:paraId="2F55E616" w14:textId="50196304" w:rsidR="00F07DBC" w:rsidRDefault="00F07DBC" w:rsidP="00F07DBC">
      <w:pPr>
        <w:spacing w:after="0" w:line="240" w:lineRule="auto"/>
        <w:rPr>
          <w:rFonts w:ascii="Times New Roman" w:hAnsi="Times New Roman"/>
          <w:b/>
          <w:color w:val="000000" w:themeColor="text1"/>
          <w:sz w:val="24"/>
          <w:szCs w:val="24"/>
        </w:rPr>
      </w:pPr>
    </w:p>
    <w:p w14:paraId="170FA0F9" w14:textId="6C204A84" w:rsidR="00066825" w:rsidRPr="00A34816" w:rsidRDefault="00066825" w:rsidP="00A34816">
      <w:pPr>
        <w:pStyle w:val="ListParagraph"/>
        <w:numPr>
          <w:ilvl w:val="0"/>
          <w:numId w:val="43"/>
        </w:numPr>
        <w:spacing w:after="0"/>
        <w:jc w:val="both"/>
        <w:rPr>
          <w:rFonts w:ascii="Times New Roman" w:hAnsi="Times New Roman"/>
          <w:b/>
          <w:color w:val="000000" w:themeColor="text1"/>
          <w:sz w:val="24"/>
          <w:szCs w:val="24"/>
        </w:rPr>
      </w:pPr>
      <w:r w:rsidRPr="00A34816">
        <w:rPr>
          <w:rFonts w:ascii="Times New Roman" w:hAnsi="Times New Roman"/>
          <w:b/>
          <w:color w:val="000000" w:themeColor="text1"/>
          <w:sz w:val="24"/>
          <w:szCs w:val="24"/>
        </w:rPr>
        <w:t>Background</w:t>
      </w:r>
    </w:p>
    <w:p w14:paraId="4D9F3278" w14:textId="77777777" w:rsidR="00066825" w:rsidRPr="00071D04" w:rsidRDefault="00066825" w:rsidP="00066825">
      <w:pPr>
        <w:spacing w:after="0"/>
        <w:jc w:val="both"/>
        <w:rPr>
          <w:rFonts w:ascii="Times New Roman" w:hAnsi="Times New Roman"/>
          <w:b/>
          <w:color w:val="000000" w:themeColor="text1"/>
          <w:sz w:val="24"/>
          <w:szCs w:val="24"/>
        </w:rPr>
      </w:pPr>
    </w:p>
    <w:p w14:paraId="6F600067" w14:textId="6C5BFA54" w:rsidR="00066825" w:rsidRPr="00071D04" w:rsidRDefault="00066825" w:rsidP="00066825">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study of height is as old as the history of human research in genetics. It is on record that the aspect of quantitative genetics was born out of studies of human height in the late 19</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century owing to a published data as early as 1886 by Galton.</w:t>
      </w:r>
      <w:r w:rsidR="00E449C5" w:rsidRPr="00E449C5">
        <w:rPr>
          <w:rFonts w:ascii="Times New Roman" w:hAnsi="Times New Roman"/>
          <w:color w:val="000000" w:themeColor="text1"/>
          <w:sz w:val="24"/>
          <w:szCs w:val="24"/>
          <w:vertAlign w:val="superscript"/>
        </w:rPr>
        <w:t>1</w:t>
      </w:r>
      <w:r w:rsidRPr="00071D04">
        <w:rPr>
          <w:rFonts w:ascii="Times New Roman" w:hAnsi="Times New Roman"/>
          <w:color w:val="000000" w:themeColor="text1"/>
          <w:sz w:val="24"/>
          <w:szCs w:val="24"/>
        </w:rPr>
        <w:t xml:space="preserve"> The age-based formula for estimating height for children, as described by the Nelson textbook of paediatrics,</w:t>
      </w:r>
      <w:r w:rsidRPr="00071D04">
        <w:rPr>
          <w:rFonts w:ascii="Times New Roman" w:hAnsi="Times New Roman"/>
          <w:color w:val="000000" w:themeColor="text1"/>
          <w:sz w:val="24"/>
          <w:szCs w:val="24"/>
        </w:rPr>
        <w:fldChar w:fldCharType="begin"/>
      </w:r>
      <w:r w:rsidRPr="00071D04">
        <w:rPr>
          <w:rFonts w:ascii="Times New Roman" w:hAnsi="Times New Roman"/>
          <w:color w:val="000000" w:themeColor="text1"/>
          <w:sz w:val="24"/>
          <w:szCs w:val="24"/>
        </w:rPr>
        <w:instrText xml:space="preserve"> ADDIN EN.CITE &lt;EndNote&gt;&lt;Cite&gt;&lt;Author&gt;Keane&lt;/Author&gt;&lt;Year&gt;2007&lt;/Year&gt;&lt;RecNum&gt;11&lt;/RecNum&gt;&lt;DisplayText&gt;&lt;style face="superscript"&gt;11, 30&lt;/style&gt;&lt;/DisplayText&gt;&lt;record&gt;&lt;rec-number&gt;11&lt;/rec-number&gt;&lt;foreign-keys&gt;&lt;key app="EN" db-id="artfe59rd92tx0eswfsvxr0ysr52aadvw92v" timestamp="0"&gt;11&lt;/key&gt;&lt;/foreign-keys&gt;&lt;ref-type name="Book Section"&gt;5&lt;/ref-type&gt;&lt;contributors&gt;&lt;authors&gt;&lt;author&gt;Keane, V&lt;/author&gt;&lt;/authors&gt;&lt;secondary-authors&gt;&lt;author&gt;Kliegman, R M&lt;/author&gt;&lt;author&gt; Behrman, R E&lt;/author&gt;&lt;author&gt; Jenson, H B&lt;/author&gt;&lt;author&gt; Stanton, B F&lt;/author&gt;&lt;/secondary-authors&gt;&lt;/contributors&gt;&lt;titles&gt;&lt;title&gt; Assessment of Growth&lt;/title&gt;&lt;secondary-title&gt;Nelson Textbook of Pediatrics&lt;/secondary-title&gt;&lt;/titles&gt;&lt;edition&gt; 18th &lt;/edition&gt;&lt;section&gt;14&lt;/section&gt;&lt;dates&gt;&lt;year&gt;2007&lt;/year&gt;&lt;/dates&gt;&lt;pub-location&gt;Philadelphia&lt;/pub-location&gt;&lt;publisher&gt; Saunders Elsevier&lt;/publisher&gt;&lt;urls&gt;&lt;/urls&gt;&lt;/record&gt;&lt;/Cite&gt;&lt;Cite&gt;&lt;Author&gt;Behrman R E&lt;/Author&gt;&lt;Year&gt;2000&lt;/Year&gt;&lt;RecNum&gt;27&lt;/RecNum&gt;&lt;record&gt;&lt;rec-number&gt;27&lt;/rec-number&gt;&lt;foreign-keys&gt;&lt;key app="EN" db-id="artfe59rd92tx0eswfsvxr0ysr52aadvw92v" timestamp="0"&gt;27&lt;/key&gt;&lt;/foreign-keys&gt;&lt;ref-type name="Book Section"&gt;5&lt;/ref-type&gt;&lt;contributors&gt;&lt;authors&gt;&lt;author&gt;Behrman R E,  &lt;/author&gt;&lt;/authors&gt;&lt;/contributors&gt;&lt;titles&gt;&lt;title&gt;The First Year&lt;/title&gt;&lt;secondary-title&gt;Nelson Textbook of Pediatrics&lt;/secondary-title&gt;&lt;/titles&gt;&lt;edition&gt;16th&lt;/edition&gt;&lt;section&gt;10&lt;/section&gt;&lt;dates&gt;&lt;year&gt;2000&lt;/year&gt;&lt;/dates&gt;&lt;pub-location&gt;philadelphia&lt;/pub-location&gt;&lt;publisher&gt;Saunders&lt;/publisher&gt;&lt;urls&gt;&lt;/urls&gt;&lt;/record&gt;&lt;/Cite&gt;&lt;/EndNote&gt;</w:instrText>
      </w:r>
      <w:r w:rsidRPr="00071D04">
        <w:rPr>
          <w:rFonts w:ascii="Times New Roman" w:hAnsi="Times New Roman"/>
          <w:color w:val="000000" w:themeColor="text1"/>
          <w:sz w:val="24"/>
          <w:szCs w:val="24"/>
        </w:rPr>
        <w:fldChar w:fldCharType="separate"/>
      </w:r>
      <w:r w:rsidR="00E449C5">
        <w:rPr>
          <w:rFonts w:ascii="Times New Roman" w:hAnsi="Times New Roman"/>
          <w:noProof/>
          <w:color w:val="000000" w:themeColor="text1"/>
          <w:sz w:val="24"/>
          <w:szCs w:val="24"/>
          <w:vertAlign w:val="superscript"/>
        </w:rPr>
        <w:t>2,</w:t>
      </w:r>
      <w:r w:rsidRPr="00071D04">
        <w:rPr>
          <w:rFonts w:ascii="Times New Roman" w:hAnsi="Times New Roman"/>
          <w:noProof/>
          <w:color w:val="000000" w:themeColor="text1"/>
          <w:sz w:val="24"/>
          <w:szCs w:val="24"/>
          <w:vertAlign w:val="superscript"/>
        </w:rPr>
        <w:t>3</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was first published by Alexander </w:t>
      </w:r>
      <w:proofErr w:type="spellStart"/>
      <w:r w:rsidRPr="00071D04">
        <w:rPr>
          <w:rFonts w:ascii="Times New Roman" w:hAnsi="Times New Roman"/>
          <w:color w:val="000000" w:themeColor="text1"/>
          <w:sz w:val="24"/>
          <w:szCs w:val="24"/>
        </w:rPr>
        <w:t>Weech</w:t>
      </w:r>
      <w:proofErr w:type="spellEnd"/>
      <w:r w:rsidRPr="00071D04">
        <w:rPr>
          <w:rFonts w:ascii="Times New Roman" w:hAnsi="Times New Roman"/>
          <w:color w:val="000000" w:themeColor="text1"/>
          <w:sz w:val="24"/>
          <w:szCs w:val="24"/>
        </w:rPr>
        <w:t xml:space="preserve"> in 1956.</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Prior to the advent of this formula, health personnel used to refer to “tables of reference” published in related textbooks.</w:t>
      </w:r>
      <w:r w:rsidRPr="00071D04">
        <w:rPr>
          <w:rFonts w:ascii="Times New Roman" w:hAnsi="Times New Roman"/>
          <w:color w:val="000000" w:themeColor="text1"/>
          <w:sz w:val="24"/>
          <w:szCs w:val="24"/>
        </w:rPr>
        <w:fldChar w:fldCharType="begin"/>
      </w:r>
      <w:r w:rsidRPr="00071D04">
        <w:rPr>
          <w:rFonts w:ascii="Times New Roman" w:hAnsi="Times New Roman"/>
          <w:color w:val="000000" w:themeColor="text1"/>
          <w:sz w:val="24"/>
          <w:szCs w:val="24"/>
        </w:rPr>
        <w:instrText xml:space="preserve"> ADDIN EN.CITE &lt;EndNote&gt;&lt;Cite&gt;&lt;Author&gt;Nelson&lt;/Author&gt;&lt;Year&gt;1950&lt;/Year&gt;&lt;RecNum&gt;134&lt;/RecNum&gt;&lt;DisplayText&gt;&lt;style face="superscript"&gt;31&lt;/style&gt;&lt;/DisplayText&gt;&lt;record&gt;&lt;rec-number&gt;134&lt;/rec-number&gt;&lt;foreign-keys&gt;&lt;key app="EN" db-id="artfe59rd92tx0eswfsvxr0ysr52aadvw92v" timestamp="0"&gt;134&lt;/key&gt;&lt;/foreign-keys&gt;&lt;ref-type name="Book"&gt;6&lt;/ref-type&gt;&lt;contributors&gt;&lt;authors&gt;&lt;author&gt;Nelson, Waldo Emerson&lt;/author&gt;&lt;author&gt;Mitchell, AG&lt;/author&gt;&lt;/authors&gt;&lt;tertiary-authors&gt;&lt;author&gt;5th&lt;/author&gt;&lt;/tertiary-authors&gt;&lt;/contributors&gt;&lt;titles&gt;&lt;title&gt;Mitchell-Nelson Textbook of Pediatrics&lt;/title&gt;&lt;/titles&gt;&lt;dates&gt;&lt;year&gt;1950&lt;/year&gt;&lt;/dates&gt;&lt;pub-location&gt;United State of America&lt;/pub-location&gt;&lt;publisher&gt;Elsevier, Saunders&lt;/publisher&gt;&lt;urls&gt;&lt;/urls&gt;&lt;/record&gt;&lt;/Cite&gt;&lt;/EndNote&gt;</w:instrText>
      </w:r>
      <w:r w:rsidRPr="00071D04">
        <w:rPr>
          <w:rFonts w:ascii="Times New Roman" w:hAnsi="Times New Roman"/>
          <w:color w:val="000000" w:themeColor="text1"/>
          <w:sz w:val="24"/>
          <w:szCs w:val="24"/>
        </w:rPr>
        <w:fldChar w:fldCharType="separate"/>
      </w:r>
      <w:r w:rsidRPr="00071D04">
        <w:rPr>
          <w:rFonts w:ascii="Times New Roman" w:hAnsi="Times New Roman"/>
          <w:noProof/>
          <w:color w:val="000000" w:themeColor="text1"/>
          <w:sz w:val="24"/>
          <w:szCs w:val="24"/>
          <w:vertAlign w:val="superscript"/>
        </w:rPr>
        <w:t>31</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These “tables of reference” were generated based on expert opinions of what ought to be appropriate heights for different ages. </w:t>
      </w:r>
    </w:p>
    <w:p w14:paraId="6ECE941B" w14:textId="13F30FB0" w:rsidR="00E449C5" w:rsidRDefault="00066825" w:rsidP="00E449C5">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Weech</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desired to make it possible for medical personnel to be able to mentally formulate a rough assessment of patients’ weights and heights without reference to relatively intricate tables. </w:t>
      </w:r>
      <w:r w:rsidR="0098764A" w:rsidRPr="00071D04">
        <w:rPr>
          <w:rFonts w:ascii="Times New Roman" w:hAnsi="Times New Roman"/>
          <w:color w:val="000000" w:themeColor="text1"/>
          <w:sz w:val="24"/>
          <w:szCs w:val="24"/>
        </w:rPr>
        <w:t>To</w:t>
      </w:r>
      <w:r w:rsidRPr="00071D04">
        <w:rPr>
          <w:rFonts w:ascii="Times New Roman" w:hAnsi="Times New Roman"/>
          <w:color w:val="000000" w:themeColor="text1"/>
          <w:sz w:val="24"/>
          <w:szCs w:val="24"/>
        </w:rPr>
        <w:t xml:space="preserve"> do this, he developed mnemonics, for example, “at 3 years the child is 3 feet tall” and “at 4 years the child is 40 inches tall”. Over time, Weech</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discovered that values from these mnemonics were no longer tallying with the values obtained from more recent tables of standards being published. Such tables of reference values were published in the 5</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edition of the Mitchell-Nelson Textbook</w:t>
      </w:r>
      <w:r w:rsidR="00E449C5" w:rsidRPr="00E449C5">
        <w:rPr>
          <w:rFonts w:ascii="Times New Roman" w:hAnsi="Times New Roman"/>
          <w:color w:val="000000" w:themeColor="text1"/>
          <w:sz w:val="24"/>
          <w:szCs w:val="24"/>
          <w:vertAlign w:val="superscript"/>
        </w:rPr>
        <w:t>5</w:t>
      </w:r>
      <w:r w:rsidRPr="00071D04">
        <w:rPr>
          <w:rFonts w:ascii="Times New Roman" w:hAnsi="Times New Roman"/>
          <w:color w:val="000000" w:themeColor="text1"/>
          <w:sz w:val="24"/>
          <w:szCs w:val="24"/>
        </w:rPr>
        <w:t xml:space="preserve"> and the 12</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edition of the Holt-McIntosh Textbook</w:t>
      </w:r>
      <w:r w:rsidR="00E449C5" w:rsidRPr="00E449C5">
        <w:rPr>
          <w:rFonts w:ascii="Times New Roman" w:hAnsi="Times New Roman"/>
          <w:color w:val="000000" w:themeColor="text1"/>
          <w:sz w:val="24"/>
          <w:szCs w:val="24"/>
          <w:vertAlign w:val="superscript"/>
        </w:rPr>
        <w:t>6</w:t>
      </w:r>
      <w:r w:rsidRPr="00071D04">
        <w:rPr>
          <w:rFonts w:ascii="Times New Roman" w:hAnsi="Times New Roman"/>
          <w:color w:val="000000" w:themeColor="text1"/>
          <w:sz w:val="24"/>
          <w:szCs w:val="24"/>
        </w:rPr>
        <w:t xml:space="preserve"> in 1950 and 1953, respectively. The heights were recorded in inches as these were the relevant units at that time. As a result of the observed disparity, </w:t>
      </w:r>
      <w:proofErr w:type="spellStart"/>
      <w:r w:rsidRPr="00071D04">
        <w:rPr>
          <w:rFonts w:ascii="Times New Roman" w:hAnsi="Times New Roman"/>
          <w:color w:val="000000" w:themeColor="text1"/>
          <w:sz w:val="24"/>
          <w:szCs w:val="24"/>
        </w:rPr>
        <w:t>Weech</w:t>
      </w:r>
      <w:proofErr w:type="spellEnd"/>
      <w:r w:rsidRPr="00071D04">
        <w:rPr>
          <w:rFonts w:ascii="Times New Roman" w:hAnsi="Times New Roman"/>
          <w:color w:val="000000" w:themeColor="text1"/>
          <w:sz w:val="24"/>
          <w:szCs w:val="24"/>
        </w:rPr>
        <w:t xml:space="preserve"> published a series of equations, derived from the tables, to predict the weight and height of children.</w:t>
      </w:r>
      <w:r w:rsidR="00E449C5" w:rsidRPr="00E449C5">
        <w:rPr>
          <w:rFonts w:ascii="Times New Roman" w:hAnsi="Times New Roman"/>
          <w:color w:val="000000" w:themeColor="text1"/>
          <w:sz w:val="24"/>
          <w:szCs w:val="24"/>
          <w:vertAlign w:val="superscript"/>
        </w:rPr>
        <w:t>4</w:t>
      </w:r>
    </w:p>
    <w:p w14:paraId="002D6EAF" w14:textId="7C5B9D17" w:rsidR="00066825" w:rsidRPr="00071D04" w:rsidRDefault="00066825" w:rsidP="00E449C5">
      <w:pPr>
        <w:jc w:val="both"/>
        <w:rPr>
          <w:rFonts w:ascii="Times New Roman" w:hAnsi="Times New Roman"/>
          <w:b/>
          <w:color w:val="000000" w:themeColor="text1"/>
          <w:sz w:val="24"/>
          <w:szCs w:val="24"/>
        </w:rPr>
      </w:pPr>
      <w:r w:rsidRPr="00071D04">
        <w:rPr>
          <w:rFonts w:ascii="Times New Roman" w:hAnsi="Times New Roman"/>
          <w:color w:val="000000" w:themeColor="text1"/>
          <w:sz w:val="24"/>
          <w:szCs w:val="24"/>
        </w:rPr>
        <w:t xml:space="preserve">Thereafter, </w:t>
      </w:r>
      <w:proofErr w:type="spellStart"/>
      <w:r w:rsidRPr="00071D04">
        <w:rPr>
          <w:rFonts w:ascii="Times New Roman" w:hAnsi="Times New Roman"/>
          <w:color w:val="000000" w:themeColor="text1"/>
          <w:sz w:val="24"/>
          <w:szCs w:val="24"/>
        </w:rPr>
        <w:t>Weech</w:t>
      </w:r>
      <w:proofErr w:type="spellEnd"/>
      <w:r w:rsidRPr="00071D04">
        <w:rPr>
          <w:rFonts w:ascii="Times New Roman" w:hAnsi="Times New Roman"/>
          <w:color w:val="000000" w:themeColor="text1"/>
          <w:sz w:val="24"/>
          <w:szCs w:val="24"/>
        </w:rPr>
        <w:t xml:space="preserve"> compared the formula predicted weight and height with the values in the tables of reference in the textbooks,</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and found the values to be within the same range as those earlier reported in the two textbooks of paediatrics, lending credence to its correctness. The same formulae proposed by </w:t>
      </w:r>
      <w:proofErr w:type="spellStart"/>
      <w:r w:rsidRPr="00071D04">
        <w:rPr>
          <w:rFonts w:ascii="Times New Roman" w:hAnsi="Times New Roman"/>
          <w:color w:val="000000" w:themeColor="text1"/>
          <w:sz w:val="24"/>
          <w:szCs w:val="24"/>
        </w:rPr>
        <w:t>Weech</w:t>
      </w:r>
      <w:proofErr w:type="spellEnd"/>
      <w:r w:rsidRPr="00071D04">
        <w:rPr>
          <w:rFonts w:ascii="Times New Roman" w:hAnsi="Times New Roman"/>
          <w:color w:val="000000" w:themeColor="text1"/>
          <w:sz w:val="24"/>
          <w:szCs w:val="24"/>
        </w:rPr>
        <w:t>, were subsequently reported, in imperial and metric units, in many editions of the Nelson textbook of paediatrics,</w:t>
      </w:r>
      <w:r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LCAzMCwgMzM8L3N0eWxlPjwvRGlzcGxheVRleHQ+PHJlY29yZD48cmVjLW51bWJlcj4xMTwvcmVj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</w:fldData>
        </w:fldChar>
      </w:r>
      <w:r w:rsidRPr="00071D04">
        <w:rPr>
          <w:rFonts w:ascii="Times New Roman" w:hAnsi="Times New Roman"/>
          <w:color w:val="000000" w:themeColor="text1"/>
          <w:sz w:val="24"/>
          <w:szCs w:val="24"/>
        </w:rPr>
        <w:instrText xml:space="preserve"> ADDIN EN.CITE </w:instrText>
      </w:r>
      <w:r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LCAzMCwgMzM8L3N0eWxlPjwvRGlzcGxheVRleHQ+PHJlY29yZD48cmVjLW51bWJlcj4xMTwvcmVj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</w:fldData>
        </w:fldChar>
      </w:r>
      <w:r w:rsidRPr="00071D04">
        <w:rPr>
          <w:rFonts w:ascii="Times New Roman" w:hAnsi="Times New Roman"/>
          <w:color w:val="000000" w:themeColor="text1"/>
          <w:sz w:val="24"/>
          <w:szCs w:val="24"/>
        </w:rPr>
        <w:instrText xml:space="preserve"> ADDIN EN.CITE.DATA </w:instrText>
      </w:r>
      <w:r w:rsidRPr="00071D04">
        <w:rPr>
          <w:rFonts w:ascii="Times New Roman" w:hAnsi="Times New Roman"/>
          <w:color w:val="000000" w:themeColor="text1"/>
          <w:sz w:val="24"/>
          <w:szCs w:val="24"/>
        </w:rPr>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r>
      <w:r w:rsidRPr="00071D04">
        <w:rPr>
          <w:rFonts w:ascii="Times New Roman" w:hAnsi="Times New Roman"/>
          <w:color w:val="000000" w:themeColor="text1"/>
          <w:sz w:val="24"/>
          <w:szCs w:val="24"/>
        </w:rPr>
        <w:fldChar w:fldCharType="separate"/>
      </w:r>
      <w:r w:rsidRPr="00071D04">
        <w:rPr>
          <w:rFonts w:ascii="Times New Roman" w:hAnsi="Times New Roman"/>
          <w:noProof/>
          <w:color w:val="000000" w:themeColor="text1"/>
          <w:sz w:val="24"/>
          <w:szCs w:val="24"/>
          <w:vertAlign w:val="superscript"/>
        </w:rPr>
        <w:t xml:space="preserve"> </w:t>
      </w:r>
      <w:r w:rsidR="00E449C5">
        <w:rPr>
          <w:rFonts w:ascii="Times New Roman" w:hAnsi="Times New Roman"/>
          <w:noProof/>
          <w:color w:val="000000" w:themeColor="text1"/>
          <w:sz w:val="24"/>
          <w:szCs w:val="24"/>
          <w:vertAlign w:val="superscript"/>
        </w:rPr>
        <w:t>4,5,7</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which are now commonly used. The formulae are now widely being, referred to by many publications, as the “Nelson Formulae” for estimating weight and height.</w:t>
      </w:r>
      <w:r w:rsidR="00E449C5" w:rsidRPr="00071D04">
        <w:rPr>
          <w:rFonts w:ascii="Times New Roman" w:hAnsi="Times New Roman"/>
          <w:b/>
          <w:color w:val="000000" w:themeColor="text1"/>
          <w:sz w:val="24"/>
          <w:szCs w:val="24"/>
        </w:rPr>
        <w:t xml:space="preserve"> </w:t>
      </w:r>
    </w:p>
    <w:p w14:paraId="273317AE" w14:textId="77777777" w:rsidR="00C553B3" w:rsidRDefault="00C553B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17078FE5" w14:textId="46F9FCC2" w:rsidR="00C553B3" w:rsidRPr="00A34816" w:rsidRDefault="00C553B3" w:rsidP="00A34816">
      <w:pPr>
        <w:pStyle w:val="ListParagraph"/>
        <w:numPr>
          <w:ilvl w:val="0"/>
          <w:numId w:val="43"/>
        </w:numPr>
        <w:jc w:val="both"/>
        <w:rPr>
          <w:rFonts w:ascii="Times New Roman" w:hAnsi="Times New Roman"/>
          <w:b/>
          <w:bCs/>
          <w:color w:val="000000" w:themeColor="text1"/>
          <w:sz w:val="24"/>
          <w:szCs w:val="24"/>
        </w:rPr>
      </w:pPr>
      <w:r w:rsidRPr="00A34816">
        <w:rPr>
          <w:rFonts w:ascii="Times New Roman" w:hAnsi="Times New Roman"/>
          <w:b/>
          <w:bCs/>
          <w:color w:val="000000" w:themeColor="text1"/>
          <w:sz w:val="24"/>
          <w:szCs w:val="24"/>
        </w:rPr>
        <w:lastRenderedPageBreak/>
        <w:t>Methods</w:t>
      </w:r>
    </w:p>
    <w:p w14:paraId="4E5498B3" w14:textId="51B2B6CC" w:rsidR="009F07A9" w:rsidRDefault="00E31BF6" w:rsidP="00C553B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a review article on height measurement, its relevance, </w:t>
      </w:r>
      <w:r w:rsidR="0098764A">
        <w:rPr>
          <w:rFonts w:ascii="Times New Roman" w:hAnsi="Times New Roman"/>
          <w:color w:val="000000" w:themeColor="text1"/>
          <w:sz w:val="24"/>
          <w:szCs w:val="24"/>
        </w:rPr>
        <w:t>estimations,</w:t>
      </w:r>
      <w:r>
        <w:rPr>
          <w:rFonts w:ascii="Times New Roman" w:hAnsi="Times New Roman"/>
          <w:color w:val="000000" w:themeColor="text1"/>
          <w:sz w:val="24"/>
          <w:szCs w:val="24"/>
        </w:rPr>
        <w:t xml:space="preserve"> and various factors affecting height of a child.</w:t>
      </w:r>
    </w:p>
    <w:p w14:paraId="0558CCAB" w14:textId="24765670" w:rsidR="00E31BF6" w:rsidRDefault="00E31BF6" w:rsidP="00C553B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Relevant literatures were searched form the internet from scholarly search engines like PubMed and </w:t>
      </w:r>
      <w:r w:rsidR="0098764A">
        <w:rPr>
          <w:rFonts w:ascii="Times New Roman" w:hAnsi="Times New Roman"/>
          <w:color w:val="000000" w:themeColor="text1"/>
          <w:sz w:val="24"/>
          <w:szCs w:val="24"/>
        </w:rPr>
        <w:t>Google scholar</w:t>
      </w:r>
      <w:r>
        <w:rPr>
          <w:rFonts w:ascii="Times New Roman" w:hAnsi="Times New Roman"/>
          <w:color w:val="000000" w:themeColor="text1"/>
          <w:sz w:val="24"/>
          <w:szCs w:val="24"/>
        </w:rPr>
        <w:t xml:space="preserve"> using search words like ‘children’s height’ ‘measurement of hight’ ‘estimation of height’ and ‘factors affecting height in </w:t>
      </w:r>
      <w:r w:rsidR="0098764A">
        <w:rPr>
          <w:rFonts w:ascii="Times New Roman" w:hAnsi="Times New Roman"/>
          <w:color w:val="000000" w:themeColor="text1"/>
          <w:sz w:val="24"/>
          <w:szCs w:val="24"/>
        </w:rPr>
        <w:t>paediatrics’.</w:t>
      </w:r>
    </w:p>
    <w:p w14:paraId="00994F21" w14:textId="77777777" w:rsidR="00E31BF6" w:rsidRDefault="00E31BF6" w:rsidP="00C553B3">
      <w:pPr>
        <w:jc w:val="both"/>
        <w:rPr>
          <w:rFonts w:ascii="Times New Roman" w:hAnsi="Times New Roman"/>
          <w:color w:val="000000" w:themeColor="text1"/>
          <w:sz w:val="24"/>
          <w:szCs w:val="24"/>
        </w:rPr>
      </w:pPr>
    </w:p>
    <w:p w14:paraId="4393053B" w14:textId="0F772DC3" w:rsidR="00A34816" w:rsidRDefault="00A34816">
      <w:pPr>
        <w:spacing w:after="0" w:line="240" w:lineRule="auto"/>
        <w:rPr>
          <w:rFonts w:ascii="Times New Roman" w:hAnsi="Times New Roman"/>
          <w:color w:val="000000" w:themeColor="text1"/>
          <w:sz w:val="24"/>
          <w:szCs w:val="24"/>
        </w:rPr>
      </w:pPr>
    </w:p>
    <w:p w14:paraId="1231AA6D" w14:textId="5FC0F20F" w:rsidR="00B85070" w:rsidRPr="00A34816" w:rsidRDefault="00A34816" w:rsidP="00A34816">
      <w:pPr>
        <w:pStyle w:val="ListParagraph"/>
        <w:numPr>
          <w:ilvl w:val="0"/>
          <w:numId w:val="43"/>
        </w:numPr>
        <w:jc w:val="both"/>
        <w:rPr>
          <w:rFonts w:ascii="Times New Roman" w:hAnsi="Times New Roman"/>
          <w:b/>
          <w:bCs/>
          <w:color w:val="000000" w:themeColor="text1"/>
          <w:sz w:val="24"/>
          <w:szCs w:val="24"/>
        </w:rPr>
      </w:pPr>
      <w:r w:rsidRPr="00A34816">
        <w:rPr>
          <w:rFonts w:ascii="Times New Roman" w:hAnsi="Times New Roman"/>
          <w:b/>
          <w:bCs/>
          <w:color w:val="000000" w:themeColor="text1"/>
          <w:sz w:val="24"/>
          <w:szCs w:val="24"/>
        </w:rPr>
        <w:t xml:space="preserve">Discussion </w:t>
      </w:r>
    </w:p>
    <w:p w14:paraId="1AB1CA09" w14:textId="77777777" w:rsidR="00A34816" w:rsidRPr="00A34816" w:rsidRDefault="00A34816" w:rsidP="00C553B3">
      <w:pPr>
        <w:jc w:val="both"/>
        <w:rPr>
          <w:rFonts w:ascii="Times New Roman" w:hAnsi="Times New Roman"/>
          <w:b/>
          <w:bCs/>
          <w:color w:val="000000" w:themeColor="text1"/>
          <w:sz w:val="24"/>
          <w:szCs w:val="24"/>
        </w:rPr>
      </w:pPr>
    </w:p>
    <w:p w14:paraId="1A172E13" w14:textId="5049A2A8" w:rsidR="00527633" w:rsidRPr="00071D04" w:rsidRDefault="00A34816" w:rsidP="00C553B3">
      <w:pPr>
        <w:rPr>
          <w:rFonts w:ascii="Times New Roman" w:hAnsi="Times New Roman"/>
          <w:b/>
          <w:color w:val="000000" w:themeColor="text1"/>
          <w:sz w:val="24"/>
          <w:szCs w:val="24"/>
        </w:rPr>
      </w:pPr>
      <w:r>
        <w:rPr>
          <w:rFonts w:ascii="Times New Roman" w:hAnsi="Times New Roman"/>
          <w:b/>
          <w:color w:val="000000" w:themeColor="text1"/>
          <w:sz w:val="24"/>
          <w:szCs w:val="24"/>
        </w:rPr>
        <w:t>3.1 Overview of</w:t>
      </w:r>
      <w:r w:rsidR="00B85070">
        <w:rPr>
          <w:rFonts w:ascii="Times New Roman" w:hAnsi="Times New Roman"/>
          <w:b/>
          <w:color w:val="000000" w:themeColor="text1"/>
          <w:sz w:val="24"/>
          <w:szCs w:val="24"/>
        </w:rPr>
        <w:t xml:space="preserve"> Challenge</w:t>
      </w:r>
      <w:r>
        <w:rPr>
          <w:rFonts w:ascii="Times New Roman" w:hAnsi="Times New Roman"/>
          <w:b/>
          <w:color w:val="000000" w:themeColor="text1"/>
          <w:sz w:val="24"/>
          <w:szCs w:val="24"/>
        </w:rPr>
        <w:t>s</w:t>
      </w:r>
      <w:r w:rsidR="00B85070">
        <w:rPr>
          <w:rFonts w:ascii="Times New Roman" w:hAnsi="Times New Roman"/>
          <w:b/>
          <w:color w:val="000000" w:themeColor="text1"/>
          <w:sz w:val="24"/>
          <w:szCs w:val="24"/>
        </w:rPr>
        <w:t xml:space="preserve"> with Height Measurement</w:t>
      </w:r>
    </w:p>
    <w:p w14:paraId="064F40CF" w14:textId="0BDD7698" w:rsidR="00BA5C52" w:rsidRPr="00071D04" w:rsidRDefault="004724C8"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The use of age-based formula for estimation of height is often prompted by unavailability of appropriately standardised devices, difficulty in achieving measurement of height, or </w:t>
      </w:r>
      <w:r w:rsidR="00BB61B0" w:rsidRPr="00071D04">
        <w:rPr>
          <w:rFonts w:ascii="Times New Roman" w:hAnsi="Times New Roman"/>
          <w:color w:val="000000" w:themeColor="text1"/>
          <w:sz w:val="24"/>
          <w:szCs w:val="24"/>
        </w:rPr>
        <w:t xml:space="preserve">challenges of carrying </w:t>
      </w:r>
      <w:r w:rsidRPr="00071D04">
        <w:rPr>
          <w:rFonts w:ascii="Times New Roman" w:hAnsi="Times New Roman"/>
          <w:color w:val="000000" w:themeColor="text1"/>
          <w:sz w:val="24"/>
          <w:szCs w:val="24"/>
        </w:rPr>
        <w:t xml:space="preserve">required devices </w:t>
      </w:r>
      <w:r w:rsidR="00527633" w:rsidRPr="00071D04">
        <w:rPr>
          <w:rFonts w:ascii="Times New Roman" w:hAnsi="Times New Roman"/>
          <w:color w:val="000000" w:themeColor="text1"/>
          <w:sz w:val="24"/>
          <w:szCs w:val="24"/>
        </w:rPr>
        <w:t xml:space="preserve">around </w:t>
      </w:r>
      <w:r w:rsidRPr="00071D04">
        <w:rPr>
          <w:rFonts w:ascii="Times New Roman" w:hAnsi="Times New Roman"/>
          <w:color w:val="000000" w:themeColor="text1"/>
          <w:sz w:val="24"/>
          <w:szCs w:val="24"/>
        </w:rPr>
        <w:t xml:space="preserve">during </w:t>
      </w:r>
      <w:r w:rsidR="00527633" w:rsidRPr="00071D04">
        <w:rPr>
          <w:rFonts w:ascii="Times New Roman" w:hAnsi="Times New Roman"/>
          <w:color w:val="000000" w:themeColor="text1"/>
          <w:sz w:val="24"/>
          <w:szCs w:val="24"/>
        </w:rPr>
        <w:t xml:space="preserve">field work, mobile </w:t>
      </w:r>
      <w:r w:rsidR="0098764A" w:rsidRPr="00071D04">
        <w:rPr>
          <w:rFonts w:ascii="Times New Roman" w:hAnsi="Times New Roman"/>
          <w:color w:val="000000" w:themeColor="text1"/>
          <w:sz w:val="24"/>
          <w:szCs w:val="24"/>
        </w:rPr>
        <w:t>clinics,</w:t>
      </w:r>
      <w:r w:rsidR="00527633" w:rsidRPr="00071D04">
        <w:rPr>
          <w:rFonts w:ascii="Times New Roman" w:hAnsi="Times New Roman"/>
          <w:color w:val="000000" w:themeColor="text1"/>
          <w:sz w:val="24"/>
          <w:szCs w:val="24"/>
        </w:rPr>
        <w:t xml:space="preserve"> and </w:t>
      </w:r>
      <w:r w:rsidRPr="00071D04">
        <w:rPr>
          <w:rFonts w:ascii="Times New Roman" w:hAnsi="Times New Roman"/>
          <w:color w:val="000000" w:themeColor="text1"/>
          <w:sz w:val="24"/>
          <w:szCs w:val="24"/>
        </w:rPr>
        <w:t xml:space="preserve">outreaches for </w:t>
      </w:r>
      <w:r w:rsidR="00527633" w:rsidRPr="00071D04">
        <w:rPr>
          <w:rFonts w:ascii="Times New Roman" w:hAnsi="Times New Roman"/>
          <w:color w:val="000000" w:themeColor="text1"/>
          <w:sz w:val="24"/>
          <w:szCs w:val="24"/>
        </w:rPr>
        <w:t>health activities.</w:t>
      </w:r>
      <w:r w:rsidR="00527633" w:rsidRPr="00071D04">
        <w:rPr>
          <w:rFonts w:ascii="Times New Roman" w:eastAsia="Times New Roman" w:hAnsi="Times New Roman"/>
          <w:color w:val="000000" w:themeColor="text1"/>
          <w:sz w:val="24"/>
          <w:szCs w:val="24"/>
          <w:lang w:eastAsia="en-GB"/>
        </w:rPr>
        <w:t xml:space="preserve"> </w:t>
      </w:r>
      <w:r w:rsidRPr="00071D04">
        <w:rPr>
          <w:rFonts w:ascii="Times New Roman" w:eastAsia="Times New Roman" w:hAnsi="Times New Roman"/>
          <w:color w:val="000000" w:themeColor="text1"/>
          <w:sz w:val="24"/>
          <w:szCs w:val="24"/>
          <w:lang w:eastAsia="en-GB"/>
        </w:rPr>
        <w:t>I</w:t>
      </w:r>
      <w:r w:rsidR="00527633" w:rsidRPr="00071D04">
        <w:rPr>
          <w:rFonts w:ascii="Times New Roman" w:eastAsia="Times New Roman" w:hAnsi="Times New Roman"/>
          <w:color w:val="000000" w:themeColor="text1"/>
          <w:sz w:val="24"/>
          <w:szCs w:val="24"/>
          <w:lang w:eastAsia="en-GB"/>
        </w:rPr>
        <w:t xml:space="preserve">n emergency </w:t>
      </w:r>
      <w:r w:rsidR="0098764A" w:rsidRPr="00071D04">
        <w:rPr>
          <w:rFonts w:ascii="Times New Roman" w:eastAsia="Times New Roman" w:hAnsi="Times New Roman"/>
          <w:color w:val="000000" w:themeColor="text1"/>
          <w:sz w:val="24"/>
          <w:szCs w:val="24"/>
          <w:lang w:eastAsia="en-GB"/>
        </w:rPr>
        <w:t>situations, where</w:t>
      </w:r>
      <w:r w:rsidR="00527633" w:rsidRPr="00071D04">
        <w:rPr>
          <w:rFonts w:ascii="Times New Roman" w:eastAsia="Times New Roman" w:hAnsi="Times New Roman"/>
          <w:color w:val="000000" w:themeColor="text1"/>
          <w:sz w:val="24"/>
          <w:szCs w:val="24"/>
          <w:lang w:eastAsia="en-GB"/>
        </w:rPr>
        <w:t xml:space="preserve"> the need for urgent resuscitation and restriction of patient’s movements is paramount, to determine the actual height or length for therapeutic interventions may be time-wasting or further compromise the child`s survival</w:t>
      </w:r>
      <w:r w:rsidRPr="00071D04">
        <w:rPr>
          <w:rFonts w:ascii="Times New Roman" w:eastAsia="Times New Roman" w:hAnsi="Times New Roman"/>
          <w:color w:val="000000" w:themeColor="text1"/>
          <w:sz w:val="24"/>
          <w:szCs w:val="24"/>
          <w:lang w:eastAsia="en-GB"/>
        </w:rPr>
        <w:t>.</w:t>
      </w:r>
      <w:r w:rsidR="0098764A" w:rsidRPr="00E449C5">
        <w:rPr>
          <w:rFonts w:ascii="Times New Roman" w:eastAsia="Times New Roman" w:hAnsi="Times New Roman"/>
          <w:color w:val="000000" w:themeColor="text1"/>
          <w:sz w:val="24"/>
          <w:szCs w:val="24"/>
          <w:vertAlign w:val="superscript"/>
          <w:lang w:eastAsia="en-GB"/>
        </w:rPr>
        <w:t>8</w:t>
      </w:r>
      <w:r w:rsidR="0098764A" w:rsidRPr="00071D04">
        <w:rPr>
          <w:rFonts w:ascii="Times New Roman" w:hAnsi="Times New Roman"/>
          <w:color w:val="000000" w:themeColor="text1"/>
          <w:sz w:val="24"/>
          <w:szCs w:val="24"/>
        </w:rPr>
        <w:t xml:space="preserve"> In</w:t>
      </w:r>
      <w:r w:rsidR="00527633" w:rsidRPr="00071D04">
        <w:rPr>
          <w:rFonts w:ascii="Times New Roman" w:hAnsi="Times New Roman"/>
          <w:color w:val="000000" w:themeColor="text1"/>
          <w:sz w:val="24"/>
          <w:szCs w:val="24"/>
        </w:rPr>
        <w:t xml:space="preserve"> situations of this nature, </w:t>
      </w:r>
      <w:r w:rsidR="00D967C9" w:rsidRPr="00071D04">
        <w:rPr>
          <w:rFonts w:ascii="Times New Roman" w:hAnsi="Times New Roman"/>
          <w:color w:val="000000" w:themeColor="text1"/>
          <w:sz w:val="24"/>
          <w:szCs w:val="24"/>
        </w:rPr>
        <w:t xml:space="preserve">it is a common practice to estimate height using </w:t>
      </w:r>
      <w:r w:rsidR="00527633" w:rsidRPr="00071D04">
        <w:rPr>
          <w:rFonts w:ascii="Times New Roman" w:hAnsi="Times New Roman"/>
          <w:color w:val="000000" w:themeColor="text1"/>
          <w:sz w:val="24"/>
          <w:szCs w:val="24"/>
        </w:rPr>
        <w:t>the Nelson formula</w:t>
      </w:r>
      <w:r w:rsidR="00D967C9" w:rsidRPr="00071D04">
        <w:rPr>
          <w:rFonts w:ascii="Times New Roman" w:hAnsi="Times New Roman"/>
          <w:color w:val="000000" w:themeColor="text1"/>
          <w:sz w:val="24"/>
          <w:szCs w:val="24"/>
        </w:rPr>
        <w:t xml:space="preserve"> for height</w:t>
      </w:r>
      <w:r w:rsidR="00527633" w:rsidRPr="00071D04">
        <w:rPr>
          <w:rFonts w:ascii="Times New Roman" w:hAnsi="Times New Roman"/>
          <w:color w:val="000000" w:themeColor="text1"/>
          <w:sz w:val="24"/>
          <w:szCs w:val="24"/>
        </w:rPr>
        <w:t xml:space="preserve">. </w:t>
      </w:r>
    </w:p>
    <w:p w14:paraId="2975F7A1" w14:textId="1BA0EE80" w:rsidR="00D967C9" w:rsidRPr="00071D04" w:rsidRDefault="00BA5C52"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w:t>
      </w:r>
      <w:r w:rsidR="00D967C9" w:rsidRPr="00071D04">
        <w:rPr>
          <w:rFonts w:ascii="Times New Roman" w:eastAsia="Times New Roman" w:hAnsi="Times New Roman"/>
          <w:color w:val="000000" w:themeColor="text1"/>
          <w:sz w:val="24"/>
          <w:szCs w:val="24"/>
          <w:lang w:val="en-US"/>
        </w:rPr>
        <w:t>he Nelson formula for estimation of height was originally developed and validated in Caucasian population.</w:t>
      </w:r>
      <w:r w:rsidR="00E449C5" w:rsidRPr="00E449C5">
        <w:rPr>
          <w:rFonts w:ascii="Times New Roman" w:eastAsia="Times New Roman" w:hAnsi="Times New Roman"/>
          <w:color w:val="000000" w:themeColor="text1"/>
          <w:sz w:val="24"/>
          <w:szCs w:val="24"/>
          <w:vertAlign w:val="superscript"/>
          <w:lang w:val="en-US"/>
        </w:rPr>
        <w:t>5</w:t>
      </w:r>
      <w:r w:rsidR="00D967C9" w:rsidRPr="00071D04">
        <w:rPr>
          <w:rFonts w:ascii="Times New Roman" w:eastAsia="Times New Roman" w:hAnsi="Times New Roman"/>
          <w:color w:val="000000" w:themeColor="text1"/>
          <w:sz w:val="24"/>
          <w:szCs w:val="24"/>
          <w:lang w:val="en-US"/>
        </w:rPr>
        <w:t xml:space="preserve"> It is conceivable that different population would demonstrate remarkable variation </w:t>
      </w:r>
      <w:r w:rsidR="00ED6943" w:rsidRPr="00071D04">
        <w:rPr>
          <w:rFonts w:ascii="Times New Roman" w:eastAsia="Times New Roman" w:hAnsi="Times New Roman"/>
          <w:color w:val="000000" w:themeColor="text1"/>
          <w:sz w:val="24"/>
          <w:szCs w:val="24"/>
          <w:lang w:val="en-US"/>
        </w:rPr>
        <w:t xml:space="preserve">in </w:t>
      </w:r>
      <w:r w:rsidR="00D967C9" w:rsidRPr="00071D04">
        <w:rPr>
          <w:rFonts w:ascii="Times New Roman" w:eastAsia="Times New Roman" w:hAnsi="Times New Roman"/>
          <w:color w:val="000000" w:themeColor="text1"/>
          <w:sz w:val="24"/>
          <w:szCs w:val="24"/>
          <w:lang w:val="en-US"/>
        </w:rPr>
        <w:t>stature</w:t>
      </w:r>
      <w:r w:rsidR="00ED6943" w:rsidRPr="00071D04">
        <w:rPr>
          <w:rFonts w:ascii="Times New Roman" w:eastAsia="Times New Roman" w:hAnsi="Times New Roman"/>
          <w:color w:val="000000" w:themeColor="text1"/>
          <w:sz w:val="24"/>
          <w:szCs w:val="24"/>
          <w:lang w:val="en-US"/>
        </w:rPr>
        <w:t xml:space="preserve">, and </w:t>
      </w:r>
      <w:r w:rsidR="005F386E" w:rsidRPr="00071D04">
        <w:rPr>
          <w:rFonts w:ascii="Times New Roman" w:eastAsia="Times New Roman" w:hAnsi="Times New Roman"/>
          <w:color w:val="000000" w:themeColor="text1"/>
          <w:sz w:val="24"/>
          <w:szCs w:val="24"/>
          <w:lang w:val="en-US"/>
        </w:rPr>
        <w:t>the height of an African child might not be comparable to that of a Caucasian</w:t>
      </w:r>
      <w:r w:rsidR="00780E56" w:rsidRPr="00071D04">
        <w:rPr>
          <w:rFonts w:ascii="Times New Roman" w:eastAsia="Times New Roman" w:hAnsi="Times New Roman"/>
          <w:color w:val="000000" w:themeColor="text1"/>
          <w:sz w:val="24"/>
          <w:szCs w:val="24"/>
          <w:lang w:val="en-US"/>
        </w:rPr>
        <w:t>. Yet,</w:t>
      </w:r>
      <w:r w:rsidR="00D967C9" w:rsidRPr="00071D04">
        <w:rPr>
          <w:rFonts w:ascii="Times New Roman" w:eastAsia="Times New Roman" w:hAnsi="Times New Roman"/>
          <w:color w:val="000000" w:themeColor="text1"/>
          <w:sz w:val="24"/>
          <w:szCs w:val="24"/>
          <w:lang w:val="en-US"/>
        </w:rPr>
        <w:t xml:space="preserve"> individual measured height are often compared with reference values to determine any deviation from expected</w:t>
      </w:r>
      <w:r w:rsidR="005F386E" w:rsidRPr="00071D04">
        <w:rPr>
          <w:rFonts w:ascii="Times New Roman" w:eastAsia="Times New Roman" w:hAnsi="Times New Roman"/>
          <w:color w:val="000000" w:themeColor="text1"/>
          <w:sz w:val="24"/>
          <w:szCs w:val="24"/>
          <w:lang w:val="en-US"/>
        </w:rPr>
        <w:t xml:space="preserve"> which are values f</w:t>
      </w:r>
      <w:r w:rsidR="007449EE" w:rsidRPr="00071D04">
        <w:rPr>
          <w:rFonts w:ascii="Times New Roman" w:eastAsia="Times New Roman" w:hAnsi="Times New Roman"/>
          <w:color w:val="000000" w:themeColor="text1"/>
          <w:sz w:val="24"/>
          <w:szCs w:val="24"/>
          <w:lang w:val="en-US"/>
        </w:rPr>
        <w:t xml:space="preserve">rom </w:t>
      </w:r>
      <w:r w:rsidR="005F386E" w:rsidRPr="00071D04">
        <w:rPr>
          <w:rFonts w:ascii="Times New Roman" w:eastAsia="Times New Roman" w:hAnsi="Times New Roman"/>
          <w:color w:val="000000" w:themeColor="text1"/>
          <w:sz w:val="24"/>
          <w:szCs w:val="24"/>
          <w:lang w:val="en-US"/>
        </w:rPr>
        <w:t>Caucasians as depicted by the Nelson formula</w:t>
      </w:r>
      <w:r w:rsidR="00E449C5">
        <w:rPr>
          <w:rFonts w:ascii="Times New Roman" w:eastAsia="Times New Roman" w:hAnsi="Times New Roman"/>
          <w:color w:val="000000" w:themeColor="text1"/>
          <w:sz w:val="24"/>
          <w:szCs w:val="24"/>
          <w:lang w:val="en-US"/>
        </w:rPr>
        <w:t>.</w:t>
      </w:r>
      <w:r w:rsidR="00E449C5" w:rsidRPr="00E449C5">
        <w:rPr>
          <w:rFonts w:ascii="Times New Roman" w:eastAsia="Times New Roman" w:hAnsi="Times New Roman"/>
          <w:color w:val="000000" w:themeColor="text1"/>
          <w:sz w:val="24"/>
          <w:szCs w:val="24"/>
          <w:vertAlign w:val="superscript"/>
          <w:lang w:val="en-US"/>
        </w:rPr>
        <w:t>9,10</w:t>
      </w:r>
      <w:r w:rsidR="00D967C9" w:rsidRPr="00071D04">
        <w:rPr>
          <w:rFonts w:ascii="Times New Roman" w:eastAsia="Times New Roman" w:hAnsi="Times New Roman"/>
          <w:color w:val="000000" w:themeColor="text1"/>
          <w:sz w:val="24"/>
          <w:szCs w:val="24"/>
          <w:lang w:val="en-US"/>
        </w:rPr>
        <w:t xml:space="preserve"> </w:t>
      </w:r>
      <w:r w:rsidR="00D967C9" w:rsidRPr="00071D04">
        <w:rPr>
          <w:rFonts w:ascii="Times New Roman" w:hAnsi="Times New Roman"/>
          <w:color w:val="000000" w:themeColor="text1"/>
          <w:sz w:val="24"/>
          <w:szCs w:val="24"/>
        </w:rPr>
        <w:t>Normative reference values for anthropometry are population-specific because of significant variations that exist across geographical boundaries.</w:t>
      </w:r>
      <w:r w:rsidR="00D967C9"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&lt;EndNote&gt;&lt;Cite&gt;&lt;Author&gt;de Onis&lt;/Author&gt;&lt;Year&gt;1996&lt;/Year&gt;&lt;RecNum&gt;23&lt;/RecNum&gt;&lt;DisplayText&gt;&lt;style face="superscript"&gt;24&lt;/style&gt;&lt;/DisplayText&gt;&lt;record&gt;&lt;rec-number&gt;23&lt;/rec-number&gt;&lt;foreign-keys&gt;&lt;key app="EN" db-id="artfe59rd92tx0eswfsvxr0ysr52aadvw92v" timestamp="0"&gt;23&lt;/key&gt;&lt;/foreign-keys&gt;&lt;ref-type name="Journal Article"&gt;17&lt;/ref-type&gt;&lt;contributors&gt;&lt;authors&gt;&lt;author&gt;de Onis, Mercedes&lt;/author&gt;&lt;author&gt;Habicht, Jean-Pierre&lt;/author&gt;&lt;/authors&gt;&lt;/contributors&gt;&lt;titles&gt;&lt;title&gt;Anthropometric reference data for international use: recommendations from a World Health Organization Expert Committee&lt;/title&gt;&lt;secondary-title&gt;The American journal of clinical nutrition&lt;/secondary-title&gt;&lt;/titles&gt;&lt;pages&gt;650-658&lt;/pages&gt;&lt;volume&gt;64&lt;/volume&gt;&lt;number&gt;4&lt;/number&gt;&lt;dates&gt;&lt;year&gt;1996&lt;/year&gt;&lt;/dates&gt;&lt;isbn&gt;0002-9165&lt;/isbn&gt;&lt;urls&gt;&lt;/urls&gt;&lt;/record&gt;&lt;/Cite&gt;&lt;/EndNote&gt;</w:instrText>
      </w:r>
      <w:r w:rsidR="00D967C9" w:rsidRPr="00071D04">
        <w:rPr>
          <w:rFonts w:ascii="Times New Roman" w:hAnsi="Times New Roman"/>
          <w:color w:val="000000" w:themeColor="text1"/>
          <w:sz w:val="24"/>
          <w:szCs w:val="24"/>
        </w:rPr>
        <w:fldChar w:fldCharType="separate"/>
      </w:r>
      <w:r w:rsidR="00ED6943" w:rsidRPr="00071D04">
        <w:rPr>
          <w:rFonts w:ascii="Times New Roman" w:hAnsi="Times New Roman"/>
          <w:noProof/>
          <w:color w:val="000000" w:themeColor="text1"/>
          <w:sz w:val="24"/>
          <w:szCs w:val="24"/>
          <w:vertAlign w:val="superscript"/>
        </w:rPr>
        <w:t>24</w:t>
      </w:r>
      <w:r w:rsidR="00D967C9" w:rsidRPr="00071D04">
        <w:rPr>
          <w:rFonts w:ascii="Times New Roman" w:hAnsi="Times New Roman"/>
          <w:color w:val="000000" w:themeColor="text1"/>
          <w:sz w:val="24"/>
          <w:szCs w:val="24"/>
        </w:rPr>
        <w:fldChar w:fldCharType="end"/>
      </w:r>
      <w:r w:rsidR="00D967C9" w:rsidRPr="00071D04">
        <w:rPr>
          <w:rFonts w:ascii="Times New Roman" w:hAnsi="Times New Roman"/>
          <w:color w:val="000000" w:themeColor="text1"/>
          <w:sz w:val="24"/>
          <w:szCs w:val="24"/>
        </w:rPr>
        <w:t xml:space="preserve"> The exclusion of children in developing countries from </w:t>
      </w:r>
      <w:r w:rsidR="00780E56" w:rsidRPr="00071D04">
        <w:rPr>
          <w:rFonts w:ascii="Times New Roman" w:hAnsi="Times New Roman"/>
          <w:color w:val="000000" w:themeColor="text1"/>
          <w:sz w:val="24"/>
          <w:szCs w:val="24"/>
        </w:rPr>
        <w:t>the</w:t>
      </w:r>
      <w:r w:rsidR="00D967C9" w:rsidRPr="00071D04">
        <w:rPr>
          <w:rFonts w:ascii="Times New Roman" w:hAnsi="Times New Roman"/>
          <w:color w:val="000000" w:themeColor="text1"/>
          <w:sz w:val="24"/>
          <w:szCs w:val="24"/>
        </w:rPr>
        <w:t xml:space="preserve"> population </w:t>
      </w:r>
      <w:r w:rsidR="00780E56" w:rsidRPr="00071D04">
        <w:rPr>
          <w:rFonts w:ascii="Times New Roman" w:hAnsi="Times New Roman"/>
          <w:color w:val="000000" w:themeColor="text1"/>
          <w:sz w:val="24"/>
          <w:szCs w:val="24"/>
        </w:rPr>
        <w:t xml:space="preserve">data </w:t>
      </w:r>
      <w:r w:rsidR="00D967C9" w:rsidRPr="00071D04">
        <w:rPr>
          <w:rFonts w:ascii="Times New Roman" w:hAnsi="Times New Roman"/>
          <w:color w:val="000000" w:themeColor="text1"/>
          <w:sz w:val="24"/>
          <w:szCs w:val="24"/>
        </w:rPr>
        <w:t>used to derive</w:t>
      </w:r>
      <w:r w:rsidR="00780E56" w:rsidRPr="00071D04">
        <w:rPr>
          <w:rFonts w:ascii="Times New Roman" w:hAnsi="Times New Roman"/>
          <w:color w:val="000000" w:themeColor="text1"/>
          <w:sz w:val="24"/>
          <w:szCs w:val="24"/>
        </w:rPr>
        <w:t xml:space="preserve"> the Nelson formula for height,</w:t>
      </w:r>
      <w:r w:rsidR="00D967C9" w:rsidRPr="00071D04">
        <w:rPr>
          <w:rFonts w:ascii="Times New Roman" w:hAnsi="Times New Roman"/>
          <w:color w:val="000000" w:themeColor="text1"/>
          <w:sz w:val="24"/>
          <w:szCs w:val="24"/>
        </w:rPr>
        <w:t xml:space="preserve"> especially Africans, does not support the appropriateness of its use in those countries.</w:t>
      </w:r>
      <w:r w:rsidR="00D967C9" w:rsidRPr="00071D04">
        <w:rPr>
          <w:rFonts w:ascii="Times New Roman" w:eastAsia="Times New Roman" w:hAnsi="Times New Roman"/>
          <w:color w:val="000000" w:themeColor="text1"/>
          <w:sz w:val="24"/>
          <w:szCs w:val="24"/>
          <w:lang w:val="en-US"/>
        </w:rPr>
        <w:t>Thus, the</w:t>
      </w:r>
      <w:r w:rsidR="0060721F" w:rsidRPr="00071D04">
        <w:rPr>
          <w:rFonts w:ascii="Times New Roman" w:eastAsia="Times New Roman" w:hAnsi="Times New Roman"/>
          <w:color w:val="000000" w:themeColor="text1"/>
          <w:sz w:val="24"/>
          <w:szCs w:val="24"/>
          <w:lang w:val="en-US"/>
        </w:rPr>
        <w:t>re is a</w:t>
      </w:r>
      <w:r w:rsidR="00D967C9" w:rsidRPr="00071D04">
        <w:rPr>
          <w:rFonts w:ascii="Times New Roman" w:eastAsia="Times New Roman" w:hAnsi="Times New Roman"/>
          <w:color w:val="000000" w:themeColor="text1"/>
          <w:sz w:val="24"/>
          <w:szCs w:val="24"/>
          <w:lang w:val="en-US"/>
        </w:rPr>
        <w:t xml:space="preserve"> need for</w:t>
      </w:r>
      <w:r w:rsidR="0060721F" w:rsidRPr="00071D04">
        <w:rPr>
          <w:rFonts w:ascii="Times New Roman" w:eastAsia="Times New Roman" w:hAnsi="Times New Roman"/>
          <w:color w:val="000000" w:themeColor="text1"/>
          <w:sz w:val="24"/>
          <w:szCs w:val="24"/>
          <w:lang w:val="en-US"/>
        </w:rPr>
        <w:t xml:space="preserve"> a</w:t>
      </w:r>
      <w:r w:rsidR="00D967C9" w:rsidRPr="00071D04">
        <w:rPr>
          <w:rFonts w:ascii="Times New Roman" w:eastAsia="Times New Roman" w:hAnsi="Times New Roman"/>
          <w:color w:val="000000" w:themeColor="text1"/>
          <w:sz w:val="24"/>
          <w:szCs w:val="24"/>
          <w:lang w:val="en-US"/>
        </w:rPr>
        <w:t xml:space="preserve"> population-specific validation.</w:t>
      </w:r>
      <w:r w:rsidR="007449EE" w:rsidRPr="00071D04">
        <w:rPr>
          <w:rFonts w:ascii="Times New Roman" w:eastAsia="Times New Roman" w:hAnsi="Times New Roman"/>
          <w:color w:val="000000" w:themeColor="text1"/>
          <w:sz w:val="24"/>
          <w:szCs w:val="24"/>
          <w:lang w:val="en-US"/>
        </w:rPr>
        <w:t xml:space="preserve"> </w:t>
      </w:r>
      <w:r w:rsidR="003D0D73" w:rsidRPr="00071D04">
        <w:rPr>
          <w:rFonts w:ascii="Times New Roman" w:eastAsia="Times New Roman" w:hAnsi="Times New Roman"/>
          <w:color w:val="000000" w:themeColor="text1"/>
          <w:sz w:val="24"/>
          <w:szCs w:val="24"/>
          <w:lang w:val="en-US"/>
        </w:rPr>
        <w:t>Furthermore, p</w:t>
      </w:r>
      <w:r w:rsidR="007449EE" w:rsidRPr="00071D04">
        <w:rPr>
          <w:rFonts w:ascii="Times New Roman" w:eastAsia="Times New Roman" w:hAnsi="Times New Roman"/>
          <w:color w:val="000000" w:themeColor="text1"/>
          <w:sz w:val="24"/>
          <w:szCs w:val="24"/>
          <w:lang w:val="en-US"/>
        </w:rPr>
        <w:t xml:space="preserve">rior to the design and conduct of this study, the data </w:t>
      </w:r>
      <w:r w:rsidR="00714D27" w:rsidRPr="00071D04">
        <w:rPr>
          <w:rFonts w:ascii="Times New Roman" w:eastAsia="Times New Roman" w:hAnsi="Times New Roman"/>
          <w:color w:val="000000" w:themeColor="text1"/>
          <w:sz w:val="24"/>
          <w:szCs w:val="24"/>
          <w:lang w:val="en-US"/>
        </w:rPr>
        <w:t>on assessment of</w:t>
      </w:r>
      <w:r w:rsidR="007449EE" w:rsidRPr="00071D04">
        <w:rPr>
          <w:rFonts w:ascii="Times New Roman" w:eastAsia="Times New Roman" w:hAnsi="Times New Roman"/>
          <w:color w:val="000000" w:themeColor="text1"/>
          <w:sz w:val="24"/>
          <w:szCs w:val="24"/>
          <w:lang w:val="en-US"/>
        </w:rPr>
        <w:t xml:space="preserve"> the use of the Nelson formula for estimation of heights </w:t>
      </w:r>
      <w:r w:rsidR="00714D27" w:rsidRPr="00071D04">
        <w:rPr>
          <w:rFonts w:ascii="Times New Roman" w:eastAsia="Times New Roman" w:hAnsi="Times New Roman"/>
          <w:color w:val="000000" w:themeColor="text1"/>
          <w:sz w:val="24"/>
          <w:szCs w:val="24"/>
          <w:lang w:val="en-US"/>
        </w:rPr>
        <w:t>in Nigeria</w:t>
      </w:r>
      <w:r w:rsidR="003D0D73" w:rsidRPr="00071D04">
        <w:rPr>
          <w:rFonts w:ascii="Times New Roman" w:eastAsia="Times New Roman" w:hAnsi="Times New Roman"/>
          <w:color w:val="000000" w:themeColor="text1"/>
          <w:sz w:val="24"/>
          <w:szCs w:val="24"/>
          <w:lang w:val="en-US"/>
        </w:rPr>
        <w:t>n children</w:t>
      </w:r>
      <w:r w:rsidR="00714D27" w:rsidRPr="00071D04">
        <w:rPr>
          <w:rFonts w:ascii="Times New Roman" w:eastAsia="Times New Roman" w:hAnsi="Times New Roman"/>
          <w:color w:val="000000" w:themeColor="text1"/>
          <w:sz w:val="24"/>
          <w:szCs w:val="24"/>
          <w:lang w:val="en-US"/>
        </w:rPr>
        <w:t xml:space="preserve"> </w:t>
      </w:r>
      <w:r w:rsidR="007449EE" w:rsidRPr="00071D04">
        <w:rPr>
          <w:rFonts w:ascii="Times New Roman" w:eastAsia="Times New Roman" w:hAnsi="Times New Roman"/>
          <w:color w:val="000000" w:themeColor="text1"/>
          <w:sz w:val="24"/>
          <w:szCs w:val="24"/>
          <w:lang w:val="en-US"/>
        </w:rPr>
        <w:t>were limited to those obtained from relatively small sample of clinic attendants.</w:t>
      </w:r>
      <w:r w:rsidR="00E449C5" w:rsidRPr="00E449C5">
        <w:rPr>
          <w:rFonts w:ascii="Times New Roman" w:eastAsia="Times New Roman" w:hAnsi="Times New Roman"/>
          <w:color w:val="000000" w:themeColor="text1"/>
          <w:sz w:val="24"/>
          <w:szCs w:val="24"/>
          <w:vertAlign w:val="superscript"/>
          <w:lang w:val="en-US"/>
        </w:rPr>
        <w:t>11</w:t>
      </w:r>
      <w:r w:rsidR="00E449C5" w:rsidRPr="00071D04">
        <w:rPr>
          <w:rFonts w:ascii="Times New Roman" w:hAnsi="Times New Roman"/>
          <w:color w:val="000000" w:themeColor="text1"/>
          <w:sz w:val="24"/>
          <w:szCs w:val="24"/>
        </w:rPr>
        <w:t xml:space="preserve"> </w:t>
      </w:r>
    </w:p>
    <w:p w14:paraId="342CDC24" w14:textId="39FEE44F" w:rsidR="003B336E" w:rsidRPr="00071D04" w:rsidRDefault="003B336E"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Several important uses of height in clinical practices </w:t>
      </w:r>
      <w:r w:rsidR="003D0D73" w:rsidRPr="00071D04">
        <w:rPr>
          <w:rFonts w:ascii="Times New Roman" w:hAnsi="Times New Roman"/>
          <w:color w:val="000000" w:themeColor="text1"/>
          <w:sz w:val="24"/>
          <w:szCs w:val="24"/>
        </w:rPr>
        <w:t>underscore</w:t>
      </w:r>
      <w:r w:rsidRPr="00071D04">
        <w:rPr>
          <w:rFonts w:ascii="Times New Roman" w:hAnsi="Times New Roman"/>
          <w:color w:val="000000" w:themeColor="text1"/>
          <w:sz w:val="24"/>
          <w:szCs w:val="24"/>
        </w:rPr>
        <w:t xml:space="preserve"> the need to evaluate the methods by which height estimation is performed </w:t>
      </w:r>
      <w:r w:rsidR="0098764A" w:rsidRPr="00071D04">
        <w:rPr>
          <w:rFonts w:ascii="Times New Roman" w:hAnsi="Times New Roman"/>
          <w:color w:val="000000" w:themeColor="text1"/>
          <w:sz w:val="24"/>
          <w:szCs w:val="24"/>
        </w:rPr>
        <w:t>to</w:t>
      </w:r>
      <w:r w:rsidRPr="00071D04">
        <w:rPr>
          <w:rFonts w:ascii="Times New Roman" w:hAnsi="Times New Roman"/>
          <w:color w:val="000000" w:themeColor="text1"/>
          <w:sz w:val="24"/>
          <w:szCs w:val="24"/>
        </w:rPr>
        <w:t xml:space="preserve"> ensure the desired precision. A formula for estimation of height that its validity has not been scientifically proven for use in Nigerian population cannot be </w:t>
      </w:r>
      <w:r w:rsidR="005B231C" w:rsidRPr="00071D04">
        <w:rPr>
          <w:rFonts w:ascii="Times New Roman" w:hAnsi="Times New Roman"/>
          <w:color w:val="000000" w:themeColor="text1"/>
          <w:sz w:val="24"/>
          <w:szCs w:val="24"/>
        </w:rPr>
        <w:t xml:space="preserve">considered as reliable. </w:t>
      </w:r>
      <w:r w:rsidRPr="00071D04">
        <w:rPr>
          <w:rFonts w:ascii="Times New Roman" w:hAnsi="Times New Roman"/>
          <w:color w:val="000000" w:themeColor="text1"/>
          <w:sz w:val="24"/>
          <w:szCs w:val="24"/>
        </w:rPr>
        <w:t xml:space="preserve"> </w:t>
      </w:r>
    </w:p>
    <w:p w14:paraId="380627C5" w14:textId="1D0E5D8A" w:rsidR="003B336E"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Accurate and reliable height</w:t>
      </w:r>
      <w:r w:rsidR="003B336E" w:rsidRPr="00071D04">
        <w:rPr>
          <w:rFonts w:ascii="Times New Roman" w:hAnsi="Times New Roman"/>
          <w:color w:val="000000" w:themeColor="text1"/>
          <w:sz w:val="24"/>
          <w:szCs w:val="24"/>
        </w:rPr>
        <w:t xml:space="preserve"> estimation is central to making diagnosis and several decision-making processes in child health practices</w:t>
      </w:r>
      <w:r w:rsidR="006A2798" w:rsidRPr="00071D04">
        <w:rPr>
          <w:rFonts w:ascii="Times New Roman" w:hAnsi="Times New Roman"/>
          <w:color w:val="000000" w:themeColor="text1"/>
          <w:sz w:val="24"/>
          <w:szCs w:val="24"/>
        </w:rPr>
        <w:t xml:space="preserve"> for </w:t>
      </w:r>
      <w:r w:rsidR="0098764A" w:rsidRPr="00071D04">
        <w:rPr>
          <w:rFonts w:ascii="Times New Roman" w:hAnsi="Times New Roman"/>
          <w:color w:val="000000" w:themeColor="text1"/>
          <w:sz w:val="24"/>
          <w:szCs w:val="24"/>
        </w:rPr>
        <w:t>several</w:t>
      </w:r>
      <w:r w:rsidR="006A2798" w:rsidRPr="00071D04">
        <w:rPr>
          <w:rFonts w:ascii="Times New Roman" w:hAnsi="Times New Roman"/>
          <w:color w:val="000000" w:themeColor="text1"/>
          <w:sz w:val="24"/>
          <w:szCs w:val="24"/>
        </w:rPr>
        <w:t xml:space="preserve"> purposes</w:t>
      </w:r>
      <w:r w:rsidRPr="00071D04">
        <w:rPr>
          <w:rFonts w:ascii="Times New Roman" w:hAnsi="Times New Roman"/>
          <w:color w:val="000000" w:themeColor="text1"/>
          <w:sz w:val="24"/>
          <w:szCs w:val="24"/>
        </w:rPr>
        <w:t xml:space="preserve">. For instance, measurement of stature is a prerequisite for determination of normal lung function </w:t>
      </w:r>
      <w:r w:rsidR="003B336E" w:rsidRPr="00071D04">
        <w:rPr>
          <w:rFonts w:ascii="Times New Roman" w:hAnsi="Times New Roman"/>
          <w:color w:val="000000" w:themeColor="text1"/>
          <w:sz w:val="24"/>
          <w:szCs w:val="24"/>
        </w:rPr>
        <w:t>because the</w:t>
      </w:r>
      <w:r w:rsidRPr="00071D04">
        <w:rPr>
          <w:rFonts w:ascii="Times New Roman" w:hAnsi="Times New Roman"/>
          <w:color w:val="000000" w:themeColor="text1"/>
          <w:sz w:val="24"/>
          <w:szCs w:val="24"/>
        </w:rPr>
        <w:t xml:space="preserve"> reference equations are based on stature (standing height).</w:t>
      </w:r>
      <w:r w:rsidR="00E449C5">
        <w:rPr>
          <w:rFonts w:ascii="Times New Roman" w:hAnsi="Times New Roman"/>
          <w:color w:val="000000" w:themeColor="text1"/>
          <w:sz w:val="24"/>
          <w:szCs w:val="24"/>
          <w:vertAlign w:val="superscript"/>
        </w:rPr>
        <w:t>12</w:t>
      </w:r>
      <w:r w:rsidRPr="00071D04">
        <w:rPr>
          <w:rFonts w:ascii="Times New Roman" w:hAnsi="Times New Roman"/>
          <w:color w:val="000000" w:themeColor="text1"/>
          <w:sz w:val="24"/>
          <w:szCs w:val="24"/>
        </w:rPr>
        <w:t xml:space="preserve"> Acc</w:t>
      </w:r>
      <w:r w:rsidR="003D0D73" w:rsidRPr="00071D04">
        <w:rPr>
          <w:rFonts w:ascii="Times New Roman" w:hAnsi="Times New Roman"/>
          <w:color w:val="000000" w:themeColor="text1"/>
          <w:sz w:val="24"/>
          <w:szCs w:val="24"/>
        </w:rPr>
        <w:t>urate height measurement is</w:t>
      </w:r>
      <w:r w:rsidRPr="00071D04">
        <w:rPr>
          <w:rFonts w:ascii="Times New Roman" w:hAnsi="Times New Roman"/>
          <w:color w:val="000000" w:themeColor="text1"/>
          <w:sz w:val="24"/>
          <w:szCs w:val="24"/>
        </w:rPr>
        <w:t xml:space="preserve"> an essential part of determination of body surface area, glomerular filtr</w:t>
      </w:r>
      <w:r w:rsidR="003D0D73" w:rsidRPr="00071D04">
        <w:rPr>
          <w:rFonts w:ascii="Times New Roman" w:hAnsi="Times New Roman"/>
          <w:color w:val="000000" w:themeColor="text1"/>
          <w:sz w:val="24"/>
          <w:szCs w:val="24"/>
        </w:rPr>
        <w:t>ation rate and body mass index. H</w:t>
      </w:r>
      <w:r w:rsidRPr="00071D04">
        <w:rPr>
          <w:rFonts w:ascii="Times New Roman" w:hAnsi="Times New Roman"/>
          <w:color w:val="000000" w:themeColor="text1"/>
          <w:sz w:val="24"/>
          <w:szCs w:val="24"/>
        </w:rPr>
        <w:t>eight is</w:t>
      </w:r>
      <w:r w:rsidR="003D0D73" w:rsidRPr="00071D04">
        <w:rPr>
          <w:rFonts w:ascii="Times New Roman" w:hAnsi="Times New Roman"/>
          <w:color w:val="000000" w:themeColor="text1"/>
          <w:sz w:val="24"/>
          <w:szCs w:val="24"/>
        </w:rPr>
        <w:t xml:space="preserve"> also</w:t>
      </w:r>
      <w:r w:rsidRPr="00071D04">
        <w:rPr>
          <w:rFonts w:ascii="Times New Roman" w:hAnsi="Times New Roman"/>
          <w:color w:val="000000" w:themeColor="text1"/>
          <w:sz w:val="24"/>
          <w:szCs w:val="24"/>
        </w:rPr>
        <w:t xml:space="preserve"> required </w:t>
      </w:r>
      <w:r w:rsidR="006A2798" w:rsidRPr="00071D04">
        <w:rPr>
          <w:rFonts w:ascii="Times New Roman" w:hAnsi="Times New Roman"/>
          <w:color w:val="000000" w:themeColor="text1"/>
          <w:sz w:val="24"/>
          <w:szCs w:val="24"/>
        </w:rPr>
        <w:t xml:space="preserve">in making some </w:t>
      </w:r>
      <w:r w:rsidRPr="00071D04">
        <w:rPr>
          <w:rFonts w:ascii="Times New Roman" w:hAnsi="Times New Roman"/>
          <w:color w:val="000000" w:themeColor="text1"/>
          <w:sz w:val="24"/>
          <w:szCs w:val="24"/>
        </w:rPr>
        <w:t xml:space="preserve">treatment </w:t>
      </w:r>
      <w:r w:rsidR="006A2798" w:rsidRPr="00071D04">
        <w:rPr>
          <w:rFonts w:ascii="Times New Roman" w:hAnsi="Times New Roman"/>
          <w:color w:val="000000" w:themeColor="text1"/>
          <w:sz w:val="24"/>
          <w:szCs w:val="24"/>
        </w:rPr>
        <w:t xml:space="preserve">decisions, such as </w:t>
      </w:r>
      <w:r w:rsidRPr="00071D04">
        <w:rPr>
          <w:rFonts w:ascii="Times New Roman" w:hAnsi="Times New Roman"/>
          <w:color w:val="000000" w:themeColor="text1"/>
          <w:sz w:val="24"/>
          <w:szCs w:val="24"/>
        </w:rPr>
        <w:t>the blood pressure normograms</w:t>
      </w:r>
      <w:r w:rsidR="006A2798"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&lt;EndNote&gt;&lt;Cite&gt;&lt;Author&gt;Rosner&lt;/Author&gt;&lt;Year&gt;1993&lt;/Year&gt;&lt;RecNum&gt;5&lt;/RecNum&gt;&lt;DisplayText&gt;&lt;style face="superscript"&gt;5&lt;/style&gt;&lt;/DisplayText&gt;&lt;record&gt;&lt;rec-number&gt;5&lt;/rec-number&gt;&lt;foreign-keys&gt;&lt;key app="EN" db-id="artfe59rd92tx0eswfsvxr0ysr52aadvw92v" timestamp="0"&gt;5&lt;/key&gt;&lt;/foreign-keys&gt;&lt;ref-type name="Journal Article"&gt;17&lt;/ref-type&gt;&lt;contributors&gt;&lt;authors&gt;&lt;author&gt;Rosner, B&lt;/author&gt;&lt;author&gt;Prineas, RJ&lt;/author&gt;&lt;author&gt;Loggie, JMH&lt;/author&gt;&lt;author&gt;Daniels, SR&lt;/author&gt;&lt;/authors&gt;&lt;/contributors&gt;&lt;titles&gt;&lt;title&gt;Blood pressure nomograms for children and adolescents, by height, sex, and age, in the United States&lt;/title&gt;&lt;secondary-title&gt;The Journal of pediatrics&lt;/secondary-title&gt;&lt;/titles&gt;&lt;pages&gt;871-886&lt;/pages&gt;&lt;volume&gt;123&lt;/volume&gt;&lt;number&gt;6&lt;/number&gt;&lt;dates&gt;&lt;year&gt;1993&lt;/year&gt;&lt;/dates&gt;&lt;isbn&gt;0022-3476&lt;/isbn&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5</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t>
      </w:r>
      <w:r w:rsidR="00620A21" w:rsidRPr="00071D04">
        <w:rPr>
          <w:rFonts w:ascii="Times New Roman" w:hAnsi="Times New Roman"/>
          <w:color w:val="000000" w:themeColor="text1"/>
          <w:sz w:val="24"/>
          <w:szCs w:val="24"/>
        </w:rPr>
        <w:t xml:space="preserve">In </w:t>
      </w:r>
      <w:r w:rsidRPr="00071D04">
        <w:rPr>
          <w:rFonts w:ascii="Times New Roman" w:hAnsi="Times New Roman"/>
          <w:color w:val="000000" w:themeColor="text1"/>
          <w:sz w:val="24"/>
          <w:szCs w:val="24"/>
        </w:rPr>
        <w:t>some surgical procedures such as choosing the correct length of ureteric stent</w:t>
      </w:r>
      <w:r w:rsidR="00620A21" w:rsidRPr="00071D04">
        <w:rPr>
          <w:rFonts w:ascii="Times New Roman" w:hAnsi="Times New Roman"/>
          <w:color w:val="000000" w:themeColor="text1"/>
          <w:sz w:val="24"/>
          <w:szCs w:val="24"/>
        </w:rPr>
        <w:t xml:space="preserve"> the value of height is required</w:t>
      </w:r>
      <w:r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&lt;EndNote&gt;&lt;Cite&gt;&lt;Author&gt;Pilcher&lt;/Author&gt;&lt;Year&gt;2002&lt;/Year&gt;&lt;RecNum&gt;26&lt;/RecNum&gt;&lt;DisplayText&gt;&lt;style face="superscript"&gt;28&lt;/style&gt;&lt;/DisplayText&gt;&lt;record&gt;&lt;rec-number&gt;26&lt;/rec-number&gt;&lt;foreign-keys&gt;&lt;key app="EN" db-id="artfe59rd92tx0eswfsvxr0ysr52aadvw92v" timestamp="0"&gt;26&lt;/key&gt;&lt;/foreign-keys&gt;&lt;ref-type name="Journal Article"&gt;17&lt;/ref-type&gt;&lt;contributors&gt;&lt;authors&gt;&lt;author&gt;Pilcher, J. M.&lt;/author&gt;&lt;author&gt;Patel, U.&lt;/author&gt;&lt;/authors&gt;&lt;/contributors&gt;&lt;auth-address&gt;Department of Radiology, St George&amp;apos;s Hospital, London, UK. pimac@waitrose.com&lt;/auth-address&gt;&lt;titles&gt;&lt;title&gt;Choosing the correct length of ureteric stent: a formula based on the patient&amp;apos;s height compared with direct ureteric measurement&lt;/title&gt;&lt;secondary-title&gt;Clin Radiol&lt;/secondary-title&gt;&lt;/titles&gt;&lt;pages&gt;59-62&lt;/pages&gt;&lt;volume&gt;57&lt;/volume&gt;&lt;number&gt;1&lt;/number&gt;&lt;keywords&gt;&lt;keyword&gt;Adolescent&lt;/keyword&gt;&lt;keyword&gt;Adult&lt;/keyword&gt;&lt;keyword&gt;Aged&lt;/keyword&gt;&lt;keyword&gt;Aged, 80 and over&lt;/keyword&gt;&lt;keyword&gt;Anthropometry/methods&lt;/keyword&gt;&lt;keyword&gt;*Body Height&lt;/keyword&gt;&lt;keyword&gt;Equipment Design&lt;/keyword&gt;&lt;keyword&gt;Female&lt;/keyword&gt;&lt;keyword&gt;Fluoroscopy&lt;/keyword&gt;&lt;keyword&gt;Humans&lt;/keyword&gt;&lt;keyword&gt;Male&lt;/keyword&gt;&lt;keyword&gt;Middle Aged&lt;/keyword&gt;&lt;keyword&gt;Prospective Studies&lt;/keyword&gt;&lt;keyword&gt;*Stents&lt;/keyword&gt;&lt;keyword&gt;Ureter/diagnostic imaging/*pathology&lt;/keyword&gt;&lt;keyword&gt;Ureteral Obstruction/pathology/*surgery&lt;/keyword&gt;&lt;/keywords&gt;&lt;dates&gt;&lt;year&gt;2002&lt;/year&gt;&lt;pub-dates&gt;&lt;date&gt;Jan&lt;/date&gt;&lt;/pub-dates&gt;&lt;/dates&gt;&lt;isbn&gt;0009-9260 (Print)&amp;#xD;0009-9260 (Linking)&lt;/isbn&gt;&lt;accession-num&gt;11798204&lt;/accession-num&gt;&lt;urls&gt;&lt;related-urls&gt;&lt;url&gt;http://www.ncbi.nlm.nih.gov/pubmed/11798204&lt;/url&gt;&lt;/related-urls&gt;&lt;/urls&gt;&lt;electronic-resource-num&gt;10.1053/crad.2001.0737&lt;/electronic-resource-num&gt;&lt;/record&gt;&lt;/Cite&gt;&lt;/EndNote&gt;</w:instrText>
      </w:r>
      <w:r w:rsidRPr="00071D04">
        <w:rPr>
          <w:rFonts w:ascii="Times New Roman" w:hAnsi="Times New Roman"/>
          <w:color w:val="000000" w:themeColor="text1"/>
          <w:sz w:val="24"/>
          <w:szCs w:val="24"/>
        </w:rPr>
        <w:fldChar w:fldCharType="separate"/>
      </w:r>
      <w:r w:rsidR="007449EE" w:rsidRPr="00071D04">
        <w:rPr>
          <w:rFonts w:ascii="Times New Roman" w:hAnsi="Times New Roman"/>
          <w:noProof/>
          <w:color w:val="000000" w:themeColor="text1"/>
          <w:sz w:val="24"/>
          <w:szCs w:val="24"/>
          <w:vertAlign w:val="superscript"/>
        </w:rPr>
        <w:t>28</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M</w:t>
      </w:r>
      <w:r w:rsidR="00620A21" w:rsidRPr="00071D04">
        <w:rPr>
          <w:rFonts w:ascii="Times New Roman" w:hAnsi="Times New Roman"/>
          <w:color w:val="000000" w:themeColor="text1"/>
          <w:sz w:val="24"/>
          <w:szCs w:val="24"/>
        </w:rPr>
        <w:t>ore</w:t>
      </w:r>
      <w:r w:rsidRPr="00071D04">
        <w:rPr>
          <w:rFonts w:ascii="Times New Roman" w:hAnsi="Times New Roman"/>
          <w:color w:val="000000" w:themeColor="text1"/>
          <w:sz w:val="24"/>
          <w:szCs w:val="24"/>
        </w:rPr>
        <w:t xml:space="preserve"> importantly</w:t>
      </w:r>
      <w:r w:rsidR="00620A21"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accurate height is required fo</w:t>
      </w:r>
      <w:r w:rsidR="00620A21" w:rsidRPr="00071D04">
        <w:rPr>
          <w:rFonts w:ascii="Times New Roman" w:hAnsi="Times New Roman"/>
          <w:color w:val="000000" w:themeColor="text1"/>
          <w:sz w:val="24"/>
          <w:szCs w:val="24"/>
        </w:rPr>
        <w:t xml:space="preserve">r growth monitoring and </w:t>
      </w:r>
      <w:r w:rsidRPr="00071D04">
        <w:rPr>
          <w:rFonts w:ascii="Times New Roman" w:hAnsi="Times New Roman"/>
          <w:color w:val="000000" w:themeColor="text1"/>
          <w:sz w:val="24"/>
          <w:szCs w:val="24"/>
        </w:rPr>
        <w:t>nutritional assessment of children.</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&lt;EndNote&gt;&lt;Cite&gt;&lt;Author&gt;Onis&lt;/Author&gt;&lt;Year&gt;2006&lt;/Year&gt;&lt;RecNum&gt;1&lt;/RecNum&gt;&lt;DisplayText&gt;&lt;style face="superscript"&gt;1, 2&lt;/style&gt;&lt;/DisplayText&gt;&lt;record&gt;&lt;rec-number&gt;1&lt;/rec-number&gt;&lt;foreign-keys&gt;&lt;key app="EN" db-id="artfe59rd92tx0eswfsvxr0ysr52aadvw92v" timestamp="0"&gt;1&lt;/key&gt;&lt;/foreign-keys&gt;&lt;ref-type name="Journal Article"&gt;17&lt;/ref-type&gt;&lt;contributors&gt;&lt;authors&gt;&lt;author&gt;Onis, Mercedes&lt;/author&gt;&lt;/authors&gt;&lt;/contributors&gt;&lt;titles&gt;&lt;title&gt;WHO Child Growth Standards based on length/height, weight and age&lt;/title&gt;&lt;secondary-title&gt;Acta paediatrica&lt;/secondary-title&gt;&lt;/titles&gt;&lt;pages&gt;76-85&lt;/pages&gt;&lt;volume&gt;95&lt;/volume&gt;&lt;number&gt;S450&lt;/number&gt;&lt;dates&gt;&lt;year&gt;2006&lt;/year&gt;&lt;/dates&gt;&lt;isbn&gt;1651-2227&lt;/isbn&gt;&lt;urls&gt;&lt;/urls&gt;&lt;/record&gt;&lt;/Cite&gt;&lt;Cite&gt;&lt;Author&gt;Onyango&lt;/Author&gt;&lt;Year&gt;2008&lt;/Year&gt;&lt;RecNum&gt;2&lt;/RecNum&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1, 2</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t>
      </w:r>
    </w:p>
    <w:p w14:paraId="5F309079" w14:textId="77777777" w:rsidR="00491299"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In many clinic settings, opportunity only arises to measure height once and the health personnel needs to decide whether the one-time measured height is within the 3</w:t>
      </w:r>
      <w:r w:rsidRPr="00071D04">
        <w:rPr>
          <w:rFonts w:ascii="Times New Roman" w:hAnsi="Times New Roman"/>
          <w:color w:val="000000" w:themeColor="text1"/>
          <w:sz w:val="24"/>
          <w:szCs w:val="24"/>
          <w:vertAlign w:val="superscript"/>
        </w:rPr>
        <w:t>rd</w:t>
      </w:r>
      <w:r w:rsidRPr="00071D04">
        <w:rPr>
          <w:rFonts w:ascii="Times New Roman" w:hAnsi="Times New Roman"/>
          <w:color w:val="000000" w:themeColor="text1"/>
          <w:sz w:val="24"/>
          <w:szCs w:val="24"/>
        </w:rPr>
        <w:t xml:space="preserve"> and 95</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percentile lines. In such situations, the use of Nelson formula </w:t>
      </w:r>
      <w:r w:rsidR="00620A21" w:rsidRPr="00071D04">
        <w:rPr>
          <w:rFonts w:ascii="Times New Roman" w:hAnsi="Times New Roman"/>
          <w:color w:val="000000" w:themeColor="text1"/>
          <w:sz w:val="24"/>
          <w:szCs w:val="24"/>
        </w:rPr>
        <w:t>to estimate the expected height-for-</w:t>
      </w:r>
      <w:r w:rsidRPr="00071D04">
        <w:rPr>
          <w:rFonts w:ascii="Times New Roman" w:hAnsi="Times New Roman"/>
          <w:color w:val="000000" w:themeColor="text1"/>
          <w:sz w:val="24"/>
          <w:szCs w:val="24"/>
        </w:rPr>
        <w:t xml:space="preserve">age becomes necessary as an alternative to using the growth chart at the time of measurement. Therefore, </w:t>
      </w:r>
      <w:r w:rsidR="00620A21" w:rsidRPr="00071D04">
        <w:rPr>
          <w:rFonts w:ascii="Times New Roman" w:hAnsi="Times New Roman"/>
          <w:color w:val="000000" w:themeColor="text1"/>
          <w:sz w:val="24"/>
          <w:szCs w:val="24"/>
        </w:rPr>
        <w:t xml:space="preserve">evidence for </w:t>
      </w:r>
      <w:r w:rsidRPr="00071D04">
        <w:rPr>
          <w:rFonts w:ascii="Times New Roman" w:hAnsi="Times New Roman"/>
          <w:color w:val="000000" w:themeColor="text1"/>
          <w:sz w:val="24"/>
          <w:szCs w:val="24"/>
        </w:rPr>
        <w:t xml:space="preserve">the accuracy of estimated height obtained using the Nelson formula </w:t>
      </w:r>
      <w:r w:rsidR="00620A21" w:rsidRPr="00071D04">
        <w:rPr>
          <w:rFonts w:ascii="Times New Roman" w:hAnsi="Times New Roman"/>
          <w:color w:val="000000" w:themeColor="text1"/>
          <w:sz w:val="24"/>
          <w:szCs w:val="24"/>
        </w:rPr>
        <w:t>for</w:t>
      </w:r>
      <w:r w:rsidR="003D0D73" w:rsidRPr="00071D04">
        <w:rPr>
          <w:rFonts w:ascii="Times New Roman" w:hAnsi="Times New Roman"/>
          <w:color w:val="000000" w:themeColor="text1"/>
          <w:sz w:val="24"/>
          <w:szCs w:val="24"/>
        </w:rPr>
        <w:t xml:space="preserve"> the</w:t>
      </w:r>
      <w:r w:rsidR="00620A21" w:rsidRPr="00071D04">
        <w:rPr>
          <w:rFonts w:ascii="Times New Roman" w:hAnsi="Times New Roman"/>
          <w:color w:val="000000" w:themeColor="text1"/>
          <w:sz w:val="24"/>
          <w:szCs w:val="24"/>
        </w:rPr>
        <w:t xml:space="preserve"> </w:t>
      </w:r>
      <w:r w:rsidR="003D0D73" w:rsidRPr="00071D04">
        <w:rPr>
          <w:rFonts w:ascii="Times New Roman" w:hAnsi="Times New Roman"/>
          <w:color w:val="000000" w:themeColor="text1"/>
          <w:sz w:val="24"/>
          <w:szCs w:val="24"/>
        </w:rPr>
        <w:t>Nigerian child</w:t>
      </w:r>
      <w:r w:rsidR="00620A21" w:rsidRPr="00071D04">
        <w:rPr>
          <w:rFonts w:ascii="Times New Roman" w:hAnsi="Times New Roman"/>
          <w:color w:val="000000" w:themeColor="text1"/>
          <w:sz w:val="24"/>
          <w:szCs w:val="24"/>
        </w:rPr>
        <w:t xml:space="preserve"> is essential</w:t>
      </w:r>
      <w:r w:rsidRPr="00071D04">
        <w:rPr>
          <w:rFonts w:ascii="Times New Roman" w:hAnsi="Times New Roman"/>
          <w:color w:val="000000" w:themeColor="text1"/>
          <w:sz w:val="24"/>
          <w:szCs w:val="24"/>
        </w:rPr>
        <w:t>.</w:t>
      </w:r>
    </w:p>
    <w:p w14:paraId="6181F837" w14:textId="77777777" w:rsidR="00527633" w:rsidRPr="00071D04" w:rsidRDefault="00527633" w:rsidP="00C553B3">
      <w:pPr>
        <w:spacing w:after="0"/>
        <w:jc w:val="both"/>
        <w:rPr>
          <w:rFonts w:ascii="Times New Roman" w:hAnsi="Times New Roman"/>
          <w:b/>
          <w:color w:val="000000" w:themeColor="text1"/>
          <w:sz w:val="24"/>
          <w:szCs w:val="24"/>
        </w:rPr>
      </w:pPr>
    </w:p>
    <w:p w14:paraId="521C4373" w14:textId="6A7D7C6F"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3.2 </w:t>
      </w:r>
      <w:r w:rsidR="003E239B">
        <w:rPr>
          <w:rFonts w:ascii="Times New Roman" w:hAnsi="Times New Roman"/>
          <w:b/>
          <w:color w:val="000000" w:themeColor="text1"/>
          <w:sz w:val="24"/>
          <w:szCs w:val="24"/>
        </w:rPr>
        <w:t>Various Concepts of Height Definition</w:t>
      </w:r>
    </w:p>
    <w:p w14:paraId="21547B14" w14:textId="4C448B8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Human height, also called stature</w:t>
      </w:r>
      <w:r w:rsidR="00052212"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is the distance from the sole of the feet to the top of the head</w:t>
      </w:r>
      <w:r w:rsidR="00052212"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w:t>
      </w:r>
      <w:r w:rsidR="00C90F41" w:rsidRPr="00071D04">
        <w:rPr>
          <w:rFonts w:ascii="Times New Roman" w:hAnsi="Times New Roman"/>
          <w:color w:val="000000" w:themeColor="text1"/>
          <w:sz w:val="24"/>
          <w:szCs w:val="24"/>
        </w:rPr>
        <w:t xml:space="preserve">Human height </w:t>
      </w:r>
      <w:r w:rsidRPr="00071D04">
        <w:rPr>
          <w:rFonts w:ascii="Times New Roman" w:hAnsi="Times New Roman"/>
          <w:color w:val="000000" w:themeColor="text1"/>
          <w:sz w:val="24"/>
          <w:szCs w:val="24"/>
        </w:rPr>
        <w:t>is</w:t>
      </w:r>
      <w:r w:rsidR="00C90F41" w:rsidRPr="00071D04">
        <w:rPr>
          <w:rFonts w:ascii="Times New Roman" w:hAnsi="Times New Roman"/>
          <w:color w:val="000000" w:themeColor="text1"/>
          <w:sz w:val="24"/>
          <w:szCs w:val="24"/>
        </w:rPr>
        <w:t xml:space="preserve"> often</w:t>
      </w:r>
      <w:r w:rsidRPr="00071D04">
        <w:rPr>
          <w:rFonts w:ascii="Times New Roman" w:hAnsi="Times New Roman"/>
          <w:color w:val="000000" w:themeColor="text1"/>
          <w:sz w:val="24"/>
          <w:szCs w:val="24"/>
        </w:rPr>
        <w:t xml:space="preserve"> measured in centimetres when using the metric system and in inches when using the imperial system. Height is </w:t>
      </w:r>
      <w:r w:rsidR="004F314B" w:rsidRPr="00071D04">
        <w:rPr>
          <w:rFonts w:ascii="Times New Roman" w:hAnsi="Times New Roman"/>
          <w:color w:val="000000" w:themeColor="text1"/>
          <w:sz w:val="24"/>
          <w:szCs w:val="24"/>
        </w:rPr>
        <w:t xml:space="preserve">one </w:t>
      </w:r>
      <w:r w:rsidR="00C90F41" w:rsidRPr="00071D04">
        <w:rPr>
          <w:rFonts w:ascii="Times New Roman" w:hAnsi="Times New Roman"/>
          <w:color w:val="000000" w:themeColor="text1"/>
          <w:sz w:val="24"/>
          <w:szCs w:val="24"/>
        </w:rPr>
        <w:t xml:space="preserve">of the </w:t>
      </w:r>
      <w:r w:rsidRPr="00071D04">
        <w:rPr>
          <w:rFonts w:ascii="Times New Roman" w:hAnsi="Times New Roman"/>
          <w:color w:val="000000" w:themeColor="text1"/>
          <w:sz w:val="24"/>
          <w:szCs w:val="24"/>
        </w:rPr>
        <w:t xml:space="preserve">major </w:t>
      </w:r>
      <w:r w:rsidR="004F314B" w:rsidRPr="00071D04">
        <w:rPr>
          <w:rFonts w:ascii="Times New Roman" w:hAnsi="Times New Roman"/>
          <w:color w:val="000000" w:themeColor="text1"/>
          <w:sz w:val="24"/>
          <w:szCs w:val="24"/>
        </w:rPr>
        <w:t xml:space="preserve">components </w:t>
      </w:r>
      <w:r w:rsidRPr="00071D04">
        <w:rPr>
          <w:rFonts w:ascii="Times New Roman" w:hAnsi="Times New Roman"/>
          <w:color w:val="000000" w:themeColor="text1"/>
          <w:sz w:val="24"/>
          <w:szCs w:val="24"/>
        </w:rPr>
        <w:t xml:space="preserve">of </w:t>
      </w:r>
      <w:r w:rsidR="004F314B" w:rsidRPr="00071D04">
        <w:rPr>
          <w:rFonts w:ascii="Times New Roman" w:hAnsi="Times New Roman"/>
          <w:color w:val="000000" w:themeColor="text1"/>
          <w:sz w:val="24"/>
          <w:szCs w:val="24"/>
        </w:rPr>
        <w:t xml:space="preserve">many </w:t>
      </w:r>
      <w:r w:rsidR="00C90F41" w:rsidRPr="00071D04">
        <w:rPr>
          <w:rFonts w:ascii="Times New Roman" w:hAnsi="Times New Roman"/>
          <w:color w:val="000000" w:themeColor="text1"/>
          <w:sz w:val="24"/>
          <w:szCs w:val="24"/>
        </w:rPr>
        <w:t xml:space="preserve">nutritional </w:t>
      </w:r>
      <w:r w:rsidRPr="00071D04">
        <w:rPr>
          <w:rFonts w:ascii="Times New Roman" w:hAnsi="Times New Roman"/>
          <w:color w:val="000000" w:themeColor="text1"/>
          <w:sz w:val="24"/>
          <w:szCs w:val="24"/>
        </w:rPr>
        <w:t xml:space="preserve">indices in children. </w:t>
      </w:r>
      <w:r w:rsidR="004F314B" w:rsidRPr="00071D04">
        <w:rPr>
          <w:rFonts w:ascii="Times New Roman" w:hAnsi="Times New Roman"/>
          <w:color w:val="000000" w:themeColor="text1"/>
          <w:sz w:val="24"/>
          <w:szCs w:val="24"/>
        </w:rPr>
        <w:t>It is frequently used with reference to age</w:t>
      </w:r>
      <w:r w:rsidR="00002885" w:rsidRPr="00071D04">
        <w:rPr>
          <w:rFonts w:ascii="Times New Roman" w:hAnsi="Times New Roman"/>
          <w:color w:val="000000" w:themeColor="text1"/>
          <w:sz w:val="24"/>
          <w:szCs w:val="24"/>
        </w:rPr>
        <w:t xml:space="preserve"> and weight as measure of growth and nutritional status such as </w:t>
      </w:r>
      <w:r w:rsidRPr="00071D04">
        <w:rPr>
          <w:rFonts w:ascii="Times New Roman" w:hAnsi="Times New Roman"/>
          <w:color w:val="000000" w:themeColor="text1"/>
          <w:sz w:val="24"/>
          <w:szCs w:val="24"/>
        </w:rPr>
        <w:t>weight</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for</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height </w:t>
      </w:r>
      <w:r w:rsidR="00002885" w:rsidRPr="00071D04">
        <w:rPr>
          <w:rFonts w:ascii="Times New Roman" w:hAnsi="Times New Roman"/>
          <w:color w:val="000000" w:themeColor="text1"/>
          <w:sz w:val="24"/>
          <w:szCs w:val="24"/>
        </w:rPr>
        <w:t xml:space="preserve">and </w:t>
      </w:r>
      <w:r w:rsidRPr="00071D04">
        <w:rPr>
          <w:rFonts w:ascii="Times New Roman" w:hAnsi="Times New Roman"/>
          <w:color w:val="000000" w:themeColor="text1"/>
          <w:sz w:val="24"/>
          <w:szCs w:val="24"/>
        </w:rPr>
        <w:t>height</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for</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age</w:t>
      </w:r>
      <w:r w:rsidR="00002885" w:rsidRPr="00071D04">
        <w:rPr>
          <w:rFonts w:ascii="Times New Roman" w:hAnsi="Times New Roman"/>
          <w:color w:val="000000" w:themeColor="text1"/>
          <w:sz w:val="24"/>
          <w:szCs w:val="24"/>
        </w:rPr>
        <w:t>. Height is also required in the determination of body surface area</w:t>
      </w:r>
      <w:r w:rsidRPr="00071D04">
        <w:rPr>
          <w:rFonts w:ascii="Times New Roman" w:hAnsi="Times New Roman"/>
          <w:color w:val="000000" w:themeColor="text1"/>
          <w:sz w:val="24"/>
          <w:szCs w:val="24"/>
        </w:rPr>
        <w:t xml:space="preserve">. </w:t>
      </w:r>
      <w:r w:rsidR="00127604" w:rsidRPr="00071D04">
        <w:rPr>
          <w:rFonts w:ascii="Times New Roman" w:hAnsi="Times New Roman"/>
          <w:color w:val="000000" w:themeColor="text1"/>
          <w:sz w:val="24"/>
          <w:szCs w:val="24"/>
        </w:rPr>
        <w:t>Studies which focussed on only height measurement are relatively scarce in published literature, most reports commonly indicate measure of height as either height-for-age (</w:t>
      </w:r>
      <w:r w:rsidR="0094198E" w:rsidRPr="00071D04">
        <w:rPr>
          <w:rFonts w:ascii="Times New Roman" w:hAnsi="Times New Roman"/>
          <w:color w:val="000000" w:themeColor="text1"/>
          <w:sz w:val="24"/>
          <w:szCs w:val="24"/>
        </w:rPr>
        <w:t xml:space="preserve">to assess </w:t>
      </w:r>
      <w:r w:rsidR="00127604" w:rsidRPr="00071D04">
        <w:rPr>
          <w:rFonts w:ascii="Times New Roman" w:hAnsi="Times New Roman"/>
          <w:color w:val="000000" w:themeColor="text1"/>
          <w:sz w:val="24"/>
          <w:szCs w:val="24"/>
        </w:rPr>
        <w:t>stunting) or weight-for-height (</w:t>
      </w:r>
      <w:r w:rsidR="0094198E" w:rsidRPr="00071D04">
        <w:rPr>
          <w:rFonts w:ascii="Times New Roman" w:hAnsi="Times New Roman"/>
          <w:color w:val="000000" w:themeColor="text1"/>
          <w:sz w:val="24"/>
          <w:szCs w:val="24"/>
        </w:rPr>
        <w:t xml:space="preserve">to assess </w:t>
      </w:r>
      <w:r w:rsidR="00127604" w:rsidRPr="00071D04">
        <w:rPr>
          <w:rFonts w:ascii="Times New Roman" w:hAnsi="Times New Roman"/>
          <w:color w:val="000000" w:themeColor="text1"/>
          <w:sz w:val="24"/>
          <w:szCs w:val="24"/>
        </w:rPr>
        <w:t>wasting).</w:t>
      </w:r>
    </w:p>
    <w:p w14:paraId="63C3FC72" w14:textId="77777777" w:rsidR="003E239B" w:rsidRPr="00A34816" w:rsidRDefault="00002885" w:rsidP="00C553B3">
      <w:pPr>
        <w:autoSpaceDE w:val="0"/>
        <w:autoSpaceDN w:val="0"/>
        <w:adjustRightInd w:val="0"/>
        <w:jc w:val="both"/>
        <w:rPr>
          <w:rFonts w:ascii="Times New Roman" w:hAnsi="Times New Roman"/>
          <w:i/>
          <w:iCs/>
          <w:color w:val="000000" w:themeColor="text1"/>
          <w:sz w:val="24"/>
          <w:szCs w:val="24"/>
        </w:rPr>
      </w:pPr>
      <w:bookmarkStart w:id="0" w:name="_Hlk533347663"/>
      <w:r w:rsidRPr="00A34816">
        <w:rPr>
          <w:rFonts w:ascii="Times New Roman" w:hAnsi="Times New Roman"/>
          <w:b/>
          <w:bCs/>
          <w:i/>
          <w:iCs/>
          <w:color w:val="000000" w:themeColor="text1"/>
          <w:sz w:val="24"/>
          <w:szCs w:val="24"/>
        </w:rPr>
        <w:t>Weight-for-height</w:t>
      </w:r>
      <w:r w:rsidRPr="00A34816">
        <w:rPr>
          <w:rFonts w:ascii="Times New Roman" w:hAnsi="Times New Roman"/>
          <w:i/>
          <w:iCs/>
          <w:color w:val="000000" w:themeColor="text1"/>
          <w:sz w:val="24"/>
          <w:szCs w:val="24"/>
        </w:rPr>
        <w:t xml:space="preserve"> </w:t>
      </w:r>
    </w:p>
    <w:p w14:paraId="4102821C" w14:textId="15FD8699" w:rsidR="00527633" w:rsidRPr="00071D04" w:rsidRDefault="003E239B"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Defined </w:t>
      </w:r>
      <w:r w:rsidR="00527633" w:rsidRPr="00071D04">
        <w:rPr>
          <w:rFonts w:ascii="Times New Roman" w:hAnsi="Times New Roman"/>
          <w:color w:val="000000" w:themeColor="text1"/>
          <w:sz w:val="24"/>
          <w:szCs w:val="24"/>
        </w:rPr>
        <w:t>as the percentage of the weight of a child of the same height with a normal weight.</w:t>
      </w:r>
      <w:r w:rsidR="00002885"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&lt;EndNote&gt;&lt;Cite&gt;&lt;Author&gt;de Onis&lt;/Author&gt;&lt;Year&gt;1996&lt;/Year&gt;&lt;RecNum&gt;23&lt;/RecNum&gt;&lt;DisplayText&gt;&lt;style face="superscript"&gt;24&lt;/style&gt;&lt;/DisplayText&gt;&lt;record&gt;&lt;rec-number&gt;23&lt;/rec-number&gt;&lt;foreign-keys&gt;&lt;key app="EN" db-id="artfe59rd92tx0eswfsvxr0ysr52aadvw92v" timestamp="0"&gt;23&lt;/key&gt;&lt;/foreign-keys&gt;&lt;ref-type name="Journal Article"&gt;17&lt;/ref-type&gt;&lt;contributors&gt;&lt;authors&gt;&lt;author&gt;de Onis, Mercedes&lt;/author&gt;&lt;author&gt;Habicht, Jean-Pierre&lt;/author&gt;&lt;/authors&gt;&lt;/contributors&gt;&lt;titles&gt;&lt;title&gt;Anthropometric reference data for international use: recommendations from a World Health Organization Expert Committee&lt;/title&gt;&lt;secondary-title&gt;The American journal of clinical nutrition&lt;/secondary-title&gt;&lt;/titles&gt;&lt;pages&gt;650-658&lt;/pages&gt;&lt;volume&gt;64&lt;/volume&gt;&lt;number&gt;4&lt;/number&gt;&lt;dates&gt;&lt;year&gt;1996&lt;/year&gt;&lt;/dates&gt;&lt;isbn&gt;0002-9165&lt;/isbn&gt;&lt;urls&gt;&lt;/urls&gt;&lt;/record&gt;&lt;/Cite&gt;&lt;/EndNote&gt;</w:instrText>
      </w:r>
      <w:r w:rsidR="00002885" w:rsidRPr="00071D04">
        <w:rPr>
          <w:rFonts w:ascii="Times New Roman" w:hAnsi="Times New Roman"/>
          <w:color w:val="000000" w:themeColor="text1"/>
          <w:sz w:val="24"/>
          <w:szCs w:val="24"/>
        </w:rPr>
        <w:fldChar w:fldCharType="separate"/>
      </w:r>
      <w:r w:rsidR="00ED6943" w:rsidRPr="00071D04">
        <w:rPr>
          <w:rFonts w:ascii="Times New Roman" w:hAnsi="Times New Roman"/>
          <w:noProof/>
          <w:color w:val="000000" w:themeColor="text1"/>
          <w:sz w:val="24"/>
          <w:szCs w:val="24"/>
          <w:vertAlign w:val="superscript"/>
        </w:rPr>
        <w:t>24</w:t>
      </w:r>
      <w:r w:rsidR="00002885" w:rsidRPr="00071D04">
        <w:rPr>
          <w:rFonts w:ascii="Times New Roman" w:hAnsi="Times New Roman"/>
          <w:color w:val="000000" w:themeColor="text1"/>
          <w:sz w:val="24"/>
          <w:szCs w:val="24"/>
        </w:rPr>
        <w:fldChar w:fldCharType="end"/>
      </w:r>
      <w:r w:rsidR="00527633" w:rsidRPr="00071D04">
        <w:rPr>
          <w:rFonts w:ascii="Times New Roman" w:hAnsi="Times New Roman"/>
          <w:color w:val="000000" w:themeColor="text1"/>
          <w:sz w:val="24"/>
          <w:szCs w:val="24"/>
        </w:rPr>
        <w:t xml:space="preserve"> In other words, the weight</w:t>
      </w:r>
      <w:r w:rsidR="0000288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for</w:t>
      </w:r>
      <w:r w:rsidR="0000288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height is equal to the weight of th</w:t>
      </w:r>
      <w:r w:rsidR="00002885" w:rsidRPr="00071D04">
        <w:rPr>
          <w:rFonts w:ascii="Times New Roman" w:hAnsi="Times New Roman"/>
          <w:color w:val="000000" w:themeColor="text1"/>
          <w:sz w:val="24"/>
          <w:szCs w:val="24"/>
        </w:rPr>
        <w:t>e</w:t>
      </w:r>
      <w:r w:rsidR="00527633" w:rsidRPr="00071D04">
        <w:rPr>
          <w:rFonts w:ascii="Times New Roman" w:hAnsi="Times New Roman"/>
          <w:color w:val="000000" w:themeColor="text1"/>
          <w:sz w:val="24"/>
          <w:szCs w:val="24"/>
        </w:rPr>
        <w:t xml:space="preserve"> child divided by the expected weight of a healthy child of the same height multiplied by 100 (i.e. </w:t>
      </w:r>
      <w:r w:rsidR="00002885" w:rsidRPr="00071D04">
        <w:rPr>
          <w:rFonts w:ascii="Times New Roman" w:hAnsi="Times New Roman"/>
          <w:color w:val="000000" w:themeColor="text1"/>
          <w:sz w:val="24"/>
          <w:szCs w:val="24"/>
        </w:rPr>
        <w:t xml:space="preserve">Weight-for-height </w:t>
      </w:r>
      <w:r w:rsidR="00527633" w:rsidRPr="00071D04">
        <w:rPr>
          <w:rFonts w:ascii="Times New Roman" w:hAnsi="Times New Roman"/>
          <w:color w:val="000000" w:themeColor="text1"/>
          <w:sz w:val="24"/>
          <w:szCs w:val="24"/>
        </w:rPr>
        <w:t xml:space="preserve">= </w:t>
      </w:r>
      <w:r w:rsidR="00BC1E7E"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(weight of child in kg / expected weight for a healthy child of the same height) x 100</w:t>
      </w:r>
      <w:r w:rsidR="00BC1E7E"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w:t>
      </w:r>
      <w:r w:rsidR="00527633" w:rsidRPr="00071D04">
        <w:rPr>
          <w:rFonts w:ascii="Times New Roman" w:hAnsi="Times New Roman"/>
          <w:b/>
          <w:bCs/>
          <w:color w:val="000000" w:themeColor="text1"/>
          <w:sz w:val="24"/>
          <w:szCs w:val="24"/>
          <w:shd w:val="clear" w:color="auto" w:fill="FFFFFF"/>
        </w:rPr>
        <w:t> </w:t>
      </w:r>
      <w:r w:rsidR="00527633" w:rsidRPr="00071D04">
        <w:rPr>
          <w:rFonts w:ascii="Times New Roman" w:hAnsi="Times New Roman"/>
          <w:color w:val="000000" w:themeColor="text1"/>
          <w:sz w:val="24"/>
          <w:szCs w:val="24"/>
          <w:shd w:val="clear" w:color="auto" w:fill="FFFFFF"/>
        </w:rPr>
        <w:t xml:space="preserve">Wasting refers to low weight-for-height where a child is thin for his/her height but not necessarily short. </w:t>
      </w:r>
      <w:r w:rsidR="00002885" w:rsidRPr="00071D04">
        <w:rPr>
          <w:rFonts w:ascii="Times New Roman" w:hAnsi="Times New Roman"/>
          <w:color w:val="000000" w:themeColor="text1"/>
          <w:sz w:val="24"/>
          <w:szCs w:val="24"/>
          <w:shd w:val="clear" w:color="auto" w:fill="FFFFFF"/>
        </w:rPr>
        <w:t xml:space="preserve">Weight-for-height </w:t>
      </w:r>
      <w:r w:rsidR="00527633" w:rsidRPr="00071D04">
        <w:rPr>
          <w:rFonts w:ascii="Times New Roman" w:hAnsi="Times New Roman"/>
          <w:color w:val="000000" w:themeColor="text1"/>
          <w:sz w:val="24"/>
          <w:szCs w:val="24"/>
          <w:shd w:val="clear" w:color="auto" w:fill="FFFFFF"/>
        </w:rPr>
        <w:t>is c</w:t>
      </w:r>
      <w:r w:rsidR="00527633" w:rsidRPr="00071D04">
        <w:rPr>
          <w:rFonts w:ascii="Times New Roman" w:hAnsi="Times New Roman"/>
          <w:color w:val="000000" w:themeColor="text1"/>
          <w:sz w:val="24"/>
          <w:szCs w:val="24"/>
        </w:rPr>
        <w:t>lassified as normal if greater than 90%, mild wasting if 80-90%, moderate wasting if 70-79% and severe wasting if less than 70%.</w:t>
      </w:r>
      <w:r w:rsidR="00E449C5" w:rsidRPr="00E449C5">
        <w:rPr>
          <w:rFonts w:ascii="Times New Roman" w:hAnsi="Times New Roman"/>
          <w:color w:val="000000" w:themeColor="text1"/>
          <w:sz w:val="24"/>
          <w:szCs w:val="24"/>
          <w:vertAlign w:val="superscript"/>
        </w:rPr>
        <w:t>13</w:t>
      </w:r>
      <w:r w:rsidR="00527633" w:rsidRPr="00071D04">
        <w:rPr>
          <w:rFonts w:ascii="Times New Roman" w:hAnsi="Times New Roman"/>
          <w:color w:val="000000" w:themeColor="text1"/>
          <w:sz w:val="24"/>
          <w:szCs w:val="24"/>
        </w:rPr>
        <w:t xml:space="preserve"> According to the WHO global database</w:t>
      </w:r>
      <w:r w:rsidR="00E449C5" w:rsidRPr="00E449C5">
        <w:rPr>
          <w:rFonts w:ascii="Times New Roman" w:hAnsi="Times New Roman"/>
          <w:color w:val="000000" w:themeColor="text1"/>
          <w:sz w:val="24"/>
          <w:szCs w:val="24"/>
          <w:vertAlign w:val="superscript"/>
        </w:rPr>
        <w:t>14</w:t>
      </w:r>
      <w:r w:rsidR="00527633" w:rsidRPr="00071D04">
        <w:rPr>
          <w:rFonts w:ascii="Times New Roman" w:hAnsi="Times New Roman"/>
          <w:color w:val="000000" w:themeColor="text1"/>
          <w:sz w:val="24"/>
          <w:szCs w:val="24"/>
        </w:rPr>
        <w:t xml:space="preserve"> on child growth and malnutrition, </w:t>
      </w:r>
      <w:r w:rsidR="00527633" w:rsidRPr="00071D04">
        <w:rPr>
          <w:rFonts w:ascii="Times New Roman" w:hAnsi="Times New Roman"/>
          <w:bCs/>
          <w:color w:val="000000" w:themeColor="text1"/>
          <w:sz w:val="24"/>
          <w:szCs w:val="24"/>
          <w:lang w:val="en-US"/>
        </w:rPr>
        <w:t>low weight for height, i.e. w</w:t>
      </w:r>
      <w:r w:rsidR="00527633" w:rsidRPr="00071D04">
        <w:rPr>
          <w:rFonts w:ascii="Times New Roman" w:hAnsi="Times New Roman"/>
          <w:color w:val="000000" w:themeColor="text1"/>
          <w:sz w:val="24"/>
          <w:szCs w:val="24"/>
          <w:lang w:val="en-US"/>
        </w:rPr>
        <w:t>asting or thinness indicates in most cases a recent and severe process of weight loss, which is often associated with acute starvation and/or severe disease. Provided there is no severe food shortage, the prevalence of wasting is usually below 5%, even in poor countries.</w:t>
      </w:r>
      <w:r w:rsidR="0094198E" w:rsidRPr="00071D04">
        <w:rPr>
          <w:rFonts w:ascii="Times New Roman" w:hAnsi="Times New Roman"/>
          <w:color w:val="000000" w:themeColor="text1"/>
          <w:sz w:val="24"/>
          <w:szCs w:val="24"/>
          <w:lang w:val="en-US"/>
        </w:rPr>
        <w:t xml:space="preserve"> </w:t>
      </w:r>
    </w:p>
    <w:bookmarkEnd w:id="0"/>
    <w:p w14:paraId="3A8E99AB" w14:textId="4FEFF9AD" w:rsidR="003E239B" w:rsidRPr="00A34816" w:rsidRDefault="003E239B" w:rsidP="00C553B3">
      <w:pPr>
        <w:jc w:val="both"/>
        <w:rPr>
          <w:rFonts w:ascii="Times New Roman" w:hAnsi="Times New Roman"/>
          <w:i/>
          <w:iCs/>
          <w:color w:val="000000" w:themeColor="text1"/>
          <w:sz w:val="24"/>
          <w:szCs w:val="24"/>
        </w:rPr>
      </w:pPr>
      <w:r w:rsidRPr="00A34816">
        <w:rPr>
          <w:rFonts w:ascii="Times New Roman" w:hAnsi="Times New Roman"/>
          <w:b/>
          <w:bCs/>
          <w:i/>
          <w:iCs/>
          <w:color w:val="000000" w:themeColor="text1"/>
          <w:sz w:val="24"/>
          <w:szCs w:val="24"/>
        </w:rPr>
        <w:lastRenderedPageBreak/>
        <w:t>Height-For-Age</w:t>
      </w:r>
      <w:r w:rsidRPr="00A34816">
        <w:rPr>
          <w:rFonts w:ascii="Times New Roman" w:hAnsi="Times New Roman"/>
          <w:i/>
          <w:iCs/>
          <w:color w:val="000000" w:themeColor="text1"/>
          <w:sz w:val="24"/>
          <w:szCs w:val="24"/>
        </w:rPr>
        <w:t xml:space="preserve"> </w:t>
      </w:r>
    </w:p>
    <w:p w14:paraId="18464FD4" w14:textId="7BC7C196" w:rsidR="00AF2A55" w:rsidRPr="00071D04" w:rsidRDefault="00EA5C1C"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Defined</w:t>
      </w:r>
      <w:r w:rsidR="00527633" w:rsidRPr="00071D04">
        <w:rPr>
          <w:rFonts w:ascii="Times New Roman" w:hAnsi="Times New Roman"/>
          <w:color w:val="000000" w:themeColor="text1"/>
          <w:sz w:val="24"/>
          <w:szCs w:val="24"/>
        </w:rPr>
        <w:t>, as a percentage of the expected height of a child, for the age of that child.</w:t>
      </w:r>
      <w:r w:rsidR="006F3F65"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&lt;EndNote&gt;&lt;Cite&gt;&lt;Author&gt;de Onis&lt;/Author&gt;&lt;Year&gt;1996&lt;/Year&gt;&lt;RecNum&gt;23&lt;/RecNum&gt;&lt;DisplayText&gt;&lt;style face="superscript"&gt;24&lt;/style&gt;&lt;/DisplayText&gt;&lt;record&gt;&lt;rec-number&gt;23&lt;/rec-number&gt;&lt;foreign-keys&gt;&lt;key app="EN" db-id="artfe59rd92tx0eswfsvxr0ysr52aadvw92v" timestamp="0"&gt;23&lt;/key&gt;&lt;/foreign-keys&gt;&lt;ref-type name="Journal Article"&gt;17&lt;/ref-type&gt;&lt;contributors&gt;&lt;authors&gt;&lt;author&gt;de Onis, Mercedes&lt;/author&gt;&lt;author&gt;Habicht, Jean-Pierre&lt;/author&gt;&lt;/authors&gt;&lt;/contributors&gt;&lt;titles&gt;&lt;title&gt;Anthropometric reference data for international use: recommendations from a World Health Organization Expert Committee&lt;/title&gt;&lt;secondary-title&gt;The American journal of clinical nutrition&lt;/secondary-title&gt;&lt;/titles&gt;&lt;pages&gt;650-658&lt;/pages&gt;&lt;volume&gt;64&lt;/volume&gt;&lt;number&gt;4&lt;/number&gt;&lt;dates&gt;&lt;year&gt;1996&lt;/year&gt;&lt;/dates&gt;&lt;isbn&gt;0002-9165&lt;/isbn&gt;&lt;urls&gt;&lt;/urls&gt;&lt;/record&gt;&lt;/Cite&gt;&lt;/EndNote&gt;</w:instrText>
      </w:r>
      <w:r w:rsidR="006F3F65" w:rsidRPr="00071D04">
        <w:rPr>
          <w:rFonts w:ascii="Times New Roman" w:hAnsi="Times New Roman"/>
          <w:color w:val="000000" w:themeColor="text1"/>
          <w:sz w:val="24"/>
          <w:szCs w:val="24"/>
        </w:rPr>
        <w:fldChar w:fldCharType="separate"/>
      </w:r>
      <w:r w:rsidR="00ED6943" w:rsidRPr="00071D04">
        <w:rPr>
          <w:rFonts w:ascii="Times New Roman" w:hAnsi="Times New Roman"/>
          <w:noProof/>
          <w:color w:val="000000" w:themeColor="text1"/>
          <w:sz w:val="24"/>
          <w:szCs w:val="24"/>
          <w:vertAlign w:val="superscript"/>
        </w:rPr>
        <w:t>24</w:t>
      </w:r>
      <w:r w:rsidR="006F3F65" w:rsidRPr="00071D04">
        <w:rPr>
          <w:rFonts w:ascii="Times New Roman" w:hAnsi="Times New Roman"/>
          <w:color w:val="000000" w:themeColor="text1"/>
          <w:sz w:val="24"/>
          <w:szCs w:val="24"/>
        </w:rPr>
        <w:fldChar w:fldCharType="end"/>
      </w:r>
      <w:r w:rsidR="00527633" w:rsidRPr="00071D04">
        <w:rPr>
          <w:rFonts w:ascii="Times New Roman" w:hAnsi="Times New Roman"/>
          <w:color w:val="000000" w:themeColor="text1"/>
          <w:sz w:val="24"/>
          <w:szCs w:val="24"/>
        </w:rPr>
        <w:t xml:space="preserve"> In other words, the child could be short for his or her age but not necessarily thin. Stunted growth refers to a low height</w:t>
      </w:r>
      <w:r w:rsidR="006F3F6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for</w:t>
      </w:r>
      <w:r w:rsidR="006F3F6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 xml:space="preserve">age. </w:t>
      </w:r>
      <w:r w:rsidR="006F3F65" w:rsidRPr="00071D04">
        <w:rPr>
          <w:rFonts w:ascii="Times New Roman" w:hAnsi="Times New Roman"/>
          <w:color w:val="000000" w:themeColor="text1"/>
          <w:sz w:val="24"/>
          <w:szCs w:val="24"/>
        </w:rPr>
        <w:t xml:space="preserve">It is a measure </w:t>
      </w:r>
      <w:r w:rsidR="00527633" w:rsidRPr="00071D04">
        <w:rPr>
          <w:rFonts w:ascii="Times New Roman" w:hAnsi="Times New Roman"/>
          <w:color w:val="000000" w:themeColor="text1"/>
          <w:sz w:val="24"/>
          <w:szCs w:val="24"/>
        </w:rPr>
        <w:t xml:space="preserve">of chronic malnutrition which carries a </w:t>
      </w:r>
      <w:r w:rsidR="006F3F65" w:rsidRPr="00071D04">
        <w:rPr>
          <w:rFonts w:ascii="Times New Roman" w:hAnsi="Times New Roman"/>
          <w:color w:val="000000" w:themeColor="text1"/>
          <w:sz w:val="24"/>
          <w:szCs w:val="24"/>
        </w:rPr>
        <w:t>long-term</w:t>
      </w:r>
      <w:r w:rsidR="00527633" w:rsidRPr="00071D04">
        <w:rPr>
          <w:rFonts w:ascii="Times New Roman" w:hAnsi="Times New Roman"/>
          <w:color w:val="000000" w:themeColor="text1"/>
          <w:sz w:val="24"/>
          <w:szCs w:val="24"/>
        </w:rPr>
        <w:t xml:space="preserve"> developmental risk. </w:t>
      </w:r>
      <w:r w:rsidR="006F3F65" w:rsidRPr="00071D04">
        <w:rPr>
          <w:rFonts w:ascii="Times New Roman" w:hAnsi="Times New Roman"/>
          <w:color w:val="000000" w:themeColor="text1"/>
          <w:sz w:val="24"/>
          <w:szCs w:val="24"/>
        </w:rPr>
        <w:t xml:space="preserve">Height-for-age percentile </w:t>
      </w:r>
      <w:r w:rsidR="00527633" w:rsidRPr="00071D04">
        <w:rPr>
          <w:rFonts w:ascii="Times New Roman" w:hAnsi="Times New Roman"/>
          <w:color w:val="000000" w:themeColor="text1"/>
          <w:sz w:val="24"/>
          <w:szCs w:val="24"/>
        </w:rPr>
        <w:t>is classified as normal if greater than 95%, mild stunting if 90- 95%, moderate stunting if 85-89% and severe stunting if less than 85%</w:t>
      </w:r>
      <w:r w:rsidR="00E449C5" w:rsidRPr="00E449C5">
        <w:rPr>
          <w:rFonts w:ascii="Times New Roman" w:hAnsi="Times New Roman"/>
          <w:color w:val="000000" w:themeColor="text1"/>
          <w:sz w:val="24"/>
          <w:szCs w:val="24"/>
          <w:vertAlign w:val="superscript"/>
        </w:rPr>
        <w:t>13,14</w:t>
      </w:r>
      <w:r w:rsidR="00527633" w:rsidRPr="00071D04">
        <w:rPr>
          <w:rFonts w:ascii="Times New Roman" w:hAnsi="Times New Roman"/>
          <w:color w:val="000000" w:themeColor="text1"/>
          <w:sz w:val="24"/>
          <w:szCs w:val="24"/>
        </w:rPr>
        <w:t xml:space="preserve"> From the WHO database for child growth and malnutrition, it is stated that, stunted growth reflects a process of failure to reach linear growth potential as a result of suboptimal health and/or nutritional conditions.</w:t>
      </w:r>
      <w:r w:rsidR="00E449C5" w:rsidRPr="00E449C5">
        <w:rPr>
          <w:rFonts w:ascii="Times New Roman" w:hAnsi="Times New Roman"/>
          <w:color w:val="000000" w:themeColor="text1"/>
          <w:sz w:val="24"/>
          <w:szCs w:val="24"/>
          <w:vertAlign w:val="superscript"/>
        </w:rPr>
        <w:t>14</w:t>
      </w:r>
      <w:r w:rsidR="00E449C5" w:rsidRPr="00071D04">
        <w:rPr>
          <w:rFonts w:ascii="Times New Roman" w:hAnsi="Times New Roman"/>
          <w:color w:val="000000" w:themeColor="text1"/>
          <w:sz w:val="24"/>
          <w:szCs w:val="24"/>
        </w:rPr>
        <w:t xml:space="preserve"> </w:t>
      </w:r>
    </w:p>
    <w:p w14:paraId="5C7141D2" w14:textId="5DEADAC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The </w:t>
      </w:r>
      <w:r w:rsidR="003D0D73" w:rsidRPr="00071D04">
        <w:rPr>
          <w:rFonts w:ascii="Times New Roman" w:hAnsi="Times New Roman"/>
          <w:color w:val="000000" w:themeColor="text1"/>
          <w:sz w:val="24"/>
          <w:szCs w:val="24"/>
        </w:rPr>
        <w:t xml:space="preserve">WHO database for child growth and malnutrition revealed that, the </w:t>
      </w:r>
      <w:r w:rsidRPr="00071D04">
        <w:rPr>
          <w:rFonts w:ascii="Times New Roman" w:hAnsi="Times New Roman"/>
          <w:color w:val="000000" w:themeColor="text1"/>
          <w:sz w:val="24"/>
          <w:szCs w:val="24"/>
        </w:rPr>
        <w:t>worldwide variation of the prevalence of low height for age ranges from 5% to 65% among the less developed countries.</w:t>
      </w:r>
      <w:r w:rsidR="00E449C5" w:rsidRPr="00E449C5">
        <w:rPr>
          <w:rFonts w:ascii="Times New Roman" w:hAnsi="Times New Roman"/>
          <w:color w:val="000000" w:themeColor="text1"/>
          <w:sz w:val="24"/>
          <w:szCs w:val="24"/>
          <w:vertAlign w:val="superscript"/>
        </w:rPr>
        <w:t>14</w:t>
      </w:r>
      <w:r w:rsidRPr="00071D04">
        <w:rPr>
          <w:rFonts w:ascii="Times New Roman" w:hAnsi="Times New Roman"/>
          <w:color w:val="000000" w:themeColor="text1"/>
          <w:sz w:val="24"/>
          <w:szCs w:val="24"/>
        </w:rPr>
        <w:t xml:space="preserve"> In many such settings, prevalence starts to rise at the age of about three months; the process of stunting slows down at around three years of age, after which mean heights run parallel to the reference.</w:t>
      </w:r>
      <w:r w:rsidR="00E449C5" w:rsidRPr="00E449C5">
        <w:rPr>
          <w:rFonts w:ascii="Times New Roman" w:hAnsi="Times New Roman"/>
          <w:color w:val="000000" w:themeColor="text1"/>
          <w:sz w:val="24"/>
          <w:szCs w:val="24"/>
          <w:vertAlign w:val="superscript"/>
        </w:rPr>
        <w:t>14</w:t>
      </w:r>
      <w:r w:rsidR="00E449C5"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 xml:space="preserve">Therefore, the age of the child modifies the interpretation of the findings: for children in the age group below 2-3 years, low </w:t>
      </w:r>
      <w:r w:rsidR="006F3F65" w:rsidRPr="00071D04">
        <w:rPr>
          <w:rFonts w:ascii="Times New Roman" w:hAnsi="Times New Roman"/>
          <w:color w:val="000000" w:themeColor="text1"/>
          <w:sz w:val="24"/>
          <w:szCs w:val="24"/>
        </w:rPr>
        <w:t xml:space="preserve">Height-for-age </w:t>
      </w:r>
      <w:r w:rsidRPr="00071D04">
        <w:rPr>
          <w:rFonts w:ascii="Times New Roman" w:hAnsi="Times New Roman"/>
          <w:color w:val="000000" w:themeColor="text1"/>
          <w:sz w:val="24"/>
          <w:szCs w:val="24"/>
        </w:rPr>
        <w:t>probably reflects a continuing process of “failing to grow” or “stunting”; for older children, it reflects a state of “having failed to grow” or “being stunted”.</w:t>
      </w:r>
      <w:r w:rsidR="00E449C5" w:rsidRPr="00E449C5">
        <w:rPr>
          <w:rFonts w:ascii="Times New Roman" w:hAnsi="Times New Roman"/>
          <w:color w:val="000000" w:themeColor="text1"/>
          <w:sz w:val="24"/>
          <w:szCs w:val="24"/>
          <w:vertAlign w:val="superscript"/>
        </w:rPr>
        <w:t>14</w:t>
      </w:r>
      <w:r w:rsidR="00E449C5" w:rsidRPr="00071D04">
        <w:rPr>
          <w:rFonts w:ascii="Times New Roman" w:hAnsi="Times New Roman"/>
          <w:color w:val="000000" w:themeColor="text1"/>
          <w:sz w:val="24"/>
          <w:szCs w:val="24"/>
        </w:rPr>
        <w:t xml:space="preserve"> </w:t>
      </w:r>
    </w:p>
    <w:p w14:paraId="51060CAA" w14:textId="77777777" w:rsidR="004C0493" w:rsidRPr="00071D04" w:rsidRDefault="004C0493" w:rsidP="00C553B3">
      <w:pPr>
        <w:autoSpaceDE w:val="0"/>
        <w:autoSpaceDN w:val="0"/>
        <w:adjustRightInd w:val="0"/>
        <w:spacing w:after="0"/>
        <w:jc w:val="both"/>
        <w:rPr>
          <w:rFonts w:ascii="Times New Roman" w:hAnsi="Times New Roman"/>
          <w:color w:val="000000" w:themeColor="text1"/>
          <w:sz w:val="24"/>
          <w:szCs w:val="24"/>
        </w:rPr>
      </w:pPr>
    </w:p>
    <w:p w14:paraId="7020A5C7" w14:textId="68596C24" w:rsidR="00527633" w:rsidRPr="00071D04" w:rsidRDefault="00A34816" w:rsidP="003E239B">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3.3. </w:t>
      </w:r>
      <w:r w:rsidR="005955C1" w:rsidRPr="00071D04">
        <w:rPr>
          <w:rFonts w:ascii="Times New Roman" w:hAnsi="Times New Roman"/>
          <w:b/>
          <w:color w:val="000000" w:themeColor="text1"/>
          <w:sz w:val="24"/>
          <w:szCs w:val="24"/>
        </w:rPr>
        <w:t xml:space="preserve">Factors </w:t>
      </w:r>
      <w:r w:rsidR="00EA5C1C" w:rsidRPr="00071D04">
        <w:rPr>
          <w:rFonts w:ascii="Times New Roman" w:hAnsi="Times New Roman"/>
          <w:b/>
          <w:color w:val="000000" w:themeColor="text1"/>
          <w:sz w:val="24"/>
          <w:szCs w:val="24"/>
        </w:rPr>
        <w:t xml:space="preserve">Affecting Height </w:t>
      </w:r>
      <w:r w:rsidR="00EA5C1C">
        <w:rPr>
          <w:rFonts w:ascii="Times New Roman" w:hAnsi="Times New Roman"/>
          <w:b/>
          <w:color w:val="000000" w:themeColor="text1"/>
          <w:sz w:val="24"/>
          <w:szCs w:val="24"/>
        </w:rPr>
        <w:t>of a Child</w:t>
      </w:r>
    </w:p>
    <w:p w14:paraId="2F84C332" w14:textId="79004B60"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overall height of a child is determined</w:t>
      </w:r>
      <w:r w:rsidR="0098764A" w:rsidRPr="00071D04">
        <w:rPr>
          <w:rFonts w:ascii="Times New Roman" w:hAnsi="Times New Roman"/>
          <w:color w:val="000000" w:themeColor="text1"/>
          <w:sz w:val="24"/>
          <w:szCs w:val="24"/>
        </w:rPr>
        <w:t xml:space="preserve"> largely</w:t>
      </w:r>
      <w:r w:rsidRPr="00071D04">
        <w:rPr>
          <w:rFonts w:ascii="Times New Roman" w:hAnsi="Times New Roman"/>
          <w:color w:val="000000" w:themeColor="text1"/>
          <w:sz w:val="24"/>
          <w:szCs w:val="24"/>
        </w:rPr>
        <w:t xml:space="preserve"> by </w:t>
      </w:r>
      <w:r w:rsidR="00EC06A7" w:rsidRPr="00071D04">
        <w:rPr>
          <w:rFonts w:ascii="Times New Roman" w:hAnsi="Times New Roman"/>
          <w:color w:val="000000" w:themeColor="text1"/>
          <w:sz w:val="24"/>
          <w:szCs w:val="24"/>
        </w:rPr>
        <w:t xml:space="preserve">several </w:t>
      </w:r>
      <w:r w:rsidRPr="00071D04">
        <w:rPr>
          <w:rFonts w:ascii="Times New Roman" w:hAnsi="Times New Roman"/>
          <w:color w:val="000000" w:themeColor="text1"/>
          <w:sz w:val="24"/>
          <w:szCs w:val="24"/>
        </w:rPr>
        <w:t xml:space="preserve">important factors </w:t>
      </w:r>
      <w:r w:rsidR="00EC06A7" w:rsidRPr="00071D04">
        <w:rPr>
          <w:rFonts w:ascii="Times New Roman" w:hAnsi="Times New Roman"/>
          <w:color w:val="000000" w:themeColor="text1"/>
          <w:sz w:val="24"/>
          <w:szCs w:val="24"/>
        </w:rPr>
        <w:t xml:space="preserve">including </w:t>
      </w:r>
      <w:r w:rsidR="00897763" w:rsidRPr="00071D04">
        <w:rPr>
          <w:rFonts w:ascii="Times New Roman" w:hAnsi="Times New Roman"/>
          <w:color w:val="000000" w:themeColor="text1"/>
          <w:sz w:val="24"/>
          <w:szCs w:val="24"/>
        </w:rPr>
        <w:t xml:space="preserve">inherited </w:t>
      </w:r>
      <w:r w:rsidR="00EC06A7" w:rsidRPr="00071D04">
        <w:rPr>
          <w:rFonts w:ascii="Times New Roman" w:hAnsi="Times New Roman"/>
          <w:color w:val="000000" w:themeColor="text1"/>
          <w:sz w:val="24"/>
          <w:szCs w:val="24"/>
        </w:rPr>
        <w:t>genetic make-up,</w:t>
      </w:r>
      <w:r w:rsidRPr="00071D04">
        <w:rPr>
          <w:rFonts w:ascii="Times New Roman" w:hAnsi="Times New Roman"/>
          <w:color w:val="000000" w:themeColor="text1"/>
          <w:sz w:val="24"/>
          <w:szCs w:val="24"/>
        </w:rPr>
        <w:t xml:space="preserve"> gender, environmental factors </w:t>
      </w:r>
      <w:r w:rsidR="003104E6" w:rsidRPr="00071D04">
        <w:rPr>
          <w:rFonts w:ascii="Times New Roman" w:hAnsi="Times New Roman"/>
          <w:color w:val="000000" w:themeColor="text1"/>
          <w:sz w:val="24"/>
          <w:szCs w:val="24"/>
        </w:rPr>
        <w:t xml:space="preserve">such as </w:t>
      </w:r>
      <w:r w:rsidRPr="00071D04">
        <w:rPr>
          <w:rFonts w:ascii="Times New Roman" w:hAnsi="Times New Roman"/>
          <w:color w:val="000000" w:themeColor="text1"/>
          <w:sz w:val="24"/>
          <w:szCs w:val="24"/>
        </w:rPr>
        <w:t>nutrition</w:t>
      </w:r>
      <w:r w:rsidR="003104E6" w:rsidRPr="00071D04">
        <w:rPr>
          <w:rFonts w:ascii="Times New Roman" w:hAnsi="Times New Roman"/>
          <w:color w:val="000000" w:themeColor="text1"/>
          <w:sz w:val="24"/>
          <w:szCs w:val="24"/>
        </w:rPr>
        <w:t xml:space="preserve"> of the child, </w:t>
      </w:r>
      <w:r w:rsidRPr="00071D04">
        <w:rPr>
          <w:rFonts w:ascii="Times New Roman" w:hAnsi="Times New Roman"/>
          <w:color w:val="000000" w:themeColor="text1"/>
          <w:sz w:val="24"/>
          <w:szCs w:val="24"/>
        </w:rPr>
        <w:t>soci</w:t>
      </w:r>
      <w:r w:rsidR="003104E6" w:rsidRPr="00071D04">
        <w:rPr>
          <w:rFonts w:ascii="Times New Roman" w:hAnsi="Times New Roman"/>
          <w:color w:val="000000" w:themeColor="text1"/>
          <w:sz w:val="24"/>
          <w:szCs w:val="24"/>
        </w:rPr>
        <w:t xml:space="preserve">al and </w:t>
      </w:r>
      <w:r w:rsidRPr="00071D04">
        <w:rPr>
          <w:rFonts w:ascii="Times New Roman" w:hAnsi="Times New Roman"/>
          <w:color w:val="000000" w:themeColor="text1"/>
          <w:sz w:val="24"/>
          <w:szCs w:val="24"/>
        </w:rPr>
        <w:t>economic status of the parents</w:t>
      </w:r>
      <w:r w:rsidR="003104E6" w:rsidRPr="00071D04">
        <w:rPr>
          <w:rFonts w:ascii="Times New Roman" w:hAnsi="Times New Roman"/>
          <w:color w:val="000000" w:themeColor="text1"/>
          <w:sz w:val="24"/>
          <w:szCs w:val="24"/>
        </w:rPr>
        <w:t xml:space="preserve">, </w:t>
      </w:r>
      <w:r w:rsidR="003F58B9" w:rsidRPr="00071D04">
        <w:rPr>
          <w:rFonts w:ascii="Times New Roman" w:eastAsia="Times New Roman" w:hAnsi="Times New Roman"/>
          <w:color w:val="000000" w:themeColor="text1"/>
          <w:sz w:val="24"/>
          <w:szCs w:val="24"/>
        </w:rPr>
        <w:t>psychosocial stress</w:t>
      </w:r>
      <w:r w:rsidR="003F58B9" w:rsidRPr="00071D04">
        <w:rPr>
          <w:rFonts w:ascii="Times New Roman" w:hAnsi="Times New Roman"/>
          <w:color w:val="000000" w:themeColor="text1"/>
          <w:sz w:val="24"/>
          <w:szCs w:val="24"/>
        </w:rPr>
        <w:t xml:space="preserve"> </w:t>
      </w:r>
      <w:r w:rsidR="003104E6" w:rsidRPr="00071D04">
        <w:rPr>
          <w:rFonts w:ascii="Times New Roman" w:hAnsi="Times New Roman"/>
          <w:color w:val="000000" w:themeColor="text1"/>
          <w:sz w:val="24"/>
          <w:szCs w:val="24"/>
        </w:rPr>
        <w:t xml:space="preserve">and </w:t>
      </w:r>
      <w:r w:rsidRPr="00071D04">
        <w:rPr>
          <w:rFonts w:ascii="Times New Roman" w:hAnsi="Times New Roman"/>
          <w:color w:val="000000" w:themeColor="text1"/>
          <w:sz w:val="24"/>
          <w:szCs w:val="24"/>
        </w:rPr>
        <w:t>illnesses</w:t>
      </w:r>
      <w:r w:rsidR="003104E6" w:rsidRPr="00071D04">
        <w:rPr>
          <w:rFonts w:ascii="Times New Roman" w:eastAsia="Times New Roman" w:hAnsi="Times New Roman"/>
          <w:color w:val="000000" w:themeColor="text1"/>
          <w:sz w:val="24"/>
          <w:szCs w:val="24"/>
        </w:rPr>
        <w:t>.</w:t>
      </w:r>
      <w:r w:rsidR="00E449C5" w:rsidRPr="00E449C5">
        <w:rPr>
          <w:rFonts w:ascii="Times New Roman" w:eastAsia="Times New Roman" w:hAnsi="Times New Roman"/>
          <w:color w:val="000000" w:themeColor="text1"/>
          <w:sz w:val="24"/>
          <w:szCs w:val="24"/>
          <w:vertAlign w:val="superscript"/>
        </w:rPr>
        <w:t>15</w:t>
      </w:r>
      <w:r w:rsidRPr="00071D04">
        <w:rPr>
          <w:rFonts w:ascii="Times New Roman" w:hAnsi="Times New Roman"/>
          <w:color w:val="000000" w:themeColor="text1"/>
          <w:sz w:val="24"/>
          <w:szCs w:val="24"/>
        </w:rPr>
        <w:t xml:space="preserve"> </w:t>
      </w:r>
      <w:r w:rsidR="00A21A46" w:rsidRPr="00071D04">
        <w:rPr>
          <w:rFonts w:ascii="Times New Roman" w:hAnsi="Times New Roman"/>
          <w:color w:val="000000" w:themeColor="text1"/>
          <w:sz w:val="24"/>
          <w:szCs w:val="24"/>
        </w:rPr>
        <w:t>In these entire</w:t>
      </w:r>
      <w:r w:rsidR="00BD34B3" w:rsidRPr="00071D04">
        <w:rPr>
          <w:rFonts w:ascii="Times New Roman" w:hAnsi="Times New Roman"/>
          <w:color w:val="000000" w:themeColor="text1"/>
          <w:sz w:val="24"/>
          <w:szCs w:val="24"/>
        </w:rPr>
        <w:t xml:space="preserve"> factors </w:t>
      </w:r>
      <w:r w:rsidRPr="00071D04">
        <w:rPr>
          <w:rFonts w:ascii="Times New Roman" w:eastAsia="Times New Roman" w:hAnsi="Times New Roman"/>
          <w:color w:val="000000" w:themeColor="text1"/>
          <w:sz w:val="24"/>
          <w:szCs w:val="24"/>
        </w:rPr>
        <w:t xml:space="preserve">genetic predisposition </w:t>
      </w:r>
      <w:r w:rsidR="003F58B9" w:rsidRPr="00071D04">
        <w:rPr>
          <w:rFonts w:ascii="Times New Roman" w:eastAsia="Times New Roman" w:hAnsi="Times New Roman"/>
          <w:color w:val="000000" w:themeColor="text1"/>
          <w:sz w:val="24"/>
          <w:szCs w:val="24"/>
        </w:rPr>
        <w:t>plays</w:t>
      </w:r>
      <w:r w:rsidRPr="00071D04">
        <w:rPr>
          <w:rFonts w:ascii="Times New Roman" w:eastAsia="Times New Roman" w:hAnsi="Times New Roman"/>
          <w:color w:val="000000" w:themeColor="text1"/>
          <w:sz w:val="24"/>
          <w:szCs w:val="24"/>
        </w:rPr>
        <w:t xml:space="preserve"> a major </w:t>
      </w:r>
      <w:r w:rsidR="003F58B9" w:rsidRPr="00071D04">
        <w:rPr>
          <w:rFonts w:ascii="Times New Roman" w:eastAsia="Times New Roman" w:hAnsi="Times New Roman"/>
          <w:color w:val="000000" w:themeColor="text1"/>
          <w:sz w:val="24"/>
          <w:szCs w:val="24"/>
        </w:rPr>
        <w:t>role in the eventual</w:t>
      </w:r>
      <w:r w:rsidRPr="00071D04">
        <w:rPr>
          <w:rFonts w:ascii="Times New Roman" w:eastAsia="Times New Roman" w:hAnsi="Times New Roman"/>
          <w:color w:val="000000" w:themeColor="text1"/>
          <w:sz w:val="24"/>
          <w:szCs w:val="24"/>
        </w:rPr>
        <w:t xml:space="preserve"> height</w:t>
      </w:r>
      <w:r w:rsidR="003F58B9" w:rsidRPr="00071D04">
        <w:rPr>
          <w:rFonts w:ascii="Times New Roman" w:eastAsia="Times New Roman" w:hAnsi="Times New Roman"/>
          <w:color w:val="000000" w:themeColor="text1"/>
          <w:sz w:val="24"/>
          <w:szCs w:val="24"/>
        </w:rPr>
        <w:t xml:space="preserve"> of all people. </w:t>
      </w:r>
      <w:r w:rsidRPr="00071D04">
        <w:rPr>
          <w:rFonts w:ascii="Times New Roman" w:eastAsia="Times New Roman" w:hAnsi="Times New Roman"/>
          <w:color w:val="000000" w:themeColor="text1"/>
          <w:sz w:val="24"/>
          <w:szCs w:val="24"/>
        </w:rPr>
        <w:t xml:space="preserve"> </w:t>
      </w:r>
    </w:p>
    <w:p w14:paraId="13413167" w14:textId="77777777" w:rsidR="00527633" w:rsidRPr="00EA5C1C" w:rsidRDefault="00527633" w:rsidP="00C553B3">
      <w:pPr>
        <w:spacing w:after="0"/>
        <w:jc w:val="both"/>
        <w:rPr>
          <w:rFonts w:ascii="Times New Roman" w:hAnsi="Times New Roman"/>
          <w:b/>
          <w:bCs/>
          <w:i/>
          <w:color w:val="000000" w:themeColor="text1"/>
          <w:sz w:val="24"/>
          <w:szCs w:val="24"/>
        </w:rPr>
      </w:pPr>
      <w:r w:rsidRPr="00EA5C1C">
        <w:rPr>
          <w:rFonts w:ascii="Times New Roman" w:hAnsi="Times New Roman"/>
          <w:b/>
          <w:bCs/>
          <w:i/>
          <w:color w:val="000000" w:themeColor="text1"/>
          <w:sz w:val="24"/>
          <w:szCs w:val="24"/>
        </w:rPr>
        <w:t>Effect of Genetics on Height</w:t>
      </w:r>
    </w:p>
    <w:p w14:paraId="73426E28" w14:textId="366EE24A" w:rsidR="005103C9" w:rsidRPr="00071D04" w:rsidRDefault="00483AA7" w:rsidP="00EA5C1C">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Human h</w:t>
      </w:r>
      <w:r w:rsidR="00527633" w:rsidRPr="00071D04">
        <w:rPr>
          <w:rFonts w:ascii="Times New Roman" w:hAnsi="Times New Roman"/>
          <w:color w:val="000000" w:themeColor="text1"/>
          <w:sz w:val="24"/>
          <w:szCs w:val="24"/>
        </w:rPr>
        <w:t>eight is a</w:t>
      </w:r>
      <w:r w:rsidR="00D12679" w:rsidRPr="00071D04">
        <w:rPr>
          <w:rFonts w:ascii="Times New Roman" w:hAnsi="Times New Roman"/>
          <w:color w:val="000000" w:themeColor="text1"/>
          <w:sz w:val="24"/>
          <w:szCs w:val="24"/>
        </w:rPr>
        <w:t xml:space="preserve"> highly heritable</w:t>
      </w:r>
      <w:r w:rsidR="00891DE6" w:rsidRPr="00071D04">
        <w:rPr>
          <w:rFonts w:ascii="Times New Roman" w:hAnsi="Times New Roman"/>
          <w:color w:val="000000" w:themeColor="text1"/>
          <w:sz w:val="24"/>
          <w:szCs w:val="24"/>
        </w:rPr>
        <w:t xml:space="preserve"> trait</w:t>
      </w:r>
      <w:r w:rsidRPr="00071D04">
        <w:rPr>
          <w:rFonts w:ascii="Times New Roman" w:hAnsi="Times New Roman"/>
          <w:color w:val="000000" w:themeColor="text1"/>
          <w:sz w:val="24"/>
          <w:szCs w:val="24"/>
        </w:rPr>
        <w:t>.</w:t>
      </w:r>
      <w:r w:rsidR="00EA5C1C">
        <w:rPr>
          <w:rFonts w:ascii="Times New Roman" w:hAnsi="Times New Roman"/>
          <w:color w:val="000000" w:themeColor="text1"/>
          <w:sz w:val="24"/>
          <w:szCs w:val="24"/>
        </w:rPr>
        <w:t xml:space="preserve"> </w:t>
      </w:r>
      <w:r w:rsidR="00DF5573" w:rsidRPr="00071D04">
        <w:rPr>
          <w:rFonts w:ascii="Times New Roman" w:hAnsi="Times New Roman"/>
          <w:color w:val="000000" w:themeColor="text1"/>
          <w:sz w:val="24"/>
          <w:szCs w:val="24"/>
        </w:rPr>
        <w:t xml:space="preserve">As early as 1903, </w:t>
      </w:r>
      <w:r w:rsidRPr="00071D04">
        <w:rPr>
          <w:rFonts w:ascii="Times New Roman" w:hAnsi="Times New Roman"/>
          <w:color w:val="000000" w:themeColor="text1"/>
          <w:sz w:val="24"/>
          <w:szCs w:val="24"/>
        </w:rPr>
        <w:t xml:space="preserve">Pearson and Lee presented </w:t>
      </w:r>
      <w:r w:rsidR="00DF5573" w:rsidRPr="00071D04">
        <w:rPr>
          <w:rFonts w:ascii="Times New Roman" w:hAnsi="Times New Roman"/>
          <w:color w:val="000000" w:themeColor="text1"/>
          <w:sz w:val="24"/>
          <w:szCs w:val="24"/>
        </w:rPr>
        <w:t>associations among height</w:t>
      </w:r>
      <w:r w:rsidR="003E7B03" w:rsidRPr="00071D04">
        <w:rPr>
          <w:rFonts w:ascii="Times New Roman" w:hAnsi="Times New Roman"/>
          <w:color w:val="000000" w:themeColor="text1"/>
          <w:sz w:val="24"/>
          <w:szCs w:val="24"/>
        </w:rPr>
        <w:t>s</w:t>
      </w:r>
      <w:r w:rsidR="00E9338B" w:rsidRPr="00071D04">
        <w:rPr>
          <w:rFonts w:ascii="Times New Roman" w:hAnsi="Times New Roman"/>
          <w:color w:val="000000" w:themeColor="text1"/>
          <w:sz w:val="24"/>
          <w:szCs w:val="24"/>
        </w:rPr>
        <w:t xml:space="preserve"> of</w:t>
      </w:r>
      <w:r w:rsidR="003E7B03" w:rsidRPr="00071D04">
        <w:rPr>
          <w:rFonts w:ascii="Times New Roman" w:hAnsi="Times New Roman"/>
          <w:color w:val="000000" w:themeColor="text1"/>
          <w:sz w:val="24"/>
          <w:szCs w:val="24"/>
        </w:rPr>
        <w:t xml:space="preserve"> members of families</w:t>
      </w:r>
      <w:r w:rsidRPr="00071D04">
        <w:rPr>
          <w:rFonts w:ascii="Times New Roman" w:hAnsi="Times New Roman"/>
          <w:color w:val="000000" w:themeColor="text1"/>
          <w:sz w:val="24"/>
          <w:szCs w:val="24"/>
        </w:rPr>
        <w:t>,</w:t>
      </w:r>
      <w:r w:rsidR="003E7B03" w:rsidRPr="00071D04">
        <w:rPr>
          <w:rFonts w:ascii="Times New Roman" w:hAnsi="Times New Roman"/>
          <w:color w:val="000000" w:themeColor="text1"/>
          <w:sz w:val="24"/>
          <w:szCs w:val="24"/>
        </w:rPr>
        <w:t xml:space="preserve"> giving these as</w:t>
      </w:r>
      <w:r w:rsidRPr="00071D04">
        <w:rPr>
          <w:rFonts w:ascii="Times New Roman" w:hAnsi="Times New Roman"/>
          <w:color w:val="000000" w:themeColor="text1"/>
          <w:sz w:val="24"/>
          <w:szCs w:val="24"/>
        </w:rPr>
        <w:t xml:space="preserve"> evidence for the </w:t>
      </w:r>
      <w:r w:rsidR="003E7B03" w:rsidRPr="00071D04">
        <w:rPr>
          <w:rFonts w:ascii="Times New Roman" w:hAnsi="Times New Roman"/>
          <w:color w:val="000000" w:themeColor="text1"/>
          <w:sz w:val="24"/>
          <w:szCs w:val="24"/>
        </w:rPr>
        <w:t>heritability</w:t>
      </w:r>
      <w:r w:rsidRPr="00071D04">
        <w:rPr>
          <w:rFonts w:ascii="Times New Roman" w:hAnsi="Times New Roman"/>
          <w:color w:val="000000" w:themeColor="text1"/>
          <w:sz w:val="24"/>
          <w:szCs w:val="24"/>
        </w:rPr>
        <w:t xml:space="preserve"> of height.</w:t>
      </w:r>
      <w:r w:rsidR="00E449C5" w:rsidRPr="00E449C5">
        <w:rPr>
          <w:rFonts w:ascii="Times New Roman" w:hAnsi="Times New Roman"/>
          <w:color w:val="000000" w:themeColor="text1"/>
          <w:sz w:val="24"/>
          <w:szCs w:val="24"/>
          <w:vertAlign w:val="superscript"/>
        </w:rPr>
        <w:t>16</w:t>
      </w:r>
      <w:r w:rsidRPr="00071D04">
        <w:rPr>
          <w:rFonts w:ascii="Times New Roman" w:hAnsi="Times New Roman"/>
          <w:color w:val="000000" w:themeColor="text1"/>
          <w:sz w:val="24"/>
          <w:szCs w:val="24"/>
        </w:rPr>
        <w:t xml:space="preserve"> </w:t>
      </w:r>
      <w:r w:rsidR="003E7B03" w:rsidRPr="00071D04">
        <w:rPr>
          <w:rFonts w:ascii="Times New Roman" w:hAnsi="Times New Roman"/>
          <w:color w:val="000000" w:themeColor="text1"/>
          <w:sz w:val="24"/>
          <w:szCs w:val="24"/>
        </w:rPr>
        <w:t>Since, then there have been large-scale studies focusing on the height variability between twins and members of large families consistently demonstrated that human height is heritable.</w:t>
      </w:r>
      <w:r w:rsidR="00E449C5" w:rsidRPr="00E449C5">
        <w:rPr>
          <w:rFonts w:ascii="Times New Roman" w:hAnsi="Times New Roman"/>
          <w:color w:val="000000" w:themeColor="text1"/>
          <w:sz w:val="24"/>
          <w:szCs w:val="24"/>
          <w:vertAlign w:val="superscript"/>
        </w:rPr>
        <w:t>1</w:t>
      </w:r>
      <w:r w:rsidR="00E449C5">
        <w:rPr>
          <w:rFonts w:ascii="Times New Roman" w:hAnsi="Times New Roman"/>
          <w:color w:val="000000" w:themeColor="text1"/>
          <w:sz w:val="24"/>
          <w:szCs w:val="24"/>
          <w:vertAlign w:val="superscript"/>
        </w:rPr>
        <w:t>7,18</w:t>
      </w:r>
      <w:r w:rsidR="003E7B03" w:rsidRPr="00071D04">
        <w:rPr>
          <w:rFonts w:ascii="Times New Roman" w:hAnsi="Times New Roman"/>
          <w:color w:val="000000" w:themeColor="text1"/>
          <w:sz w:val="24"/>
          <w:szCs w:val="24"/>
        </w:rPr>
        <w:t xml:space="preserve"> </w:t>
      </w:r>
      <w:r w:rsidR="00653B60" w:rsidRPr="00071D04">
        <w:rPr>
          <w:rFonts w:ascii="Times New Roman" w:hAnsi="Times New Roman"/>
          <w:color w:val="000000" w:themeColor="text1"/>
          <w:sz w:val="24"/>
          <w:szCs w:val="24"/>
        </w:rPr>
        <w:t>These twin studies have consistently shown that the heritability of height is 0.2 to 0.5 in infancy (being the lowest)</w:t>
      </w:r>
      <w:r w:rsidR="00E449C5">
        <w:rPr>
          <w:rFonts w:ascii="Times New Roman" w:hAnsi="Times New Roman"/>
          <w:color w:val="000000" w:themeColor="text1"/>
          <w:sz w:val="24"/>
          <w:szCs w:val="24"/>
        </w:rPr>
        <w:t>,</w:t>
      </w:r>
      <w:r w:rsidR="00653B60" w:rsidRPr="00071D04">
        <w:rPr>
          <w:rFonts w:ascii="Times New Roman" w:hAnsi="Times New Roman"/>
          <w:color w:val="000000" w:themeColor="text1"/>
          <w:sz w:val="24"/>
          <w:szCs w:val="24"/>
        </w:rPr>
        <w:t xml:space="preserve"> and it rapidly increases in childhood with widely varying values</w:t>
      </w:r>
      <w:r w:rsidR="00E449C5">
        <w:rPr>
          <w:rFonts w:ascii="Times New Roman" w:hAnsi="Times New Roman"/>
          <w:color w:val="000000" w:themeColor="text1"/>
          <w:sz w:val="24"/>
          <w:szCs w:val="24"/>
        </w:rPr>
        <w:t>.</w:t>
      </w:r>
      <w:r w:rsidR="00E449C5" w:rsidRPr="00E449C5">
        <w:rPr>
          <w:rFonts w:ascii="Times New Roman" w:hAnsi="Times New Roman"/>
          <w:color w:val="000000" w:themeColor="text1"/>
          <w:sz w:val="24"/>
          <w:szCs w:val="24"/>
          <w:vertAlign w:val="superscript"/>
        </w:rPr>
        <w:t>18</w:t>
      </w:r>
      <w:r w:rsidR="00653B60" w:rsidRPr="00071D04">
        <w:rPr>
          <w:rFonts w:ascii="Times New Roman" w:hAnsi="Times New Roman"/>
          <w:color w:val="000000" w:themeColor="text1"/>
          <w:sz w:val="24"/>
          <w:szCs w:val="24"/>
        </w:rPr>
        <w:t xml:space="preserve"> Thereafter, the heritability of height reaches ranges from 0.70 to 0.90 in adolescence and adulthood.</w:t>
      </w:r>
      <w:r w:rsidR="00E449C5" w:rsidRPr="00071D04">
        <w:rPr>
          <w:rFonts w:ascii="Times New Roman" w:hAnsi="Times New Roman"/>
          <w:color w:val="000000" w:themeColor="text1"/>
          <w:sz w:val="24"/>
          <w:szCs w:val="24"/>
        </w:rPr>
        <w:t xml:space="preserve"> </w:t>
      </w:r>
      <w:r w:rsidR="00653B60" w:rsidRPr="00071D04">
        <w:rPr>
          <w:rFonts w:ascii="Times New Roman" w:hAnsi="Times New Roman"/>
          <w:color w:val="000000" w:themeColor="text1"/>
          <w:sz w:val="24"/>
          <w:szCs w:val="24"/>
        </w:rPr>
        <w:t>However, it is unclear from the twin studies whether environmental factors common to co-twins, which could have remarkably influenced growth in infancy and early childhood, continue in adolescence</w:t>
      </w:r>
      <w:r w:rsidR="009B65E8" w:rsidRPr="00071D04">
        <w:rPr>
          <w:rFonts w:ascii="Times New Roman" w:hAnsi="Times New Roman"/>
          <w:color w:val="000000" w:themeColor="text1"/>
          <w:sz w:val="24"/>
          <w:szCs w:val="24"/>
        </w:rPr>
        <w:t>.</w:t>
      </w:r>
      <w:r w:rsidR="00E449C5" w:rsidRPr="00071D04">
        <w:rPr>
          <w:rFonts w:ascii="Times New Roman" w:hAnsi="Times New Roman"/>
          <w:color w:val="000000" w:themeColor="text1"/>
          <w:sz w:val="24"/>
          <w:szCs w:val="24"/>
        </w:rPr>
        <w:t xml:space="preserve"> </w:t>
      </w:r>
    </w:p>
    <w:p w14:paraId="173FF508" w14:textId="77777777" w:rsidR="00527633" w:rsidRPr="00EA5C1C" w:rsidRDefault="00412365" w:rsidP="00C553B3">
      <w:pPr>
        <w:autoSpaceDE w:val="0"/>
        <w:autoSpaceDN w:val="0"/>
        <w:adjustRightInd w:val="0"/>
        <w:spacing w:after="0"/>
        <w:jc w:val="both"/>
        <w:rPr>
          <w:rFonts w:ascii="Times New Roman" w:hAnsi="Times New Roman"/>
          <w:b/>
          <w:bCs/>
          <w:i/>
          <w:color w:val="000000" w:themeColor="text1"/>
          <w:sz w:val="24"/>
          <w:szCs w:val="24"/>
        </w:rPr>
      </w:pPr>
      <w:r w:rsidRPr="00EA5C1C">
        <w:rPr>
          <w:rFonts w:ascii="Times New Roman" w:hAnsi="Times New Roman"/>
          <w:b/>
          <w:bCs/>
          <w:i/>
          <w:color w:val="000000" w:themeColor="text1"/>
          <w:sz w:val="24"/>
          <w:szCs w:val="24"/>
        </w:rPr>
        <w:t xml:space="preserve">Height and </w:t>
      </w:r>
      <w:r w:rsidR="00422D69" w:rsidRPr="00EA5C1C">
        <w:rPr>
          <w:rFonts w:ascii="Times New Roman" w:hAnsi="Times New Roman"/>
          <w:b/>
          <w:bCs/>
          <w:i/>
          <w:color w:val="000000" w:themeColor="text1"/>
          <w:sz w:val="24"/>
          <w:szCs w:val="24"/>
        </w:rPr>
        <w:t xml:space="preserve">Biological Sex </w:t>
      </w:r>
    </w:p>
    <w:p w14:paraId="0BA7E596" w14:textId="6B128E1D" w:rsidR="00F65301" w:rsidRPr="00071D04" w:rsidRDefault="00527633" w:rsidP="00C553B3">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Apart from genetics,</w:t>
      </w:r>
      <w:r w:rsidR="008057E2" w:rsidRPr="00071D04">
        <w:rPr>
          <w:rFonts w:ascii="Times New Roman" w:hAnsi="Times New Roman"/>
          <w:color w:val="000000" w:themeColor="text1"/>
          <w:sz w:val="24"/>
          <w:szCs w:val="24"/>
        </w:rPr>
        <w:t xml:space="preserve"> height is also a typical example of a sexually dimorphic feature, </w:t>
      </w:r>
      <w:r w:rsidR="009A5935" w:rsidRPr="00071D04">
        <w:rPr>
          <w:rFonts w:ascii="Times New Roman" w:hAnsi="Times New Roman"/>
          <w:color w:val="000000" w:themeColor="text1"/>
          <w:sz w:val="24"/>
          <w:szCs w:val="24"/>
        </w:rPr>
        <w:t xml:space="preserve">individual </w:t>
      </w:r>
      <w:r w:rsidR="008057E2" w:rsidRPr="00071D04">
        <w:rPr>
          <w:rFonts w:ascii="Times New Roman" w:hAnsi="Times New Roman"/>
          <w:color w:val="000000" w:themeColor="text1"/>
          <w:sz w:val="24"/>
          <w:szCs w:val="24"/>
        </w:rPr>
        <w:t>sex</w:t>
      </w:r>
      <w:r w:rsidRPr="00071D04">
        <w:rPr>
          <w:rFonts w:ascii="Times New Roman" w:hAnsi="Times New Roman"/>
          <w:color w:val="000000" w:themeColor="text1"/>
          <w:sz w:val="24"/>
          <w:szCs w:val="24"/>
        </w:rPr>
        <w:t xml:space="preserve"> is </w:t>
      </w:r>
      <w:r w:rsidR="008057E2" w:rsidRPr="00071D04">
        <w:rPr>
          <w:rFonts w:ascii="Times New Roman" w:hAnsi="Times New Roman"/>
          <w:color w:val="000000" w:themeColor="text1"/>
          <w:sz w:val="24"/>
          <w:szCs w:val="24"/>
        </w:rPr>
        <w:t xml:space="preserve">a known </w:t>
      </w:r>
      <w:r w:rsidRPr="00071D04">
        <w:rPr>
          <w:rFonts w:ascii="Times New Roman" w:hAnsi="Times New Roman"/>
          <w:color w:val="000000" w:themeColor="text1"/>
          <w:sz w:val="24"/>
          <w:szCs w:val="24"/>
        </w:rPr>
        <w:t xml:space="preserve">determinant of height in children. Boys are taller than girls, </w:t>
      </w:r>
      <w:r w:rsidRPr="00071D04">
        <w:rPr>
          <w:rFonts w:ascii="Times New Roman" w:hAnsi="Times New Roman"/>
          <w:color w:val="000000" w:themeColor="text1"/>
          <w:sz w:val="24"/>
          <w:szCs w:val="24"/>
        </w:rPr>
        <w:lastRenderedPageBreak/>
        <w:t xml:space="preserve">however during early adolescent when girls have the </w:t>
      </w:r>
      <w:r w:rsidR="00E67C88" w:rsidRPr="00071D04">
        <w:rPr>
          <w:rFonts w:ascii="Times New Roman" w:hAnsi="Times New Roman"/>
          <w:color w:val="000000" w:themeColor="text1"/>
          <w:sz w:val="24"/>
          <w:szCs w:val="24"/>
        </w:rPr>
        <w:t>early growth</w:t>
      </w:r>
      <w:r w:rsidRPr="00071D04">
        <w:rPr>
          <w:rFonts w:ascii="Times New Roman" w:hAnsi="Times New Roman"/>
          <w:color w:val="000000" w:themeColor="text1"/>
          <w:sz w:val="24"/>
          <w:szCs w:val="24"/>
        </w:rPr>
        <w:t xml:space="preserve"> spurt, the height of girls surpass that of boys, with the height of boys overtaking that of girls in late adolescent and beyond.</w:t>
      </w:r>
      <w:r w:rsidR="00A46238" w:rsidRPr="00A46238">
        <w:rPr>
          <w:rFonts w:ascii="Times New Roman" w:hAnsi="Times New Roman"/>
          <w:color w:val="000000" w:themeColor="text1"/>
          <w:sz w:val="24"/>
          <w:szCs w:val="24"/>
          <w:vertAlign w:val="superscript"/>
        </w:rPr>
        <w:t>8,19</w:t>
      </w:r>
      <w:r w:rsidR="00A46238" w:rsidRPr="00071D04">
        <w:rPr>
          <w:rFonts w:ascii="Times New Roman" w:hAnsi="Times New Roman"/>
          <w:color w:val="000000" w:themeColor="text1"/>
          <w:sz w:val="24"/>
          <w:szCs w:val="24"/>
        </w:rPr>
        <w:t xml:space="preserve"> </w:t>
      </w:r>
    </w:p>
    <w:p w14:paraId="2800A572" w14:textId="043FFF5C" w:rsidR="00E67C88" w:rsidRPr="00071D04" w:rsidRDefault="00F65301" w:rsidP="00EA5C1C">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Apart from a few studies in Asian population which suggested that </w:t>
      </w:r>
      <w:r w:rsidR="00C116F1" w:rsidRPr="00071D04">
        <w:rPr>
          <w:rFonts w:ascii="Times New Roman" w:hAnsi="Times New Roman"/>
          <w:color w:val="000000" w:themeColor="text1"/>
          <w:sz w:val="24"/>
          <w:szCs w:val="24"/>
        </w:rPr>
        <w:t xml:space="preserve">more </w:t>
      </w:r>
      <w:r w:rsidRPr="00071D04">
        <w:rPr>
          <w:rFonts w:ascii="Times New Roman" w:hAnsi="Times New Roman"/>
          <w:color w:val="000000" w:themeColor="text1"/>
          <w:sz w:val="24"/>
          <w:szCs w:val="24"/>
        </w:rPr>
        <w:t>female</w:t>
      </w:r>
      <w:r w:rsidR="00C116F1" w:rsidRPr="00071D04">
        <w:rPr>
          <w:rFonts w:ascii="Times New Roman" w:hAnsi="Times New Roman"/>
          <w:color w:val="000000" w:themeColor="text1"/>
          <w:sz w:val="24"/>
          <w:szCs w:val="24"/>
        </w:rPr>
        <w:t>s</w:t>
      </w:r>
      <w:r w:rsidRPr="00071D04">
        <w:rPr>
          <w:rFonts w:ascii="Times New Roman" w:hAnsi="Times New Roman"/>
          <w:color w:val="000000" w:themeColor="text1"/>
          <w:sz w:val="24"/>
          <w:szCs w:val="24"/>
        </w:rPr>
        <w:t xml:space="preserve"> </w:t>
      </w:r>
      <w:r w:rsidR="00C116F1" w:rsidRPr="00071D04">
        <w:rPr>
          <w:rFonts w:ascii="Times New Roman" w:hAnsi="Times New Roman"/>
          <w:color w:val="000000" w:themeColor="text1"/>
          <w:sz w:val="24"/>
          <w:szCs w:val="24"/>
        </w:rPr>
        <w:t xml:space="preserve">were </w:t>
      </w:r>
      <w:r w:rsidR="00127604" w:rsidRPr="00071D04">
        <w:rPr>
          <w:rFonts w:ascii="Times New Roman" w:hAnsi="Times New Roman"/>
          <w:color w:val="000000" w:themeColor="text1"/>
          <w:sz w:val="24"/>
          <w:szCs w:val="24"/>
        </w:rPr>
        <w:t>stunted</w:t>
      </w:r>
      <w:r w:rsidR="00C116F1" w:rsidRPr="00071D04">
        <w:rPr>
          <w:rFonts w:ascii="Times New Roman" w:hAnsi="Times New Roman"/>
          <w:color w:val="000000" w:themeColor="text1"/>
          <w:sz w:val="24"/>
          <w:szCs w:val="24"/>
        </w:rPr>
        <w:t xml:space="preserve"> than male</w:t>
      </w:r>
      <w:r w:rsidRPr="00071D04">
        <w:rPr>
          <w:rFonts w:ascii="Times New Roman" w:hAnsi="Times New Roman"/>
          <w:color w:val="000000" w:themeColor="text1"/>
          <w:sz w:val="24"/>
          <w:szCs w:val="24"/>
        </w:rPr>
        <w:t>,</w:t>
      </w:r>
      <w:r w:rsidR="00A46238" w:rsidRPr="00A46238">
        <w:rPr>
          <w:rFonts w:ascii="Times New Roman" w:hAnsi="Times New Roman"/>
          <w:color w:val="000000" w:themeColor="text1"/>
          <w:sz w:val="24"/>
          <w:szCs w:val="24"/>
          <w:vertAlign w:val="superscript"/>
        </w:rPr>
        <w:t>19</w:t>
      </w:r>
      <w:r w:rsidRPr="00071D04">
        <w:rPr>
          <w:rFonts w:ascii="Times New Roman" w:hAnsi="Times New Roman"/>
          <w:color w:val="000000" w:themeColor="text1"/>
          <w:sz w:val="24"/>
          <w:szCs w:val="24"/>
        </w:rPr>
        <w:t xml:space="preserve"> </w:t>
      </w:r>
      <w:r w:rsidR="00C116F1" w:rsidRPr="00071D04">
        <w:rPr>
          <w:rFonts w:ascii="Times New Roman" w:hAnsi="Times New Roman"/>
          <w:color w:val="000000" w:themeColor="text1"/>
          <w:sz w:val="24"/>
          <w:szCs w:val="24"/>
        </w:rPr>
        <w:t>several reports from</w:t>
      </w:r>
      <w:r w:rsidRPr="00071D04">
        <w:rPr>
          <w:rFonts w:ascii="Times New Roman" w:hAnsi="Times New Roman"/>
          <w:color w:val="000000" w:themeColor="text1"/>
          <w:sz w:val="24"/>
          <w:szCs w:val="24"/>
        </w:rPr>
        <w:t xml:space="preserve"> </w:t>
      </w:r>
      <w:r w:rsidR="00C116F1" w:rsidRPr="00071D04">
        <w:rPr>
          <w:rFonts w:ascii="Times New Roman" w:hAnsi="Times New Roman"/>
          <w:color w:val="000000" w:themeColor="text1"/>
          <w:sz w:val="24"/>
          <w:szCs w:val="24"/>
        </w:rPr>
        <w:t>developing</w:t>
      </w:r>
      <w:r w:rsidRPr="00071D04">
        <w:rPr>
          <w:rFonts w:ascii="Times New Roman" w:hAnsi="Times New Roman"/>
          <w:color w:val="000000" w:themeColor="text1"/>
          <w:sz w:val="24"/>
          <w:szCs w:val="24"/>
        </w:rPr>
        <w:t xml:space="preserve"> countries have </w:t>
      </w:r>
      <w:r w:rsidR="00C116F1" w:rsidRPr="00071D04">
        <w:rPr>
          <w:rFonts w:ascii="Times New Roman" w:hAnsi="Times New Roman"/>
          <w:color w:val="000000" w:themeColor="text1"/>
          <w:sz w:val="24"/>
          <w:szCs w:val="24"/>
        </w:rPr>
        <w:t>showed</w:t>
      </w:r>
      <w:r w:rsidRPr="00071D04">
        <w:rPr>
          <w:rFonts w:ascii="Times New Roman" w:hAnsi="Times New Roman"/>
          <w:color w:val="000000" w:themeColor="text1"/>
          <w:sz w:val="24"/>
          <w:szCs w:val="24"/>
        </w:rPr>
        <w:t xml:space="preserve"> that male children are more likely to be stunted than their female counterparts</w:t>
      </w:r>
      <w:r w:rsidR="00127604" w:rsidRPr="00071D04">
        <w:rPr>
          <w:rFonts w:ascii="Times New Roman" w:hAnsi="Times New Roman"/>
          <w:color w:val="000000" w:themeColor="text1"/>
          <w:sz w:val="24"/>
          <w:szCs w:val="24"/>
        </w:rPr>
        <w:t>.</w:t>
      </w:r>
      <w:r w:rsidR="00A46238" w:rsidRPr="00A46238">
        <w:rPr>
          <w:rFonts w:ascii="Times New Roman" w:hAnsi="Times New Roman"/>
          <w:color w:val="000000" w:themeColor="text1"/>
          <w:sz w:val="24"/>
          <w:szCs w:val="24"/>
          <w:vertAlign w:val="superscript"/>
        </w:rPr>
        <w:t>20-2</w:t>
      </w:r>
      <w:r w:rsidR="00A46238">
        <w:rPr>
          <w:rFonts w:ascii="Times New Roman" w:hAnsi="Times New Roman"/>
          <w:color w:val="000000" w:themeColor="text1"/>
          <w:sz w:val="24"/>
          <w:szCs w:val="24"/>
          <w:vertAlign w:val="superscript"/>
        </w:rPr>
        <w:t>3</w:t>
      </w:r>
      <w:r w:rsidR="00A46238">
        <w:rPr>
          <w:rFonts w:ascii="Times New Roman" w:hAnsi="Times New Roman"/>
          <w:color w:val="000000" w:themeColor="text1"/>
          <w:sz w:val="24"/>
          <w:szCs w:val="24"/>
        </w:rPr>
        <w:t xml:space="preserve"> </w:t>
      </w:r>
      <w:r w:rsidR="00B930F5" w:rsidRPr="00071D04">
        <w:rPr>
          <w:rFonts w:ascii="Times New Roman" w:hAnsi="Times New Roman"/>
          <w:color w:val="000000" w:themeColor="text1"/>
          <w:sz w:val="24"/>
          <w:szCs w:val="24"/>
        </w:rPr>
        <w:t>However, a study among Ugandan</w:t>
      </w:r>
      <w:r w:rsidR="00127604" w:rsidRPr="00071D04">
        <w:rPr>
          <w:rFonts w:ascii="Times New Roman" w:hAnsi="Times New Roman"/>
          <w:color w:val="000000" w:themeColor="text1"/>
          <w:sz w:val="24"/>
          <w:szCs w:val="24"/>
        </w:rPr>
        <w:t xml:space="preserve"> children </w:t>
      </w:r>
      <w:r w:rsidRPr="00071D04">
        <w:rPr>
          <w:rFonts w:ascii="Times New Roman" w:hAnsi="Times New Roman"/>
          <w:color w:val="000000" w:themeColor="text1"/>
          <w:sz w:val="24"/>
          <w:szCs w:val="24"/>
        </w:rPr>
        <w:t xml:space="preserve">revealed that the sex differences in </w:t>
      </w:r>
      <w:r w:rsidR="008411B8" w:rsidRPr="00071D04">
        <w:rPr>
          <w:rFonts w:ascii="Times New Roman" w:hAnsi="Times New Roman"/>
          <w:color w:val="000000" w:themeColor="text1"/>
          <w:sz w:val="24"/>
          <w:szCs w:val="24"/>
        </w:rPr>
        <w:t xml:space="preserve">prevalence of </w:t>
      </w:r>
      <w:r w:rsidRPr="00071D04">
        <w:rPr>
          <w:rFonts w:ascii="Times New Roman" w:hAnsi="Times New Roman"/>
          <w:color w:val="000000" w:themeColor="text1"/>
          <w:sz w:val="24"/>
          <w:szCs w:val="24"/>
        </w:rPr>
        <w:t xml:space="preserve">stunting did not exist among children </w:t>
      </w:r>
      <w:r w:rsidR="008411B8" w:rsidRPr="00071D04">
        <w:rPr>
          <w:rFonts w:ascii="Times New Roman" w:hAnsi="Times New Roman"/>
          <w:color w:val="000000" w:themeColor="text1"/>
          <w:sz w:val="24"/>
          <w:szCs w:val="24"/>
        </w:rPr>
        <w:t>in the high</w:t>
      </w:r>
      <w:r w:rsidRPr="00071D04">
        <w:rPr>
          <w:rFonts w:ascii="Times New Roman" w:hAnsi="Times New Roman"/>
          <w:color w:val="000000" w:themeColor="text1"/>
          <w:sz w:val="24"/>
          <w:szCs w:val="24"/>
        </w:rPr>
        <w:t xml:space="preserve"> socio-economi</w:t>
      </w:r>
      <w:r w:rsidR="008411B8" w:rsidRPr="00071D04">
        <w:rPr>
          <w:rFonts w:ascii="Times New Roman" w:hAnsi="Times New Roman"/>
          <w:color w:val="000000" w:themeColor="text1"/>
          <w:sz w:val="24"/>
          <w:szCs w:val="24"/>
        </w:rPr>
        <w:t>c class families</w:t>
      </w:r>
      <w:r w:rsidRPr="00071D04">
        <w:rPr>
          <w:rFonts w:ascii="Times New Roman" w:hAnsi="Times New Roman"/>
          <w:color w:val="000000" w:themeColor="text1"/>
          <w:sz w:val="24"/>
          <w:szCs w:val="24"/>
        </w:rPr>
        <w:t>.</w:t>
      </w:r>
      <w:r w:rsidR="00A46238" w:rsidRPr="00A46238">
        <w:rPr>
          <w:rFonts w:ascii="Times New Roman" w:hAnsi="Times New Roman"/>
          <w:color w:val="000000" w:themeColor="text1"/>
          <w:sz w:val="24"/>
          <w:szCs w:val="24"/>
          <w:vertAlign w:val="superscript"/>
        </w:rPr>
        <w:t>24</w:t>
      </w:r>
      <w:r w:rsidR="003A6554" w:rsidRPr="00071D04">
        <w:rPr>
          <w:rFonts w:ascii="Times New Roman" w:hAnsi="Times New Roman"/>
          <w:color w:val="000000" w:themeColor="text1"/>
          <w:sz w:val="24"/>
          <w:szCs w:val="24"/>
        </w:rPr>
        <w:t xml:space="preserve"> </w:t>
      </w:r>
    </w:p>
    <w:p w14:paraId="3BD7CBA6" w14:textId="77777777" w:rsidR="005955C1" w:rsidRPr="00071D04" w:rsidRDefault="005955C1" w:rsidP="00C553B3">
      <w:pPr>
        <w:autoSpaceDE w:val="0"/>
        <w:autoSpaceDN w:val="0"/>
        <w:adjustRightInd w:val="0"/>
        <w:spacing w:after="0"/>
        <w:jc w:val="both"/>
        <w:rPr>
          <w:rFonts w:ascii="Times New Roman" w:hAnsi="Times New Roman"/>
          <w:b/>
          <w:color w:val="000000" w:themeColor="text1"/>
          <w:sz w:val="24"/>
          <w:szCs w:val="24"/>
        </w:rPr>
      </w:pPr>
    </w:p>
    <w:p w14:paraId="60AC72D9" w14:textId="77777777" w:rsidR="00527633" w:rsidRPr="00EA5C1C" w:rsidRDefault="00527633" w:rsidP="00C553B3">
      <w:pPr>
        <w:autoSpaceDE w:val="0"/>
        <w:autoSpaceDN w:val="0"/>
        <w:adjustRightInd w:val="0"/>
        <w:spacing w:after="0"/>
        <w:jc w:val="both"/>
        <w:rPr>
          <w:rFonts w:ascii="Times New Roman" w:hAnsi="Times New Roman"/>
          <w:b/>
          <w:bCs/>
          <w:i/>
          <w:color w:val="000000" w:themeColor="text1"/>
          <w:sz w:val="24"/>
          <w:szCs w:val="24"/>
        </w:rPr>
      </w:pPr>
      <w:r w:rsidRPr="00EA5C1C">
        <w:rPr>
          <w:rFonts w:ascii="Times New Roman" w:hAnsi="Times New Roman"/>
          <w:b/>
          <w:bCs/>
          <w:i/>
          <w:color w:val="000000" w:themeColor="text1"/>
          <w:sz w:val="24"/>
          <w:szCs w:val="24"/>
        </w:rPr>
        <w:t>Height</w:t>
      </w:r>
      <w:r w:rsidR="00412365" w:rsidRPr="00EA5C1C">
        <w:rPr>
          <w:rFonts w:ascii="Times New Roman" w:hAnsi="Times New Roman"/>
          <w:b/>
          <w:bCs/>
          <w:i/>
          <w:color w:val="000000" w:themeColor="text1"/>
          <w:sz w:val="24"/>
          <w:szCs w:val="24"/>
        </w:rPr>
        <w:t xml:space="preserve"> and the Environment</w:t>
      </w:r>
    </w:p>
    <w:p w14:paraId="52BEDCFA" w14:textId="75F779A3" w:rsidR="00191AB6" w:rsidRPr="00071D04" w:rsidRDefault="00412365"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Beside the genetic factors, </w:t>
      </w:r>
      <w:r w:rsidR="0098764A" w:rsidRPr="00071D04">
        <w:rPr>
          <w:rFonts w:ascii="Times New Roman" w:hAnsi="Times New Roman"/>
          <w:color w:val="000000" w:themeColor="text1"/>
          <w:sz w:val="24"/>
          <w:szCs w:val="24"/>
        </w:rPr>
        <w:t>several</w:t>
      </w:r>
      <w:r w:rsidRPr="00071D04">
        <w:rPr>
          <w:rFonts w:ascii="Times New Roman" w:hAnsi="Times New Roman"/>
          <w:color w:val="000000" w:themeColor="text1"/>
          <w:sz w:val="24"/>
          <w:szCs w:val="24"/>
        </w:rPr>
        <w:t xml:space="preserve"> </w:t>
      </w:r>
      <w:r w:rsidR="00527633" w:rsidRPr="00071D04">
        <w:rPr>
          <w:rFonts w:ascii="Times New Roman" w:hAnsi="Times New Roman"/>
          <w:color w:val="000000" w:themeColor="text1"/>
          <w:sz w:val="24"/>
          <w:szCs w:val="24"/>
        </w:rPr>
        <w:t xml:space="preserve">studies have shown that the </w:t>
      </w:r>
      <w:r w:rsidRPr="00071D04">
        <w:rPr>
          <w:rFonts w:ascii="Times New Roman" w:hAnsi="Times New Roman"/>
          <w:color w:val="000000" w:themeColor="text1"/>
          <w:sz w:val="24"/>
          <w:szCs w:val="24"/>
        </w:rPr>
        <w:t xml:space="preserve">child’s </w:t>
      </w:r>
      <w:r w:rsidR="00527633" w:rsidRPr="00071D04">
        <w:rPr>
          <w:rFonts w:ascii="Times New Roman" w:hAnsi="Times New Roman"/>
          <w:color w:val="000000" w:themeColor="text1"/>
          <w:sz w:val="24"/>
          <w:szCs w:val="24"/>
        </w:rPr>
        <w:t>environment play</w:t>
      </w:r>
      <w:r w:rsidRPr="00071D04">
        <w:rPr>
          <w:rFonts w:ascii="Times New Roman" w:hAnsi="Times New Roman"/>
          <w:color w:val="000000" w:themeColor="text1"/>
          <w:sz w:val="24"/>
          <w:szCs w:val="24"/>
        </w:rPr>
        <w:t>s</w:t>
      </w:r>
      <w:r w:rsidR="00527633" w:rsidRPr="00071D04">
        <w:rPr>
          <w:rFonts w:ascii="Times New Roman" w:hAnsi="Times New Roman"/>
          <w:color w:val="000000" w:themeColor="text1"/>
          <w:sz w:val="24"/>
          <w:szCs w:val="24"/>
        </w:rPr>
        <w:t xml:space="preserve"> a major role in the actualisation or </w:t>
      </w:r>
      <w:r w:rsidRPr="00071D04">
        <w:rPr>
          <w:rFonts w:ascii="Times New Roman" w:hAnsi="Times New Roman"/>
          <w:color w:val="000000" w:themeColor="text1"/>
          <w:sz w:val="24"/>
          <w:szCs w:val="24"/>
        </w:rPr>
        <w:t>non-actualisation</w:t>
      </w:r>
      <w:r w:rsidR="00527633" w:rsidRPr="00071D04">
        <w:rPr>
          <w:rFonts w:ascii="Times New Roman" w:hAnsi="Times New Roman"/>
          <w:color w:val="000000" w:themeColor="text1"/>
          <w:sz w:val="24"/>
          <w:szCs w:val="24"/>
        </w:rPr>
        <w:t xml:space="preserve"> of </w:t>
      </w:r>
      <w:r w:rsidRPr="00071D04">
        <w:rPr>
          <w:rFonts w:ascii="Times New Roman" w:hAnsi="Times New Roman"/>
          <w:color w:val="000000" w:themeColor="text1"/>
          <w:sz w:val="24"/>
          <w:szCs w:val="24"/>
        </w:rPr>
        <w:t xml:space="preserve">optimum </w:t>
      </w:r>
      <w:r w:rsidR="00527633" w:rsidRPr="00071D04">
        <w:rPr>
          <w:rFonts w:ascii="Times New Roman" w:hAnsi="Times New Roman"/>
          <w:color w:val="000000" w:themeColor="text1"/>
          <w:sz w:val="24"/>
          <w:szCs w:val="24"/>
        </w:rPr>
        <w:t xml:space="preserve">height as </w:t>
      </w:r>
      <w:r w:rsidRPr="00071D04">
        <w:rPr>
          <w:rFonts w:ascii="Times New Roman" w:hAnsi="Times New Roman"/>
          <w:color w:val="000000" w:themeColor="text1"/>
          <w:sz w:val="24"/>
          <w:szCs w:val="24"/>
        </w:rPr>
        <w:t>projected</w:t>
      </w:r>
      <w:r w:rsidR="00527633" w:rsidRPr="00071D04">
        <w:rPr>
          <w:rFonts w:ascii="Times New Roman" w:hAnsi="Times New Roman"/>
          <w:color w:val="000000" w:themeColor="text1"/>
          <w:sz w:val="24"/>
          <w:szCs w:val="24"/>
        </w:rPr>
        <w:t xml:space="preserve"> by </w:t>
      </w:r>
      <w:r w:rsidR="004C22B8" w:rsidRPr="00071D04">
        <w:rPr>
          <w:rFonts w:ascii="Times New Roman" w:hAnsi="Times New Roman"/>
          <w:color w:val="000000" w:themeColor="text1"/>
          <w:sz w:val="24"/>
          <w:szCs w:val="24"/>
        </w:rPr>
        <w:t>the inherited trait</w:t>
      </w:r>
      <w:r w:rsidR="00527633" w:rsidRPr="00071D04">
        <w:rPr>
          <w:rFonts w:ascii="Times New Roman" w:hAnsi="Times New Roman"/>
          <w:color w:val="000000" w:themeColor="text1"/>
          <w:sz w:val="24"/>
          <w:szCs w:val="24"/>
        </w:rPr>
        <w:t xml:space="preserve">s. </w:t>
      </w:r>
      <w:r w:rsidR="004C22B8" w:rsidRPr="00071D04">
        <w:rPr>
          <w:rFonts w:ascii="Times New Roman" w:hAnsi="Times New Roman"/>
          <w:color w:val="000000" w:themeColor="text1"/>
          <w:sz w:val="24"/>
          <w:szCs w:val="24"/>
        </w:rPr>
        <w:t>I</w:t>
      </w:r>
      <w:r w:rsidR="00527633" w:rsidRPr="00071D04">
        <w:rPr>
          <w:rFonts w:ascii="Times New Roman" w:hAnsi="Times New Roman"/>
          <w:color w:val="000000" w:themeColor="text1"/>
          <w:sz w:val="24"/>
          <w:szCs w:val="24"/>
        </w:rPr>
        <w:t>n 2003</w:t>
      </w:r>
      <w:r w:rsidR="004C22B8"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 xml:space="preserve"> based on previous studies, </w:t>
      </w:r>
      <w:proofErr w:type="spellStart"/>
      <w:r w:rsidR="004C22B8" w:rsidRPr="00071D04">
        <w:rPr>
          <w:rFonts w:ascii="Times New Roman" w:hAnsi="Times New Roman"/>
          <w:color w:val="000000" w:themeColor="text1"/>
          <w:sz w:val="24"/>
          <w:szCs w:val="24"/>
        </w:rPr>
        <w:t>Silventonein</w:t>
      </w:r>
      <w:proofErr w:type="spellEnd"/>
      <w:r w:rsidR="00A46238" w:rsidRPr="00A46238">
        <w:rPr>
          <w:rFonts w:ascii="Times New Roman" w:hAnsi="Times New Roman"/>
          <w:color w:val="000000" w:themeColor="text1"/>
          <w:sz w:val="24"/>
          <w:szCs w:val="24"/>
          <w:vertAlign w:val="superscript"/>
          <w:lang w:val="en-US"/>
        </w:rPr>
        <w:t>24</w:t>
      </w:r>
      <w:r w:rsidR="00A46238">
        <w:rPr>
          <w:rFonts w:ascii="Times New Roman" w:hAnsi="Times New Roman"/>
          <w:color w:val="000000" w:themeColor="text1"/>
          <w:sz w:val="24"/>
          <w:szCs w:val="24"/>
          <w:vertAlign w:val="superscript"/>
          <w:lang w:val="en-US"/>
        </w:rPr>
        <w:t xml:space="preserve"> </w:t>
      </w:r>
      <w:r w:rsidR="00527633" w:rsidRPr="00071D04">
        <w:rPr>
          <w:rFonts w:ascii="Times New Roman" w:hAnsi="Times New Roman"/>
          <w:color w:val="000000" w:themeColor="text1"/>
          <w:sz w:val="24"/>
          <w:szCs w:val="24"/>
        </w:rPr>
        <w:t>deduced that, “</w:t>
      </w:r>
      <w:r w:rsidR="00527633" w:rsidRPr="00071D04">
        <w:rPr>
          <w:rFonts w:ascii="Times New Roman" w:hAnsi="Times New Roman"/>
          <w:color w:val="000000" w:themeColor="text1"/>
          <w:sz w:val="24"/>
          <w:szCs w:val="24"/>
          <w:lang w:val="en-US"/>
        </w:rPr>
        <w:t>about 20% of variation in body height is due to environmental variation</w:t>
      </w:r>
      <w:r w:rsidR="00191AB6" w:rsidRPr="00071D04">
        <w:rPr>
          <w:rFonts w:ascii="Times New Roman" w:hAnsi="Times New Roman"/>
          <w:color w:val="000000" w:themeColor="text1"/>
          <w:sz w:val="24"/>
          <w:szCs w:val="24"/>
          <w:lang w:val="en-US"/>
        </w:rPr>
        <w:t>”</w:t>
      </w:r>
      <w:r w:rsidR="00527633" w:rsidRPr="00071D04">
        <w:rPr>
          <w:rFonts w:ascii="Times New Roman" w:hAnsi="Times New Roman"/>
          <w:color w:val="000000" w:themeColor="text1"/>
          <w:sz w:val="24"/>
          <w:szCs w:val="24"/>
          <w:lang w:val="en-US"/>
        </w:rPr>
        <w:t>.</w:t>
      </w:r>
      <w:r w:rsidR="00C45EAD" w:rsidRPr="00071D04">
        <w:rPr>
          <w:rFonts w:ascii="Times New Roman" w:hAnsi="Times New Roman"/>
          <w:color w:val="000000" w:themeColor="text1"/>
          <w:sz w:val="24"/>
          <w:szCs w:val="24"/>
          <w:lang w:val="en-US"/>
        </w:rPr>
        <w:t xml:space="preserve"> A number of environmental factors can affect height throughout childhood, but the most sensitive phase concernin</w:t>
      </w:r>
      <w:r w:rsidR="00EC229C" w:rsidRPr="00071D04">
        <w:rPr>
          <w:rFonts w:ascii="Times New Roman" w:hAnsi="Times New Roman"/>
          <w:color w:val="000000" w:themeColor="text1"/>
          <w:sz w:val="24"/>
          <w:szCs w:val="24"/>
          <w:lang w:val="en-US"/>
        </w:rPr>
        <w:t>g external influences is infancy</w:t>
      </w:r>
      <w:r w:rsidR="00C45EAD" w:rsidRPr="00071D04">
        <w:rPr>
          <w:rFonts w:ascii="Times New Roman" w:hAnsi="Times New Roman"/>
          <w:color w:val="000000" w:themeColor="text1"/>
          <w:sz w:val="24"/>
          <w:szCs w:val="24"/>
          <w:lang w:val="en-US"/>
        </w:rPr>
        <w:t>.</w:t>
      </w:r>
      <w:r w:rsidR="00A46238" w:rsidRPr="00A46238">
        <w:rPr>
          <w:rFonts w:ascii="Times New Roman" w:hAnsi="Times New Roman"/>
          <w:color w:val="000000" w:themeColor="text1"/>
          <w:sz w:val="24"/>
          <w:szCs w:val="24"/>
          <w:vertAlign w:val="superscript"/>
          <w:lang w:val="en-US"/>
        </w:rPr>
        <w:t>25-27</w:t>
      </w:r>
      <w:r w:rsidR="00A46238" w:rsidRPr="00071D04">
        <w:rPr>
          <w:rFonts w:ascii="Times New Roman" w:hAnsi="Times New Roman"/>
          <w:color w:val="000000" w:themeColor="text1"/>
          <w:sz w:val="24"/>
          <w:szCs w:val="24"/>
          <w:lang w:val="en-US"/>
        </w:rPr>
        <w:t xml:space="preserve"> </w:t>
      </w:r>
    </w:p>
    <w:p w14:paraId="7F303D1B" w14:textId="13559A03" w:rsidR="00527633" w:rsidRDefault="00527633" w:rsidP="00C553B3">
      <w:pPr>
        <w:autoSpaceDE w:val="0"/>
        <w:autoSpaceDN w:val="0"/>
        <w:adjustRightInd w:val="0"/>
        <w:spacing w:after="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lang w:val="en-US"/>
        </w:rPr>
        <w:t>The standard of living of the environment in which a child grows has been shown to have a great impact on the height/ stature of the child. Children who grew up in the urban setting, with improved health care services, social amenities, access to safe water and, sanitation have been known to be taller than their counterpart in the rural setting.</w:t>
      </w:r>
      <w:r w:rsidR="00A46238" w:rsidRPr="00071D04">
        <w:rPr>
          <w:rFonts w:ascii="Times New Roman" w:hAnsi="Times New Roman"/>
          <w:color w:val="000000" w:themeColor="text1"/>
          <w:sz w:val="24"/>
          <w:szCs w:val="24"/>
          <w:lang w:val="en-US"/>
        </w:rPr>
        <w:t xml:space="preserve"> </w:t>
      </w:r>
      <w:r w:rsidRPr="00071D04">
        <w:rPr>
          <w:rFonts w:ascii="Times New Roman" w:hAnsi="Times New Roman"/>
          <w:color w:val="000000" w:themeColor="text1"/>
          <w:sz w:val="24"/>
          <w:szCs w:val="24"/>
          <w:lang w:val="en-US"/>
        </w:rPr>
        <w:t xml:space="preserve">Environmental factors identified to affect height include, nutrition, family’s socioeconomic factors like the parent’s education, </w:t>
      </w:r>
      <w:r w:rsidR="0098764A" w:rsidRPr="00071D04">
        <w:rPr>
          <w:rFonts w:ascii="Times New Roman" w:hAnsi="Times New Roman"/>
          <w:color w:val="000000" w:themeColor="text1"/>
          <w:sz w:val="24"/>
          <w:szCs w:val="24"/>
          <w:lang w:val="en-US"/>
        </w:rPr>
        <w:t>occupation,</w:t>
      </w:r>
      <w:r w:rsidRPr="00071D04">
        <w:rPr>
          <w:rFonts w:ascii="Times New Roman" w:hAnsi="Times New Roman"/>
          <w:color w:val="000000" w:themeColor="text1"/>
          <w:sz w:val="24"/>
          <w:szCs w:val="24"/>
          <w:lang w:val="en-US"/>
        </w:rPr>
        <w:t xml:space="preserve"> and the family’s income.</w:t>
      </w:r>
      <w:r w:rsidR="00A46238" w:rsidRPr="00A46238">
        <w:rPr>
          <w:rFonts w:ascii="Times New Roman" w:hAnsi="Times New Roman"/>
          <w:color w:val="000000" w:themeColor="text1"/>
          <w:sz w:val="24"/>
          <w:szCs w:val="24"/>
          <w:vertAlign w:val="superscript"/>
          <w:lang w:val="en-US"/>
        </w:rPr>
        <w:t>28</w:t>
      </w:r>
    </w:p>
    <w:p w14:paraId="1A9718C1" w14:textId="77777777" w:rsidR="004C6398" w:rsidRPr="00071D04" w:rsidRDefault="004C6398" w:rsidP="00C553B3">
      <w:pPr>
        <w:autoSpaceDE w:val="0"/>
        <w:autoSpaceDN w:val="0"/>
        <w:adjustRightInd w:val="0"/>
        <w:spacing w:after="0"/>
        <w:jc w:val="both"/>
        <w:rPr>
          <w:rFonts w:ascii="Times New Roman" w:hAnsi="Times New Roman"/>
          <w:b/>
          <w:bCs/>
          <w:color w:val="000000" w:themeColor="text1"/>
          <w:sz w:val="24"/>
          <w:szCs w:val="24"/>
          <w:lang w:val="en-US"/>
        </w:rPr>
      </w:pPr>
    </w:p>
    <w:p w14:paraId="78A5304A" w14:textId="77777777" w:rsidR="00527633" w:rsidRPr="004C6398" w:rsidRDefault="005916DD" w:rsidP="00C553B3">
      <w:pPr>
        <w:autoSpaceDE w:val="0"/>
        <w:autoSpaceDN w:val="0"/>
        <w:adjustRightInd w:val="0"/>
        <w:spacing w:after="0"/>
        <w:jc w:val="both"/>
        <w:rPr>
          <w:rFonts w:ascii="Times New Roman" w:hAnsi="Times New Roman"/>
          <w:b/>
          <w:bCs/>
          <w:i/>
          <w:color w:val="000000" w:themeColor="text1"/>
          <w:sz w:val="24"/>
          <w:szCs w:val="24"/>
          <w:lang w:val="en-US"/>
        </w:rPr>
      </w:pPr>
      <w:r w:rsidRPr="004C6398">
        <w:rPr>
          <w:rFonts w:ascii="Times New Roman" w:hAnsi="Times New Roman"/>
          <w:b/>
          <w:bCs/>
          <w:i/>
          <w:color w:val="000000" w:themeColor="text1"/>
          <w:sz w:val="24"/>
          <w:szCs w:val="24"/>
          <w:lang w:val="en-US"/>
        </w:rPr>
        <w:t>Height and N</w:t>
      </w:r>
      <w:r w:rsidR="00527633" w:rsidRPr="004C6398">
        <w:rPr>
          <w:rFonts w:ascii="Times New Roman" w:hAnsi="Times New Roman"/>
          <w:b/>
          <w:bCs/>
          <w:i/>
          <w:color w:val="000000" w:themeColor="text1"/>
          <w:sz w:val="24"/>
          <w:szCs w:val="24"/>
          <w:lang w:val="en-US"/>
        </w:rPr>
        <w:t xml:space="preserve">utrition </w:t>
      </w:r>
    </w:p>
    <w:p w14:paraId="00975432" w14:textId="2CBC9E96" w:rsidR="0070618E" w:rsidRPr="00071D04" w:rsidRDefault="00527633" w:rsidP="00F71BA1">
      <w:pPr>
        <w:spacing w:after="16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Nutrition plays a significant role in determining the growth/ height of children. Inadequate or inappropriate nutrition, particularly over a long period of time and in the early formative years of life affects the height of children negatively leading to stunting. Studies have shown high prevalence of stunting in the developing countries where under-nutrition is highly prevalent.</w:t>
      </w:r>
      <w:r w:rsidR="0098764A" w:rsidRPr="00A46238">
        <w:rPr>
          <w:rFonts w:ascii="Times New Roman" w:hAnsi="Times New Roman"/>
          <w:color w:val="000000" w:themeColor="text1"/>
          <w:sz w:val="24"/>
          <w:szCs w:val="24"/>
          <w:vertAlign w:val="superscript"/>
        </w:rPr>
        <w:t>28</w:t>
      </w:r>
      <w:r w:rsidR="0098764A" w:rsidRPr="00071D04">
        <w:rPr>
          <w:rFonts w:ascii="Times New Roman" w:hAnsi="Times New Roman"/>
          <w:color w:val="000000" w:themeColor="text1"/>
          <w:sz w:val="24"/>
          <w:szCs w:val="24"/>
        </w:rPr>
        <w:t xml:space="preserve"> Grasgruber</w:t>
      </w:r>
      <w:r w:rsidR="00A46238" w:rsidRPr="00A46238">
        <w:rPr>
          <w:rFonts w:ascii="Times New Roman" w:hAnsi="Times New Roman"/>
          <w:color w:val="000000" w:themeColor="text1"/>
          <w:sz w:val="24"/>
          <w:szCs w:val="24"/>
          <w:vertAlign w:val="superscript"/>
        </w:rPr>
        <w:t>29</w:t>
      </w:r>
      <w:r w:rsidR="00A46238">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 xml:space="preserve">concluded that, the most important variables determining the current differences in physical stature in Europe, were, access to superior nutrition containing high-quality animal </w:t>
      </w:r>
      <w:r w:rsidR="0098764A" w:rsidRPr="00071D04">
        <w:rPr>
          <w:rFonts w:ascii="Times New Roman" w:hAnsi="Times New Roman"/>
          <w:color w:val="000000" w:themeColor="text1"/>
          <w:sz w:val="24"/>
          <w:szCs w:val="24"/>
        </w:rPr>
        <w:t>proteins, higher</w:t>
      </w:r>
      <w:r w:rsidRPr="00071D04">
        <w:rPr>
          <w:rFonts w:ascii="Times New Roman" w:hAnsi="Times New Roman"/>
          <w:color w:val="000000" w:themeColor="text1"/>
          <w:sz w:val="24"/>
          <w:szCs w:val="24"/>
        </w:rPr>
        <w:t xml:space="preserve"> standards of living, better healthcare and lower children’s mortality.</w:t>
      </w:r>
      <w:r w:rsidR="004C6398">
        <w:rPr>
          <w:rFonts w:ascii="Times New Roman" w:hAnsi="Times New Roman"/>
          <w:color w:val="000000" w:themeColor="text1"/>
          <w:sz w:val="24"/>
          <w:szCs w:val="24"/>
        </w:rPr>
        <w:t xml:space="preserve"> </w:t>
      </w:r>
      <w:r w:rsidR="0070618E" w:rsidRPr="00071D04">
        <w:rPr>
          <w:rFonts w:ascii="Times New Roman" w:hAnsi="Times New Roman"/>
          <w:color w:val="000000" w:themeColor="text1"/>
          <w:sz w:val="24"/>
          <w:szCs w:val="24"/>
        </w:rPr>
        <w:t xml:space="preserve"> Also</w:t>
      </w:r>
      <w:r w:rsidR="00CD26CF" w:rsidRPr="00071D04">
        <w:rPr>
          <w:rFonts w:ascii="Times New Roman" w:hAnsi="Times New Roman"/>
          <w:color w:val="000000" w:themeColor="text1"/>
          <w:sz w:val="24"/>
          <w:szCs w:val="24"/>
        </w:rPr>
        <w:t>,</w:t>
      </w:r>
      <w:r w:rsidR="0070618E" w:rsidRPr="00071D04">
        <w:rPr>
          <w:rFonts w:ascii="Times New Roman" w:hAnsi="Times New Roman"/>
          <w:color w:val="000000" w:themeColor="text1"/>
          <w:sz w:val="24"/>
          <w:szCs w:val="24"/>
        </w:rPr>
        <w:t xml:space="preserve"> large scale nationwide surveys within 10 years before the study were used and it included at least 100 individuals per locality. </w:t>
      </w:r>
      <w:r w:rsidR="00350E4E" w:rsidRPr="00071D04">
        <w:rPr>
          <w:rFonts w:ascii="Times New Roman" w:hAnsi="Times New Roman"/>
          <w:color w:val="000000" w:themeColor="text1"/>
          <w:sz w:val="24"/>
          <w:szCs w:val="24"/>
        </w:rPr>
        <w:t>However</w:t>
      </w:r>
      <w:r w:rsidR="00A46238">
        <w:rPr>
          <w:rFonts w:ascii="Times New Roman" w:hAnsi="Times New Roman"/>
          <w:color w:val="000000" w:themeColor="text1"/>
          <w:sz w:val="24"/>
          <w:szCs w:val="24"/>
        </w:rPr>
        <w:t>,</w:t>
      </w:r>
      <w:r w:rsidR="00350E4E" w:rsidRPr="00071D04">
        <w:rPr>
          <w:rFonts w:ascii="Times New Roman" w:hAnsi="Times New Roman"/>
          <w:color w:val="000000" w:themeColor="text1"/>
          <w:sz w:val="24"/>
          <w:szCs w:val="24"/>
        </w:rPr>
        <w:t xml:space="preserve"> a</w:t>
      </w:r>
      <w:r w:rsidR="0070618E" w:rsidRPr="00071D04">
        <w:rPr>
          <w:rFonts w:ascii="Times New Roman" w:hAnsi="Times New Roman"/>
          <w:color w:val="000000" w:themeColor="text1"/>
          <w:sz w:val="24"/>
          <w:szCs w:val="24"/>
        </w:rPr>
        <w:t xml:space="preserve"> major demerit of the study is that the study design, being cross sectional and not cohort or experimental, could only deduce associations between the variables but coul</w:t>
      </w:r>
      <w:r w:rsidR="0060755E" w:rsidRPr="00071D04">
        <w:rPr>
          <w:rFonts w:ascii="Times New Roman" w:hAnsi="Times New Roman"/>
          <w:color w:val="000000" w:themeColor="text1"/>
          <w:sz w:val="24"/>
          <w:szCs w:val="24"/>
        </w:rPr>
        <w:t>d</w:t>
      </w:r>
      <w:r w:rsidR="0070618E" w:rsidRPr="00071D04">
        <w:rPr>
          <w:rFonts w:ascii="Times New Roman" w:hAnsi="Times New Roman"/>
          <w:color w:val="000000" w:themeColor="text1"/>
          <w:sz w:val="24"/>
          <w:szCs w:val="24"/>
        </w:rPr>
        <w:t xml:space="preserve"> not convincingly establish causality or temporality of the events.</w:t>
      </w:r>
      <w:r w:rsidR="00A46238" w:rsidRPr="00071D04">
        <w:rPr>
          <w:rFonts w:ascii="Times New Roman" w:hAnsi="Times New Roman"/>
          <w:color w:val="000000" w:themeColor="text1"/>
          <w:sz w:val="24"/>
          <w:szCs w:val="24"/>
        </w:rPr>
        <w:t xml:space="preserve"> </w:t>
      </w:r>
    </w:p>
    <w:p w14:paraId="4885BFD4" w14:textId="77777777" w:rsidR="00527633" w:rsidRPr="004C6398" w:rsidRDefault="005916DD" w:rsidP="00C553B3">
      <w:pPr>
        <w:autoSpaceDE w:val="0"/>
        <w:autoSpaceDN w:val="0"/>
        <w:adjustRightInd w:val="0"/>
        <w:spacing w:after="0"/>
        <w:jc w:val="both"/>
        <w:rPr>
          <w:rFonts w:ascii="Times New Roman" w:hAnsi="Times New Roman"/>
          <w:b/>
          <w:bCs/>
          <w:i/>
          <w:color w:val="000000" w:themeColor="text1"/>
          <w:sz w:val="24"/>
          <w:szCs w:val="24"/>
        </w:rPr>
      </w:pPr>
      <w:r w:rsidRPr="004C6398">
        <w:rPr>
          <w:rFonts w:ascii="Times New Roman" w:hAnsi="Times New Roman"/>
          <w:b/>
          <w:bCs/>
          <w:i/>
          <w:color w:val="000000" w:themeColor="text1"/>
          <w:sz w:val="24"/>
          <w:szCs w:val="24"/>
        </w:rPr>
        <w:t xml:space="preserve">Height and </w:t>
      </w:r>
      <w:r w:rsidR="00527633" w:rsidRPr="004C6398">
        <w:rPr>
          <w:rFonts w:ascii="Times New Roman" w:hAnsi="Times New Roman"/>
          <w:b/>
          <w:bCs/>
          <w:i/>
          <w:color w:val="000000" w:themeColor="text1"/>
          <w:sz w:val="24"/>
          <w:szCs w:val="24"/>
        </w:rPr>
        <w:t>Socioeconomic</w:t>
      </w:r>
      <w:r w:rsidRPr="004C6398">
        <w:rPr>
          <w:rFonts w:ascii="Times New Roman" w:hAnsi="Times New Roman"/>
          <w:b/>
          <w:bCs/>
          <w:i/>
          <w:color w:val="000000" w:themeColor="text1"/>
          <w:sz w:val="24"/>
          <w:szCs w:val="24"/>
        </w:rPr>
        <w:t xml:space="preserve"> Status</w:t>
      </w:r>
    </w:p>
    <w:p w14:paraId="4E1D14AA" w14:textId="37ADC59A" w:rsidR="005A013E" w:rsidRPr="00071D04" w:rsidRDefault="00527633" w:rsidP="002321E5">
      <w:pPr>
        <w:autoSpaceDE w:val="0"/>
        <w:autoSpaceDN w:val="0"/>
        <w:adjustRightInd w:val="0"/>
        <w:spacing w:after="0"/>
        <w:jc w:val="both"/>
        <w:rPr>
          <w:rFonts w:ascii="Times New Roman" w:hAnsi="Times New Roman"/>
          <w:b/>
          <w:bCs/>
          <w:color w:val="000000" w:themeColor="text1"/>
          <w:sz w:val="24"/>
          <w:szCs w:val="24"/>
          <w:lang w:val="en-US"/>
        </w:rPr>
      </w:pPr>
      <w:r w:rsidRPr="00071D04">
        <w:rPr>
          <w:rFonts w:ascii="Times New Roman" w:hAnsi="Times New Roman"/>
          <w:color w:val="000000" w:themeColor="text1"/>
          <w:sz w:val="24"/>
          <w:szCs w:val="24"/>
        </w:rPr>
        <w:t>Soc</w:t>
      </w:r>
      <w:r w:rsidR="005916DD" w:rsidRPr="00071D04">
        <w:rPr>
          <w:rFonts w:ascii="Times New Roman" w:hAnsi="Times New Roman"/>
          <w:color w:val="000000" w:themeColor="text1"/>
          <w:sz w:val="24"/>
          <w:szCs w:val="24"/>
        </w:rPr>
        <w:t>i</w:t>
      </w:r>
      <w:r w:rsidRPr="00071D04">
        <w:rPr>
          <w:rFonts w:ascii="Times New Roman" w:hAnsi="Times New Roman"/>
          <w:color w:val="000000" w:themeColor="text1"/>
          <w:sz w:val="24"/>
          <w:szCs w:val="24"/>
        </w:rPr>
        <w:t xml:space="preserve">oeconomic status is a measure of a person or a family’s economic and social standing or class. It is often measured as a combination of education, </w:t>
      </w:r>
      <w:r w:rsidR="0098764A" w:rsidRPr="00071D04">
        <w:rPr>
          <w:rFonts w:ascii="Times New Roman" w:hAnsi="Times New Roman"/>
          <w:color w:val="000000" w:themeColor="text1"/>
          <w:sz w:val="24"/>
          <w:szCs w:val="24"/>
        </w:rPr>
        <w:t>income,</w:t>
      </w:r>
      <w:r w:rsidRPr="00071D04">
        <w:rPr>
          <w:rFonts w:ascii="Times New Roman" w:hAnsi="Times New Roman"/>
          <w:color w:val="000000" w:themeColor="text1"/>
          <w:sz w:val="24"/>
          <w:szCs w:val="24"/>
        </w:rPr>
        <w:t xml:space="preserve"> and occupation. Several studies have shown the undeniable impact of the </w:t>
      </w:r>
      <w:r w:rsidR="005916DD" w:rsidRPr="00071D04">
        <w:rPr>
          <w:rFonts w:ascii="Times New Roman" w:hAnsi="Times New Roman"/>
          <w:color w:val="000000" w:themeColor="text1"/>
          <w:sz w:val="24"/>
          <w:szCs w:val="24"/>
        </w:rPr>
        <w:t>socioeconomic</w:t>
      </w:r>
      <w:r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lastRenderedPageBreak/>
        <w:t>status of parents on the height and health of their children</w:t>
      </w:r>
      <w:r w:rsidR="000E2321">
        <w:rPr>
          <w:rFonts w:ascii="Times New Roman" w:hAnsi="Times New Roman"/>
          <w:color w:val="000000" w:themeColor="text1"/>
          <w:sz w:val="24"/>
          <w:szCs w:val="24"/>
        </w:rPr>
        <w:t>.</w:t>
      </w:r>
      <w:r w:rsidR="000E2321" w:rsidRPr="000E2321">
        <w:rPr>
          <w:rFonts w:ascii="Times New Roman" w:hAnsi="Times New Roman"/>
          <w:color w:val="000000" w:themeColor="text1"/>
          <w:sz w:val="24"/>
          <w:szCs w:val="24"/>
          <w:vertAlign w:val="superscript"/>
        </w:rPr>
        <w:t>30,31</w:t>
      </w:r>
      <w:r w:rsidRPr="00071D04">
        <w:rPr>
          <w:rFonts w:ascii="Times New Roman" w:hAnsi="Times New Roman"/>
          <w:color w:val="000000" w:themeColor="text1"/>
          <w:sz w:val="24"/>
          <w:szCs w:val="24"/>
        </w:rPr>
        <w:t xml:space="preserve"> A study of primary school children by </w:t>
      </w:r>
      <w:proofErr w:type="spellStart"/>
      <w:r w:rsidRPr="00071D04">
        <w:rPr>
          <w:rFonts w:ascii="Times New Roman" w:hAnsi="Times New Roman"/>
          <w:color w:val="000000" w:themeColor="text1"/>
          <w:sz w:val="24"/>
          <w:szCs w:val="24"/>
        </w:rPr>
        <w:t>Fetuga</w:t>
      </w:r>
      <w:proofErr w:type="spellEnd"/>
      <w:r w:rsidRPr="00071D04">
        <w:rPr>
          <w:rFonts w:ascii="Times New Roman" w:hAnsi="Times New Roman"/>
          <w:color w:val="000000" w:themeColor="text1"/>
          <w:sz w:val="24"/>
          <w:szCs w:val="24"/>
        </w:rPr>
        <w:t xml:space="preserve"> and colleagues in Abeokuta, Nigeria revealed that parents with higher education had taller children.</w:t>
      </w:r>
      <w:r w:rsidR="000E2321" w:rsidRPr="000E2321">
        <w:rPr>
          <w:rFonts w:ascii="Times New Roman" w:hAnsi="Times New Roman"/>
          <w:color w:val="000000" w:themeColor="text1"/>
          <w:sz w:val="24"/>
          <w:szCs w:val="24"/>
          <w:vertAlign w:val="superscript"/>
        </w:rPr>
        <w:t>32</w:t>
      </w:r>
      <w:r w:rsidRPr="00071D04">
        <w:rPr>
          <w:rFonts w:ascii="Times New Roman" w:hAnsi="Times New Roman"/>
          <w:color w:val="000000" w:themeColor="text1"/>
          <w:sz w:val="24"/>
          <w:szCs w:val="24"/>
        </w:rPr>
        <w:t xml:space="preserve"> </w:t>
      </w:r>
      <w:proofErr w:type="spellStart"/>
      <w:r w:rsidRPr="00071D04">
        <w:rPr>
          <w:rFonts w:ascii="Times New Roman" w:hAnsi="Times New Roman"/>
          <w:color w:val="000000" w:themeColor="text1"/>
          <w:sz w:val="24"/>
          <w:szCs w:val="24"/>
        </w:rPr>
        <w:t>Delpeuch</w:t>
      </w:r>
      <w:proofErr w:type="spellEnd"/>
      <w:r w:rsidRPr="00071D04">
        <w:rPr>
          <w:rFonts w:ascii="Times New Roman" w:hAnsi="Times New Roman"/>
          <w:color w:val="000000" w:themeColor="text1"/>
          <w:sz w:val="24"/>
          <w:szCs w:val="24"/>
        </w:rPr>
        <w:t xml:space="preserve"> et al in their own study on the socioeconomic determinants of the anthropometric status of children in Congo </w:t>
      </w:r>
      <w:proofErr w:type="spellStart"/>
      <w:r w:rsidRPr="00071D04">
        <w:rPr>
          <w:rFonts w:ascii="Times New Roman" w:hAnsi="Times New Roman"/>
          <w:color w:val="000000" w:themeColor="text1"/>
          <w:sz w:val="24"/>
          <w:szCs w:val="24"/>
        </w:rPr>
        <w:t>Brazaville</w:t>
      </w:r>
      <w:proofErr w:type="spellEnd"/>
      <w:r w:rsidRPr="00071D04">
        <w:rPr>
          <w:rFonts w:ascii="Times New Roman" w:hAnsi="Times New Roman"/>
          <w:color w:val="000000" w:themeColor="text1"/>
          <w:sz w:val="24"/>
          <w:szCs w:val="24"/>
        </w:rPr>
        <w:t>, noted that the family size, income, occupation and education of the parents, particularly the mother’s education affects the height of their children.</w:t>
      </w:r>
      <w:r w:rsidR="000E2321" w:rsidRPr="000E2321">
        <w:rPr>
          <w:rFonts w:ascii="Times New Roman" w:hAnsi="Times New Roman"/>
          <w:color w:val="000000" w:themeColor="text1"/>
          <w:sz w:val="24"/>
          <w:szCs w:val="24"/>
          <w:vertAlign w:val="superscript"/>
        </w:rPr>
        <w:t>33</w:t>
      </w:r>
      <w:r w:rsidRPr="00071D04">
        <w:rPr>
          <w:rFonts w:ascii="Times New Roman" w:hAnsi="Times New Roman"/>
          <w:color w:val="000000" w:themeColor="text1"/>
          <w:sz w:val="24"/>
          <w:szCs w:val="24"/>
        </w:rPr>
        <w:t xml:space="preserve"> </w:t>
      </w:r>
    </w:p>
    <w:p w14:paraId="4CAE8B3C" w14:textId="77777777" w:rsidR="005A013E" w:rsidRPr="00071D04" w:rsidRDefault="005A013E" w:rsidP="00C553B3">
      <w:pPr>
        <w:autoSpaceDE w:val="0"/>
        <w:autoSpaceDN w:val="0"/>
        <w:adjustRightInd w:val="0"/>
        <w:spacing w:after="0"/>
        <w:jc w:val="center"/>
        <w:rPr>
          <w:rFonts w:ascii="Times New Roman" w:hAnsi="Times New Roman"/>
          <w:b/>
          <w:bCs/>
          <w:color w:val="000000" w:themeColor="text1"/>
          <w:sz w:val="24"/>
          <w:szCs w:val="24"/>
          <w:lang w:val="en-US"/>
        </w:rPr>
      </w:pPr>
    </w:p>
    <w:p w14:paraId="5F204F97" w14:textId="77777777" w:rsidR="00527633" w:rsidRPr="005B4265" w:rsidRDefault="00132571" w:rsidP="00C553B3">
      <w:pPr>
        <w:autoSpaceDE w:val="0"/>
        <w:autoSpaceDN w:val="0"/>
        <w:adjustRightInd w:val="0"/>
        <w:spacing w:after="0"/>
        <w:jc w:val="both"/>
        <w:rPr>
          <w:rFonts w:ascii="Times New Roman" w:hAnsi="Times New Roman"/>
          <w:b/>
          <w:bCs/>
          <w:i/>
          <w:color w:val="000000" w:themeColor="text1"/>
          <w:sz w:val="24"/>
          <w:szCs w:val="24"/>
        </w:rPr>
      </w:pPr>
      <w:r w:rsidRPr="005B4265">
        <w:rPr>
          <w:rFonts w:ascii="Times New Roman" w:hAnsi="Times New Roman"/>
          <w:b/>
          <w:bCs/>
          <w:i/>
          <w:color w:val="000000" w:themeColor="text1"/>
          <w:sz w:val="24"/>
          <w:szCs w:val="24"/>
        </w:rPr>
        <w:t xml:space="preserve">Height and Childhood </w:t>
      </w:r>
      <w:r w:rsidR="00527633" w:rsidRPr="005B4265">
        <w:rPr>
          <w:rFonts w:ascii="Times New Roman" w:hAnsi="Times New Roman"/>
          <w:b/>
          <w:bCs/>
          <w:i/>
          <w:color w:val="000000" w:themeColor="text1"/>
          <w:sz w:val="24"/>
          <w:szCs w:val="24"/>
        </w:rPr>
        <w:t>Diseases</w:t>
      </w:r>
    </w:p>
    <w:p w14:paraId="4BD1D1CC" w14:textId="7D872B5E" w:rsidR="00E5126D" w:rsidRPr="00071D04" w:rsidRDefault="00527633" w:rsidP="000E2321">
      <w:pPr>
        <w:jc w:val="both"/>
        <w:rPr>
          <w:rFonts w:ascii="Times New Roman" w:hAnsi="Times New Roman"/>
          <w:b/>
          <w:color w:val="000000" w:themeColor="text1"/>
          <w:sz w:val="24"/>
          <w:szCs w:val="24"/>
        </w:rPr>
      </w:pPr>
      <w:r w:rsidRPr="00071D04">
        <w:rPr>
          <w:rFonts w:ascii="Times New Roman" w:hAnsi="Times New Roman"/>
          <w:color w:val="000000" w:themeColor="text1"/>
          <w:sz w:val="24"/>
          <w:szCs w:val="24"/>
        </w:rPr>
        <w:t>Height being a genetic trait is highly affected by genetic disorders like Turner syndrome, Marfan syndrome, Achondroplasia and Prader-Willi syndrome among others.</w:t>
      </w:r>
      <w:r w:rsidR="000E2321" w:rsidRPr="000E2321">
        <w:rPr>
          <w:rFonts w:ascii="Times New Roman" w:hAnsi="Times New Roman"/>
          <w:color w:val="000000" w:themeColor="text1"/>
          <w:sz w:val="24"/>
          <w:szCs w:val="24"/>
          <w:vertAlign w:val="superscript"/>
        </w:rPr>
        <w:t>34</w:t>
      </w:r>
      <w:r w:rsidRPr="00071D04">
        <w:rPr>
          <w:rFonts w:ascii="Times New Roman" w:hAnsi="Times New Roman"/>
          <w:color w:val="000000" w:themeColor="text1"/>
          <w:sz w:val="24"/>
          <w:szCs w:val="24"/>
        </w:rPr>
        <w:t xml:space="preserve"> Endocrine disorders like Cushing’s Syndrome, Diabetes Mellitus, Vitamin D Deficiency, Growth Hormone Deficiency and Hypothyroidism are known causes of short stature in children.</w:t>
      </w:r>
      <w:r w:rsidR="000E2321" w:rsidRPr="000E2321">
        <w:rPr>
          <w:rFonts w:ascii="Times New Roman" w:hAnsi="Times New Roman"/>
          <w:color w:val="000000" w:themeColor="text1"/>
          <w:sz w:val="24"/>
          <w:szCs w:val="24"/>
          <w:vertAlign w:val="superscript"/>
        </w:rPr>
        <w:t>34</w:t>
      </w:r>
      <w:r w:rsidRPr="00071D04">
        <w:rPr>
          <w:rFonts w:ascii="Times New Roman" w:hAnsi="Times New Roman"/>
          <w:color w:val="000000" w:themeColor="text1"/>
          <w:sz w:val="24"/>
          <w:szCs w:val="24"/>
        </w:rPr>
        <w:t xml:space="preserve"> Disorders of puberty like Precocious and Delayed Puberty are endocrine disorders with profound effects on the height of children.</w:t>
      </w:r>
      <w:r w:rsidR="000E2321"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Precocious</w:t>
      </w:r>
      <w:r w:rsidRPr="00071D04">
        <w:rPr>
          <w:rFonts w:ascii="Times New Roman" w:eastAsia="AdvP4DF60E" w:hAnsi="Times New Roman"/>
          <w:color w:val="000000" w:themeColor="text1"/>
          <w:sz w:val="24"/>
          <w:szCs w:val="24"/>
        </w:rPr>
        <w:t xml:space="preserve"> </w:t>
      </w:r>
      <w:r w:rsidRPr="00071D04">
        <w:rPr>
          <w:rFonts w:ascii="Times New Roman" w:hAnsi="Times New Roman"/>
          <w:color w:val="000000" w:themeColor="text1"/>
          <w:sz w:val="24"/>
          <w:szCs w:val="24"/>
        </w:rPr>
        <w:t>Puberty initially, results in accelerated linear growth in childhood, leading to a transient tall stature, but since skeletal maturation is also accelerated, adult height is eventually compromised. Conversely, Delayed Puberty may be associated with short stature in childhood, as with constitutional delay, however failure to eventually enter and complete sexual maturation may result in sustained growth during adult life, with ultimate tall stature.</w:t>
      </w:r>
      <w:r w:rsidR="000E2321" w:rsidRPr="000E2321">
        <w:rPr>
          <w:rFonts w:ascii="Times New Roman" w:hAnsi="Times New Roman"/>
          <w:color w:val="000000" w:themeColor="text1"/>
          <w:sz w:val="24"/>
          <w:szCs w:val="24"/>
          <w:vertAlign w:val="superscript"/>
        </w:rPr>
        <w:t>35,36</w:t>
      </w:r>
      <w:r w:rsidRPr="00071D04">
        <w:rPr>
          <w:rFonts w:ascii="Times New Roman" w:eastAsia="AdvP4DF60E" w:hAnsi="Times New Roman"/>
          <w:color w:val="000000" w:themeColor="text1"/>
          <w:sz w:val="24"/>
          <w:szCs w:val="24"/>
        </w:rPr>
        <w:t xml:space="preserve"> Chronic medical illnesses like </w:t>
      </w:r>
      <w:r w:rsidR="00344B01" w:rsidRPr="00071D04">
        <w:rPr>
          <w:rFonts w:ascii="Times New Roman" w:eastAsia="AdvP4DF60E" w:hAnsi="Times New Roman"/>
          <w:color w:val="000000" w:themeColor="text1"/>
          <w:sz w:val="24"/>
          <w:szCs w:val="24"/>
        </w:rPr>
        <w:t>b</w:t>
      </w:r>
      <w:r w:rsidRPr="00071D04">
        <w:rPr>
          <w:rFonts w:ascii="Times New Roman" w:eastAsia="AdvP4DF60E" w:hAnsi="Times New Roman"/>
          <w:color w:val="000000" w:themeColor="text1"/>
          <w:sz w:val="24"/>
          <w:szCs w:val="24"/>
        </w:rPr>
        <w:t xml:space="preserve">ronchial </w:t>
      </w:r>
      <w:r w:rsidR="00344B01" w:rsidRPr="00071D04">
        <w:rPr>
          <w:rFonts w:ascii="Times New Roman" w:eastAsia="AdvP4DF60E" w:hAnsi="Times New Roman"/>
          <w:color w:val="000000" w:themeColor="text1"/>
          <w:sz w:val="24"/>
          <w:szCs w:val="24"/>
        </w:rPr>
        <w:t>a</w:t>
      </w:r>
      <w:r w:rsidRPr="00071D04">
        <w:rPr>
          <w:rFonts w:ascii="Times New Roman" w:eastAsia="AdvP4DF60E" w:hAnsi="Times New Roman"/>
          <w:color w:val="000000" w:themeColor="text1"/>
          <w:sz w:val="24"/>
          <w:szCs w:val="24"/>
        </w:rPr>
        <w:t xml:space="preserve">sthma, </w:t>
      </w:r>
      <w:r w:rsidR="00344B01" w:rsidRPr="00071D04">
        <w:rPr>
          <w:rFonts w:ascii="Times New Roman" w:eastAsia="AdvP4DF60E" w:hAnsi="Times New Roman"/>
          <w:color w:val="000000" w:themeColor="text1"/>
          <w:sz w:val="24"/>
          <w:szCs w:val="24"/>
        </w:rPr>
        <w:t>s</w:t>
      </w:r>
      <w:r w:rsidRPr="00071D04">
        <w:rPr>
          <w:rFonts w:ascii="Times New Roman" w:eastAsia="AdvP4DF60E" w:hAnsi="Times New Roman"/>
          <w:color w:val="000000" w:themeColor="text1"/>
          <w:sz w:val="24"/>
          <w:szCs w:val="24"/>
        </w:rPr>
        <w:t xml:space="preserve">ickle </w:t>
      </w:r>
      <w:r w:rsidR="00344B01" w:rsidRPr="00071D04">
        <w:rPr>
          <w:rFonts w:ascii="Times New Roman" w:eastAsia="AdvP4DF60E" w:hAnsi="Times New Roman"/>
          <w:color w:val="000000" w:themeColor="text1"/>
          <w:sz w:val="24"/>
          <w:szCs w:val="24"/>
        </w:rPr>
        <w:t>c</w:t>
      </w:r>
      <w:r w:rsidRPr="00071D04">
        <w:rPr>
          <w:rFonts w:ascii="Times New Roman" w:eastAsia="AdvP4DF60E" w:hAnsi="Times New Roman"/>
          <w:color w:val="000000" w:themeColor="text1"/>
          <w:sz w:val="24"/>
          <w:szCs w:val="24"/>
        </w:rPr>
        <w:t xml:space="preserve">ell </w:t>
      </w:r>
      <w:r w:rsidR="00344B01" w:rsidRPr="00071D04">
        <w:rPr>
          <w:rFonts w:ascii="Times New Roman" w:eastAsia="AdvP4DF60E" w:hAnsi="Times New Roman"/>
          <w:color w:val="000000" w:themeColor="text1"/>
          <w:sz w:val="24"/>
          <w:szCs w:val="24"/>
        </w:rPr>
        <w:t>a</w:t>
      </w:r>
      <w:r w:rsidRPr="00071D04">
        <w:rPr>
          <w:rFonts w:ascii="Times New Roman" w:eastAsia="AdvP4DF60E" w:hAnsi="Times New Roman"/>
          <w:color w:val="000000" w:themeColor="text1"/>
          <w:sz w:val="24"/>
          <w:szCs w:val="24"/>
        </w:rPr>
        <w:t xml:space="preserve">naemia and </w:t>
      </w:r>
      <w:r w:rsidR="00344B01" w:rsidRPr="00071D04">
        <w:rPr>
          <w:rFonts w:ascii="Times New Roman" w:eastAsia="AdvP4DF60E" w:hAnsi="Times New Roman"/>
          <w:color w:val="000000" w:themeColor="text1"/>
          <w:sz w:val="24"/>
          <w:szCs w:val="24"/>
        </w:rPr>
        <w:t>c</w:t>
      </w:r>
      <w:r w:rsidRPr="00071D04">
        <w:rPr>
          <w:rFonts w:ascii="Times New Roman" w:eastAsia="AdvP4DF60E" w:hAnsi="Times New Roman"/>
          <w:color w:val="000000" w:themeColor="text1"/>
          <w:sz w:val="24"/>
          <w:szCs w:val="24"/>
        </w:rPr>
        <w:t xml:space="preserve">hronic </w:t>
      </w:r>
      <w:r w:rsidR="00344B01" w:rsidRPr="00071D04">
        <w:rPr>
          <w:rFonts w:ascii="Times New Roman" w:eastAsia="AdvP4DF60E" w:hAnsi="Times New Roman"/>
          <w:color w:val="000000" w:themeColor="text1"/>
          <w:sz w:val="24"/>
          <w:szCs w:val="24"/>
        </w:rPr>
        <w:t>k</w:t>
      </w:r>
      <w:r w:rsidRPr="00071D04">
        <w:rPr>
          <w:rFonts w:ascii="Times New Roman" w:eastAsia="AdvP4DF60E" w:hAnsi="Times New Roman"/>
          <w:color w:val="000000" w:themeColor="text1"/>
          <w:sz w:val="24"/>
          <w:szCs w:val="24"/>
        </w:rPr>
        <w:t xml:space="preserve">idney </w:t>
      </w:r>
      <w:r w:rsidR="00344B01" w:rsidRPr="00071D04">
        <w:rPr>
          <w:rFonts w:ascii="Times New Roman" w:eastAsia="AdvP4DF60E" w:hAnsi="Times New Roman"/>
          <w:color w:val="000000" w:themeColor="text1"/>
          <w:sz w:val="24"/>
          <w:szCs w:val="24"/>
        </w:rPr>
        <w:t>d</w:t>
      </w:r>
      <w:r w:rsidRPr="00071D04">
        <w:rPr>
          <w:rFonts w:ascii="Times New Roman" w:eastAsia="AdvP4DF60E" w:hAnsi="Times New Roman"/>
          <w:color w:val="000000" w:themeColor="text1"/>
          <w:sz w:val="24"/>
          <w:szCs w:val="24"/>
        </w:rPr>
        <w:t>iseases, have negative impacts on the heights of children. Studies, mostly from resource poor countries, have shown that infections including diarrhoea, hookworm, intestinal parasites, Trichuris and Ascaris retard the physical development</w:t>
      </w:r>
      <w:r w:rsidRPr="00071D04">
        <w:rPr>
          <w:rFonts w:ascii="Times New Roman" w:hAnsi="Times New Roman"/>
          <w:color w:val="000000" w:themeColor="text1"/>
          <w:sz w:val="24"/>
          <w:szCs w:val="24"/>
        </w:rPr>
        <w:t xml:space="preserve"> and height of children.</w:t>
      </w:r>
      <w:r w:rsidR="000E2321" w:rsidRPr="000E2321">
        <w:rPr>
          <w:rFonts w:ascii="Times New Roman" w:hAnsi="Times New Roman"/>
          <w:color w:val="000000" w:themeColor="text1"/>
          <w:sz w:val="24"/>
          <w:szCs w:val="24"/>
          <w:vertAlign w:val="superscript"/>
        </w:rPr>
        <w:t>37,38</w:t>
      </w:r>
      <w:r w:rsidR="000E2321" w:rsidRPr="00071D04">
        <w:rPr>
          <w:rFonts w:ascii="Times New Roman" w:hAnsi="Times New Roman"/>
          <w:b/>
          <w:color w:val="000000" w:themeColor="text1"/>
          <w:sz w:val="24"/>
          <w:szCs w:val="24"/>
        </w:rPr>
        <w:t xml:space="preserve"> </w:t>
      </w:r>
    </w:p>
    <w:p w14:paraId="4B6A69F5" w14:textId="4F0A1BC8"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3.4 </w:t>
      </w:r>
      <w:r w:rsidR="002321E5">
        <w:rPr>
          <w:rFonts w:ascii="Times New Roman" w:hAnsi="Times New Roman"/>
          <w:b/>
          <w:color w:val="000000" w:themeColor="text1"/>
          <w:sz w:val="24"/>
          <w:szCs w:val="24"/>
        </w:rPr>
        <w:t>Relevance of Height in Clinical Assessment</w:t>
      </w:r>
    </w:p>
    <w:p w14:paraId="74BCAFD8" w14:textId="77777777" w:rsidR="00981124" w:rsidRPr="00071D04" w:rsidRDefault="00981124" w:rsidP="00C553B3">
      <w:pPr>
        <w:jc w:val="both"/>
        <w:rPr>
          <w:rFonts w:ascii="Times New Roman" w:hAnsi="Times New Roman"/>
          <w:color w:val="000000" w:themeColor="text1"/>
          <w:sz w:val="24"/>
          <w:szCs w:val="24"/>
        </w:rPr>
      </w:pPr>
    </w:p>
    <w:p w14:paraId="05B2EE61" w14:textId="77777777" w:rsidR="00527633" w:rsidRPr="00CE6C09" w:rsidRDefault="00527633" w:rsidP="00C553B3">
      <w:pPr>
        <w:spacing w:after="0"/>
        <w:jc w:val="both"/>
        <w:rPr>
          <w:rFonts w:ascii="Times New Roman" w:hAnsi="Times New Roman"/>
          <w:b/>
          <w:bCs/>
          <w:i/>
          <w:color w:val="000000" w:themeColor="text1"/>
          <w:sz w:val="24"/>
          <w:szCs w:val="24"/>
        </w:rPr>
      </w:pPr>
      <w:r w:rsidRPr="00CE6C09">
        <w:rPr>
          <w:rFonts w:ascii="Times New Roman" w:hAnsi="Times New Roman"/>
          <w:b/>
          <w:bCs/>
          <w:i/>
          <w:color w:val="000000" w:themeColor="text1"/>
          <w:sz w:val="24"/>
          <w:szCs w:val="24"/>
        </w:rPr>
        <w:t>Height as a diagnostic tool</w:t>
      </w:r>
    </w:p>
    <w:p w14:paraId="3C6FAAEC" w14:textId="77777777" w:rsidR="00527633" w:rsidRPr="00071D04" w:rsidRDefault="00527633"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As a diagnostic tool, it is used in the assessment of many paediatric conditions like under-nutrition particularly chronic under-nutrition. A measure of a child’s </w:t>
      </w:r>
      <w:r w:rsidR="00002885" w:rsidRPr="00071D04">
        <w:rPr>
          <w:rFonts w:ascii="Times New Roman" w:hAnsi="Times New Roman"/>
          <w:color w:val="000000" w:themeColor="text1"/>
          <w:sz w:val="24"/>
          <w:szCs w:val="24"/>
        </w:rPr>
        <w:t xml:space="preserve">Weight-for-height </w:t>
      </w:r>
      <w:r w:rsidRPr="00071D04">
        <w:rPr>
          <w:rFonts w:ascii="Times New Roman" w:hAnsi="Times New Roman"/>
          <w:color w:val="000000" w:themeColor="text1"/>
          <w:sz w:val="24"/>
          <w:szCs w:val="24"/>
        </w:rPr>
        <w:t xml:space="preserve">and </w:t>
      </w:r>
      <w:r w:rsidR="00980599" w:rsidRPr="00071D04">
        <w:rPr>
          <w:rFonts w:ascii="Times New Roman" w:hAnsi="Times New Roman"/>
          <w:color w:val="000000" w:themeColor="text1"/>
          <w:sz w:val="24"/>
          <w:szCs w:val="24"/>
        </w:rPr>
        <w:t>h</w:t>
      </w:r>
      <w:r w:rsidR="006F3F65" w:rsidRPr="00071D04">
        <w:rPr>
          <w:rFonts w:ascii="Times New Roman" w:hAnsi="Times New Roman"/>
          <w:color w:val="000000" w:themeColor="text1"/>
          <w:sz w:val="24"/>
          <w:szCs w:val="24"/>
        </w:rPr>
        <w:t xml:space="preserve">eight-for-age </w:t>
      </w:r>
      <w:r w:rsidRPr="00071D04">
        <w:rPr>
          <w:rFonts w:ascii="Times New Roman" w:hAnsi="Times New Roman"/>
          <w:color w:val="000000" w:themeColor="text1"/>
          <w:sz w:val="24"/>
          <w:szCs w:val="24"/>
        </w:rPr>
        <w:t>gives a more reliable picture of the nutritional status when compared to weight for age.</w:t>
      </w:r>
      <w:r w:rsidR="00980599" w:rsidRPr="00071D04">
        <w:rPr>
          <w:rFonts w:ascii="Times New Roman" w:hAnsi="Times New Roman"/>
          <w:color w:val="000000" w:themeColor="text1"/>
          <w:sz w:val="24"/>
          <w:szCs w:val="24"/>
        </w:rPr>
        <w:t xml:space="preserve"> </w:t>
      </w:r>
      <w:r w:rsidR="00980599"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&lt;EndNote&gt;&lt;Cite&gt;&lt;Author&gt;Waterlow&lt;/Author&gt;&lt;Year&gt;1977&lt;/Year&gt;&lt;RecNum&gt;3&lt;/RecNum&gt;&lt;DisplayText&gt;&lt;style face="superscript"&gt;3&lt;/style&gt;&lt;/DisplayText&gt;&lt;record&gt;&lt;rec-number&gt;3&lt;/rec-number&gt;&lt;foreign-keys&gt;&lt;key app="EN" db-id="artfe59rd92tx0eswfsvxr0ysr52aadvw92v" timestamp="0"&gt;3&lt;/key&gt;&lt;/foreign-keys&gt;&lt;ref-type name="Journal Article"&gt;17&lt;/ref-type&gt;&lt;contributors&gt;&lt;authors&gt;&lt;author&gt;Waterlow, JOHN C&lt;/author&gt;&lt;author&gt;Buzina, R&lt;/author&gt;&lt;author&gt;Keller, W&lt;/author&gt;&lt;author&gt;Lane, JM&lt;/author&gt;&lt;author&gt;Nichaman, MZ&lt;/author&gt;&lt;author&gt;Tanner, JM&lt;/author&gt;&lt;/authors&gt;&lt;/contributors&gt;&lt;titles&gt;&lt;title&gt;The presentation and use of height and weight data for comparing the nutritional status of groups of children under the age of 10 years&lt;/title&gt;&lt;secondary-title&gt;Bulletin of the world Health Organization&lt;/secondary-title&gt;&lt;/titles&gt;&lt;pages&gt;489&lt;/pages&gt;&lt;volume&gt;55&lt;/volume&gt;&lt;number&gt;4&lt;/number&gt;&lt;dates&gt;&lt;year&gt;1977&lt;/year&gt;&lt;/dates&gt;&lt;urls&gt;&lt;/urls&gt;&lt;/record&gt;&lt;/Cite&gt;&lt;/EndNote&gt;</w:instrText>
      </w:r>
      <w:r w:rsidR="00980599" w:rsidRPr="00071D04">
        <w:rPr>
          <w:rFonts w:ascii="Times New Roman" w:hAnsi="Times New Roman"/>
          <w:color w:val="000000" w:themeColor="text1"/>
          <w:sz w:val="24"/>
          <w:szCs w:val="24"/>
        </w:rPr>
        <w:fldChar w:fldCharType="separate"/>
      </w:r>
      <w:r w:rsidR="00980599" w:rsidRPr="00071D04">
        <w:rPr>
          <w:rFonts w:ascii="Times New Roman" w:hAnsi="Times New Roman"/>
          <w:noProof/>
          <w:color w:val="000000" w:themeColor="text1"/>
          <w:sz w:val="24"/>
          <w:szCs w:val="24"/>
          <w:vertAlign w:val="superscript"/>
        </w:rPr>
        <w:t>3</w:t>
      </w:r>
      <w:r w:rsidR="00980599" w:rsidRPr="00071D04">
        <w:rPr>
          <w:rFonts w:ascii="Times New Roman" w:hAnsi="Times New Roman"/>
          <w:color w:val="000000" w:themeColor="text1"/>
          <w:sz w:val="24"/>
          <w:szCs w:val="24"/>
        </w:rPr>
        <w:fldChar w:fldCharType="end"/>
      </w:r>
      <w:r w:rsidR="00980599"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 xml:space="preserve"> This is because they are better measures for acute and chronic malnutrition, respectively. </w:t>
      </w:r>
      <w:r w:rsidR="00002885" w:rsidRPr="00071D04">
        <w:rPr>
          <w:rFonts w:ascii="Times New Roman" w:hAnsi="Times New Roman"/>
          <w:color w:val="000000" w:themeColor="text1"/>
          <w:sz w:val="24"/>
          <w:szCs w:val="24"/>
          <w:lang w:val="en-US"/>
        </w:rPr>
        <w:t xml:space="preserve">Weight-for-height </w:t>
      </w:r>
      <w:r w:rsidRPr="00071D04">
        <w:rPr>
          <w:rFonts w:ascii="Times New Roman" w:hAnsi="Times New Roman"/>
          <w:color w:val="000000" w:themeColor="text1"/>
          <w:sz w:val="24"/>
          <w:szCs w:val="24"/>
          <w:lang w:val="en-US"/>
        </w:rPr>
        <w:t xml:space="preserve">is an indicator of the present state of nutrition which </w:t>
      </w:r>
      <w:r w:rsidRPr="00071D04">
        <w:rPr>
          <w:rFonts w:ascii="Times New Roman" w:hAnsi="Times New Roman"/>
          <w:color w:val="000000" w:themeColor="text1"/>
          <w:sz w:val="24"/>
          <w:szCs w:val="24"/>
        </w:rPr>
        <w:t xml:space="preserve">portrays wasting, while </w:t>
      </w:r>
      <w:r w:rsidR="00980599" w:rsidRPr="00071D04">
        <w:rPr>
          <w:rFonts w:ascii="Times New Roman" w:hAnsi="Times New Roman"/>
          <w:color w:val="000000" w:themeColor="text1"/>
          <w:sz w:val="24"/>
          <w:szCs w:val="24"/>
          <w:lang w:val="en-US"/>
        </w:rPr>
        <w:t>h</w:t>
      </w:r>
      <w:r w:rsidR="006F3F65" w:rsidRPr="00071D04">
        <w:rPr>
          <w:rFonts w:ascii="Times New Roman" w:hAnsi="Times New Roman"/>
          <w:color w:val="000000" w:themeColor="text1"/>
          <w:sz w:val="24"/>
          <w:szCs w:val="24"/>
          <w:lang w:val="en-US"/>
        </w:rPr>
        <w:t xml:space="preserve">eight-for-age </w:t>
      </w:r>
      <w:r w:rsidRPr="00071D04">
        <w:rPr>
          <w:rFonts w:ascii="Times New Roman" w:hAnsi="Times New Roman"/>
          <w:color w:val="000000" w:themeColor="text1"/>
          <w:sz w:val="24"/>
          <w:szCs w:val="24"/>
          <w:lang w:val="en-US"/>
        </w:rPr>
        <w:t>is an indicator of past nutrition</w:t>
      </w:r>
      <w:r w:rsidRPr="00071D04">
        <w:rPr>
          <w:rFonts w:ascii="Times New Roman" w:hAnsi="Times New Roman"/>
          <w:color w:val="000000" w:themeColor="text1"/>
          <w:sz w:val="24"/>
          <w:szCs w:val="24"/>
        </w:rPr>
        <w:t xml:space="preserve">, </w:t>
      </w:r>
      <w:r w:rsidR="00980599" w:rsidRPr="00071D04">
        <w:rPr>
          <w:rFonts w:ascii="Times New Roman" w:hAnsi="Times New Roman"/>
          <w:color w:val="000000" w:themeColor="text1"/>
          <w:sz w:val="24"/>
          <w:szCs w:val="24"/>
        </w:rPr>
        <w:t>which portraits</w:t>
      </w:r>
      <w:r w:rsidRPr="00071D04">
        <w:rPr>
          <w:rFonts w:ascii="Times New Roman" w:hAnsi="Times New Roman"/>
          <w:color w:val="000000" w:themeColor="text1"/>
          <w:sz w:val="24"/>
          <w:szCs w:val="24"/>
        </w:rPr>
        <w:t xml:space="preserve"> stunting.</w:t>
      </w:r>
      <w:r w:rsidRPr="00071D04">
        <w:rPr>
          <w:rFonts w:ascii="Times New Roman" w:hAnsi="Times New Roman"/>
          <w:color w:val="000000" w:themeColor="text1"/>
          <w:sz w:val="24"/>
          <w:szCs w:val="24"/>
          <w:lang w:val="en-US"/>
        </w:rPr>
        <w:t xml:space="preserve"> Although weight for age has for many years been a mainstay in the evaluation of nutritional status, its disadvantage is that it does not distinguish between acute and chronic malnutrition.</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&lt;EndNote&gt;&lt;Cite&gt;&lt;Author&gt;Waterlow&lt;/Author&gt;&lt;Year&gt;1977&lt;/Year&gt;&lt;RecNum&gt;3&lt;/RecNum&gt;&lt;DisplayText&gt;&lt;style face="superscript"&gt;3&lt;/style&gt;&lt;/DisplayText&gt;&lt;record&gt;&lt;rec-number&gt;3&lt;/rec-number&gt;&lt;foreign-keys&gt;&lt;key app="EN" db-id="artfe59rd92tx0eswfsvxr0ysr52aadvw92v" timestamp="0"&gt;3&lt;/key&gt;&lt;/foreign-keys&gt;&lt;ref-type name="Journal Article"&gt;17&lt;/ref-type&gt;&lt;contributors&gt;&lt;authors&gt;&lt;author&gt;Waterlow, JOHN C&lt;/author&gt;&lt;author&gt;Buzina, R&lt;/author&gt;&lt;author&gt;Keller, W&lt;/author&gt;&lt;author&gt;Lane, JM&lt;/author&gt;&lt;author&gt;Nichaman, MZ&lt;/author&gt;&lt;author&gt;Tanner, JM&lt;/author&gt;&lt;/authors&gt;&lt;/contributors&gt;&lt;titles&gt;&lt;title&gt;The presentation and use of height and weight data for comparing the nutritional status of groups of children under the age of 10 years&lt;/title&gt;&lt;secondary-title&gt;Bulletin of the world Health Organization&lt;/secondary-title&gt;&lt;/titles&gt;&lt;pages&gt;489&lt;/pages&gt;&lt;volume&gt;55&lt;/volume&gt;&lt;number&gt;4&lt;/number&gt;&lt;dates&gt;&lt;year&gt;1977&lt;/year&gt;&lt;/dates&gt;&lt;urls&gt;&lt;/urls&gt;&lt;/record&gt;&lt;/Cite&gt;&lt;/EndNote&gt;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3</w:t>
      </w:r>
      <w:r w:rsidRPr="00071D04">
        <w:rPr>
          <w:rFonts w:ascii="Times New Roman" w:hAnsi="Times New Roman"/>
          <w:color w:val="000000" w:themeColor="text1"/>
          <w:sz w:val="24"/>
          <w:szCs w:val="24"/>
        </w:rPr>
        <w:fldChar w:fldCharType="end"/>
      </w:r>
    </w:p>
    <w:p w14:paraId="22FCF59B" w14:textId="787735E2"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Another index of nutritional status that requires height is the Body Mass Index (BMI) which is a measure of body fat defined as the body weight in kilograms, divided by the square of the body height in meters, (weight in kg/heig</w:t>
      </w:r>
      <w:r w:rsidR="00344B01" w:rsidRPr="00071D04">
        <w:rPr>
          <w:rFonts w:ascii="Times New Roman" w:hAnsi="Times New Roman"/>
          <w:color w:val="000000" w:themeColor="text1"/>
          <w:sz w:val="24"/>
          <w:szCs w:val="24"/>
        </w:rPr>
        <w:t>h</w:t>
      </w:r>
      <w:r w:rsidRPr="00071D04">
        <w:rPr>
          <w:rFonts w:ascii="Times New Roman" w:hAnsi="Times New Roman"/>
          <w:color w:val="000000" w:themeColor="text1"/>
          <w:sz w:val="24"/>
          <w:szCs w:val="24"/>
        </w:rPr>
        <w:t>t</w:t>
      </w:r>
      <w:r w:rsidRPr="00071D04">
        <w:rPr>
          <w:rFonts w:ascii="Times New Roman" w:hAnsi="Times New Roman"/>
          <w:color w:val="000000" w:themeColor="text1"/>
          <w:sz w:val="24"/>
          <w:szCs w:val="24"/>
          <w:vertAlign w:val="superscript"/>
        </w:rPr>
        <w:t>2</w:t>
      </w:r>
      <w:r w:rsidRPr="00071D04">
        <w:rPr>
          <w:rFonts w:ascii="Times New Roman" w:hAnsi="Times New Roman"/>
          <w:color w:val="000000" w:themeColor="text1"/>
          <w:sz w:val="24"/>
          <w:szCs w:val="24"/>
        </w:rPr>
        <w:t xml:space="preserve"> in m</w:t>
      </w:r>
      <w:r w:rsidRPr="00071D04">
        <w:rPr>
          <w:rFonts w:ascii="Times New Roman" w:hAnsi="Times New Roman"/>
          <w:color w:val="000000" w:themeColor="text1"/>
          <w:sz w:val="24"/>
          <w:szCs w:val="24"/>
          <w:vertAlign w:val="superscript"/>
        </w:rPr>
        <w:t>2</w:t>
      </w:r>
      <w:r w:rsidRPr="00071D04">
        <w:rPr>
          <w:rFonts w:ascii="Times New Roman" w:hAnsi="Times New Roman"/>
          <w:color w:val="000000" w:themeColor="text1"/>
          <w:sz w:val="24"/>
          <w:szCs w:val="24"/>
        </w:rPr>
        <w:t xml:space="preserve">) and </w:t>
      </w:r>
      <w:r w:rsidR="0098764A" w:rsidRPr="00071D04">
        <w:rPr>
          <w:rFonts w:ascii="Times New Roman" w:hAnsi="Times New Roman"/>
          <w:color w:val="000000" w:themeColor="text1"/>
          <w:sz w:val="24"/>
          <w:szCs w:val="24"/>
        </w:rPr>
        <w:t>is universally</w:t>
      </w:r>
      <w:r w:rsidRPr="00071D04">
        <w:rPr>
          <w:rFonts w:ascii="Times New Roman" w:hAnsi="Times New Roman"/>
          <w:color w:val="000000" w:themeColor="text1"/>
          <w:sz w:val="24"/>
          <w:szCs w:val="24"/>
        </w:rPr>
        <w:t xml:space="preserve"> expressed in kg/m</w:t>
      </w:r>
      <w:r w:rsidRPr="00071D04">
        <w:rPr>
          <w:rFonts w:ascii="Times New Roman" w:hAnsi="Times New Roman"/>
          <w:color w:val="000000" w:themeColor="text1"/>
          <w:sz w:val="24"/>
          <w:szCs w:val="24"/>
          <w:vertAlign w:val="superscript"/>
        </w:rPr>
        <w:t>2</w:t>
      </w:r>
      <w:r w:rsidR="00344B01"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The BMI is very accurate in the assessment of the nutritional status of children</w:t>
      </w:r>
      <w:r w:rsidR="000A0887" w:rsidRPr="00071D04">
        <w:rPr>
          <w:rFonts w:ascii="Times New Roman" w:hAnsi="Times New Roman"/>
          <w:color w:val="000000" w:themeColor="text1"/>
          <w:sz w:val="24"/>
          <w:szCs w:val="24"/>
        </w:rPr>
        <w:t xml:space="preserve"> from the age of two</w:t>
      </w:r>
      <w:r w:rsidRPr="00071D04">
        <w:rPr>
          <w:rFonts w:ascii="Times New Roman" w:hAnsi="Times New Roman"/>
          <w:color w:val="000000" w:themeColor="text1"/>
          <w:sz w:val="24"/>
          <w:szCs w:val="24"/>
        </w:rPr>
        <w:t xml:space="preserve"> and adolescents, particularly in overweight malnutrition.</w:t>
      </w:r>
      <w:r w:rsidR="000E2321" w:rsidRPr="000E2321">
        <w:rPr>
          <w:rFonts w:ascii="Times New Roman" w:hAnsi="Times New Roman"/>
          <w:color w:val="000000" w:themeColor="text1"/>
          <w:sz w:val="24"/>
          <w:szCs w:val="24"/>
          <w:vertAlign w:val="superscript"/>
        </w:rPr>
        <w:t>39</w:t>
      </w:r>
      <w:r w:rsidR="000E2321" w:rsidRPr="00071D04">
        <w:rPr>
          <w:rFonts w:ascii="Times New Roman" w:hAnsi="Times New Roman"/>
          <w:color w:val="000000" w:themeColor="text1"/>
          <w:sz w:val="24"/>
          <w:szCs w:val="24"/>
        </w:rPr>
        <w:t xml:space="preserve"> </w:t>
      </w:r>
    </w:p>
    <w:p w14:paraId="5D66F4ED" w14:textId="696293AF"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In addition, height measurement and monitoring are required in the diagnosis of some genetic conditions associated with short or tall stature such as Turner syndrome, Marfan syndrome, Achondroplasia and Prader-Willi syndrome among others.</w:t>
      </w:r>
      <w:r w:rsidR="000E2321" w:rsidRPr="000E2321">
        <w:rPr>
          <w:rFonts w:ascii="Times New Roman" w:hAnsi="Times New Roman"/>
          <w:color w:val="000000" w:themeColor="text1"/>
          <w:sz w:val="24"/>
          <w:szCs w:val="24"/>
          <w:vertAlign w:val="superscript"/>
        </w:rPr>
        <w:t>33</w:t>
      </w:r>
      <w:r w:rsidRPr="00071D04">
        <w:rPr>
          <w:rFonts w:ascii="Times New Roman" w:hAnsi="Times New Roman"/>
          <w:color w:val="000000" w:themeColor="text1"/>
          <w:sz w:val="24"/>
          <w:szCs w:val="24"/>
        </w:rPr>
        <w:t xml:space="preserve"> It is also a crucial tool in the diagnosis of disorders of puberty like </w:t>
      </w:r>
      <w:r w:rsidR="0098764A" w:rsidRPr="00071D04">
        <w:rPr>
          <w:rFonts w:ascii="Times New Roman" w:hAnsi="Times New Roman"/>
          <w:color w:val="000000" w:themeColor="text1"/>
          <w:sz w:val="24"/>
          <w:szCs w:val="24"/>
        </w:rPr>
        <w:t>precocious</w:t>
      </w:r>
      <w:r w:rsidRPr="00071D04">
        <w:rPr>
          <w:rFonts w:ascii="Times New Roman" w:hAnsi="Times New Roman"/>
          <w:color w:val="000000" w:themeColor="text1"/>
          <w:sz w:val="24"/>
          <w:szCs w:val="24"/>
        </w:rPr>
        <w:t xml:space="preserve"> puberty.</w:t>
      </w:r>
      <w:r w:rsidR="000E2321" w:rsidRPr="000E2321">
        <w:rPr>
          <w:rFonts w:ascii="Times New Roman" w:hAnsi="Times New Roman"/>
          <w:color w:val="000000" w:themeColor="text1"/>
          <w:sz w:val="24"/>
          <w:szCs w:val="24"/>
          <w:vertAlign w:val="superscript"/>
        </w:rPr>
        <w:t>35</w:t>
      </w:r>
      <w:r w:rsidRPr="00071D04">
        <w:rPr>
          <w:rFonts w:ascii="Times New Roman" w:hAnsi="Times New Roman"/>
          <w:color w:val="000000" w:themeColor="text1"/>
          <w:sz w:val="24"/>
          <w:szCs w:val="24"/>
        </w:rPr>
        <w:t xml:space="preserve"> </w:t>
      </w:r>
    </w:p>
    <w:p w14:paraId="51CF1C16" w14:textId="77777777" w:rsidR="00981124" w:rsidRPr="00071D04" w:rsidRDefault="00981124" w:rsidP="00C553B3">
      <w:pPr>
        <w:jc w:val="both"/>
        <w:rPr>
          <w:rFonts w:ascii="Times New Roman" w:hAnsi="Times New Roman"/>
          <w:color w:val="000000" w:themeColor="text1"/>
          <w:sz w:val="24"/>
          <w:szCs w:val="24"/>
        </w:rPr>
      </w:pPr>
    </w:p>
    <w:p w14:paraId="117558BA" w14:textId="77777777" w:rsidR="00527633" w:rsidRPr="00CE6C09" w:rsidRDefault="00527633" w:rsidP="00C553B3">
      <w:pPr>
        <w:spacing w:after="0"/>
        <w:jc w:val="both"/>
        <w:rPr>
          <w:rFonts w:ascii="Times New Roman" w:hAnsi="Times New Roman"/>
          <w:b/>
          <w:bCs/>
          <w:i/>
          <w:color w:val="000000" w:themeColor="text1"/>
          <w:sz w:val="24"/>
          <w:szCs w:val="24"/>
        </w:rPr>
      </w:pPr>
      <w:r w:rsidRPr="00CE6C09">
        <w:rPr>
          <w:rFonts w:ascii="Times New Roman" w:hAnsi="Times New Roman"/>
          <w:b/>
          <w:bCs/>
          <w:i/>
          <w:color w:val="000000" w:themeColor="text1"/>
          <w:sz w:val="24"/>
          <w:szCs w:val="24"/>
        </w:rPr>
        <w:t>Height as a monitoring tool</w:t>
      </w:r>
    </w:p>
    <w:p w14:paraId="5DD99E27" w14:textId="77777777" w:rsidR="00527633" w:rsidRPr="00071D04" w:rsidRDefault="00527633" w:rsidP="00C553B3">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Growth monitoring and its use for prognostication, as well as early detection of faltering require longitudinal measurement and monitoring of height in children. Monitoring children’s growth and development is a routine part of child healthcare and community paediatrics worldwide. In a typical scenario, the healthcare worker plots heights and weights on a reference graphical diagram (growth chart), and assesses whether the growth pattern of the child deviates from that of the reference population.</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&lt;EndNote&gt;&lt;Cite&gt;&lt;Author&gt;Onyango&lt;/Author&gt;&lt;Year&gt;2008&lt;/Year&gt;&lt;RecNum&gt;2&lt;/RecNum&gt;&lt;DisplayText&gt;&lt;style face="superscript"&gt;2&lt;/style&gt;&lt;/DisplayText&gt;&lt;record&gt;&lt;rec-number&gt;2&lt;/rec-number&gt;&lt;foreign-keys&gt;&lt;key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2</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Using this chart, close examination of the child is done with the goal of identifying diseases and conditions that manifest themselves through abnormal growth at every clinic visit.</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&lt;EndNote&gt;&lt;Cite&gt;&lt;Author&gt;van Buuren&lt;/Author&gt;&lt;Year&gt;2004&lt;/Year&gt;&lt;RecNum&gt;9&lt;/RecNum&gt;&lt;DisplayText&gt;&lt;style face="superscript"&gt;9&lt;/style&gt;&lt;/DisplayText&gt;&lt;record&gt;&lt;rec-number&gt;9&lt;/rec-number&gt;&lt;foreign-keys&gt;&lt;key app="EN" db-id="artfe59rd92tx0eswfsvxr0ysr52aadvw92v" timestamp="0"&gt;9&lt;/key&gt;&lt;/foreign-keys&gt;&lt;ref-type name="Journal Article"&gt;17&lt;/ref-type&gt;&lt;contributors&gt;&lt;authors&gt;&lt;author&gt;van Buuren, Stef&lt;/author&gt;&lt;author&gt;van Dommelen, Paula&lt;/author&gt;&lt;author&gt;Zandwijken, Gladys RJ&lt;/author&gt;&lt;author&gt;Grote, Floor K&lt;/author&gt;&lt;author&gt;Wit, Jan Maarten&lt;/author&gt;&lt;author&gt;Verkerk, Paul H&lt;/author&gt;&lt;/authors&gt;&lt;/contributors&gt;&lt;titles&gt;&lt;title&gt;Towards evidence based referral criteria for growth monitoring&lt;/title&gt;&lt;secondary-title&gt;Archives of disease in childhood&lt;/secondary-title&gt;&lt;/titles&gt;&lt;pages&gt;336-341&lt;/pages&gt;&lt;volume&gt;89&lt;/volume&gt;&lt;number&gt;4&lt;/number&gt;&lt;dates&gt;&lt;year&gt;2004&lt;/year&gt;&lt;/dates&gt;&lt;isbn&gt;0003-9888&lt;/isbn&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9</w:t>
      </w:r>
      <w:r w:rsidRPr="00071D04">
        <w:rPr>
          <w:rFonts w:ascii="Times New Roman" w:hAnsi="Times New Roman"/>
          <w:color w:val="000000" w:themeColor="text1"/>
          <w:sz w:val="24"/>
          <w:szCs w:val="24"/>
        </w:rPr>
        <w:fldChar w:fldCharType="end"/>
      </w:r>
    </w:p>
    <w:p w14:paraId="00951C0F" w14:textId="0BB452A0" w:rsidR="00527633" w:rsidRPr="00071D04" w:rsidRDefault="009056CC" w:rsidP="00C553B3">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Also,</w:t>
      </w:r>
      <w:r w:rsidR="00527633" w:rsidRPr="00071D04">
        <w:rPr>
          <w:rFonts w:ascii="Times New Roman" w:hAnsi="Times New Roman"/>
          <w:color w:val="000000" w:themeColor="text1"/>
          <w:sz w:val="24"/>
          <w:szCs w:val="24"/>
        </w:rPr>
        <w:t xml:space="preserve"> in-utero monitoring of foetal growth and wellbeing is done by measuring the ultrasonographic crown-rump length, femur length and or biparietal diameter to estimate the weight of the foetus.  </w:t>
      </w:r>
      <w:r w:rsidR="0098764A" w:rsidRPr="00071D04">
        <w:rPr>
          <w:rFonts w:ascii="Times New Roman" w:hAnsi="Times New Roman"/>
          <w:color w:val="000000" w:themeColor="text1"/>
          <w:sz w:val="24"/>
          <w:szCs w:val="24"/>
        </w:rPr>
        <w:t>These measurements</w:t>
      </w:r>
      <w:r w:rsidR="00527633" w:rsidRPr="00071D04">
        <w:rPr>
          <w:rFonts w:ascii="Times New Roman" w:hAnsi="Times New Roman"/>
          <w:color w:val="000000" w:themeColor="text1"/>
          <w:sz w:val="24"/>
          <w:szCs w:val="24"/>
        </w:rPr>
        <w:t xml:space="preserve"> also help to determine the gestational age of the </w:t>
      </w:r>
      <w:proofErr w:type="spellStart"/>
      <w:r w:rsidR="00527633" w:rsidRPr="00071D04">
        <w:rPr>
          <w:rFonts w:ascii="Times New Roman" w:hAnsi="Times New Roman"/>
          <w:color w:val="000000" w:themeColor="text1"/>
          <w:sz w:val="24"/>
          <w:szCs w:val="24"/>
        </w:rPr>
        <w:t>fetus</w:t>
      </w:r>
      <w:proofErr w:type="spellEnd"/>
      <w:r w:rsidR="00527633" w:rsidRPr="00071D04">
        <w:rPr>
          <w:rFonts w:ascii="Times New Roman" w:hAnsi="Times New Roman"/>
          <w:color w:val="000000" w:themeColor="text1"/>
          <w:sz w:val="24"/>
          <w:szCs w:val="24"/>
        </w:rPr>
        <w:t>, as well as to predict the likelihood of survival of the babies that are likely to be born preterm.</w:t>
      </w:r>
      <w:r w:rsidR="000E2321" w:rsidRPr="000E2321">
        <w:rPr>
          <w:rFonts w:ascii="Times New Roman" w:hAnsi="Times New Roman"/>
          <w:color w:val="000000" w:themeColor="text1"/>
          <w:sz w:val="24"/>
          <w:szCs w:val="24"/>
          <w:vertAlign w:val="superscript"/>
        </w:rPr>
        <w:t>40</w:t>
      </w:r>
      <w:r w:rsidR="00BB646C" w:rsidRPr="00071D04">
        <w:rPr>
          <w:rFonts w:ascii="Times New Roman" w:hAnsi="Times New Roman"/>
          <w:color w:val="000000" w:themeColor="text1"/>
          <w:sz w:val="24"/>
          <w:szCs w:val="24"/>
        </w:rPr>
        <w:t xml:space="preserve"> </w:t>
      </w:r>
      <w:r w:rsidR="00527633" w:rsidRPr="00071D04">
        <w:rPr>
          <w:rFonts w:ascii="Times New Roman" w:hAnsi="Times New Roman"/>
          <w:color w:val="000000" w:themeColor="text1"/>
          <w:sz w:val="24"/>
          <w:szCs w:val="24"/>
        </w:rPr>
        <w:t xml:space="preserve">The estimated foetal weight from </w:t>
      </w:r>
      <w:proofErr w:type="gramStart"/>
      <w:r w:rsidR="00527633" w:rsidRPr="00071D04">
        <w:rPr>
          <w:rFonts w:ascii="Times New Roman" w:hAnsi="Times New Roman"/>
          <w:color w:val="000000" w:themeColor="text1"/>
          <w:sz w:val="24"/>
          <w:szCs w:val="24"/>
        </w:rPr>
        <w:t>this measurements</w:t>
      </w:r>
      <w:proofErr w:type="gramEnd"/>
      <w:r w:rsidR="00527633" w:rsidRPr="00071D04">
        <w:rPr>
          <w:rFonts w:ascii="Times New Roman" w:hAnsi="Times New Roman"/>
          <w:color w:val="000000" w:themeColor="text1"/>
          <w:sz w:val="24"/>
          <w:szCs w:val="24"/>
        </w:rPr>
        <w:t xml:space="preserve"> help as well to predict the eventual birth weight of the baby. This is important in planning for the birth of the baby as birth weight has been shown to be the single most powerful predictor of mortality in the first few months of life.</w:t>
      </w:r>
      <w:r w:rsidR="000E2321" w:rsidRPr="000E2321">
        <w:rPr>
          <w:rFonts w:ascii="Times New Roman" w:hAnsi="Times New Roman"/>
          <w:color w:val="000000" w:themeColor="text1"/>
          <w:sz w:val="24"/>
          <w:szCs w:val="24"/>
          <w:vertAlign w:val="superscript"/>
        </w:rPr>
        <w:t>41-44</w:t>
      </w:r>
      <w:r w:rsidR="000E2321" w:rsidRPr="00071D04">
        <w:rPr>
          <w:rFonts w:ascii="Times New Roman" w:hAnsi="Times New Roman"/>
          <w:color w:val="000000" w:themeColor="text1"/>
          <w:sz w:val="24"/>
          <w:szCs w:val="24"/>
        </w:rPr>
        <w:t xml:space="preserve"> </w:t>
      </w:r>
    </w:p>
    <w:p w14:paraId="3DA395E4" w14:textId="73F8AB0E" w:rsidR="009F07A9" w:rsidRPr="00071D04" w:rsidRDefault="00527633" w:rsidP="009F07A9">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Furthermore, serial measurement height, plays a vital role in the post intervention monitoring of children with genetic and endocrine diseases like Turners syndrome, Growth Hormone deficiency and precocious puberty among others.</w:t>
      </w:r>
    </w:p>
    <w:p w14:paraId="64831835" w14:textId="3D15626B"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3.5 </w:t>
      </w:r>
      <w:r w:rsidR="009056CC" w:rsidRPr="00071D04">
        <w:rPr>
          <w:rFonts w:ascii="Times New Roman" w:hAnsi="Times New Roman"/>
          <w:b/>
          <w:color w:val="000000" w:themeColor="text1"/>
          <w:sz w:val="24"/>
          <w:szCs w:val="24"/>
        </w:rPr>
        <w:t xml:space="preserve">Methods of Measuring Height </w:t>
      </w:r>
      <w:r w:rsidR="00B3798A" w:rsidRPr="00071D04">
        <w:rPr>
          <w:rFonts w:ascii="Times New Roman" w:hAnsi="Times New Roman"/>
          <w:b/>
          <w:color w:val="000000" w:themeColor="text1"/>
          <w:sz w:val="24"/>
          <w:szCs w:val="24"/>
        </w:rPr>
        <w:t>in</w:t>
      </w:r>
      <w:r w:rsidR="009056CC" w:rsidRPr="00071D04">
        <w:rPr>
          <w:rFonts w:ascii="Times New Roman" w:hAnsi="Times New Roman"/>
          <w:b/>
          <w:color w:val="000000" w:themeColor="text1"/>
          <w:sz w:val="24"/>
          <w:szCs w:val="24"/>
        </w:rPr>
        <w:t xml:space="preserve"> Children </w:t>
      </w:r>
    </w:p>
    <w:p w14:paraId="1444A39D" w14:textId="00901986"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Height measurement in children is done in different ways at home and in the hospital like using tape measure on the wall, measuring against the wall while the child is standing erect and then using tape measure to check the value, marking examination paper at the foot and head of a supine infant, or using a simple wall growth chart with a book or ruler on the head or comparing the height of the child to an object with a known height.</w:t>
      </w:r>
      <w:r w:rsidR="000E2321" w:rsidRPr="000E2321">
        <w:rPr>
          <w:rFonts w:ascii="Times New Roman" w:hAnsi="Times New Roman"/>
          <w:color w:val="000000" w:themeColor="text1"/>
          <w:sz w:val="24"/>
          <w:szCs w:val="24"/>
          <w:vertAlign w:val="superscript"/>
        </w:rPr>
        <w:t>1,</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&lt;EndNote&gt;&lt;Cite&gt;&lt;Author&gt;Keane&lt;/Author&gt;&lt;Year&gt;2007&lt;/Year&gt;&lt;RecNum&gt;11&lt;/RecNum&gt;&lt;DisplayText&gt;&lt;style face="superscript"&gt;11&lt;/style&gt;&lt;/DisplayText&gt;&lt;record&gt;&lt;rec-number&gt;11&lt;/rec-number&gt;&lt;foreign-keys&gt;&lt;key app="EN" db-id="artfe59rd92tx0eswfsvxr0ysr52aadvw92v" timestamp="0"&gt;11&lt;/key&gt;&lt;/foreign-keys&gt;&lt;ref-type name="Book Section"&gt;5&lt;/ref-type&gt;&lt;contributors&gt;&lt;authors&gt;&lt;author&gt;Keane, V&lt;/author&gt;&lt;/authors&gt;&lt;secondary-authors&gt;&lt;author&gt;Kliegman, R M&lt;/author&gt;&lt;author&gt; Behrman, R E&lt;/author&gt;&lt;author&gt; Jenson, H B&lt;/author&gt;&lt;author&gt; Stanton, B F&lt;/author&gt;&lt;/secondary-authors&gt;&lt;/contributors&gt;&lt;titles&gt;&lt;title&gt; Assessment of Growth&lt;/title&gt;&lt;secondary-title&gt;Nelson Textbook of Pediatrics&lt;/secondary-title&gt;&lt;/titles&gt;&lt;edition&gt; 18th &lt;/edition&gt;&lt;section&gt;14&lt;/section&gt;&lt;dates&gt;&lt;year&gt;2007&lt;/year&gt;&lt;/dates&gt;&lt;pub-location&gt;Philadelphia&lt;/pub-location&gt;&lt;publisher&gt; Saunders Elsevier&lt;/publisher&gt;&lt;urls&gt;&lt;/urls&gt;&lt;/record&gt;&lt;/Cite&gt;&lt;/EndNote&gt;</w:instrText>
      </w:r>
      <w:r w:rsidRPr="00071D04">
        <w:rPr>
          <w:rFonts w:ascii="Times New Roman" w:hAnsi="Times New Roman"/>
          <w:color w:val="000000" w:themeColor="text1"/>
          <w:sz w:val="24"/>
          <w:szCs w:val="24"/>
        </w:rPr>
        <w:fldChar w:fldCharType="separate"/>
      </w:r>
      <w:r w:rsidR="00BC5555" w:rsidRPr="00071D04">
        <w:rPr>
          <w:rFonts w:ascii="Times New Roman" w:hAnsi="Times New Roman"/>
          <w:noProof/>
          <w:color w:val="000000" w:themeColor="text1"/>
          <w:sz w:val="24"/>
          <w:szCs w:val="24"/>
          <w:vertAlign w:val="superscript"/>
        </w:rPr>
        <w:t>11</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The most accurate and accepted method of measuring height in children is with the use of stadiometer in children greater than 2years and </w:t>
      </w:r>
      <w:proofErr w:type="spellStart"/>
      <w:r w:rsidRPr="00071D04">
        <w:rPr>
          <w:rFonts w:ascii="Times New Roman" w:hAnsi="Times New Roman"/>
          <w:color w:val="000000" w:themeColor="text1"/>
          <w:sz w:val="24"/>
          <w:szCs w:val="24"/>
        </w:rPr>
        <w:t>infantometer</w:t>
      </w:r>
      <w:proofErr w:type="spellEnd"/>
      <w:r w:rsidRPr="00071D04">
        <w:rPr>
          <w:rFonts w:ascii="Times New Roman" w:hAnsi="Times New Roman"/>
          <w:color w:val="000000" w:themeColor="text1"/>
          <w:sz w:val="24"/>
          <w:szCs w:val="24"/>
        </w:rPr>
        <w:t xml:space="preserve"> in children 2years and below. Measurements obtained in alternative manners can lead to inaccuracy that may render the measurement useless.</w:t>
      </w:r>
      <w:r w:rsidR="000E2321" w:rsidRPr="000E2321">
        <w:rPr>
          <w:rFonts w:ascii="Times New Roman" w:hAnsi="Times New Roman"/>
          <w:color w:val="000000" w:themeColor="text1"/>
          <w:sz w:val="24"/>
          <w:szCs w:val="24"/>
          <w:vertAlign w:val="superscript"/>
        </w:rPr>
        <w:t>1,11</w:t>
      </w:r>
      <w:r w:rsidRPr="00071D04">
        <w:rPr>
          <w:rFonts w:ascii="Times New Roman" w:hAnsi="Times New Roman"/>
          <w:color w:val="000000" w:themeColor="text1"/>
          <w:sz w:val="24"/>
          <w:szCs w:val="24"/>
        </w:rPr>
        <w:t xml:space="preserve"> Length should be measured with an </w:t>
      </w:r>
      <w:proofErr w:type="spellStart"/>
      <w:r w:rsidRPr="00071D04">
        <w:rPr>
          <w:rFonts w:ascii="Times New Roman" w:hAnsi="Times New Roman"/>
          <w:color w:val="000000" w:themeColor="text1"/>
          <w:sz w:val="24"/>
          <w:szCs w:val="24"/>
        </w:rPr>
        <w:t>infantometer</w:t>
      </w:r>
      <w:proofErr w:type="spellEnd"/>
      <w:r w:rsidRPr="00071D04">
        <w:rPr>
          <w:rFonts w:ascii="Times New Roman" w:hAnsi="Times New Roman"/>
          <w:color w:val="000000" w:themeColor="text1"/>
          <w:sz w:val="24"/>
          <w:szCs w:val="24"/>
        </w:rPr>
        <w:t>, which has a firm, flat horizontal surface with an immovable headpiece and a movable foot</w:t>
      </w:r>
      <w:r w:rsidR="00B3798A"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piece. Height should be measured with a stadiometer, which has a vertical board with an attached measuring rule, an immovable footboard and a movable headboard.</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&lt;EndNote&gt;&lt;Cite&gt;&lt;Author&gt;Onyango&lt;/Author&gt;&lt;Year&gt;2008&lt;/Year&gt;&lt;RecNum&gt;2&lt;/RecNum&gt;&lt;DisplayText&gt;&lt;style face="superscript"&gt;2&lt;/style&gt;&lt;/DisplayText&gt;&lt;record&gt;&lt;rec-number&gt;2&lt;/rec-number&gt;&lt;foreign-keys&gt;&lt;key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2</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Height /Length is most accurately measured by two examiners (one to position the child), with the child erect/supine on the measuring </w:t>
      </w:r>
      <w:r w:rsidRPr="00071D04">
        <w:rPr>
          <w:rFonts w:ascii="Times New Roman" w:hAnsi="Times New Roman"/>
          <w:color w:val="000000" w:themeColor="text1"/>
          <w:sz w:val="24"/>
          <w:szCs w:val="24"/>
        </w:rPr>
        <w:lastRenderedPageBreak/>
        <w:t xml:space="preserve">device. The heels, the </w:t>
      </w:r>
      <w:r w:rsidR="004E4C28" w:rsidRPr="00071D04">
        <w:rPr>
          <w:rFonts w:ascii="Times New Roman" w:hAnsi="Times New Roman"/>
          <w:color w:val="000000" w:themeColor="text1"/>
          <w:sz w:val="24"/>
          <w:szCs w:val="24"/>
        </w:rPr>
        <w:t>calves</w:t>
      </w:r>
      <w:r w:rsidRPr="00071D04">
        <w:rPr>
          <w:rFonts w:ascii="Times New Roman" w:hAnsi="Times New Roman"/>
          <w:color w:val="000000" w:themeColor="text1"/>
          <w:sz w:val="24"/>
          <w:szCs w:val="24"/>
        </w:rPr>
        <w:t xml:space="preserve">, buttocks, shoulder blades and back of the head of the child should be touching the board, while eyes are looking straight ahead. The measurement should be read at eye level where the lower edge of the board intersects the measuring tape. The measurement should be read to the nearest 0.1cm and recorded. </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&lt;EndNote&gt;&lt;Cite&gt;&lt;Author&gt;Onyango&lt;/Author&gt;&lt;Year&gt;2008&lt;/Year&gt;&lt;RecNum&gt;2&lt;/RecNum&gt;&lt;DisplayText&gt;&lt;style face="superscript"&gt;2&lt;/style&gt;&lt;/DisplayText&gt;&lt;record&gt;&lt;rec-number&gt;2&lt;/rec-number&gt;&lt;foreign-keys&gt;&lt;key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2</w:t>
      </w:r>
      <w:r w:rsidRPr="00071D04">
        <w:rPr>
          <w:rFonts w:ascii="Times New Roman" w:hAnsi="Times New Roman"/>
          <w:color w:val="000000" w:themeColor="text1"/>
          <w:sz w:val="24"/>
          <w:szCs w:val="24"/>
        </w:rPr>
        <w:fldChar w:fldCharType="end"/>
      </w:r>
    </w:p>
    <w:p w14:paraId="58113DB9" w14:textId="5451F4FA"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3.6 </w:t>
      </w:r>
      <w:r w:rsidR="007313C5" w:rsidRPr="00071D04">
        <w:rPr>
          <w:rFonts w:ascii="Times New Roman" w:hAnsi="Times New Roman"/>
          <w:b/>
          <w:color w:val="000000" w:themeColor="text1"/>
          <w:sz w:val="24"/>
          <w:szCs w:val="24"/>
        </w:rPr>
        <w:t>Methods of Estimating Height in Children</w:t>
      </w:r>
    </w:p>
    <w:p w14:paraId="613B6983" w14:textId="77777777" w:rsidR="00B27699" w:rsidRPr="00071D04" w:rsidRDefault="00B27699" w:rsidP="00C553B3">
      <w:pPr>
        <w:spacing w:after="0"/>
        <w:jc w:val="both"/>
        <w:rPr>
          <w:rFonts w:ascii="Times New Roman" w:eastAsia="Times New Roman" w:hAnsi="Times New Roman"/>
          <w:b/>
          <w:color w:val="000000" w:themeColor="text1"/>
          <w:sz w:val="24"/>
          <w:szCs w:val="24"/>
          <w:lang w:eastAsia="en-GB"/>
        </w:rPr>
      </w:pPr>
    </w:p>
    <w:p w14:paraId="3F4BB5DC" w14:textId="24573974" w:rsidR="007313C5" w:rsidRPr="009F07A9" w:rsidRDefault="00527633" w:rsidP="00C553B3">
      <w:pPr>
        <w:spacing w:after="0"/>
        <w:jc w:val="both"/>
        <w:rPr>
          <w:rFonts w:ascii="Times New Roman" w:eastAsia="Times New Roman" w:hAnsi="Times New Roman"/>
          <w:b/>
          <w:i/>
          <w:iCs/>
          <w:color w:val="000000" w:themeColor="text1"/>
          <w:sz w:val="24"/>
          <w:szCs w:val="24"/>
          <w:lang w:eastAsia="en-GB"/>
        </w:rPr>
      </w:pPr>
      <w:r w:rsidRPr="009F07A9">
        <w:rPr>
          <w:rFonts w:ascii="Times New Roman" w:eastAsia="Times New Roman" w:hAnsi="Times New Roman"/>
          <w:b/>
          <w:i/>
          <w:iCs/>
          <w:color w:val="000000" w:themeColor="text1"/>
          <w:sz w:val="24"/>
          <w:szCs w:val="24"/>
          <w:lang w:eastAsia="en-GB"/>
        </w:rPr>
        <w:t xml:space="preserve">Age based </w:t>
      </w:r>
      <w:r w:rsidR="00344B01" w:rsidRPr="009F07A9">
        <w:rPr>
          <w:rFonts w:ascii="Times New Roman" w:eastAsia="Times New Roman" w:hAnsi="Times New Roman"/>
          <w:b/>
          <w:i/>
          <w:iCs/>
          <w:color w:val="000000" w:themeColor="text1"/>
          <w:sz w:val="24"/>
          <w:szCs w:val="24"/>
          <w:lang w:eastAsia="en-GB"/>
        </w:rPr>
        <w:t xml:space="preserve">Nelson </w:t>
      </w:r>
      <w:r w:rsidR="008364A5" w:rsidRPr="009F07A9">
        <w:rPr>
          <w:rFonts w:ascii="Times New Roman" w:eastAsia="Times New Roman" w:hAnsi="Times New Roman"/>
          <w:b/>
          <w:i/>
          <w:iCs/>
          <w:color w:val="000000" w:themeColor="text1"/>
          <w:sz w:val="24"/>
          <w:szCs w:val="24"/>
          <w:lang w:eastAsia="en-GB"/>
        </w:rPr>
        <w:t>formula.</w:t>
      </w:r>
      <w:r w:rsidR="00344B01" w:rsidRPr="009F07A9">
        <w:rPr>
          <w:rFonts w:ascii="Times New Roman" w:eastAsia="Times New Roman" w:hAnsi="Times New Roman"/>
          <w:b/>
          <w:i/>
          <w:iCs/>
          <w:color w:val="000000" w:themeColor="text1"/>
          <w:sz w:val="24"/>
          <w:szCs w:val="24"/>
          <w:lang w:eastAsia="en-GB"/>
        </w:rPr>
        <w:t xml:space="preserve"> </w:t>
      </w:r>
    </w:p>
    <w:p w14:paraId="568C88A5" w14:textId="6EB25D7E" w:rsidR="006B6EC7" w:rsidRPr="00071D04" w:rsidRDefault="006B6EC7" w:rsidP="00C553B3">
      <w:pPr>
        <w:jc w:val="both"/>
        <w:rPr>
          <w:rFonts w:ascii="Times New Roman" w:hAnsi="Times New Roman"/>
          <w:b/>
          <w:color w:val="000000" w:themeColor="text1"/>
          <w:sz w:val="24"/>
          <w:szCs w:val="24"/>
        </w:rPr>
      </w:pPr>
      <w:r w:rsidRPr="00071D04">
        <w:rPr>
          <w:rFonts w:ascii="Times New Roman" w:eastAsia="Times New Roman" w:hAnsi="Times New Roman"/>
          <w:color w:val="000000" w:themeColor="text1"/>
          <w:sz w:val="24"/>
          <w:szCs w:val="24"/>
          <w:lang w:eastAsia="en-GB"/>
        </w:rPr>
        <w:t>In paediatric practice, the commonest method of estimating height is by using the age based formula,</w:t>
      </w:r>
      <w:r w:rsidRPr="00071D04">
        <w:rPr>
          <w:rFonts w:ascii="Times New Roman" w:hAnsi="Times New Roman"/>
          <w:color w:val="000000" w:themeColor="text1"/>
          <w:sz w:val="24"/>
          <w:szCs w:val="24"/>
        </w:rPr>
        <w:t xml:space="preserve"> described in the Nelson textbook of pediatrics</w:t>
      </w:r>
      <w:r w:rsidR="00D92FFA"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LCAzMywgMTAyPC9zdHlsZT48L0Rpc3BsYXlUZXh0PjxyZWNvcmQ+PHJlYy1udW1iZXI+MTE8L3Jl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</w:fldData>
        </w:fldChar>
      </w:r>
      <w:r w:rsidR="008C4D21" w:rsidRPr="00071D04">
        <w:rPr>
          <w:rFonts w:ascii="Times New Roman" w:hAnsi="Times New Roman"/>
          <w:color w:val="000000" w:themeColor="text1"/>
          <w:sz w:val="24"/>
          <w:szCs w:val="24"/>
        </w:rPr>
        <w:instrText xml:space="preserve"> ADDIN EN.CITE </w:instrText>
      </w:r>
      <w:r w:rsidR="008C4D21"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LCAzMywgMTAyPC9zdHlsZT48L0Rpc3BsYXlUZXh0PjxyZWNvcmQ+PHJlYy1udW1iZXI+MTE8L3Jl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</w:fldData>
        </w:fldChar>
      </w:r>
      <w:r w:rsidR="008C4D21" w:rsidRPr="00071D04">
        <w:rPr>
          <w:rFonts w:ascii="Times New Roman" w:hAnsi="Times New Roman"/>
          <w:color w:val="000000" w:themeColor="text1"/>
          <w:sz w:val="24"/>
          <w:szCs w:val="24"/>
        </w:rPr>
        <w:instrText xml:space="preserve"> ADDIN EN.CITE.DATA </w:instrText>
      </w:r>
      <w:r w:rsidR="008C4D21" w:rsidRPr="00071D04">
        <w:rPr>
          <w:rFonts w:ascii="Times New Roman" w:hAnsi="Times New Roman"/>
          <w:color w:val="000000" w:themeColor="text1"/>
          <w:sz w:val="24"/>
          <w:szCs w:val="24"/>
        </w:rPr>
      </w:r>
      <w:r w:rsidR="008C4D21" w:rsidRPr="00071D04">
        <w:rPr>
          <w:rFonts w:ascii="Times New Roman" w:hAnsi="Times New Roman"/>
          <w:color w:val="000000" w:themeColor="text1"/>
          <w:sz w:val="24"/>
          <w:szCs w:val="24"/>
        </w:rPr>
        <w:fldChar w:fldCharType="end"/>
      </w:r>
      <w:r w:rsidR="00D92FFA" w:rsidRPr="00071D04">
        <w:rPr>
          <w:rFonts w:ascii="Times New Roman" w:hAnsi="Times New Roman"/>
          <w:color w:val="000000" w:themeColor="text1"/>
          <w:sz w:val="24"/>
          <w:szCs w:val="24"/>
        </w:rPr>
      </w:r>
      <w:r w:rsidR="00D92FFA" w:rsidRPr="00071D04">
        <w:rPr>
          <w:rFonts w:ascii="Times New Roman" w:hAnsi="Times New Roman"/>
          <w:color w:val="000000" w:themeColor="text1"/>
          <w:sz w:val="24"/>
          <w:szCs w:val="24"/>
        </w:rPr>
        <w:fldChar w:fldCharType="separate"/>
      </w:r>
      <w:r w:rsidR="000E2321">
        <w:rPr>
          <w:rFonts w:ascii="Times New Roman" w:hAnsi="Times New Roman"/>
          <w:noProof/>
          <w:color w:val="000000" w:themeColor="text1"/>
          <w:sz w:val="24"/>
          <w:szCs w:val="24"/>
          <w:vertAlign w:val="superscript"/>
        </w:rPr>
        <w:t>1</w:t>
      </w:r>
      <w:r w:rsidR="00D92FFA"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as, 6n+ 77, where n is the age in years from age 2-12years, written in a table with the age based formulae for estimating weight in children.</w:t>
      </w:r>
      <w:r w:rsidR="000E2321" w:rsidRPr="000E2321">
        <w:rPr>
          <w:rFonts w:ascii="Times New Roman" w:hAnsi="Times New Roman"/>
          <w:color w:val="000000" w:themeColor="text1"/>
          <w:sz w:val="24"/>
          <w:szCs w:val="24"/>
          <w:vertAlign w:val="superscript"/>
        </w:rPr>
        <w:t>11,32</w:t>
      </w:r>
      <w:r w:rsidR="009B61FC">
        <w:rPr>
          <w:rFonts w:ascii="Times New Roman" w:hAnsi="Times New Roman"/>
          <w:color w:val="000000" w:themeColor="text1"/>
          <w:sz w:val="24"/>
          <w:szCs w:val="24"/>
          <w:vertAlign w:val="superscript"/>
        </w:rPr>
        <w:t>,33</w:t>
      </w:r>
      <w:r w:rsidRPr="00071D04">
        <w:rPr>
          <w:rFonts w:ascii="Times New Roman" w:hAnsi="Times New Roman"/>
          <w:color w:val="000000" w:themeColor="text1"/>
          <w:sz w:val="24"/>
          <w:szCs w:val="24"/>
        </w:rPr>
        <w:t xml:space="preserve"> These formulae have been referred to by many publications, as the “Nelson Formulae” for estimating weight and height</w:t>
      </w:r>
      <w:r w:rsidR="009B61FC" w:rsidRPr="009B61FC">
        <w:rPr>
          <w:rFonts w:ascii="Times New Roman" w:hAnsi="Times New Roman"/>
          <w:color w:val="000000" w:themeColor="text1"/>
          <w:sz w:val="24"/>
          <w:szCs w:val="24"/>
          <w:vertAlign w:val="superscript"/>
        </w:rPr>
        <w:t>45-47</w:t>
      </w:r>
      <w:r w:rsidR="00701738" w:rsidRPr="00071D04">
        <w:rPr>
          <w:rFonts w:ascii="Times New Roman" w:hAnsi="Times New Roman"/>
          <w:color w:val="000000" w:themeColor="text1"/>
          <w:sz w:val="24"/>
          <w:szCs w:val="24"/>
        </w:rPr>
        <w:t xml:space="preserve"> while some other studies</w:t>
      </w:r>
      <w:r w:rsidR="00F30FDA" w:rsidRPr="00071D04">
        <w:rPr>
          <w:rFonts w:ascii="Times New Roman" w:hAnsi="Times New Roman"/>
          <w:color w:val="000000" w:themeColor="text1"/>
          <w:sz w:val="24"/>
          <w:szCs w:val="24"/>
        </w:rPr>
        <w:fldChar w:fldCharType="begin">
          <w:fldData xml:space="preserve">PEVuZE5vdGU+PENpdGU+PEF1dGhvcj5IYXE8L0F1dGhvcj48WWVhcj4yMDEwPC9ZZWFyPjxSZWNO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</w:fldData>
        </w:fldChar>
      </w:r>
      <w:r w:rsidR="008C4D21" w:rsidRPr="00071D04">
        <w:rPr>
          <w:rFonts w:ascii="Times New Roman" w:hAnsi="Times New Roman"/>
          <w:color w:val="000000" w:themeColor="text1"/>
          <w:sz w:val="24"/>
          <w:szCs w:val="24"/>
        </w:rPr>
        <w:instrText xml:space="preserve"> ADDIN EN.CITE </w:instrText>
      </w:r>
      <w:r w:rsidR="008C4D21" w:rsidRPr="00071D04">
        <w:rPr>
          <w:rFonts w:ascii="Times New Roman" w:hAnsi="Times New Roman"/>
          <w:color w:val="000000" w:themeColor="text1"/>
          <w:sz w:val="24"/>
          <w:szCs w:val="24"/>
        </w:rPr>
        <w:fldChar w:fldCharType="begin">
          <w:fldData xml:space="preserve">PEVuZE5vdGU+PENpdGU+PEF1dGhvcj5IYXE8L0F1dGhvcj48WWVhcj4yMDEwPC9ZZWFyPjxSZWNO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</w:fldData>
        </w:fldChar>
      </w:r>
      <w:r w:rsidR="008C4D21" w:rsidRPr="00071D04">
        <w:rPr>
          <w:rFonts w:ascii="Times New Roman" w:hAnsi="Times New Roman"/>
          <w:color w:val="000000" w:themeColor="text1"/>
          <w:sz w:val="24"/>
          <w:szCs w:val="24"/>
        </w:rPr>
        <w:instrText xml:space="preserve"> ADDIN EN.CITE.DATA </w:instrText>
      </w:r>
      <w:r w:rsidR="008C4D21" w:rsidRPr="00071D04">
        <w:rPr>
          <w:rFonts w:ascii="Times New Roman" w:hAnsi="Times New Roman"/>
          <w:color w:val="000000" w:themeColor="text1"/>
          <w:sz w:val="24"/>
          <w:szCs w:val="24"/>
        </w:rPr>
      </w:r>
      <w:r w:rsidR="008C4D21" w:rsidRPr="00071D04">
        <w:rPr>
          <w:rFonts w:ascii="Times New Roman" w:hAnsi="Times New Roman"/>
          <w:color w:val="000000" w:themeColor="text1"/>
          <w:sz w:val="24"/>
          <w:szCs w:val="24"/>
        </w:rPr>
        <w:fldChar w:fldCharType="end"/>
      </w:r>
      <w:r w:rsidR="00F30FDA" w:rsidRPr="00071D04">
        <w:rPr>
          <w:rFonts w:ascii="Times New Roman" w:hAnsi="Times New Roman"/>
          <w:color w:val="000000" w:themeColor="text1"/>
          <w:sz w:val="24"/>
          <w:szCs w:val="24"/>
        </w:rPr>
      </w:r>
      <w:r w:rsidR="00F30FDA" w:rsidRPr="00071D04">
        <w:rPr>
          <w:rFonts w:ascii="Times New Roman" w:hAnsi="Times New Roman"/>
          <w:color w:val="000000" w:themeColor="text1"/>
          <w:sz w:val="24"/>
          <w:szCs w:val="24"/>
        </w:rPr>
        <w:fldChar w:fldCharType="end"/>
      </w:r>
      <w:r w:rsidR="00701738" w:rsidRPr="00071D04">
        <w:rPr>
          <w:rFonts w:ascii="Times New Roman" w:hAnsi="Times New Roman"/>
          <w:color w:val="000000" w:themeColor="text1"/>
          <w:sz w:val="24"/>
          <w:szCs w:val="24"/>
        </w:rPr>
        <w:t xml:space="preserve"> refer to the formulae as the “</w:t>
      </w:r>
      <w:proofErr w:type="spellStart"/>
      <w:r w:rsidR="00701738" w:rsidRPr="00071D04">
        <w:rPr>
          <w:rFonts w:ascii="Times New Roman" w:hAnsi="Times New Roman"/>
          <w:color w:val="000000" w:themeColor="text1"/>
          <w:sz w:val="24"/>
          <w:szCs w:val="24"/>
        </w:rPr>
        <w:t>Weech</w:t>
      </w:r>
      <w:proofErr w:type="spellEnd"/>
      <w:r w:rsidR="00701738" w:rsidRPr="00071D04">
        <w:rPr>
          <w:rFonts w:ascii="Times New Roman" w:hAnsi="Times New Roman"/>
          <w:color w:val="000000" w:themeColor="text1"/>
          <w:sz w:val="24"/>
          <w:szCs w:val="24"/>
        </w:rPr>
        <w:t xml:space="preserve"> Formulae” after  Alexander Weech</w:t>
      </w:r>
      <w:r w:rsidR="009B61FC" w:rsidRPr="009B61FC">
        <w:rPr>
          <w:rFonts w:ascii="Times New Roman" w:hAnsi="Times New Roman"/>
          <w:color w:val="000000" w:themeColor="text1"/>
          <w:sz w:val="24"/>
          <w:szCs w:val="24"/>
          <w:vertAlign w:val="superscript"/>
        </w:rPr>
        <w:t>4</w:t>
      </w:r>
      <w:r w:rsidR="00701738" w:rsidRPr="00071D04">
        <w:rPr>
          <w:rFonts w:ascii="Times New Roman" w:hAnsi="Times New Roman"/>
          <w:color w:val="000000" w:themeColor="text1"/>
          <w:sz w:val="24"/>
          <w:szCs w:val="24"/>
        </w:rPr>
        <w:t xml:space="preserve"> the originator of the formulae.</w:t>
      </w:r>
    </w:p>
    <w:p w14:paraId="686305F8" w14:textId="48A35D2A" w:rsidR="00527633" w:rsidRPr="00071D04" w:rsidRDefault="00527633"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Although </w:t>
      </w:r>
      <w:r w:rsidR="002427CA" w:rsidRPr="00071D04">
        <w:rPr>
          <w:rFonts w:ascii="Times New Roman" w:hAnsi="Times New Roman"/>
          <w:color w:val="000000" w:themeColor="text1"/>
          <w:sz w:val="24"/>
          <w:szCs w:val="24"/>
        </w:rPr>
        <w:t>several</w:t>
      </w:r>
      <w:r w:rsidRPr="00071D04">
        <w:rPr>
          <w:rFonts w:ascii="Times New Roman" w:hAnsi="Times New Roman"/>
          <w:color w:val="000000" w:themeColor="text1"/>
          <w:sz w:val="24"/>
          <w:szCs w:val="24"/>
        </w:rPr>
        <w:t xml:space="preserve"> studies have attempted to validate the age-based Nelson formula for weight in different population,</w:t>
      </w:r>
      <w:r w:rsidR="009B61FC" w:rsidRPr="009B61FC">
        <w:rPr>
          <w:rFonts w:ascii="Times New Roman" w:hAnsi="Times New Roman"/>
          <w:color w:val="000000" w:themeColor="text1"/>
          <w:sz w:val="24"/>
          <w:szCs w:val="24"/>
          <w:vertAlign w:val="superscript"/>
        </w:rPr>
        <w:t>46,47</w:t>
      </w:r>
      <w:r w:rsidRPr="00071D04">
        <w:rPr>
          <w:rFonts w:ascii="Times New Roman" w:hAnsi="Times New Roman"/>
          <w:color w:val="000000" w:themeColor="text1"/>
          <w:sz w:val="24"/>
          <w:szCs w:val="24"/>
        </w:rPr>
        <w:t xml:space="preserve"> those that evaluated the accuracy of the Nelson formula for height in healthy children population are few. </w:t>
      </w:r>
      <w:r w:rsidR="00344B01" w:rsidRPr="00071D04">
        <w:rPr>
          <w:rFonts w:ascii="Times New Roman" w:hAnsi="Times New Roman"/>
          <w:color w:val="000000" w:themeColor="text1"/>
          <w:sz w:val="24"/>
          <w:szCs w:val="24"/>
        </w:rPr>
        <w:t>A few</w:t>
      </w:r>
      <w:r w:rsidRPr="00071D04">
        <w:rPr>
          <w:rFonts w:ascii="Times New Roman" w:hAnsi="Times New Roman"/>
          <w:color w:val="000000" w:themeColor="text1"/>
          <w:sz w:val="24"/>
          <w:szCs w:val="24"/>
        </w:rPr>
        <w:t xml:space="preserve"> studies on the evaluation of the Nelson Formulae in Nigeria</w:t>
      </w:r>
      <w:r w:rsidR="00344B01" w:rsidRPr="00071D04">
        <w:rPr>
          <w:rFonts w:ascii="Times New Roman" w:hAnsi="Times New Roman"/>
          <w:color w:val="000000" w:themeColor="text1"/>
          <w:sz w:val="24"/>
          <w:szCs w:val="24"/>
        </w:rPr>
        <w:t xml:space="preserve"> are reported in literat</w:t>
      </w:r>
      <w:r w:rsidR="00F63C6D" w:rsidRPr="00071D04">
        <w:rPr>
          <w:rFonts w:ascii="Times New Roman" w:hAnsi="Times New Roman"/>
          <w:color w:val="000000" w:themeColor="text1"/>
          <w:sz w:val="24"/>
          <w:szCs w:val="24"/>
        </w:rPr>
        <w:t>ure.</w:t>
      </w:r>
      <w:r w:rsidR="009B61FC" w:rsidRPr="009B61FC">
        <w:rPr>
          <w:rFonts w:ascii="Times New Roman" w:hAnsi="Times New Roman"/>
          <w:color w:val="000000" w:themeColor="text1"/>
          <w:sz w:val="24"/>
          <w:szCs w:val="24"/>
          <w:vertAlign w:val="superscript"/>
        </w:rPr>
        <w:t>11,28,32</w:t>
      </w:r>
      <w:r w:rsidR="009B61FC" w:rsidRPr="00071D04">
        <w:rPr>
          <w:rFonts w:ascii="Times New Roman" w:hAnsi="Times New Roman"/>
          <w:color w:val="000000" w:themeColor="text1"/>
          <w:sz w:val="24"/>
          <w:szCs w:val="24"/>
          <w:lang w:val="en-US"/>
        </w:rPr>
        <w:t xml:space="preserve"> </w:t>
      </w:r>
    </w:p>
    <w:p w14:paraId="39E8E7BE" w14:textId="77CD50C4"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Eke and colleagues</w:t>
      </w:r>
      <w:r w:rsidR="009B61FC" w:rsidRPr="009B61FC">
        <w:rPr>
          <w:rFonts w:ascii="Times New Roman" w:hAnsi="Times New Roman"/>
          <w:color w:val="000000" w:themeColor="text1"/>
          <w:sz w:val="24"/>
          <w:szCs w:val="24"/>
          <w:vertAlign w:val="superscript"/>
        </w:rPr>
        <w:t>8</w:t>
      </w:r>
      <w:r w:rsidRPr="00071D04">
        <w:rPr>
          <w:rFonts w:ascii="Times New Roman" w:hAnsi="Times New Roman"/>
          <w:color w:val="000000" w:themeColor="text1"/>
          <w:sz w:val="24"/>
          <w:szCs w:val="24"/>
        </w:rPr>
        <w:t xml:space="preserve"> in the Eastern Nigeria compared the </w:t>
      </w:r>
      <w:r w:rsidR="002427CA" w:rsidRPr="00071D04">
        <w:rPr>
          <w:rFonts w:ascii="Times New Roman" w:hAnsi="Times New Roman"/>
          <w:color w:val="000000" w:themeColor="text1"/>
          <w:sz w:val="24"/>
          <w:szCs w:val="24"/>
        </w:rPr>
        <w:t>aged, based</w:t>
      </w:r>
      <w:r w:rsidRPr="00071D04">
        <w:rPr>
          <w:rFonts w:ascii="Times New Roman" w:hAnsi="Times New Roman"/>
          <w:color w:val="000000" w:themeColor="text1"/>
          <w:sz w:val="24"/>
          <w:szCs w:val="24"/>
        </w:rPr>
        <w:t xml:space="preserve"> Nelson formula for both weight and height in children and found that the age-based Nelson formula for estimating weight and height underestimates their actual values. Eke </w:t>
      </w:r>
      <w:r w:rsidRPr="00071D04">
        <w:rPr>
          <w:rFonts w:ascii="Times New Roman" w:hAnsi="Times New Roman"/>
          <w:i/>
          <w:color w:val="000000" w:themeColor="text1"/>
          <w:sz w:val="24"/>
          <w:szCs w:val="24"/>
        </w:rPr>
        <w:t>et al</w:t>
      </w:r>
      <w:r w:rsidR="009B61FC" w:rsidRPr="009B61FC">
        <w:rPr>
          <w:rFonts w:ascii="Times New Roman" w:hAnsi="Times New Roman"/>
          <w:color w:val="000000" w:themeColor="text1"/>
          <w:sz w:val="24"/>
          <w:szCs w:val="24"/>
          <w:vertAlign w:val="superscript"/>
        </w:rPr>
        <w:t>8</w:t>
      </w:r>
      <w:r w:rsidRPr="00071D04">
        <w:rPr>
          <w:rFonts w:ascii="Times New Roman" w:hAnsi="Times New Roman"/>
          <w:color w:val="000000" w:themeColor="text1"/>
          <w:sz w:val="24"/>
          <w:szCs w:val="24"/>
        </w:rPr>
        <w:t xml:space="preserve"> recruited children who presented in the hospital for illnesses with varying degree of duration and severity.  The </w:t>
      </w:r>
      <w:r w:rsidR="0098764A" w:rsidRPr="00071D04">
        <w:rPr>
          <w:rFonts w:ascii="Times New Roman" w:hAnsi="Times New Roman"/>
          <w:color w:val="000000" w:themeColor="text1"/>
          <w:sz w:val="24"/>
          <w:szCs w:val="24"/>
        </w:rPr>
        <w:t>cross-sectional</w:t>
      </w:r>
      <w:r w:rsidRPr="00071D04">
        <w:rPr>
          <w:rFonts w:ascii="Times New Roman" w:hAnsi="Times New Roman"/>
          <w:color w:val="000000" w:themeColor="text1"/>
          <w:sz w:val="24"/>
          <w:szCs w:val="24"/>
        </w:rPr>
        <w:t xml:space="preserve"> nature of the study is appropriate and sampling procedure is reproducible as suggested by </w:t>
      </w:r>
      <w:proofErr w:type="spellStart"/>
      <w:r w:rsidRPr="00071D04">
        <w:rPr>
          <w:rFonts w:ascii="Times New Roman" w:hAnsi="Times New Roman"/>
          <w:color w:val="000000" w:themeColor="text1"/>
          <w:sz w:val="24"/>
          <w:szCs w:val="24"/>
        </w:rPr>
        <w:t>Waterlow</w:t>
      </w:r>
      <w:proofErr w:type="spellEnd"/>
      <w:r w:rsidRPr="00071D04">
        <w:rPr>
          <w:rFonts w:ascii="Times New Roman" w:hAnsi="Times New Roman"/>
          <w:color w:val="000000" w:themeColor="text1"/>
          <w:sz w:val="24"/>
          <w:szCs w:val="24"/>
        </w:rPr>
        <w:t xml:space="preserve"> et al</w:t>
      </w:r>
      <w:r w:rsidR="002427CA" w:rsidRPr="009B61FC">
        <w:rPr>
          <w:rFonts w:ascii="Times New Roman" w:hAnsi="Times New Roman"/>
          <w:color w:val="000000" w:themeColor="text1"/>
          <w:sz w:val="24"/>
          <w:szCs w:val="24"/>
          <w:vertAlign w:val="superscript"/>
        </w:rPr>
        <w:t>13</w:t>
      </w:r>
      <w:r w:rsidR="002427CA" w:rsidRPr="00071D04">
        <w:rPr>
          <w:rFonts w:ascii="Times New Roman" w:hAnsi="Times New Roman"/>
          <w:color w:val="000000" w:themeColor="text1"/>
          <w:sz w:val="24"/>
          <w:szCs w:val="24"/>
        </w:rPr>
        <w:t xml:space="preserve"> for</w:t>
      </w:r>
      <w:r w:rsidRPr="00071D04">
        <w:rPr>
          <w:rFonts w:ascii="Times New Roman" w:hAnsi="Times New Roman"/>
          <w:color w:val="000000" w:themeColor="text1"/>
          <w:sz w:val="24"/>
          <w:szCs w:val="24"/>
        </w:rPr>
        <w:t xml:space="preserve"> anthropometric data to use as reference, but the number of children recruited in each age group were small. No doubt, the sample size and the setting of the study by Eke </w:t>
      </w:r>
      <w:r w:rsidRPr="00071D04">
        <w:rPr>
          <w:rFonts w:ascii="Times New Roman" w:hAnsi="Times New Roman"/>
          <w:i/>
          <w:color w:val="000000" w:themeColor="text1"/>
          <w:sz w:val="24"/>
          <w:szCs w:val="24"/>
        </w:rPr>
        <w:t>et al</w:t>
      </w:r>
      <w:r w:rsidR="009B61FC" w:rsidRPr="009B61FC">
        <w:rPr>
          <w:rFonts w:ascii="Times New Roman" w:hAnsi="Times New Roman"/>
          <w:color w:val="000000" w:themeColor="text1"/>
          <w:sz w:val="24"/>
          <w:szCs w:val="24"/>
          <w:vertAlign w:val="superscript"/>
        </w:rPr>
        <w:t>8</w:t>
      </w:r>
      <w:r w:rsidR="009B61FC">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cannot sufficiently support generalisation of the findings to healthy children and large population of Nigerian children.</w:t>
      </w:r>
    </w:p>
    <w:p w14:paraId="370F2609" w14:textId="5686142B"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The study by </w:t>
      </w:r>
      <w:proofErr w:type="spellStart"/>
      <w:r w:rsidRPr="00071D04">
        <w:rPr>
          <w:rFonts w:ascii="Times New Roman" w:hAnsi="Times New Roman"/>
          <w:color w:val="000000" w:themeColor="text1"/>
          <w:sz w:val="24"/>
          <w:szCs w:val="24"/>
        </w:rPr>
        <w:t>Omisanjo</w:t>
      </w:r>
      <w:proofErr w:type="spellEnd"/>
      <w:r w:rsidRPr="00071D04">
        <w:rPr>
          <w:rFonts w:ascii="Times New Roman" w:hAnsi="Times New Roman"/>
          <w:color w:val="000000" w:themeColor="text1"/>
          <w:sz w:val="24"/>
          <w:szCs w:val="24"/>
        </w:rPr>
        <w:t xml:space="preserve"> et al</w:t>
      </w:r>
      <w:r w:rsidR="009B61FC" w:rsidRPr="009B61FC">
        <w:rPr>
          <w:rFonts w:ascii="Times New Roman" w:hAnsi="Times New Roman"/>
          <w:color w:val="000000" w:themeColor="text1"/>
          <w:sz w:val="24"/>
          <w:szCs w:val="24"/>
          <w:vertAlign w:val="superscript"/>
        </w:rPr>
        <w:t>11</w:t>
      </w:r>
      <w:r w:rsidRPr="00071D04">
        <w:rPr>
          <w:rFonts w:ascii="Times New Roman" w:hAnsi="Times New Roman"/>
          <w:color w:val="000000" w:themeColor="text1"/>
          <w:sz w:val="24"/>
          <w:szCs w:val="24"/>
        </w:rPr>
        <w:t xml:space="preserve"> that evaluated Nelson formulae in healthy children in Nigeria focused more on the formulae for weight estimation. In their publication, </w:t>
      </w:r>
      <w:proofErr w:type="spellStart"/>
      <w:r w:rsidRPr="00071D04">
        <w:rPr>
          <w:rFonts w:ascii="Times New Roman" w:hAnsi="Times New Roman"/>
          <w:color w:val="000000" w:themeColor="text1"/>
          <w:sz w:val="24"/>
          <w:szCs w:val="24"/>
        </w:rPr>
        <w:t>Omisanjo</w:t>
      </w:r>
      <w:proofErr w:type="spellEnd"/>
      <w:r w:rsidRPr="00071D04">
        <w:rPr>
          <w:rFonts w:ascii="Times New Roman" w:hAnsi="Times New Roman"/>
          <w:color w:val="000000" w:themeColor="text1"/>
          <w:sz w:val="24"/>
          <w:szCs w:val="24"/>
        </w:rPr>
        <w:t xml:space="preserve"> </w:t>
      </w:r>
      <w:r w:rsidRPr="00071D04">
        <w:rPr>
          <w:rFonts w:ascii="Times New Roman" w:hAnsi="Times New Roman"/>
          <w:i/>
          <w:color w:val="000000" w:themeColor="text1"/>
          <w:sz w:val="24"/>
          <w:szCs w:val="24"/>
        </w:rPr>
        <w:t>et a</w:t>
      </w:r>
      <w:r w:rsidR="009B61FC">
        <w:rPr>
          <w:rFonts w:ascii="Times New Roman" w:hAnsi="Times New Roman"/>
          <w:i/>
          <w:color w:val="000000" w:themeColor="text1"/>
          <w:sz w:val="24"/>
          <w:szCs w:val="24"/>
        </w:rPr>
        <w:t>l</w:t>
      </w:r>
      <w:r w:rsidR="009B61FC" w:rsidRPr="009B61FC">
        <w:rPr>
          <w:rFonts w:ascii="Times New Roman" w:hAnsi="Times New Roman"/>
          <w:i/>
          <w:color w:val="000000" w:themeColor="text1"/>
          <w:sz w:val="24"/>
          <w:szCs w:val="24"/>
          <w:vertAlign w:val="superscript"/>
        </w:rPr>
        <w:t>11</w:t>
      </w:r>
      <w:r w:rsidRPr="00071D04">
        <w:rPr>
          <w:rFonts w:ascii="Times New Roman" w:hAnsi="Times New Roman"/>
          <w:color w:val="000000" w:themeColor="text1"/>
          <w:sz w:val="24"/>
          <w:szCs w:val="24"/>
          <w:vertAlign w:val="superscript"/>
        </w:rPr>
        <w:t xml:space="preserve"> </w:t>
      </w:r>
      <w:r w:rsidRPr="00071D04">
        <w:rPr>
          <w:rFonts w:ascii="Times New Roman" w:hAnsi="Times New Roman"/>
          <w:color w:val="000000" w:themeColor="text1"/>
          <w:sz w:val="24"/>
          <w:szCs w:val="24"/>
        </w:rPr>
        <w:t xml:space="preserve">showed that the age-based Nelson formula and best guess formula for weight against actual value underestimated weight in children between the ages of 1-5 years and overestimated weight between the ages of 6-12years. It is worth noting that the study by </w:t>
      </w:r>
      <w:proofErr w:type="spellStart"/>
      <w:r w:rsidRPr="00071D04">
        <w:rPr>
          <w:rFonts w:ascii="Times New Roman" w:hAnsi="Times New Roman"/>
          <w:color w:val="000000" w:themeColor="text1"/>
          <w:sz w:val="24"/>
          <w:szCs w:val="24"/>
        </w:rPr>
        <w:t>Omisanjo</w:t>
      </w:r>
      <w:proofErr w:type="spellEnd"/>
      <w:r w:rsidRPr="00071D04">
        <w:rPr>
          <w:rFonts w:ascii="Times New Roman" w:hAnsi="Times New Roman"/>
          <w:color w:val="000000" w:themeColor="text1"/>
          <w:sz w:val="24"/>
          <w:szCs w:val="24"/>
        </w:rPr>
        <w:t xml:space="preserve"> and colleague</w:t>
      </w:r>
      <w:r w:rsidR="009B61FC" w:rsidRPr="009B61FC">
        <w:rPr>
          <w:rFonts w:ascii="Times New Roman" w:hAnsi="Times New Roman"/>
          <w:color w:val="000000" w:themeColor="text1"/>
          <w:sz w:val="24"/>
          <w:szCs w:val="24"/>
          <w:vertAlign w:val="superscript"/>
        </w:rPr>
        <w:t>11</w:t>
      </w:r>
      <w:r w:rsidRPr="00071D04">
        <w:rPr>
          <w:rFonts w:ascii="Times New Roman" w:hAnsi="Times New Roman"/>
          <w:color w:val="000000" w:themeColor="text1"/>
          <w:sz w:val="24"/>
          <w:szCs w:val="24"/>
        </w:rPr>
        <w:t xml:space="preserve"> was carried out among children in nursery/day-care centres, schools and immunization clinics. Although, there was no mention of any attempt to evaluate the formula for height estimation, the report by </w:t>
      </w:r>
      <w:proofErr w:type="spellStart"/>
      <w:r w:rsidRPr="00071D04">
        <w:rPr>
          <w:rFonts w:ascii="Times New Roman" w:hAnsi="Times New Roman"/>
          <w:color w:val="000000" w:themeColor="text1"/>
          <w:sz w:val="24"/>
          <w:szCs w:val="24"/>
        </w:rPr>
        <w:t>Omisanjo</w:t>
      </w:r>
      <w:proofErr w:type="spellEnd"/>
      <w:r w:rsidRPr="00071D04">
        <w:rPr>
          <w:rFonts w:ascii="Times New Roman" w:hAnsi="Times New Roman"/>
          <w:color w:val="000000" w:themeColor="text1"/>
          <w:sz w:val="24"/>
          <w:szCs w:val="24"/>
        </w:rPr>
        <w:t xml:space="preserve"> </w:t>
      </w:r>
      <w:r w:rsidRPr="00071D04">
        <w:rPr>
          <w:rFonts w:ascii="Times New Roman" w:hAnsi="Times New Roman"/>
          <w:i/>
          <w:color w:val="000000" w:themeColor="text1"/>
          <w:sz w:val="24"/>
          <w:szCs w:val="24"/>
        </w:rPr>
        <w:t>et a</w:t>
      </w:r>
      <w:r w:rsidR="009B61FC">
        <w:rPr>
          <w:rFonts w:ascii="Times New Roman" w:hAnsi="Times New Roman"/>
          <w:i/>
          <w:color w:val="000000" w:themeColor="text1"/>
          <w:sz w:val="24"/>
          <w:szCs w:val="24"/>
        </w:rPr>
        <w:t>l</w:t>
      </w:r>
      <w:r w:rsidR="009B61FC" w:rsidRPr="009B61FC">
        <w:rPr>
          <w:rFonts w:ascii="Times New Roman" w:hAnsi="Times New Roman"/>
          <w:i/>
          <w:color w:val="000000" w:themeColor="text1"/>
          <w:sz w:val="24"/>
          <w:szCs w:val="24"/>
          <w:vertAlign w:val="superscript"/>
        </w:rPr>
        <w:t>11</w:t>
      </w:r>
      <w:r w:rsidR="009B61FC">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on the inadequacy of the formula for weight estimation suggests that similar inaccuracy may be found in respect of the height estimation formula.</w:t>
      </w:r>
    </w:p>
    <w:p w14:paraId="42156A5B" w14:textId="21555708"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3.7 </w:t>
      </w:r>
      <w:r w:rsidR="00527633" w:rsidRPr="00071D04">
        <w:rPr>
          <w:rFonts w:ascii="Times New Roman" w:hAnsi="Times New Roman"/>
          <w:b/>
          <w:color w:val="000000" w:themeColor="text1"/>
          <w:sz w:val="24"/>
          <w:szCs w:val="24"/>
        </w:rPr>
        <w:t>Other Methods of Height Estimation</w:t>
      </w:r>
    </w:p>
    <w:p w14:paraId="4A9DF1B6" w14:textId="7EB165CB"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 xml:space="preserve"> Apart from the Nelson formula, other methods of estimating and predicting height in children have been explored and reported.  These include: the use of mid-parental height by Tanner et al in 1970</w:t>
      </w:r>
      <w:r w:rsidR="002427CA" w:rsidRPr="002427CA">
        <w:rPr>
          <w:rFonts w:ascii="Times New Roman" w:hAnsi="Times New Roman"/>
          <w:color w:val="000000" w:themeColor="text1"/>
          <w:sz w:val="24"/>
          <w:szCs w:val="24"/>
          <w:vertAlign w:val="superscript"/>
        </w:rPr>
        <w:t>48</w:t>
      </w:r>
      <w:r w:rsidRPr="00071D04">
        <w:rPr>
          <w:rFonts w:ascii="Times New Roman" w:hAnsi="Times New Roman"/>
          <w:color w:val="000000" w:themeColor="text1"/>
          <w:sz w:val="24"/>
          <w:szCs w:val="24"/>
        </w:rPr>
        <w:t>, use of segmental measurement of long bones, that is, the ulna,</w:t>
      </w:r>
      <w:r w:rsidR="002427CA" w:rsidRPr="002427CA">
        <w:rPr>
          <w:rFonts w:ascii="Times New Roman" w:hAnsi="Times New Roman"/>
          <w:color w:val="000000" w:themeColor="text1"/>
          <w:sz w:val="24"/>
          <w:szCs w:val="24"/>
          <w:vertAlign w:val="superscript"/>
        </w:rPr>
        <w:t>49</w:t>
      </w:r>
      <w:r w:rsidRPr="00071D04">
        <w:rPr>
          <w:rFonts w:ascii="Times New Roman" w:hAnsi="Times New Roman"/>
          <w:color w:val="000000" w:themeColor="text1"/>
          <w:sz w:val="24"/>
          <w:szCs w:val="24"/>
        </w:rPr>
        <w:t xml:space="preserve"> the tibia,</w:t>
      </w:r>
      <w:r w:rsidR="002427CA" w:rsidRPr="002427CA">
        <w:rPr>
          <w:rFonts w:ascii="Times New Roman" w:hAnsi="Times New Roman"/>
          <w:color w:val="000000" w:themeColor="text1"/>
          <w:sz w:val="24"/>
          <w:szCs w:val="24"/>
          <w:vertAlign w:val="superscript"/>
        </w:rPr>
        <w:t>50</w:t>
      </w:r>
      <w:r w:rsidRPr="00071D04">
        <w:rPr>
          <w:rFonts w:ascii="Times New Roman" w:hAnsi="Times New Roman"/>
          <w:color w:val="000000" w:themeColor="text1"/>
          <w:sz w:val="24"/>
          <w:szCs w:val="24"/>
        </w:rPr>
        <w:t xml:space="preserve"> </w:t>
      </w:r>
      <w:r w:rsidR="002427CA" w:rsidRPr="00071D04">
        <w:rPr>
          <w:rFonts w:ascii="Times New Roman" w:hAnsi="Times New Roman"/>
          <w:color w:val="000000" w:themeColor="text1"/>
          <w:sz w:val="24"/>
          <w:szCs w:val="24"/>
        </w:rPr>
        <w:t>forearm</w:t>
      </w:r>
      <w:r w:rsidRPr="00071D04">
        <w:rPr>
          <w:rFonts w:ascii="Times New Roman" w:hAnsi="Times New Roman"/>
          <w:color w:val="000000" w:themeColor="text1"/>
          <w:sz w:val="24"/>
          <w:szCs w:val="24"/>
        </w:rPr>
        <w:t xml:space="preserve"> length</w:t>
      </w:r>
      <w:r w:rsidR="002427CA" w:rsidRPr="002427CA">
        <w:rPr>
          <w:rFonts w:ascii="Times New Roman" w:hAnsi="Times New Roman"/>
          <w:color w:val="000000" w:themeColor="text1"/>
          <w:sz w:val="24"/>
          <w:szCs w:val="24"/>
          <w:vertAlign w:val="superscript"/>
        </w:rPr>
        <w:t>51</w:t>
      </w:r>
      <w:r w:rsidRPr="00071D04">
        <w:rPr>
          <w:rFonts w:ascii="Times New Roman" w:hAnsi="Times New Roman"/>
          <w:color w:val="000000" w:themeColor="text1"/>
          <w:sz w:val="24"/>
          <w:szCs w:val="24"/>
        </w:rPr>
        <w:t xml:space="preserve"> and even the arm span</w:t>
      </w:r>
      <w:r w:rsidR="002427CA" w:rsidRPr="002427CA">
        <w:rPr>
          <w:rFonts w:ascii="Times New Roman" w:hAnsi="Times New Roman"/>
          <w:color w:val="000000" w:themeColor="text1"/>
          <w:sz w:val="24"/>
          <w:szCs w:val="24"/>
          <w:vertAlign w:val="superscript"/>
        </w:rPr>
        <w:t>52</w:t>
      </w:r>
      <w:r w:rsidRPr="00071D04">
        <w:rPr>
          <w:rFonts w:ascii="Times New Roman" w:hAnsi="Times New Roman"/>
          <w:color w:val="000000" w:themeColor="text1"/>
          <w:sz w:val="24"/>
          <w:szCs w:val="24"/>
        </w:rPr>
        <w:t>, and use of hand length</w:t>
      </w:r>
      <w:r w:rsidR="002F22DC" w:rsidRPr="00071D04">
        <w:rPr>
          <w:rFonts w:ascii="Times New Roman" w:hAnsi="Times New Roman"/>
          <w:color w:val="000000" w:themeColor="text1"/>
          <w:sz w:val="24"/>
          <w:szCs w:val="24"/>
        </w:rPr>
        <w:t>.</w:t>
      </w:r>
      <w:r w:rsidR="002427CA" w:rsidRPr="002427CA">
        <w:rPr>
          <w:rFonts w:ascii="Times New Roman" w:hAnsi="Times New Roman"/>
          <w:color w:val="000000" w:themeColor="text1"/>
          <w:sz w:val="24"/>
          <w:szCs w:val="24"/>
          <w:vertAlign w:val="superscript"/>
        </w:rPr>
        <w:t>53</w:t>
      </w:r>
      <w:r w:rsidR="002427CA" w:rsidRPr="00071D04">
        <w:rPr>
          <w:rFonts w:ascii="Times New Roman" w:hAnsi="Times New Roman"/>
          <w:color w:val="000000" w:themeColor="text1"/>
          <w:sz w:val="24"/>
          <w:szCs w:val="24"/>
        </w:rPr>
        <w:t xml:space="preserve"> </w:t>
      </w:r>
    </w:p>
    <w:p w14:paraId="284EA5FD" w14:textId="47E8C4FB"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use of mid-parental height that was first studied in history by Tanner et al in 1970.</w:t>
      </w:r>
      <w:r w:rsidR="002427CA" w:rsidRPr="002427CA">
        <w:rPr>
          <w:rFonts w:ascii="Times New Roman" w:hAnsi="Times New Roman"/>
          <w:color w:val="000000" w:themeColor="text1"/>
          <w:sz w:val="24"/>
          <w:szCs w:val="24"/>
          <w:vertAlign w:val="superscript"/>
        </w:rPr>
        <w:t>48</w:t>
      </w:r>
      <w:r w:rsidRPr="00071D04">
        <w:rPr>
          <w:rFonts w:ascii="Times New Roman" w:hAnsi="Times New Roman"/>
          <w:color w:val="000000" w:themeColor="text1"/>
          <w:sz w:val="24"/>
          <w:szCs w:val="24"/>
        </w:rPr>
        <w:t xml:space="preserve"> This is a method that estimates children`s expected adult height from both parents height using an equation or formula that finds the average of both parent`s height after correcting for the child`s sex by adding (if a boy) or removing (if a girl) a fraction from the father`s height before finding the average of both parents height. An example is this; Mid Parental Height for</w:t>
      </w:r>
      <w:bookmarkStart w:id="1" w:name="4-u1.0-B978-1-4160-2450-7..50016-5--para"/>
      <w:bookmarkEnd w:id="1"/>
      <w:r w:rsidRPr="00071D04">
        <w:rPr>
          <w:rFonts w:ascii="Times New Roman" w:hAnsi="Times New Roman"/>
          <w:color w:val="000000" w:themeColor="text1"/>
          <w:sz w:val="24"/>
          <w:szCs w:val="24"/>
        </w:rPr>
        <w:t xml:space="preserve"> </w:t>
      </w:r>
      <w:r w:rsidRPr="00071D04">
        <w:rPr>
          <w:rStyle w:val="text"/>
          <w:rFonts w:ascii="Times New Roman" w:hAnsi="Times New Roman"/>
          <w:color w:val="000000" w:themeColor="text1"/>
          <w:sz w:val="24"/>
          <w:szCs w:val="24"/>
        </w:rPr>
        <w:t>Boys = (maternal height + paternal height + 13cm)/2 and Mid Parental Height for Girls = (maternal height + paternal height – 13cm)/2</w:t>
      </w:r>
      <w:r w:rsidRPr="00071D04">
        <w:rPr>
          <w:rFonts w:ascii="Times New Roman" w:hAnsi="Times New Roman"/>
          <w:color w:val="000000" w:themeColor="text1"/>
          <w:sz w:val="24"/>
          <w:szCs w:val="24"/>
        </w:rPr>
        <w:t>.</w:t>
      </w:r>
      <w:r w:rsidR="002427CA" w:rsidRPr="002427CA">
        <w:rPr>
          <w:rFonts w:ascii="Times New Roman" w:hAnsi="Times New Roman"/>
          <w:color w:val="000000" w:themeColor="text1"/>
          <w:sz w:val="24"/>
          <w:szCs w:val="24"/>
          <w:vertAlign w:val="superscript"/>
        </w:rPr>
        <w:t>1</w:t>
      </w:r>
      <w:r w:rsidRPr="00071D04">
        <w:rPr>
          <w:rFonts w:ascii="Times New Roman" w:hAnsi="Times New Roman"/>
          <w:color w:val="000000" w:themeColor="text1"/>
          <w:sz w:val="24"/>
          <w:szCs w:val="24"/>
        </w:rPr>
        <w:t xml:space="preserve"> </w:t>
      </w:r>
    </w:p>
    <w:p w14:paraId="22802775" w14:textId="77777777" w:rsidR="00B27699" w:rsidRPr="00071D04" w:rsidRDefault="00B27699" w:rsidP="00C553B3">
      <w:pPr>
        <w:spacing w:after="0"/>
        <w:jc w:val="both"/>
        <w:rPr>
          <w:rFonts w:ascii="Times New Roman" w:hAnsi="Times New Roman"/>
          <w:b/>
          <w:color w:val="000000" w:themeColor="text1"/>
          <w:sz w:val="24"/>
          <w:szCs w:val="24"/>
        </w:rPr>
      </w:pPr>
    </w:p>
    <w:p w14:paraId="29767A9D" w14:textId="46DF33CE"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3.8 </w:t>
      </w:r>
      <w:r w:rsidR="00527633" w:rsidRPr="00071D04">
        <w:rPr>
          <w:rFonts w:ascii="Times New Roman" w:hAnsi="Times New Roman"/>
          <w:b/>
          <w:color w:val="000000" w:themeColor="text1"/>
          <w:sz w:val="24"/>
          <w:szCs w:val="24"/>
        </w:rPr>
        <w:t xml:space="preserve">Reference Values for Height </w:t>
      </w:r>
    </w:p>
    <w:p w14:paraId="414A9AF9" w14:textId="5FB3DC6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Growth charts mainly belong to two types: growth standards and growth references. Growth standards are prescriptive and define how a population of children should grow given the optimal nutrition and optimal health. Growth references on the other hand are descriptive and are prepared from a population which is thought to be growing in the best possible state of nutrition and health </w:t>
      </w:r>
      <w:r w:rsidR="002427CA" w:rsidRPr="00071D04">
        <w:rPr>
          <w:rFonts w:ascii="Times New Roman" w:hAnsi="Times New Roman"/>
          <w:color w:val="000000" w:themeColor="text1"/>
          <w:sz w:val="24"/>
          <w:szCs w:val="24"/>
        </w:rPr>
        <w:t>in each</w:t>
      </w:r>
      <w:r w:rsidRPr="00071D04">
        <w:rPr>
          <w:rFonts w:ascii="Times New Roman" w:hAnsi="Times New Roman"/>
          <w:color w:val="000000" w:themeColor="text1"/>
          <w:sz w:val="24"/>
          <w:szCs w:val="24"/>
        </w:rPr>
        <w:t xml:space="preserve"> community. They represent how children are growing rather than how they should be growing. The NCHS/WHO charts of 1977 and the CDC charts of 2000 are examples of growth references, while the WHO 2006 growth charts for children under 5 years is an example of growth standards.</w:t>
      </w:r>
      <w:r w:rsidR="0098764A" w:rsidRPr="0098764A">
        <w:rPr>
          <w:rFonts w:ascii="Times New Roman" w:hAnsi="Times New Roman"/>
          <w:color w:val="000000" w:themeColor="text1"/>
          <w:sz w:val="24"/>
          <w:szCs w:val="24"/>
          <w:vertAlign w:val="superscript"/>
        </w:rPr>
        <w:t>54</w:t>
      </w:r>
      <w:r w:rsidR="0098764A" w:rsidRPr="00071D04">
        <w:rPr>
          <w:rFonts w:ascii="Times New Roman" w:hAnsi="Times New Roman"/>
          <w:color w:val="000000" w:themeColor="text1"/>
          <w:sz w:val="24"/>
          <w:szCs w:val="24"/>
        </w:rPr>
        <w:t xml:space="preserve"> </w:t>
      </w:r>
    </w:p>
    <w:p w14:paraId="6628164D" w14:textId="79ED561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WHO in an effort to set an internationally usable standard for optimal growth conducted a Multicentre Growth Reference study (MGRS), in six countries of five different continent of the world (i.e. United States, Brazil, Norway, Ghana, Oman and India). The study developed standard growth charts for height/length for age, weight for height/length, weight for age and body mass index (BMI) after studying children from birth to the age of 5, which were exclusively breastfed and raised under optimal condition. These charts are expected to be an improvement on the previously available growth reference charts i.e. the National Centre for Health Statistics (NCHS)/ WHO reference charts of 1977 and the Centre for Disease Control (CDC), USA charts of 2000.</w:t>
      </w:r>
      <w:r w:rsidR="0098764A" w:rsidRPr="0098764A">
        <w:rPr>
          <w:rFonts w:ascii="Times New Roman" w:hAnsi="Times New Roman"/>
          <w:color w:val="000000" w:themeColor="text1"/>
          <w:sz w:val="24"/>
          <w:szCs w:val="24"/>
          <w:vertAlign w:val="superscript"/>
        </w:rPr>
        <w:t>55</w:t>
      </w:r>
    </w:p>
    <w:p w14:paraId="09E14851" w14:textId="4871BFB7" w:rsidR="00C669BD"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However, in many clinic settings, opportunity only arises to measure height once and the health personnel needs to decide whether the one-time measured height is within the 3</w:t>
      </w:r>
      <w:r w:rsidRPr="00071D04">
        <w:rPr>
          <w:rFonts w:ascii="Times New Roman" w:hAnsi="Times New Roman"/>
          <w:color w:val="000000" w:themeColor="text1"/>
          <w:sz w:val="24"/>
          <w:szCs w:val="24"/>
          <w:vertAlign w:val="superscript"/>
        </w:rPr>
        <w:t>rd</w:t>
      </w:r>
      <w:r w:rsidRPr="00071D04">
        <w:rPr>
          <w:rFonts w:ascii="Times New Roman" w:hAnsi="Times New Roman"/>
          <w:color w:val="000000" w:themeColor="text1"/>
          <w:sz w:val="24"/>
          <w:szCs w:val="24"/>
        </w:rPr>
        <w:t xml:space="preserve"> and 95</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percentile lines. In such situations, the use of Nelson formula to estimate the expected </w:t>
      </w:r>
      <w:r w:rsidR="006F3F65" w:rsidRPr="00071D04">
        <w:rPr>
          <w:rFonts w:ascii="Times New Roman" w:hAnsi="Times New Roman"/>
          <w:color w:val="000000" w:themeColor="text1"/>
          <w:sz w:val="24"/>
          <w:szCs w:val="24"/>
        </w:rPr>
        <w:t xml:space="preserve">Height-for-age </w:t>
      </w:r>
      <w:r w:rsidRPr="00071D04">
        <w:rPr>
          <w:rFonts w:ascii="Times New Roman" w:hAnsi="Times New Roman"/>
          <w:color w:val="000000" w:themeColor="text1"/>
          <w:sz w:val="24"/>
          <w:szCs w:val="24"/>
        </w:rPr>
        <w:t>becomes necessary as an alternative to using the growth chart at the time of measurement.</w:t>
      </w:r>
      <w:r w:rsidR="008364A5" w:rsidRPr="008364A5">
        <w:rPr>
          <w:rFonts w:ascii="Times New Roman" w:hAnsi="Times New Roman"/>
          <w:color w:val="000000" w:themeColor="text1"/>
          <w:sz w:val="24"/>
          <w:szCs w:val="24"/>
          <w:vertAlign w:val="superscript"/>
        </w:rPr>
        <w:t>56</w:t>
      </w:r>
      <w:r w:rsidRPr="00071D04">
        <w:rPr>
          <w:rFonts w:ascii="Times New Roman" w:hAnsi="Times New Roman"/>
          <w:color w:val="000000" w:themeColor="text1"/>
          <w:sz w:val="24"/>
          <w:szCs w:val="24"/>
        </w:rPr>
        <w:t xml:space="preserve"> This further brings to the fore the need for this study, which will help to dispel or support the continual use of this formula to estimate children’s height</w:t>
      </w:r>
      <w:r w:rsidR="00A06300">
        <w:rPr>
          <w:rFonts w:ascii="Times New Roman" w:hAnsi="Times New Roman"/>
          <w:color w:val="000000" w:themeColor="text1"/>
          <w:sz w:val="24"/>
          <w:szCs w:val="24"/>
        </w:rPr>
        <w:t>.</w:t>
      </w:r>
    </w:p>
    <w:p w14:paraId="1646C36D" w14:textId="77777777" w:rsidR="009F07A9" w:rsidRDefault="009F07A9" w:rsidP="00C553B3">
      <w:pPr>
        <w:jc w:val="both"/>
        <w:rPr>
          <w:rFonts w:ascii="Times New Roman" w:hAnsi="Times New Roman"/>
          <w:color w:val="000000" w:themeColor="text1"/>
          <w:sz w:val="24"/>
          <w:szCs w:val="24"/>
        </w:rPr>
      </w:pPr>
    </w:p>
    <w:p w14:paraId="7CC886F3" w14:textId="04BB4C81" w:rsidR="009F07A9" w:rsidRPr="00A34816" w:rsidRDefault="009F07A9" w:rsidP="00A34816">
      <w:pPr>
        <w:pStyle w:val="ListParagraph"/>
        <w:numPr>
          <w:ilvl w:val="0"/>
          <w:numId w:val="43"/>
        </w:numPr>
        <w:jc w:val="both"/>
        <w:rPr>
          <w:rFonts w:ascii="Times New Roman" w:hAnsi="Times New Roman"/>
          <w:b/>
          <w:bCs/>
          <w:color w:val="000000" w:themeColor="text1"/>
          <w:sz w:val="24"/>
          <w:szCs w:val="24"/>
        </w:rPr>
      </w:pPr>
      <w:r w:rsidRPr="00A34816">
        <w:rPr>
          <w:rFonts w:ascii="Times New Roman" w:hAnsi="Times New Roman"/>
          <w:b/>
          <w:bCs/>
          <w:color w:val="000000" w:themeColor="text1"/>
          <w:sz w:val="24"/>
          <w:szCs w:val="24"/>
        </w:rPr>
        <w:t xml:space="preserve">Conclusion </w:t>
      </w:r>
    </w:p>
    <w:p w14:paraId="0BB78692" w14:textId="1F407F79" w:rsidR="002427CA" w:rsidRDefault="00066825" w:rsidP="002427CA">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 xml:space="preserve">Child health workers including paediatricians need to monitor linear growth using height for the purpose of early detection of abnormality and monitoring of response to treatment and/or nutritional rehabilitation. The </w:t>
      </w:r>
      <w:r w:rsidR="002427CA" w:rsidRPr="00071D04">
        <w:rPr>
          <w:rFonts w:ascii="Times New Roman" w:hAnsi="Times New Roman"/>
          <w:color w:val="000000" w:themeColor="text1"/>
          <w:sz w:val="24"/>
          <w:szCs w:val="24"/>
        </w:rPr>
        <w:t>need-to-know</w:t>
      </w:r>
      <w:r w:rsidRPr="00071D04">
        <w:rPr>
          <w:rFonts w:ascii="Times New Roman" w:hAnsi="Times New Roman"/>
          <w:color w:val="000000" w:themeColor="text1"/>
          <w:sz w:val="24"/>
          <w:szCs w:val="24"/>
        </w:rPr>
        <w:t xml:space="preserve"> expected height-for-age in child health practice and the frequency with which paediatricians and other health workers do it underscore the need to get it done accurately and as quickly as possible. </w:t>
      </w:r>
      <w:r>
        <w:rPr>
          <w:rFonts w:ascii="Times New Roman" w:hAnsi="Times New Roman"/>
          <w:color w:val="000000" w:themeColor="text1"/>
          <w:sz w:val="24"/>
          <w:szCs w:val="24"/>
        </w:rPr>
        <w:t>It is paramount that efforts be intensified on height measurement at every clinic visit.</w:t>
      </w:r>
    </w:p>
    <w:p w14:paraId="7BB85B1A" w14:textId="77777777" w:rsidR="00CF468F" w:rsidRPr="00066825" w:rsidRDefault="00CF468F" w:rsidP="00CF468F">
      <w:pPr>
        <w:jc w:val="both"/>
        <w:rPr>
          <w:rFonts w:ascii="Times New Roman" w:hAnsi="Times New Roman"/>
          <w:b/>
          <w:bCs/>
          <w:color w:val="000000" w:themeColor="text1"/>
          <w:sz w:val="24"/>
          <w:szCs w:val="24"/>
        </w:rPr>
      </w:pPr>
      <w:r w:rsidRPr="00066825">
        <w:rPr>
          <w:rFonts w:ascii="Times New Roman" w:hAnsi="Times New Roman"/>
          <w:b/>
          <w:bCs/>
          <w:color w:val="000000" w:themeColor="text1"/>
          <w:sz w:val="24"/>
          <w:szCs w:val="24"/>
        </w:rPr>
        <w:t>Ethical issues</w:t>
      </w:r>
    </w:p>
    <w:p w14:paraId="6A8BEE93" w14:textId="77777777" w:rsidR="00CF468F" w:rsidRDefault="00CF468F" w:rsidP="00CF468F">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Not application </w:t>
      </w:r>
    </w:p>
    <w:p w14:paraId="154C809B" w14:textId="77777777" w:rsidR="00CF468F" w:rsidRDefault="00CF468F" w:rsidP="00CF468F">
      <w:pPr>
        <w:jc w:val="both"/>
        <w:rPr>
          <w:rFonts w:ascii="Times New Roman" w:hAnsi="Times New Roman"/>
          <w:color w:val="000000" w:themeColor="text1"/>
          <w:sz w:val="24"/>
          <w:szCs w:val="24"/>
        </w:rPr>
      </w:pPr>
    </w:p>
    <w:p w14:paraId="458BBE28" w14:textId="694629BA" w:rsidR="002427CA" w:rsidRDefault="002427CA">
      <w:pPr>
        <w:spacing w:after="0" w:line="240" w:lineRule="auto"/>
        <w:rPr>
          <w:rFonts w:ascii="Times New Roman" w:hAnsi="Times New Roman"/>
          <w:color w:val="000000" w:themeColor="text1"/>
          <w:sz w:val="24"/>
          <w:szCs w:val="24"/>
        </w:rPr>
      </w:pPr>
      <w:bookmarkStart w:id="2" w:name="_GoBack"/>
      <w:bookmarkEnd w:id="2"/>
    </w:p>
    <w:p w14:paraId="7408B0E9" w14:textId="0772F579" w:rsidR="00DB5475" w:rsidRDefault="00066825" w:rsidP="0098764A">
      <w:pPr>
        <w:jc w:val="both"/>
        <w:rPr>
          <w:rFonts w:ascii="Times New Roman" w:hAnsi="Times New Roman"/>
          <w:b/>
          <w:color w:val="000000" w:themeColor="text1"/>
          <w:sz w:val="24"/>
          <w:szCs w:val="24"/>
        </w:rPr>
      </w:pPr>
      <w:r w:rsidRPr="00066825">
        <w:rPr>
          <w:rFonts w:ascii="Times New Roman" w:hAnsi="Times New Roman"/>
          <w:b/>
          <w:bCs/>
          <w:color w:val="000000" w:themeColor="text1"/>
          <w:sz w:val="24"/>
          <w:szCs w:val="24"/>
        </w:rPr>
        <w:t>References</w:t>
      </w:r>
    </w:p>
    <w:p w14:paraId="0C77CAD1" w14:textId="77777777" w:rsidR="00DB5475" w:rsidRDefault="00DB5475" w:rsidP="00DB5475">
      <w:pPr>
        <w:spacing w:after="0"/>
        <w:rPr>
          <w:rFonts w:ascii="Times New Roman" w:hAnsi="Times New Roman"/>
          <w:b/>
          <w:color w:val="000000" w:themeColor="text1"/>
          <w:sz w:val="24"/>
          <w:szCs w:val="24"/>
        </w:rPr>
      </w:pPr>
    </w:p>
    <w:p w14:paraId="6AAC6441"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Galton F. Regression towards mediocrity in hereditary stature. The Journal of the Anthropological Institute of Great Britain and Ireland 1886; </w:t>
      </w:r>
      <w:r w:rsidRPr="00071D04">
        <w:rPr>
          <w:b/>
          <w:color w:val="000000" w:themeColor="text1"/>
        </w:rPr>
        <w:t>15</w:t>
      </w:r>
      <w:r w:rsidRPr="00071D04">
        <w:rPr>
          <w:color w:val="000000" w:themeColor="text1"/>
        </w:rPr>
        <w:t>: 246-263.</w:t>
      </w:r>
    </w:p>
    <w:p w14:paraId="728EF18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Keane V. Assessment of Growth. In: Kliegman RM, Behrman RE, Jenson HB, Stanton BF (editors). Nelson Textbook of Pediatrics. 18th ed. Philadelphia: Saunders Elsevier; 2007.</w:t>
      </w:r>
    </w:p>
    <w:p w14:paraId="70D46856"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Behrman R E. The First Year.  Nelson Textbook of Pediatrics. 16th ed. philadelphia: Saunders; 2000.</w:t>
      </w:r>
    </w:p>
    <w:p w14:paraId="1FB3902C"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Weech A. Signposts on the highway of growth. AMA American journal of diseases of children 1954; </w:t>
      </w:r>
      <w:r w:rsidRPr="00071D04">
        <w:rPr>
          <w:b/>
          <w:color w:val="000000" w:themeColor="text1"/>
        </w:rPr>
        <w:t>88</w:t>
      </w:r>
      <w:r w:rsidRPr="00071D04">
        <w:rPr>
          <w:color w:val="000000" w:themeColor="text1"/>
        </w:rPr>
        <w:t>: 452-457</w:t>
      </w:r>
    </w:p>
    <w:p w14:paraId="46AEB53C"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Nelson WE, Mitchell A. Mitchell-Nelson Textbook of Pediatrics. 5th (editor) Elsevier, Saunders: United State of America, 1950.</w:t>
      </w:r>
    </w:p>
    <w:p w14:paraId="376BA30D"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Holt L. E. Jr., McIntosh R. Holt Pediatrics. United State America: New York, 1953. </w:t>
      </w:r>
    </w:p>
    <w:p w14:paraId="375B04E9"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Behrman R E. The First Year Nelson Textbook of Pediatrics. 17th ed. philadelphia: Saunders; 2004.</w:t>
      </w:r>
    </w:p>
    <w:p w14:paraId="39D83AA8"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Eke C, Ubesie A, Ibe B. Comparison of actual (measured) weights and heights with the standard formula methods of estimation among children in Enugu. Nigerian Journal of Paediatrics 2014; </w:t>
      </w:r>
      <w:r w:rsidRPr="00071D04">
        <w:rPr>
          <w:b/>
          <w:color w:val="000000" w:themeColor="text1"/>
        </w:rPr>
        <w:t>41</w:t>
      </w:r>
      <w:r w:rsidRPr="00071D04">
        <w:rPr>
          <w:color w:val="000000" w:themeColor="text1"/>
        </w:rPr>
        <w:t>: 307-311.</w:t>
      </w:r>
    </w:p>
    <w:p w14:paraId="374F1AF8" w14:textId="77777777" w:rsidR="00DB5475" w:rsidRPr="00071D04" w:rsidRDefault="00DB5475" w:rsidP="00DB5475">
      <w:pPr>
        <w:pStyle w:val="EndNoteBibliography"/>
        <w:numPr>
          <w:ilvl w:val="0"/>
          <w:numId w:val="44"/>
        </w:numPr>
        <w:spacing w:after="0" w:line="276" w:lineRule="auto"/>
        <w:rPr>
          <w:color w:val="000000" w:themeColor="text1"/>
        </w:rPr>
      </w:pPr>
      <w:r w:rsidRPr="0078259B">
        <w:rPr>
          <w:color w:val="000000" w:themeColor="text1"/>
          <w:lang w:val="nl-NL"/>
        </w:rPr>
        <w:t xml:space="preserve">de Onis M, Habicht J-P. </w:t>
      </w:r>
      <w:r w:rsidRPr="00071D04">
        <w:rPr>
          <w:color w:val="000000" w:themeColor="text1"/>
        </w:rPr>
        <w:t xml:space="preserve">Anthropometric reference data for international use: recommendations from a World Health Organization Expert Committee. The American journal of clinical nutrition 1996; </w:t>
      </w:r>
      <w:r w:rsidRPr="00071D04">
        <w:rPr>
          <w:b/>
          <w:color w:val="000000" w:themeColor="text1"/>
        </w:rPr>
        <w:t>64</w:t>
      </w:r>
      <w:r w:rsidRPr="00071D04">
        <w:rPr>
          <w:color w:val="000000" w:themeColor="text1"/>
        </w:rPr>
        <w:t>: 650-658.</w:t>
      </w:r>
    </w:p>
    <w:p w14:paraId="70CA710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25.</w:t>
      </w:r>
      <w:r w:rsidRPr="00071D04">
        <w:rPr>
          <w:color w:val="000000" w:themeColor="text1"/>
        </w:rPr>
        <w:tab/>
        <w:t xml:space="preserve">Haq I, Shah M, Bachh A, Ansari M. Validity of Weech’s formulae in detecting undernutrition in children. Nepal Med Coll J 2010; </w:t>
      </w:r>
      <w:r w:rsidRPr="00071D04">
        <w:rPr>
          <w:b/>
          <w:color w:val="000000" w:themeColor="text1"/>
        </w:rPr>
        <w:t>12</w:t>
      </w:r>
      <w:r w:rsidRPr="00071D04">
        <w:rPr>
          <w:color w:val="000000" w:themeColor="text1"/>
        </w:rPr>
        <w:t>: 229-233.</w:t>
      </w:r>
    </w:p>
    <w:p w14:paraId="21604BE8" w14:textId="77777777" w:rsidR="00DB5475" w:rsidRPr="00071D04" w:rsidRDefault="00DB5475" w:rsidP="00DB5475">
      <w:pPr>
        <w:pStyle w:val="EndNoteBibliography"/>
        <w:numPr>
          <w:ilvl w:val="0"/>
          <w:numId w:val="44"/>
        </w:numPr>
        <w:spacing w:after="0" w:line="276" w:lineRule="auto"/>
        <w:rPr>
          <w:color w:val="000000" w:themeColor="text1"/>
        </w:rPr>
      </w:pPr>
      <w:r w:rsidRPr="0078259B">
        <w:rPr>
          <w:color w:val="000000" w:themeColor="text1"/>
          <w:lang w:val="pt-BR"/>
        </w:rPr>
        <w:t xml:space="preserve">Omisanjo AO, Orimadegun AE, Akinbami FO. </w:t>
      </w:r>
      <w:r w:rsidRPr="00071D04">
        <w:rPr>
          <w:color w:val="000000" w:themeColor="text1"/>
        </w:rPr>
        <w:t xml:space="preserve">Accuracy of Nelson and Best Guess formulae in estimation of weights in Nigerian children population. Annals of Ibadan Postgraduate Medicine 2014; </w:t>
      </w:r>
      <w:r w:rsidRPr="00071D04">
        <w:rPr>
          <w:b/>
          <w:color w:val="000000" w:themeColor="text1"/>
        </w:rPr>
        <w:t>12</w:t>
      </w:r>
      <w:r w:rsidRPr="00071D04">
        <w:rPr>
          <w:color w:val="000000" w:themeColor="text1"/>
        </w:rPr>
        <w:t>: 80-88.</w:t>
      </w:r>
    </w:p>
    <w:p w14:paraId="064CB5B6" w14:textId="77777777" w:rsidR="00DB5475" w:rsidRPr="002A5812"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Renstrom SB, Andersen CS, Pedersen CH, Madsen FF. Correct measurement of height is important when assessing lung function values. </w:t>
      </w:r>
      <w:r w:rsidRPr="0078259B">
        <w:rPr>
          <w:color w:val="000000" w:themeColor="text1"/>
          <w:lang w:val="it-IT"/>
        </w:rPr>
        <w:t xml:space="preserve">Dan Med J 2012; </w:t>
      </w:r>
      <w:r w:rsidRPr="0078259B">
        <w:rPr>
          <w:b/>
          <w:color w:val="000000" w:themeColor="text1"/>
          <w:lang w:val="it-IT"/>
        </w:rPr>
        <w:t>59</w:t>
      </w:r>
      <w:r w:rsidRPr="0078259B">
        <w:rPr>
          <w:color w:val="000000" w:themeColor="text1"/>
          <w:lang w:val="it-IT"/>
        </w:rPr>
        <w:t>: A4376.</w:t>
      </w:r>
    </w:p>
    <w:p w14:paraId="47E3C3F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lastRenderedPageBreak/>
        <w:t xml:space="preserve">Waterlow JC, Buzina R, Keller W, Lane J, Nichaman M, Tanner J. The presentation and use of height and weight data for comparing the nutritional status of groups of children under the age of 10 years. Bulletin of the world Health Organization 1977; </w:t>
      </w:r>
      <w:r w:rsidRPr="00071D04">
        <w:rPr>
          <w:b/>
          <w:color w:val="000000" w:themeColor="text1"/>
        </w:rPr>
        <w:t>55</w:t>
      </w:r>
      <w:r w:rsidRPr="00071D04">
        <w:rPr>
          <w:color w:val="000000" w:themeColor="text1"/>
        </w:rPr>
        <w:t>: 489.</w:t>
      </w:r>
    </w:p>
    <w:p w14:paraId="07E17ABB"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De Onis M, Blossner M, World Health Organization. WHO global database on child growth and malnutrition. Geneva: World Health Organization. Available from: </w:t>
      </w:r>
      <w:hyperlink r:id="rId8" w:history="1">
        <w:r w:rsidRPr="00071D04">
          <w:rPr>
            <w:rStyle w:val="Hyperlink"/>
            <w:color w:val="000000" w:themeColor="text1"/>
          </w:rPr>
          <w:t>http://apps.who.int/iris/handle/10665/63750</w:t>
        </w:r>
      </w:hyperlink>
      <w:r w:rsidRPr="00071D04">
        <w:rPr>
          <w:color w:val="000000" w:themeColor="text1"/>
        </w:rPr>
        <w:t>.</w:t>
      </w:r>
    </w:p>
    <w:p w14:paraId="702DFA8C"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Batty GD, Shipley MJ, Gunnell D, Huxley R, Kivimaki M, Woodward M, et al. Height, wealth, and health: an overview with new data from three longitudinal studies. Economics &amp; Human Biology 2009; </w:t>
      </w:r>
      <w:r w:rsidRPr="00071D04">
        <w:rPr>
          <w:b/>
          <w:color w:val="000000" w:themeColor="text1"/>
        </w:rPr>
        <w:t>7</w:t>
      </w:r>
      <w:r w:rsidRPr="00071D04">
        <w:rPr>
          <w:color w:val="000000" w:themeColor="text1"/>
        </w:rPr>
        <w:t>: 137-152</w:t>
      </w:r>
    </w:p>
    <w:p w14:paraId="2EF1C9EB" w14:textId="77777777" w:rsidR="00DB5475" w:rsidRPr="002A5812"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Pearson K, Lee A. On the laws of inheritance in man: I. Inheritance of physical characters. Biometrika 1903; </w:t>
      </w:r>
      <w:r w:rsidRPr="00071D04">
        <w:rPr>
          <w:b/>
          <w:color w:val="000000" w:themeColor="text1"/>
        </w:rPr>
        <w:t>2</w:t>
      </w:r>
      <w:r w:rsidRPr="00071D04">
        <w:rPr>
          <w:color w:val="000000" w:themeColor="text1"/>
        </w:rPr>
        <w:t>: 357-462.</w:t>
      </w:r>
    </w:p>
    <w:p w14:paraId="0CDBF5F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Grunauer M, Jorge AA. Genetic short stature. Growth Hormone &amp; IGF Research 2018; </w:t>
      </w:r>
      <w:r w:rsidRPr="00071D04">
        <w:rPr>
          <w:b/>
          <w:color w:val="000000" w:themeColor="text1"/>
        </w:rPr>
        <w:t>38</w:t>
      </w:r>
      <w:r w:rsidRPr="00071D04">
        <w:rPr>
          <w:color w:val="000000" w:themeColor="text1"/>
        </w:rPr>
        <w:t>: 29-33.</w:t>
      </w:r>
    </w:p>
    <w:p w14:paraId="6D78DEE6"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Dubois L, Ohm Kyvik K, Girard M, Tatone-Tokuda F, Perusse D, Hjelmborg J, et al. Genetic and environmental contributions to weight, height, and BMI from birth to 19 years of age: an international study of over 12,000 twin pairs. PLoS One 2012; </w:t>
      </w:r>
      <w:r w:rsidRPr="00071D04">
        <w:rPr>
          <w:b/>
          <w:color w:val="000000" w:themeColor="text1"/>
        </w:rPr>
        <w:t>7</w:t>
      </w:r>
      <w:r w:rsidRPr="00071D04">
        <w:rPr>
          <w:color w:val="000000" w:themeColor="text1"/>
        </w:rPr>
        <w:t>: e30153.</w:t>
      </w:r>
    </w:p>
    <w:p w14:paraId="510BFE49"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Khatun M, Stenlund H, Hornell A. BRAC initiative towards promoting gender and social equity in health: a longitudinal study of child growth in Matlab, Bangladesh. Public Health Nutr 2004; </w:t>
      </w:r>
      <w:r w:rsidRPr="00071D04">
        <w:rPr>
          <w:b/>
          <w:color w:val="000000" w:themeColor="text1"/>
        </w:rPr>
        <w:t>7</w:t>
      </w:r>
      <w:r w:rsidRPr="00071D04">
        <w:rPr>
          <w:color w:val="000000" w:themeColor="text1"/>
        </w:rPr>
        <w:t>: 1071-1079.</w:t>
      </w:r>
    </w:p>
    <w:p w14:paraId="5427238A"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Espo M, Kulmala T, Maleta K, Cullinan T, Salin ML, Ashorn P. Determinants of linear growth and predictors of severe stunting during infancy in rural Malawi. Acta Paediatr 2002; </w:t>
      </w:r>
      <w:r w:rsidRPr="00071D04">
        <w:rPr>
          <w:b/>
          <w:color w:val="000000" w:themeColor="text1"/>
        </w:rPr>
        <w:t>91</w:t>
      </w:r>
      <w:r w:rsidRPr="00071D04">
        <w:rPr>
          <w:color w:val="000000" w:themeColor="text1"/>
        </w:rPr>
        <w:t>: 1364-1370.</w:t>
      </w:r>
    </w:p>
    <w:p w14:paraId="7C8B49FC" w14:textId="77777777" w:rsidR="00DB5475" w:rsidRPr="00F55B43" w:rsidRDefault="00DB5475" w:rsidP="00DB5475">
      <w:pPr>
        <w:pStyle w:val="EndNoteBibliography"/>
        <w:numPr>
          <w:ilvl w:val="0"/>
          <w:numId w:val="44"/>
        </w:numPr>
        <w:spacing w:after="0" w:line="276" w:lineRule="auto"/>
        <w:rPr>
          <w:color w:val="000000" w:themeColor="text1"/>
        </w:rPr>
      </w:pPr>
      <w:r w:rsidRPr="00F55B43">
        <w:rPr>
          <w:color w:val="000000" w:themeColor="text1"/>
        </w:rPr>
        <w:t xml:space="preserve">Ukwuani FA, Suchindran CM. Implications of women's work for child nutritional status in sub-Saharan Africa: a case study of Nigeria. Soc Sci Med 2003; </w:t>
      </w:r>
      <w:r w:rsidRPr="00F55B43">
        <w:rPr>
          <w:b/>
          <w:color w:val="000000" w:themeColor="text1"/>
        </w:rPr>
        <w:t>56</w:t>
      </w:r>
      <w:r w:rsidRPr="00F55B43">
        <w:rPr>
          <w:color w:val="000000" w:themeColor="text1"/>
        </w:rPr>
        <w:t>: 2109-2121.</w:t>
      </w:r>
    </w:p>
    <w:p w14:paraId="06A2351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Zere E, McIntyre D. Inequities in under-five child malnutrition in South Africa. Int J Equity Health 2003; </w:t>
      </w:r>
      <w:r w:rsidRPr="00071D04">
        <w:rPr>
          <w:b/>
          <w:color w:val="000000" w:themeColor="text1"/>
        </w:rPr>
        <w:t>2</w:t>
      </w:r>
      <w:r w:rsidRPr="00071D04">
        <w:rPr>
          <w:color w:val="000000" w:themeColor="text1"/>
        </w:rPr>
        <w:t>: 7.</w:t>
      </w:r>
    </w:p>
    <w:p w14:paraId="17DCA162"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Wamani H, Tylleskar T, Astrom AN, Tumwine JK, Peterson S. Mothers' education but not fathers' education, household assets or land ownership is the best predictor of child health inequalities in rural Uganda. Int J Equity Health 2004; </w:t>
      </w:r>
      <w:r w:rsidRPr="00071D04">
        <w:rPr>
          <w:b/>
          <w:color w:val="000000" w:themeColor="text1"/>
        </w:rPr>
        <w:t>3</w:t>
      </w:r>
      <w:r w:rsidRPr="00071D04">
        <w:rPr>
          <w:color w:val="000000" w:themeColor="text1"/>
        </w:rPr>
        <w:t>: 9.</w:t>
      </w:r>
    </w:p>
    <w:p w14:paraId="0627EC2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Silventoinen K. Determinants of variation in adult body height. Journal of biosocial science 2003; </w:t>
      </w:r>
      <w:r w:rsidRPr="00071D04">
        <w:rPr>
          <w:b/>
          <w:color w:val="000000" w:themeColor="text1"/>
        </w:rPr>
        <w:t>35</w:t>
      </w:r>
      <w:r w:rsidRPr="00071D04">
        <w:rPr>
          <w:color w:val="000000" w:themeColor="text1"/>
        </w:rPr>
        <w:t>: 263-285.</w:t>
      </w:r>
    </w:p>
    <w:p w14:paraId="449AFC1E"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Steckel RH. Heights and human welfare: Recent developments and new directions. Explorations in Economic History 2009; </w:t>
      </w:r>
      <w:r w:rsidRPr="00071D04">
        <w:rPr>
          <w:b/>
          <w:color w:val="000000" w:themeColor="text1"/>
        </w:rPr>
        <w:t>46</w:t>
      </w:r>
      <w:r w:rsidRPr="00071D04">
        <w:rPr>
          <w:color w:val="000000" w:themeColor="text1"/>
        </w:rPr>
        <w:t>: 1-23.</w:t>
      </w:r>
    </w:p>
    <w:p w14:paraId="08C6D8FA" w14:textId="77777777" w:rsidR="00DB5475" w:rsidRPr="00071D04" w:rsidRDefault="00DB5475" w:rsidP="00DB5475">
      <w:pPr>
        <w:pStyle w:val="EndNoteBibliography"/>
        <w:numPr>
          <w:ilvl w:val="0"/>
          <w:numId w:val="44"/>
        </w:numPr>
        <w:spacing w:after="0" w:line="276" w:lineRule="auto"/>
        <w:rPr>
          <w:color w:val="000000" w:themeColor="text1"/>
        </w:rPr>
      </w:pPr>
      <w:r w:rsidRPr="00F55B43">
        <w:rPr>
          <w:color w:val="000000" w:themeColor="text1"/>
          <w:lang w:val="nb-NO"/>
        </w:rPr>
        <w:t xml:space="preserve">Silventoinen K, Baker JL, Sorensen TI. </w:t>
      </w:r>
      <w:r w:rsidRPr="00071D04">
        <w:rPr>
          <w:color w:val="000000" w:themeColor="text1"/>
        </w:rPr>
        <w:t xml:space="preserve">Growth in height in childhood and risk of coronary heart disease in adult men and women. PLoS One 2012; </w:t>
      </w:r>
      <w:r w:rsidRPr="00071D04">
        <w:rPr>
          <w:b/>
          <w:color w:val="000000" w:themeColor="text1"/>
        </w:rPr>
        <w:t>7</w:t>
      </w:r>
      <w:r w:rsidRPr="00071D04">
        <w:rPr>
          <w:color w:val="000000" w:themeColor="text1"/>
        </w:rPr>
        <w:t>: e30476.</w:t>
      </w:r>
    </w:p>
    <w:p w14:paraId="4F7EACA3"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Whitley E, Martin RM, Davey Smith G, Holly JM, Gunnell D. The association of childhood height, leg length and other measures of skeletal growth with adult cardiovascular disease: the Boyd-Orr cohort. J Epidemiol Community Health 2012; </w:t>
      </w:r>
      <w:r w:rsidRPr="00071D04">
        <w:rPr>
          <w:b/>
          <w:color w:val="000000" w:themeColor="text1"/>
        </w:rPr>
        <w:t>66</w:t>
      </w:r>
      <w:r w:rsidRPr="00071D04">
        <w:rPr>
          <w:color w:val="000000" w:themeColor="text1"/>
        </w:rPr>
        <w:t>: 18-23.</w:t>
      </w:r>
    </w:p>
    <w:p w14:paraId="49B1BD6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lastRenderedPageBreak/>
        <w:t xml:space="preserve">Adenuga W, Obembe T, Odebunmi K, Asuzu M. Prevalence and determinants of stunting among primary school children in rural and urban communities in Obafemi Owode Local Government Area, Southwestern Nigeria. Annals of Ibadan postgraduate medicine 2017; </w:t>
      </w:r>
      <w:r w:rsidRPr="00071D04">
        <w:rPr>
          <w:b/>
          <w:color w:val="000000" w:themeColor="text1"/>
        </w:rPr>
        <w:t>15</w:t>
      </w:r>
      <w:r w:rsidRPr="00071D04">
        <w:rPr>
          <w:color w:val="000000" w:themeColor="text1"/>
        </w:rPr>
        <w:t>: 7-15.</w:t>
      </w:r>
    </w:p>
    <w:p w14:paraId="42BD2B75"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Grasgruber P, Cacek J, Kalina T, Sebera M. The role of nutrition and genetics as key determinants of the positive height trend. Economics &amp; Human Biology 2014; </w:t>
      </w:r>
      <w:r w:rsidRPr="00071D04">
        <w:rPr>
          <w:b/>
          <w:color w:val="000000" w:themeColor="text1"/>
        </w:rPr>
        <w:t>15</w:t>
      </w:r>
      <w:r w:rsidRPr="00071D04">
        <w:rPr>
          <w:color w:val="000000" w:themeColor="text1"/>
        </w:rPr>
        <w:t>: 81-100.</w:t>
      </w:r>
    </w:p>
    <w:p w14:paraId="6E390310"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Baker EH. Socioeconomic status, definition. The Wiley Blackwell encyclopedia of health, illness, behavior, and society 2014: 2210-2214.</w:t>
      </w:r>
    </w:p>
    <w:p w14:paraId="1C377BAB"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Deaton A. Height, health, and development. Proceedings of the National Academy of Sciences 2007; </w:t>
      </w:r>
      <w:r w:rsidRPr="00071D04">
        <w:rPr>
          <w:b/>
          <w:color w:val="000000" w:themeColor="text1"/>
        </w:rPr>
        <w:t>104</w:t>
      </w:r>
      <w:r w:rsidRPr="00071D04">
        <w:rPr>
          <w:color w:val="000000" w:themeColor="text1"/>
        </w:rPr>
        <w:t>: 13232-13237.</w:t>
      </w:r>
    </w:p>
    <w:p w14:paraId="17901688"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Fetuga B, Ogunlesi T, Olanrewaju D, Jonsson B, Albertsson‐Wikland K. Growth in prepubertal N igerian children is highly dependent on socio‐economic status. Acta Paediatrica 2013; </w:t>
      </w:r>
      <w:r w:rsidRPr="00071D04">
        <w:rPr>
          <w:b/>
          <w:color w:val="000000" w:themeColor="text1"/>
        </w:rPr>
        <w:t>102</w:t>
      </w:r>
      <w:r w:rsidRPr="00071D04">
        <w:rPr>
          <w:color w:val="000000" w:themeColor="text1"/>
        </w:rPr>
        <w:t>: 824-831.</w:t>
      </w:r>
    </w:p>
    <w:p w14:paraId="0DBD16DB"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Delpeuch F, Traissac P, Martin-Prével Y, Massamba J, Maire B. Economic crisis and malnutrition: socioeconomic determinants of anthropometric status of preschool children and their mothers in an African urban area. Public health nutrition 2000; </w:t>
      </w:r>
      <w:r w:rsidRPr="00071D04">
        <w:rPr>
          <w:b/>
          <w:color w:val="000000" w:themeColor="text1"/>
        </w:rPr>
        <w:t>3</w:t>
      </w:r>
      <w:r w:rsidRPr="00071D04">
        <w:rPr>
          <w:color w:val="000000" w:themeColor="text1"/>
        </w:rPr>
        <w:t>: 39-47.</w:t>
      </w:r>
    </w:p>
    <w:p w14:paraId="2A2292EC"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Nwosu BU, Lee MM. Evaluation of short and tall stature in children. American family physician 2008; </w:t>
      </w:r>
      <w:r w:rsidRPr="00071D04">
        <w:rPr>
          <w:b/>
          <w:color w:val="000000" w:themeColor="text1"/>
        </w:rPr>
        <w:t>78</w:t>
      </w:r>
      <w:r w:rsidRPr="00071D04">
        <w:rPr>
          <w:color w:val="000000" w:themeColor="text1"/>
        </w:rPr>
        <w:t>.</w:t>
      </w:r>
    </w:p>
    <w:p w14:paraId="0B6B2687"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Carel JC, Lahlou N, Roger M, Chaussain JL. Precocious puberty and statural growth. Human reproduction update 2004; </w:t>
      </w:r>
      <w:r w:rsidRPr="00071D04">
        <w:rPr>
          <w:b/>
          <w:color w:val="000000" w:themeColor="text1"/>
        </w:rPr>
        <w:t>10</w:t>
      </w:r>
      <w:r w:rsidRPr="00071D04">
        <w:rPr>
          <w:color w:val="000000" w:themeColor="text1"/>
        </w:rPr>
        <w:t>: 135-147.</w:t>
      </w:r>
    </w:p>
    <w:p w14:paraId="28B1C4C3"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83.</w:t>
      </w:r>
      <w:r w:rsidRPr="00071D04">
        <w:rPr>
          <w:color w:val="000000" w:themeColor="text1"/>
        </w:rPr>
        <w:tab/>
        <w:t xml:space="preserve">Klein DA, Emerick JE, Sylvester JE, Vogt KS. Disorders of Puberty: An Approach to Diagnosis and Management. American family physician 2017; </w:t>
      </w:r>
      <w:r w:rsidRPr="00071D04">
        <w:rPr>
          <w:b/>
          <w:color w:val="000000" w:themeColor="text1"/>
        </w:rPr>
        <w:t>96</w:t>
      </w:r>
      <w:r w:rsidRPr="00071D04">
        <w:rPr>
          <w:color w:val="000000" w:themeColor="text1"/>
        </w:rPr>
        <w:t>.</w:t>
      </w:r>
    </w:p>
    <w:p w14:paraId="46D63DC3"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Casapía M, Joseph SA, Núñez C, Rahme E, Gyorkos TW. Parasite risk factors for stunting in grade 5 students in a community of extreme poverty in Peru. International Journal for Parasitology 2006; </w:t>
      </w:r>
      <w:r w:rsidRPr="00071D04">
        <w:rPr>
          <w:b/>
          <w:color w:val="000000" w:themeColor="text1"/>
        </w:rPr>
        <w:t>36</w:t>
      </w:r>
      <w:r w:rsidRPr="00071D04">
        <w:rPr>
          <w:color w:val="000000" w:themeColor="text1"/>
        </w:rPr>
        <w:t>: 741-747.</w:t>
      </w:r>
    </w:p>
    <w:p w14:paraId="240C4246"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88.</w:t>
      </w:r>
      <w:r w:rsidRPr="00071D04">
        <w:rPr>
          <w:color w:val="000000" w:themeColor="text1"/>
        </w:rPr>
        <w:tab/>
        <w:t xml:space="preserve">Kotloff KL, Nataro JP, Blackwelder WC, Nasrin D, Farag TH, Panchalingam S, et al. Burden and aetiology of diarrhoeal disease in infants and young children in developing countries (the Global Enteric Multicenter Study, GEMS): a prospective, case-control study. The Lancet 2013; </w:t>
      </w:r>
      <w:r w:rsidRPr="00071D04">
        <w:rPr>
          <w:b/>
          <w:color w:val="000000" w:themeColor="text1"/>
        </w:rPr>
        <w:t>382</w:t>
      </w:r>
      <w:r w:rsidRPr="00071D04">
        <w:rPr>
          <w:color w:val="000000" w:themeColor="text1"/>
        </w:rPr>
        <w:t>: 209-222.</w:t>
      </w:r>
    </w:p>
    <w:p w14:paraId="0557488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Ferreira F, Duarte JA. Accuracy of Body Mass Index, Waist Circumference and Body Surface Index to Diagnose Overweight and Obesity in Adolescents. Archives of Exercise in Health and Disease 2013; </w:t>
      </w:r>
      <w:r w:rsidRPr="00071D04">
        <w:rPr>
          <w:b/>
          <w:color w:val="000000" w:themeColor="text1"/>
        </w:rPr>
        <w:t>4</w:t>
      </w:r>
      <w:r w:rsidRPr="00071D04">
        <w:rPr>
          <w:color w:val="000000" w:themeColor="text1"/>
        </w:rPr>
        <w:t>: 299-306.</w:t>
      </w:r>
    </w:p>
    <w:p w14:paraId="008544E0"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Schenone MH, Aguin E, Li Y, Lee C, Kruger M, Bahado-Singh RO. Prenatal prediction of neonatal survival at the borderline viability. The Journal of Maternal-Fetal &amp; Neonatal Medicine 2010; </w:t>
      </w:r>
      <w:r w:rsidRPr="00071D04">
        <w:rPr>
          <w:b/>
          <w:color w:val="000000" w:themeColor="text1"/>
        </w:rPr>
        <w:t>23</w:t>
      </w:r>
      <w:r w:rsidRPr="00071D04">
        <w:rPr>
          <w:color w:val="000000" w:themeColor="text1"/>
        </w:rPr>
        <w:t>: 1413-1418.</w:t>
      </w:r>
    </w:p>
    <w:p w14:paraId="13AFE7D8"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Lawn JE, Cousens S, Zupan J, Team LNSS. 4 million neonatal deaths: when? Where? Why? The lancet 2005; </w:t>
      </w:r>
      <w:r w:rsidRPr="00071D04">
        <w:rPr>
          <w:b/>
          <w:color w:val="000000" w:themeColor="text1"/>
        </w:rPr>
        <w:t>365</w:t>
      </w:r>
      <w:r w:rsidRPr="00071D04">
        <w:rPr>
          <w:color w:val="000000" w:themeColor="text1"/>
        </w:rPr>
        <w:t>: 891-900.</w:t>
      </w:r>
    </w:p>
    <w:p w14:paraId="5E5E1239"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Collaborators MDS. Causes of neonatal and child mortality in India: a nationally representative mortality survey. The Lancet 2010; </w:t>
      </w:r>
      <w:r w:rsidRPr="00071D04">
        <w:rPr>
          <w:b/>
          <w:color w:val="000000" w:themeColor="text1"/>
        </w:rPr>
        <w:t>376</w:t>
      </w:r>
      <w:r w:rsidRPr="00071D04">
        <w:rPr>
          <w:color w:val="000000" w:themeColor="text1"/>
        </w:rPr>
        <w:t>: 1853-1860.</w:t>
      </w:r>
    </w:p>
    <w:p w14:paraId="59EE085C"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Adetola AO, Tongo OO, Orimadegun AE, Osinusi K. Neonatal mortality in an urban population in Ibadan, Nigeria. Pediatrics &amp; Neonatology 2011; </w:t>
      </w:r>
      <w:r w:rsidRPr="00071D04">
        <w:rPr>
          <w:b/>
          <w:color w:val="000000" w:themeColor="text1"/>
        </w:rPr>
        <w:t>52</w:t>
      </w:r>
      <w:r w:rsidRPr="00071D04">
        <w:rPr>
          <w:color w:val="000000" w:themeColor="text1"/>
        </w:rPr>
        <w:t>: 243-250.</w:t>
      </w:r>
    </w:p>
    <w:p w14:paraId="1BC385F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lastRenderedPageBreak/>
        <w:t xml:space="preserve">Kassar SB, Melo AM, Coutinho SB, Lima MC, Lira PI. Determinants of neonatal death with emphasis on health care during pregnancy, childbirth and reproductive history. Jornal de pediatria 2013; </w:t>
      </w:r>
      <w:r w:rsidRPr="00071D04">
        <w:rPr>
          <w:b/>
          <w:color w:val="000000" w:themeColor="text1"/>
        </w:rPr>
        <w:t>89</w:t>
      </w:r>
      <w:r w:rsidRPr="00071D04">
        <w:rPr>
          <w:color w:val="000000" w:themeColor="text1"/>
        </w:rPr>
        <w:t>: 269-277.</w:t>
      </w:r>
    </w:p>
    <w:p w14:paraId="36F6443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Varghese A, Vasudevan V, Lewin S, Indumathi C, Dinakar C, Rao SD. Do the length-based (Broselow) Tape, APLS, Argall and Nelson’s formulae accurately estimate weight of Indian children. Indian Pediatr 2006; </w:t>
      </w:r>
      <w:r w:rsidRPr="00071D04">
        <w:rPr>
          <w:b/>
          <w:color w:val="000000" w:themeColor="text1"/>
        </w:rPr>
        <w:t>43</w:t>
      </w:r>
      <w:r w:rsidRPr="00071D04">
        <w:rPr>
          <w:color w:val="000000" w:themeColor="text1"/>
        </w:rPr>
        <w:t>: 889-894.</w:t>
      </w:r>
    </w:p>
    <w:p w14:paraId="20A2FD3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15.</w:t>
      </w:r>
      <w:r w:rsidRPr="00071D04">
        <w:rPr>
          <w:color w:val="000000" w:themeColor="text1"/>
        </w:rPr>
        <w:tab/>
        <w:t xml:space="preserve">Park J, Kwak YH, Kim DK, Jung JY, Lee JH, Jang HY, et al. A new age-based formula for estimating weight of Korean children. Resuscitation 2012; </w:t>
      </w:r>
      <w:r w:rsidRPr="00071D04">
        <w:rPr>
          <w:b/>
          <w:color w:val="000000" w:themeColor="text1"/>
        </w:rPr>
        <w:t>83</w:t>
      </w:r>
      <w:r w:rsidRPr="00071D04">
        <w:rPr>
          <w:color w:val="000000" w:themeColor="text1"/>
        </w:rPr>
        <w:t>: 1129-1134.</w:t>
      </w:r>
    </w:p>
    <w:p w14:paraId="27DA0D84"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16.</w:t>
      </w:r>
      <w:r w:rsidRPr="00071D04">
        <w:rPr>
          <w:color w:val="000000" w:themeColor="text1"/>
        </w:rPr>
        <w:tab/>
        <w:t xml:space="preserve">House DR, Ngetich E, Vreeman RC, Rusyniak DE. Estimating the weight of children in Kenya: do the Broselow tape and age-based formulas measure up? Annals of emergency medicine 2013; </w:t>
      </w:r>
      <w:r w:rsidRPr="00071D04">
        <w:rPr>
          <w:b/>
          <w:color w:val="000000" w:themeColor="text1"/>
        </w:rPr>
        <w:t>61</w:t>
      </w:r>
      <w:r w:rsidRPr="00071D04">
        <w:rPr>
          <w:color w:val="000000" w:themeColor="text1"/>
        </w:rPr>
        <w:t>: 1-8.</w:t>
      </w:r>
    </w:p>
    <w:p w14:paraId="73453A3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Tanner J, Goldstein H, Whitehouse R. Standards for children's height at ages 2-9 years allowing for height of parents. Archives of disease in childhood 1970; </w:t>
      </w:r>
      <w:r w:rsidRPr="00071D04">
        <w:rPr>
          <w:b/>
          <w:color w:val="000000" w:themeColor="text1"/>
        </w:rPr>
        <w:t>45</w:t>
      </w:r>
      <w:r w:rsidRPr="00071D04">
        <w:rPr>
          <w:color w:val="000000" w:themeColor="text1"/>
        </w:rPr>
        <w:t>: 755-762.</w:t>
      </w:r>
    </w:p>
    <w:p w14:paraId="41D687AD"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Duyar İ, Pelin C. Estimating body height from ulna length: need of a population-specific formula. Eurasian journal of Anthropology 2010; </w:t>
      </w:r>
      <w:r w:rsidRPr="00071D04">
        <w:rPr>
          <w:b/>
          <w:color w:val="000000" w:themeColor="text1"/>
        </w:rPr>
        <w:t>1</w:t>
      </w:r>
      <w:r w:rsidRPr="00071D04">
        <w:rPr>
          <w:color w:val="000000" w:themeColor="text1"/>
        </w:rPr>
        <w:t>: 11-17.</w:t>
      </w:r>
    </w:p>
    <w:p w14:paraId="5E1FC6E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Duyar I, Pelin C. Body height estimation based on tibia length in different stature groups. American journal of physical anthropology 2003; </w:t>
      </w:r>
      <w:r w:rsidRPr="00071D04">
        <w:rPr>
          <w:b/>
          <w:color w:val="000000" w:themeColor="text1"/>
        </w:rPr>
        <w:t>122</w:t>
      </w:r>
      <w:r w:rsidRPr="00071D04">
        <w:rPr>
          <w:color w:val="000000" w:themeColor="text1"/>
        </w:rPr>
        <w:t>: 23-27.</w:t>
      </w:r>
    </w:p>
    <w:p w14:paraId="041E313C"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Mohanty BB, Agrawal D, Mishra K, Samantsinghar P, Chinara PK. Estimation of height of an individual from forearm length on the population of Eastern India. Journal of Medical &amp; Allied Sciences 2013; </w:t>
      </w:r>
      <w:r w:rsidRPr="00071D04">
        <w:rPr>
          <w:b/>
          <w:color w:val="000000" w:themeColor="text1"/>
        </w:rPr>
        <w:t>3</w:t>
      </w:r>
      <w:r w:rsidRPr="00071D04">
        <w:rPr>
          <w:color w:val="000000" w:themeColor="text1"/>
        </w:rPr>
        <w:t>: 72.</w:t>
      </w:r>
    </w:p>
    <w:p w14:paraId="15538FCF"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107.</w:t>
      </w:r>
      <w:r w:rsidRPr="00071D04">
        <w:rPr>
          <w:color w:val="000000" w:themeColor="text1"/>
        </w:rPr>
        <w:tab/>
        <w:t xml:space="preserve">Zverev Y, Chisi J. Estimating height from arm span measurement in Malawian children. Collegium antropologicum 2005; </w:t>
      </w:r>
      <w:r w:rsidRPr="00071D04">
        <w:rPr>
          <w:b/>
          <w:color w:val="000000" w:themeColor="text1"/>
        </w:rPr>
        <w:t>29</w:t>
      </w:r>
      <w:r w:rsidRPr="00071D04">
        <w:rPr>
          <w:color w:val="000000" w:themeColor="text1"/>
        </w:rPr>
        <w:t>: 469-473.</w:t>
      </w:r>
    </w:p>
    <w:p w14:paraId="41C0B6D7" w14:textId="77777777" w:rsidR="00DB5475" w:rsidRDefault="00DB5475" w:rsidP="00DB5475">
      <w:pPr>
        <w:pStyle w:val="EndNoteBibliography"/>
        <w:numPr>
          <w:ilvl w:val="0"/>
          <w:numId w:val="44"/>
        </w:numPr>
        <w:spacing w:after="0" w:line="276" w:lineRule="auto"/>
        <w:rPr>
          <w:color w:val="000000" w:themeColor="text1"/>
        </w:rPr>
      </w:pPr>
      <w:r w:rsidRPr="00D3068F">
        <w:rPr>
          <w:color w:val="000000" w:themeColor="text1"/>
        </w:rPr>
        <w:t xml:space="preserve">Ibegbu AO, David ET, Hamman WO, Umana UE, Musa SA. Association of hand length with height in Nigerian school children. Journal of Biology and Life Sciences 2013; </w:t>
      </w:r>
      <w:r w:rsidRPr="00D3068F">
        <w:rPr>
          <w:b/>
          <w:color w:val="000000" w:themeColor="text1"/>
        </w:rPr>
        <w:t>4</w:t>
      </w:r>
      <w:r w:rsidRPr="00D3068F">
        <w:rPr>
          <w:color w:val="000000" w:themeColor="text1"/>
        </w:rPr>
        <w:t>: 83.</w:t>
      </w:r>
    </w:p>
    <w:p w14:paraId="671B5720" w14:textId="77777777" w:rsidR="0098764A" w:rsidRDefault="0098764A" w:rsidP="0098764A">
      <w:pPr>
        <w:pStyle w:val="EndNoteBibliography"/>
        <w:numPr>
          <w:ilvl w:val="0"/>
          <w:numId w:val="44"/>
        </w:numPr>
        <w:spacing w:after="0" w:line="276" w:lineRule="auto"/>
        <w:rPr>
          <w:color w:val="000000" w:themeColor="text1"/>
        </w:rPr>
      </w:pPr>
      <w:r w:rsidRPr="00071D04">
        <w:rPr>
          <w:color w:val="000000" w:themeColor="text1"/>
        </w:rPr>
        <w:t xml:space="preserve">Onis M. WHO Child Growth Standards based on length/height, weight and age. Acta paediatrica 2006; </w:t>
      </w:r>
      <w:r w:rsidRPr="00071D04">
        <w:rPr>
          <w:b/>
          <w:color w:val="000000" w:themeColor="text1"/>
        </w:rPr>
        <w:t>95</w:t>
      </w:r>
      <w:r w:rsidRPr="00071D04">
        <w:rPr>
          <w:color w:val="000000" w:themeColor="text1"/>
        </w:rPr>
        <w:t>: 76-85.</w:t>
      </w:r>
    </w:p>
    <w:p w14:paraId="1EEA5E5D" w14:textId="77777777" w:rsidR="0098764A" w:rsidRPr="00071D04" w:rsidRDefault="0098764A" w:rsidP="0098764A">
      <w:pPr>
        <w:pStyle w:val="EndNoteBibliography"/>
        <w:numPr>
          <w:ilvl w:val="0"/>
          <w:numId w:val="44"/>
        </w:numPr>
        <w:spacing w:after="0" w:line="276" w:lineRule="auto"/>
        <w:rPr>
          <w:color w:val="000000" w:themeColor="text1"/>
        </w:rPr>
      </w:pPr>
      <w:r w:rsidRPr="00071D04">
        <w:rPr>
          <w:color w:val="000000" w:themeColor="text1"/>
        </w:rPr>
        <w:t xml:space="preserve">Khadilkar V, Khadilkar A. Growth charts: A diagnostic tool. Indian Journal of Endocrinology and Metabolism 2011; </w:t>
      </w:r>
      <w:r w:rsidRPr="00071D04">
        <w:rPr>
          <w:b/>
          <w:color w:val="000000" w:themeColor="text1"/>
        </w:rPr>
        <w:t>15</w:t>
      </w:r>
      <w:r w:rsidRPr="00071D04">
        <w:rPr>
          <w:color w:val="000000" w:themeColor="text1"/>
        </w:rPr>
        <w:t>: S166-S171.</w:t>
      </w:r>
    </w:p>
    <w:p w14:paraId="5B690616" w14:textId="4A039B8B" w:rsidR="0098764A" w:rsidRPr="0098764A" w:rsidRDefault="0098764A" w:rsidP="0098764A">
      <w:pPr>
        <w:pStyle w:val="EndNoteBibliography"/>
        <w:numPr>
          <w:ilvl w:val="0"/>
          <w:numId w:val="44"/>
        </w:numPr>
        <w:spacing w:after="0" w:line="276" w:lineRule="auto"/>
        <w:rPr>
          <w:color w:val="000000" w:themeColor="text1"/>
        </w:rPr>
      </w:pPr>
      <w:r w:rsidRPr="00071D04">
        <w:rPr>
          <w:color w:val="000000" w:themeColor="text1"/>
        </w:rPr>
        <w:t xml:space="preserve">Wright C, Lakshman R, Emmett P, Ong K. Implications of adopting the WHO 2006 Child Growth Standard in the UK: two prospective cohort studies. Archives of disease in childhood 2008; </w:t>
      </w:r>
      <w:r w:rsidRPr="00071D04">
        <w:rPr>
          <w:b/>
          <w:color w:val="000000" w:themeColor="text1"/>
        </w:rPr>
        <w:t>93</w:t>
      </w:r>
      <w:r w:rsidRPr="00071D04">
        <w:rPr>
          <w:color w:val="000000" w:themeColor="text1"/>
        </w:rPr>
        <w:t>: 566-569</w:t>
      </w:r>
    </w:p>
    <w:p w14:paraId="562F6A2A" w14:textId="77777777" w:rsidR="00DB5475" w:rsidRPr="00071D04" w:rsidRDefault="00DB5475" w:rsidP="002427CA">
      <w:pPr>
        <w:jc w:val="both"/>
        <w:rPr>
          <w:rFonts w:ascii="Times New Roman" w:hAnsi="Times New Roman"/>
          <w:b/>
          <w:color w:val="000000" w:themeColor="text1"/>
          <w:sz w:val="24"/>
          <w:szCs w:val="24"/>
        </w:rPr>
      </w:pPr>
    </w:p>
    <w:sectPr w:rsidR="00DB5475" w:rsidRPr="00071D04" w:rsidSect="006F71F3">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E8BB" w14:textId="77777777" w:rsidR="000524AE" w:rsidRDefault="000524AE">
      <w:pPr>
        <w:spacing w:after="0" w:line="240" w:lineRule="auto"/>
      </w:pPr>
      <w:r>
        <w:separator/>
      </w:r>
    </w:p>
  </w:endnote>
  <w:endnote w:type="continuationSeparator" w:id="0">
    <w:p w14:paraId="3D8FDD5E" w14:textId="77777777" w:rsidR="000524AE" w:rsidRDefault="0005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dvP4DF60E">
    <w:altName w:val="Arial Unicode MS"/>
    <w:panose1 w:val="00000000000000000000"/>
    <w:charset w:val="81"/>
    <w:family w:val="auto"/>
    <w:notTrueType/>
    <w:pitch w:val="default"/>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7324" w14:textId="77777777" w:rsidR="001045F3" w:rsidRDefault="00104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B57C" w14:textId="77777777" w:rsidR="00E85DF1" w:rsidRDefault="00E85DF1">
    <w:pPr>
      <w:pStyle w:val="Footer"/>
      <w:jc w:val="center"/>
    </w:pPr>
    <w:r>
      <w:fldChar w:fldCharType="begin"/>
    </w:r>
    <w:r>
      <w:instrText xml:space="preserve"> PAGE   \* MERGEFORMAT </w:instrText>
    </w:r>
    <w:r>
      <w:fldChar w:fldCharType="separate"/>
    </w:r>
    <w:r w:rsidR="00CF468F">
      <w:rPr>
        <w:noProof/>
      </w:rPr>
      <w:t>15</w:t>
    </w:r>
    <w:r>
      <w:fldChar w:fldCharType="end"/>
    </w:r>
  </w:p>
  <w:p w14:paraId="1C5E4F35" w14:textId="77777777" w:rsidR="00E85DF1" w:rsidRDefault="00E85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CCD3" w14:textId="77777777" w:rsidR="001045F3" w:rsidRDefault="0010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4E3D" w14:textId="77777777" w:rsidR="000524AE" w:rsidRDefault="000524AE">
      <w:pPr>
        <w:spacing w:after="0" w:line="240" w:lineRule="auto"/>
      </w:pPr>
      <w:r>
        <w:separator/>
      </w:r>
    </w:p>
  </w:footnote>
  <w:footnote w:type="continuationSeparator" w:id="0">
    <w:p w14:paraId="7A821154" w14:textId="77777777" w:rsidR="000524AE" w:rsidRDefault="0005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3FE4" w14:textId="6B502224" w:rsidR="001045F3" w:rsidRDefault="001045F3">
    <w:pPr>
      <w:pStyle w:val="Header"/>
    </w:pPr>
    <w:r>
      <w:rPr>
        <w:noProof/>
      </w:rPr>
      <w:pict w14:anchorId="6DB8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5016"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0E1C" w14:textId="0590E0BD" w:rsidR="001045F3" w:rsidRDefault="001045F3">
    <w:pPr>
      <w:pStyle w:val="Header"/>
    </w:pPr>
    <w:r>
      <w:rPr>
        <w:noProof/>
      </w:rPr>
      <w:pict w14:anchorId="1ABDF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5017"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5B89" w14:textId="546FE2BC" w:rsidR="001045F3" w:rsidRDefault="001045F3">
    <w:pPr>
      <w:pStyle w:val="Header"/>
    </w:pPr>
    <w:r>
      <w:rPr>
        <w:noProof/>
      </w:rPr>
      <w:pict w14:anchorId="588DD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5015"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236"/>
    <w:multiLevelType w:val="hybridMultilevel"/>
    <w:tmpl w:val="ADFE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66FD"/>
    <w:multiLevelType w:val="hybridMultilevel"/>
    <w:tmpl w:val="73585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76ACD"/>
    <w:multiLevelType w:val="multilevel"/>
    <w:tmpl w:val="062A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029B2"/>
    <w:multiLevelType w:val="hybridMultilevel"/>
    <w:tmpl w:val="8EB42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96E39"/>
    <w:multiLevelType w:val="hybridMultilevel"/>
    <w:tmpl w:val="87A2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84417"/>
    <w:multiLevelType w:val="hybridMultilevel"/>
    <w:tmpl w:val="DB72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F18E7"/>
    <w:multiLevelType w:val="hybridMultilevel"/>
    <w:tmpl w:val="2CF29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E6DE4"/>
    <w:multiLevelType w:val="hybridMultilevel"/>
    <w:tmpl w:val="4782D4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B53D5"/>
    <w:multiLevelType w:val="hybridMultilevel"/>
    <w:tmpl w:val="07CA1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132A2"/>
    <w:multiLevelType w:val="hybridMultilevel"/>
    <w:tmpl w:val="F25C6340"/>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95405"/>
    <w:multiLevelType w:val="hybridMultilevel"/>
    <w:tmpl w:val="FE523C4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25C06C0E"/>
    <w:multiLevelType w:val="hybridMultilevel"/>
    <w:tmpl w:val="27D68338"/>
    <w:lvl w:ilvl="0" w:tplc="08090009">
      <w:start w:val="1"/>
      <w:numFmt w:val="bullet"/>
      <w:lvlText w:val=""/>
      <w:lvlJc w:val="left"/>
      <w:pPr>
        <w:ind w:left="99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906322"/>
    <w:multiLevelType w:val="hybridMultilevel"/>
    <w:tmpl w:val="A232E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879CD"/>
    <w:multiLevelType w:val="hybridMultilevel"/>
    <w:tmpl w:val="FB3E374E"/>
    <w:lvl w:ilvl="0" w:tplc="AB44C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226CB0"/>
    <w:multiLevelType w:val="hybridMultilevel"/>
    <w:tmpl w:val="C67C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64E7F"/>
    <w:multiLevelType w:val="hybridMultilevel"/>
    <w:tmpl w:val="5A8AE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3295A1A"/>
    <w:multiLevelType w:val="hybridMultilevel"/>
    <w:tmpl w:val="D520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40BD0"/>
    <w:multiLevelType w:val="hybridMultilevel"/>
    <w:tmpl w:val="BF10496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B991E65"/>
    <w:multiLevelType w:val="hybridMultilevel"/>
    <w:tmpl w:val="C7941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D7BDC"/>
    <w:multiLevelType w:val="hybridMultilevel"/>
    <w:tmpl w:val="26562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5342E"/>
    <w:multiLevelType w:val="hybridMultilevel"/>
    <w:tmpl w:val="4E16F1C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2C541CD"/>
    <w:multiLevelType w:val="hybridMultilevel"/>
    <w:tmpl w:val="2AA2E25E"/>
    <w:lvl w:ilvl="0" w:tplc="F022DA74">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2CD75D2"/>
    <w:multiLevelType w:val="hybridMultilevel"/>
    <w:tmpl w:val="991427B4"/>
    <w:lvl w:ilvl="0" w:tplc="B4300F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E7072"/>
    <w:multiLevelType w:val="hybridMultilevel"/>
    <w:tmpl w:val="687CC1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36DC1DAE">
      <w:start w:val="1"/>
      <w:numFmt w:val="upperRoman"/>
      <w:lvlText w:val="%3."/>
      <w:lvlJc w:val="right"/>
      <w:pPr>
        <w:tabs>
          <w:tab w:val="num" w:pos="2160"/>
        </w:tabs>
        <w:ind w:left="2160" w:hanging="180"/>
      </w:pPr>
      <w:rPr>
        <w:rFonts w:hint="default"/>
      </w:rPr>
    </w:lvl>
    <w:lvl w:ilvl="3" w:tplc="0FF45B7C">
      <w:start w:val="14"/>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9D81A85"/>
    <w:multiLevelType w:val="hybridMultilevel"/>
    <w:tmpl w:val="6CFC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359C3"/>
    <w:multiLevelType w:val="hybridMultilevel"/>
    <w:tmpl w:val="968E3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50138"/>
    <w:multiLevelType w:val="hybridMultilevel"/>
    <w:tmpl w:val="BA668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32587C"/>
    <w:multiLevelType w:val="hybridMultilevel"/>
    <w:tmpl w:val="986E2A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1F3"/>
    <w:multiLevelType w:val="hybridMultilevel"/>
    <w:tmpl w:val="5FB4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15B4C"/>
    <w:multiLevelType w:val="hybridMultilevel"/>
    <w:tmpl w:val="9E2EC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D0312D"/>
    <w:multiLevelType w:val="hybridMultilevel"/>
    <w:tmpl w:val="4B1E2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4266E"/>
    <w:multiLevelType w:val="hybridMultilevel"/>
    <w:tmpl w:val="8944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93CAA"/>
    <w:multiLevelType w:val="hybridMultilevel"/>
    <w:tmpl w:val="6DB6659E"/>
    <w:lvl w:ilvl="0" w:tplc="548CED2C">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5E08FA"/>
    <w:multiLevelType w:val="hybridMultilevel"/>
    <w:tmpl w:val="C4F6B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A159AC"/>
    <w:multiLevelType w:val="hybridMultilevel"/>
    <w:tmpl w:val="6B6802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F56A9"/>
    <w:multiLevelType w:val="hybridMultilevel"/>
    <w:tmpl w:val="8CD8E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F630E"/>
    <w:multiLevelType w:val="hybridMultilevel"/>
    <w:tmpl w:val="C264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05B0B"/>
    <w:multiLevelType w:val="hybridMultilevel"/>
    <w:tmpl w:val="FD22A1A4"/>
    <w:lvl w:ilvl="0" w:tplc="A03CB70C">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503D8F"/>
    <w:multiLevelType w:val="hybridMultilevel"/>
    <w:tmpl w:val="CB1ED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3513F4"/>
    <w:multiLevelType w:val="hybridMultilevel"/>
    <w:tmpl w:val="4DECD074"/>
    <w:lvl w:ilvl="0" w:tplc="4560D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AC42BE"/>
    <w:multiLevelType w:val="hybridMultilevel"/>
    <w:tmpl w:val="863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67C07"/>
    <w:multiLevelType w:val="hybridMultilevel"/>
    <w:tmpl w:val="13BC61F6"/>
    <w:lvl w:ilvl="0" w:tplc="B05060BA">
      <w:start w:val="1"/>
      <w:numFmt w:val="decimal"/>
      <w:lvlText w:val="%1."/>
      <w:lvlJc w:val="left"/>
      <w:pPr>
        <w:ind w:left="660" w:hanging="360"/>
      </w:pPr>
      <w:rPr>
        <w:rFonts w:hint="default"/>
        <w:color w:val="FF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15:restartNumberingAfterBreak="0">
    <w:nsid w:val="7F9F4DA9"/>
    <w:multiLevelType w:val="hybridMultilevel"/>
    <w:tmpl w:val="3C60B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9"/>
  </w:num>
  <w:num w:numId="3">
    <w:abstractNumId w:val="25"/>
  </w:num>
  <w:num w:numId="4">
    <w:abstractNumId w:val="22"/>
  </w:num>
  <w:num w:numId="5">
    <w:abstractNumId w:val="38"/>
  </w:num>
  <w:num w:numId="6">
    <w:abstractNumId w:val="40"/>
  </w:num>
  <w:num w:numId="7">
    <w:abstractNumId w:val="5"/>
  </w:num>
  <w:num w:numId="8">
    <w:abstractNumId w:val="26"/>
  </w:num>
  <w:num w:numId="9">
    <w:abstractNumId w:val="14"/>
  </w:num>
  <w:num w:numId="10">
    <w:abstractNumId w:val="16"/>
  </w:num>
  <w:num w:numId="11">
    <w:abstractNumId w:val="0"/>
  </w:num>
  <w:num w:numId="12">
    <w:abstractNumId w:val="28"/>
  </w:num>
  <w:num w:numId="13">
    <w:abstractNumId w:val="11"/>
  </w:num>
  <w:num w:numId="14">
    <w:abstractNumId w:val="35"/>
  </w:num>
  <w:num w:numId="15">
    <w:abstractNumId w:val="23"/>
  </w:num>
  <w:num w:numId="16">
    <w:abstractNumId w:val="33"/>
  </w:num>
  <w:num w:numId="17">
    <w:abstractNumId w:val="2"/>
  </w:num>
  <w:num w:numId="18">
    <w:abstractNumId w:val="37"/>
  </w:num>
  <w:num w:numId="19">
    <w:abstractNumId w:val="36"/>
  </w:num>
  <w:num w:numId="20">
    <w:abstractNumId w:val="20"/>
  </w:num>
  <w:num w:numId="21">
    <w:abstractNumId w:val="1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1"/>
  </w:num>
  <w:num w:numId="25">
    <w:abstractNumId w:val="4"/>
  </w:num>
  <w:num w:numId="26">
    <w:abstractNumId w:val="19"/>
  </w:num>
  <w:num w:numId="27">
    <w:abstractNumId w:val="13"/>
  </w:num>
  <w:num w:numId="28">
    <w:abstractNumId w:val="34"/>
  </w:num>
  <w:num w:numId="29">
    <w:abstractNumId w:val="7"/>
  </w:num>
  <w:num w:numId="30">
    <w:abstractNumId w:val="10"/>
  </w:num>
  <w:num w:numId="31">
    <w:abstractNumId w:val="39"/>
  </w:num>
  <w:num w:numId="32">
    <w:abstractNumId w:val="3"/>
  </w:num>
  <w:num w:numId="33">
    <w:abstractNumId w:val="29"/>
  </w:num>
  <w:num w:numId="34">
    <w:abstractNumId w:val="12"/>
  </w:num>
  <w:num w:numId="35">
    <w:abstractNumId w:val="24"/>
  </w:num>
  <w:num w:numId="36">
    <w:abstractNumId w:val="31"/>
  </w:num>
  <w:num w:numId="37">
    <w:abstractNumId w:val="15"/>
  </w:num>
  <w:num w:numId="38">
    <w:abstractNumId w:val="41"/>
  </w:num>
  <w:num w:numId="39">
    <w:abstractNumId w:val="42"/>
  </w:num>
  <w:num w:numId="40">
    <w:abstractNumId w:val="30"/>
  </w:num>
  <w:num w:numId="41">
    <w:abstractNumId w:val="18"/>
  </w:num>
  <w:num w:numId="42">
    <w:abstractNumId w:val="6"/>
  </w:num>
  <w:num w:numId="43">
    <w:abstractNumId w:val="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it-IT" w:vendorID="64" w:dllVersion="0" w:nlCheck="1" w:checkStyle="0"/>
  <w:activeWritingStyle w:appName="MSWord" w:lang="es-ES" w:vendorID="64" w:dllVersion="0" w:nlCheck="1" w:checkStyle="0"/>
  <w:activeWritingStyle w:appName="MSWord" w:lang="pt-BR" w:vendorID="64" w:dllVersion="0" w:nlCheck="1" w:checkStyle="0"/>
  <w:activeWritingStyle w:appName="MSWord" w:lang="nb-NO" w:vendorID="64" w:dllVersion="0"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WACP 2019&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artfe59rd92tx0eswfsvxr0ysr52aadvw92v&quot;&gt;Sayomi&amp;apos;s book&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6&lt;/item&gt;&lt;item&gt;107&lt;/item&gt;&lt;item&gt;108&lt;/item&gt;&lt;item&gt;109&lt;/item&gt;&lt;item&gt;110&lt;/item&gt;&lt;item&gt;111&lt;/item&gt;&lt;item&gt;112&lt;/item&gt;&lt;item&gt;113&lt;/item&gt;&lt;item&gt;115&lt;/item&gt;&lt;item&gt;116&lt;/item&gt;&lt;item&gt;117&lt;/item&gt;&lt;item&gt;118&lt;/item&gt;&lt;item&gt;119&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8&lt;/item&gt;&lt;item&gt;139&lt;/item&gt;&lt;item&gt;141&lt;/item&gt;&lt;item&gt;143&lt;/item&gt;&lt;item&gt;144&lt;/item&gt;&lt;item&gt;145&lt;/item&gt;&lt;item&gt;146&lt;/item&gt;&lt;item&gt;147&lt;/item&gt;&lt;item&gt;149&lt;/item&gt;&lt;/record-ids&gt;&lt;/item&gt;&lt;/Libraries&gt;"/>
  </w:docVars>
  <w:rsids>
    <w:rsidRoot w:val="00527633"/>
    <w:rsid w:val="00000B7F"/>
    <w:rsid w:val="00002885"/>
    <w:rsid w:val="000073D2"/>
    <w:rsid w:val="0001048B"/>
    <w:rsid w:val="00010BA7"/>
    <w:rsid w:val="00013893"/>
    <w:rsid w:val="000168A9"/>
    <w:rsid w:val="000210D7"/>
    <w:rsid w:val="00027F39"/>
    <w:rsid w:val="000339D5"/>
    <w:rsid w:val="0003758D"/>
    <w:rsid w:val="00047CAC"/>
    <w:rsid w:val="00052212"/>
    <w:rsid w:val="000524AE"/>
    <w:rsid w:val="0006208C"/>
    <w:rsid w:val="00064752"/>
    <w:rsid w:val="00066825"/>
    <w:rsid w:val="00066863"/>
    <w:rsid w:val="00066C94"/>
    <w:rsid w:val="00071D04"/>
    <w:rsid w:val="00073166"/>
    <w:rsid w:val="00073755"/>
    <w:rsid w:val="00077236"/>
    <w:rsid w:val="00081788"/>
    <w:rsid w:val="00083B0F"/>
    <w:rsid w:val="00084A49"/>
    <w:rsid w:val="00087191"/>
    <w:rsid w:val="00090A96"/>
    <w:rsid w:val="00094EFB"/>
    <w:rsid w:val="000A0887"/>
    <w:rsid w:val="000A72B9"/>
    <w:rsid w:val="000B5CD4"/>
    <w:rsid w:val="000C1BDD"/>
    <w:rsid w:val="000C2CAC"/>
    <w:rsid w:val="000C3965"/>
    <w:rsid w:val="000C5506"/>
    <w:rsid w:val="000C612C"/>
    <w:rsid w:val="000C6156"/>
    <w:rsid w:val="000D0EEE"/>
    <w:rsid w:val="000E08DF"/>
    <w:rsid w:val="000E2321"/>
    <w:rsid w:val="000E6159"/>
    <w:rsid w:val="000F0922"/>
    <w:rsid w:val="000F3655"/>
    <w:rsid w:val="000F5073"/>
    <w:rsid w:val="00100227"/>
    <w:rsid w:val="001045F3"/>
    <w:rsid w:val="001049A9"/>
    <w:rsid w:val="00107311"/>
    <w:rsid w:val="00110439"/>
    <w:rsid w:val="00114477"/>
    <w:rsid w:val="00114BAC"/>
    <w:rsid w:val="0011712D"/>
    <w:rsid w:val="001265D1"/>
    <w:rsid w:val="00127604"/>
    <w:rsid w:val="00130416"/>
    <w:rsid w:val="00130EAF"/>
    <w:rsid w:val="00132571"/>
    <w:rsid w:val="00133230"/>
    <w:rsid w:val="001465B8"/>
    <w:rsid w:val="001513BD"/>
    <w:rsid w:val="001612B9"/>
    <w:rsid w:val="00177E3A"/>
    <w:rsid w:val="00180745"/>
    <w:rsid w:val="00191AB6"/>
    <w:rsid w:val="001A1B30"/>
    <w:rsid w:val="001A53AC"/>
    <w:rsid w:val="001B7EF9"/>
    <w:rsid w:val="001C0989"/>
    <w:rsid w:val="001C4A93"/>
    <w:rsid w:val="001C5D79"/>
    <w:rsid w:val="001C7A94"/>
    <w:rsid w:val="001D0CCD"/>
    <w:rsid w:val="001E55BE"/>
    <w:rsid w:val="001E6C95"/>
    <w:rsid w:val="001F57FB"/>
    <w:rsid w:val="00215BC5"/>
    <w:rsid w:val="00215CEF"/>
    <w:rsid w:val="00225A65"/>
    <w:rsid w:val="002321E5"/>
    <w:rsid w:val="00234266"/>
    <w:rsid w:val="002427CA"/>
    <w:rsid w:val="00243766"/>
    <w:rsid w:val="002454DE"/>
    <w:rsid w:val="0024597B"/>
    <w:rsid w:val="002474FC"/>
    <w:rsid w:val="00253BF7"/>
    <w:rsid w:val="00273D6B"/>
    <w:rsid w:val="00285314"/>
    <w:rsid w:val="00294351"/>
    <w:rsid w:val="002954EE"/>
    <w:rsid w:val="002B34CB"/>
    <w:rsid w:val="002B538A"/>
    <w:rsid w:val="002B5A01"/>
    <w:rsid w:val="002B7953"/>
    <w:rsid w:val="002C0C49"/>
    <w:rsid w:val="002C1813"/>
    <w:rsid w:val="002D10BC"/>
    <w:rsid w:val="002D3DC4"/>
    <w:rsid w:val="002D4701"/>
    <w:rsid w:val="002D59E1"/>
    <w:rsid w:val="002D7CD4"/>
    <w:rsid w:val="002F22DC"/>
    <w:rsid w:val="002F536F"/>
    <w:rsid w:val="002F5A7D"/>
    <w:rsid w:val="00303177"/>
    <w:rsid w:val="00303CA1"/>
    <w:rsid w:val="003058C6"/>
    <w:rsid w:val="003104E6"/>
    <w:rsid w:val="003114FC"/>
    <w:rsid w:val="003135A1"/>
    <w:rsid w:val="00313B71"/>
    <w:rsid w:val="003261CC"/>
    <w:rsid w:val="0033796C"/>
    <w:rsid w:val="0034092B"/>
    <w:rsid w:val="00341F53"/>
    <w:rsid w:val="00344B01"/>
    <w:rsid w:val="00345D27"/>
    <w:rsid w:val="0035090C"/>
    <w:rsid w:val="00350E4E"/>
    <w:rsid w:val="00351F09"/>
    <w:rsid w:val="00356ACB"/>
    <w:rsid w:val="00357AA1"/>
    <w:rsid w:val="00363645"/>
    <w:rsid w:val="00372314"/>
    <w:rsid w:val="003739CE"/>
    <w:rsid w:val="003740F9"/>
    <w:rsid w:val="00374ADC"/>
    <w:rsid w:val="003860D1"/>
    <w:rsid w:val="00390D69"/>
    <w:rsid w:val="003A6554"/>
    <w:rsid w:val="003A7980"/>
    <w:rsid w:val="003B1FC0"/>
    <w:rsid w:val="003B336E"/>
    <w:rsid w:val="003C2164"/>
    <w:rsid w:val="003D0D73"/>
    <w:rsid w:val="003D21CB"/>
    <w:rsid w:val="003D3802"/>
    <w:rsid w:val="003D6FAE"/>
    <w:rsid w:val="003D746B"/>
    <w:rsid w:val="003E239B"/>
    <w:rsid w:val="003E249F"/>
    <w:rsid w:val="003E27E2"/>
    <w:rsid w:val="003E2E4F"/>
    <w:rsid w:val="003E7B03"/>
    <w:rsid w:val="003F58B9"/>
    <w:rsid w:val="003F5C37"/>
    <w:rsid w:val="00402E59"/>
    <w:rsid w:val="0040402D"/>
    <w:rsid w:val="00412365"/>
    <w:rsid w:val="004166AC"/>
    <w:rsid w:val="00417376"/>
    <w:rsid w:val="00422D69"/>
    <w:rsid w:val="00425E95"/>
    <w:rsid w:val="00430DA7"/>
    <w:rsid w:val="00440F5C"/>
    <w:rsid w:val="00442CF3"/>
    <w:rsid w:val="00442FBC"/>
    <w:rsid w:val="0044413F"/>
    <w:rsid w:val="00450C4E"/>
    <w:rsid w:val="00455AB9"/>
    <w:rsid w:val="004575C5"/>
    <w:rsid w:val="004624E7"/>
    <w:rsid w:val="004724C8"/>
    <w:rsid w:val="00475828"/>
    <w:rsid w:val="00483AA7"/>
    <w:rsid w:val="00491299"/>
    <w:rsid w:val="004A4F2B"/>
    <w:rsid w:val="004A6BEE"/>
    <w:rsid w:val="004B024E"/>
    <w:rsid w:val="004B0461"/>
    <w:rsid w:val="004C0493"/>
    <w:rsid w:val="004C0544"/>
    <w:rsid w:val="004C22B8"/>
    <w:rsid w:val="004C2EDB"/>
    <w:rsid w:val="004C42D6"/>
    <w:rsid w:val="004C4EA1"/>
    <w:rsid w:val="004C6398"/>
    <w:rsid w:val="004D1001"/>
    <w:rsid w:val="004D1A33"/>
    <w:rsid w:val="004D217D"/>
    <w:rsid w:val="004E4C28"/>
    <w:rsid w:val="004F00B6"/>
    <w:rsid w:val="004F314B"/>
    <w:rsid w:val="004F56AE"/>
    <w:rsid w:val="005024D7"/>
    <w:rsid w:val="00510172"/>
    <w:rsid w:val="005103C9"/>
    <w:rsid w:val="005204DF"/>
    <w:rsid w:val="00523E40"/>
    <w:rsid w:val="00527633"/>
    <w:rsid w:val="00527905"/>
    <w:rsid w:val="00531CA0"/>
    <w:rsid w:val="0053352A"/>
    <w:rsid w:val="00536370"/>
    <w:rsid w:val="00540D2F"/>
    <w:rsid w:val="005421D4"/>
    <w:rsid w:val="005431E2"/>
    <w:rsid w:val="0055551C"/>
    <w:rsid w:val="005562BC"/>
    <w:rsid w:val="0057584B"/>
    <w:rsid w:val="00575A50"/>
    <w:rsid w:val="00576DB4"/>
    <w:rsid w:val="00584E27"/>
    <w:rsid w:val="005870FB"/>
    <w:rsid w:val="005916DD"/>
    <w:rsid w:val="00593095"/>
    <w:rsid w:val="00593675"/>
    <w:rsid w:val="005955C1"/>
    <w:rsid w:val="0059587B"/>
    <w:rsid w:val="005A013E"/>
    <w:rsid w:val="005A162C"/>
    <w:rsid w:val="005A1F36"/>
    <w:rsid w:val="005B152B"/>
    <w:rsid w:val="005B231C"/>
    <w:rsid w:val="005B3D25"/>
    <w:rsid w:val="005B4265"/>
    <w:rsid w:val="005C2811"/>
    <w:rsid w:val="005C48A2"/>
    <w:rsid w:val="005C6DB7"/>
    <w:rsid w:val="005D2228"/>
    <w:rsid w:val="005D297A"/>
    <w:rsid w:val="005D351E"/>
    <w:rsid w:val="005D3F7C"/>
    <w:rsid w:val="005D5544"/>
    <w:rsid w:val="005D58DD"/>
    <w:rsid w:val="005E19A9"/>
    <w:rsid w:val="005F35F0"/>
    <w:rsid w:val="005F386E"/>
    <w:rsid w:val="00600A47"/>
    <w:rsid w:val="00601CA1"/>
    <w:rsid w:val="00602BBB"/>
    <w:rsid w:val="00604ABE"/>
    <w:rsid w:val="006060AA"/>
    <w:rsid w:val="00606814"/>
    <w:rsid w:val="0060721F"/>
    <w:rsid w:val="0060755E"/>
    <w:rsid w:val="00613D29"/>
    <w:rsid w:val="00620A21"/>
    <w:rsid w:val="00632932"/>
    <w:rsid w:val="006508FE"/>
    <w:rsid w:val="00653B60"/>
    <w:rsid w:val="006544A4"/>
    <w:rsid w:val="00656478"/>
    <w:rsid w:val="00663A3D"/>
    <w:rsid w:val="00667AE1"/>
    <w:rsid w:val="00675F0E"/>
    <w:rsid w:val="00694EE2"/>
    <w:rsid w:val="0069611F"/>
    <w:rsid w:val="006A2798"/>
    <w:rsid w:val="006A4F1F"/>
    <w:rsid w:val="006B6EC7"/>
    <w:rsid w:val="006C1180"/>
    <w:rsid w:val="006C531A"/>
    <w:rsid w:val="006D09C8"/>
    <w:rsid w:val="006D10C6"/>
    <w:rsid w:val="006D1E75"/>
    <w:rsid w:val="006D2149"/>
    <w:rsid w:val="006D43E0"/>
    <w:rsid w:val="006D43FD"/>
    <w:rsid w:val="006D4FE4"/>
    <w:rsid w:val="006E2C03"/>
    <w:rsid w:val="006F07CC"/>
    <w:rsid w:val="006F313B"/>
    <w:rsid w:val="006F3B3B"/>
    <w:rsid w:val="006F3F65"/>
    <w:rsid w:val="006F71F3"/>
    <w:rsid w:val="006F7A4E"/>
    <w:rsid w:val="00701738"/>
    <w:rsid w:val="0070618E"/>
    <w:rsid w:val="00707828"/>
    <w:rsid w:val="007148E4"/>
    <w:rsid w:val="00714D27"/>
    <w:rsid w:val="0072146D"/>
    <w:rsid w:val="00726BB2"/>
    <w:rsid w:val="007313C5"/>
    <w:rsid w:val="00742221"/>
    <w:rsid w:val="007449EE"/>
    <w:rsid w:val="00761073"/>
    <w:rsid w:val="0076257F"/>
    <w:rsid w:val="00764008"/>
    <w:rsid w:val="007710B5"/>
    <w:rsid w:val="00773091"/>
    <w:rsid w:val="00773390"/>
    <w:rsid w:val="00780E56"/>
    <w:rsid w:val="00790A6B"/>
    <w:rsid w:val="00791981"/>
    <w:rsid w:val="00796D82"/>
    <w:rsid w:val="007A014B"/>
    <w:rsid w:val="007A1469"/>
    <w:rsid w:val="007A2D4F"/>
    <w:rsid w:val="007A6F0B"/>
    <w:rsid w:val="007B0CA8"/>
    <w:rsid w:val="007B1908"/>
    <w:rsid w:val="007B34B4"/>
    <w:rsid w:val="007B6FD5"/>
    <w:rsid w:val="007C574A"/>
    <w:rsid w:val="007D2A68"/>
    <w:rsid w:val="007D44AB"/>
    <w:rsid w:val="007D6E67"/>
    <w:rsid w:val="007E0191"/>
    <w:rsid w:val="007F3202"/>
    <w:rsid w:val="007F5640"/>
    <w:rsid w:val="00802F78"/>
    <w:rsid w:val="00803503"/>
    <w:rsid w:val="008057E2"/>
    <w:rsid w:val="00805814"/>
    <w:rsid w:val="00814635"/>
    <w:rsid w:val="00814960"/>
    <w:rsid w:val="00821260"/>
    <w:rsid w:val="00825548"/>
    <w:rsid w:val="008364A5"/>
    <w:rsid w:val="008407EE"/>
    <w:rsid w:val="008411B8"/>
    <w:rsid w:val="00846295"/>
    <w:rsid w:val="00847A74"/>
    <w:rsid w:val="00850DCD"/>
    <w:rsid w:val="008733C5"/>
    <w:rsid w:val="00874A34"/>
    <w:rsid w:val="00875616"/>
    <w:rsid w:val="00877805"/>
    <w:rsid w:val="00886D0D"/>
    <w:rsid w:val="00891DE6"/>
    <w:rsid w:val="0089691A"/>
    <w:rsid w:val="00897763"/>
    <w:rsid w:val="008A5489"/>
    <w:rsid w:val="008A7CE2"/>
    <w:rsid w:val="008B05D5"/>
    <w:rsid w:val="008C0234"/>
    <w:rsid w:val="008C071E"/>
    <w:rsid w:val="008C44C4"/>
    <w:rsid w:val="008C4D21"/>
    <w:rsid w:val="008C6E8B"/>
    <w:rsid w:val="008D25C8"/>
    <w:rsid w:val="008D4CF1"/>
    <w:rsid w:val="008D7D06"/>
    <w:rsid w:val="008E1854"/>
    <w:rsid w:val="008E19B1"/>
    <w:rsid w:val="00900EA4"/>
    <w:rsid w:val="009056CC"/>
    <w:rsid w:val="009061BC"/>
    <w:rsid w:val="0090778F"/>
    <w:rsid w:val="00920089"/>
    <w:rsid w:val="00927B47"/>
    <w:rsid w:val="009313D5"/>
    <w:rsid w:val="009321B6"/>
    <w:rsid w:val="00932801"/>
    <w:rsid w:val="00932CC6"/>
    <w:rsid w:val="009354A3"/>
    <w:rsid w:val="0094198E"/>
    <w:rsid w:val="00945C12"/>
    <w:rsid w:val="0094668F"/>
    <w:rsid w:val="0095032A"/>
    <w:rsid w:val="009509E8"/>
    <w:rsid w:val="009572F7"/>
    <w:rsid w:val="00957CCA"/>
    <w:rsid w:val="00965FCD"/>
    <w:rsid w:val="00967718"/>
    <w:rsid w:val="00970A39"/>
    <w:rsid w:val="00970BF9"/>
    <w:rsid w:val="009722E2"/>
    <w:rsid w:val="009800BB"/>
    <w:rsid w:val="00980599"/>
    <w:rsid w:val="00981124"/>
    <w:rsid w:val="00986147"/>
    <w:rsid w:val="0098764A"/>
    <w:rsid w:val="009903BB"/>
    <w:rsid w:val="00993CA7"/>
    <w:rsid w:val="0099563B"/>
    <w:rsid w:val="00995739"/>
    <w:rsid w:val="009A4237"/>
    <w:rsid w:val="009A5935"/>
    <w:rsid w:val="009A6DAF"/>
    <w:rsid w:val="009B2EDD"/>
    <w:rsid w:val="009B354A"/>
    <w:rsid w:val="009B5942"/>
    <w:rsid w:val="009B61FC"/>
    <w:rsid w:val="009B65E8"/>
    <w:rsid w:val="009B6848"/>
    <w:rsid w:val="009B7A25"/>
    <w:rsid w:val="009C2A4B"/>
    <w:rsid w:val="009C3325"/>
    <w:rsid w:val="009C7C07"/>
    <w:rsid w:val="009D2AF6"/>
    <w:rsid w:val="009D67FC"/>
    <w:rsid w:val="009E1629"/>
    <w:rsid w:val="009E2172"/>
    <w:rsid w:val="009E3B19"/>
    <w:rsid w:val="009F07A9"/>
    <w:rsid w:val="009F1CD6"/>
    <w:rsid w:val="009F56C2"/>
    <w:rsid w:val="00A00998"/>
    <w:rsid w:val="00A00A6F"/>
    <w:rsid w:val="00A0352B"/>
    <w:rsid w:val="00A06300"/>
    <w:rsid w:val="00A17391"/>
    <w:rsid w:val="00A21A46"/>
    <w:rsid w:val="00A26351"/>
    <w:rsid w:val="00A33934"/>
    <w:rsid w:val="00A34816"/>
    <w:rsid w:val="00A36E21"/>
    <w:rsid w:val="00A37378"/>
    <w:rsid w:val="00A42D90"/>
    <w:rsid w:val="00A45C3B"/>
    <w:rsid w:val="00A46238"/>
    <w:rsid w:val="00A515D9"/>
    <w:rsid w:val="00A568EF"/>
    <w:rsid w:val="00A633A7"/>
    <w:rsid w:val="00A638DB"/>
    <w:rsid w:val="00A66EC2"/>
    <w:rsid w:val="00A737CD"/>
    <w:rsid w:val="00A758D9"/>
    <w:rsid w:val="00A840C5"/>
    <w:rsid w:val="00A842FD"/>
    <w:rsid w:val="00A91629"/>
    <w:rsid w:val="00A94F6D"/>
    <w:rsid w:val="00A97A22"/>
    <w:rsid w:val="00AA117C"/>
    <w:rsid w:val="00AA475C"/>
    <w:rsid w:val="00AA5EBE"/>
    <w:rsid w:val="00AA735C"/>
    <w:rsid w:val="00AB06AC"/>
    <w:rsid w:val="00AC229B"/>
    <w:rsid w:val="00AC5EF7"/>
    <w:rsid w:val="00AD097A"/>
    <w:rsid w:val="00AD3B28"/>
    <w:rsid w:val="00AD67FD"/>
    <w:rsid w:val="00AD786A"/>
    <w:rsid w:val="00AE531E"/>
    <w:rsid w:val="00AF208B"/>
    <w:rsid w:val="00AF2A55"/>
    <w:rsid w:val="00AF43F8"/>
    <w:rsid w:val="00AF5A87"/>
    <w:rsid w:val="00AF5CED"/>
    <w:rsid w:val="00B00D2B"/>
    <w:rsid w:val="00B15DCB"/>
    <w:rsid w:val="00B20FAE"/>
    <w:rsid w:val="00B21E43"/>
    <w:rsid w:val="00B25A98"/>
    <w:rsid w:val="00B27699"/>
    <w:rsid w:val="00B30471"/>
    <w:rsid w:val="00B3126A"/>
    <w:rsid w:val="00B3798A"/>
    <w:rsid w:val="00B52E90"/>
    <w:rsid w:val="00B53E1B"/>
    <w:rsid w:val="00B56749"/>
    <w:rsid w:val="00B61549"/>
    <w:rsid w:val="00B64836"/>
    <w:rsid w:val="00B65FB4"/>
    <w:rsid w:val="00B67BBD"/>
    <w:rsid w:val="00B71518"/>
    <w:rsid w:val="00B76748"/>
    <w:rsid w:val="00B836E3"/>
    <w:rsid w:val="00B837A4"/>
    <w:rsid w:val="00B85070"/>
    <w:rsid w:val="00B85128"/>
    <w:rsid w:val="00B902B7"/>
    <w:rsid w:val="00B930F5"/>
    <w:rsid w:val="00B96D8C"/>
    <w:rsid w:val="00BA031B"/>
    <w:rsid w:val="00BA3193"/>
    <w:rsid w:val="00BA5C52"/>
    <w:rsid w:val="00BB12C5"/>
    <w:rsid w:val="00BB435B"/>
    <w:rsid w:val="00BB61B0"/>
    <w:rsid w:val="00BB646C"/>
    <w:rsid w:val="00BC1E7E"/>
    <w:rsid w:val="00BC5555"/>
    <w:rsid w:val="00BC6D7D"/>
    <w:rsid w:val="00BD1B60"/>
    <w:rsid w:val="00BD34B3"/>
    <w:rsid w:val="00BE0B0E"/>
    <w:rsid w:val="00BE0FF1"/>
    <w:rsid w:val="00BE3A5A"/>
    <w:rsid w:val="00BE3A63"/>
    <w:rsid w:val="00BE5CE5"/>
    <w:rsid w:val="00BE6D2A"/>
    <w:rsid w:val="00BE7232"/>
    <w:rsid w:val="00BF0C9D"/>
    <w:rsid w:val="00BF536A"/>
    <w:rsid w:val="00C01CAB"/>
    <w:rsid w:val="00C116F1"/>
    <w:rsid w:val="00C218A6"/>
    <w:rsid w:val="00C21B07"/>
    <w:rsid w:val="00C33139"/>
    <w:rsid w:val="00C334FA"/>
    <w:rsid w:val="00C35B38"/>
    <w:rsid w:val="00C45DDF"/>
    <w:rsid w:val="00C45EAD"/>
    <w:rsid w:val="00C46E50"/>
    <w:rsid w:val="00C53834"/>
    <w:rsid w:val="00C541B7"/>
    <w:rsid w:val="00C553B3"/>
    <w:rsid w:val="00C60A96"/>
    <w:rsid w:val="00C61D34"/>
    <w:rsid w:val="00C62337"/>
    <w:rsid w:val="00C669BD"/>
    <w:rsid w:val="00C71332"/>
    <w:rsid w:val="00C7265D"/>
    <w:rsid w:val="00C865A1"/>
    <w:rsid w:val="00C90CF8"/>
    <w:rsid w:val="00C90F41"/>
    <w:rsid w:val="00CA07C9"/>
    <w:rsid w:val="00CA1C65"/>
    <w:rsid w:val="00CB1D95"/>
    <w:rsid w:val="00CD26CF"/>
    <w:rsid w:val="00CD6735"/>
    <w:rsid w:val="00CE4F01"/>
    <w:rsid w:val="00CE5325"/>
    <w:rsid w:val="00CE6C09"/>
    <w:rsid w:val="00CF0214"/>
    <w:rsid w:val="00CF1B60"/>
    <w:rsid w:val="00CF3AC9"/>
    <w:rsid w:val="00CF468F"/>
    <w:rsid w:val="00CF68CA"/>
    <w:rsid w:val="00D01F2B"/>
    <w:rsid w:val="00D02CB6"/>
    <w:rsid w:val="00D0480F"/>
    <w:rsid w:val="00D12679"/>
    <w:rsid w:val="00D14DCF"/>
    <w:rsid w:val="00D15056"/>
    <w:rsid w:val="00D1683C"/>
    <w:rsid w:val="00D20360"/>
    <w:rsid w:val="00D207FE"/>
    <w:rsid w:val="00D25504"/>
    <w:rsid w:val="00D3161C"/>
    <w:rsid w:val="00D45644"/>
    <w:rsid w:val="00D457A7"/>
    <w:rsid w:val="00D505FC"/>
    <w:rsid w:val="00D507BD"/>
    <w:rsid w:val="00D51412"/>
    <w:rsid w:val="00D53E41"/>
    <w:rsid w:val="00D662C4"/>
    <w:rsid w:val="00D66D2F"/>
    <w:rsid w:val="00D75139"/>
    <w:rsid w:val="00D80437"/>
    <w:rsid w:val="00D819D9"/>
    <w:rsid w:val="00D9155D"/>
    <w:rsid w:val="00D92FFA"/>
    <w:rsid w:val="00D93027"/>
    <w:rsid w:val="00D967C9"/>
    <w:rsid w:val="00DA1059"/>
    <w:rsid w:val="00DA2BA4"/>
    <w:rsid w:val="00DA3A73"/>
    <w:rsid w:val="00DB5475"/>
    <w:rsid w:val="00DC2E76"/>
    <w:rsid w:val="00DD019D"/>
    <w:rsid w:val="00DD11D3"/>
    <w:rsid w:val="00DD5229"/>
    <w:rsid w:val="00DE25F8"/>
    <w:rsid w:val="00DE4FE1"/>
    <w:rsid w:val="00DF007B"/>
    <w:rsid w:val="00DF16E3"/>
    <w:rsid w:val="00DF3A52"/>
    <w:rsid w:val="00DF5573"/>
    <w:rsid w:val="00E028D0"/>
    <w:rsid w:val="00E060FD"/>
    <w:rsid w:val="00E07801"/>
    <w:rsid w:val="00E11295"/>
    <w:rsid w:val="00E15FFF"/>
    <w:rsid w:val="00E219D8"/>
    <w:rsid w:val="00E2228D"/>
    <w:rsid w:val="00E23E41"/>
    <w:rsid w:val="00E272EE"/>
    <w:rsid w:val="00E31AB7"/>
    <w:rsid w:val="00E31BF6"/>
    <w:rsid w:val="00E33428"/>
    <w:rsid w:val="00E41321"/>
    <w:rsid w:val="00E41E4B"/>
    <w:rsid w:val="00E42CCB"/>
    <w:rsid w:val="00E449C5"/>
    <w:rsid w:val="00E5126D"/>
    <w:rsid w:val="00E53BF4"/>
    <w:rsid w:val="00E67150"/>
    <w:rsid w:val="00E67C88"/>
    <w:rsid w:val="00E706E7"/>
    <w:rsid w:val="00E7225B"/>
    <w:rsid w:val="00E84547"/>
    <w:rsid w:val="00E8554C"/>
    <w:rsid w:val="00E85DF1"/>
    <w:rsid w:val="00E90552"/>
    <w:rsid w:val="00E90D66"/>
    <w:rsid w:val="00E9338B"/>
    <w:rsid w:val="00E9719C"/>
    <w:rsid w:val="00EA3CCA"/>
    <w:rsid w:val="00EA5C1C"/>
    <w:rsid w:val="00EA731B"/>
    <w:rsid w:val="00EB48D0"/>
    <w:rsid w:val="00EB66CF"/>
    <w:rsid w:val="00EC0080"/>
    <w:rsid w:val="00EC06A7"/>
    <w:rsid w:val="00EC1D9E"/>
    <w:rsid w:val="00EC229C"/>
    <w:rsid w:val="00EC63B4"/>
    <w:rsid w:val="00ED04F3"/>
    <w:rsid w:val="00ED65C3"/>
    <w:rsid w:val="00ED6943"/>
    <w:rsid w:val="00ED700E"/>
    <w:rsid w:val="00EE508D"/>
    <w:rsid w:val="00EF25A8"/>
    <w:rsid w:val="00EF7406"/>
    <w:rsid w:val="00F00299"/>
    <w:rsid w:val="00F029BB"/>
    <w:rsid w:val="00F07DBC"/>
    <w:rsid w:val="00F1190D"/>
    <w:rsid w:val="00F139B2"/>
    <w:rsid w:val="00F235D3"/>
    <w:rsid w:val="00F244BE"/>
    <w:rsid w:val="00F26BDD"/>
    <w:rsid w:val="00F30FDA"/>
    <w:rsid w:val="00F321CE"/>
    <w:rsid w:val="00F328A4"/>
    <w:rsid w:val="00F33700"/>
    <w:rsid w:val="00F4101F"/>
    <w:rsid w:val="00F43EE9"/>
    <w:rsid w:val="00F51151"/>
    <w:rsid w:val="00F52324"/>
    <w:rsid w:val="00F52A1B"/>
    <w:rsid w:val="00F56CB2"/>
    <w:rsid w:val="00F57E74"/>
    <w:rsid w:val="00F62496"/>
    <w:rsid w:val="00F63C6D"/>
    <w:rsid w:val="00F65301"/>
    <w:rsid w:val="00F71BA1"/>
    <w:rsid w:val="00F73DEF"/>
    <w:rsid w:val="00F74147"/>
    <w:rsid w:val="00F74240"/>
    <w:rsid w:val="00F85F18"/>
    <w:rsid w:val="00F926CC"/>
    <w:rsid w:val="00F92907"/>
    <w:rsid w:val="00F96887"/>
    <w:rsid w:val="00F97444"/>
    <w:rsid w:val="00F97BCD"/>
    <w:rsid w:val="00FB092A"/>
    <w:rsid w:val="00FB3491"/>
    <w:rsid w:val="00FB4B10"/>
    <w:rsid w:val="00FB5E50"/>
    <w:rsid w:val="00FC3A9C"/>
    <w:rsid w:val="00FE0608"/>
    <w:rsid w:val="00FE6461"/>
    <w:rsid w:val="00FF56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8A15E"/>
  <w15:chartTrackingRefBased/>
  <w15:docId w15:val="{F7295460-11B3-4D53-AA20-2F8025BE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633"/>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633"/>
    <w:pPr>
      <w:ind w:left="720"/>
      <w:contextualSpacing/>
    </w:pPr>
  </w:style>
  <w:style w:type="paragraph" w:styleId="NormalWeb">
    <w:name w:val="Normal (Web)"/>
    <w:basedOn w:val="Normal"/>
    <w:uiPriority w:val="99"/>
    <w:unhideWhenUsed/>
    <w:rsid w:val="00527633"/>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527633"/>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633"/>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527633"/>
    <w:rPr>
      <w:rFonts w:ascii="Tahoma" w:hAnsi="Tahoma" w:cs="Tahoma"/>
      <w:sz w:val="16"/>
      <w:szCs w:val="16"/>
      <w:lang w:val="en-GB"/>
    </w:rPr>
  </w:style>
  <w:style w:type="character" w:customStyle="1" w:styleId="NoSpacingChar">
    <w:name w:val="No Spacing Char"/>
    <w:link w:val="NoSpacing"/>
    <w:uiPriority w:val="99"/>
    <w:locked/>
    <w:rsid w:val="00527633"/>
    <w:rPr>
      <w:rFonts w:ascii="Times New Roman" w:eastAsia="Times New Roman" w:hAnsi="Times New Roman"/>
      <w:sz w:val="22"/>
      <w:szCs w:val="22"/>
      <w:lang w:val="en-US" w:eastAsia="en-US" w:bidi="ar-SA"/>
    </w:rPr>
  </w:style>
  <w:style w:type="paragraph" w:styleId="NoSpacing">
    <w:name w:val="No Spacing"/>
    <w:link w:val="NoSpacingChar"/>
    <w:uiPriority w:val="99"/>
    <w:qFormat/>
    <w:rsid w:val="00527633"/>
    <w:rPr>
      <w:rFonts w:ascii="Times New Roman" w:eastAsia="Times New Roman" w:hAnsi="Times New Roman"/>
      <w:sz w:val="22"/>
      <w:szCs w:val="22"/>
    </w:rPr>
  </w:style>
  <w:style w:type="character" w:styleId="Strong">
    <w:name w:val="Strong"/>
    <w:uiPriority w:val="22"/>
    <w:qFormat/>
    <w:rsid w:val="00527633"/>
    <w:rPr>
      <w:b/>
      <w:bCs/>
    </w:rPr>
  </w:style>
  <w:style w:type="paragraph" w:styleId="Header">
    <w:name w:val="header"/>
    <w:basedOn w:val="Normal"/>
    <w:link w:val="HeaderChar"/>
    <w:uiPriority w:val="99"/>
    <w:unhideWhenUsed/>
    <w:rsid w:val="00527633"/>
    <w:pPr>
      <w:tabs>
        <w:tab w:val="center" w:pos="4513"/>
        <w:tab w:val="right" w:pos="9026"/>
      </w:tabs>
      <w:spacing w:after="0" w:line="240" w:lineRule="auto"/>
    </w:pPr>
    <w:rPr>
      <w:sz w:val="20"/>
      <w:szCs w:val="20"/>
      <w:lang w:eastAsia="x-none"/>
    </w:rPr>
  </w:style>
  <w:style w:type="character" w:customStyle="1" w:styleId="HeaderChar">
    <w:name w:val="Header Char"/>
    <w:link w:val="Header"/>
    <w:uiPriority w:val="99"/>
    <w:rsid w:val="00527633"/>
    <w:rPr>
      <w:lang w:val="en-GB"/>
    </w:rPr>
  </w:style>
  <w:style w:type="paragraph" w:styleId="Footer">
    <w:name w:val="footer"/>
    <w:basedOn w:val="Normal"/>
    <w:link w:val="FooterChar"/>
    <w:uiPriority w:val="99"/>
    <w:unhideWhenUsed/>
    <w:rsid w:val="00527633"/>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rsid w:val="00527633"/>
    <w:rPr>
      <w:lang w:val="en-GB"/>
    </w:rPr>
  </w:style>
  <w:style w:type="character" w:styleId="Hyperlink">
    <w:name w:val="Hyperlink"/>
    <w:uiPriority w:val="99"/>
    <w:unhideWhenUsed/>
    <w:rsid w:val="00527633"/>
    <w:rPr>
      <w:color w:val="0000FF"/>
      <w:u w:val="single"/>
    </w:rPr>
  </w:style>
  <w:style w:type="paragraph" w:customStyle="1" w:styleId="EndNoteBibliographyTitle">
    <w:name w:val="EndNote Bibliography Title"/>
    <w:basedOn w:val="Normal"/>
    <w:link w:val="EndNoteBibliographyTitleChar"/>
    <w:rsid w:val="00527633"/>
    <w:pPr>
      <w:spacing w:after="0"/>
      <w:jc w:val="center"/>
    </w:pPr>
    <w:rPr>
      <w:rFonts w:ascii="Times New Roman" w:hAnsi="Times New Roman"/>
      <w:noProof/>
      <w:sz w:val="24"/>
      <w:lang w:eastAsia="x-none"/>
    </w:rPr>
  </w:style>
  <w:style w:type="character" w:customStyle="1" w:styleId="EndNoteBibliographyTitleChar">
    <w:name w:val="EndNote Bibliography Title Char"/>
    <w:link w:val="EndNoteBibliographyTitle"/>
    <w:rsid w:val="00527633"/>
    <w:rPr>
      <w:rFonts w:ascii="Times New Roman" w:hAnsi="Times New Roman"/>
      <w:noProof/>
      <w:sz w:val="24"/>
      <w:szCs w:val="22"/>
      <w:lang w:val="en-GB" w:eastAsia="x-none"/>
    </w:rPr>
  </w:style>
  <w:style w:type="paragraph" w:customStyle="1" w:styleId="EndNoteBibliography">
    <w:name w:val="EndNote Bibliography"/>
    <w:basedOn w:val="Normal"/>
    <w:link w:val="EndNoteBibliographyChar"/>
    <w:rsid w:val="00527633"/>
    <w:pPr>
      <w:spacing w:line="480" w:lineRule="auto"/>
      <w:jc w:val="both"/>
    </w:pPr>
    <w:rPr>
      <w:rFonts w:ascii="Times New Roman" w:hAnsi="Times New Roman"/>
      <w:noProof/>
      <w:sz w:val="24"/>
      <w:lang w:eastAsia="x-none"/>
    </w:rPr>
  </w:style>
  <w:style w:type="character" w:customStyle="1" w:styleId="EndNoteBibliographyChar">
    <w:name w:val="EndNote Bibliography Char"/>
    <w:link w:val="EndNoteBibliography"/>
    <w:rsid w:val="00527633"/>
    <w:rPr>
      <w:rFonts w:ascii="Times New Roman" w:hAnsi="Times New Roman"/>
      <w:noProof/>
      <w:sz w:val="24"/>
      <w:szCs w:val="22"/>
      <w:lang w:val="en-GB" w:eastAsia="x-none"/>
    </w:rPr>
  </w:style>
  <w:style w:type="character" w:customStyle="1" w:styleId="EndnoteTextChar">
    <w:name w:val="Endnote Text Char"/>
    <w:link w:val="EndnoteText"/>
    <w:uiPriority w:val="99"/>
    <w:semiHidden/>
    <w:rsid w:val="00527633"/>
    <w:rPr>
      <w:sz w:val="20"/>
      <w:szCs w:val="20"/>
      <w:lang w:val="en-GB"/>
    </w:rPr>
  </w:style>
  <w:style w:type="paragraph" w:styleId="EndnoteText">
    <w:name w:val="endnote text"/>
    <w:basedOn w:val="Normal"/>
    <w:link w:val="EndnoteTextChar"/>
    <w:uiPriority w:val="99"/>
    <w:semiHidden/>
    <w:unhideWhenUsed/>
    <w:rsid w:val="00527633"/>
    <w:pPr>
      <w:spacing w:after="0" w:line="240" w:lineRule="auto"/>
    </w:pPr>
    <w:rPr>
      <w:sz w:val="20"/>
      <w:szCs w:val="20"/>
      <w:lang w:eastAsia="x-none"/>
    </w:rPr>
  </w:style>
  <w:style w:type="character" w:customStyle="1" w:styleId="EndnoteTextChar1">
    <w:name w:val="Endnote Text Char1"/>
    <w:uiPriority w:val="99"/>
    <w:semiHidden/>
    <w:rsid w:val="00527633"/>
    <w:rPr>
      <w:sz w:val="20"/>
      <w:szCs w:val="20"/>
      <w:lang w:val="en-GB"/>
    </w:rPr>
  </w:style>
  <w:style w:type="paragraph" w:customStyle="1" w:styleId="Default">
    <w:name w:val="Default"/>
    <w:rsid w:val="00527633"/>
    <w:pPr>
      <w:autoSpaceDE w:val="0"/>
      <w:autoSpaceDN w:val="0"/>
      <w:adjustRightInd w:val="0"/>
    </w:pPr>
    <w:rPr>
      <w:rFonts w:ascii="Book Antiqua" w:hAnsi="Book Antiqua" w:cs="Book Antiqua"/>
      <w:color w:val="000000"/>
      <w:sz w:val="24"/>
      <w:szCs w:val="24"/>
    </w:rPr>
  </w:style>
  <w:style w:type="character" w:customStyle="1" w:styleId="text">
    <w:name w:val="text"/>
    <w:basedOn w:val="DefaultParagraphFont"/>
    <w:rsid w:val="00527633"/>
  </w:style>
  <w:style w:type="character" w:styleId="CommentReference">
    <w:name w:val="annotation reference"/>
    <w:uiPriority w:val="99"/>
    <w:semiHidden/>
    <w:unhideWhenUsed/>
    <w:rsid w:val="0024597B"/>
    <w:rPr>
      <w:sz w:val="16"/>
      <w:szCs w:val="16"/>
    </w:rPr>
  </w:style>
  <w:style w:type="paragraph" w:styleId="CommentText">
    <w:name w:val="annotation text"/>
    <w:basedOn w:val="Normal"/>
    <w:link w:val="CommentTextChar"/>
    <w:uiPriority w:val="99"/>
    <w:semiHidden/>
    <w:unhideWhenUsed/>
    <w:rsid w:val="0024597B"/>
    <w:pPr>
      <w:spacing w:line="240" w:lineRule="auto"/>
    </w:pPr>
    <w:rPr>
      <w:sz w:val="20"/>
      <w:szCs w:val="20"/>
      <w:lang w:eastAsia="x-none"/>
    </w:rPr>
  </w:style>
  <w:style w:type="character" w:customStyle="1" w:styleId="CommentTextChar">
    <w:name w:val="Comment Text Char"/>
    <w:link w:val="CommentText"/>
    <w:uiPriority w:val="99"/>
    <w:semiHidden/>
    <w:rsid w:val="0024597B"/>
    <w:rPr>
      <w:sz w:val="20"/>
      <w:szCs w:val="20"/>
      <w:lang w:val="en-GB"/>
    </w:rPr>
  </w:style>
  <w:style w:type="paragraph" w:styleId="CommentSubject">
    <w:name w:val="annotation subject"/>
    <w:basedOn w:val="CommentText"/>
    <w:next w:val="CommentText"/>
    <w:link w:val="CommentSubjectChar"/>
    <w:uiPriority w:val="99"/>
    <w:semiHidden/>
    <w:unhideWhenUsed/>
    <w:rsid w:val="0024597B"/>
    <w:rPr>
      <w:b/>
      <w:bCs/>
    </w:rPr>
  </w:style>
  <w:style w:type="character" w:customStyle="1" w:styleId="CommentSubjectChar">
    <w:name w:val="Comment Subject Char"/>
    <w:link w:val="CommentSubject"/>
    <w:uiPriority w:val="99"/>
    <w:semiHidden/>
    <w:rsid w:val="0024597B"/>
    <w:rPr>
      <w:b/>
      <w:bCs/>
      <w:sz w:val="20"/>
      <w:szCs w:val="20"/>
      <w:lang w:val="en-GB"/>
    </w:rPr>
  </w:style>
  <w:style w:type="character" w:customStyle="1" w:styleId="UnresolvedMention1">
    <w:name w:val="Unresolved Mention1"/>
    <w:uiPriority w:val="99"/>
    <w:semiHidden/>
    <w:unhideWhenUsed/>
    <w:rsid w:val="005D2228"/>
    <w:rPr>
      <w:color w:val="605E5C"/>
      <w:shd w:val="clear" w:color="auto" w:fill="E1DFDD"/>
    </w:rPr>
  </w:style>
  <w:style w:type="character" w:customStyle="1" w:styleId="UnresolvedMention2">
    <w:name w:val="Unresolved Mention2"/>
    <w:basedOn w:val="DefaultParagraphFont"/>
    <w:uiPriority w:val="99"/>
    <w:semiHidden/>
    <w:unhideWhenUsed/>
    <w:rsid w:val="00F07DBC"/>
    <w:rPr>
      <w:color w:val="605E5C"/>
      <w:shd w:val="clear" w:color="auto" w:fill="E1DFDD"/>
    </w:rPr>
  </w:style>
  <w:style w:type="character" w:styleId="EndnoteReference">
    <w:name w:val="endnote reference"/>
    <w:basedOn w:val="DefaultParagraphFont"/>
    <w:uiPriority w:val="99"/>
    <w:semiHidden/>
    <w:unhideWhenUsed/>
    <w:rsid w:val="009D6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661310">
      <w:bodyDiv w:val="1"/>
      <w:marLeft w:val="0"/>
      <w:marRight w:val="0"/>
      <w:marTop w:val="0"/>
      <w:marBottom w:val="0"/>
      <w:divBdr>
        <w:top w:val="none" w:sz="0" w:space="0" w:color="auto"/>
        <w:left w:val="none" w:sz="0" w:space="0" w:color="auto"/>
        <w:bottom w:val="none" w:sz="0" w:space="0" w:color="auto"/>
        <w:right w:val="none" w:sz="0" w:space="0" w:color="auto"/>
      </w:divBdr>
      <w:divsChild>
        <w:div w:id="1057777830">
          <w:marLeft w:val="0"/>
          <w:marRight w:val="0"/>
          <w:marTop w:val="0"/>
          <w:marBottom w:val="0"/>
          <w:divBdr>
            <w:top w:val="none" w:sz="0" w:space="0" w:color="auto"/>
            <w:left w:val="none" w:sz="0" w:space="0" w:color="auto"/>
            <w:bottom w:val="none" w:sz="0" w:space="0" w:color="auto"/>
            <w:right w:val="none" w:sz="0" w:space="0" w:color="auto"/>
          </w:divBdr>
        </w:div>
      </w:divsChild>
    </w:div>
    <w:div w:id="18966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handle/10665/63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5CF856-B72F-7342-8977-CE547256030A}">
  <we:reference id="wa104382081" version="1.55.1.0" store="en-GB"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APA" Version="2008"/>
</file>

<file path=customXml/itemProps1.xml><?xml version="1.0" encoding="utf-8"?>
<ds:datastoreItem xmlns:ds="http://schemas.openxmlformats.org/officeDocument/2006/customXml" ds:itemID="{7897B132-F9C8-4C37-ADC6-A8D8069A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7780</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52028</CharactersWithSpaces>
  <SharedDoc>false</SharedDoc>
  <HLinks>
    <vt:vector size="48" baseType="variant">
      <vt:variant>
        <vt:i4>5242898</vt:i4>
      </vt:variant>
      <vt:variant>
        <vt:i4>763</vt:i4>
      </vt:variant>
      <vt:variant>
        <vt:i4>0</vt:i4>
      </vt:variant>
      <vt:variant>
        <vt:i4>5</vt:i4>
      </vt:variant>
      <vt:variant>
        <vt:lpwstr>http://www.population.gov.ng/images/Priority table Vol 4.pdf</vt:lpwstr>
      </vt:variant>
      <vt:variant>
        <vt:lpwstr/>
      </vt:variant>
      <vt:variant>
        <vt:i4>7864435</vt:i4>
      </vt:variant>
      <vt:variant>
        <vt:i4>760</vt:i4>
      </vt:variant>
      <vt:variant>
        <vt:i4>0</vt:i4>
      </vt:variant>
      <vt:variant>
        <vt:i4>5</vt:i4>
      </vt:variant>
      <vt:variant>
        <vt:lpwstr>http://apps.who.int/iris/handle/10665/63750</vt:lpwstr>
      </vt:variant>
      <vt:variant>
        <vt:lpwstr/>
      </vt:variant>
      <vt:variant>
        <vt:i4>2162738</vt:i4>
      </vt:variant>
      <vt:variant>
        <vt:i4>469</vt:i4>
      </vt:variant>
      <vt:variant>
        <vt:i4>0</vt:i4>
      </vt:variant>
      <vt:variant>
        <vt:i4>5</vt:i4>
      </vt:variant>
      <vt:variant>
        <vt:lpwstr>http://www/unicef.org/</vt:lpwstr>
      </vt:variant>
      <vt:variant>
        <vt:lpwstr/>
      </vt:variant>
      <vt:variant>
        <vt:i4>7995407</vt:i4>
      </vt:variant>
      <vt:variant>
        <vt:i4>466</vt:i4>
      </vt:variant>
      <vt:variant>
        <vt:i4>0</vt:i4>
      </vt:variant>
      <vt:variant>
        <vt:i4>5</vt:i4>
      </vt:variant>
      <vt:variant>
        <vt:lpwstr>https://www.google.com/imgres?imgurl=https://www.unicef.org/DSC06341_660x.jpg&amp;imgrefurl=https://www.unicef.org/innovation/94202.html&amp;docid=pqVsYL9m-1SP9M&amp;tbnid=FJPh6qAW5SexSM:&amp;vet=10ahUKEwimvJWhztfbAhVjK8AKHaCEBtwQMwh0KC4wLg..i&amp;w=660&amp;h=439&amp;client=opera&amp;bih=658&amp;biw=1326&amp;q=ways of measuring height in children&amp;ved=0ahUKEwimvJWhztfbAhVjK8AKHaCEBtwQMwh0KC4wLg&amp;iact=mrc&amp;uact=8</vt:lpwstr>
      </vt:variant>
      <vt:variant>
        <vt:lpwstr/>
      </vt:variant>
      <vt:variant>
        <vt:i4>4784192</vt:i4>
      </vt:variant>
      <vt:variant>
        <vt:i4>463</vt:i4>
      </vt:variant>
      <vt:variant>
        <vt:i4>0</vt:i4>
      </vt:variant>
      <vt:variant>
        <vt:i4>5</vt:i4>
      </vt:variant>
      <vt:variant>
        <vt:lpwstr>https://www/</vt:lpwstr>
      </vt:variant>
      <vt:variant>
        <vt:lpwstr/>
      </vt:variant>
      <vt:variant>
        <vt:i4>2293796</vt:i4>
      </vt:variant>
      <vt:variant>
        <vt:i4>460</vt:i4>
      </vt:variant>
      <vt:variant>
        <vt:i4>0</vt:i4>
      </vt:variant>
      <vt:variant>
        <vt:i4>5</vt:i4>
      </vt:variant>
      <vt:variant>
        <vt:lpwstr>https://www.memoriesofgrowingup.com/wp-content/uploads/2015/03/Tall-Tape-384-copy-2.7MB.jpg</vt:lpwstr>
      </vt:variant>
      <vt:variant>
        <vt:lpwstr/>
      </vt:variant>
      <vt:variant>
        <vt:i4>458835</vt:i4>
      </vt:variant>
      <vt:variant>
        <vt:i4>457</vt:i4>
      </vt:variant>
      <vt:variant>
        <vt:i4>0</vt:i4>
      </vt:variant>
      <vt:variant>
        <vt:i4>5</vt:i4>
      </vt:variant>
      <vt:variant>
        <vt:lpwstr>https://www.memoriesofgrowingup.com/wp-content/uploads/2017/03/baby-boy-6.jpg</vt:lpwstr>
      </vt:variant>
      <vt:variant>
        <vt:lpwstr/>
      </vt:variant>
      <vt:variant>
        <vt:i4>7733292</vt:i4>
      </vt:variant>
      <vt:variant>
        <vt:i4>-1</vt:i4>
      </vt:variant>
      <vt:variant>
        <vt:i4>1035</vt:i4>
      </vt:variant>
      <vt:variant>
        <vt:i4>4</vt:i4>
      </vt:variant>
      <vt:variant>
        <vt:lpwstr>https://www.google.com/imgres?imgurl=http://www.nzdl.org/gsdl/collect/hdl/index/assoc/HASHffa8.dir/fig7-8.png&amp;imgrefurl=http://www.nzdl.org/gsdlmod?e=d-00000-00---off-0hdl--00-0----0-10-0---0---0direct-10---4-------0-1l--11-en-50---20-about---00-0-1-00-0--4----0-0-11-10-0utfZz-8-00&amp;a=d&amp;cl=CL1.12&amp;d=HASHffa8895f3ded92a85b4994.3.2&amp;docid=o16RF5o3YtHLrM&amp;tbnid=fD2SsS8XiDRIrM:&amp;vet=10ahUKEwimvJWhztfbAhVjK8AKHaCEBtwQMwhMKBAwEA..i&amp;w=838&amp;h=518&amp;client=opera&amp;bih=658&amp;biw=1326&amp;q=ways of measuring height in children&amp;ved=0ahUKEwimvJWhztfbAhVjK8AKHaCEBtwQMwhMKBAwEA&amp;iact=mrc&amp;uact=8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SAYOMI B A</dc:creator>
  <cp:keywords/>
  <dc:description/>
  <cp:lastModifiedBy>SDI 1084</cp:lastModifiedBy>
  <cp:revision>17</cp:revision>
  <cp:lastPrinted>2018-12-28T16:17:00Z</cp:lastPrinted>
  <dcterms:created xsi:type="dcterms:W3CDTF">2025-09-30T17:32:00Z</dcterms:created>
  <dcterms:modified xsi:type="dcterms:W3CDTF">2025-10-06T05:24:00Z</dcterms:modified>
</cp:coreProperties>
</file>